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85" w:rsidRDefault="005A2185"/>
    <w:p w:rsidR="003315F6" w:rsidRDefault="003315F6"/>
    <w:p w:rsidR="003315F6" w:rsidRDefault="003315F6"/>
    <w:p w:rsidR="003315F6" w:rsidRDefault="003315F6"/>
    <w:p w:rsidR="003315F6" w:rsidRDefault="003315F6"/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  <w:r w:rsidRPr="005024FF">
        <w:rPr>
          <w:noProof/>
        </w:rPr>
        <w:drawing>
          <wp:inline distT="0" distB="0" distL="0" distR="0" wp14:anchorId="037DD4DA" wp14:editId="0D5B71E3">
            <wp:extent cx="1143000" cy="1114425"/>
            <wp:effectExtent l="19050" t="0" r="0" b="0"/>
            <wp:docPr id="1" name="Picture 2" descr="SOS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 Wik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</w:p>
    <w:p w:rsidR="003315F6" w:rsidRPr="00B8640C" w:rsidRDefault="003315F6" w:rsidP="003315F6">
      <w:pPr>
        <w:jc w:val="right"/>
        <w:rPr>
          <w:b/>
        </w:rPr>
      </w:pPr>
      <w:r>
        <w:rPr>
          <w:b/>
        </w:rPr>
        <w:t>Procurement</w:t>
      </w:r>
      <w:r w:rsidRPr="00B8640C">
        <w:rPr>
          <w:b/>
        </w:rPr>
        <w:t xml:space="preserve"> </w:t>
      </w:r>
      <w:r>
        <w:rPr>
          <w:b/>
        </w:rPr>
        <w:t>Business Case</w:t>
      </w:r>
    </w:p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</w:p>
    <w:p w:rsidR="003315F6" w:rsidRDefault="003315F6" w:rsidP="003315F6">
      <w:pPr>
        <w:jc w:val="right"/>
      </w:pPr>
    </w:p>
    <w:p w:rsidR="003315F6" w:rsidRPr="00103C7F" w:rsidRDefault="003315F6" w:rsidP="003315F6">
      <w:pPr>
        <w:spacing w:after="0" w:line="240" w:lineRule="auto"/>
        <w:ind w:left="1440"/>
        <w:jc w:val="right"/>
        <w:rPr>
          <w:b/>
        </w:rPr>
      </w:pPr>
      <w:r w:rsidRPr="00103C7F">
        <w:rPr>
          <w:b/>
        </w:rPr>
        <w:t>Prepared by:</w:t>
      </w:r>
    </w:p>
    <w:p w:rsidR="003315F6" w:rsidRDefault="003315F6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Sarah Roth</w:t>
      </w:r>
    </w:p>
    <w:p w:rsidR="003315F6" w:rsidRDefault="003315F6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Jeff Morgan</w:t>
      </w:r>
    </w:p>
    <w:p w:rsidR="003315F6" w:rsidRDefault="003315F6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Jenn Friesen</w:t>
      </w:r>
    </w:p>
    <w:p w:rsidR="00B84F82" w:rsidRDefault="00966707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Linda Lichty</w:t>
      </w:r>
      <w:r w:rsidR="00B84F82">
        <w:rPr>
          <w:b/>
        </w:rPr>
        <w:br/>
        <w:t>Pandian Krishnaswamy</w:t>
      </w:r>
    </w:p>
    <w:p w:rsidR="003315F6" w:rsidRDefault="003315F6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Shamus Hannan</w:t>
      </w:r>
    </w:p>
    <w:p w:rsidR="003315F6" w:rsidRDefault="003315F6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Chris Molin</w:t>
      </w:r>
    </w:p>
    <w:p w:rsidR="00301950" w:rsidRDefault="00301950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Shawn Vitt</w:t>
      </w:r>
    </w:p>
    <w:p w:rsidR="003315F6" w:rsidRDefault="003315F6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255 Capitol St</w:t>
      </w:r>
    </w:p>
    <w:p w:rsidR="003315F6" w:rsidRDefault="003315F6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Salem, Oregon 97310</w:t>
      </w:r>
    </w:p>
    <w:p w:rsidR="003315F6" w:rsidRDefault="003315F6" w:rsidP="003315F6">
      <w:pPr>
        <w:spacing w:after="0" w:line="240" w:lineRule="auto"/>
        <w:ind w:left="1440"/>
        <w:jc w:val="right"/>
        <w:rPr>
          <w:b/>
        </w:rPr>
      </w:pPr>
    </w:p>
    <w:p w:rsidR="003315F6" w:rsidRPr="00103C7F" w:rsidRDefault="003315F6" w:rsidP="003315F6">
      <w:pPr>
        <w:spacing w:after="0" w:line="240" w:lineRule="auto"/>
        <w:ind w:left="1440"/>
        <w:jc w:val="right"/>
        <w:rPr>
          <w:b/>
        </w:rPr>
      </w:pPr>
    </w:p>
    <w:p w:rsidR="003315F6" w:rsidRDefault="00301950" w:rsidP="003315F6">
      <w:pPr>
        <w:spacing w:after="0" w:line="240" w:lineRule="auto"/>
        <w:ind w:left="1440"/>
        <w:jc w:val="right"/>
        <w:rPr>
          <w:b/>
        </w:rPr>
      </w:pPr>
      <w:r>
        <w:rPr>
          <w:b/>
        </w:rPr>
        <w:t>Started on Sept.</w:t>
      </w:r>
      <w:r w:rsidR="003315F6">
        <w:rPr>
          <w:b/>
        </w:rPr>
        <w:t xml:space="preserve"> 21</w:t>
      </w:r>
      <w:r w:rsidR="003315F6" w:rsidRPr="00103C7F">
        <w:rPr>
          <w:b/>
        </w:rPr>
        <w:t>, 201</w:t>
      </w:r>
      <w:r w:rsidR="003315F6">
        <w:rPr>
          <w:b/>
        </w:rPr>
        <w:t>6</w:t>
      </w:r>
      <w:r w:rsidR="006906E4">
        <w:rPr>
          <w:b/>
        </w:rPr>
        <w:br/>
        <w:t>Last review: July 24, 2017</w:t>
      </w:r>
    </w:p>
    <w:p w:rsidR="003315F6" w:rsidRDefault="003315F6" w:rsidP="003315F6">
      <w:pPr>
        <w:spacing w:after="0" w:line="240" w:lineRule="auto"/>
        <w:ind w:left="1440"/>
        <w:jc w:val="right"/>
        <w:rPr>
          <w:b/>
        </w:rPr>
      </w:pPr>
    </w:p>
    <w:p w:rsidR="003315F6" w:rsidRDefault="003315F6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943709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315F6" w:rsidRDefault="003315F6">
          <w:pPr>
            <w:pStyle w:val="TOCHeading"/>
          </w:pPr>
          <w:r>
            <w:t>Contents</w:t>
          </w:r>
        </w:p>
        <w:p w:rsidR="00A25ED6" w:rsidRDefault="008F44B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 w:rsidR="003315F6">
            <w:instrText xml:space="preserve"> TOC \o "1-3" \h \z \u </w:instrText>
          </w:r>
          <w:r>
            <w:fldChar w:fldCharType="separate"/>
          </w:r>
          <w:hyperlink w:anchor="_Toc468129752" w:history="1">
            <w:r w:rsidR="00A25ED6" w:rsidRPr="00CA00C5">
              <w:rPr>
                <w:rStyle w:val="Hyperlink"/>
                <w:noProof/>
              </w:rPr>
              <w:t>Summary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_Toc468129752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3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53" w:history="1">
            <w:r w:rsidR="00A25ED6" w:rsidRPr="00CA00C5">
              <w:rPr>
                <w:rStyle w:val="Hyperlink"/>
                <w:noProof/>
              </w:rPr>
              <w:t>Purpose and Background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_Toc468129753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3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54" w:history="1">
            <w:r w:rsidR="00A25ED6" w:rsidRPr="00CA00C5">
              <w:rPr>
                <w:rStyle w:val="Hyperlink"/>
                <w:noProof/>
              </w:rPr>
              <w:t>Purpose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_Toc468129754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3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55" w:history="1">
            <w:r w:rsidR="00A25ED6" w:rsidRPr="00CA00C5">
              <w:rPr>
                <w:rStyle w:val="Hyperlink"/>
                <w:noProof/>
              </w:rPr>
              <w:t>Background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_Toc468129755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3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56" w:history="1">
            <w:r w:rsidR="00A25ED6" w:rsidRPr="00CA00C5">
              <w:rPr>
                <w:rStyle w:val="Hyperlink"/>
                <w:noProof/>
              </w:rPr>
              <w:t>Secretary of State Legacy Procurement System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_Toc468129756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4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57" w:history="1">
            <w:r w:rsidR="00A25ED6" w:rsidRPr="00CA00C5">
              <w:rPr>
                <w:rStyle w:val="Hyperlink"/>
                <w:noProof/>
              </w:rPr>
              <w:t>Problem or Opportunity Definition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_Toc468129757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6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58" w:history="1">
            <w:r w:rsidR="00A25ED6" w:rsidRPr="00CA00C5">
              <w:rPr>
                <w:rStyle w:val="Hyperlink"/>
                <w:noProof/>
              </w:rPr>
              <w:t>Alternative Analysis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_Toc468129758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6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59" w:history="1">
            <w:r w:rsidR="00A25ED6" w:rsidRPr="00CA00C5">
              <w:rPr>
                <w:rStyle w:val="Hyperlink"/>
                <w:noProof/>
              </w:rPr>
              <w:t>Overview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_Toc468129759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6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0" w:history="1">
            <w:r w:rsidR="00A25ED6" w:rsidRPr="00CA00C5">
              <w:rPr>
                <w:rStyle w:val="Hyperlink"/>
                <w:noProof/>
              </w:rPr>
              <w:t>Alternatives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_Toc468129760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7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1" w:history="1">
            <w:r w:rsidR="00A25ED6" w:rsidRPr="00CA00C5">
              <w:rPr>
                <w:rStyle w:val="Hyperlink"/>
                <w:noProof/>
              </w:rPr>
              <w:t>Alternative: Business as usual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_Toc468129761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7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2" w:history="1">
            <w:r w:rsidR="00A25ED6" w:rsidRPr="00CA00C5">
              <w:rPr>
                <w:rStyle w:val="Hyperlink"/>
                <w:noProof/>
              </w:rPr>
              <w:t>Assumptions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_Toc468129762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7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3" w:history="1">
            <w:r w:rsidR="00A25ED6" w:rsidRPr="00CA00C5">
              <w:rPr>
                <w:rStyle w:val="Hyperlink"/>
                <w:noProof/>
              </w:rPr>
              <w:t>Risks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_Toc468129763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7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4" w:history="1">
            <w:r w:rsidR="00A25ED6" w:rsidRPr="00CA00C5">
              <w:rPr>
                <w:rStyle w:val="Hyperlink"/>
                <w:noProof/>
              </w:rPr>
              <w:t>Cost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_Toc468129764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8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5" w:history="1">
            <w:r w:rsidR="00A25ED6" w:rsidRPr="00CA00C5">
              <w:rPr>
                <w:rStyle w:val="Hyperlink"/>
                <w:noProof/>
              </w:rPr>
              <w:t>Alternative: Software as a Service new Solution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_Toc468129765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8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6" w:history="1">
            <w:r w:rsidR="00A25ED6" w:rsidRPr="00CA00C5">
              <w:rPr>
                <w:rStyle w:val="Hyperlink"/>
                <w:noProof/>
              </w:rPr>
              <w:t>Assumptions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_Toc468129766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8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7" w:history="1">
            <w:r w:rsidR="00A25ED6" w:rsidRPr="00CA00C5">
              <w:rPr>
                <w:rStyle w:val="Hyperlink"/>
                <w:noProof/>
              </w:rPr>
              <w:t>Risks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_Toc468129767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9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8" w:history="1">
            <w:r w:rsidR="00A25ED6" w:rsidRPr="00CA00C5">
              <w:rPr>
                <w:rStyle w:val="Hyperlink"/>
                <w:noProof/>
              </w:rPr>
              <w:t>Cost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_Toc468129768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9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69" w:history="1">
            <w:r w:rsidR="00A25ED6" w:rsidRPr="00CA00C5">
              <w:rPr>
                <w:rStyle w:val="Hyperlink"/>
                <w:noProof/>
              </w:rPr>
              <w:t>Benefits Analysis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_Toc468129769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9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70" w:history="1">
            <w:r w:rsidR="00A25ED6" w:rsidRPr="00CA00C5">
              <w:rPr>
                <w:rStyle w:val="Hyperlink"/>
                <w:noProof/>
              </w:rPr>
              <w:t>Conclusions and Recommendations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_Toc468129770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10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71" w:history="1">
            <w:r w:rsidR="00A25ED6" w:rsidRPr="00CA00C5">
              <w:rPr>
                <w:rStyle w:val="Hyperlink"/>
                <w:noProof/>
              </w:rPr>
              <w:t>Conclusions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_Toc468129771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10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72" w:history="1">
            <w:r w:rsidR="00A25ED6" w:rsidRPr="00CA00C5">
              <w:rPr>
                <w:rStyle w:val="Hyperlink"/>
                <w:noProof/>
              </w:rPr>
              <w:t>Recommendations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_Toc468129772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10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73" w:history="1">
            <w:r w:rsidR="00A25ED6" w:rsidRPr="00CA00C5">
              <w:rPr>
                <w:rStyle w:val="Hyperlink"/>
                <w:noProof/>
              </w:rPr>
              <w:t>Appendix - Procurement Project Cost Worksheet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_Toc468129773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11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74" w:history="1">
            <w:r w:rsidR="00A25ED6" w:rsidRPr="00CA00C5">
              <w:rPr>
                <w:rStyle w:val="Hyperlink"/>
                <w:noProof/>
              </w:rPr>
              <w:t>Project cost to be paid to vendor from acquisition of new solution, configuration and go live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_Toc468129774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11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75" w:history="1">
            <w:r w:rsidR="00A25ED6" w:rsidRPr="00CA00C5">
              <w:rPr>
                <w:rStyle w:val="Hyperlink"/>
                <w:noProof/>
              </w:rPr>
              <w:t>Assumptions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_Toc468129775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11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76" w:history="1">
            <w:r w:rsidR="00A25ED6" w:rsidRPr="00CA00C5">
              <w:rPr>
                <w:rStyle w:val="Hyperlink"/>
                <w:noProof/>
              </w:rPr>
              <w:t>Hours allocated by Secretary of State Staff for this Project and Cost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_Toc468129776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11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A25ED6" w:rsidRDefault="007E1724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68129777" w:history="1">
            <w:r w:rsidR="00A25ED6" w:rsidRPr="00CA00C5">
              <w:rPr>
                <w:rStyle w:val="Hyperlink"/>
                <w:noProof/>
              </w:rPr>
              <w:t>Assumptions</w:t>
            </w:r>
            <w:r w:rsidR="00A25ED6">
              <w:rPr>
                <w:noProof/>
                <w:webHidden/>
              </w:rPr>
              <w:tab/>
            </w:r>
            <w:r w:rsidR="00A25ED6">
              <w:rPr>
                <w:noProof/>
                <w:webHidden/>
              </w:rPr>
              <w:fldChar w:fldCharType="begin"/>
            </w:r>
            <w:r w:rsidR="00A25ED6">
              <w:rPr>
                <w:noProof/>
                <w:webHidden/>
              </w:rPr>
              <w:instrText xml:space="preserve"> PAGEREF _Toc468129777 \h </w:instrText>
            </w:r>
            <w:r w:rsidR="00A25ED6">
              <w:rPr>
                <w:noProof/>
                <w:webHidden/>
              </w:rPr>
            </w:r>
            <w:r w:rsidR="00A25ED6">
              <w:rPr>
                <w:noProof/>
                <w:webHidden/>
              </w:rPr>
              <w:fldChar w:fldCharType="separate"/>
            </w:r>
            <w:r w:rsidR="00A25ED6">
              <w:rPr>
                <w:noProof/>
                <w:webHidden/>
              </w:rPr>
              <w:t>11</w:t>
            </w:r>
            <w:r w:rsidR="00A25ED6">
              <w:rPr>
                <w:noProof/>
                <w:webHidden/>
              </w:rPr>
              <w:fldChar w:fldCharType="end"/>
            </w:r>
          </w:hyperlink>
        </w:p>
        <w:p w:rsidR="003315F6" w:rsidRDefault="008F44BC">
          <w:r>
            <w:rPr>
              <w:b/>
              <w:bCs/>
              <w:noProof/>
            </w:rPr>
            <w:fldChar w:fldCharType="end"/>
          </w:r>
        </w:p>
      </w:sdtContent>
    </w:sdt>
    <w:p w:rsidR="003315F6" w:rsidRDefault="003315F6">
      <w:r>
        <w:br w:type="page"/>
      </w:r>
    </w:p>
    <w:p w:rsidR="003315F6" w:rsidRDefault="003315F6" w:rsidP="003315F6">
      <w:pPr>
        <w:pStyle w:val="Heading1"/>
      </w:pPr>
      <w:bookmarkStart w:id="0" w:name="_Toc440958841"/>
      <w:bookmarkStart w:id="1" w:name="_Toc468129752"/>
      <w:r>
        <w:t>Summary</w:t>
      </w:r>
      <w:bookmarkEnd w:id="0"/>
      <w:bookmarkEnd w:id="1"/>
    </w:p>
    <w:p w:rsidR="00B67E3D" w:rsidRDefault="003315F6" w:rsidP="003315F6">
      <w:r>
        <w:t>This document con</w:t>
      </w:r>
      <w:r w:rsidR="00301950">
        <w:t>tains the business c</w:t>
      </w:r>
      <w:r w:rsidR="00E4648C">
        <w:t>ase for obtaining a</w:t>
      </w:r>
      <w:r w:rsidR="00301950">
        <w:t>nd implementing an end-to-end e-p</w:t>
      </w:r>
      <w:r w:rsidR="00E4648C">
        <w:t>rocurement solution</w:t>
      </w:r>
      <w:r w:rsidR="00610C0A">
        <w:t xml:space="preserve">.  </w:t>
      </w:r>
      <w:r w:rsidR="00301950">
        <w:t xml:space="preserve">This effort </w:t>
      </w:r>
      <w:r w:rsidR="00B67E3D">
        <w:t xml:space="preserve">has become known as the </w:t>
      </w:r>
      <w:r w:rsidR="00D007E0">
        <w:t xml:space="preserve">OregonBuys </w:t>
      </w:r>
      <w:r w:rsidR="00301950">
        <w:t xml:space="preserve">Project. </w:t>
      </w:r>
      <w:r w:rsidR="00B67E3D">
        <w:t>The other agencies involved in this shared</w:t>
      </w:r>
      <w:r w:rsidR="005525A7">
        <w:t xml:space="preserve"> collaborative</w:t>
      </w:r>
      <w:r w:rsidR="00B67E3D">
        <w:t xml:space="preserve"> service solution include the Department of Forestry, Department of Human Services/Oregon Health Authority, </w:t>
      </w:r>
      <w:r w:rsidR="00AF544F">
        <w:t xml:space="preserve">Department of </w:t>
      </w:r>
      <w:r w:rsidR="00B67E3D">
        <w:t>Education, Department of Administrative Services, Consumer and Business Services, Judicial</w:t>
      </w:r>
      <w:r w:rsidR="00AF544F">
        <w:t xml:space="preserve"> Department</w:t>
      </w:r>
      <w:r w:rsidR="00B67E3D">
        <w:t>, Department of Revenue, and Department of Fish and Wildlife.</w:t>
      </w:r>
      <w:r w:rsidR="00301950">
        <w:t xml:space="preserve"> In November </w:t>
      </w:r>
      <w:r w:rsidR="00345F5D">
        <w:t>2015, these agencies</w:t>
      </w:r>
      <w:r w:rsidR="0060050A">
        <w:t xml:space="preserve"> set out to</w:t>
      </w:r>
      <w:r w:rsidR="00345F5D">
        <w:t xml:space="preserve"> </w:t>
      </w:r>
      <w:r w:rsidR="0060050A">
        <w:t>define</w:t>
      </w:r>
      <w:r w:rsidR="00345F5D">
        <w:t xml:space="preserve"> common requir</w:t>
      </w:r>
      <w:r w:rsidR="003C0858">
        <w:t>e</w:t>
      </w:r>
      <w:r w:rsidR="00345F5D">
        <w:t>ments</w:t>
      </w:r>
      <w:r w:rsidR="003C0858">
        <w:t xml:space="preserve"> with the understanding that business processes would change to align better wit</w:t>
      </w:r>
      <w:r w:rsidR="00301950">
        <w:t xml:space="preserve">h best practices in procurement, </w:t>
      </w:r>
      <w:r w:rsidR="003C0858">
        <w:t>rather than automating current inefficient manual and paper processes.</w:t>
      </w:r>
    </w:p>
    <w:p w:rsidR="000A79BB" w:rsidRDefault="00A53A41" w:rsidP="003315F6">
      <w:r>
        <w:t xml:space="preserve">A complete end-to-end </w:t>
      </w:r>
      <w:r w:rsidR="00301950">
        <w:t>e-p</w:t>
      </w:r>
      <w:r w:rsidR="000A79BB">
        <w:t xml:space="preserve">rocurement system used by all </w:t>
      </w:r>
      <w:r w:rsidR="00301950">
        <w:t xml:space="preserve">Oregon </w:t>
      </w:r>
      <w:r w:rsidR="000A79BB">
        <w:t>state agencies could avoid duplicative efforts</w:t>
      </w:r>
      <w:r w:rsidR="00301950">
        <w:t xml:space="preserve">; </w:t>
      </w:r>
      <w:r w:rsidR="001570B8">
        <w:t>save</w:t>
      </w:r>
      <w:r w:rsidR="000A79BB">
        <w:t xml:space="preserve"> time and money; pool and share resources to help ensure agencies big and small have access to the resources they need to find the right solution; provide for a solution that incorporates the most current technology and industry best practices not otherwise achievable by agencies individually; increase agencies’ buying power, reducing up</w:t>
      </w:r>
      <w:r w:rsidR="00301950">
        <w:t>-</w:t>
      </w:r>
      <w:r w:rsidR="000A79BB">
        <w:t>front and ongoing costs per agency; create uniformity and standardization across agencies, not just withi</w:t>
      </w:r>
      <w:r w:rsidR="00301950">
        <w:t xml:space="preserve">n agencies, for users, vendors </w:t>
      </w:r>
      <w:r w:rsidR="000A79BB">
        <w:t xml:space="preserve">and data entry, which can be used for making strategic decisions about procurement; </w:t>
      </w:r>
      <w:r w:rsidR="00FB2638">
        <w:t>provide standardized and ad</w:t>
      </w:r>
      <w:r w:rsidR="00301950">
        <w:t>-</w:t>
      </w:r>
      <w:r w:rsidR="00FB2638">
        <w:t xml:space="preserve">hoc reporting capability; </w:t>
      </w:r>
      <w:r w:rsidR="000A79BB">
        <w:t>and lay the foundation for an enterprise-wide system that could le</w:t>
      </w:r>
      <w:r w:rsidR="00301950">
        <w:t>ad to even greater efficiencies</w:t>
      </w:r>
      <w:r w:rsidR="000A79BB">
        <w:t xml:space="preserve"> by ensuring a flexible solution that meets a wide range of agency requirements and integration needs.</w:t>
      </w:r>
    </w:p>
    <w:p w:rsidR="000C5020" w:rsidRDefault="00CC7732" w:rsidP="000C5020">
      <w:pPr>
        <w:pStyle w:val="Heading1"/>
      </w:pPr>
      <w:bookmarkStart w:id="2" w:name="_Toc468129753"/>
      <w:r>
        <w:t>Purpose and</w:t>
      </w:r>
      <w:r w:rsidR="000C5020">
        <w:t xml:space="preserve"> Background</w:t>
      </w:r>
      <w:bookmarkEnd w:id="2"/>
    </w:p>
    <w:p w:rsidR="00E50840" w:rsidRPr="00D22579" w:rsidRDefault="00E50840" w:rsidP="00D22579">
      <w:pPr>
        <w:pStyle w:val="Heading2"/>
      </w:pPr>
      <w:bookmarkStart w:id="3" w:name="_Toc468129754"/>
      <w:r w:rsidRPr="00D22579">
        <w:t>Purpose</w:t>
      </w:r>
      <w:bookmarkEnd w:id="3"/>
    </w:p>
    <w:p w:rsidR="00AA0D82" w:rsidRDefault="00574BA6" w:rsidP="00E50840">
      <w:pPr>
        <w:spacing w:after="0" w:line="240" w:lineRule="auto"/>
      </w:pPr>
      <w:r>
        <w:t xml:space="preserve">This business case is </w:t>
      </w:r>
      <w:r w:rsidR="00E50840">
        <w:t xml:space="preserve">to </w:t>
      </w:r>
      <w:r>
        <w:t>propose the</w:t>
      </w:r>
      <w:r w:rsidR="00E50840">
        <w:t xml:space="preserve"> procurement and implementation of an integrated end-to-end </w:t>
      </w:r>
      <w:r w:rsidR="00AA0D82">
        <w:t>e-</w:t>
      </w:r>
      <w:r w:rsidR="00E50840">
        <w:t>procurement system that will interface with common s</w:t>
      </w:r>
      <w:r w:rsidR="00BB3A7E">
        <w:t xml:space="preserve">ystems used by </w:t>
      </w:r>
      <w:r w:rsidR="003B3424">
        <w:t>the Secretary of State</w:t>
      </w:r>
      <w:r w:rsidR="00AA0D82">
        <w:t>’s office. This effort has become known as the SoSBuys Project.</w:t>
      </w:r>
      <w:r w:rsidR="00AA0D82">
        <w:br/>
      </w:r>
      <w:r w:rsidR="00AA0D82">
        <w:br/>
        <w:t xml:space="preserve">SoS </w:t>
      </w:r>
      <w:r w:rsidR="003B3424">
        <w:t xml:space="preserve">uses </w:t>
      </w:r>
      <w:r w:rsidR="0027311D">
        <w:t xml:space="preserve">detached IT tools </w:t>
      </w:r>
      <w:r w:rsidR="003B3424">
        <w:t xml:space="preserve">and manual </w:t>
      </w:r>
      <w:r w:rsidR="00AA0D82">
        <w:t>paper-</w:t>
      </w:r>
      <w:r w:rsidR="00873341">
        <w:t>driven processes for tracking purchasing and contract activity in the agency.</w:t>
      </w:r>
      <w:r w:rsidR="00AA0D82">
        <w:t xml:space="preserve"> </w:t>
      </w:r>
      <w:r w:rsidR="00A96AEE">
        <w:t>The current pro</w:t>
      </w:r>
      <w:r w:rsidR="00FC0698">
        <w:t>cess is antiquated, inefficient and</w:t>
      </w:r>
      <w:r w:rsidR="00A96AEE">
        <w:t xml:space="preserve"> labor intensive.</w:t>
      </w:r>
    </w:p>
    <w:p w:rsidR="00AA0D82" w:rsidRDefault="00AA0D82" w:rsidP="00E50840">
      <w:pPr>
        <w:spacing w:after="0" w:line="240" w:lineRule="auto"/>
      </w:pPr>
    </w:p>
    <w:p w:rsidR="00F54DD2" w:rsidRDefault="00E07D8F" w:rsidP="00E50840">
      <w:pPr>
        <w:spacing w:after="0" w:line="240" w:lineRule="auto"/>
      </w:pPr>
      <w:r>
        <w:t xml:space="preserve">Due to </w:t>
      </w:r>
      <w:r w:rsidR="00D95A39">
        <w:t xml:space="preserve">decentralized approach, </w:t>
      </w:r>
      <w:r w:rsidR="00AA0D82">
        <w:t xml:space="preserve">Oregon </w:t>
      </w:r>
      <w:r w:rsidR="00D95A39">
        <w:t xml:space="preserve">agencies </w:t>
      </w:r>
      <w:r w:rsidR="00AA0D82">
        <w:t xml:space="preserve">including SoS </w:t>
      </w:r>
      <w:r w:rsidR="00D95A39">
        <w:t>have been left with trying to improve their pro</w:t>
      </w:r>
      <w:r w:rsidR="00AA0D82">
        <w:t xml:space="preserve">curement processes/systems in </w:t>
      </w:r>
      <w:r w:rsidR="00D95A39">
        <w:t>silo</w:t>
      </w:r>
      <w:r w:rsidR="00AA0D82">
        <w:t xml:space="preserve">s. </w:t>
      </w:r>
      <w:r w:rsidR="00D95A39">
        <w:t xml:space="preserve">The lack of enterprise-wide coordination among agencies limits solution options; leads to duplication of effort and resources; and creates inconsistent procurement processes that are confusing to vendors and contractors wanting to do business with state agencies.  </w:t>
      </w:r>
    </w:p>
    <w:p w:rsidR="00F54DD2" w:rsidRDefault="00F54DD2" w:rsidP="00E50840">
      <w:pPr>
        <w:spacing w:after="0" w:line="240" w:lineRule="auto"/>
      </w:pPr>
    </w:p>
    <w:p w:rsidR="007166F4" w:rsidRDefault="00CC7732" w:rsidP="00E50840">
      <w:pPr>
        <w:spacing w:after="0" w:line="240" w:lineRule="auto"/>
      </w:pPr>
      <w:r>
        <w:t>This system will</w:t>
      </w:r>
      <w:r w:rsidR="00782714">
        <w:t xml:space="preserve"> allow </w:t>
      </w:r>
      <w:r w:rsidR="00AA0D82">
        <w:t xml:space="preserve">SoS </w:t>
      </w:r>
      <w:r w:rsidR="00782714">
        <w:t>to incorporate</w:t>
      </w:r>
      <w:r w:rsidR="006514D8">
        <w:t xml:space="preserve"> and embrace </w:t>
      </w:r>
      <w:r w:rsidR="00782714">
        <w:t>industry best practices into daily procurement functions</w:t>
      </w:r>
      <w:r w:rsidR="00AA0D82">
        <w:t>,</w:t>
      </w:r>
      <w:r w:rsidR="00782714">
        <w:t xml:space="preserve"> as well as </w:t>
      </w:r>
      <w:r>
        <w:t>hav</w:t>
      </w:r>
      <w:r w:rsidR="00AA0D82">
        <w:t>e</w:t>
      </w:r>
      <w:r w:rsidR="00782714">
        <w:t xml:space="preserve"> the </w:t>
      </w:r>
      <w:r>
        <w:t>proper controls in place to help manage the risks associate</w:t>
      </w:r>
      <w:r w:rsidR="00A5747C">
        <w:t>d with a true end-to-end procurement system</w:t>
      </w:r>
      <w:r>
        <w:t>.</w:t>
      </w:r>
      <w:r w:rsidR="00072F6E">
        <w:t xml:space="preserve">  An integration with </w:t>
      </w:r>
      <w:r w:rsidR="00BB12BE">
        <w:t xml:space="preserve">the </w:t>
      </w:r>
      <w:r w:rsidR="00072F6E">
        <w:t>existing statewide accounts payable system would also streamline the payment process and ensure an error-</w:t>
      </w:r>
      <w:r w:rsidR="006C1DE3">
        <w:t>free transaction</w:t>
      </w:r>
      <w:r w:rsidR="00AA0D82">
        <w:t>,</w:t>
      </w:r>
      <w:r w:rsidR="006C1DE3">
        <w:t xml:space="preserve"> resulting </w:t>
      </w:r>
      <w:r w:rsidR="00B91E33">
        <w:t>in faster payment to the vendor.</w:t>
      </w:r>
    </w:p>
    <w:p w:rsidR="007166F4" w:rsidRDefault="007166F4" w:rsidP="00E50840">
      <w:pPr>
        <w:spacing w:after="0" w:line="240" w:lineRule="auto"/>
      </w:pPr>
    </w:p>
    <w:p w:rsidR="007166F4" w:rsidRPr="00D22579" w:rsidRDefault="007166F4" w:rsidP="00D22579">
      <w:pPr>
        <w:pStyle w:val="Heading2"/>
      </w:pPr>
      <w:bookmarkStart w:id="4" w:name="_Toc468129755"/>
      <w:r w:rsidRPr="00D22579">
        <w:t>Background</w:t>
      </w:r>
      <w:bookmarkEnd w:id="4"/>
    </w:p>
    <w:p w:rsidR="0028525B" w:rsidRDefault="00B108D5" w:rsidP="00E50840">
      <w:pPr>
        <w:spacing w:after="0" w:line="240" w:lineRule="auto"/>
      </w:pPr>
      <w:r>
        <w:t>In the 200</w:t>
      </w:r>
      <w:r w:rsidR="00E9185E">
        <w:t>9</w:t>
      </w:r>
      <w:r>
        <w:t>-</w:t>
      </w:r>
      <w:r w:rsidR="00E9185E">
        <w:t>11</w:t>
      </w:r>
      <w:r>
        <w:t xml:space="preserve"> biennium, the Secretary o</w:t>
      </w:r>
      <w:r w:rsidR="00AA0D82">
        <w:t xml:space="preserve">f State’s office </w:t>
      </w:r>
      <w:r w:rsidR="00FD4067">
        <w:t>prepared</w:t>
      </w:r>
      <w:r>
        <w:t xml:space="preserve"> a Policy Option Pa</w:t>
      </w:r>
      <w:r w:rsidR="00E9185E">
        <w:t>ckage</w:t>
      </w:r>
      <w:r w:rsidR="00AA0D82">
        <w:t xml:space="preserve"> (POP #</w:t>
      </w:r>
      <w:r w:rsidR="00A732D2">
        <w:t xml:space="preserve">176) for $200,000 </w:t>
      </w:r>
      <w:r w:rsidR="00E9185E">
        <w:t>that would move procurement processe</w:t>
      </w:r>
      <w:r w:rsidR="007B2B02">
        <w:t>s</w:t>
      </w:r>
      <w:r w:rsidR="00E9185E">
        <w:t xml:space="preserve"> to an automated procurement system by contracting for enhancements to DAS’</w:t>
      </w:r>
      <w:r w:rsidR="007B2B02">
        <w:t xml:space="preserve">s </w:t>
      </w:r>
      <w:r w:rsidR="00786E49">
        <w:t>Or</w:t>
      </w:r>
      <w:r w:rsidR="00AA0D82">
        <w:t xml:space="preserve">egon Procurement Information Network </w:t>
      </w:r>
      <w:r w:rsidR="00786E49">
        <w:t xml:space="preserve">(ORPIN) </w:t>
      </w:r>
      <w:r w:rsidR="007B2B02">
        <w:t>to add functionality to meet the needs of the Secretary of State.</w:t>
      </w:r>
      <w:r w:rsidR="00AA0D82">
        <w:t xml:space="preserve"> </w:t>
      </w:r>
      <w:r w:rsidR="00C72EBA">
        <w:t>This POP was withdrawn to meet a reduction target for the agency.</w:t>
      </w:r>
    </w:p>
    <w:p w:rsidR="008261A9" w:rsidRDefault="008261A9" w:rsidP="00E50840">
      <w:pPr>
        <w:spacing w:after="0" w:line="240" w:lineRule="auto"/>
      </w:pPr>
    </w:p>
    <w:p w:rsidR="008261A9" w:rsidRDefault="008261A9" w:rsidP="00E50840">
      <w:pPr>
        <w:spacing w:after="0" w:line="240" w:lineRule="auto"/>
      </w:pPr>
      <w:r>
        <w:t>During the 2013-15 biennium, DAS</w:t>
      </w:r>
      <w:r w:rsidR="00AA0D82">
        <w:t xml:space="preserve"> stated it </w:t>
      </w:r>
      <w:r>
        <w:t>wou</w:t>
      </w:r>
      <w:r w:rsidR="00AA0D82">
        <w:t>ld be rolling out a new system, ORPIN 2.0,</w:t>
      </w:r>
      <w:r>
        <w:t xml:space="preserve"> to </w:t>
      </w:r>
      <w:r w:rsidR="00AA0D82">
        <w:t xml:space="preserve">replace the current </w:t>
      </w:r>
      <w:r w:rsidR="00561FC9">
        <w:t>system</w:t>
      </w:r>
      <w:r w:rsidR="00AA0D82">
        <w:t xml:space="preserve">, which would offer </w:t>
      </w:r>
      <w:r w:rsidR="00561FC9">
        <w:t>enhanced procurement features along with integrated settlement processes.</w:t>
      </w:r>
      <w:r w:rsidR="00AA0D82">
        <w:t xml:space="preserve"> </w:t>
      </w:r>
      <w:r w:rsidR="00024E9D">
        <w:t>This proj</w:t>
      </w:r>
      <w:r w:rsidR="00AA0D82">
        <w:t xml:space="preserve">ect was </w:t>
      </w:r>
      <w:r w:rsidR="006863DD">
        <w:t>canceled due to functionality “show-stoppers”</w:t>
      </w:r>
      <w:r w:rsidR="00C05C09">
        <w:t xml:space="preserve"> that could not be overco</w:t>
      </w:r>
      <w:r w:rsidR="0017142A">
        <w:t>me.</w:t>
      </w:r>
    </w:p>
    <w:p w:rsidR="00354DB1" w:rsidRDefault="00354DB1" w:rsidP="00E50840">
      <w:pPr>
        <w:spacing w:after="0" w:line="240" w:lineRule="auto"/>
      </w:pPr>
    </w:p>
    <w:p w:rsidR="00154D96" w:rsidRPr="00786E49" w:rsidRDefault="00786E49" w:rsidP="00E50840">
      <w:pPr>
        <w:spacing w:after="0" w:line="240" w:lineRule="auto"/>
        <w:rPr>
          <w:u w:val="single"/>
        </w:rPr>
      </w:pPr>
      <w:r>
        <w:t xml:space="preserve">Over the past 10 years, three </w:t>
      </w:r>
      <w:r w:rsidR="00154D96">
        <w:t>studies have been conducted by independent contractors (Public Knowledge, Hacke</w:t>
      </w:r>
      <w:r>
        <w:t>t</w:t>
      </w:r>
      <w:r w:rsidR="00C615CC">
        <w:t>t</w:t>
      </w:r>
      <w:r>
        <w:t xml:space="preserve"> Group </w:t>
      </w:r>
      <w:r w:rsidR="00154D96">
        <w:t>and Ikaso) identifying the need for an e-procurement solution</w:t>
      </w:r>
      <w:r>
        <w:t xml:space="preserve"> for Oregon state agency procurement.</w:t>
      </w:r>
      <w:r w:rsidR="002257B8">
        <w:t xml:space="preserve"> </w:t>
      </w:r>
      <w:r>
        <w:t xml:space="preserve"> </w:t>
      </w:r>
      <w:r w:rsidR="00154D96">
        <w:t>Along with this, many agencies have had audit findings detailing deficien</w:t>
      </w:r>
      <w:r>
        <w:t xml:space="preserve">cies in their current systems. </w:t>
      </w:r>
      <w:r w:rsidR="002257B8">
        <w:t xml:space="preserve"> </w:t>
      </w:r>
      <w:r w:rsidR="00154D96">
        <w:t xml:space="preserve">As a result of these studies and </w:t>
      </w:r>
      <w:r>
        <w:t>the costly work</w:t>
      </w:r>
      <w:r w:rsidR="006548BB">
        <w:t xml:space="preserve">arounds in current processes, the Secretary of State made the decision to start researching automated end-to-end </w:t>
      </w:r>
      <w:r>
        <w:t>e-p</w:t>
      </w:r>
      <w:r w:rsidR="006548BB">
        <w:t>rocurement solutions</w:t>
      </w:r>
      <w:r>
        <w:t>,</w:t>
      </w:r>
      <w:r w:rsidR="006548BB">
        <w:t xml:space="preserve"> and work toward submitting a package in a future budget request f</w:t>
      </w:r>
      <w:r>
        <w:t xml:space="preserve">or funding and approval of an e-procurement solution. SoS </w:t>
      </w:r>
      <w:r w:rsidR="006548BB">
        <w:t xml:space="preserve">learned the Department of Forestry and the Department of Education were also in the process of pursuing </w:t>
      </w:r>
      <w:r w:rsidR="00B87677">
        <w:t xml:space="preserve">an </w:t>
      </w:r>
      <w:r w:rsidR="006548BB">
        <w:t>e</w:t>
      </w:r>
      <w:r>
        <w:t xml:space="preserve">-procurement solution. </w:t>
      </w:r>
      <w:r w:rsidR="006548BB">
        <w:t>The Secretary of State, Department of Forestry and Department o</w:t>
      </w:r>
      <w:r>
        <w:t xml:space="preserve">f Education began collaborating </w:t>
      </w:r>
      <w:r w:rsidR="006548BB">
        <w:t xml:space="preserve">to form a vision of a joint effort to develop the </w:t>
      </w:r>
      <w:r>
        <w:t>requirements and a request for p</w:t>
      </w:r>
      <w:r w:rsidR="006548BB">
        <w:t>roposal (RFP) that could meet public contracting re</w:t>
      </w:r>
      <w:r>
        <w:t xml:space="preserve">quirements. A project management advisory team </w:t>
      </w:r>
      <w:r w:rsidR="006548BB">
        <w:t>was formed</w:t>
      </w:r>
      <w:r w:rsidR="00B87677">
        <w:t xml:space="preserve"> between the three agencies</w:t>
      </w:r>
      <w:r>
        <w:t xml:space="preserve">, which included </w:t>
      </w:r>
      <w:r w:rsidR="00B87677">
        <w:t xml:space="preserve">a project manager, </w:t>
      </w:r>
      <w:r>
        <w:t xml:space="preserve">a </w:t>
      </w:r>
      <w:r w:rsidR="00B87677">
        <w:t>consultan</w:t>
      </w:r>
      <w:r>
        <w:t xml:space="preserve">t, </w:t>
      </w:r>
      <w:r w:rsidR="00B87677">
        <w:t>and a representative from DAS. Other agencies l</w:t>
      </w:r>
      <w:r>
        <w:t xml:space="preserve">earned about this and wanted to join the effort. The result was nine </w:t>
      </w:r>
      <w:r w:rsidR="00B87677">
        <w:t>agencie</w:t>
      </w:r>
      <w:r>
        <w:t xml:space="preserve">s coming together to pool </w:t>
      </w:r>
      <w:r w:rsidR="00B87677">
        <w:t>resources, knowledge and expertise</w:t>
      </w:r>
      <w:r>
        <w:t>,</w:t>
      </w:r>
      <w:r w:rsidR="00B87677">
        <w:t xml:space="preserve"> with the expected outcome of a solution that would work f</w:t>
      </w:r>
      <w:r>
        <w:t xml:space="preserve">or any state agency in Oregon. An interagency agreement </w:t>
      </w:r>
      <w:r w:rsidR="00B87677">
        <w:t>w</w:t>
      </w:r>
      <w:r>
        <w:t xml:space="preserve">as executed and signed by the nine </w:t>
      </w:r>
      <w:r w:rsidR="00EA42B4">
        <w:t>participants</w:t>
      </w:r>
      <w:r>
        <w:t xml:space="preserve">. </w:t>
      </w:r>
      <w:r w:rsidR="00B87677">
        <w:t>The IAA established roles, responsibi</w:t>
      </w:r>
      <w:r>
        <w:t xml:space="preserve">lities and payment obligations. </w:t>
      </w:r>
      <w:r w:rsidR="00B87677">
        <w:t>A project charter was established</w:t>
      </w:r>
      <w:r>
        <w:t>,</w:t>
      </w:r>
      <w:r w:rsidR="00B87677">
        <w:t xml:space="preserve"> creating the following committees: Executive Sponsor Committee; Steering Committee; and various subcommittees as needed</w:t>
      </w:r>
      <w:r>
        <w:t xml:space="preserve"> as the project moved forward. </w:t>
      </w:r>
      <w:r w:rsidR="00B87677">
        <w:t>Each participating agen</w:t>
      </w:r>
      <w:r>
        <w:t xml:space="preserve">cy contributed funds from </w:t>
      </w:r>
      <w:r w:rsidR="00B87677">
        <w:t>existing</w:t>
      </w:r>
      <w:r>
        <w:t xml:space="preserve"> budgets to fund this project. </w:t>
      </w:r>
      <w:r w:rsidR="00B87677">
        <w:t>The Secretary of State’s</w:t>
      </w:r>
      <w:r>
        <w:t xml:space="preserve"> office</w:t>
      </w:r>
      <w:r w:rsidR="00B87677">
        <w:t xml:space="preserve"> share of the project costs </w:t>
      </w:r>
      <w:r>
        <w:t xml:space="preserve">for OregonBuys was $14,998.50. </w:t>
      </w:r>
      <w:r w:rsidR="00B87677">
        <w:t xml:space="preserve">Since the Department of Forestry is </w:t>
      </w:r>
      <w:r w:rsidR="002E26F9">
        <w:t xml:space="preserve">the </w:t>
      </w:r>
      <w:r w:rsidR="00B87677">
        <w:t>first agency to receive</w:t>
      </w:r>
      <w:r>
        <w:t xml:space="preserve"> approval and funding from the L</w:t>
      </w:r>
      <w:r w:rsidR="00B87677">
        <w:t xml:space="preserve">egislature, the funds for OregonBuys are managed by the Department of Forestry.  </w:t>
      </w:r>
    </w:p>
    <w:p w:rsidR="0017142A" w:rsidRDefault="0017142A" w:rsidP="00E50840">
      <w:pPr>
        <w:spacing w:after="0" w:line="240" w:lineRule="auto"/>
      </w:pPr>
    </w:p>
    <w:p w:rsidR="00DA5F1D" w:rsidRDefault="00154D96" w:rsidP="00E50840">
      <w:pPr>
        <w:spacing w:after="0" w:line="240" w:lineRule="auto"/>
      </w:pPr>
      <w:r>
        <w:t xml:space="preserve">The </w:t>
      </w:r>
      <w:r w:rsidR="003D3204">
        <w:t xml:space="preserve">Department of Forestry </w:t>
      </w:r>
      <w:r w:rsidR="003125FA">
        <w:t>submitted a package, requesting approval and funding of an end-to-end e</w:t>
      </w:r>
      <w:r w:rsidR="00786E49">
        <w:t>-p</w:t>
      </w:r>
      <w:r w:rsidR="003125FA">
        <w:t>rocurement solution</w:t>
      </w:r>
      <w:r>
        <w:t>,</w:t>
      </w:r>
      <w:r w:rsidR="003125FA">
        <w:t xml:space="preserve"> to </w:t>
      </w:r>
      <w:r w:rsidR="003D3204">
        <w:t>the 2015 Legislature</w:t>
      </w:r>
      <w:r w:rsidR="00786E49">
        <w:t xml:space="preserve">. Forestry was </w:t>
      </w:r>
      <w:r w:rsidR="003125FA">
        <w:t>directed</w:t>
      </w:r>
      <w:r w:rsidR="00786E49">
        <w:t xml:space="preserve"> to do additional groundwork – including</w:t>
      </w:r>
      <w:r w:rsidR="003D3204">
        <w:t xml:space="preserve"> assignment of a project manager and development of a detailed business case and foundatio</w:t>
      </w:r>
      <w:r w:rsidR="00786E49">
        <w:t>nal project management documents –</w:t>
      </w:r>
      <w:r w:rsidR="003125FA">
        <w:t xml:space="preserve"> and </w:t>
      </w:r>
      <w:r w:rsidR="00786E49">
        <w:t>return to the 2016 legislative s</w:t>
      </w:r>
      <w:r w:rsidR="003125FA">
        <w:t>ession to reques</w:t>
      </w:r>
      <w:r w:rsidR="00786E49">
        <w:t xml:space="preserve">t approval and funding of the </w:t>
      </w:r>
      <w:r w:rsidR="003125FA">
        <w:t>package</w:t>
      </w:r>
      <w:r w:rsidR="00786E49">
        <w:t xml:space="preserve">. Forestry was </w:t>
      </w:r>
      <w:r w:rsidR="003D3204">
        <w:t>also directed to acquire the services of a quality management services contractor to conduct an initial risk assessment and quality control review of the business case and foundational project management documents</w:t>
      </w:r>
      <w:r w:rsidR="009A5A85">
        <w:t>.</w:t>
      </w:r>
      <w:r w:rsidR="00786E49">
        <w:t xml:space="preserve"> </w:t>
      </w:r>
      <w:r w:rsidR="00D70A75">
        <w:t>Forestry’s package</w:t>
      </w:r>
      <w:r w:rsidR="00B87677">
        <w:t xml:space="preserve"> was approved </w:t>
      </w:r>
      <w:r w:rsidR="002E1DDD">
        <w:t xml:space="preserve">and funded </w:t>
      </w:r>
      <w:r w:rsidR="00786E49">
        <w:t xml:space="preserve">by the 2016 Legislature. The </w:t>
      </w:r>
      <w:r w:rsidR="003D3204">
        <w:t>Department of Forestry</w:t>
      </w:r>
      <w:r w:rsidR="009A5A85">
        <w:t xml:space="preserve"> </w:t>
      </w:r>
      <w:r w:rsidR="00786E49">
        <w:t xml:space="preserve">plans to </w:t>
      </w:r>
      <w:r w:rsidR="0017142A">
        <w:t xml:space="preserve">implement </w:t>
      </w:r>
      <w:r w:rsidR="00786E49">
        <w:t>P</w:t>
      </w:r>
      <w:r w:rsidR="00676321">
        <w:t xml:space="preserve">hase 1 of </w:t>
      </w:r>
      <w:r w:rsidR="0017142A">
        <w:t>the</w:t>
      </w:r>
      <w:r w:rsidR="00BF6165">
        <w:t xml:space="preserve"> selected</w:t>
      </w:r>
      <w:r w:rsidR="003D3204">
        <w:t xml:space="preserve"> </w:t>
      </w:r>
      <w:r w:rsidR="00BA1C0D">
        <w:t xml:space="preserve">end-to-end </w:t>
      </w:r>
      <w:r w:rsidR="00786E49">
        <w:t>e-p</w:t>
      </w:r>
      <w:r w:rsidR="0017142A">
        <w:t>rocurement solution</w:t>
      </w:r>
      <w:r w:rsidR="00BF6165">
        <w:t xml:space="preserve"> </w:t>
      </w:r>
      <w:r w:rsidR="00521B69">
        <w:t>in</w:t>
      </w:r>
      <w:r w:rsidR="003D3204">
        <w:t xml:space="preserve"> the </w:t>
      </w:r>
      <w:r w:rsidR="00D70A75">
        <w:t>201</w:t>
      </w:r>
      <w:r w:rsidR="00521B69">
        <w:t>7-19</w:t>
      </w:r>
      <w:r w:rsidR="00D70A75">
        <w:t xml:space="preserve"> biennium</w:t>
      </w:r>
      <w:r w:rsidR="003D3204">
        <w:t>.</w:t>
      </w:r>
      <w:r w:rsidR="00DA5F1D">
        <w:t xml:space="preserve">  </w:t>
      </w:r>
    </w:p>
    <w:p w:rsidR="00DA5F1D" w:rsidRDefault="00DA5F1D" w:rsidP="00E50840">
      <w:pPr>
        <w:spacing w:after="0" w:line="240" w:lineRule="auto"/>
      </w:pPr>
    </w:p>
    <w:p w:rsidR="0017142A" w:rsidRPr="00AF56D0" w:rsidRDefault="00786E49" w:rsidP="00E50840">
      <w:pPr>
        <w:spacing w:after="0" w:line="240" w:lineRule="auto"/>
      </w:pPr>
      <w:r>
        <w:t xml:space="preserve">The Secretary of State’s office </w:t>
      </w:r>
      <w:r w:rsidR="00EC1252">
        <w:t xml:space="preserve">submitted a </w:t>
      </w:r>
      <w:r w:rsidR="00DA5F1D">
        <w:t xml:space="preserve">policy option package </w:t>
      </w:r>
      <w:r w:rsidR="00792A95">
        <w:t>in its</w:t>
      </w:r>
      <w:r w:rsidR="00DA5F1D">
        <w:t xml:space="preserve"> 2017-19</w:t>
      </w:r>
      <w:r w:rsidR="00937775">
        <w:t xml:space="preserve"> agency request budget for </w:t>
      </w:r>
      <w:r w:rsidR="00792A95">
        <w:t xml:space="preserve">funding </w:t>
      </w:r>
      <w:r w:rsidR="00DA5F1D">
        <w:t xml:space="preserve">to </w:t>
      </w:r>
      <w:r w:rsidR="00AF56D0">
        <w:t>implement</w:t>
      </w:r>
      <w:r w:rsidR="00937775">
        <w:t xml:space="preserve"> the selected e-p</w:t>
      </w:r>
      <w:r w:rsidR="00DA5F1D">
        <w:t>rocurement solution</w:t>
      </w:r>
      <w:r w:rsidR="0016451E">
        <w:t>.</w:t>
      </w:r>
      <w:r w:rsidR="00EC1252">
        <w:t xml:space="preserve"> </w:t>
      </w:r>
      <w:r w:rsidR="0016451E">
        <w:t xml:space="preserve"> T</w:t>
      </w:r>
      <w:r w:rsidR="00EC1252">
        <w:t>he Legislature approved funding of $90,000</w:t>
      </w:r>
      <w:r w:rsidR="00DA5F1D">
        <w:t>.</w:t>
      </w:r>
      <w:r w:rsidR="00937775">
        <w:t xml:space="preserve"> </w:t>
      </w:r>
      <w:r w:rsidR="0016451E">
        <w:t xml:space="preserve"> </w:t>
      </w:r>
      <w:r w:rsidR="00DA5F1D">
        <w:t xml:space="preserve">With guidance from </w:t>
      </w:r>
      <w:r w:rsidR="00937775">
        <w:t xml:space="preserve">the </w:t>
      </w:r>
      <w:r w:rsidR="00DA5F1D">
        <w:t>Department of Forestry</w:t>
      </w:r>
      <w:r w:rsidR="00AF56D0">
        <w:t>,</w:t>
      </w:r>
      <w:r w:rsidR="00DA5F1D">
        <w:t xml:space="preserve"> using their “lessons learned” from </w:t>
      </w:r>
      <w:r w:rsidR="00937775">
        <w:t xml:space="preserve">their </w:t>
      </w:r>
      <w:r w:rsidR="00DA5F1D">
        <w:t>implementation the Secretary of State</w:t>
      </w:r>
      <w:r w:rsidR="00937775">
        <w:t>’s office</w:t>
      </w:r>
      <w:r w:rsidR="00DA5F1D">
        <w:t xml:space="preserve"> </w:t>
      </w:r>
      <w:r w:rsidR="00075FFB">
        <w:t xml:space="preserve">will craft a plan, aka SoSBuys, to commence </w:t>
      </w:r>
      <w:r w:rsidR="00B36CBA">
        <w:t xml:space="preserve">implementing the </w:t>
      </w:r>
      <w:r w:rsidR="00E621C2">
        <w:t>OregonBuys</w:t>
      </w:r>
      <w:r w:rsidR="00B36CBA">
        <w:t xml:space="preserve"> solution.</w:t>
      </w:r>
    </w:p>
    <w:p w:rsidR="00794292" w:rsidRDefault="00794292" w:rsidP="00B07C46">
      <w:pPr>
        <w:pStyle w:val="Heading2"/>
      </w:pPr>
    </w:p>
    <w:p w:rsidR="00874C64" w:rsidRDefault="006F667E" w:rsidP="00B07C46">
      <w:pPr>
        <w:pStyle w:val="Heading2"/>
      </w:pPr>
      <w:bookmarkStart w:id="5" w:name="_Toc468129756"/>
      <w:r>
        <w:t xml:space="preserve">Secretary of State </w:t>
      </w:r>
      <w:r w:rsidR="00874C64">
        <w:t>Legacy Procurement System</w:t>
      </w:r>
      <w:bookmarkEnd w:id="5"/>
    </w:p>
    <w:p w:rsidR="00874C64" w:rsidRDefault="00874C64" w:rsidP="00874C64">
      <w:r>
        <w:t xml:space="preserve">This system description lists the partially manual and partially automated IT </w:t>
      </w:r>
      <w:r w:rsidR="000A7CDF">
        <w:t>tools</w:t>
      </w:r>
      <w:r>
        <w:t xml:space="preserve"> used </w:t>
      </w:r>
      <w:r w:rsidR="00275227">
        <w:t xml:space="preserve">by the </w:t>
      </w:r>
      <w:r w:rsidR="00730719">
        <w:t>Secretary of State</w:t>
      </w:r>
      <w:r w:rsidR="00275227">
        <w:t>’s office.</w:t>
      </w:r>
      <w:r>
        <w:t xml:space="preserve"> </w:t>
      </w:r>
    </w:p>
    <w:p w:rsidR="00874C64" w:rsidRDefault="00874C64" w:rsidP="00874C64">
      <w:pPr>
        <w:pStyle w:val="ListParagraph"/>
        <w:numPr>
          <w:ilvl w:val="0"/>
          <w:numId w:val="4"/>
        </w:numPr>
      </w:pPr>
      <w:r>
        <w:t>Intranet</w:t>
      </w:r>
    </w:p>
    <w:p w:rsidR="00874C64" w:rsidRDefault="00275227" w:rsidP="00874C64">
      <w:pPr>
        <w:pStyle w:val="ListParagraph"/>
        <w:numPr>
          <w:ilvl w:val="1"/>
          <w:numId w:val="4"/>
        </w:numPr>
      </w:pPr>
      <w:r>
        <w:t>Purchase Request d</w:t>
      </w:r>
      <w:r w:rsidR="00874C64">
        <w:t>ocument template in Microsoft Wo</w:t>
      </w:r>
      <w:r>
        <w:t xml:space="preserve">rd format is stored on the agency </w:t>
      </w:r>
      <w:r w:rsidR="00CF26E7">
        <w:t>intranet</w:t>
      </w:r>
      <w:r>
        <w:t>.</w:t>
      </w:r>
    </w:p>
    <w:p w:rsidR="00CC61D0" w:rsidRDefault="00874C64" w:rsidP="00741F58">
      <w:pPr>
        <w:pStyle w:val="ListParagraph"/>
        <w:numPr>
          <w:ilvl w:val="2"/>
          <w:numId w:val="4"/>
        </w:numPr>
      </w:pPr>
      <w:r>
        <w:t>This docum</w:t>
      </w:r>
      <w:r w:rsidR="00275227">
        <w:t xml:space="preserve">ent is downloaded by the end-user </w:t>
      </w:r>
      <w:r>
        <w:t>to ent</w:t>
      </w:r>
      <w:r w:rsidR="00275227">
        <w:t>er purchase r</w:t>
      </w:r>
      <w:r w:rsidR="00CF26E7">
        <w:t>equest information</w:t>
      </w:r>
      <w:r w:rsidR="00275227">
        <w:t>.</w:t>
      </w:r>
    </w:p>
    <w:p w:rsidR="00874C64" w:rsidRDefault="00874C64" w:rsidP="00874C64">
      <w:pPr>
        <w:pStyle w:val="ListParagraph"/>
        <w:numPr>
          <w:ilvl w:val="0"/>
          <w:numId w:val="5"/>
        </w:numPr>
      </w:pPr>
      <w:r>
        <w:t>Email</w:t>
      </w:r>
    </w:p>
    <w:p w:rsidR="00CF26E7" w:rsidRDefault="00CF26E7" w:rsidP="00CF26E7">
      <w:pPr>
        <w:pStyle w:val="ListParagraph"/>
        <w:numPr>
          <w:ilvl w:val="1"/>
          <w:numId w:val="5"/>
        </w:numPr>
      </w:pPr>
      <w:r>
        <w:t xml:space="preserve">Email is used to submit </w:t>
      </w:r>
      <w:r w:rsidR="00275227">
        <w:t xml:space="preserve">the completed </w:t>
      </w:r>
      <w:r>
        <w:t>Purchase Request</w:t>
      </w:r>
      <w:r w:rsidR="00275227">
        <w:t>.</w:t>
      </w:r>
    </w:p>
    <w:p w:rsidR="00E45435" w:rsidRDefault="00E45435" w:rsidP="00E45435">
      <w:pPr>
        <w:pStyle w:val="ListParagraph"/>
        <w:numPr>
          <w:ilvl w:val="1"/>
          <w:numId w:val="5"/>
        </w:numPr>
      </w:pPr>
      <w:r>
        <w:t>Email is used to communicate</w:t>
      </w:r>
      <w:r w:rsidR="002677BB">
        <w:t xml:space="preserve"> to requestor</w:t>
      </w:r>
      <w:r>
        <w:t xml:space="preserve"> approval/rejection of Purchase Request</w:t>
      </w:r>
      <w:r w:rsidR="00275227">
        <w:t>.</w:t>
      </w:r>
    </w:p>
    <w:p w:rsidR="00BB6F9E" w:rsidRDefault="00BB6F9E" w:rsidP="00E45435">
      <w:pPr>
        <w:pStyle w:val="ListParagraph"/>
        <w:numPr>
          <w:ilvl w:val="1"/>
          <w:numId w:val="5"/>
        </w:numPr>
      </w:pPr>
      <w:r>
        <w:t>Email is used to submit approved request for processing</w:t>
      </w:r>
      <w:r w:rsidR="00275227">
        <w:t>.</w:t>
      </w:r>
    </w:p>
    <w:p w:rsidR="00874C64" w:rsidRDefault="00874C64" w:rsidP="00874C64">
      <w:pPr>
        <w:pStyle w:val="ListParagraph"/>
        <w:numPr>
          <w:ilvl w:val="1"/>
          <w:numId w:val="5"/>
        </w:numPr>
      </w:pPr>
      <w:r>
        <w:t>Email is used to communicate Purchase Request information, RFQ</w:t>
      </w:r>
      <w:r w:rsidR="002109D7">
        <w:t>, RFI, RFP, ITB</w:t>
      </w:r>
      <w:r w:rsidR="00CD7B22">
        <w:t xml:space="preserve"> and solicitation </w:t>
      </w:r>
      <w:r w:rsidR="00610C0A">
        <w:t>evaluation documents</w:t>
      </w:r>
      <w:r w:rsidR="00275227">
        <w:t>.</w:t>
      </w:r>
    </w:p>
    <w:p w:rsidR="00CC61D0" w:rsidRDefault="00874C64" w:rsidP="00741F58">
      <w:pPr>
        <w:pStyle w:val="ListParagraph"/>
        <w:numPr>
          <w:ilvl w:val="1"/>
          <w:numId w:val="5"/>
        </w:numPr>
      </w:pPr>
      <w:r>
        <w:t>Email is used to send work-in-progress p</w:t>
      </w:r>
      <w:r w:rsidR="00CF26E7">
        <w:t>urchase documents</w:t>
      </w:r>
      <w:r w:rsidR="00275227">
        <w:t>.</w:t>
      </w:r>
      <w:r w:rsidR="00CF26E7">
        <w:t xml:space="preserve"> </w:t>
      </w:r>
    </w:p>
    <w:p w:rsidR="00874C64" w:rsidRDefault="00874C64" w:rsidP="00874C64">
      <w:pPr>
        <w:pStyle w:val="ListParagraph"/>
        <w:numPr>
          <w:ilvl w:val="0"/>
          <w:numId w:val="6"/>
        </w:numPr>
      </w:pPr>
      <w:r>
        <w:t>No</w:t>
      </w:r>
      <w:r w:rsidR="00275227">
        <w:t>vell network f</w:t>
      </w:r>
      <w:r>
        <w:t>olders</w:t>
      </w:r>
    </w:p>
    <w:p w:rsidR="009E30AA" w:rsidRDefault="00275227" w:rsidP="009E30AA">
      <w:pPr>
        <w:pStyle w:val="ListParagraph"/>
        <w:numPr>
          <w:ilvl w:val="1"/>
          <w:numId w:val="6"/>
        </w:numPr>
      </w:pPr>
      <w:r>
        <w:t>Novell network f</w:t>
      </w:r>
      <w:r w:rsidR="009E30AA">
        <w:t>olders are used to store templates</w:t>
      </w:r>
      <w:r>
        <w:t>.</w:t>
      </w:r>
    </w:p>
    <w:p w:rsidR="00874C64" w:rsidRDefault="00275227" w:rsidP="00874C64">
      <w:pPr>
        <w:pStyle w:val="ListParagraph"/>
        <w:numPr>
          <w:ilvl w:val="1"/>
          <w:numId w:val="6"/>
        </w:numPr>
      </w:pPr>
      <w:r>
        <w:t>Novell network f</w:t>
      </w:r>
      <w:r w:rsidR="00CF26E7">
        <w:t>olders are</w:t>
      </w:r>
      <w:r w:rsidR="00874C64">
        <w:t xml:space="preserve"> used to store </w:t>
      </w:r>
      <w:r w:rsidR="00A60D1C">
        <w:t xml:space="preserve">all </w:t>
      </w:r>
      <w:r w:rsidR="00874C64">
        <w:t>work in progress documents</w:t>
      </w:r>
      <w:r w:rsidR="00A60D1C">
        <w:t xml:space="preserve"> pertaining to the purchase of goods or services.</w:t>
      </w:r>
    </w:p>
    <w:p w:rsidR="00362ADE" w:rsidRDefault="00362ADE" w:rsidP="00362ADE">
      <w:pPr>
        <w:pStyle w:val="ListParagraph"/>
        <w:numPr>
          <w:ilvl w:val="1"/>
          <w:numId w:val="6"/>
        </w:numPr>
      </w:pPr>
      <w:r>
        <w:t>If protest is received</w:t>
      </w:r>
      <w:r w:rsidR="00275227">
        <w:t>,</w:t>
      </w:r>
      <w:r>
        <w:t xml:space="preserve"> it is stored in a Novell network folder </w:t>
      </w:r>
      <w:r w:rsidR="00275227">
        <w:t>with work-in-</w:t>
      </w:r>
      <w:r>
        <w:t>progress documents</w:t>
      </w:r>
      <w:r w:rsidR="00275227">
        <w:t>.</w:t>
      </w:r>
    </w:p>
    <w:p w:rsidR="002D14C5" w:rsidRDefault="002D14C5" w:rsidP="002D14C5">
      <w:pPr>
        <w:pStyle w:val="ListParagraph"/>
        <w:numPr>
          <w:ilvl w:val="1"/>
          <w:numId w:val="6"/>
        </w:numPr>
      </w:pPr>
      <w:r>
        <w:t xml:space="preserve">ProPay log </w:t>
      </w:r>
    </w:p>
    <w:p w:rsidR="00534A27" w:rsidRDefault="00CD7991" w:rsidP="002D14C5">
      <w:pPr>
        <w:pStyle w:val="ListParagraph"/>
        <w:numPr>
          <w:ilvl w:val="2"/>
          <w:numId w:val="6"/>
        </w:numPr>
      </w:pPr>
      <w:r>
        <w:t>ProPay log includes:</w:t>
      </w:r>
    </w:p>
    <w:p w:rsidR="00534A27" w:rsidRDefault="002D14C5" w:rsidP="00534A27">
      <w:pPr>
        <w:pStyle w:val="ListParagraph"/>
        <w:numPr>
          <w:ilvl w:val="3"/>
          <w:numId w:val="6"/>
        </w:numPr>
      </w:pPr>
      <w:r w:rsidRPr="00CD7991">
        <w:t>Date</w:t>
      </w:r>
      <w:r w:rsidR="00534A27">
        <w:t xml:space="preserve"> purchase request is received</w:t>
      </w:r>
      <w:r w:rsidRPr="00CD7991">
        <w:t xml:space="preserve"> </w:t>
      </w:r>
    </w:p>
    <w:p w:rsidR="00534A27" w:rsidRDefault="002D14C5" w:rsidP="00534A27">
      <w:pPr>
        <w:pStyle w:val="ListParagraph"/>
        <w:numPr>
          <w:ilvl w:val="3"/>
          <w:numId w:val="6"/>
        </w:numPr>
      </w:pPr>
      <w:r w:rsidRPr="00CD7991">
        <w:t>Buyer</w:t>
      </w:r>
      <w:r w:rsidR="00534A27">
        <w:t xml:space="preserve"> assigned to transaction</w:t>
      </w:r>
      <w:r w:rsidRPr="00CD7991">
        <w:t xml:space="preserve"> </w:t>
      </w:r>
    </w:p>
    <w:p w:rsidR="00973E3D" w:rsidRDefault="00275227" w:rsidP="00534A27">
      <w:pPr>
        <w:pStyle w:val="ListParagraph"/>
        <w:numPr>
          <w:ilvl w:val="3"/>
          <w:numId w:val="6"/>
        </w:numPr>
      </w:pPr>
      <w:r>
        <w:t xml:space="preserve">Division request </w:t>
      </w:r>
      <w:r w:rsidR="00534A27">
        <w:t xml:space="preserve">originated from </w:t>
      </w:r>
    </w:p>
    <w:p w:rsidR="00CC08A4" w:rsidRDefault="00275227" w:rsidP="00973E3D">
      <w:pPr>
        <w:pStyle w:val="ListParagraph"/>
        <w:numPr>
          <w:ilvl w:val="3"/>
          <w:numId w:val="6"/>
        </w:numPr>
      </w:pPr>
      <w:r>
        <w:t>Type of r</w:t>
      </w:r>
      <w:r w:rsidR="0037285E">
        <w:t xml:space="preserve">equest </w:t>
      </w:r>
      <w:r>
        <w:t>(that is, RFP, RFQ, c</w:t>
      </w:r>
      <w:r w:rsidR="00973E3D">
        <w:t xml:space="preserve">ontract, </w:t>
      </w:r>
      <w:r>
        <w:t>i</w:t>
      </w:r>
      <w:r w:rsidR="00173EE7">
        <w:t xml:space="preserve">nvoice, VISA, purchase order </w:t>
      </w:r>
      <w:r w:rsidR="00EA42B4">
        <w:t>miscellaneous</w:t>
      </w:r>
      <w:r>
        <w:t>, t</w:t>
      </w:r>
      <w:r w:rsidR="0037285E">
        <w:t xml:space="preserve">ravel, </w:t>
      </w:r>
      <w:r w:rsidR="005D1D36">
        <w:t>etc.</w:t>
      </w:r>
      <w:r w:rsidR="00973E3D">
        <w:t>)</w:t>
      </w:r>
      <w:r w:rsidR="002D14C5" w:rsidRPr="00CD7991">
        <w:t xml:space="preserve"> </w:t>
      </w:r>
    </w:p>
    <w:p w:rsidR="00CC08A4" w:rsidRDefault="002D14C5" w:rsidP="00CC08A4">
      <w:pPr>
        <w:pStyle w:val="ListParagraph"/>
        <w:numPr>
          <w:ilvl w:val="3"/>
          <w:numId w:val="6"/>
        </w:numPr>
      </w:pPr>
      <w:r w:rsidRPr="00CD7991">
        <w:t>Number</w:t>
      </w:r>
      <w:r w:rsidR="00275227">
        <w:t xml:space="preserve"> a</w:t>
      </w:r>
      <w:r w:rsidRPr="00CD7991">
        <w:t xml:space="preserve">ssigned </w:t>
      </w:r>
      <w:r w:rsidR="00275227">
        <w:t>to good/service (that is, invoice number, PO number, order number</w:t>
      </w:r>
      <w:r w:rsidR="00CC08A4">
        <w:t xml:space="preserve">, </w:t>
      </w:r>
      <w:r w:rsidR="005D1D36">
        <w:t>etc.</w:t>
      </w:r>
      <w:r w:rsidR="00CC08A4">
        <w:t>)</w:t>
      </w:r>
    </w:p>
    <w:p w:rsidR="00CC08A4" w:rsidRDefault="00275227" w:rsidP="00CC08A4">
      <w:pPr>
        <w:pStyle w:val="ListParagraph"/>
        <w:numPr>
          <w:ilvl w:val="3"/>
          <w:numId w:val="6"/>
        </w:numPr>
      </w:pPr>
      <w:r>
        <w:t>Processed/completed d</w:t>
      </w:r>
      <w:r w:rsidR="00CC08A4">
        <w:t>ate</w:t>
      </w:r>
    </w:p>
    <w:p w:rsidR="00CC08A4" w:rsidRDefault="00275227" w:rsidP="00CC08A4">
      <w:pPr>
        <w:pStyle w:val="ListParagraph"/>
        <w:numPr>
          <w:ilvl w:val="3"/>
          <w:numId w:val="6"/>
        </w:numPr>
      </w:pPr>
      <w:r>
        <w:t>Processing duration in d</w:t>
      </w:r>
      <w:r w:rsidR="00CC08A4">
        <w:t>ays</w:t>
      </w:r>
      <w:r w:rsidR="002D14C5" w:rsidRPr="00CD7991">
        <w:t xml:space="preserve">  </w:t>
      </w:r>
    </w:p>
    <w:p w:rsidR="00CC08A4" w:rsidRDefault="002D14C5" w:rsidP="00CC08A4">
      <w:pPr>
        <w:pStyle w:val="ListParagraph"/>
        <w:numPr>
          <w:ilvl w:val="3"/>
          <w:numId w:val="6"/>
        </w:numPr>
      </w:pPr>
      <w:r w:rsidRPr="00CD7991">
        <w:t>Description</w:t>
      </w:r>
      <w:r w:rsidR="00CC08A4">
        <w:t xml:space="preserve"> of good/service</w:t>
      </w:r>
      <w:r w:rsidRPr="00CD7991">
        <w:t xml:space="preserve"> </w:t>
      </w:r>
    </w:p>
    <w:p w:rsidR="00CC08A4" w:rsidRDefault="00275227" w:rsidP="00CC08A4">
      <w:pPr>
        <w:pStyle w:val="ListParagraph"/>
        <w:numPr>
          <w:ilvl w:val="3"/>
          <w:numId w:val="6"/>
        </w:numPr>
      </w:pPr>
      <w:r>
        <w:t>Vendor n</w:t>
      </w:r>
      <w:r w:rsidR="00CC08A4">
        <w:t>ame</w:t>
      </w:r>
    </w:p>
    <w:p w:rsidR="002D14C5" w:rsidRDefault="00275227" w:rsidP="00CC08A4">
      <w:pPr>
        <w:pStyle w:val="ListParagraph"/>
        <w:numPr>
          <w:ilvl w:val="3"/>
          <w:numId w:val="6"/>
        </w:numPr>
      </w:pPr>
      <w:r>
        <w:t>Date purchased item received and name of r</w:t>
      </w:r>
      <w:r w:rsidR="002D14C5" w:rsidRPr="00CD7991">
        <w:t>eceiver</w:t>
      </w:r>
    </w:p>
    <w:p w:rsidR="002E25FA" w:rsidRDefault="002E25FA" w:rsidP="00CC08A4">
      <w:pPr>
        <w:pStyle w:val="ListParagraph"/>
        <w:numPr>
          <w:ilvl w:val="3"/>
          <w:numId w:val="6"/>
        </w:numPr>
      </w:pPr>
      <w:r>
        <w:t>Accuracy</w:t>
      </w:r>
    </w:p>
    <w:p w:rsidR="002E25FA" w:rsidRDefault="002E25FA" w:rsidP="00CC08A4">
      <w:pPr>
        <w:pStyle w:val="ListParagraph"/>
        <w:numPr>
          <w:ilvl w:val="3"/>
          <w:numId w:val="6"/>
        </w:numPr>
      </w:pPr>
      <w:r>
        <w:t>Savings</w:t>
      </w:r>
    </w:p>
    <w:p w:rsidR="002D6B86" w:rsidRPr="00CD7991" w:rsidRDefault="002D6B86" w:rsidP="00CC08A4">
      <w:pPr>
        <w:pStyle w:val="ListParagraph"/>
        <w:numPr>
          <w:ilvl w:val="3"/>
          <w:numId w:val="6"/>
        </w:numPr>
      </w:pPr>
      <w:r>
        <w:t>Any comments about transaction</w:t>
      </w:r>
    </w:p>
    <w:p w:rsidR="00874C64" w:rsidRDefault="00874C64" w:rsidP="00874C64">
      <w:pPr>
        <w:pStyle w:val="ListParagraph"/>
        <w:numPr>
          <w:ilvl w:val="0"/>
          <w:numId w:val="6"/>
        </w:numPr>
      </w:pPr>
      <w:r>
        <w:t>ORPIN</w:t>
      </w:r>
    </w:p>
    <w:p w:rsidR="007F44F5" w:rsidRDefault="00173EE7" w:rsidP="007F44F5">
      <w:pPr>
        <w:pStyle w:val="ListParagraph"/>
        <w:numPr>
          <w:ilvl w:val="1"/>
          <w:numId w:val="6"/>
        </w:numPr>
      </w:pPr>
      <w:r>
        <w:t>U</w:t>
      </w:r>
      <w:r w:rsidR="007F44F5">
        <w:t>sed to advertise procurement opportunities</w:t>
      </w:r>
      <w:r>
        <w:t>.</w:t>
      </w:r>
    </w:p>
    <w:p w:rsidR="00BA7FBA" w:rsidRDefault="00173EE7" w:rsidP="007F44F5">
      <w:pPr>
        <w:pStyle w:val="ListParagraph"/>
        <w:numPr>
          <w:ilvl w:val="1"/>
          <w:numId w:val="6"/>
        </w:numPr>
      </w:pPr>
      <w:r>
        <w:t>A</w:t>
      </w:r>
      <w:r w:rsidR="00BA7FBA">
        <w:t>lso used to post addenda and question and answers for solicitations and amendments for contracts</w:t>
      </w:r>
      <w:r>
        <w:t>.</w:t>
      </w:r>
    </w:p>
    <w:p w:rsidR="00BA7FBA" w:rsidRDefault="00173EE7" w:rsidP="007F44F5">
      <w:pPr>
        <w:pStyle w:val="ListParagraph"/>
        <w:numPr>
          <w:ilvl w:val="1"/>
          <w:numId w:val="6"/>
        </w:numPr>
      </w:pPr>
      <w:r>
        <w:t xml:space="preserve">Utilized </w:t>
      </w:r>
      <w:r w:rsidR="00BA7FBA">
        <w:t>for publishing time and c</w:t>
      </w:r>
      <w:r>
        <w:t>losing time of a solicitation. T</w:t>
      </w:r>
      <w:r w:rsidR="00BA7FBA">
        <w:t>here is no reminder from</w:t>
      </w:r>
      <w:r>
        <w:t xml:space="preserve"> ORPIN for solicitation closing.</w:t>
      </w:r>
    </w:p>
    <w:p w:rsidR="00874C64" w:rsidRDefault="00173EE7" w:rsidP="00874C64">
      <w:pPr>
        <w:pStyle w:val="ListParagraph"/>
        <w:numPr>
          <w:ilvl w:val="1"/>
          <w:numId w:val="6"/>
        </w:numPr>
      </w:pPr>
      <w:r>
        <w:t>U</w:t>
      </w:r>
      <w:r w:rsidR="00874C64">
        <w:t>sed to post completed procurement documents</w:t>
      </w:r>
      <w:r w:rsidR="00A444C4">
        <w:t xml:space="preserve"> such as</w:t>
      </w:r>
      <w:r w:rsidR="00874C64">
        <w:t xml:space="preserve"> contract award</w:t>
      </w:r>
      <w:r>
        <w:t>.</w:t>
      </w:r>
    </w:p>
    <w:p w:rsidR="00CC61D0" w:rsidRDefault="001C1E31" w:rsidP="00741F58">
      <w:pPr>
        <w:pStyle w:val="ListParagraph"/>
        <w:numPr>
          <w:ilvl w:val="1"/>
          <w:numId w:val="6"/>
        </w:numPr>
      </w:pPr>
      <w:r>
        <w:t>Based on expiration date</w:t>
      </w:r>
      <w:r w:rsidR="004B500F">
        <w:t xml:space="preserve"> manually</w:t>
      </w:r>
      <w:r>
        <w:t xml:space="preserve"> entered into ORPIN, n</w:t>
      </w:r>
      <w:r w:rsidR="00A444C4">
        <w:t>otifications</w:t>
      </w:r>
      <w:r>
        <w:t xml:space="preserve"> are sent via email </w:t>
      </w:r>
      <w:r w:rsidR="00A444C4">
        <w:t xml:space="preserve">that </w:t>
      </w:r>
      <w:r>
        <w:t xml:space="preserve">the </w:t>
      </w:r>
      <w:r w:rsidR="00A444C4">
        <w:t>expiration date of contract and in</w:t>
      </w:r>
      <w:r>
        <w:t>sur</w:t>
      </w:r>
      <w:r w:rsidR="00173EE7">
        <w:t>ance certifications is pending; could be 60, 90, 120 days out.</w:t>
      </w:r>
    </w:p>
    <w:p w:rsidR="00874C64" w:rsidRDefault="00874C64" w:rsidP="00874C64">
      <w:pPr>
        <w:pStyle w:val="ListParagraph"/>
        <w:numPr>
          <w:ilvl w:val="0"/>
          <w:numId w:val="6"/>
        </w:numPr>
      </w:pPr>
      <w:r>
        <w:t>TRIM</w:t>
      </w:r>
    </w:p>
    <w:p w:rsidR="00973B0E" w:rsidRDefault="00173EE7" w:rsidP="0095404D">
      <w:pPr>
        <w:pStyle w:val="ListParagraph"/>
        <w:ind w:left="360"/>
      </w:pPr>
      <w:r>
        <w:t xml:space="preserve">TRIM </w:t>
      </w:r>
      <w:r w:rsidR="00630E6B">
        <w:t>is a sto</w:t>
      </w:r>
      <w:r>
        <w:t xml:space="preserve">rage and records retention repository </w:t>
      </w:r>
      <w:r w:rsidR="00630E6B">
        <w:t xml:space="preserve">used to house </w:t>
      </w:r>
      <w:r w:rsidR="00E2451C">
        <w:t xml:space="preserve">electronic </w:t>
      </w:r>
      <w:r w:rsidR="00630E6B">
        <w:t>documents</w:t>
      </w:r>
      <w:r>
        <w:t xml:space="preserve"> for their lifespan. </w:t>
      </w:r>
      <w:r w:rsidR="00874C64">
        <w:t xml:space="preserve">After a contract is awarded, </w:t>
      </w:r>
      <w:r w:rsidR="00A56DC4">
        <w:t>a</w:t>
      </w:r>
      <w:r w:rsidR="003A3306">
        <w:t>ll pertinent documents, correspon</w:t>
      </w:r>
      <w:r>
        <w:t xml:space="preserve">dence </w:t>
      </w:r>
      <w:r w:rsidR="00A56DC4">
        <w:t>and payment in</w:t>
      </w:r>
      <w:r>
        <w:t>formation is stored in TRIM.</w:t>
      </w:r>
    </w:p>
    <w:p w:rsidR="00874C64" w:rsidRDefault="00A56DC4" w:rsidP="00973B0E">
      <w:pPr>
        <w:pStyle w:val="ListParagraph"/>
        <w:numPr>
          <w:ilvl w:val="2"/>
          <w:numId w:val="6"/>
        </w:numPr>
      </w:pPr>
      <w:r>
        <w:t xml:space="preserve">The </w:t>
      </w:r>
      <w:r w:rsidR="00874C64">
        <w:t xml:space="preserve">workflows that are </w:t>
      </w:r>
      <w:r w:rsidR="00CD7B22">
        <w:t xml:space="preserve">processed </w:t>
      </w:r>
      <w:r w:rsidR="00874C64">
        <w:t xml:space="preserve">through </w:t>
      </w:r>
      <w:r w:rsidR="00CC61D0">
        <w:t>TRIM are:</w:t>
      </w:r>
    </w:p>
    <w:p w:rsidR="003A3306" w:rsidRDefault="003A3306" w:rsidP="00973B0E">
      <w:pPr>
        <w:pStyle w:val="ListParagraph"/>
        <w:numPr>
          <w:ilvl w:val="3"/>
          <w:numId w:val="6"/>
        </w:numPr>
      </w:pPr>
      <w:r>
        <w:t>Contract invoice process</w:t>
      </w:r>
    </w:p>
    <w:p w:rsidR="00A56DC4" w:rsidRDefault="003A3306" w:rsidP="00973B0E">
      <w:pPr>
        <w:pStyle w:val="ListParagraph"/>
        <w:numPr>
          <w:ilvl w:val="3"/>
          <w:numId w:val="6"/>
        </w:numPr>
      </w:pPr>
      <w:r>
        <w:t>PO invoice process</w:t>
      </w:r>
      <w:r w:rsidR="00173EE7">
        <w:t xml:space="preserve"> – one-</w:t>
      </w:r>
      <w:r w:rsidR="0095404D">
        <w:t>time only</w:t>
      </w:r>
    </w:p>
    <w:p w:rsidR="00DC6264" w:rsidRDefault="003A3306" w:rsidP="00741F58">
      <w:pPr>
        <w:pStyle w:val="ListParagraph"/>
        <w:numPr>
          <w:ilvl w:val="3"/>
          <w:numId w:val="6"/>
        </w:numPr>
      </w:pPr>
      <w:r>
        <w:t>Encumbrance request process</w:t>
      </w:r>
    </w:p>
    <w:p w:rsidR="000539EB" w:rsidRDefault="000539EB" w:rsidP="000539EB">
      <w:pPr>
        <w:pStyle w:val="ListParagraph"/>
        <w:numPr>
          <w:ilvl w:val="0"/>
          <w:numId w:val="6"/>
        </w:numPr>
      </w:pPr>
      <w:r>
        <w:t>RSTARS</w:t>
      </w:r>
    </w:p>
    <w:p w:rsidR="000539EB" w:rsidRDefault="007A08E3" w:rsidP="000539EB">
      <w:pPr>
        <w:pStyle w:val="ListParagraph"/>
        <w:numPr>
          <w:ilvl w:val="1"/>
          <w:numId w:val="6"/>
        </w:numPr>
      </w:pPr>
      <w:r>
        <w:t>Encumbrance is set up</w:t>
      </w:r>
      <w:r w:rsidR="00173EE7">
        <w:t xml:space="preserve"> for contracts or PO.</w:t>
      </w:r>
      <w:r>
        <w:t xml:space="preserve"> </w:t>
      </w:r>
    </w:p>
    <w:p w:rsidR="000539EB" w:rsidRDefault="007A08E3" w:rsidP="00741F58">
      <w:pPr>
        <w:pStyle w:val="ListParagraph"/>
        <w:numPr>
          <w:ilvl w:val="2"/>
          <w:numId w:val="6"/>
        </w:numPr>
      </w:pPr>
      <w:r>
        <w:t>Payments can be made through RSTA</w:t>
      </w:r>
      <w:r w:rsidR="00F8705E">
        <w:t>RS to reduce encumbrance amount.</w:t>
      </w:r>
    </w:p>
    <w:p w:rsidR="000539EB" w:rsidRDefault="000539EB" w:rsidP="000539EB">
      <w:pPr>
        <w:pStyle w:val="ListParagraph"/>
        <w:numPr>
          <w:ilvl w:val="0"/>
          <w:numId w:val="6"/>
        </w:numPr>
      </w:pPr>
      <w:r>
        <w:t>ADPICS</w:t>
      </w:r>
    </w:p>
    <w:p w:rsidR="000539EB" w:rsidRDefault="00173EE7" w:rsidP="000539EB">
      <w:pPr>
        <w:pStyle w:val="ListParagraph"/>
        <w:numPr>
          <w:ilvl w:val="1"/>
          <w:numId w:val="6"/>
        </w:numPr>
      </w:pPr>
      <w:r>
        <w:t>U</w:t>
      </w:r>
      <w:r w:rsidR="00C27F94">
        <w:t>sed to process purchase orders a</w:t>
      </w:r>
      <w:r w:rsidR="000539EB">
        <w:t>nd change orders.</w:t>
      </w:r>
    </w:p>
    <w:p w:rsidR="00857E9F" w:rsidRDefault="00173EE7" w:rsidP="000539EB">
      <w:pPr>
        <w:pStyle w:val="ListParagraph"/>
        <w:numPr>
          <w:ilvl w:val="1"/>
          <w:numId w:val="6"/>
        </w:numPr>
      </w:pPr>
      <w:r>
        <w:t>C</w:t>
      </w:r>
      <w:r w:rsidR="00857E9F">
        <w:t>ould be used to receive goods or services made on a purchase order.</w:t>
      </w:r>
    </w:p>
    <w:p w:rsidR="001E7742" w:rsidRDefault="00173EE7" w:rsidP="008D4CBC">
      <w:pPr>
        <w:pStyle w:val="ListParagraph"/>
        <w:numPr>
          <w:ilvl w:val="1"/>
          <w:numId w:val="6"/>
        </w:numPr>
      </w:pPr>
      <w:r>
        <w:t xml:space="preserve">PO </w:t>
      </w:r>
      <w:r w:rsidR="00B01F20">
        <w:t>receiving inf</w:t>
      </w:r>
      <w:r w:rsidR="00EC0FCE">
        <w:t>ormation is entered into ADPICS.</w:t>
      </w:r>
    </w:p>
    <w:p w:rsidR="001E7742" w:rsidRDefault="00B969A6" w:rsidP="00173EE7">
      <w:pPr>
        <w:pStyle w:val="ListParagraph"/>
        <w:numPr>
          <w:ilvl w:val="0"/>
          <w:numId w:val="6"/>
        </w:numPr>
      </w:pPr>
      <w:r>
        <w:t>MANUAL PURCHASE ORDERS</w:t>
      </w:r>
    </w:p>
    <w:p w:rsidR="001E7742" w:rsidRDefault="00B969A6">
      <w:pPr>
        <w:pStyle w:val="ListParagraph"/>
        <w:numPr>
          <w:ilvl w:val="0"/>
          <w:numId w:val="11"/>
        </w:numPr>
      </w:pPr>
      <w:r>
        <w:t>There are occasions where a manual purchase order is created based on a specific circumstance</w:t>
      </w:r>
      <w:r w:rsidR="00E31591">
        <w:t>.</w:t>
      </w:r>
    </w:p>
    <w:p w:rsidR="000539EB" w:rsidRDefault="000539EB" w:rsidP="00874C64">
      <w:pPr>
        <w:pStyle w:val="ListParagraph"/>
        <w:numPr>
          <w:ilvl w:val="0"/>
          <w:numId w:val="6"/>
        </w:numPr>
      </w:pPr>
      <w:r>
        <w:t xml:space="preserve"> Paper document storage</w:t>
      </w:r>
    </w:p>
    <w:p w:rsidR="00874C64" w:rsidRDefault="009A68C2" w:rsidP="000539EB">
      <w:pPr>
        <w:pStyle w:val="ListParagraph"/>
        <w:numPr>
          <w:ilvl w:val="1"/>
          <w:numId w:val="6"/>
        </w:numPr>
      </w:pPr>
      <w:r>
        <w:t>Accounting filing cabinets</w:t>
      </w:r>
      <w:r w:rsidR="00E31591">
        <w:t xml:space="preserve"> are used to store SPOTS </w:t>
      </w:r>
      <w:r w:rsidR="003F4D2A">
        <w:t>card packets.</w:t>
      </w:r>
    </w:p>
    <w:p w:rsidR="003F4D2A" w:rsidRDefault="003F4D2A" w:rsidP="000539EB">
      <w:pPr>
        <w:pStyle w:val="ListParagraph"/>
        <w:numPr>
          <w:ilvl w:val="1"/>
          <w:numId w:val="6"/>
        </w:numPr>
      </w:pPr>
      <w:r>
        <w:t>Active contracts are stored in binders</w:t>
      </w:r>
      <w:r w:rsidR="00C80104">
        <w:t xml:space="preserve"> and moved into TRIM</w:t>
      </w:r>
      <w:r w:rsidR="00E31591">
        <w:t>.</w:t>
      </w:r>
    </w:p>
    <w:p w:rsidR="006F667E" w:rsidRDefault="00E31591" w:rsidP="006F667E">
      <w:r>
        <w:t>The Secretary of State’s office legacy p</w:t>
      </w:r>
      <w:r w:rsidR="006F667E">
        <w:t>rocurement system is buil</w:t>
      </w:r>
      <w:r>
        <w:t xml:space="preserve">t using the above fragmented IT </w:t>
      </w:r>
      <w:r w:rsidR="006F667E">
        <w:t>tools and manual proces</w:t>
      </w:r>
      <w:r>
        <w:t>ses. Because of this, challenges include:</w:t>
      </w:r>
    </w:p>
    <w:p w:rsidR="006F667E" w:rsidRDefault="006F667E" w:rsidP="006F667E">
      <w:pPr>
        <w:pStyle w:val="ListParagraph"/>
        <w:numPr>
          <w:ilvl w:val="0"/>
          <w:numId w:val="8"/>
        </w:numPr>
      </w:pPr>
      <w:r>
        <w:t xml:space="preserve">The procurement process from requisition to contract award to receipt of goods/services to payment is </w:t>
      </w:r>
      <w:r w:rsidR="00E31591">
        <w:t xml:space="preserve">accomplished </w:t>
      </w:r>
      <w:r>
        <w:t>manual</w:t>
      </w:r>
      <w:r w:rsidR="00E31591">
        <w:t>ly</w:t>
      </w:r>
      <w:r>
        <w:t>.</w:t>
      </w:r>
    </w:p>
    <w:p w:rsidR="006F667E" w:rsidRDefault="006F667E" w:rsidP="006F667E">
      <w:pPr>
        <w:pStyle w:val="ListParagraph"/>
        <w:numPr>
          <w:ilvl w:val="0"/>
          <w:numId w:val="8"/>
        </w:numPr>
      </w:pPr>
      <w:r>
        <w:t>Large amount</w:t>
      </w:r>
      <w:r w:rsidR="00827B88">
        <w:t>s</w:t>
      </w:r>
      <w:r>
        <w:t xml:space="preserve"> of data needs to be entered multiple times.</w:t>
      </w:r>
    </w:p>
    <w:p w:rsidR="006F667E" w:rsidRDefault="006F667E" w:rsidP="006F667E">
      <w:pPr>
        <w:pStyle w:val="ListParagraph"/>
        <w:numPr>
          <w:ilvl w:val="0"/>
          <w:numId w:val="8"/>
        </w:numPr>
      </w:pPr>
      <w:r>
        <w:t>Unable to accommodate the internal controls necessary to achi</w:t>
      </w:r>
      <w:r w:rsidR="00E31591">
        <w:t xml:space="preserve">eve a safe level of risk in </w:t>
      </w:r>
      <w:r>
        <w:t>procurements.</w:t>
      </w:r>
    </w:p>
    <w:p w:rsidR="006F667E" w:rsidRDefault="00E31591" w:rsidP="006F667E">
      <w:pPr>
        <w:pStyle w:val="ListParagraph"/>
        <w:numPr>
          <w:ilvl w:val="0"/>
          <w:numId w:val="8"/>
        </w:numPr>
      </w:pPr>
      <w:r>
        <w:t>Procurement-</w:t>
      </w:r>
      <w:r w:rsidR="006F667E">
        <w:t>related workload and the complexity of that work has increased.</w:t>
      </w:r>
    </w:p>
    <w:p w:rsidR="006F667E" w:rsidRDefault="00CD7B22" w:rsidP="006F667E">
      <w:pPr>
        <w:pStyle w:val="ListParagraph"/>
        <w:numPr>
          <w:ilvl w:val="0"/>
          <w:numId w:val="8"/>
        </w:numPr>
      </w:pPr>
      <w:r>
        <w:t>Changes</w:t>
      </w:r>
      <w:r w:rsidR="00C4792B">
        <w:t xml:space="preserve"> and additions </w:t>
      </w:r>
      <w:r>
        <w:t>to the</w:t>
      </w:r>
      <w:r w:rsidR="00827B88">
        <w:t xml:space="preserve"> Oregon Revised Statutes</w:t>
      </w:r>
      <w:r w:rsidR="00C4792B">
        <w:t xml:space="preserve"> related to procurement are usually </w:t>
      </w:r>
      <w:r w:rsidR="006F667E">
        <w:t>addressed through manual workarounds.</w:t>
      </w:r>
    </w:p>
    <w:p w:rsidR="006F667E" w:rsidRDefault="006F667E" w:rsidP="006F667E">
      <w:pPr>
        <w:pStyle w:val="ListParagraph"/>
        <w:numPr>
          <w:ilvl w:val="0"/>
          <w:numId w:val="8"/>
        </w:numPr>
      </w:pPr>
      <w:r>
        <w:t>Unable to strategically plan procurements on an agency level, which generates audit and cost containment concerns.</w:t>
      </w:r>
    </w:p>
    <w:p w:rsidR="00AF6C0E" w:rsidRDefault="000C5020" w:rsidP="00AF6C0E">
      <w:pPr>
        <w:pStyle w:val="Heading1"/>
      </w:pPr>
      <w:bookmarkStart w:id="6" w:name="_Toc468129757"/>
      <w:r>
        <w:t>Problem or Opportunity Definition</w:t>
      </w:r>
      <w:bookmarkEnd w:id="6"/>
    </w:p>
    <w:p w:rsidR="003D3204" w:rsidRDefault="000E327D" w:rsidP="003D3204">
      <w:r>
        <w:t>Secretary of State</w:t>
      </w:r>
      <w:r w:rsidR="00AF6C0E">
        <w:t xml:space="preserve"> </w:t>
      </w:r>
      <w:r w:rsidR="00C27F94">
        <w:t>b</w:t>
      </w:r>
      <w:r w:rsidR="00BE240C">
        <w:t>usiness</w:t>
      </w:r>
      <w:r w:rsidR="00AF6C0E">
        <w:t xml:space="preserve"> processes </w:t>
      </w:r>
      <w:r w:rsidR="00327C67">
        <w:t>related to p</w:t>
      </w:r>
      <w:r>
        <w:t xml:space="preserve">rocurement </w:t>
      </w:r>
      <w:r w:rsidR="00AF6C0E">
        <w:t>are steeped in manual and traditional methods that are inefficient and redundant when considering current operation</w:t>
      </w:r>
      <w:r w:rsidR="00327C67">
        <w:t>al</w:t>
      </w:r>
      <w:r w:rsidR="00AF6C0E">
        <w:t xml:space="preserve"> requirements</w:t>
      </w:r>
      <w:r w:rsidR="00327C67">
        <w:t xml:space="preserve"> and priorities.</w:t>
      </w:r>
      <w:r w:rsidR="00AF6C0E">
        <w:t xml:space="preserve"> </w:t>
      </w:r>
      <w:r w:rsidR="003D3204">
        <w:t>Some of the risks associated with work</w:t>
      </w:r>
      <w:r w:rsidR="00327C67">
        <w:t xml:space="preserve">arounds and manual processes include </w:t>
      </w:r>
      <w:r w:rsidR="003D3204">
        <w:t>possible contract overpayments and expiration of the various insurance cer</w:t>
      </w:r>
      <w:r w:rsidR="00327C67">
        <w:t>tificates and performance bonds</w:t>
      </w:r>
      <w:r w:rsidR="003D3204">
        <w:t xml:space="preserve"> which mitigate the agency’s exposure to risk.</w:t>
      </w:r>
    </w:p>
    <w:p w:rsidR="00741F8D" w:rsidRDefault="007166F4" w:rsidP="007166F4">
      <w:r>
        <w:t xml:space="preserve">Currently, there is no single enterprise solution that meets the business needs of </w:t>
      </w:r>
      <w:r w:rsidR="00327C67">
        <w:t xml:space="preserve">Oregon </w:t>
      </w:r>
      <w:r>
        <w:t xml:space="preserve">state agencies for providing </w:t>
      </w:r>
      <w:r w:rsidR="008C0600">
        <w:t xml:space="preserve">end-to-end </w:t>
      </w:r>
      <w:r w:rsidR="00327C67">
        <w:t xml:space="preserve">procurement services. </w:t>
      </w:r>
      <w:r>
        <w:t xml:space="preserve">As a result, </w:t>
      </w:r>
      <w:r w:rsidR="00327C67">
        <w:t>SoS</w:t>
      </w:r>
      <w:r w:rsidR="00187687">
        <w:t xml:space="preserve">, along with other </w:t>
      </w:r>
      <w:r w:rsidR="00327C67">
        <w:t xml:space="preserve">Oregon </w:t>
      </w:r>
      <w:r>
        <w:t>agencies</w:t>
      </w:r>
      <w:r w:rsidR="00187687">
        <w:t>,</w:t>
      </w:r>
      <w:r w:rsidR="00327C67">
        <w:t xml:space="preserve"> continue to rely on antiquated</w:t>
      </w:r>
      <w:r>
        <w:t xml:space="preserve"> manual processes, which </w:t>
      </w:r>
      <w:r w:rsidR="00327C67">
        <w:t xml:space="preserve">require costly </w:t>
      </w:r>
      <w:r w:rsidR="00187687">
        <w:t xml:space="preserve">workarounds that </w:t>
      </w:r>
      <w:r>
        <w:t>are an inefficient use of</w:t>
      </w:r>
      <w:r w:rsidR="00187687">
        <w:t xml:space="preserve"> staff</w:t>
      </w:r>
      <w:r>
        <w:t xml:space="preserve"> time,</w:t>
      </w:r>
      <w:r w:rsidR="00C539C9">
        <w:t xml:space="preserve"> </w:t>
      </w:r>
      <w:r w:rsidR="00327C67">
        <w:t xml:space="preserve">are </w:t>
      </w:r>
      <w:r>
        <w:t>difficult</w:t>
      </w:r>
      <w:r w:rsidR="00540DBA">
        <w:t xml:space="preserve"> to measure and report on, </w:t>
      </w:r>
      <w:r w:rsidR="00327C67">
        <w:t xml:space="preserve">use a mix of </w:t>
      </w:r>
      <w:r w:rsidR="003E572D">
        <w:t>technologies to track the status of purchase requests from low v</w:t>
      </w:r>
      <w:r w:rsidR="00327C67">
        <w:t>alue to highly complex and high-</w:t>
      </w:r>
      <w:r w:rsidR="003E572D">
        <w:t xml:space="preserve">value contracts, </w:t>
      </w:r>
      <w:r w:rsidR="00327C67">
        <w:t xml:space="preserve">is </w:t>
      </w:r>
      <w:r w:rsidR="00540DBA">
        <w:t xml:space="preserve">confusing and inconsistent for users and vendors, and </w:t>
      </w:r>
      <w:r w:rsidR="00613F83">
        <w:t>impossible</w:t>
      </w:r>
      <w:r w:rsidR="00540DBA">
        <w:t xml:space="preserve"> to</w:t>
      </w:r>
      <w:r w:rsidR="00327C67">
        <w:t xml:space="preserve"> integrate with other systems. </w:t>
      </w:r>
      <w:r w:rsidR="00540DBA">
        <w:t>These manual processes make data collection time consuming</w:t>
      </w:r>
      <w:r w:rsidR="003E572D">
        <w:t>,</w:t>
      </w:r>
      <w:r w:rsidR="00540DBA">
        <w:t xml:space="preserve"> inaccurate</w:t>
      </w:r>
      <w:r w:rsidR="003E572D">
        <w:t xml:space="preserve"> at times</w:t>
      </w:r>
      <w:r w:rsidR="00540DBA">
        <w:t xml:space="preserve">, and </w:t>
      </w:r>
      <w:r w:rsidR="00327C67">
        <w:t xml:space="preserve">difficult </w:t>
      </w:r>
      <w:r w:rsidR="00540DBA">
        <w:t>to create us</w:t>
      </w:r>
      <w:r w:rsidR="00327C67">
        <w:t>eful reports for spend analysis</w:t>
      </w:r>
      <w:r w:rsidR="00A5747C">
        <w:t>.</w:t>
      </w:r>
      <w:r w:rsidR="00327C67">
        <w:t xml:space="preserve"> </w:t>
      </w:r>
      <w:r w:rsidR="009372E3">
        <w:t xml:space="preserve">Multiple data entry points into the fragmented IT tools and </w:t>
      </w:r>
      <w:r w:rsidR="00327C67">
        <w:t xml:space="preserve">traditional </w:t>
      </w:r>
      <w:r w:rsidR="009372E3">
        <w:t xml:space="preserve">processes noted above </w:t>
      </w:r>
      <w:r w:rsidR="00327C67">
        <w:t xml:space="preserve">is both a duplication of effort, </w:t>
      </w:r>
      <w:r w:rsidR="009372E3">
        <w:t>which is</w:t>
      </w:r>
      <w:r w:rsidR="00327C67">
        <w:t xml:space="preserve"> time consuming and inefficient, </w:t>
      </w:r>
      <w:r w:rsidR="009372E3">
        <w:t xml:space="preserve">and creates the increased risk of data entry error </w:t>
      </w:r>
      <w:r w:rsidR="00327C67">
        <w:t xml:space="preserve">due to </w:t>
      </w:r>
      <w:r w:rsidR="009372E3">
        <w:t xml:space="preserve">having to enter the </w:t>
      </w:r>
      <w:r w:rsidR="00224F40">
        <w:t>same information multiple times or overlooking a data point entirely.</w:t>
      </w:r>
    </w:p>
    <w:p w:rsidR="003171F0" w:rsidRDefault="00544F19" w:rsidP="007166F4">
      <w:r>
        <w:t>The need for transparency and reporting to legislative and other rule</w:t>
      </w:r>
      <w:r w:rsidR="00327C67">
        <w:t>-</w:t>
      </w:r>
      <w:r>
        <w:t>making</w:t>
      </w:r>
      <w:r w:rsidR="00327C67">
        <w:t xml:space="preserve"> bodies has increased over the past few years. </w:t>
      </w:r>
      <w:r w:rsidR="00A13225">
        <w:t xml:space="preserve"> </w:t>
      </w:r>
      <w:r w:rsidR="00327C67">
        <w:t xml:space="preserve">SoS </w:t>
      </w:r>
      <w:r>
        <w:t>has not been able to completely me</w:t>
      </w:r>
      <w:r w:rsidR="00327C67">
        <w:t>et these requirements in a cost-</w:t>
      </w:r>
      <w:r>
        <w:t xml:space="preserve">effective, efficient manner due to the archaic </w:t>
      </w:r>
      <w:r w:rsidR="003532A8">
        <w:t>processes</w:t>
      </w:r>
      <w:r>
        <w:t>.</w:t>
      </w:r>
    </w:p>
    <w:p w:rsidR="006536AA" w:rsidRDefault="00327C67" w:rsidP="007166F4">
      <w:r>
        <w:t>V</w:t>
      </w:r>
      <w:r w:rsidR="006536AA">
        <w:t>endors have the ability to email electronic inv</w:t>
      </w:r>
      <w:r>
        <w:t xml:space="preserve">oices to SoS procurement staff. </w:t>
      </w:r>
      <w:r w:rsidR="00690DED">
        <w:t>However, the process from invoice submittal to actual payment is</w:t>
      </w:r>
      <w:r w:rsidR="00484C22">
        <w:t xml:space="preserve"> fragmented due to the lack of an automated purchasing system.  </w:t>
      </w:r>
    </w:p>
    <w:p w:rsidR="000C5020" w:rsidRDefault="000C5020" w:rsidP="000C5020">
      <w:pPr>
        <w:pStyle w:val="Heading1"/>
      </w:pPr>
      <w:bookmarkStart w:id="7" w:name="_Toc468129758"/>
      <w:r>
        <w:t>Alternative Analysis</w:t>
      </w:r>
      <w:bookmarkEnd w:id="7"/>
    </w:p>
    <w:p w:rsidR="006D148D" w:rsidRPr="004B1E46" w:rsidRDefault="006D148D" w:rsidP="004B1E46">
      <w:pPr>
        <w:pStyle w:val="Heading2"/>
      </w:pPr>
      <w:bookmarkStart w:id="8" w:name="_Toc468129759"/>
      <w:r w:rsidRPr="004B1E46">
        <w:t>Overview</w:t>
      </w:r>
      <w:bookmarkEnd w:id="8"/>
    </w:p>
    <w:p w:rsidR="006D148D" w:rsidRPr="006D148D" w:rsidRDefault="006D148D" w:rsidP="00610C0A">
      <w:pPr>
        <w:spacing w:after="0" w:line="240" w:lineRule="auto"/>
      </w:pPr>
      <w:r>
        <w:t xml:space="preserve">This investment will overhaul how </w:t>
      </w:r>
      <w:r w:rsidR="00566ABE">
        <w:t xml:space="preserve">the </w:t>
      </w:r>
      <w:r>
        <w:t>Secretary of State processes and manages contract</w:t>
      </w:r>
      <w:r w:rsidR="009613A6">
        <w:t>s</w:t>
      </w:r>
      <w:r w:rsidR="00017B75">
        <w:t xml:space="preserve"> and procurements</w:t>
      </w:r>
      <w:r>
        <w:t xml:space="preserve"> and makes payments to vendors who hav</w:t>
      </w:r>
      <w:r w:rsidR="00017B75">
        <w:t>e supplied goods and services</w:t>
      </w:r>
      <w:r w:rsidR="005130C0">
        <w:t xml:space="preserve"> via Periscope’s </w:t>
      </w:r>
      <w:r w:rsidR="00C615CC">
        <w:t>eProcurement</w:t>
      </w:r>
      <w:r w:rsidR="005130C0">
        <w:t xml:space="preserve"> solution that was selected and awarded the contract</w:t>
      </w:r>
      <w:r w:rsidR="00017B75">
        <w:t xml:space="preserve">. </w:t>
      </w:r>
      <w:r>
        <w:t>It will allow personnel to enter and view procurement</w:t>
      </w:r>
      <w:r w:rsidR="00017B75">
        <w:t xml:space="preserve">s from requisition to payment. </w:t>
      </w:r>
      <w:r>
        <w:t xml:space="preserve">It will interface with the current statewide </w:t>
      </w:r>
      <w:r w:rsidR="00017B75">
        <w:t xml:space="preserve">systems: </w:t>
      </w:r>
      <w:r>
        <w:t>ORPIN</w:t>
      </w:r>
      <w:r w:rsidR="00017B75">
        <w:t xml:space="preserve">, COBID and SFMA. </w:t>
      </w:r>
      <w:r>
        <w:t xml:space="preserve">It will allow reporting throughout the entire </w:t>
      </w:r>
      <w:r w:rsidR="00566ABE">
        <w:t xml:space="preserve">procurement </w:t>
      </w:r>
      <w:r w:rsidR="00017B75">
        <w:t xml:space="preserve">process. </w:t>
      </w:r>
      <w:r>
        <w:t>It will have the</w:t>
      </w:r>
      <w:r w:rsidR="00017B75">
        <w:t xml:space="preserve"> proper controls in place to ens</w:t>
      </w:r>
      <w:r>
        <w:t>ure effective and efficien</w:t>
      </w:r>
      <w:r w:rsidR="00566ABE">
        <w:t>t</w:t>
      </w:r>
      <w:r>
        <w:t xml:space="preserve"> procurement activities, as</w:t>
      </w:r>
      <w:r w:rsidR="00017B75">
        <w:t xml:space="preserve"> well as reliability for </w:t>
      </w:r>
      <w:r>
        <w:t>financial reporting and compliance with ap</w:t>
      </w:r>
      <w:r w:rsidR="00017B75">
        <w:t xml:space="preserve">plicable laws and regulations. </w:t>
      </w:r>
    </w:p>
    <w:p w:rsidR="000D43FC" w:rsidRPr="000D43FC" w:rsidRDefault="000D43FC" w:rsidP="00AF5A9F">
      <w:pPr>
        <w:pStyle w:val="Heading2"/>
      </w:pPr>
      <w:bookmarkStart w:id="9" w:name="_Toc468129760"/>
      <w:r w:rsidRPr="0066187B">
        <w:t>Alternatives</w:t>
      </w:r>
      <w:bookmarkEnd w:id="9"/>
    </w:p>
    <w:p w:rsidR="003A6184" w:rsidRDefault="003A6184">
      <w:r>
        <w:t>There are two alternatives lined out in this business case:</w:t>
      </w:r>
    </w:p>
    <w:p w:rsidR="003A6184" w:rsidRDefault="003A6184" w:rsidP="003A6184">
      <w:pPr>
        <w:pStyle w:val="ListParagraph"/>
        <w:numPr>
          <w:ilvl w:val="0"/>
          <w:numId w:val="3"/>
        </w:numPr>
      </w:pPr>
      <w:r>
        <w:t xml:space="preserve">Business as usual – continuing with </w:t>
      </w:r>
      <w:r w:rsidR="002F3A74">
        <w:t>l</w:t>
      </w:r>
      <w:r w:rsidR="00E14851">
        <w:t>egacy</w:t>
      </w:r>
      <w:r>
        <w:t xml:space="preserve"> procurement processes.</w:t>
      </w:r>
    </w:p>
    <w:p w:rsidR="003A6184" w:rsidRDefault="002F3A74" w:rsidP="003A6184">
      <w:pPr>
        <w:pStyle w:val="ListParagraph"/>
        <w:numPr>
          <w:ilvl w:val="0"/>
          <w:numId w:val="3"/>
        </w:numPr>
      </w:pPr>
      <w:r>
        <w:t>A new “software as a service” solution.</w:t>
      </w:r>
    </w:p>
    <w:p w:rsidR="0066187B" w:rsidRPr="00ED01CA" w:rsidRDefault="009319F1" w:rsidP="00874C1E">
      <w:pPr>
        <w:pStyle w:val="Heading1"/>
      </w:pPr>
      <w:bookmarkStart w:id="10" w:name="_Toc468129761"/>
      <w:r>
        <w:t xml:space="preserve">Alternative: </w:t>
      </w:r>
      <w:r w:rsidR="0066187B" w:rsidRPr="00ED01CA">
        <w:t>Business as usual</w:t>
      </w:r>
      <w:bookmarkEnd w:id="10"/>
    </w:p>
    <w:p w:rsidR="00D03EC4" w:rsidRDefault="0066187B" w:rsidP="0066187B">
      <w:r>
        <w:t xml:space="preserve">In this case, </w:t>
      </w:r>
      <w:r w:rsidR="002F3A74">
        <w:t xml:space="preserve">the </w:t>
      </w:r>
      <w:r>
        <w:t>Secretary of State</w:t>
      </w:r>
      <w:r w:rsidR="002F3A74">
        <w:t>’s office</w:t>
      </w:r>
      <w:r>
        <w:t xml:space="preserve"> would continue operating at a busine</w:t>
      </w:r>
      <w:r w:rsidR="002F3A74">
        <w:t>ss-as-</w:t>
      </w:r>
      <w:r>
        <w:t>usual capacity.</w:t>
      </w:r>
      <w:r w:rsidR="002F3A74">
        <w:t xml:space="preserve"> </w:t>
      </w:r>
      <w:r w:rsidR="00D03EC4">
        <w:t>No procurement processes would be changed.</w:t>
      </w:r>
    </w:p>
    <w:p w:rsidR="000D43FC" w:rsidRPr="008D7B89" w:rsidRDefault="000D43FC" w:rsidP="00874C1E">
      <w:pPr>
        <w:pStyle w:val="Heading2"/>
      </w:pPr>
      <w:bookmarkStart w:id="11" w:name="_Toc468129762"/>
      <w:r w:rsidRPr="008D7B89">
        <w:t>Assumptions</w:t>
      </w:r>
      <w:bookmarkEnd w:id="11"/>
    </w:p>
    <w:p w:rsidR="003B75DF" w:rsidRDefault="003B75DF" w:rsidP="000D43FC">
      <w:r>
        <w:t>The following assumptions have been made in conjunctio</w:t>
      </w:r>
      <w:r w:rsidR="002F3A74">
        <w:t xml:space="preserve">n with this alternative. </w:t>
      </w:r>
      <w:r>
        <w:t xml:space="preserve">Each </w:t>
      </w:r>
      <w:r w:rsidR="002F3A74">
        <w:t xml:space="preserve">assumption </w:t>
      </w:r>
      <w:r>
        <w:t>h</w:t>
      </w:r>
      <w:r w:rsidR="002F3A74">
        <w:t xml:space="preserve">as been assigned a high, medium or low sensitivity factor, </w:t>
      </w:r>
      <w:r>
        <w:t xml:space="preserve">which indicates the probability to which the assumption would cause </w:t>
      </w:r>
      <w:r w:rsidR="002F3A74">
        <w:t>p</w:t>
      </w:r>
      <w:r w:rsidR="00A43E58">
        <w:t>rocurement</w:t>
      </w:r>
      <w:r>
        <w:t xml:space="preserve"> pro</w:t>
      </w:r>
      <w:r w:rsidR="00A43E58">
        <w:t>cesses</w:t>
      </w:r>
      <w:r w:rsidR="002F3A74">
        <w:t xml:space="preserve"> to fail or incur delays</w:t>
      </w:r>
      <w:r>
        <w:t xml:space="preserve"> if the assumption turned out not to be true.</w:t>
      </w:r>
    </w:p>
    <w:tbl>
      <w:tblPr>
        <w:tblW w:w="108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0"/>
        <w:gridCol w:w="1380"/>
        <w:gridCol w:w="1530"/>
        <w:gridCol w:w="1275"/>
      </w:tblGrid>
      <w:tr w:rsidR="00C14BF4" w:rsidTr="00C14BF4">
        <w:trPr>
          <w:trHeight w:val="367"/>
        </w:trPr>
        <w:tc>
          <w:tcPr>
            <w:tcW w:w="6630" w:type="dxa"/>
            <w:vMerge w:val="restart"/>
          </w:tcPr>
          <w:p w:rsidR="00C14BF4" w:rsidRDefault="00C14BF4" w:rsidP="00C14BF4"/>
          <w:p w:rsidR="00C14BF4" w:rsidRPr="00C14BF4" w:rsidRDefault="00C14BF4" w:rsidP="00C14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</w:t>
            </w:r>
          </w:p>
        </w:tc>
        <w:tc>
          <w:tcPr>
            <w:tcW w:w="4185" w:type="dxa"/>
            <w:gridSpan w:val="3"/>
          </w:tcPr>
          <w:p w:rsidR="00C14BF4" w:rsidRPr="00C14BF4" w:rsidRDefault="00C14BF4" w:rsidP="00C14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Sensitivity Factor</w:t>
            </w:r>
          </w:p>
        </w:tc>
      </w:tr>
      <w:tr w:rsidR="00C14BF4" w:rsidTr="006F22A1">
        <w:trPr>
          <w:trHeight w:val="413"/>
        </w:trPr>
        <w:tc>
          <w:tcPr>
            <w:tcW w:w="6630" w:type="dxa"/>
            <w:vMerge/>
          </w:tcPr>
          <w:p w:rsidR="00C14BF4" w:rsidRDefault="00C14BF4" w:rsidP="00C14BF4"/>
        </w:tc>
        <w:tc>
          <w:tcPr>
            <w:tcW w:w="4185" w:type="dxa"/>
            <w:gridSpan w:val="3"/>
          </w:tcPr>
          <w:p w:rsidR="00C14BF4" w:rsidRDefault="00C14BF4" w:rsidP="00C14BF4">
            <w:pPr>
              <w:tabs>
                <w:tab w:val="left" w:pos="210"/>
              </w:tabs>
              <w:ind w:left="-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High</w:t>
            </w:r>
            <w:r>
              <w:tab/>
              <w:t xml:space="preserve">                </w:t>
            </w:r>
            <w:r>
              <w:rPr>
                <w:b/>
                <w:sz w:val="24"/>
                <w:szCs w:val="24"/>
              </w:rPr>
              <w:t>Medium              Low</w:t>
            </w:r>
          </w:p>
        </w:tc>
      </w:tr>
      <w:tr w:rsidR="00C14BF4" w:rsidTr="006F22A1">
        <w:trPr>
          <w:trHeight w:val="638"/>
        </w:trPr>
        <w:tc>
          <w:tcPr>
            <w:tcW w:w="6630" w:type="dxa"/>
          </w:tcPr>
          <w:p w:rsidR="00C14BF4" w:rsidRDefault="005B7ACB" w:rsidP="005B7ACB">
            <w:pPr>
              <w:ind w:left="-15"/>
            </w:pPr>
            <w:r>
              <w:t>From request to procurement, controls are in place to ensure proper reviews</w:t>
            </w:r>
            <w:r w:rsidR="002F3A74">
              <w:t>,</w:t>
            </w:r>
            <w:r>
              <w:t xml:space="preserve"> and approvals are obtained.</w:t>
            </w:r>
          </w:p>
        </w:tc>
        <w:tc>
          <w:tcPr>
            <w:tcW w:w="1380" w:type="dxa"/>
          </w:tcPr>
          <w:p w:rsidR="00C14BF4" w:rsidRDefault="00A33EFC" w:rsidP="00A33EFC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530" w:type="dxa"/>
          </w:tcPr>
          <w:p w:rsidR="00C14BF4" w:rsidRDefault="00C14BF4" w:rsidP="00A33EFC">
            <w:pPr>
              <w:jc w:val="center"/>
            </w:pPr>
          </w:p>
          <w:p w:rsidR="00C14BF4" w:rsidRPr="00C14BF4" w:rsidRDefault="00C14BF4" w:rsidP="00A33EFC">
            <w:pPr>
              <w:jc w:val="center"/>
            </w:pPr>
          </w:p>
        </w:tc>
        <w:tc>
          <w:tcPr>
            <w:tcW w:w="1275" w:type="dxa"/>
          </w:tcPr>
          <w:p w:rsidR="00C14BF4" w:rsidRDefault="00C14BF4" w:rsidP="00A33EFC">
            <w:pPr>
              <w:ind w:left="-15"/>
              <w:jc w:val="center"/>
            </w:pPr>
          </w:p>
        </w:tc>
      </w:tr>
      <w:tr w:rsidR="00C14BF4" w:rsidTr="00C14BF4">
        <w:trPr>
          <w:trHeight w:val="405"/>
        </w:trPr>
        <w:tc>
          <w:tcPr>
            <w:tcW w:w="6630" w:type="dxa"/>
          </w:tcPr>
          <w:p w:rsidR="00C14BF4" w:rsidRDefault="002F3A74" w:rsidP="00C14BF4">
            <w:pPr>
              <w:ind w:left="-15"/>
            </w:pPr>
            <w:r>
              <w:t xml:space="preserve">SoS </w:t>
            </w:r>
            <w:r w:rsidR="00AE58B2">
              <w:t>will be able to operate at the same capacity used for estimating the “business as usual” case model if subject to budget reductions.</w:t>
            </w:r>
          </w:p>
        </w:tc>
        <w:tc>
          <w:tcPr>
            <w:tcW w:w="1380" w:type="dxa"/>
          </w:tcPr>
          <w:p w:rsidR="00C14BF4" w:rsidRDefault="00A33EFC" w:rsidP="00A33EFC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530" w:type="dxa"/>
          </w:tcPr>
          <w:p w:rsidR="00C14BF4" w:rsidRDefault="00C14BF4" w:rsidP="00A33EFC">
            <w:pPr>
              <w:ind w:left="-15"/>
              <w:jc w:val="center"/>
            </w:pPr>
          </w:p>
        </w:tc>
        <w:tc>
          <w:tcPr>
            <w:tcW w:w="1275" w:type="dxa"/>
          </w:tcPr>
          <w:p w:rsidR="00C14BF4" w:rsidRDefault="00C14BF4" w:rsidP="00A33EFC">
            <w:pPr>
              <w:ind w:left="-15"/>
              <w:jc w:val="center"/>
            </w:pPr>
          </w:p>
        </w:tc>
      </w:tr>
      <w:tr w:rsidR="00C14BF4" w:rsidTr="00C14BF4">
        <w:trPr>
          <w:trHeight w:val="330"/>
        </w:trPr>
        <w:tc>
          <w:tcPr>
            <w:tcW w:w="6630" w:type="dxa"/>
          </w:tcPr>
          <w:p w:rsidR="00C14BF4" w:rsidRDefault="00AE58B2" w:rsidP="00C14BF4">
            <w:pPr>
              <w:ind w:left="-15"/>
            </w:pPr>
            <w:r>
              <w:t>Purchasing staf</w:t>
            </w:r>
            <w:r w:rsidR="002F3A74">
              <w:t>f turn</w:t>
            </w:r>
            <w:r>
              <w:t>over resulting in a loss of “institutional knowledge”</w:t>
            </w:r>
            <w:r w:rsidR="00CA1D26">
              <w:t xml:space="preserve"> that could cause</w:t>
            </w:r>
            <w:r w:rsidR="002F3A74">
              <w:t xml:space="preserve"> potential </w:t>
            </w:r>
            <w:r>
              <w:t xml:space="preserve">gaps in the manual processes. </w:t>
            </w:r>
          </w:p>
        </w:tc>
        <w:tc>
          <w:tcPr>
            <w:tcW w:w="1380" w:type="dxa"/>
          </w:tcPr>
          <w:p w:rsidR="00C14BF4" w:rsidRDefault="00A33EFC" w:rsidP="00A33EFC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530" w:type="dxa"/>
          </w:tcPr>
          <w:p w:rsidR="00C14BF4" w:rsidRDefault="00C14BF4" w:rsidP="00A33EFC">
            <w:pPr>
              <w:ind w:left="-15"/>
              <w:jc w:val="center"/>
            </w:pPr>
          </w:p>
        </w:tc>
        <w:tc>
          <w:tcPr>
            <w:tcW w:w="1275" w:type="dxa"/>
          </w:tcPr>
          <w:p w:rsidR="00C14BF4" w:rsidRDefault="00C14BF4" w:rsidP="00A33EFC">
            <w:pPr>
              <w:ind w:left="-15"/>
              <w:jc w:val="center"/>
            </w:pPr>
          </w:p>
        </w:tc>
      </w:tr>
      <w:tr w:rsidR="00C14BF4" w:rsidTr="00C14BF4">
        <w:trPr>
          <w:trHeight w:val="300"/>
        </w:trPr>
        <w:tc>
          <w:tcPr>
            <w:tcW w:w="6630" w:type="dxa"/>
          </w:tcPr>
          <w:p w:rsidR="00C14BF4" w:rsidRDefault="002F3A74" w:rsidP="00C14BF4">
            <w:pPr>
              <w:ind w:left="-15"/>
            </w:pPr>
            <w:r>
              <w:t xml:space="preserve">SoS </w:t>
            </w:r>
            <w:r w:rsidR="00453359">
              <w:t xml:space="preserve">will need to respond </w:t>
            </w:r>
            <w:r>
              <w:t>to information requests quicker</w:t>
            </w:r>
            <w:r w:rsidR="00453359">
              <w:t xml:space="preserve"> and with greater level of detail in the future without the ability to add additional capacity.</w:t>
            </w:r>
          </w:p>
        </w:tc>
        <w:tc>
          <w:tcPr>
            <w:tcW w:w="1380" w:type="dxa"/>
          </w:tcPr>
          <w:p w:rsidR="00C14BF4" w:rsidRDefault="00C14BF4" w:rsidP="00A33EFC">
            <w:pPr>
              <w:ind w:left="-15"/>
              <w:jc w:val="center"/>
            </w:pPr>
          </w:p>
        </w:tc>
        <w:tc>
          <w:tcPr>
            <w:tcW w:w="1530" w:type="dxa"/>
          </w:tcPr>
          <w:p w:rsidR="00C14BF4" w:rsidRDefault="00A33EFC" w:rsidP="00A33EFC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275" w:type="dxa"/>
          </w:tcPr>
          <w:p w:rsidR="00C14BF4" w:rsidRDefault="00C14BF4" w:rsidP="00A33EFC">
            <w:pPr>
              <w:ind w:left="-15"/>
              <w:jc w:val="center"/>
            </w:pPr>
          </w:p>
        </w:tc>
      </w:tr>
      <w:tr w:rsidR="00C14BF4" w:rsidTr="00C14BF4">
        <w:trPr>
          <w:trHeight w:val="270"/>
        </w:trPr>
        <w:tc>
          <w:tcPr>
            <w:tcW w:w="6630" w:type="dxa"/>
          </w:tcPr>
          <w:p w:rsidR="00C14BF4" w:rsidRDefault="002B44F8" w:rsidP="002B44F8">
            <w:r>
              <w:t xml:space="preserve">It is not an efficient use of staff time entering data in multiple data entry points.   </w:t>
            </w:r>
          </w:p>
        </w:tc>
        <w:tc>
          <w:tcPr>
            <w:tcW w:w="1380" w:type="dxa"/>
          </w:tcPr>
          <w:p w:rsidR="00C14BF4" w:rsidRDefault="00A33EFC" w:rsidP="00A33EFC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530" w:type="dxa"/>
          </w:tcPr>
          <w:p w:rsidR="00C14BF4" w:rsidRDefault="00C14BF4" w:rsidP="00A33EFC">
            <w:pPr>
              <w:ind w:left="-15"/>
              <w:jc w:val="center"/>
            </w:pPr>
          </w:p>
        </w:tc>
        <w:tc>
          <w:tcPr>
            <w:tcW w:w="1275" w:type="dxa"/>
          </w:tcPr>
          <w:p w:rsidR="00C14BF4" w:rsidRDefault="00C14BF4" w:rsidP="00A33EFC">
            <w:pPr>
              <w:ind w:left="-15"/>
              <w:jc w:val="center"/>
            </w:pPr>
          </w:p>
        </w:tc>
      </w:tr>
    </w:tbl>
    <w:p w:rsidR="00C14BF4" w:rsidRPr="008D7B89" w:rsidRDefault="00C14BF4" w:rsidP="00936E55">
      <w:pPr>
        <w:pStyle w:val="Heading2"/>
      </w:pPr>
      <w:bookmarkStart w:id="12" w:name="_Toc468129763"/>
      <w:r w:rsidRPr="008D7B89">
        <w:t>Risks</w:t>
      </w:r>
      <w:bookmarkEnd w:id="12"/>
    </w:p>
    <w:p w:rsidR="00C14BF4" w:rsidRDefault="00C14BF4" w:rsidP="0066187B">
      <w:r>
        <w:t>The following is a list of the risks that may be encountered, as well as their relative probability, and perceived impact on a high</w:t>
      </w:r>
      <w:r w:rsidR="00031606">
        <w:t xml:space="preserve">-medium-low rating schema.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2065"/>
        <w:gridCol w:w="2155"/>
      </w:tblGrid>
      <w:tr w:rsidR="0007009E" w:rsidTr="00086093">
        <w:tc>
          <w:tcPr>
            <w:tcW w:w="6570" w:type="dxa"/>
          </w:tcPr>
          <w:p w:rsidR="0007009E" w:rsidRPr="0007009E" w:rsidRDefault="0007009E" w:rsidP="0066187B">
            <w:pPr>
              <w:rPr>
                <w:b/>
              </w:rPr>
            </w:pPr>
            <w:r>
              <w:rPr>
                <w:b/>
              </w:rPr>
              <w:t>Risk Description</w:t>
            </w:r>
          </w:p>
        </w:tc>
        <w:tc>
          <w:tcPr>
            <w:tcW w:w="2065" w:type="dxa"/>
          </w:tcPr>
          <w:p w:rsidR="0007009E" w:rsidRPr="0007009E" w:rsidRDefault="0007009E" w:rsidP="00086093">
            <w:pPr>
              <w:jc w:val="center"/>
              <w:rPr>
                <w:b/>
              </w:rPr>
            </w:pPr>
            <w:r>
              <w:rPr>
                <w:b/>
              </w:rPr>
              <w:t>Probability</w:t>
            </w:r>
          </w:p>
        </w:tc>
        <w:tc>
          <w:tcPr>
            <w:tcW w:w="2155" w:type="dxa"/>
          </w:tcPr>
          <w:p w:rsidR="0007009E" w:rsidRPr="0007009E" w:rsidRDefault="0007009E" w:rsidP="00086093">
            <w:pPr>
              <w:jc w:val="center"/>
              <w:rPr>
                <w:b/>
              </w:rPr>
            </w:pPr>
            <w:r w:rsidRPr="0007009E">
              <w:rPr>
                <w:b/>
              </w:rPr>
              <w:t>Impact</w:t>
            </w:r>
          </w:p>
        </w:tc>
      </w:tr>
      <w:tr w:rsidR="0007009E" w:rsidTr="00086093">
        <w:tc>
          <w:tcPr>
            <w:tcW w:w="6570" w:type="dxa"/>
          </w:tcPr>
          <w:p w:rsidR="0007009E" w:rsidRDefault="00477AF7" w:rsidP="0066187B">
            <w:r>
              <w:t>Ongoing manual workarounds that have the potential to increase the risk of error</w:t>
            </w:r>
            <w:r w:rsidR="00031606">
              <w:t>.</w:t>
            </w:r>
          </w:p>
        </w:tc>
        <w:tc>
          <w:tcPr>
            <w:tcW w:w="2065" w:type="dxa"/>
          </w:tcPr>
          <w:p w:rsidR="0007009E" w:rsidRDefault="00086093" w:rsidP="00086093">
            <w:pPr>
              <w:jc w:val="center"/>
            </w:pPr>
            <w:r>
              <w:t>High</w:t>
            </w:r>
          </w:p>
        </w:tc>
        <w:tc>
          <w:tcPr>
            <w:tcW w:w="2155" w:type="dxa"/>
          </w:tcPr>
          <w:p w:rsidR="0007009E" w:rsidRDefault="00086093" w:rsidP="00086093">
            <w:pPr>
              <w:jc w:val="center"/>
            </w:pPr>
            <w:r>
              <w:t>High</w:t>
            </w:r>
          </w:p>
        </w:tc>
      </w:tr>
      <w:tr w:rsidR="0007009E" w:rsidTr="00086093">
        <w:tc>
          <w:tcPr>
            <w:tcW w:w="6570" w:type="dxa"/>
          </w:tcPr>
          <w:p w:rsidR="0007009E" w:rsidRDefault="00477AF7" w:rsidP="0066187B">
            <w:r>
              <w:t>Continuation of inefficient business processes and data duplication</w:t>
            </w:r>
            <w:r w:rsidR="00031606">
              <w:t>.</w:t>
            </w:r>
          </w:p>
        </w:tc>
        <w:tc>
          <w:tcPr>
            <w:tcW w:w="2065" w:type="dxa"/>
          </w:tcPr>
          <w:p w:rsidR="0007009E" w:rsidRDefault="00086093" w:rsidP="00086093">
            <w:pPr>
              <w:jc w:val="center"/>
            </w:pPr>
            <w:r>
              <w:t>High</w:t>
            </w:r>
          </w:p>
        </w:tc>
        <w:tc>
          <w:tcPr>
            <w:tcW w:w="2155" w:type="dxa"/>
          </w:tcPr>
          <w:p w:rsidR="0007009E" w:rsidRDefault="00086093" w:rsidP="00086093">
            <w:pPr>
              <w:jc w:val="center"/>
            </w:pPr>
            <w:r>
              <w:t>High</w:t>
            </w:r>
          </w:p>
        </w:tc>
      </w:tr>
      <w:tr w:rsidR="0007009E" w:rsidTr="00086093">
        <w:tc>
          <w:tcPr>
            <w:tcW w:w="6570" w:type="dxa"/>
          </w:tcPr>
          <w:p w:rsidR="0007009E" w:rsidRDefault="00477AF7" w:rsidP="0066187B">
            <w:r>
              <w:t>Business analysis and reporting capabilities remain difficult and time consuming</w:t>
            </w:r>
            <w:r w:rsidR="00031606">
              <w:t>.</w:t>
            </w:r>
          </w:p>
        </w:tc>
        <w:tc>
          <w:tcPr>
            <w:tcW w:w="2065" w:type="dxa"/>
          </w:tcPr>
          <w:p w:rsidR="0007009E" w:rsidRDefault="00086093" w:rsidP="00086093">
            <w:pPr>
              <w:jc w:val="center"/>
            </w:pPr>
            <w:r>
              <w:t>High</w:t>
            </w:r>
          </w:p>
        </w:tc>
        <w:tc>
          <w:tcPr>
            <w:tcW w:w="2155" w:type="dxa"/>
          </w:tcPr>
          <w:p w:rsidR="0007009E" w:rsidRDefault="00086093" w:rsidP="00086093">
            <w:pPr>
              <w:jc w:val="center"/>
            </w:pPr>
            <w:r>
              <w:t>High</w:t>
            </w:r>
          </w:p>
        </w:tc>
      </w:tr>
      <w:tr w:rsidR="0007009E" w:rsidTr="00086093">
        <w:tc>
          <w:tcPr>
            <w:tcW w:w="6570" w:type="dxa"/>
          </w:tcPr>
          <w:p w:rsidR="0007009E" w:rsidRDefault="00086093" w:rsidP="0066187B">
            <w:r>
              <w:t>Reduced staff productivity</w:t>
            </w:r>
            <w:r w:rsidR="00031606">
              <w:t>.</w:t>
            </w:r>
          </w:p>
        </w:tc>
        <w:tc>
          <w:tcPr>
            <w:tcW w:w="2065" w:type="dxa"/>
          </w:tcPr>
          <w:p w:rsidR="0007009E" w:rsidRDefault="00086093" w:rsidP="00086093">
            <w:pPr>
              <w:jc w:val="center"/>
            </w:pPr>
            <w:r>
              <w:t>High</w:t>
            </w:r>
          </w:p>
        </w:tc>
        <w:tc>
          <w:tcPr>
            <w:tcW w:w="2155" w:type="dxa"/>
          </w:tcPr>
          <w:p w:rsidR="0007009E" w:rsidRDefault="00086093" w:rsidP="00086093">
            <w:pPr>
              <w:jc w:val="center"/>
            </w:pPr>
            <w:r>
              <w:t>High</w:t>
            </w:r>
          </w:p>
        </w:tc>
      </w:tr>
    </w:tbl>
    <w:p w:rsidR="00C14BF4" w:rsidRPr="008D7B89" w:rsidRDefault="00BA1F47" w:rsidP="00936E55">
      <w:pPr>
        <w:pStyle w:val="Heading2"/>
      </w:pPr>
      <w:bookmarkStart w:id="13" w:name="_Toc468129764"/>
      <w:r w:rsidRPr="008D7B89">
        <w:t>Cost</w:t>
      </w:r>
      <w:bookmarkEnd w:id="13"/>
    </w:p>
    <w:p w:rsidR="00BA1F47" w:rsidRDefault="00783534" w:rsidP="0066187B">
      <w:r>
        <w:t>The costs of maintaining the “business as usual” model is</w:t>
      </w:r>
      <w:r w:rsidR="00031606">
        <w:t xml:space="preserve"> the continued cost of the work</w:t>
      </w:r>
      <w:r>
        <w:t xml:space="preserve">arounds and controls that have been put in place that increase the workload and decrease the effectiveness and efficiency of the </w:t>
      </w:r>
      <w:r w:rsidR="00EA0C2E">
        <w:t>purchasing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4E9A" w:rsidTr="00504E9A">
        <w:tc>
          <w:tcPr>
            <w:tcW w:w="2158" w:type="dxa"/>
          </w:tcPr>
          <w:p w:rsidR="00A26737" w:rsidRDefault="00A26737" w:rsidP="00A26737">
            <w:pPr>
              <w:jc w:val="center"/>
              <w:rPr>
                <w:b/>
              </w:rPr>
            </w:pPr>
          </w:p>
          <w:p w:rsidR="00A26737" w:rsidRDefault="00A26737" w:rsidP="00A2673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0CDB">
              <w:rPr>
                <w:b/>
              </w:rPr>
              <w:t>7</w:t>
            </w:r>
            <w:r>
              <w:rPr>
                <w:b/>
              </w:rPr>
              <w:t>-1</w:t>
            </w:r>
            <w:r w:rsidR="00BC0CDB">
              <w:rPr>
                <w:b/>
              </w:rPr>
              <w:t>9</w:t>
            </w:r>
            <w:r>
              <w:rPr>
                <w:b/>
              </w:rPr>
              <w:t xml:space="preserve"> biennium</w:t>
            </w:r>
          </w:p>
          <w:p w:rsidR="00504E9A" w:rsidRPr="00504E9A" w:rsidRDefault="00504E9A" w:rsidP="00A26737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504E9A" w:rsidRDefault="00504E9A" w:rsidP="00504E9A">
            <w:pPr>
              <w:jc w:val="center"/>
              <w:rPr>
                <w:b/>
              </w:rPr>
            </w:pPr>
          </w:p>
          <w:p w:rsidR="00504E9A" w:rsidRPr="00504E9A" w:rsidRDefault="00504E9A" w:rsidP="00504E9A">
            <w:pPr>
              <w:jc w:val="center"/>
              <w:rPr>
                <w:b/>
              </w:rPr>
            </w:pPr>
            <w:r>
              <w:rPr>
                <w:b/>
              </w:rPr>
              <w:t>Project and Implementation</w:t>
            </w:r>
          </w:p>
        </w:tc>
        <w:tc>
          <w:tcPr>
            <w:tcW w:w="2158" w:type="dxa"/>
          </w:tcPr>
          <w:p w:rsidR="00504E9A" w:rsidRPr="00504E9A" w:rsidRDefault="002521A5" w:rsidP="00504E9A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Operations, Maintenance </w:t>
            </w:r>
            <w:r w:rsidR="00504E9A">
              <w:rPr>
                <w:b/>
              </w:rPr>
              <w:t>and Ongoing Support</w:t>
            </w:r>
          </w:p>
        </w:tc>
        <w:tc>
          <w:tcPr>
            <w:tcW w:w="2158" w:type="dxa"/>
          </w:tcPr>
          <w:p w:rsidR="00504E9A" w:rsidRDefault="00504E9A" w:rsidP="00504E9A">
            <w:pPr>
              <w:jc w:val="center"/>
              <w:rPr>
                <w:b/>
              </w:rPr>
            </w:pPr>
          </w:p>
          <w:p w:rsidR="00504E9A" w:rsidRPr="00504E9A" w:rsidRDefault="00504E9A" w:rsidP="00504E9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58" w:type="dxa"/>
          </w:tcPr>
          <w:p w:rsidR="00504E9A" w:rsidRPr="0033223E" w:rsidRDefault="00504E9A" w:rsidP="00504E9A">
            <w:pPr>
              <w:jc w:val="center"/>
              <w:rPr>
                <w:b/>
              </w:rPr>
            </w:pPr>
          </w:p>
          <w:p w:rsidR="00504E9A" w:rsidRPr="0033223E" w:rsidRDefault="002521A5" w:rsidP="00504E9A">
            <w:pPr>
              <w:jc w:val="center"/>
              <w:rPr>
                <w:b/>
              </w:rPr>
            </w:pPr>
            <w:r>
              <w:rPr>
                <w:b/>
              </w:rPr>
              <w:t xml:space="preserve">Percent </w:t>
            </w:r>
            <w:r w:rsidR="0033223E" w:rsidRPr="0033223E">
              <w:rPr>
                <w:b/>
              </w:rPr>
              <w:t>of Total Costs</w:t>
            </w:r>
          </w:p>
        </w:tc>
      </w:tr>
      <w:tr w:rsidR="00504E9A" w:rsidTr="00504E9A">
        <w:tc>
          <w:tcPr>
            <w:tcW w:w="2158" w:type="dxa"/>
          </w:tcPr>
          <w:p w:rsidR="00504E9A" w:rsidRPr="00504E9A" w:rsidRDefault="002521A5" w:rsidP="0066187B">
            <w:r>
              <w:t>Secretary of State s</w:t>
            </w:r>
            <w:r w:rsidR="00AC21FD">
              <w:t xml:space="preserve">taff </w:t>
            </w:r>
            <w:r>
              <w:t>salaries and b</w:t>
            </w:r>
            <w:r w:rsidR="00504E9A" w:rsidRPr="00504E9A">
              <w:t>enefits</w:t>
            </w:r>
          </w:p>
        </w:tc>
        <w:tc>
          <w:tcPr>
            <w:tcW w:w="2158" w:type="dxa"/>
          </w:tcPr>
          <w:p w:rsidR="00504E9A" w:rsidRPr="00344B90" w:rsidRDefault="00344B90" w:rsidP="00E563E1">
            <w:pPr>
              <w:jc w:val="center"/>
            </w:pPr>
            <w:r>
              <w:t>$0</w:t>
            </w:r>
          </w:p>
        </w:tc>
        <w:tc>
          <w:tcPr>
            <w:tcW w:w="2158" w:type="dxa"/>
          </w:tcPr>
          <w:p w:rsidR="00504E9A" w:rsidRPr="00344B90" w:rsidRDefault="00344B90" w:rsidP="00E563E1">
            <w:pPr>
              <w:jc w:val="center"/>
            </w:pPr>
            <w:r w:rsidRPr="00344B90">
              <w:t>$</w:t>
            </w:r>
            <w:r w:rsidR="005B1294">
              <w:t>1,030,477</w:t>
            </w:r>
            <w:r w:rsidR="005B59A6">
              <w:t>.00</w:t>
            </w:r>
          </w:p>
        </w:tc>
        <w:tc>
          <w:tcPr>
            <w:tcW w:w="2158" w:type="dxa"/>
          </w:tcPr>
          <w:p w:rsidR="00504E9A" w:rsidRPr="00344B90" w:rsidRDefault="00344B90" w:rsidP="00E563E1">
            <w:pPr>
              <w:jc w:val="center"/>
            </w:pPr>
            <w:r>
              <w:t>$</w:t>
            </w:r>
            <w:r w:rsidR="005B1294">
              <w:t>1,030,477</w:t>
            </w:r>
            <w:r w:rsidR="005B59A6">
              <w:t>.00</w:t>
            </w:r>
          </w:p>
        </w:tc>
        <w:tc>
          <w:tcPr>
            <w:tcW w:w="2158" w:type="dxa"/>
          </w:tcPr>
          <w:p w:rsidR="00504E9A" w:rsidRPr="00344B90" w:rsidRDefault="00665F46" w:rsidP="00E563E1">
            <w:pPr>
              <w:jc w:val="center"/>
            </w:pPr>
            <w:r>
              <w:t>99.08%</w:t>
            </w:r>
          </w:p>
        </w:tc>
      </w:tr>
      <w:tr w:rsidR="00504E9A" w:rsidTr="00504E9A">
        <w:tc>
          <w:tcPr>
            <w:tcW w:w="2158" w:type="dxa"/>
          </w:tcPr>
          <w:p w:rsidR="00504E9A" w:rsidRPr="00504E9A" w:rsidRDefault="00504E9A" w:rsidP="0066187B">
            <w:r>
              <w:t>DAS Procurement Services</w:t>
            </w:r>
            <w:r w:rsidR="001217ED">
              <w:t xml:space="preserve"> (includes ORPIN)</w:t>
            </w:r>
          </w:p>
        </w:tc>
        <w:tc>
          <w:tcPr>
            <w:tcW w:w="2158" w:type="dxa"/>
          </w:tcPr>
          <w:p w:rsidR="00504E9A" w:rsidRPr="00E563E1" w:rsidRDefault="00E563E1" w:rsidP="00E563E1">
            <w:pPr>
              <w:jc w:val="center"/>
            </w:pPr>
            <w:r>
              <w:t>$0</w:t>
            </w:r>
          </w:p>
        </w:tc>
        <w:tc>
          <w:tcPr>
            <w:tcW w:w="2158" w:type="dxa"/>
          </w:tcPr>
          <w:p w:rsidR="00504E9A" w:rsidRPr="00E563E1" w:rsidRDefault="00E563E1" w:rsidP="00E563E1">
            <w:pPr>
              <w:jc w:val="center"/>
            </w:pPr>
            <w:r>
              <w:t>$</w:t>
            </w:r>
            <w:r w:rsidR="00A26737">
              <w:t>9520.00</w:t>
            </w:r>
          </w:p>
        </w:tc>
        <w:tc>
          <w:tcPr>
            <w:tcW w:w="2158" w:type="dxa"/>
          </w:tcPr>
          <w:p w:rsidR="00504E9A" w:rsidRPr="00E563E1" w:rsidRDefault="00344B90" w:rsidP="00E563E1">
            <w:pPr>
              <w:jc w:val="center"/>
            </w:pPr>
            <w:r>
              <w:t>$9520.00</w:t>
            </w:r>
          </w:p>
        </w:tc>
        <w:tc>
          <w:tcPr>
            <w:tcW w:w="2158" w:type="dxa"/>
          </w:tcPr>
          <w:p w:rsidR="00504E9A" w:rsidRPr="00E563E1" w:rsidRDefault="00665F46" w:rsidP="00E563E1">
            <w:pPr>
              <w:jc w:val="center"/>
            </w:pPr>
            <w:r>
              <w:t>0.92%</w:t>
            </w:r>
          </w:p>
        </w:tc>
      </w:tr>
      <w:tr w:rsidR="00504E9A" w:rsidTr="00504E9A">
        <w:tc>
          <w:tcPr>
            <w:tcW w:w="2158" w:type="dxa"/>
          </w:tcPr>
          <w:p w:rsidR="00504E9A" w:rsidRPr="0033223E" w:rsidRDefault="005B59A6" w:rsidP="0066187B">
            <w:pPr>
              <w:rPr>
                <w:b/>
              </w:rPr>
            </w:pPr>
            <w:r w:rsidRPr="0033223E">
              <w:rPr>
                <w:b/>
              </w:rPr>
              <w:t>Total</w:t>
            </w:r>
          </w:p>
        </w:tc>
        <w:tc>
          <w:tcPr>
            <w:tcW w:w="2158" w:type="dxa"/>
          </w:tcPr>
          <w:p w:rsidR="00504E9A" w:rsidRPr="00E563E1" w:rsidRDefault="005B59A6" w:rsidP="00E563E1">
            <w:pPr>
              <w:jc w:val="center"/>
            </w:pPr>
            <w:r>
              <w:t>$0</w:t>
            </w:r>
          </w:p>
        </w:tc>
        <w:tc>
          <w:tcPr>
            <w:tcW w:w="2158" w:type="dxa"/>
          </w:tcPr>
          <w:p w:rsidR="00504E9A" w:rsidRPr="00E563E1" w:rsidRDefault="005B59A6" w:rsidP="00E563E1">
            <w:pPr>
              <w:jc w:val="center"/>
            </w:pPr>
            <w:r>
              <w:t>$1,039,997.00</w:t>
            </w:r>
          </w:p>
        </w:tc>
        <w:tc>
          <w:tcPr>
            <w:tcW w:w="2158" w:type="dxa"/>
          </w:tcPr>
          <w:p w:rsidR="00504E9A" w:rsidRPr="00E563E1" w:rsidRDefault="005B59A6" w:rsidP="00E563E1">
            <w:pPr>
              <w:jc w:val="center"/>
            </w:pPr>
            <w:r>
              <w:t>$1,039,997.00</w:t>
            </w:r>
          </w:p>
        </w:tc>
        <w:tc>
          <w:tcPr>
            <w:tcW w:w="2158" w:type="dxa"/>
          </w:tcPr>
          <w:p w:rsidR="00504E9A" w:rsidRPr="00E563E1" w:rsidRDefault="00504E9A" w:rsidP="00E563E1">
            <w:pPr>
              <w:jc w:val="center"/>
            </w:pPr>
          </w:p>
        </w:tc>
      </w:tr>
    </w:tbl>
    <w:p w:rsidR="00D03EC4" w:rsidRPr="00D63560" w:rsidRDefault="00936E55" w:rsidP="00936E55">
      <w:pPr>
        <w:pStyle w:val="Heading1"/>
      </w:pPr>
      <w:bookmarkStart w:id="14" w:name="_Toc468129765"/>
      <w:r>
        <w:t xml:space="preserve">Alternative: </w:t>
      </w:r>
      <w:r w:rsidR="002521A5">
        <w:t>New software as a s</w:t>
      </w:r>
      <w:r w:rsidR="00D03EC4" w:rsidRPr="00D63560">
        <w:t>ervice</w:t>
      </w:r>
      <w:r w:rsidR="002521A5">
        <w:t xml:space="preserve"> s</w:t>
      </w:r>
      <w:r w:rsidR="00224594">
        <w:t>olution</w:t>
      </w:r>
      <w:bookmarkEnd w:id="14"/>
    </w:p>
    <w:p w:rsidR="00D03EC4" w:rsidRPr="00D03EC4" w:rsidRDefault="00097115" w:rsidP="0066187B">
      <w:r>
        <w:t xml:space="preserve">In this case, Secretary of State </w:t>
      </w:r>
      <w:r w:rsidR="00BC0CDB">
        <w:t>will</w:t>
      </w:r>
      <w:r w:rsidR="00093CE7">
        <w:t xml:space="preserve"> purchase a software license subscription that </w:t>
      </w:r>
      <w:r w:rsidR="00BC0CDB">
        <w:t xml:space="preserve">will </w:t>
      </w:r>
      <w:r w:rsidR="00093CE7">
        <w:t>be centrally host</w:t>
      </w:r>
      <w:r w:rsidR="002521A5">
        <w:t>ed by the selected vendor</w:t>
      </w:r>
      <w:r w:rsidR="00BC0CDB">
        <w:t xml:space="preserve"> (Periscope)</w:t>
      </w:r>
      <w:r w:rsidR="002521A5">
        <w:t xml:space="preserve">. </w:t>
      </w:r>
      <w:r w:rsidR="0031793E">
        <w:t xml:space="preserve">This </w:t>
      </w:r>
      <w:r w:rsidR="00BC0CDB">
        <w:t xml:space="preserve">will </w:t>
      </w:r>
      <w:r w:rsidR="00364DE5">
        <w:t>be</w:t>
      </w:r>
      <w:r w:rsidR="0031793E">
        <w:t xml:space="preserve"> the same end-to-end </w:t>
      </w:r>
      <w:r w:rsidR="002521A5">
        <w:t xml:space="preserve">e-procurement system </w:t>
      </w:r>
      <w:r w:rsidR="0031793E">
        <w:t xml:space="preserve">used by </w:t>
      </w:r>
      <w:r w:rsidR="002521A5">
        <w:t xml:space="preserve">the </w:t>
      </w:r>
      <w:r w:rsidR="0031793E">
        <w:t>eight other state agencies.</w:t>
      </w:r>
    </w:p>
    <w:p w:rsidR="005438E2" w:rsidRPr="008D7B89" w:rsidRDefault="005438E2" w:rsidP="001E0121">
      <w:pPr>
        <w:pStyle w:val="Heading2"/>
      </w:pPr>
      <w:bookmarkStart w:id="15" w:name="_Toc468129766"/>
      <w:r w:rsidRPr="008D7B89">
        <w:t>Assumptions</w:t>
      </w:r>
      <w:bookmarkEnd w:id="15"/>
    </w:p>
    <w:p w:rsidR="005438E2" w:rsidRDefault="005438E2" w:rsidP="005438E2">
      <w:r>
        <w:t xml:space="preserve">The following assumptions have been made in conjunction with this </w:t>
      </w:r>
      <w:r w:rsidR="00791713">
        <w:t>software as a service</w:t>
      </w:r>
      <w:r w:rsidR="002521A5">
        <w:t xml:space="preserve"> alternative. </w:t>
      </w:r>
      <w:r>
        <w:t>Each has been assigned a high, medium, or low sensitivity factor which indicates the probability to which the assumption would cause the project to fail, or incur delays, if the assumption turned out not to be true.</w:t>
      </w:r>
    </w:p>
    <w:tbl>
      <w:tblPr>
        <w:tblW w:w="108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0"/>
        <w:gridCol w:w="1380"/>
        <w:gridCol w:w="1530"/>
        <w:gridCol w:w="1275"/>
      </w:tblGrid>
      <w:tr w:rsidR="005438E2" w:rsidTr="00784741">
        <w:trPr>
          <w:trHeight w:val="367"/>
        </w:trPr>
        <w:tc>
          <w:tcPr>
            <w:tcW w:w="6630" w:type="dxa"/>
            <w:vMerge w:val="restart"/>
          </w:tcPr>
          <w:p w:rsidR="005438E2" w:rsidRDefault="005438E2" w:rsidP="00784741"/>
          <w:p w:rsidR="005438E2" w:rsidRPr="00C14BF4" w:rsidRDefault="005438E2" w:rsidP="00784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</w:t>
            </w:r>
          </w:p>
        </w:tc>
        <w:tc>
          <w:tcPr>
            <w:tcW w:w="4185" w:type="dxa"/>
            <w:gridSpan w:val="3"/>
          </w:tcPr>
          <w:p w:rsidR="005438E2" w:rsidRPr="00C14BF4" w:rsidRDefault="005438E2" w:rsidP="00784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Sensitivity Factor</w:t>
            </w:r>
          </w:p>
        </w:tc>
      </w:tr>
      <w:tr w:rsidR="005438E2" w:rsidTr="00784741">
        <w:trPr>
          <w:trHeight w:val="413"/>
        </w:trPr>
        <w:tc>
          <w:tcPr>
            <w:tcW w:w="6630" w:type="dxa"/>
            <w:vMerge/>
          </w:tcPr>
          <w:p w:rsidR="005438E2" w:rsidRDefault="005438E2" w:rsidP="00784741"/>
        </w:tc>
        <w:tc>
          <w:tcPr>
            <w:tcW w:w="4185" w:type="dxa"/>
            <w:gridSpan w:val="3"/>
          </w:tcPr>
          <w:p w:rsidR="005438E2" w:rsidRDefault="005438E2" w:rsidP="00784741">
            <w:pPr>
              <w:tabs>
                <w:tab w:val="left" w:pos="210"/>
              </w:tabs>
              <w:ind w:left="-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High</w:t>
            </w:r>
            <w:r>
              <w:tab/>
              <w:t xml:space="preserve">                </w:t>
            </w:r>
            <w:r>
              <w:rPr>
                <w:b/>
                <w:sz w:val="24"/>
                <w:szCs w:val="24"/>
              </w:rPr>
              <w:t>Medium              Low</w:t>
            </w:r>
          </w:p>
        </w:tc>
      </w:tr>
      <w:tr w:rsidR="005438E2" w:rsidTr="00784741">
        <w:trPr>
          <w:trHeight w:val="638"/>
        </w:trPr>
        <w:tc>
          <w:tcPr>
            <w:tcW w:w="6630" w:type="dxa"/>
          </w:tcPr>
          <w:p w:rsidR="005438E2" w:rsidRDefault="002521A5" w:rsidP="00784741">
            <w:pPr>
              <w:ind w:left="-15"/>
            </w:pPr>
            <w:r>
              <w:t xml:space="preserve">SoS </w:t>
            </w:r>
            <w:r w:rsidR="007B2FB4">
              <w:t>will need to respond to information requests quicker, a</w:t>
            </w:r>
            <w:r>
              <w:t xml:space="preserve">nd with greater level of detail, </w:t>
            </w:r>
            <w:r w:rsidR="007B2FB4">
              <w:t>in the future</w:t>
            </w:r>
            <w:r>
              <w:t>.</w:t>
            </w:r>
          </w:p>
        </w:tc>
        <w:tc>
          <w:tcPr>
            <w:tcW w:w="1380" w:type="dxa"/>
          </w:tcPr>
          <w:p w:rsidR="005438E2" w:rsidRDefault="005438E2" w:rsidP="007B2FB4">
            <w:pPr>
              <w:ind w:left="-15"/>
              <w:jc w:val="center"/>
            </w:pPr>
          </w:p>
        </w:tc>
        <w:tc>
          <w:tcPr>
            <w:tcW w:w="1530" w:type="dxa"/>
          </w:tcPr>
          <w:p w:rsidR="005438E2" w:rsidRDefault="005438E2" w:rsidP="007B2FB4">
            <w:pPr>
              <w:jc w:val="center"/>
            </w:pPr>
          </w:p>
          <w:p w:rsidR="005438E2" w:rsidRPr="00C14BF4" w:rsidRDefault="005438E2" w:rsidP="007B2FB4">
            <w:pPr>
              <w:jc w:val="center"/>
            </w:pPr>
          </w:p>
        </w:tc>
        <w:tc>
          <w:tcPr>
            <w:tcW w:w="1275" w:type="dxa"/>
          </w:tcPr>
          <w:p w:rsidR="007B2FB4" w:rsidRDefault="007B2FB4" w:rsidP="007B2FB4">
            <w:pPr>
              <w:ind w:left="-15"/>
              <w:jc w:val="center"/>
            </w:pPr>
          </w:p>
          <w:p w:rsidR="005438E2" w:rsidRDefault="007B00F1" w:rsidP="007B2FB4">
            <w:pPr>
              <w:jc w:val="center"/>
            </w:pPr>
            <w:r>
              <w:sym w:font="Wingdings" w:char="F0FC"/>
            </w:r>
          </w:p>
        </w:tc>
      </w:tr>
      <w:tr w:rsidR="005438E2" w:rsidTr="00784741">
        <w:trPr>
          <w:trHeight w:val="405"/>
        </w:trPr>
        <w:tc>
          <w:tcPr>
            <w:tcW w:w="6630" w:type="dxa"/>
          </w:tcPr>
          <w:p w:rsidR="005438E2" w:rsidRDefault="002521A5" w:rsidP="00784741">
            <w:pPr>
              <w:ind w:left="-15"/>
            </w:pPr>
            <w:r>
              <w:t xml:space="preserve">SoS </w:t>
            </w:r>
            <w:r w:rsidR="007B2FB4">
              <w:t>does not have the in-house expertise and time to develop a new system with existing staff</w:t>
            </w:r>
            <w:r>
              <w:t>.</w:t>
            </w:r>
          </w:p>
        </w:tc>
        <w:tc>
          <w:tcPr>
            <w:tcW w:w="1380" w:type="dxa"/>
          </w:tcPr>
          <w:p w:rsidR="005438E2" w:rsidRDefault="005438E2" w:rsidP="007B2FB4">
            <w:pPr>
              <w:ind w:left="-15"/>
              <w:jc w:val="center"/>
            </w:pPr>
          </w:p>
        </w:tc>
        <w:tc>
          <w:tcPr>
            <w:tcW w:w="1530" w:type="dxa"/>
          </w:tcPr>
          <w:p w:rsidR="005438E2" w:rsidRDefault="005438E2" w:rsidP="007B2FB4">
            <w:pPr>
              <w:ind w:left="-15"/>
              <w:jc w:val="center"/>
            </w:pPr>
          </w:p>
        </w:tc>
        <w:tc>
          <w:tcPr>
            <w:tcW w:w="1275" w:type="dxa"/>
          </w:tcPr>
          <w:p w:rsidR="005438E2" w:rsidRDefault="007B00F1" w:rsidP="007B2FB4">
            <w:pPr>
              <w:ind w:left="-15"/>
              <w:jc w:val="center"/>
            </w:pPr>
            <w:r>
              <w:sym w:font="Wingdings" w:char="F0FC"/>
            </w:r>
          </w:p>
        </w:tc>
      </w:tr>
      <w:tr w:rsidR="005438E2" w:rsidTr="00784741">
        <w:trPr>
          <w:trHeight w:val="330"/>
        </w:trPr>
        <w:tc>
          <w:tcPr>
            <w:tcW w:w="6630" w:type="dxa"/>
          </w:tcPr>
          <w:p w:rsidR="005438E2" w:rsidRDefault="007B2FB4" w:rsidP="00784741">
            <w:pPr>
              <w:ind w:left="-15"/>
            </w:pPr>
            <w:r>
              <w:t>Changes to current business process will be evident from the requirements of the solution chosen</w:t>
            </w:r>
            <w:r w:rsidR="002521A5">
              <w:t>.</w:t>
            </w:r>
          </w:p>
        </w:tc>
        <w:tc>
          <w:tcPr>
            <w:tcW w:w="1380" w:type="dxa"/>
          </w:tcPr>
          <w:p w:rsidR="005438E2" w:rsidRDefault="007B00F1" w:rsidP="007B2FB4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530" w:type="dxa"/>
          </w:tcPr>
          <w:p w:rsidR="005438E2" w:rsidRDefault="005438E2" w:rsidP="007B2FB4">
            <w:pPr>
              <w:ind w:left="-15"/>
              <w:jc w:val="center"/>
            </w:pPr>
          </w:p>
        </w:tc>
        <w:tc>
          <w:tcPr>
            <w:tcW w:w="1275" w:type="dxa"/>
          </w:tcPr>
          <w:p w:rsidR="005438E2" w:rsidRDefault="005438E2" w:rsidP="007B2FB4">
            <w:pPr>
              <w:ind w:left="-15"/>
              <w:jc w:val="center"/>
            </w:pPr>
          </w:p>
        </w:tc>
      </w:tr>
      <w:tr w:rsidR="005438E2" w:rsidTr="00784741">
        <w:trPr>
          <w:trHeight w:val="300"/>
        </w:trPr>
        <w:tc>
          <w:tcPr>
            <w:tcW w:w="6630" w:type="dxa"/>
          </w:tcPr>
          <w:p w:rsidR="005438E2" w:rsidRDefault="007B2FB4" w:rsidP="00784741">
            <w:pPr>
              <w:ind w:left="-15"/>
            </w:pPr>
            <w:r>
              <w:t>Some systems and dat</w:t>
            </w:r>
            <w:r w:rsidR="002521A5">
              <w:t xml:space="preserve">a may not be able to interface seamlessly or automatically </w:t>
            </w:r>
            <w:r>
              <w:t>without human intervention</w:t>
            </w:r>
            <w:r w:rsidR="002521A5">
              <w:t>.</w:t>
            </w:r>
          </w:p>
        </w:tc>
        <w:tc>
          <w:tcPr>
            <w:tcW w:w="1380" w:type="dxa"/>
          </w:tcPr>
          <w:p w:rsidR="005438E2" w:rsidRDefault="005438E2" w:rsidP="007B2FB4">
            <w:pPr>
              <w:ind w:left="-15"/>
              <w:jc w:val="center"/>
            </w:pPr>
          </w:p>
        </w:tc>
        <w:tc>
          <w:tcPr>
            <w:tcW w:w="1530" w:type="dxa"/>
          </w:tcPr>
          <w:p w:rsidR="005438E2" w:rsidRDefault="007B00F1" w:rsidP="007B2FB4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275" w:type="dxa"/>
          </w:tcPr>
          <w:p w:rsidR="005438E2" w:rsidRDefault="005438E2" w:rsidP="007B2FB4">
            <w:pPr>
              <w:ind w:left="-15"/>
              <w:jc w:val="center"/>
            </w:pPr>
          </w:p>
        </w:tc>
      </w:tr>
      <w:tr w:rsidR="005438E2" w:rsidTr="00784741">
        <w:trPr>
          <w:trHeight w:val="270"/>
        </w:trPr>
        <w:tc>
          <w:tcPr>
            <w:tcW w:w="6630" w:type="dxa"/>
          </w:tcPr>
          <w:p w:rsidR="005438E2" w:rsidRDefault="007B2FB4" w:rsidP="00784741">
            <w:pPr>
              <w:ind w:left="-15"/>
            </w:pPr>
            <w:r>
              <w:t xml:space="preserve">Administrative overhead for maintaining a new system will be reduced for </w:t>
            </w:r>
            <w:r w:rsidR="00C91E40">
              <w:t>program staff.</w:t>
            </w:r>
          </w:p>
        </w:tc>
        <w:tc>
          <w:tcPr>
            <w:tcW w:w="1380" w:type="dxa"/>
          </w:tcPr>
          <w:p w:rsidR="005438E2" w:rsidRDefault="007B00F1" w:rsidP="007B2FB4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530" w:type="dxa"/>
          </w:tcPr>
          <w:p w:rsidR="005438E2" w:rsidRDefault="005438E2" w:rsidP="007B2FB4">
            <w:pPr>
              <w:ind w:left="-15"/>
              <w:jc w:val="center"/>
            </w:pPr>
          </w:p>
        </w:tc>
        <w:tc>
          <w:tcPr>
            <w:tcW w:w="1275" w:type="dxa"/>
          </w:tcPr>
          <w:p w:rsidR="005438E2" w:rsidRDefault="005438E2" w:rsidP="007B2FB4">
            <w:pPr>
              <w:ind w:left="-15"/>
              <w:jc w:val="center"/>
            </w:pPr>
          </w:p>
        </w:tc>
      </w:tr>
      <w:tr w:rsidR="005438E2" w:rsidTr="00784741">
        <w:trPr>
          <w:trHeight w:val="270"/>
        </w:trPr>
        <w:tc>
          <w:tcPr>
            <w:tcW w:w="6630" w:type="dxa"/>
          </w:tcPr>
          <w:p w:rsidR="005438E2" w:rsidRDefault="00C91E40" w:rsidP="00784741">
            <w:pPr>
              <w:ind w:left="-15"/>
            </w:pPr>
            <w:r>
              <w:t>Vendor may not be able to meet all project needs</w:t>
            </w:r>
            <w:r w:rsidR="002521A5">
              <w:t>.</w:t>
            </w:r>
          </w:p>
        </w:tc>
        <w:tc>
          <w:tcPr>
            <w:tcW w:w="1380" w:type="dxa"/>
          </w:tcPr>
          <w:p w:rsidR="005438E2" w:rsidRDefault="005438E2" w:rsidP="007B2FB4">
            <w:pPr>
              <w:ind w:left="-15"/>
              <w:jc w:val="center"/>
            </w:pPr>
          </w:p>
        </w:tc>
        <w:tc>
          <w:tcPr>
            <w:tcW w:w="1530" w:type="dxa"/>
          </w:tcPr>
          <w:p w:rsidR="005438E2" w:rsidRDefault="007B00F1" w:rsidP="007B2FB4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275" w:type="dxa"/>
          </w:tcPr>
          <w:p w:rsidR="005438E2" w:rsidRDefault="005438E2" w:rsidP="007B2FB4">
            <w:pPr>
              <w:ind w:left="-15"/>
              <w:jc w:val="center"/>
            </w:pPr>
          </w:p>
        </w:tc>
      </w:tr>
      <w:tr w:rsidR="00C91E40" w:rsidTr="00784741">
        <w:trPr>
          <w:trHeight w:val="270"/>
        </w:trPr>
        <w:tc>
          <w:tcPr>
            <w:tcW w:w="6630" w:type="dxa"/>
          </w:tcPr>
          <w:p w:rsidR="00C91E40" w:rsidRDefault="00C91E40" w:rsidP="00784741">
            <w:pPr>
              <w:ind w:left="-15"/>
            </w:pPr>
            <w:r>
              <w:t>Vendor resources may change</w:t>
            </w:r>
            <w:r w:rsidR="002521A5">
              <w:t>.</w:t>
            </w:r>
          </w:p>
        </w:tc>
        <w:tc>
          <w:tcPr>
            <w:tcW w:w="1380" w:type="dxa"/>
          </w:tcPr>
          <w:p w:rsidR="00C91E40" w:rsidRDefault="00C91E40" w:rsidP="007B2FB4">
            <w:pPr>
              <w:ind w:left="-15"/>
              <w:jc w:val="center"/>
            </w:pPr>
          </w:p>
        </w:tc>
        <w:tc>
          <w:tcPr>
            <w:tcW w:w="1530" w:type="dxa"/>
          </w:tcPr>
          <w:p w:rsidR="00C91E40" w:rsidRDefault="007B00F1" w:rsidP="007B2FB4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275" w:type="dxa"/>
          </w:tcPr>
          <w:p w:rsidR="00C91E40" w:rsidRDefault="00C91E40" w:rsidP="007B2FB4">
            <w:pPr>
              <w:ind w:left="-15"/>
              <w:jc w:val="center"/>
            </w:pPr>
          </w:p>
        </w:tc>
      </w:tr>
      <w:tr w:rsidR="00C91E40" w:rsidTr="00784741">
        <w:trPr>
          <w:trHeight w:val="270"/>
        </w:trPr>
        <w:tc>
          <w:tcPr>
            <w:tcW w:w="6630" w:type="dxa"/>
          </w:tcPr>
          <w:p w:rsidR="00C91E40" w:rsidRDefault="00C91E40" w:rsidP="00784741">
            <w:pPr>
              <w:ind w:left="-15"/>
            </w:pPr>
            <w:r>
              <w:t>Executive sponsorship is needed for successful completion</w:t>
            </w:r>
            <w:r w:rsidR="002521A5">
              <w:t>.</w:t>
            </w:r>
          </w:p>
        </w:tc>
        <w:tc>
          <w:tcPr>
            <w:tcW w:w="1380" w:type="dxa"/>
          </w:tcPr>
          <w:p w:rsidR="00C91E40" w:rsidRDefault="007B00F1" w:rsidP="007B2FB4">
            <w:pPr>
              <w:ind w:left="-15"/>
              <w:jc w:val="center"/>
            </w:pPr>
            <w:r>
              <w:sym w:font="Wingdings" w:char="F0FC"/>
            </w:r>
          </w:p>
        </w:tc>
        <w:tc>
          <w:tcPr>
            <w:tcW w:w="1530" w:type="dxa"/>
          </w:tcPr>
          <w:p w:rsidR="00C91E40" w:rsidRDefault="00C91E40" w:rsidP="007B2FB4">
            <w:pPr>
              <w:ind w:left="-15"/>
              <w:jc w:val="center"/>
            </w:pPr>
          </w:p>
        </w:tc>
        <w:tc>
          <w:tcPr>
            <w:tcW w:w="1275" w:type="dxa"/>
          </w:tcPr>
          <w:p w:rsidR="00C91E40" w:rsidRDefault="00C91E40" w:rsidP="007B2FB4">
            <w:pPr>
              <w:ind w:left="-15"/>
              <w:jc w:val="center"/>
            </w:pPr>
          </w:p>
        </w:tc>
      </w:tr>
    </w:tbl>
    <w:p w:rsidR="00EA0C2E" w:rsidRPr="008D7B89" w:rsidRDefault="005438E2" w:rsidP="001E0121">
      <w:pPr>
        <w:pStyle w:val="Heading2"/>
      </w:pPr>
      <w:bookmarkStart w:id="16" w:name="_Toc468129767"/>
      <w:r w:rsidRPr="008D7B89">
        <w:t>Risks</w:t>
      </w:r>
      <w:bookmarkEnd w:id="16"/>
    </w:p>
    <w:p w:rsidR="005438E2" w:rsidRPr="00EA0C2E" w:rsidRDefault="005438E2" w:rsidP="005438E2">
      <w:pPr>
        <w:rPr>
          <w:sz w:val="24"/>
          <w:szCs w:val="24"/>
          <w:u w:val="single"/>
        </w:rPr>
      </w:pPr>
      <w:r>
        <w:t>The following is a list of the risks that may be encountered, as well as their relative probability, and perceived impact on</w:t>
      </w:r>
      <w:r w:rsidR="00015336">
        <w:t xml:space="preserve"> a high-medium-low rating schema.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2065"/>
        <w:gridCol w:w="2155"/>
      </w:tblGrid>
      <w:tr w:rsidR="005438E2" w:rsidTr="00784741">
        <w:tc>
          <w:tcPr>
            <w:tcW w:w="6570" w:type="dxa"/>
          </w:tcPr>
          <w:p w:rsidR="005438E2" w:rsidRPr="0007009E" w:rsidRDefault="005438E2" w:rsidP="00784741">
            <w:pPr>
              <w:rPr>
                <w:b/>
              </w:rPr>
            </w:pPr>
            <w:r>
              <w:rPr>
                <w:b/>
              </w:rPr>
              <w:t>Risk Description</w:t>
            </w:r>
          </w:p>
        </w:tc>
        <w:tc>
          <w:tcPr>
            <w:tcW w:w="2065" w:type="dxa"/>
          </w:tcPr>
          <w:p w:rsidR="005438E2" w:rsidRPr="0007009E" w:rsidRDefault="005438E2" w:rsidP="00784741">
            <w:pPr>
              <w:jc w:val="center"/>
              <w:rPr>
                <w:b/>
              </w:rPr>
            </w:pPr>
            <w:r>
              <w:rPr>
                <w:b/>
              </w:rPr>
              <w:t>Probability</w:t>
            </w:r>
          </w:p>
        </w:tc>
        <w:tc>
          <w:tcPr>
            <w:tcW w:w="2155" w:type="dxa"/>
          </w:tcPr>
          <w:p w:rsidR="005438E2" w:rsidRPr="0007009E" w:rsidRDefault="005438E2" w:rsidP="00784741">
            <w:pPr>
              <w:jc w:val="center"/>
              <w:rPr>
                <w:b/>
              </w:rPr>
            </w:pPr>
            <w:r w:rsidRPr="0007009E">
              <w:rPr>
                <w:b/>
              </w:rPr>
              <w:t>Impact</w:t>
            </w:r>
          </w:p>
        </w:tc>
      </w:tr>
      <w:tr w:rsidR="005438E2" w:rsidTr="00784741">
        <w:tc>
          <w:tcPr>
            <w:tcW w:w="6570" w:type="dxa"/>
          </w:tcPr>
          <w:p w:rsidR="005438E2" w:rsidRDefault="005438E2" w:rsidP="00784741">
            <w:r>
              <w:t>Ongoing manual workarounds that have the potential to increase the risk of error</w:t>
            </w:r>
            <w:r w:rsidR="00015336">
              <w:t>.</w:t>
            </w:r>
          </w:p>
        </w:tc>
        <w:tc>
          <w:tcPr>
            <w:tcW w:w="2065" w:type="dxa"/>
          </w:tcPr>
          <w:p w:rsidR="005438E2" w:rsidRDefault="005438E2" w:rsidP="00784741">
            <w:pPr>
              <w:jc w:val="center"/>
            </w:pPr>
            <w:r>
              <w:t>High</w:t>
            </w:r>
          </w:p>
        </w:tc>
        <w:tc>
          <w:tcPr>
            <w:tcW w:w="2155" w:type="dxa"/>
          </w:tcPr>
          <w:p w:rsidR="005438E2" w:rsidRDefault="005438E2" w:rsidP="00784741">
            <w:pPr>
              <w:jc w:val="center"/>
            </w:pPr>
            <w:r>
              <w:t>High</w:t>
            </w:r>
          </w:p>
        </w:tc>
      </w:tr>
      <w:tr w:rsidR="005438E2" w:rsidTr="00784741">
        <w:tc>
          <w:tcPr>
            <w:tcW w:w="6570" w:type="dxa"/>
          </w:tcPr>
          <w:p w:rsidR="005438E2" w:rsidRDefault="005438E2" w:rsidP="00784741">
            <w:r>
              <w:t>Continuation of inefficient business processes and data duplication</w:t>
            </w:r>
            <w:r w:rsidR="00015336">
              <w:t>.</w:t>
            </w:r>
          </w:p>
        </w:tc>
        <w:tc>
          <w:tcPr>
            <w:tcW w:w="2065" w:type="dxa"/>
          </w:tcPr>
          <w:p w:rsidR="005438E2" w:rsidRDefault="005438E2" w:rsidP="00784741">
            <w:pPr>
              <w:jc w:val="center"/>
            </w:pPr>
            <w:r>
              <w:t>High</w:t>
            </w:r>
          </w:p>
        </w:tc>
        <w:tc>
          <w:tcPr>
            <w:tcW w:w="2155" w:type="dxa"/>
          </w:tcPr>
          <w:p w:rsidR="005438E2" w:rsidRDefault="005438E2" w:rsidP="00784741">
            <w:pPr>
              <w:jc w:val="center"/>
            </w:pPr>
            <w:r>
              <w:t>High</w:t>
            </w:r>
          </w:p>
        </w:tc>
      </w:tr>
      <w:tr w:rsidR="005438E2" w:rsidTr="00784741">
        <w:tc>
          <w:tcPr>
            <w:tcW w:w="6570" w:type="dxa"/>
          </w:tcPr>
          <w:p w:rsidR="005438E2" w:rsidRDefault="005438E2" w:rsidP="00784741">
            <w:r>
              <w:t>Business analysis and reporting capabilities remain difficult and time consuming</w:t>
            </w:r>
            <w:r w:rsidR="00335A32">
              <w:t>.</w:t>
            </w:r>
          </w:p>
        </w:tc>
        <w:tc>
          <w:tcPr>
            <w:tcW w:w="2065" w:type="dxa"/>
          </w:tcPr>
          <w:p w:rsidR="005438E2" w:rsidRDefault="005438E2" w:rsidP="00784741">
            <w:pPr>
              <w:jc w:val="center"/>
            </w:pPr>
            <w:r>
              <w:t>High</w:t>
            </w:r>
          </w:p>
        </w:tc>
        <w:tc>
          <w:tcPr>
            <w:tcW w:w="2155" w:type="dxa"/>
          </w:tcPr>
          <w:p w:rsidR="005438E2" w:rsidRDefault="005438E2" w:rsidP="00784741">
            <w:pPr>
              <w:jc w:val="center"/>
            </w:pPr>
            <w:r>
              <w:t>High</w:t>
            </w:r>
          </w:p>
        </w:tc>
      </w:tr>
      <w:tr w:rsidR="005438E2" w:rsidTr="00784741">
        <w:tc>
          <w:tcPr>
            <w:tcW w:w="6570" w:type="dxa"/>
          </w:tcPr>
          <w:p w:rsidR="005438E2" w:rsidRDefault="005438E2" w:rsidP="00784741">
            <w:r>
              <w:t>Reduced staff productivity</w:t>
            </w:r>
            <w:r w:rsidR="00335A32">
              <w:t>.</w:t>
            </w:r>
          </w:p>
        </w:tc>
        <w:tc>
          <w:tcPr>
            <w:tcW w:w="2065" w:type="dxa"/>
          </w:tcPr>
          <w:p w:rsidR="005438E2" w:rsidRDefault="005438E2" w:rsidP="00784741">
            <w:pPr>
              <w:jc w:val="center"/>
            </w:pPr>
            <w:r>
              <w:t>High</w:t>
            </w:r>
          </w:p>
        </w:tc>
        <w:tc>
          <w:tcPr>
            <w:tcW w:w="2155" w:type="dxa"/>
          </w:tcPr>
          <w:p w:rsidR="005438E2" w:rsidRDefault="005438E2" w:rsidP="00784741">
            <w:pPr>
              <w:jc w:val="center"/>
            </w:pPr>
            <w:r>
              <w:t>High</w:t>
            </w:r>
          </w:p>
        </w:tc>
      </w:tr>
    </w:tbl>
    <w:p w:rsidR="005438E2" w:rsidRPr="008D7B89" w:rsidRDefault="005438E2" w:rsidP="001E0121">
      <w:pPr>
        <w:pStyle w:val="Heading2"/>
      </w:pPr>
      <w:bookmarkStart w:id="17" w:name="_Toc468129768"/>
      <w:r w:rsidRPr="008D7B89">
        <w:t>Cost</w:t>
      </w:r>
      <w:bookmarkEnd w:id="17"/>
    </w:p>
    <w:p w:rsidR="005438E2" w:rsidRPr="00CA7B8C" w:rsidRDefault="00CA7B8C" w:rsidP="005438E2">
      <w:r>
        <w:t xml:space="preserve">The cost of the </w:t>
      </w:r>
      <w:r w:rsidR="00155CFC">
        <w:t xml:space="preserve">project, </w:t>
      </w:r>
      <w:r>
        <w:t xml:space="preserve">purchase, implementation and ongoing operations, maintenance and support of the new solution </w:t>
      </w:r>
      <w:r w:rsidR="00155CFC">
        <w:t>from October 2016 to June 2019</w:t>
      </w:r>
      <w:r>
        <w:t>:</w: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6587"/>
        <w:gridCol w:w="2158"/>
        <w:gridCol w:w="2158"/>
      </w:tblGrid>
      <w:tr w:rsidR="009F4E65" w:rsidTr="009F4E65">
        <w:tc>
          <w:tcPr>
            <w:tcW w:w="6587" w:type="dxa"/>
          </w:tcPr>
          <w:p w:rsidR="009F4E65" w:rsidRPr="00504E9A" w:rsidRDefault="000413C4" w:rsidP="000413C4">
            <w:pPr>
              <w:rPr>
                <w:b/>
              </w:rPr>
            </w:pPr>
            <w:r>
              <w:rPr>
                <w:b/>
              </w:rPr>
              <w:t xml:space="preserve">Cost </w:t>
            </w:r>
            <w:r w:rsidR="004637B5">
              <w:rPr>
                <w:b/>
              </w:rPr>
              <w:t>Description</w:t>
            </w:r>
          </w:p>
        </w:tc>
        <w:tc>
          <w:tcPr>
            <w:tcW w:w="2158" w:type="dxa"/>
          </w:tcPr>
          <w:p w:rsidR="009F4E65" w:rsidRDefault="009F4E65" w:rsidP="00182ACA">
            <w:pPr>
              <w:jc w:val="center"/>
              <w:rPr>
                <w:b/>
              </w:rPr>
            </w:pPr>
          </w:p>
          <w:p w:rsidR="009F4E65" w:rsidRPr="00504E9A" w:rsidRDefault="009F4E65" w:rsidP="00D34DE9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158" w:type="dxa"/>
          </w:tcPr>
          <w:p w:rsidR="009F4E65" w:rsidRDefault="009F4E65" w:rsidP="00182ACA">
            <w:pPr>
              <w:jc w:val="center"/>
              <w:rPr>
                <w:b/>
                <w:sz w:val="24"/>
                <w:szCs w:val="24"/>
              </w:rPr>
            </w:pPr>
          </w:p>
          <w:p w:rsidR="009F4E65" w:rsidRPr="00504E9A" w:rsidRDefault="00335A32" w:rsidP="0018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</w:t>
            </w:r>
          </w:p>
        </w:tc>
      </w:tr>
      <w:tr w:rsidR="009F4E65" w:rsidTr="009F4E65">
        <w:tc>
          <w:tcPr>
            <w:tcW w:w="6587" w:type="dxa"/>
          </w:tcPr>
          <w:p w:rsidR="009F4E65" w:rsidRDefault="009F4E65" w:rsidP="009F4E65">
            <w:r>
              <w:t>Project cost to be paid to vendor from acquisition of new solution, configuration and go live</w:t>
            </w:r>
          </w:p>
        </w:tc>
        <w:tc>
          <w:tcPr>
            <w:tcW w:w="2158" w:type="dxa"/>
          </w:tcPr>
          <w:p w:rsidR="009F4E65" w:rsidRPr="00335A32" w:rsidRDefault="009F4E65" w:rsidP="00182ACA">
            <w:pPr>
              <w:jc w:val="center"/>
            </w:pPr>
            <w:r w:rsidRPr="00335A32">
              <w:t>$</w:t>
            </w:r>
            <w:r w:rsidR="00AC64DE" w:rsidRPr="00335A32">
              <w:t>35,000</w:t>
            </w:r>
          </w:p>
        </w:tc>
        <w:tc>
          <w:tcPr>
            <w:tcW w:w="2158" w:type="dxa"/>
          </w:tcPr>
          <w:p w:rsidR="009F4E65" w:rsidRPr="00E563E1" w:rsidRDefault="001D6998" w:rsidP="00182ACA">
            <w:pPr>
              <w:jc w:val="center"/>
            </w:pPr>
            <w:r>
              <w:t>9.8%</w:t>
            </w:r>
          </w:p>
        </w:tc>
      </w:tr>
      <w:tr w:rsidR="009F4E65" w:rsidTr="00182ACA">
        <w:tc>
          <w:tcPr>
            <w:tcW w:w="6587" w:type="dxa"/>
          </w:tcPr>
          <w:p w:rsidR="00AC64DE" w:rsidRDefault="00AC64DE" w:rsidP="00182ACA">
            <w:r>
              <w:t>License cost for 20 users in 2017-19 biennium</w:t>
            </w:r>
          </w:p>
          <w:p w:rsidR="009F4E65" w:rsidRDefault="009F4E65" w:rsidP="00182ACA">
            <w:r>
              <w:t>Support cost for new solution after go live for 2017-2019 biennium. (This depends on service level agreement and selection of a support like Gold, Silver and Bronze support levels from Vendor)</w:t>
            </w:r>
          </w:p>
        </w:tc>
        <w:tc>
          <w:tcPr>
            <w:tcW w:w="2158" w:type="dxa"/>
          </w:tcPr>
          <w:p w:rsidR="009F4E65" w:rsidRPr="00335A32" w:rsidRDefault="009F4E65" w:rsidP="00182ACA">
            <w:pPr>
              <w:jc w:val="center"/>
            </w:pPr>
            <w:r w:rsidRPr="00335A32">
              <w:t>$</w:t>
            </w:r>
            <w:r w:rsidR="00AC64DE" w:rsidRPr="00335A32">
              <w:t>10,000</w:t>
            </w:r>
          </w:p>
        </w:tc>
        <w:tc>
          <w:tcPr>
            <w:tcW w:w="2158" w:type="dxa"/>
          </w:tcPr>
          <w:p w:rsidR="009F4E65" w:rsidRPr="00E563E1" w:rsidRDefault="001D6998" w:rsidP="00182ACA">
            <w:pPr>
              <w:jc w:val="center"/>
            </w:pPr>
            <w:r>
              <w:t>2.8%</w:t>
            </w:r>
          </w:p>
        </w:tc>
      </w:tr>
      <w:tr w:rsidR="00AC64DE" w:rsidTr="009F4E65">
        <w:tc>
          <w:tcPr>
            <w:tcW w:w="6587" w:type="dxa"/>
          </w:tcPr>
          <w:p w:rsidR="00AC64DE" w:rsidRDefault="00AC64DE" w:rsidP="00AC64DE">
            <w:r>
              <w:t>Proje</w:t>
            </w:r>
            <w:r w:rsidR="00966707">
              <w:t>ct cost for Secretary of State s</w:t>
            </w:r>
            <w:r>
              <w:t>taff time during this project</w:t>
            </w:r>
          </w:p>
        </w:tc>
        <w:tc>
          <w:tcPr>
            <w:tcW w:w="2158" w:type="dxa"/>
          </w:tcPr>
          <w:p w:rsidR="00AC64DE" w:rsidRPr="00335A32" w:rsidRDefault="00AC64DE" w:rsidP="00AC64DE">
            <w:pPr>
              <w:jc w:val="center"/>
            </w:pPr>
            <w:r w:rsidRPr="00335A32">
              <w:t>$289,000</w:t>
            </w:r>
          </w:p>
        </w:tc>
        <w:tc>
          <w:tcPr>
            <w:tcW w:w="2158" w:type="dxa"/>
          </w:tcPr>
          <w:p w:rsidR="00AC64DE" w:rsidRPr="00E563E1" w:rsidRDefault="001D6998" w:rsidP="00AC64DE">
            <w:pPr>
              <w:jc w:val="center"/>
            </w:pPr>
            <w:r>
              <w:t>80.9%</w:t>
            </w:r>
          </w:p>
        </w:tc>
      </w:tr>
      <w:tr w:rsidR="00AC64DE" w:rsidTr="009F4E65">
        <w:tc>
          <w:tcPr>
            <w:tcW w:w="6587" w:type="dxa"/>
          </w:tcPr>
          <w:p w:rsidR="00AC64DE" w:rsidRDefault="00966707" w:rsidP="00AC64DE">
            <w:r>
              <w:t>Quality a</w:t>
            </w:r>
            <w:r w:rsidR="00AC64DE">
              <w:t xml:space="preserve">ssurance </w:t>
            </w:r>
            <w:r w:rsidR="001103C8">
              <w:t>(7% of project cost</w:t>
            </w:r>
            <w:r w:rsidR="00AC64DE">
              <w:t>. When this table is near complete, calculate this and add it.</w:t>
            </w:r>
            <w:r w:rsidR="00AC64DE" w:rsidRPr="00DD16DA">
              <w:t>)</w:t>
            </w:r>
          </w:p>
        </w:tc>
        <w:tc>
          <w:tcPr>
            <w:tcW w:w="2158" w:type="dxa"/>
          </w:tcPr>
          <w:p w:rsidR="00AC64DE" w:rsidRPr="00335A32" w:rsidRDefault="00AC64DE" w:rsidP="00AC64DE">
            <w:pPr>
              <w:jc w:val="center"/>
            </w:pPr>
            <w:r w:rsidRPr="00335A32">
              <w:t>$</w:t>
            </w:r>
            <w:r w:rsidR="00192536" w:rsidRPr="00335A32">
              <w:t>23,380</w:t>
            </w:r>
          </w:p>
        </w:tc>
        <w:tc>
          <w:tcPr>
            <w:tcW w:w="2158" w:type="dxa"/>
          </w:tcPr>
          <w:p w:rsidR="00AC64DE" w:rsidRPr="00E563E1" w:rsidRDefault="001D6998" w:rsidP="00AC64DE">
            <w:pPr>
              <w:jc w:val="center"/>
            </w:pPr>
            <w:r>
              <w:t>6.5%</w:t>
            </w:r>
          </w:p>
        </w:tc>
      </w:tr>
      <w:tr w:rsidR="00AC64DE" w:rsidTr="009F4E65">
        <w:tc>
          <w:tcPr>
            <w:tcW w:w="6587" w:type="dxa"/>
          </w:tcPr>
          <w:p w:rsidR="00AC64DE" w:rsidRPr="00504E9A" w:rsidRDefault="00AC64DE" w:rsidP="00AC64DE">
            <w:r>
              <w:t xml:space="preserve">DAS Procurement Services </w:t>
            </w:r>
          </w:p>
        </w:tc>
        <w:tc>
          <w:tcPr>
            <w:tcW w:w="2158" w:type="dxa"/>
          </w:tcPr>
          <w:p w:rsidR="00AC64DE" w:rsidRPr="00335A32" w:rsidRDefault="00AC64DE" w:rsidP="00AC64DE">
            <w:pPr>
              <w:jc w:val="center"/>
            </w:pPr>
            <w:r w:rsidRPr="00335A32">
              <w:t>N/A</w:t>
            </w:r>
          </w:p>
        </w:tc>
        <w:tc>
          <w:tcPr>
            <w:tcW w:w="2158" w:type="dxa"/>
          </w:tcPr>
          <w:p w:rsidR="00AC64DE" w:rsidRPr="00E563E1" w:rsidRDefault="00AC64DE" w:rsidP="00AC64DE">
            <w:pPr>
              <w:jc w:val="center"/>
            </w:pPr>
          </w:p>
        </w:tc>
      </w:tr>
      <w:tr w:rsidR="00AC64DE" w:rsidTr="009F4E65">
        <w:tc>
          <w:tcPr>
            <w:tcW w:w="6587" w:type="dxa"/>
          </w:tcPr>
          <w:p w:rsidR="00AC64DE" w:rsidRPr="00504E9A" w:rsidRDefault="00AC64DE" w:rsidP="00AC64DE">
            <w:r>
              <w:t>SFMA – RSTARS/ADPICS</w:t>
            </w:r>
          </w:p>
        </w:tc>
        <w:tc>
          <w:tcPr>
            <w:tcW w:w="2158" w:type="dxa"/>
          </w:tcPr>
          <w:p w:rsidR="00AC64DE" w:rsidRPr="00335A32" w:rsidRDefault="00AC64DE" w:rsidP="00AC64DE">
            <w:pPr>
              <w:jc w:val="center"/>
            </w:pPr>
            <w:r w:rsidRPr="00335A32">
              <w:t>N/A</w:t>
            </w:r>
          </w:p>
        </w:tc>
        <w:tc>
          <w:tcPr>
            <w:tcW w:w="2158" w:type="dxa"/>
          </w:tcPr>
          <w:p w:rsidR="00AC64DE" w:rsidRPr="00E563E1" w:rsidRDefault="00AC64DE" w:rsidP="00AC64DE">
            <w:pPr>
              <w:jc w:val="center"/>
            </w:pPr>
          </w:p>
        </w:tc>
      </w:tr>
      <w:tr w:rsidR="00AC64DE" w:rsidTr="009F4E65">
        <w:tc>
          <w:tcPr>
            <w:tcW w:w="6587" w:type="dxa"/>
          </w:tcPr>
          <w:p w:rsidR="00AC64DE" w:rsidRPr="00504E9A" w:rsidRDefault="00AC64DE" w:rsidP="00AC64DE">
            <w:r>
              <w:t>Trim</w:t>
            </w:r>
          </w:p>
        </w:tc>
        <w:tc>
          <w:tcPr>
            <w:tcW w:w="2158" w:type="dxa"/>
          </w:tcPr>
          <w:p w:rsidR="00AC64DE" w:rsidRPr="00335A32" w:rsidRDefault="00AC64DE" w:rsidP="00AC64DE">
            <w:pPr>
              <w:jc w:val="center"/>
            </w:pPr>
            <w:r w:rsidRPr="00335A32">
              <w:t>N/A</w:t>
            </w:r>
          </w:p>
        </w:tc>
        <w:tc>
          <w:tcPr>
            <w:tcW w:w="2158" w:type="dxa"/>
          </w:tcPr>
          <w:p w:rsidR="00AC64DE" w:rsidRPr="00335A32" w:rsidRDefault="00AC64DE" w:rsidP="00AC64DE">
            <w:pPr>
              <w:jc w:val="center"/>
            </w:pPr>
          </w:p>
        </w:tc>
      </w:tr>
      <w:tr w:rsidR="00AC64DE" w:rsidTr="009F4E65">
        <w:tc>
          <w:tcPr>
            <w:tcW w:w="6587" w:type="dxa"/>
          </w:tcPr>
          <w:p w:rsidR="00AC64DE" w:rsidRPr="00504E9A" w:rsidRDefault="00AC64DE" w:rsidP="00AC64DE">
            <w:r>
              <w:t>ORPIN</w:t>
            </w:r>
          </w:p>
        </w:tc>
        <w:tc>
          <w:tcPr>
            <w:tcW w:w="2158" w:type="dxa"/>
          </w:tcPr>
          <w:p w:rsidR="00AC64DE" w:rsidRPr="00335A32" w:rsidRDefault="00AC64DE" w:rsidP="00AC64DE">
            <w:pPr>
              <w:jc w:val="center"/>
            </w:pPr>
            <w:r w:rsidRPr="00335A32">
              <w:t>N/A</w:t>
            </w:r>
          </w:p>
        </w:tc>
        <w:tc>
          <w:tcPr>
            <w:tcW w:w="2158" w:type="dxa"/>
          </w:tcPr>
          <w:p w:rsidR="00AC64DE" w:rsidRPr="00E563E1" w:rsidRDefault="00AC64DE" w:rsidP="00AC64DE">
            <w:pPr>
              <w:jc w:val="center"/>
            </w:pPr>
          </w:p>
        </w:tc>
      </w:tr>
      <w:tr w:rsidR="00AC64DE" w:rsidTr="009F4E65">
        <w:tc>
          <w:tcPr>
            <w:tcW w:w="6587" w:type="dxa"/>
          </w:tcPr>
          <w:p w:rsidR="00AC64DE" w:rsidRPr="00DB2AAB" w:rsidRDefault="00AC64DE" w:rsidP="00AC64DE">
            <w:pPr>
              <w:rPr>
                <w:sz w:val="24"/>
                <w:szCs w:val="24"/>
              </w:rPr>
            </w:pPr>
            <w:r w:rsidRPr="00DB2AAB">
              <w:rPr>
                <w:sz w:val="24"/>
                <w:szCs w:val="24"/>
              </w:rPr>
              <w:t>Total</w:t>
            </w:r>
          </w:p>
        </w:tc>
        <w:tc>
          <w:tcPr>
            <w:tcW w:w="2158" w:type="dxa"/>
          </w:tcPr>
          <w:p w:rsidR="00AC64DE" w:rsidRPr="00335A32" w:rsidRDefault="00AC64DE" w:rsidP="00AC64DE">
            <w:pPr>
              <w:jc w:val="center"/>
            </w:pPr>
            <w:r w:rsidRPr="00335A32">
              <w:t>$</w:t>
            </w:r>
            <w:r w:rsidR="001D6998">
              <w:t>357,38</w:t>
            </w:r>
            <w:r w:rsidR="0095120D" w:rsidRPr="00335A32">
              <w:t>0</w:t>
            </w:r>
          </w:p>
        </w:tc>
        <w:tc>
          <w:tcPr>
            <w:tcW w:w="2158" w:type="dxa"/>
          </w:tcPr>
          <w:p w:rsidR="00AC64DE" w:rsidRPr="00E563E1" w:rsidRDefault="001D6998" w:rsidP="00AC64DE">
            <w:pPr>
              <w:jc w:val="center"/>
            </w:pPr>
            <w:r>
              <w:t>100%</w:t>
            </w:r>
          </w:p>
        </w:tc>
      </w:tr>
    </w:tbl>
    <w:p w:rsidR="004A4B08" w:rsidRPr="004A4B08" w:rsidRDefault="004A4B08" w:rsidP="007F5E8C">
      <w:pPr>
        <w:pStyle w:val="Heading1"/>
      </w:pPr>
      <w:bookmarkStart w:id="18" w:name="_Toc468129769"/>
      <w:r>
        <w:t>Benefits Analysis</w:t>
      </w:r>
      <w:bookmarkEnd w:id="18"/>
    </w:p>
    <w:p w:rsidR="0089052B" w:rsidRDefault="004A4B08" w:rsidP="004A4B08">
      <w:r>
        <w:t xml:space="preserve">The following table depicts the overall business benefits of the </w:t>
      </w:r>
      <w:r w:rsidR="008E73DD">
        <w:t>business as usual alternative and proposed investment.  The following business benefits are rated on a “high, medium or low” value scale.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0"/>
        <w:gridCol w:w="2070"/>
        <w:gridCol w:w="2210"/>
      </w:tblGrid>
      <w:tr w:rsidR="0089052B" w:rsidTr="0089052B">
        <w:tc>
          <w:tcPr>
            <w:tcW w:w="10790" w:type="dxa"/>
            <w:gridSpan w:val="3"/>
          </w:tcPr>
          <w:p w:rsidR="0089052B" w:rsidRPr="0089052B" w:rsidRDefault="0089052B" w:rsidP="00890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Benefits</w:t>
            </w:r>
          </w:p>
        </w:tc>
      </w:tr>
      <w:tr w:rsidR="00784741" w:rsidTr="00784741">
        <w:tc>
          <w:tcPr>
            <w:tcW w:w="6510" w:type="dxa"/>
          </w:tcPr>
          <w:p w:rsidR="00784741" w:rsidRDefault="00784741" w:rsidP="00784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 Description</w:t>
            </w:r>
          </w:p>
        </w:tc>
        <w:tc>
          <w:tcPr>
            <w:tcW w:w="2070" w:type="dxa"/>
          </w:tcPr>
          <w:p w:rsidR="00784741" w:rsidRDefault="009F5679" w:rsidP="00890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as usual</w:t>
            </w:r>
          </w:p>
        </w:tc>
        <w:tc>
          <w:tcPr>
            <w:tcW w:w="2210" w:type="dxa"/>
          </w:tcPr>
          <w:p w:rsidR="00784741" w:rsidRDefault="00784741" w:rsidP="00890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SAAS Solution</w:t>
            </w:r>
          </w:p>
        </w:tc>
      </w:tr>
      <w:tr w:rsidR="00784741" w:rsidTr="00784741">
        <w:tc>
          <w:tcPr>
            <w:tcW w:w="6510" w:type="dxa"/>
          </w:tcPr>
          <w:p w:rsidR="00784741" w:rsidRPr="00784741" w:rsidRDefault="00784741" w:rsidP="00784741">
            <w:r>
              <w:t>Supports critical information requirements</w:t>
            </w:r>
          </w:p>
        </w:tc>
        <w:tc>
          <w:tcPr>
            <w:tcW w:w="2070" w:type="dxa"/>
          </w:tcPr>
          <w:p w:rsidR="00784741" w:rsidRPr="009F5679" w:rsidRDefault="009F5679" w:rsidP="0089052B">
            <w:pPr>
              <w:jc w:val="center"/>
            </w:pPr>
            <w:r w:rsidRPr="009F5679">
              <w:t>Low</w:t>
            </w:r>
          </w:p>
        </w:tc>
        <w:tc>
          <w:tcPr>
            <w:tcW w:w="2210" w:type="dxa"/>
          </w:tcPr>
          <w:p w:rsidR="00784741" w:rsidRPr="009F5679" w:rsidRDefault="009F5679" w:rsidP="009F5679">
            <w:pPr>
              <w:jc w:val="center"/>
            </w:pPr>
            <w:r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Improves access to information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Low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Reduces risk and exposure to the Secretary of State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Low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Supports internal controls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Low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Achieves policy objectives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Medium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Supports Legislative or regulatory compliance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Low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Pr="00784741" w:rsidRDefault="00D35355" w:rsidP="00D35355">
            <w:r>
              <w:t>Accommodates customer needs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 w:rsidRPr="00056AC1">
              <w:t>Low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Pr="00784741" w:rsidRDefault="00D35355" w:rsidP="00D35355">
            <w:r>
              <w:t>Procurements processed faster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 w:rsidRPr="00056AC1">
              <w:t>Low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Pr="00784741" w:rsidRDefault="00D35355" w:rsidP="00D35355">
            <w:r>
              <w:t>Has significant public relations value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 w:rsidRPr="00056AC1">
              <w:t>Low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Pr="00784741" w:rsidRDefault="00D35355" w:rsidP="00D35355">
            <w:r>
              <w:t>Supplies information effectively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 w:rsidRPr="00056AC1">
              <w:t>Low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Pr="00784741" w:rsidRDefault="00D35355" w:rsidP="00D35355">
            <w:r>
              <w:t>Information requests processed fast.  Enhanced customer satisfaction and improved public perception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 w:rsidRPr="00056AC1">
              <w:t>Low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Improves efficiency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Low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Eliminates duplication and redundant data entry</w:t>
            </w:r>
          </w:p>
        </w:tc>
        <w:tc>
          <w:tcPr>
            <w:tcW w:w="2070" w:type="dxa"/>
          </w:tcPr>
          <w:p w:rsidR="009F5679" w:rsidRPr="009F5679" w:rsidRDefault="00D35355" w:rsidP="00D35355">
            <w:pPr>
              <w:jc w:val="center"/>
            </w:pPr>
            <w:r>
              <w:t>N/A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Utilizes staff effectively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Low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Streamlines processes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N/A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Supports multiple function areas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Low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Provides standardized, well defined &amp; accessible information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Medium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9F5679" w:rsidTr="00784741">
        <w:tc>
          <w:tcPr>
            <w:tcW w:w="6510" w:type="dxa"/>
          </w:tcPr>
          <w:p w:rsidR="009F5679" w:rsidRPr="00784741" w:rsidRDefault="009F5679" w:rsidP="009F5679">
            <w:r>
              <w:t>Guarantees accountability</w:t>
            </w:r>
          </w:p>
        </w:tc>
        <w:tc>
          <w:tcPr>
            <w:tcW w:w="2070" w:type="dxa"/>
          </w:tcPr>
          <w:p w:rsidR="009F5679" w:rsidRPr="009F5679" w:rsidRDefault="00D35355" w:rsidP="009F5679">
            <w:pPr>
              <w:jc w:val="center"/>
            </w:pPr>
            <w:r>
              <w:t>Low</w:t>
            </w:r>
          </w:p>
        </w:tc>
        <w:tc>
          <w:tcPr>
            <w:tcW w:w="2210" w:type="dxa"/>
          </w:tcPr>
          <w:p w:rsidR="009F5679" w:rsidRPr="009F5679" w:rsidRDefault="009F5679" w:rsidP="009F5679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Pr="00784741" w:rsidRDefault="00D35355" w:rsidP="00D35355">
            <w:r>
              <w:t>Considers future information needs &amp; reporting requirements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 w:rsidRPr="006679A1">
              <w:t>Low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Pr="00784741" w:rsidRDefault="00D35355" w:rsidP="00D35355">
            <w:r>
              <w:t>Technology allows for expandability and adaptability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 w:rsidRPr="006679A1">
              <w:t>Low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Pr="00784741" w:rsidRDefault="00D35355" w:rsidP="00D35355">
            <w:r>
              <w:t>Supports shared services environment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 w:rsidRPr="006679A1">
              <w:t>Low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Default="00D35355" w:rsidP="00D35355">
            <w:r>
              <w:t>Provides new or improved service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>
              <w:t>N/A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  <w:tr w:rsidR="00D35355" w:rsidTr="00784741">
        <w:tc>
          <w:tcPr>
            <w:tcW w:w="6510" w:type="dxa"/>
          </w:tcPr>
          <w:p w:rsidR="00D35355" w:rsidRDefault="00D35355" w:rsidP="00D35355">
            <w:r>
              <w:t>Security com</w:t>
            </w:r>
            <w:r w:rsidR="0036462D">
              <w:t xml:space="preserve">pliance with DAS requirements and </w:t>
            </w:r>
            <w:r>
              <w:t>best practices</w:t>
            </w:r>
          </w:p>
        </w:tc>
        <w:tc>
          <w:tcPr>
            <w:tcW w:w="2070" w:type="dxa"/>
          </w:tcPr>
          <w:p w:rsidR="00D35355" w:rsidRPr="009F5679" w:rsidRDefault="00D35355" w:rsidP="00D35355">
            <w:pPr>
              <w:jc w:val="center"/>
            </w:pPr>
            <w:r w:rsidRPr="006679A1">
              <w:t>Low</w:t>
            </w:r>
          </w:p>
        </w:tc>
        <w:tc>
          <w:tcPr>
            <w:tcW w:w="2210" w:type="dxa"/>
          </w:tcPr>
          <w:p w:rsidR="00D35355" w:rsidRPr="009F5679" w:rsidRDefault="00D35355" w:rsidP="00D35355">
            <w:pPr>
              <w:jc w:val="center"/>
            </w:pPr>
            <w:r w:rsidRPr="001D37E1">
              <w:t>High</w:t>
            </w:r>
          </w:p>
        </w:tc>
      </w:tr>
    </w:tbl>
    <w:p w:rsidR="00AA3C13" w:rsidRDefault="00E47A04" w:rsidP="00E47A04">
      <w:pPr>
        <w:pStyle w:val="Heading1"/>
      </w:pPr>
      <w:bookmarkStart w:id="19" w:name="_Toc468129770"/>
      <w:r>
        <w:t>Conclusions and Recommendations</w:t>
      </w:r>
      <w:bookmarkEnd w:id="19"/>
    </w:p>
    <w:p w:rsidR="00E47A04" w:rsidRPr="005E4280" w:rsidRDefault="00E47A04" w:rsidP="005E4280">
      <w:pPr>
        <w:pStyle w:val="Heading2"/>
      </w:pPr>
      <w:bookmarkStart w:id="20" w:name="_Toc468129771"/>
      <w:r w:rsidRPr="005E4280">
        <w:t>Conclusions</w:t>
      </w:r>
      <w:bookmarkEnd w:id="20"/>
    </w:p>
    <w:p w:rsidR="00D94591" w:rsidRDefault="007329F4" w:rsidP="00E47A04">
      <w:pPr>
        <w:pStyle w:val="NoSpacing"/>
      </w:pPr>
      <w:r>
        <w:t>The true value associated with this project comes in the form of business benefits tha</w:t>
      </w:r>
      <w:r w:rsidR="0036462D">
        <w:t>t are not easily quantifiable. Overall the OregonBuys P</w:t>
      </w:r>
      <w:r>
        <w:t>roject is rooted in providing a modern, integrated information system that will provide a better customer experience and improve customer serv</w:t>
      </w:r>
      <w:r w:rsidR="0036462D">
        <w:t xml:space="preserve">ice and access to information. </w:t>
      </w:r>
      <w:r>
        <w:t xml:space="preserve">It </w:t>
      </w:r>
      <w:r w:rsidR="0036462D">
        <w:t>will provide the</w:t>
      </w:r>
      <w:r>
        <w:t xml:space="preserve"> Secretary of State</w:t>
      </w:r>
      <w:r w:rsidR="0036462D">
        <w:t>’s office</w:t>
      </w:r>
      <w:r>
        <w:t xml:space="preserve"> with an integrated procurement and pa</w:t>
      </w:r>
      <w:r w:rsidR="0036462D">
        <w:t xml:space="preserve">yment system which </w:t>
      </w:r>
      <w:r>
        <w:t>will allow all data and processes to be housed in one system</w:t>
      </w:r>
      <w:r w:rsidR="0036462D">
        <w:t>,</w:t>
      </w:r>
      <w:r>
        <w:t xml:space="preserve"> maki</w:t>
      </w:r>
      <w:r w:rsidR="0036462D">
        <w:t xml:space="preserve">ng the process more streamlined and accurate. </w:t>
      </w:r>
      <w:r>
        <w:t xml:space="preserve">It will </w:t>
      </w:r>
      <w:r w:rsidR="0036462D">
        <w:t xml:space="preserve">also benefit SoS </w:t>
      </w:r>
      <w:r>
        <w:t>by providing the agency with a system that</w:t>
      </w:r>
      <w:r w:rsidR="0036462D">
        <w:t xml:space="preserve"> minimizes data redundancy, has</w:t>
      </w:r>
      <w:r>
        <w:t xml:space="preserve"> better reporting capabilities, </w:t>
      </w:r>
      <w:r w:rsidR="00AB6C1F">
        <w:t>reduce</w:t>
      </w:r>
      <w:r w:rsidR="0036462D">
        <w:t>s</w:t>
      </w:r>
      <w:r w:rsidR="00AB6C1F">
        <w:t xml:space="preserve"> the risk of data entry errors</w:t>
      </w:r>
      <w:r w:rsidR="00F51C90">
        <w:t xml:space="preserve">, </w:t>
      </w:r>
      <w:r w:rsidR="001217ED">
        <w:t xml:space="preserve">and </w:t>
      </w:r>
      <w:r w:rsidR="00F51C90">
        <w:t>provides for an enhanced vendor experience</w:t>
      </w:r>
      <w:r w:rsidR="00AB6C1F">
        <w:t xml:space="preserve">.  </w:t>
      </w:r>
    </w:p>
    <w:p w:rsidR="00D94591" w:rsidRPr="005E4280" w:rsidRDefault="00D94591" w:rsidP="005E4280">
      <w:pPr>
        <w:pStyle w:val="Heading2"/>
      </w:pPr>
      <w:bookmarkStart w:id="21" w:name="_Toc468129772"/>
      <w:r w:rsidRPr="005E4280">
        <w:t>Recommendations</w:t>
      </w:r>
      <w:bookmarkEnd w:id="21"/>
    </w:p>
    <w:p w:rsidR="00E47A04" w:rsidRDefault="0036462D" w:rsidP="00E47A04">
      <w:pPr>
        <w:pStyle w:val="NoSpacing"/>
      </w:pPr>
      <w:r>
        <w:t xml:space="preserve">The </w:t>
      </w:r>
      <w:r w:rsidR="00D94591">
        <w:t>Secretary of State</w:t>
      </w:r>
      <w:r>
        <w:t>’s office</w:t>
      </w:r>
      <w:r w:rsidR="00D94591">
        <w:t xml:space="preserve"> recommends implementing the proposed investment, which documents, optimizes and re-engineers current business practices, </w:t>
      </w:r>
      <w:r>
        <w:t xml:space="preserve">and ultimately implements a </w:t>
      </w:r>
      <w:r w:rsidR="00D94591">
        <w:t>technical solution for capturing, storing, tracking and reporting information related to the procurement of and payment for agency goods and services.</w:t>
      </w:r>
      <w:r w:rsidR="007329F4">
        <w:t xml:space="preserve"> </w:t>
      </w:r>
    </w:p>
    <w:p w:rsidR="00FA4D66" w:rsidRDefault="00FA4D66">
      <w:pPr>
        <w:rPr>
          <w:rFonts w:asciiTheme="majorHAnsi" w:eastAsiaTheme="majorEastAsia" w:hAnsiTheme="majorHAnsi" w:cstheme="majorBidi"/>
          <w:b/>
          <w:color w:val="002060"/>
          <w:sz w:val="32"/>
          <w:szCs w:val="32"/>
        </w:rPr>
      </w:pPr>
      <w:r>
        <w:br w:type="page"/>
      </w:r>
    </w:p>
    <w:p w:rsidR="002F5E12" w:rsidRPr="00CA7B8C" w:rsidRDefault="00FA4D66" w:rsidP="00476D11">
      <w:pPr>
        <w:pStyle w:val="Heading1"/>
      </w:pPr>
      <w:bookmarkStart w:id="22" w:name="_Toc468129773"/>
      <w:r>
        <w:t xml:space="preserve">Appendix - </w:t>
      </w:r>
      <w:r w:rsidR="002F5E12">
        <w:t xml:space="preserve">Procurement </w:t>
      </w:r>
      <w:r w:rsidR="00F16D03">
        <w:t>Project</w:t>
      </w:r>
      <w:r w:rsidR="002F5E12">
        <w:t xml:space="preserve"> </w:t>
      </w:r>
      <w:r w:rsidR="00C745F8">
        <w:t>Cost</w:t>
      </w:r>
      <w:r w:rsidR="002F5E12">
        <w:t xml:space="preserve"> Worksheet</w:t>
      </w:r>
      <w:bookmarkEnd w:id="22"/>
    </w:p>
    <w:p w:rsidR="002F5E12" w:rsidRPr="007F1F7E" w:rsidRDefault="00355353" w:rsidP="002F5E12">
      <w:pPr>
        <w:pStyle w:val="Heading2"/>
      </w:pPr>
      <w:bookmarkStart w:id="23" w:name="_Toc468129774"/>
      <w:r>
        <w:t>Project cost to be paid to vendor from acquisition of new solution, configuration and go live</w:t>
      </w:r>
      <w:bookmarkEnd w:id="23"/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8693"/>
        <w:gridCol w:w="2210"/>
      </w:tblGrid>
      <w:tr w:rsidR="003E6EBF" w:rsidRPr="00653812" w:rsidTr="006E32C9">
        <w:tc>
          <w:tcPr>
            <w:tcW w:w="8693" w:type="dxa"/>
          </w:tcPr>
          <w:p w:rsidR="003E6EBF" w:rsidRPr="00653812" w:rsidRDefault="003E6EBF" w:rsidP="00784741">
            <w:pPr>
              <w:rPr>
                <w:b/>
              </w:rPr>
            </w:pPr>
            <w:r w:rsidRPr="00653812">
              <w:rPr>
                <w:b/>
              </w:rPr>
              <w:t>Software</w:t>
            </w:r>
          </w:p>
        </w:tc>
        <w:tc>
          <w:tcPr>
            <w:tcW w:w="2210" w:type="dxa"/>
          </w:tcPr>
          <w:p w:rsidR="003E6EBF" w:rsidRPr="00653812" w:rsidRDefault="003E6EBF" w:rsidP="002E79D9">
            <w:pPr>
              <w:rPr>
                <w:b/>
              </w:rPr>
            </w:pPr>
            <w:r>
              <w:rPr>
                <w:b/>
              </w:rPr>
              <w:t>Biennium 2017-2019</w:t>
            </w:r>
          </w:p>
        </w:tc>
      </w:tr>
      <w:tr w:rsidR="003E6EBF" w:rsidRPr="00653812" w:rsidTr="006E32C9">
        <w:tc>
          <w:tcPr>
            <w:tcW w:w="8693" w:type="dxa"/>
          </w:tcPr>
          <w:p w:rsidR="003E6EBF" w:rsidRPr="00775C80" w:rsidRDefault="003E6EBF" w:rsidP="0020147C">
            <w:r>
              <w:t xml:space="preserve">Software Acquisition (is there </w:t>
            </w:r>
            <w:r w:rsidR="0020147C">
              <w:t>a</w:t>
            </w:r>
            <w:r>
              <w:t xml:space="preserve"> </w:t>
            </w:r>
            <w:r w:rsidR="0020147C">
              <w:t>onetime</w:t>
            </w:r>
            <w:r>
              <w:t xml:space="preserve"> upfront acquisition cost other than the ones listed below? </w:t>
            </w:r>
            <w:r w:rsidR="0075254F">
              <w:t>Like cost to be paid to DOJ for their hours in legal review? Or Cost for Vendor to do an estimation</w:t>
            </w:r>
            <w:r w:rsidR="00572812">
              <w:t xml:space="preserve"> for items below</w:t>
            </w:r>
            <w:r w:rsidR="0075254F">
              <w:t xml:space="preserve">? </w:t>
            </w:r>
            <w:r>
              <w:t>If not, mark this as zero or delete this row.)</w:t>
            </w:r>
          </w:p>
        </w:tc>
        <w:tc>
          <w:tcPr>
            <w:tcW w:w="2210" w:type="dxa"/>
          </w:tcPr>
          <w:p w:rsidR="003E6EBF" w:rsidRPr="00966707" w:rsidRDefault="003E6EBF" w:rsidP="00E423AE">
            <w:pPr>
              <w:rPr>
                <w:b/>
              </w:rPr>
            </w:pPr>
            <w:r w:rsidRPr="00966707">
              <w:t>$</w:t>
            </w:r>
            <w:r w:rsidR="008D4CBC" w:rsidRPr="00966707">
              <w:t>35,000</w:t>
            </w:r>
          </w:p>
        </w:tc>
      </w:tr>
      <w:tr w:rsidR="003E6EBF" w:rsidTr="006E32C9">
        <w:tc>
          <w:tcPr>
            <w:tcW w:w="8693" w:type="dxa"/>
          </w:tcPr>
          <w:p w:rsidR="003E6EBF" w:rsidRDefault="003E6EBF" w:rsidP="00B27AF9">
            <w:r>
              <w:t>Cost of Staging Environment configuration for Secretary of State by Vendor at Vendor SaaS Solution</w:t>
            </w:r>
          </w:p>
        </w:tc>
        <w:tc>
          <w:tcPr>
            <w:tcW w:w="2210" w:type="dxa"/>
          </w:tcPr>
          <w:p w:rsidR="003E6EBF" w:rsidRPr="00966707" w:rsidRDefault="008D4CBC" w:rsidP="00784741">
            <w:r w:rsidRPr="00966707">
              <w:t>Included</w:t>
            </w:r>
            <w:r w:rsidRPr="00966707" w:rsidDel="008D4CBC">
              <w:t xml:space="preserve"> </w:t>
            </w:r>
          </w:p>
        </w:tc>
      </w:tr>
      <w:tr w:rsidR="003E6EBF" w:rsidTr="006E32C9">
        <w:tc>
          <w:tcPr>
            <w:tcW w:w="8693" w:type="dxa"/>
          </w:tcPr>
          <w:p w:rsidR="003E6EBF" w:rsidRDefault="003E6EBF" w:rsidP="00784741">
            <w:r>
              <w:t>Change Management Cost: Vendor</w:t>
            </w:r>
          </w:p>
        </w:tc>
        <w:tc>
          <w:tcPr>
            <w:tcW w:w="2210" w:type="dxa"/>
          </w:tcPr>
          <w:p w:rsidR="003E6EBF" w:rsidRPr="00966707" w:rsidRDefault="008D4CBC" w:rsidP="00784741">
            <w:r w:rsidRPr="00966707">
              <w:t>N/A</w:t>
            </w:r>
          </w:p>
        </w:tc>
      </w:tr>
      <w:tr w:rsidR="003E6EBF" w:rsidTr="006E32C9">
        <w:tc>
          <w:tcPr>
            <w:tcW w:w="8693" w:type="dxa"/>
          </w:tcPr>
          <w:p w:rsidR="003E6EBF" w:rsidRDefault="003E6EBF" w:rsidP="00EF1262">
            <w:r>
              <w:t>Cost of Data Conversion / migration in Staging Environment by Vendor</w:t>
            </w:r>
          </w:p>
        </w:tc>
        <w:tc>
          <w:tcPr>
            <w:tcW w:w="2210" w:type="dxa"/>
          </w:tcPr>
          <w:p w:rsidR="003E6EBF" w:rsidRPr="00966707" w:rsidRDefault="008D4CBC" w:rsidP="00784741">
            <w:r w:rsidRPr="00966707">
              <w:t>N/A</w:t>
            </w:r>
          </w:p>
        </w:tc>
      </w:tr>
      <w:tr w:rsidR="003E6EBF" w:rsidTr="006E32C9">
        <w:tc>
          <w:tcPr>
            <w:tcW w:w="8693" w:type="dxa"/>
          </w:tcPr>
          <w:p w:rsidR="003E6EBF" w:rsidRDefault="003E6EBF" w:rsidP="005C2DF9">
            <w:r>
              <w:t>Training by Vendor</w:t>
            </w:r>
          </w:p>
        </w:tc>
        <w:tc>
          <w:tcPr>
            <w:tcW w:w="2210" w:type="dxa"/>
          </w:tcPr>
          <w:p w:rsidR="003E6EBF" w:rsidRPr="00966707" w:rsidRDefault="008D4CBC" w:rsidP="00784741">
            <w:r w:rsidRPr="00966707">
              <w:t>Included</w:t>
            </w:r>
          </w:p>
        </w:tc>
      </w:tr>
      <w:tr w:rsidR="003E6EBF" w:rsidTr="006E32C9">
        <w:tc>
          <w:tcPr>
            <w:tcW w:w="8693" w:type="dxa"/>
          </w:tcPr>
          <w:p w:rsidR="003E6EBF" w:rsidRDefault="003E6EBF" w:rsidP="004E1F1A">
            <w:r>
              <w:t>Cost of Production Environment configuration for Secretary of State by Vendor at Vendor SaaS Solution</w:t>
            </w:r>
          </w:p>
        </w:tc>
        <w:tc>
          <w:tcPr>
            <w:tcW w:w="2210" w:type="dxa"/>
          </w:tcPr>
          <w:p w:rsidR="003E6EBF" w:rsidRPr="00966707" w:rsidRDefault="008D4CBC" w:rsidP="00784741">
            <w:r w:rsidRPr="00966707">
              <w:t>Included</w:t>
            </w:r>
          </w:p>
        </w:tc>
      </w:tr>
      <w:tr w:rsidR="003E6EBF" w:rsidTr="006E32C9">
        <w:tc>
          <w:tcPr>
            <w:tcW w:w="8693" w:type="dxa"/>
          </w:tcPr>
          <w:p w:rsidR="003E6EBF" w:rsidRDefault="003E6EBF" w:rsidP="005B5C5F">
            <w:r>
              <w:t>Cost of Data Migration in Production Environment by Vendor</w:t>
            </w:r>
          </w:p>
        </w:tc>
        <w:tc>
          <w:tcPr>
            <w:tcW w:w="2210" w:type="dxa"/>
          </w:tcPr>
          <w:p w:rsidR="003E6EBF" w:rsidRPr="00966707" w:rsidRDefault="008D4CBC" w:rsidP="00784741">
            <w:r w:rsidRPr="00966707">
              <w:t>N/A</w:t>
            </w:r>
          </w:p>
        </w:tc>
      </w:tr>
      <w:tr w:rsidR="003E6EBF" w:rsidTr="006E32C9">
        <w:tc>
          <w:tcPr>
            <w:tcW w:w="8693" w:type="dxa"/>
          </w:tcPr>
          <w:p w:rsidR="003E6EBF" w:rsidRDefault="003E6EBF" w:rsidP="00515167">
            <w:r>
              <w:t>API dev for DAS systems: Vendor (This cost is zero for Secretary of State. It is expected to be developed by Vendor as part of O</w:t>
            </w:r>
            <w:r w:rsidR="00515167">
              <w:t>regonBuys</w:t>
            </w:r>
            <w:r>
              <w:t xml:space="preserve"> project)</w:t>
            </w:r>
          </w:p>
        </w:tc>
        <w:tc>
          <w:tcPr>
            <w:tcW w:w="2210" w:type="dxa"/>
          </w:tcPr>
          <w:p w:rsidR="003E6EBF" w:rsidRPr="00966707" w:rsidRDefault="003E6EBF" w:rsidP="00784741">
            <w:r w:rsidRPr="00966707">
              <w:t>$0.00</w:t>
            </w:r>
          </w:p>
        </w:tc>
      </w:tr>
      <w:tr w:rsidR="00317E9C" w:rsidTr="006E32C9">
        <w:tc>
          <w:tcPr>
            <w:tcW w:w="8693" w:type="dxa"/>
          </w:tcPr>
          <w:p w:rsidR="00F54B2C" w:rsidRDefault="00317E9C" w:rsidP="001B5DDA">
            <w:r>
              <w:t xml:space="preserve">Licensing </w:t>
            </w:r>
            <w:r w:rsidR="00CB6127">
              <w:t xml:space="preserve">cost </w:t>
            </w:r>
            <w:r w:rsidR="00966707">
              <w:t xml:space="preserve">for two years (Per year, </w:t>
            </w:r>
            <w:r>
              <w:t xml:space="preserve">per user cost * </w:t>
            </w:r>
            <w:r w:rsidR="001B5DDA">
              <w:t>20</w:t>
            </w:r>
            <w:r w:rsidR="00AB4A99">
              <w:t xml:space="preserve"> users</w:t>
            </w:r>
            <w:r>
              <w:t xml:space="preserve"> * 2</w:t>
            </w:r>
            <w:r w:rsidR="00AB4A99">
              <w:t xml:space="preserve"> years</w:t>
            </w:r>
            <w:r>
              <w:t>)</w:t>
            </w:r>
          </w:p>
          <w:p w:rsidR="00317E9C" w:rsidRDefault="00F54B2C" w:rsidP="001B5DDA">
            <w:r>
              <w:t>Support cost for new solution after go live for 2017-2019 biennium. (This depends on service level agreement and selection of a support like Gold, Silver and Bronze support levels from Vendor)</w:t>
            </w:r>
          </w:p>
        </w:tc>
        <w:tc>
          <w:tcPr>
            <w:tcW w:w="2210" w:type="dxa"/>
          </w:tcPr>
          <w:p w:rsidR="00317E9C" w:rsidRPr="00966707" w:rsidRDefault="00D92E93" w:rsidP="00784741">
            <w:r w:rsidRPr="00966707">
              <w:t>$</w:t>
            </w:r>
            <w:r w:rsidR="008D4CBC" w:rsidRPr="00966707">
              <w:t>10,000</w:t>
            </w:r>
          </w:p>
        </w:tc>
      </w:tr>
      <w:tr w:rsidR="003E6EBF" w:rsidTr="006E32C9">
        <w:tc>
          <w:tcPr>
            <w:tcW w:w="8693" w:type="dxa"/>
          </w:tcPr>
          <w:p w:rsidR="003E6EBF" w:rsidRDefault="003E6EBF" w:rsidP="00C34EF7"/>
        </w:tc>
        <w:tc>
          <w:tcPr>
            <w:tcW w:w="2210" w:type="dxa"/>
          </w:tcPr>
          <w:p w:rsidR="003E6EBF" w:rsidRDefault="003E6EBF" w:rsidP="00784741"/>
        </w:tc>
      </w:tr>
      <w:tr w:rsidR="003E6EBF" w:rsidTr="006E32C9">
        <w:tc>
          <w:tcPr>
            <w:tcW w:w="8693" w:type="dxa"/>
          </w:tcPr>
          <w:p w:rsidR="003E6EBF" w:rsidRPr="005B1C0E" w:rsidRDefault="003E6EBF" w:rsidP="00784741">
            <w:pPr>
              <w:jc w:val="right"/>
              <w:rPr>
                <w:b/>
              </w:rPr>
            </w:pPr>
            <w:r w:rsidRPr="005B1C0E">
              <w:rPr>
                <w:b/>
              </w:rPr>
              <w:t>Total</w:t>
            </w:r>
          </w:p>
        </w:tc>
        <w:tc>
          <w:tcPr>
            <w:tcW w:w="2210" w:type="dxa"/>
          </w:tcPr>
          <w:p w:rsidR="003E6EBF" w:rsidRDefault="00D92E93" w:rsidP="00784741">
            <w:r>
              <w:t>$</w:t>
            </w:r>
            <w:r w:rsidR="00F54B2C">
              <w:t>45,000</w:t>
            </w:r>
          </w:p>
        </w:tc>
      </w:tr>
    </w:tbl>
    <w:p w:rsidR="002F5E12" w:rsidRDefault="002F5E12" w:rsidP="002F5E12">
      <w:pPr>
        <w:pStyle w:val="Heading2"/>
      </w:pPr>
      <w:bookmarkStart w:id="24" w:name="_Toc468129775"/>
      <w:r>
        <w:t>Assumptions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8"/>
      </w:tblGrid>
      <w:tr w:rsidR="002F5E12" w:rsidTr="00645104">
        <w:tc>
          <w:tcPr>
            <w:tcW w:w="10498" w:type="dxa"/>
          </w:tcPr>
          <w:p w:rsidR="00D42ED8" w:rsidRDefault="00966707" w:rsidP="00D42ED8">
            <w:pPr>
              <w:pStyle w:val="ListParagraph"/>
              <w:numPr>
                <w:ilvl w:val="0"/>
                <w:numId w:val="1"/>
              </w:numPr>
            </w:pPr>
            <w:r>
              <w:t xml:space="preserve">This is software as a </w:t>
            </w:r>
            <w:r w:rsidR="00D42ED8">
              <w:t>solu</w:t>
            </w:r>
            <w:r>
              <w:t>tion. There is no hardware cost</w:t>
            </w:r>
            <w:r w:rsidR="00D42ED8">
              <w:t>.</w:t>
            </w:r>
          </w:p>
          <w:p w:rsidR="002F5E12" w:rsidRDefault="00966707" w:rsidP="00D42ED8">
            <w:pPr>
              <w:pStyle w:val="ListParagraph"/>
              <w:numPr>
                <w:ilvl w:val="0"/>
                <w:numId w:val="1"/>
              </w:numPr>
            </w:pPr>
            <w:r>
              <w:t>Licensing is for 20 u</w:t>
            </w:r>
            <w:r w:rsidR="002F5E12">
              <w:t>sers.</w:t>
            </w:r>
          </w:p>
          <w:p w:rsidR="002F5E12" w:rsidRDefault="002F5E12" w:rsidP="00D42ED8">
            <w:pPr>
              <w:pStyle w:val="ListParagraph"/>
              <w:numPr>
                <w:ilvl w:val="0"/>
                <w:numId w:val="1"/>
              </w:numPr>
            </w:pPr>
            <w:r>
              <w:t xml:space="preserve">There will be ongoing costs for licensing in </w:t>
            </w:r>
            <w:r w:rsidR="00966707">
              <w:t xml:space="preserve">the </w:t>
            </w:r>
            <w:r>
              <w:t xml:space="preserve">SAAS model. Future costs are not calculated here. This is the cost of implementation plus </w:t>
            </w:r>
            <w:r w:rsidR="00966707">
              <w:t xml:space="preserve">the </w:t>
            </w:r>
            <w:r>
              <w:t xml:space="preserve">first </w:t>
            </w:r>
            <w:r w:rsidR="00D60DD6">
              <w:t xml:space="preserve">two </w:t>
            </w:r>
            <w:r>
              <w:t>year</w:t>
            </w:r>
            <w:r w:rsidR="00966707">
              <w:t>s of</w:t>
            </w:r>
            <w:r>
              <w:t xml:space="preserve"> licensing costs.</w:t>
            </w:r>
          </w:p>
        </w:tc>
      </w:tr>
    </w:tbl>
    <w:p w:rsidR="002F5E12" w:rsidRDefault="002F5E12" w:rsidP="002F5E12">
      <w:pPr>
        <w:pStyle w:val="Heading2"/>
      </w:pPr>
    </w:p>
    <w:p w:rsidR="002F5E12" w:rsidRDefault="00AC4AFB" w:rsidP="002F5E12">
      <w:pPr>
        <w:pStyle w:val="Heading2"/>
      </w:pPr>
      <w:bookmarkStart w:id="25" w:name="_Toc468129776"/>
      <w:r>
        <w:t xml:space="preserve">Hours </w:t>
      </w:r>
      <w:r w:rsidR="008D2CF1">
        <w:t>allocated by</w:t>
      </w:r>
      <w:r>
        <w:t xml:space="preserve"> Secretary of State</w:t>
      </w:r>
      <w:r w:rsidR="008936FA">
        <w:t xml:space="preserve"> Staff</w:t>
      </w:r>
      <w:r w:rsidR="008D2CF1">
        <w:t xml:space="preserve"> for this Project and Cost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30"/>
        <w:gridCol w:w="1530"/>
        <w:gridCol w:w="1530"/>
        <w:gridCol w:w="810"/>
        <w:gridCol w:w="1313"/>
      </w:tblGrid>
      <w:tr w:rsidR="00444D99" w:rsidRPr="00653812" w:rsidTr="00182ACA">
        <w:tc>
          <w:tcPr>
            <w:tcW w:w="3775" w:type="dxa"/>
          </w:tcPr>
          <w:p w:rsidR="00444D99" w:rsidRPr="00653812" w:rsidRDefault="00444D99" w:rsidP="00784741">
            <w:pPr>
              <w:rPr>
                <w:b/>
              </w:rPr>
            </w:pPr>
            <w:r>
              <w:rPr>
                <w:b/>
              </w:rPr>
              <w:t>Staffing</w:t>
            </w:r>
          </w:p>
        </w:tc>
        <w:tc>
          <w:tcPr>
            <w:tcW w:w="1530" w:type="dxa"/>
          </w:tcPr>
          <w:p w:rsidR="00444D99" w:rsidRDefault="00444D99" w:rsidP="00784741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  <w:r w:rsidRPr="00653812">
              <w:rPr>
                <w:b/>
              </w:rPr>
              <w:t>FY 2016</w:t>
            </w:r>
          </w:p>
          <w:p w:rsidR="00444D99" w:rsidRPr="00653812" w:rsidRDefault="00444D99" w:rsidP="00784741">
            <w:pPr>
              <w:rPr>
                <w:b/>
              </w:rPr>
            </w:pPr>
            <w:r>
              <w:rPr>
                <w:b/>
              </w:rPr>
              <w:t>Oct16-Dec16</w:t>
            </w:r>
          </w:p>
        </w:tc>
        <w:tc>
          <w:tcPr>
            <w:tcW w:w="1530" w:type="dxa"/>
          </w:tcPr>
          <w:p w:rsidR="00444D99" w:rsidRDefault="00444D99" w:rsidP="00784741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  <w:r w:rsidRPr="00653812">
              <w:rPr>
                <w:b/>
              </w:rPr>
              <w:t>FY 2017</w:t>
            </w:r>
          </w:p>
          <w:p w:rsidR="00444D99" w:rsidRPr="00653812" w:rsidRDefault="00444D99" w:rsidP="008E0D3E">
            <w:pPr>
              <w:rPr>
                <w:b/>
              </w:rPr>
            </w:pPr>
            <w:r>
              <w:rPr>
                <w:b/>
              </w:rPr>
              <w:t>Jan17-Dec17</w:t>
            </w:r>
          </w:p>
        </w:tc>
        <w:tc>
          <w:tcPr>
            <w:tcW w:w="1530" w:type="dxa"/>
          </w:tcPr>
          <w:p w:rsidR="00444D99" w:rsidRDefault="00444D99" w:rsidP="00784741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  <w:r w:rsidRPr="00653812">
              <w:rPr>
                <w:b/>
              </w:rPr>
              <w:t>FY 2018</w:t>
            </w:r>
          </w:p>
          <w:p w:rsidR="00444D99" w:rsidRPr="00653812" w:rsidRDefault="00444D99" w:rsidP="008E0D3E">
            <w:pPr>
              <w:rPr>
                <w:b/>
              </w:rPr>
            </w:pPr>
            <w:r>
              <w:rPr>
                <w:b/>
              </w:rPr>
              <w:t>Jan18-Jun18</w:t>
            </w:r>
          </w:p>
        </w:tc>
        <w:tc>
          <w:tcPr>
            <w:tcW w:w="810" w:type="dxa"/>
          </w:tcPr>
          <w:p w:rsidR="00444D99" w:rsidRDefault="00444D99" w:rsidP="00784741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  <w:p w:rsidR="00444D99" w:rsidRPr="00653812" w:rsidRDefault="00444D99" w:rsidP="00784741">
            <w:pPr>
              <w:rPr>
                <w:b/>
              </w:rPr>
            </w:pPr>
            <w:r w:rsidRPr="00653812">
              <w:rPr>
                <w:b/>
              </w:rPr>
              <w:t>Total</w:t>
            </w:r>
          </w:p>
        </w:tc>
        <w:tc>
          <w:tcPr>
            <w:tcW w:w="810" w:type="dxa"/>
          </w:tcPr>
          <w:p w:rsidR="00444D99" w:rsidRDefault="00444D99" w:rsidP="00784741">
            <w:pPr>
              <w:rPr>
                <w:b/>
              </w:rPr>
            </w:pPr>
            <w:r>
              <w:rPr>
                <w:b/>
              </w:rPr>
              <w:t>Cost $</w:t>
            </w:r>
          </w:p>
          <w:p w:rsidR="00444D99" w:rsidRDefault="00444D99" w:rsidP="00444D99">
            <w:pPr>
              <w:rPr>
                <w:b/>
              </w:rPr>
            </w:pPr>
            <w:r>
              <w:rPr>
                <w:b/>
              </w:rPr>
              <w:t>Hours*</w:t>
            </w:r>
            <w:r w:rsidR="00E673A1">
              <w:rPr>
                <w:b/>
              </w:rPr>
              <w:t>$</w:t>
            </w:r>
            <w:r>
              <w:rPr>
                <w:b/>
              </w:rPr>
              <w:t>100</w:t>
            </w:r>
          </w:p>
        </w:tc>
      </w:tr>
      <w:tr w:rsidR="00444D99" w:rsidTr="00182ACA">
        <w:tc>
          <w:tcPr>
            <w:tcW w:w="3775" w:type="dxa"/>
          </w:tcPr>
          <w:p w:rsidR="00444D99" w:rsidRDefault="00444D99" w:rsidP="008E0D3E">
            <w:r>
              <w:t xml:space="preserve">Application Administrator, BSD. Jennifer Friesen.  (10 hours per week). </w:t>
            </w:r>
          </w:p>
        </w:tc>
        <w:tc>
          <w:tcPr>
            <w:tcW w:w="1530" w:type="dxa"/>
          </w:tcPr>
          <w:p w:rsidR="00444D99" w:rsidRDefault="00444D99" w:rsidP="00784741">
            <w:r>
              <w:t>120</w:t>
            </w:r>
          </w:p>
        </w:tc>
        <w:tc>
          <w:tcPr>
            <w:tcW w:w="1530" w:type="dxa"/>
          </w:tcPr>
          <w:p w:rsidR="00444D99" w:rsidRDefault="00444D99" w:rsidP="00784741">
            <w:r>
              <w:t>520</w:t>
            </w:r>
          </w:p>
        </w:tc>
        <w:tc>
          <w:tcPr>
            <w:tcW w:w="1530" w:type="dxa"/>
          </w:tcPr>
          <w:p w:rsidR="00444D99" w:rsidRDefault="00444D99" w:rsidP="00784741">
            <w:r>
              <w:t>260</w:t>
            </w:r>
          </w:p>
        </w:tc>
        <w:tc>
          <w:tcPr>
            <w:tcW w:w="810" w:type="dxa"/>
          </w:tcPr>
          <w:p w:rsidR="00444D99" w:rsidRDefault="00444D99" w:rsidP="00D269C4">
            <w:r>
              <w:t>900</w:t>
            </w:r>
          </w:p>
        </w:tc>
        <w:tc>
          <w:tcPr>
            <w:tcW w:w="810" w:type="dxa"/>
          </w:tcPr>
          <w:p w:rsidR="00444D99" w:rsidRDefault="00444D99" w:rsidP="00D269C4">
            <w:r>
              <w:t>$</w:t>
            </w:r>
            <w:r w:rsidR="00FE4CE5">
              <w:t>90,000</w:t>
            </w:r>
          </w:p>
        </w:tc>
      </w:tr>
      <w:tr w:rsidR="00444D99" w:rsidTr="00182ACA">
        <w:tc>
          <w:tcPr>
            <w:tcW w:w="3775" w:type="dxa"/>
          </w:tcPr>
          <w:p w:rsidR="00444D99" w:rsidRDefault="00444D99" w:rsidP="00072F39">
            <w:r>
              <w:t>Procurement Subject Matter Expert, BSD. Linda Lichty. (5 hours per week).</w:t>
            </w:r>
          </w:p>
        </w:tc>
        <w:tc>
          <w:tcPr>
            <w:tcW w:w="1530" w:type="dxa"/>
          </w:tcPr>
          <w:p w:rsidR="00444D99" w:rsidRDefault="00444D99" w:rsidP="007A439D">
            <w:r>
              <w:t>60</w:t>
            </w:r>
          </w:p>
        </w:tc>
        <w:tc>
          <w:tcPr>
            <w:tcW w:w="1530" w:type="dxa"/>
          </w:tcPr>
          <w:p w:rsidR="00444D99" w:rsidRDefault="00444D99" w:rsidP="007A439D">
            <w:r>
              <w:t>260</w:t>
            </w:r>
          </w:p>
        </w:tc>
        <w:tc>
          <w:tcPr>
            <w:tcW w:w="1530" w:type="dxa"/>
          </w:tcPr>
          <w:p w:rsidR="00444D99" w:rsidRDefault="00444D99" w:rsidP="007A439D">
            <w:r>
              <w:t>130</w:t>
            </w:r>
          </w:p>
        </w:tc>
        <w:tc>
          <w:tcPr>
            <w:tcW w:w="810" w:type="dxa"/>
          </w:tcPr>
          <w:p w:rsidR="00444D99" w:rsidRDefault="00444D99" w:rsidP="007A439D">
            <w:r>
              <w:t>450</w:t>
            </w:r>
          </w:p>
        </w:tc>
        <w:tc>
          <w:tcPr>
            <w:tcW w:w="810" w:type="dxa"/>
          </w:tcPr>
          <w:p w:rsidR="00444D99" w:rsidRDefault="00FE4CE5" w:rsidP="00FE4CE5">
            <w:r>
              <w:t>$45,000</w:t>
            </w:r>
          </w:p>
        </w:tc>
      </w:tr>
      <w:tr w:rsidR="00444D99" w:rsidTr="00182ACA">
        <w:tc>
          <w:tcPr>
            <w:tcW w:w="3775" w:type="dxa"/>
          </w:tcPr>
          <w:p w:rsidR="00444D99" w:rsidRDefault="00444D99" w:rsidP="00072F39">
            <w:r>
              <w:t>Procurement Subject Matter Expert, BSD. Sarah Roth. (5 hours per week).</w:t>
            </w:r>
          </w:p>
        </w:tc>
        <w:tc>
          <w:tcPr>
            <w:tcW w:w="1530" w:type="dxa"/>
          </w:tcPr>
          <w:p w:rsidR="00444D99" w:rsidRDefault="00444D99" w:rsidP="00886E91">
            <w:r>
              <w:t>60</w:t>
            </w:r>
          </w:p>
        </w:tc>
        <w:tc>
          <w:tcPr>
            <w:tcW w:w="1530" w:type="dxa"/>
          </w:tcPr>
          <w:p w:rsidR="00444D99" w:rsidRDefault="00444D99" w:rsidP="00886E91">
            <w:r>
              <w:t>260</w:t>
            </w:r>
          </w:p>
        </w:tc>
        <w:tc>
          <w:tcPr>
            <w:tcW w:w="1530" w:type="dxa"/>
          </w:tcPr>
          <w:p w:rsidR="00444D99" w:rsidRDefault="00444D99" w:rsidP="00886E91">
            <w:r>
              <w:t>130</w:t>
            </w:r>
          </w:p>
        </w:tc>
        <w:tc>
          <w:tcPr>
            <w:tcW w:w="810" w:type="dxa"/>
          </w:tcPr>
          <w:p w:rsidR="00444D99" w:rsidRDefault="00444D99" w:rsidP="00886E91">
            <w:r>
              <w:t>450</w:t>
            </w:r>
          </w:p>
        </w:tc>
        <w:tc>
          <w:tcPr>
            <w:tcW w:w="810" w:type="dxa"/>
          </w:tcPr>
          <w:p w:rsidR="00444D99" w:rsidRDefault="00FE4CE5" w:rsidP="00FE4CE5">
            <w:r>
              <w:t>$45,000</w:t>
            </w:r>
          </w:p>
        </w:tc>
      </w:tr>
      <w:tr w:rsidR="00444D99" w:rsidTr="00182ACA">
        <w:tc>
          <w:tcPr>
            <w:tcW w:w="3775" w:type="dxa"/>
          </w:tcPr>
          <w:p w:rsidR="00444D99" w:rsidRDefault="00966707" w:rsidP="00072F39">
            <w:r>
              <w:t>Project S</w:t>
            </w:r>
            <w:r w:rsidR="00444D99">
              <w:t>ponsor (2 hours per week).</w:t>
            </w:r>
          </w:p>
        </w:tc>
        <w:tc>
          <w:tcPr>
            <w:tcW w:w="1530" w:type="dxa"/>
          </w:tcPr>
          <w:p w:rsidR="00444D99" w:rsidRDefault="00444D99" w:rsidP="00A1287D">
            <w:r>
              <w:t>24</w:t>
            </w:r>
          </w:p>
        </w:tc>
        <w:tc>
          <w:tcPr>
            <w:tcW w:w="1530" w:type="dxa"/>
          </w:tcPr>
          <w:p w:rsidR="00444D99" w:rsidRDefault="00444D99" w:rsidP="00A1287D">
            <w:r>
              <w:t>104</w:t>
            </w:r>
          </w:p>
        </w:tc>
        <w:tc>
          <w:tcPr>
            <w:tcW w:w="1530" w:type="dxa"/>
          </w:tcPr>
          <w:p w:rsidR="00444D99" w:rsidRDefault="00444D99" w:rsidP="00A1287D">
            <w:r>
              <w:t>52</w:t>
            </w:r>
          </w:p>
        </w:tc>
        <w:tc>
          <w:tcPr>
            <w:tcW w:w="810" w:type="dxa"/>
          </w:tcPr>
          <w:p w:rsidR="00444D99" w:rsidRDefault="00444D99" w:rsidP="00A1287D">
            <w:r>
              <w:t>180</w:t>
            </w:r>
          </w:p>
        </w:tc>
        <w:tc>
          <w:tcPr>
            <w:tcW w:w="810" w:type="dxa"/>
          </w:tcPr>
          <w:p w:rsidR="00444D99" w:rsidRDefault="00FE4CE5" w:rsidP="00A1287D">
            <w:r>
              <w:t>$18,000</w:t>
            </w:r>
          </w:p>
        </w:tc>
      </w:tr>
      <w:tr w:rsidR="00444D99" w:rsidTr="00182ACA">
        <w:tc>
          <w:tcPr>
            <w:tcW w:w="3775" w:type="dxa"/>
          </w:tcPr>
          <w:p w:rsidR="00444D99" w:rsidRDefault="00444D99" w:rsidP="00072F39">
            <w:r>
              <w:t>A</w:t>
            </w:r>
            <w:r w:rsidR="00966707">
              <w:t xml:space="preserve">ccountant, BSD. </w:t>
            </w:r>
            <w:r>
              <w:t>(2 hours per week).</w:t>
            </w:r>
          </w:p>
        </w:tc>
        <w:tc>
          <w:tcPr>
            <w:tcW w:w="1530" w:type="dxa"/>
          </w:tcPr>
          <w:p w:rsidR="00444D99" w:rsidRDefault="00444D99" w:rsidP="00784741">
            <w:r>
              <w:t>24</w:t>
            </w:r>
          </w:p>
        </w:tc>
        <w:tc>
          <w:tcPr>
            <w:tcW w:w="1530" w:type="dxa"/>
          </w:tcPr>
          <w:p w:rsidR="00444D99" w:rsidRDefault="00444D99" w:rsidP="00784741">
            <w:r>
              <w:t>104</w:t>
            </w:r>
          </w:p>
        </w:tc>
        <w:tc>
          <w:tcPr>
            <w:tcW w:w="1530" w:type="dxa"/>
          </w:tcPr>
          <w:p w:rsidR="00444D99" w:rsidRDefault="00444D99" w:rsidP="00784741">
            <w:r>
              <w:t>52</w:t>
            </w:r>
          </w:p>
        </w:tc>
        <w:tc>
          <w:tcPr>
            <w:tcW w:w="810" w:type="dxa"/>
          </w:tcPr>
          <w:p w:rsidR="00444D99" w:rsidRDefault="00444D99" w:rsidP="000B67AE">
            <w:r>
              <w:t>180</w:t>
            </w:r>
          </w:p>
        </w:tc>
        <w:tc>
          <w:tcPr>
            <w:tcW w:w="810" w:type="dxa"/>
          </w:tcPr>
          <w:p w:rsidR="00444D99" w:rsidRDefault="00FE4CE5" w:rsidP="000B67AE">
            <w:r>
              <w:t>$18,000</w:t>
            </w:r>
          </w:p>
        </w:tc>
      </w:tr>
      <w:tr w:rsidR="00444D99" w:rsidTr="00182ACA">
        <w:tc>
          <w:tcPr>
            <w:tcW w:w="3775" w:type="dxa"/>
          </w:tcPr>
          <w:p w:rsidR="00444D99" w:rsidRDefault="00444D99" w:rsidP="00072F39">
            <w:r>
              <w:t xml:space="preserve">Project </w:t>
            </w:r>
            <w:r w:rsidR="00966707">
              <w:t xml:space="preserve">Manager. </w:t>
            </w:r>
            <w:r>
              <w:t>(5 hours per week).</w:t>
            </w:r>
          </w:p>
        </w:tc>
        <w:tc>
          <w:tcPr>
            <w:tcW w:w="1530" w:type="dxa"/>
          </w:tcPr>
          <w:p w:rsidR="00444D99" w:rsidRDefault="00444D99" w:rsidP="00784741">
            <w:r>
              <w:t>60</w:t>
            </w:r>
          </w:p>
        </w:tc>
        <w:tc>
          <w:tcPr>
            <w:tcW w:w="1530" w:type="dxa"/>
          </w:tcPr>
          <w:p w:rsidR="00444D99" w:rsidRDefault="00444D99" w:rsidP="00784741">
            <w:r>
              <w:t>260</w:t>
            </w:r>
          </w:p>
        </w:tc>
        <w:tc>
          <w:tcPr>
            <w:tcW w:w="1530" w:type="dxa"/>
          </w:tcPr>
          <w:p w:rsidR="00444D99" w:rsidRDefault="00444D99" w:rsidP="00784741">
            <w:r>
              <w:t>130</w:t>
            </w:r>
          </w:p>
        </w:tc>
        <w:tc>
          <w:tcPr>
            <w:tcW w:w="810" w:type="dxa"/>
          </w:tcPr>
          <w:p w:rsidR="00444D99" w:rsidRDefault="00444D99" w:rsidP="00784741">
            <w:r>
              <w:t>450</w:t>
            </w:r>
          </w:p>
        </w:tc>
        <w:tc>
          <w:tcPr>
            <w:tcW w:w="810" w:type="dxa"/>
          </w:tcPr>
          <w:p w:rsidR="00444D99" w:rsidRDefault="00FE4CE5" w:rsidP="00FE4CE5">
            <w:r>
              <w:t>$45,000</w:t>
            </w:r>
          </w:p>
        </w:tc>
      </w:tr>
      <w:tr w:rsidR="00444D99" w:rsidTr="00182ACA">
        <w:tc>
          <w:tcPr>
            <w:tcW w:w="3775" w:type="dxa"/>
          </w:tcPr>
          <w:p w:rsidR="00444D99" w:rsidRDefault="00444D99" w:rsidP="00072F39">
            <w:r>
              <w:t>User Representati</w:t>
            </w:r>
            <w:r w:rsidR="00966707">
              <w:t xml:space="preserve">ve from Secretary of State. </w:t>
            </w:r>
            <w:r>
              <w:t>(2 hours per week).</w:t>
            </w:r>
          </w:p>
        </w:tc>
        <w:tc>
          <w:tcPr>
            <w:tcW w:w="1530" w:type="dxa"/>
          </w:tcPr>
          <w:p w:rsidR="00444D99" w:rsidRDefault="00444D99" w:rsidP="009D4951">
            <w:r>
              <w:t>24</w:t>
            </w:r>
          </w:p>
        </w:tc>
        <w:tc>
          <w:tcPr>
            <w:tcW w:w="1530" w:type="dxa"/>
          </w:tcPr>
          <w:p w:rsidR="00444D99" w:rsidRDefault="00444D99" w:rsidP="009D4951">
            <w:r>
              <w:t>104</w:t>
            </w:r>
          </w:p>
        </w:tc>
        <w:tc>
          <w:tcPr>
            <w:tcW w:w="1530" w:type="dxa"/>
          </w:tcPr>
          <w:p w:rsidR="00444D99" w:rsidRDefault="00444D99" w:rsidP="009D4951">
            <w:r>
              <w:t>52</w:t>
            </w:r>
          </w:p>
        </w:tc>
        <w:tc>
          <w:tcPr>
            <w:tcW w:w="810" w:type="dxa"/>
          </w:tcPr>
          <w:p w:rsidR="00444D99" w:rsidRDefault="00444D99" w:rsidP="009D4951">
            <w:r>
              <w:t>180</w:t>
            </w:r>
          </w:p>
        </w:tc>
        <w:tc>
          <w:tcPr>
            <w:tcW w:w="810" w:type="dxa"/>
          </w:tcPr>
          <w:p w:rsidR="00444D99" w:rsidRDefault="00FE4CE5" w:rsidP="009D4951">
            <w:r>
              <w:t>$18,000</w:t>
            </w:r>
          </w:p>
        </w:tc>
      </w:tr>
      <w:tr w:rsidR="00444D99" w:rsidTr="00182ACA">
        <w:tc>
          <w:tcPr>
            <w:tcW w:w="3775" w:type="dxa"/>
          </w:tcPr>
          <w:p w:rsidR="00444D99" w:rsidRDefault="00444D99" w:rsidP="003F2968">
            <w:r>
              <w:t>Knowledge Transfer and Training for 20 users including directors (5 hours per user as an average)</w:t>
            </w:r>
          </w:p>
        </w:tc>
        <w:tc>
          <w:tcPr>
            <w:tcW w:w="1530" w:type="dxa"/>
          </w:tcPr>
          <w:p w:rsidR="00444D99" w:rsidRDefault="00444D99" w:rsidP="00784741">
            <w:r>
              <w:t>0</w:t>
            </w:r>
          </w:p>
        </w:tc>
        <w:tc>
          <w:tcPr>
            <w:tcW w:w="1530" w:type="dxa"/>
          </w:tcPr>
          <w:p w:rsidR="00444D99" w:rsidRDefault="00444D99" w:rsidP="00784741">
            <w:r>
              <w:t>0</w:t>
            </w:r>
          </w:p>
        </w:tc>
        <w:tc>
          <w:tcPr>
            <w:tcW w:w="1530" w:type="dxa"/>
          </w:tcPr>
          <w:p w:rsidR="00444D99" w:rsidRDefault="00444D99" w:rsidP="00784741">
            <w:r>
              <w:t>100</w:t>
            </w:r>
          </w:p>
        </w:tc>
        <w:tc>
          <w:tcPr>
            <w:tcW w:w="810" w:type="dxa"/>
          </w:tcPr>
          <w:p w:rsidR="00444D99" w:rsidRDefault="00444D99" w:rsidP="00784741">
            <w:r>
              <w:t>100</w:t>
            </w:r>
          </w:p>
        </w:tc>
        <w:tc>
          <w:tcPr>
            <w:tcW w:w="810" w:type="dxa"/>
          </w:tcPr>
          <w:p w:rsidR="00444D99" w:rsidRDefault="00FE4CE5" w:rsidP="00FE4CE5">
            <w:r>
              <w:t>$10,000</w:t>
            </w:r>
          </w:p>
        </w:tc>
      </w:tr>
      <w:tr w:rsidR="00444D99" w:rsidTr="00182ACA">
        <w:tc>
          <w:tcPr>
            <w:tcW w:w="3775" w:type="dxa"/>
          </w:tcPr>
          <w:p w:rsidR="00444D99" w:rsidRPr="00FE4CE5" w:rsidRDefault="00444D99" w:rsidP="00784741">
            <w:pPr>
              <w:jc w:val="right"/>
              <w:rPr>
                <w:b/>
              </w:rPr>
            </w:pPr>
            <w:r w:rsidRPr="00FE4CE5">
              <w:rPr>
                <w:b/>
              </w:rPr>
              <w:t>Total</w:t>
            </w:r>
          </w:p>
        </w:tc>
        <w:tc>
          <w:tcPr>
            <w:tcW w:w="1530" w:type="dxa"/>
          </w:tcPr>
          <w:p w:rsidR="00444D99" w:rsidRDefault="00444D99" w:rsidP="00784741">
            <w:r>
              <w:t>372</w:t>
            </w:r>
          </w:p>
        </w:tc>
        <w:tc>
          <w:tcPr>
            <w:tcW w:w="1530" w:type="dxa"/>
          </w:tcPr>
          <w:p w:rsidR="00444D99" w:rsidRDefault="00444D99" w:rsidP="00784741">
            <w:r>
              <w:t>1612</w:t>
            </w:r>
          </w:p>
        </w:tc>
        <w:tc>
          <w:tcPr>
            <w:tcW w:w="1530" w:type="dxa"/>
          </w:tcPr>
          <w:p w:rsidR="00444D99" w:rsidRDefault="00444D99" w:rsidP="003F2968">
            <w:r>
              <w:t>906</w:t>
            </w:r>
          </w:p>
        </w:tc>
        <w:tc>
          <w:tcPr>
            <w:tcW w:w="810" w:type="dxa"/>
          </w:tcPr>
          <w:p w:rsidR="00444D99" w:rsidRDefault="00444D99" w:rsidP="003F2968">
            <w:r>
              <w:t>2890</w:t>
            </w:r>
          </w:p>
        </w:tc>
        <w:tc>
          <w:tcPr>
            <w:tcW w:w="810" w:type="dxa"/>
          </w:tcPr>
          <w:p w:rsidR="00444D99" w:rsidRDefault="00FE4CE5" w:rsidP="003F2968">
            <w:r>
              <w:t>$289,000</w:t>
            </w:r>
          </w:p>
        </w:tc>
      </w:tr>
    </w:tbl>
    <w:p w:rsidR="002F5E12" w:rsidRDefault="002F5E12" w:rsidP="002F5E12">
      <w:pPr>
        <w:pStyle w:val="Heading2"/>
      </w:pPr>
      <w:bookmarkStart w:id="26" w:name="_Toc468129777"/>
      <w:r>
        <w:t>Assumptions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8"/>
      </w:tblGrid>
      <w:tr w:rsidR="002F5E12" w:rsidTr="00397886">
        <w:trPr>
          <w:trHeight w:val="568"/>
        </w:trPr>
        <w:tc>
          <w:tcPr>
            <w:tcW w:w="10568" w:type="dxa"/>
          </w:tcPr>
          <w:p w:rsidR="002F5E12" w:rsidRDefault="00064036" w:rsidP="00567CDD">
            <w:pPr>
              <w:pStyle w:val="ListParagraph"/>
              <w:numPr>
                <w:ilvl w:val="0"/>
                <w:numId w:val="2"/>
              </w:numPr>
            </w:pPr>
            <w:r>
              <w:t xml:space="preserve">Assumption is </w:t>
            </w:r>
            <w:r w:rsidR="00966707">
              <w:t>s</w:t>
            </w:r>
            <w:r w:rsidR="00A50BB5">
              <w:t xml:space="preserve">taff </w:t>
            </w:r>
            <w:r w:rsidR="00966707">
              <w:t>t</w:t>
            </w:r>
            <w:r w:rsidR="00397886">
              <w:t xml:space="preserve">ime </w:t>
            </w:r>
            <w:r w:rsidR="00567CDD">
              <w:t>will be</w:t>
            </w:r>
            <w:r w:rsidR="00A50BB5">
              <w:t xml:space="preserve"> available </w:t>
            </w:r>
            <w:r>
              <w:t xml:space="preserve">to this project </w:t>
            </w:r>
            <w:r w:rsidR="00A50BB5">
              <w:t xml:space="preserve">as planned. But </w:t>
            </w:r>
            <w:r>
              <w:t xml:space="preserve">project </w:t>
            </w:r>
            <w:r w:rsidR="0022320B">
              <w:t xml:space="preserve">time </w:t>
            </w:r>
            <w:r w:rsidR="00397886">
              <w:t>allocation may vary if agency</w:t>
            </w:r>
            <w:r w:rsidR="00966707">
              <w:t xml:space="preserve"> priorities change </w:t>
            </w:r>
            <w:r w:rsidR="00397886">
              <w:t xml:space="preserve">and </w:t>
            </w:r>
            <w:r w:rsidR="00176C6F">
              <w:t xml:space="preserve">other </w:t>
            </w:r>
            <w:r w:rsidR="00397886">
              <w:t xml:space="preserve">emergencies cause </w:t>
            </w:r>
            <w:r w:rsidR="00CA61AC">
              <w:t>staff time to</w:t>
            </w:r>
            <w:r w:rsidR="00966707">
              <w:t xml:space="preserve"> be reassigned</w:t>
            </w:r>
            <w:r w:rsidR="00A50BB5">
              <w:t>.</w:t>
            </w:r>
          </w:p>
        </w:tc>
      </w:tr>
    </w:tbl>
    <w:p w:rsidR="002F5E12" w:rsidRDefault="002F5E12" w:rsidP="002F5E12">
      <w:pPr>
        <w:rPr>
          <w:rFonts w:asciiTheme="majorHAnsi" w:eastAsiaTheme="majorEastAsia" w:hAnsiTheme="majorHAnsi" w:cstheme="majorBidi"/>
          <w:b/>
          <w:color w:val="002060"/>
          <w:sz w:val="32"/>
          <w:szCs w:val="32"/>
        </w:rPr>
      </w:pPr>
    </w:p>
    <w:p w:rsidR="002F5E12" w:rsidRPr="00E47A04" w:rsidRDefault="002F5E12" w:rsidP="00E47A04">
      <w:pPr>
        <w:pStyle w:val="NoSpacing"/>
      </w:pPr>
    </w:p>
    <w:sectPr w:rsidR="002F5E12" w:rsidRPr="00E47A04" w:rsidSect="003315F6">
      <w:head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24" w:rsidRDefault="007E1724" w:rsidP="003315F6">
      <w:pPr>
        <w:spacing w:after="0" w:line="240" w:lineRule="auto"/>
      </w:pPr>
      <w:r>
        <w:separator/>
      </w:r>
    </w:p>
  </w:endnote>
  <w:endnote w:type="continuationSeparator" w:id="0">
    <w:p w:rsidR="007E1724" w:rsidRDefault="007E1724" w:rsidP="0033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24" w:rsidRDefault="007E1724" w:rsidP="003315F6">
      <w:pPr>
        <w:spacing w:after="0" w:line="240" w:lineRule="auto"/>
      </w:pPr>
      <w:r>
        <w:separator/>
      </w:r>
    </w:p>
  </w:footnote>
  <w:footnote w:type="continuationSeparator" w:id="0">
    <w:p w:rsidR="007E1724" w:rsidRDefault="007E1724" w:rsidP="0033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B1" w:rsidRDefault="00354DB1" w:rsidP="003315F6">
    <w:pPr>
      <w:pStyle w:val="Header"/>
    </w:pPr>
    <w:r>
      <w:t xml:space="preserve">Page </w:t>
    </w:r>
    <w:sdt>
      <w:sdtPr>
        <w:id w:val="22055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A92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                               Procurement Business Case                                                                         </w:t>
        </w:r>
      </w:sdtContent>
    </w:sdt>
  </w:p>
  <w:p w:rsidR="00354DB1" w:rsidRDefault="00354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F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882E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B000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385B96"/>
    <w:multiLevelType w:val="hybridMultilevel"/>
    <w:tmpl w:val="A49677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E03DA"/>
    <w:multiLevelType w:val="hybridMultilevel"/>
    <w:tmpl w:val="C302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36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414239E"/>
    <w:multiLevelType w:val="multilevel"/>
    <w:tmpl w:val="924E2A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AF06BB"/>
    <w:multiLevelType w:val="hybridMultilevel"/>
    <w:tmpl w:val="ACAE4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2CFD"/>
    <w:multiLevelType w:val="hybridMultilevel"/>
    <w:tmpl w:val="4F38A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54E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ED45E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6"/>
    <w:rsid w:val="00000AA8"/>
    <w:rsid w:val="00012874"/>
    <w:rsid w:val="00014DE8"/>
    <w:rsid w:val="00015336"/>
    <w:rsid w:val="00017B75"/>
    <w:rsid w:val="00017BBD"/>
    <w:rsid w:val="00024E9D"/>
    <w:rsid w:val="00031606"/>
    <w:rsid w:val="000413C4"/>
    <w:rsid w:val="00045AB7"/>
    <w:rsid w:val="00045F8E"/>
    <w:rsid w:val="00051839"/>
    <w:rsid w:val="000539EB"/>
    <w:rsid w:val="00064036"/>
    <w:rsid w:val="0007009E"/>
    <w:rsid w:val="00072F39"/>
    <w:rsid w:val="00072F6E"/>
    <w:rsid w:val="00073125"/>
    <w:rsid w:val="00073864"/>
    <w:rsid w:val="00075FFB"/>
    <w:rsid w:val="00086093"/>
    <w:rsid w:val="00092892"/>
    <w:rsid w:val="00093CE7"/>
    <w:rsid w:val="00095DF5"/>
    <w:rsid w:val="00097115"/>
    <w:rsid w:val="000A79BB"/>
    <w:rsid w:val="000A7CDF"/>
    <w:rsid w:val="000B67AE"/>
    <w:rsid w:val="000C5020"/>
    <w:rsid w:val="000D43FC"/>
    <w:rsid w:val="000D634B"/>
    <w:rsid w:val="000E327D"/>
    <w:rsid w:val="000E7941"/>
    <w:rsid w:val="001103C8"/>
    <w:rsid w:val="0012050C"/>
    <w:rsid w:val="001217ED"/>
    <w:rsid w:val="00136B2F"/>
    <w:rsid w:val="00137413"/>
    <w:rsid w:val="00140CFF"/>
    <w:rsid w:val="00154D96"/>
    <w:rsid w:val="00155CFC"/>
    <w:rsid w:val="001570B8"/>
    <w:rsid w:val="00160C0C"/>
    <w:rsid w:val="0016451E"/>
    <w:rsid w:val="00164920"/>
    <w:rsid w:val="0017142A"/>
    <w:rsid w:val="0017157A"/>
    <w:rsid w:val="0017378E"/>
    <w:rsid w:val="00173EE7"/>
    <w:rsid w:val="00176C6F"/>
    <w:rsid w:val="00180936"/>
    <w:rsid w:val="00182ACA"/>
    <w:rsid w:val="00187687"/>
    <w:rsid w:val="0019133D"/>
    <w:rsid w:val="00192536"/>
    <w:rsid w:val="001A04F7"/>
    <w:rsid w:val="001A1EE1"/>
    <w:rsid w:val="001B3DF3"/>
    <w:rsid w:val="001B5DDA"/>
    <w:rsid w:val="001C1E31"/>
    <w:rsid w:val="001C6175"/>
    <w:rsid w:val="001D3120"/>
    <w:rsid w:val="001D418D"/>
    <w:rsid w:val="001D4310"/>
    <w:rsid w:val="001D6998"/>
    <w:rsid w:val="001E0121"/>
    <w:rsid w:val="001E5EDE"/>
    <w:rsid w:val="001E7742"/>
    <w:rsid w:val="0020147C"/>
    <w:rsid w:val="00205FC5"/>
    <w:rsid w:val="002109D7"/>
    <w:rsid w:val="00211CC7"/>
    <w:rsid w:val="0022320B"/>
    <w:rsid w:val="00223248"/>
    <w:rsid w:val="00224594"/>
    <w:rsid w:val="00224F40"/>
    <w:rsid w:val="002257B8"/>
    <w:rsid w:val="002325F4"/>
    <w:rsid w:val="002521A5"/>
    <w:rsid w:val="00255784"/>
    <w:rsid w:val="002608E5"/>
    <w:rsid w:val="00267482"/>
    <w:rsid w:val="002677BB"/>
    <w:rsid w:val="0027311D"/>
    <w:rsid w:val="00275227"/>
    <w:rsid w:val="002776D9"/>
    <w:rsid w:val="00284EDC"/>
    <w:rsid w:val="0028525B"/>
    <w:rsid w:val="002917BC"/>
    <w:rsid w:val="002A5309"/>
    <w:rsid w:val="002B0207"/>
    <w:rsid w:val="002B174B"/>
    <w:rsid w:val="002B20C5"/>
    <w:rsid w:val="002B44F8"/>
    <w:rsid w:val="002C06C6"/>
    <w:rsid w:val="002D1022"/>
    <w:rsid w:val="002D14C5"/>
    <w:rsid w:val="002D45EC"/>
    <w:rsid w:val="002D6B86"/>
    <w:rsid w:val="002E1DDD"/>
    <w:rsid w:val="002E25FA"/>
    <w:rsid w:val="002E26F9"/>
    <w:rsid w:val="002E76FD"/>
    <w:rsid w:val="002E79D9"/>
    <w:rsid w:val="002E7B99"/>
    <w:rsid w:val="002F26C1"/>
    <w:rsid w:val="002F3A74"/>
    <w:rsid w:val="002F56E2"/>
    <w:rsid w:val="002F5E12"/>
    <w:rsid w:val="00301950"/>
    <w:rsid w:val="003124F5"/>
    <w:rsid w:val="003125FA"/>
    <w:rsid w:val="00316412"/>
    <w:rsid w:val="00316F0D"/>
    <w:rsid w:val="003171F0"/>
    <w:rsid w:val="0031793E"/>
    <w:rsid w:val="00317E9C"/>
    <w:rsid w:val="00325491"/>
    <w:rsid w:val="00327C67"/>
    <w:rsid w:val="003315F6"/>
    <w:rsid w:val="0033223E"/>
    <w:rsid w:val="00335A32"/>
    <w:rsid w:val="00342786"/>
    <w:rsid w:val="00344B90"/>
    <w:rsid w:val="00345F5D"/>
    <w:rsid w:val="00347E44"/>
    <w:rsid w:val="003532A8"/>
    <w:rsid w:val="00354DB1"/>
    <w:rsid w:val="00355353"/>
    <w:rsid w:val="00362ADE"/>
    <w:rsid w:val="0036462D"/>
    <w:rsid w:val="00364DE5"/>
    <w:rsid w:val="0037285E"/>
    <w:rsid w:val="003757D1"/>
    <w:rsid w:val="00397886"/>
    <w:rsid w:val="003A1CAE"/>
    <w:rsid w:val="003A3306"/>
    <w:rsid w:val="003A6184"/>
    <w:rsid w:val="003A7F55"/>
    <w:rsid w:val="003B3424"/>
    <w:rsid w:val="003B64BE"/>
    <w:rsid w:val="003B75DF"/>
    <w:rsid w:val="003C0858"/>
    <w:rsid w:val="003D3204"/>
    <w:rsid w:val="003E03F8"/>
    <w:rsid w:val="003E572D"/>
    <w:rsid w:val="003E6EBF"/>
    <w:rsid w:val="003F00C6"/>
    <w:rsid w:val="003F2968"/>
    <w:rsid w:val="003F4D2A"/>
    <w:rsid w:val="003F4E70"/>
    <w:rsid w:val="003F6498"/>
    <w:rsid w:val="00411475"/>
    <w:rsid w:val="00415F05"/>
    <w:rsid w:val="0042228D"/>
    <w:rsid w:val="004232EC"/>
    <w:rsid w:val="00430F08"/>
    <w:rsid w:val="00431D38"/>
    <w:rsid w:val="00444D99"/>
    <w:rsid w:val="00453359"/>
    <w:rsid w:val="00453CD1"/>
    <w:rsid w:val="004619C7"/>
    <w:rsid w:val="004637B5"/>
    <w:rsid w:val="00476D11"/>
    <w:rsid w:val="00477353"/>
    <w:rsid w:val="00477AF7"/>
    <w:rsid w:val="00480BDC"/>
    <w:rsid w:val="00484C22"/>
    <w:rsid w:val="004A450A"/>
    <w:rsid w:val="004A4B08"/>
    <w:rsid w:val="004B1D0F"/>
    <w:rsid w:val="004B1E46"/>
    <w:rsid w:val="004B29C4"/>
    <w:rsid w:val="004B500F"/>
    <w:rsid w:val="004B77BF"/>
    <w:rsid w:val="004C1817"/>
    <w:rsid w:val="004D446A"/>
    <w:rsid w:val="004D610A"/>
    <w:rsid w:val="004E1F1A"/>
    <w:rsid w:val="00504E9A"/>
    <w:rsid w:val="005113AB"/>
    <w:rsid w:val="005130C0"/>
    <w:rsid w:val="00515167"/>
    <w:rsid w:val="00521B69"/>
    <w:rsid w:val="00534A27"/>
    <w:rsid w:val="00540DBA"/>
    <w:rsid w:val="005438E2"/>
    <w:rsid w:val="00544F19"/>
    <w:rsid w:val="005525A7"/>
    <w:rsid w:val="00554597"/>
    <w:rsid w:val="00557C6B"/>
    <w:rsid w:val="00561FC9"/>
    <w:rsid w:val="005650ED"/>
    <w:rsid w:val="00566ABE"/>
    <w:rsid w:val="00567CDD"/>
    <w:rsid w:val="00572812"/>
    <w:rsid w:val="00574BA6"/>
    <w:rsid w:val="005A2185"/>
    <w:rsid w:val="005B1294"/>
    <w:rsid w:val="005B1C0E"/>
    <w:rsid w:val="005B59A6"/>
    <w:rsid w:val="005B5C5F"/>
    <w:rsid w:val="005B7ACB"/>
    <w:rsid w:val="005C13B7"/>
    <w:rsid w:val="005C1782"/>
    <w:rsid w:val="005C2DF9"/>
    <w:rsid w:val="005D1D36"/>
    <w:rsid w:val="005D23FD"/>
    <w:rsid w:val="005D703B"/>
    <w:rsid w:val="005E4280"/>
    <w:rsid w:val="005F2CAE"/>
    <w:rsid w:val="0060050A"/>
    <w:rsid w:val="00600D8C"/>
    <w:rsid w:val="00606C6F"/>
    <w:rsid w:val="00610C0A"/>
    <w:rsid w:val="00613F83"/>
    <w:rsid w:val="00630E6B"/>
    <w:rsid w:val="00635830"/>
    <w:rsid w:val="00645104"/>
    <w:rsid w:val="00646E50"/>
    <w:rsid w:val="006514D8"/>
    <w:rsid w:val="006536AA"/>
    <w:rsid w:val="00653812"/>
    <w:rsid w:val="006548BB"/>
    <w:rsid w:val="00655ED8"/>
    <w:rsid w:val="0066187B"/>
    <w:rsid w:val="00661954"/>
    <w:rsid w:val="00662872"/>
    <w:rsid w:val="00665F46"/>
    <w:rsid w:val="00676321"/>
    <w:rsid w:val="00676393"/>
    <w:rsid w:val="006863DD"/>
    <w:rsid w:val="006906E4"/>
    <w:rsid w:val="00690DED"/>
    <w:rsid w:val="0069386B"/>
    <w:rsid w:val="006A1D12"/>
    <w:rsid w:val="006A4D26"/>
    <w:rsid w:val="006B3B2D"/>
    <w:rsid w:val="006B5892"/>
    <w:rsid w:val="006B5AF6"/>
    <w:rsid w:val="006B7957"/>
    <w:rsid w:val="006C1A16"/>
    <w:rsid w:val="006C1B89"/>
    <w:rsid w:val="006C1DE3"/>
    <w:rsid w:val="006D148D"/>
    <w:rsid w:val="006D23EF"/>
    <w:rsid w:val="006D4647"/>
    <w:rsid w:val="006E32C9"/>
    <w:rsid w:val="006F22A1"/>
    <w:rsid w:val="006F667E"/>
    <w:rsid w:val="007109AB"/>
    <w:rsid w:val="007166F4"/>
    <w:rsid w:val="00723078"/>
    <w:rsid w:val="00725F20"/>
    <w:rsid w:val="00726FAA"/>
    <w:rsid w:val="00730719"/>
    <w:rsid w:val="007312AF"/>
    <w:rsid w:val="007329F4"/>
    <w:rsid w:val="00737806"/>
    <w:rsid w:val="00741F58"/>
    <w:rsid w:val="00741F8D"/>
    <w:rsid w:val="0075004E"/>
    <w:rsid w:val="00750892"/>
    <w:rsid w:val="0075254F"/>
    <w:rsid w:val="007638EE"/>
    <w:rsid w:val="0077582B"/>
    <w:rsid w:val="00775C80"/>
    <w:rsid w:val="0078243A"/>
    <w:rsid w:val="00782714"/>
    <w:rsid w:val="00782A2B"/>
    <w:rsid w:val="00783534"/>
    <w:rsid w:val="00784741"/>
    <w:rsid w:val="00786E49"/>
    <w:rsid w:val="00791713"/>
    <w:rsid w:val="00792A95"/>
    <w:rsid w:val="00794292"/>
    <w:rsid w:val="007A08E3"/>
    <w:rsid w:val="007A439D"/>
    <w:rsid w:val="007A595F"/>
    <w:rsid w:val="007A5B66"/>
    <w:rsid w:val="007B00F1"/>
    <w:rsid w:val="007B2B02"/>
    <w:rsid w:val="007B2FB4"/>
    <w:rsid w:val="007C7DEF"/>
    <w:rsid w:val="007D4106"/>
    <w:rsid w:val="007E1724"/>
    <w:rsid w:val="007E79CE"/>
    <w:rsid w:val="007F1F7E"/>
    <w:rsid w:val="007F3D06"/>
    <w:rsid w:val="007F44F5"/>
    <w:rsid w:val="007F5E8C"/>
    <w:rsid w:val="008034A9"/>
    <w:rsid w:val="00813422"/>
    <w:rsid w:val="00820C16"/>
    <w:rsid w:val="008261A9"/>
    <w:rsid w:val="008265EC"/>
    <w:rsid w:val="0082685C"/>
    <w:rsid w:val="00827B88"/>
    <w:rsid w:val="008373CA"/>
    <w:rsid w:val="00847E51"/>
    <w:rsid w:val="00857BDA"/>
    <w:rsid w:val="00857E9F"/>
    <w:rsid w:val="0087322E"/>
    <w:rsid w:val="008732C6"/>
    <w:rsid w:val="00873341"/>
    <w:rsid w:val="00874C1E"/>
    <w:rsid w:val="00874C64"/>
    <w:rsid w:val="00882D4C"/>
    <w:rsid w:val="008849C5"/>
    <w:rsid w:val="00884CC1"/>
    <w:rsid w:val="00886E91"/>
    <w:rsid w:val="0089052B"/>
    <w:rsid w:val="008936FA"/>
    <w:rsid w:val="008B2B45"/>
    <w:rsid w:val="008C0600"/>
    <w:rsid w:val="008C080B"/>
    <w:rsid w:val="008C666C"/>
    <w:rsid w:val="008D1CA5"/>
    <w:rsid w:val="008D2CF1"/>
    <w:rsid w:val="008D4CBC"/>
    <w:rsid w:val="008D7B89"/>
    <w:rsid w:val="008E0D3E"/>
    <w:rsid w:val="008E73DD"/>
    <w:rsid w:val="008F44BC"/>
    <w:rsid w:val="008F509C"/>
    <w:rsid w:val="008F5289"/>
    <w:rsid w:val="00914319"/>
    <w:rsid w:val="00926B97"/>
    <w:rsid w:val="00927D2F"/>
    <w:rsid w:val="009319F1"/>
    <w:rsid w:val="00931AFD"/>
    <w:rsid w:val="009321CC"/>
    <w:rsid w:val="00934C47"/>
    <w:rsid w:val="0093572C"/>
    <w:rsid w:val="00936E55"/>
    <w:rsid w:val="009372E3"/>
    <w:rsid w:val="00937775"/>
    <w:rsid w:val="0095120D"/>
    <w:rsid w:val="0095404D"/>
    <w:rsid w:val="009613A6"/>
    <w:rsid w:val="00964595"/>
    <w:rsid w:val="00966182"/>
    <w:rsid w:val="00966707"/>
    <w:rsid w:val="00973B0E"/>
    <w:rsid w:val="00973E3D"/>
    <w:rsid w:val="00982792"/>
    <w:rsid w:val="0099467C"/>
    <w:rsid w:val="009952AE"/>
    <w:rsid w:val="009A5A85"/>
    <w:rsid w:val="009A68C2"/>
    <w:rsid w:val="009B0294"/>
    <w:rsid w:val="009D18FF"/>
    <w:rsid w:val="009D26C9"/>
    <w:rsid w:val="009D4951"/>
    <w:rsid w:val="009D53EB"/>
    <w:rsid w:val="009E30AA"/>
    <w:rsid w:val="009E74D7"/>
    <w:rsid w:val="009F4E65"/>
    <w:rsid w:val="009F5679"/>
    <w:rsid w:val="00A04E37"/>
    <w:rsid w:val="00A1287D"/>
    <w:rsid w:val="00A13225"/>
    <w:rsid w:val="00A16A92"/>
    <w:rsid w:val="00A25ED6"/>
    <w:rsid w:val="00A26737"/>
    <w:rsid w:val="00A33EFC"/>
    <w:rsid w:val="00A35BDE"/>
    <w:rsid w:val="00A43E58"/>
    <w:rsid w:val="00A444C4"/>
    <w:rsid w:val="00A50BB5"/>
    <w:rsid w:val="00A53A41"/>
    <w:rsid w:val="00A56DC4"/>
    <w:rsid w:val="00A5747C"/>
    <w:rsid w:val="00A60D1C"/>
    <w:rsid w:val="00A65769"/>
    <w:rsid w:val="00A72112"/>
    <w:rsid w:val="00A72386"/>
    <w:rsid w:val="00A732D2"/>
    <w:rsid w:val="00A76DF5"/>
    <w:rsid w:val="00A874E5"/>
    <w:rsid w:val="00A9585C"/>
    <w:rsid w:val="00A96AEE"/>
    <w:rsid w:val="00AA0D82"/>
    <w:rsid w:val="00AA3C13"/>
    <w:rsid w:val="00AA4638"/>
    <w:rsid w:val="00AA5E71"/>
    <w:rsid w:val="00AB4A99"/>
    <w:rsid w:val="00AB6C1F"/>
    <w:rsid w:val="00AB6D3E"/>
    <w:rsid w:val="00AC21FD"/>
    <w:rsid w:val="00AC4AFB"/>
    <w:rsid w:val="00AC64DE"/>
    <w:rsid w:val="00AD06E3"/>
    <w:rsid w:val="00AE58B2"/>
    <w:rsid w:val="00AF4ABC"/>
    <w:rsid w:val="00AF544F"/>
    <w:rsid w:val="00AF56D0"/>
    <w:rsid w:val="00AF5A9F"/>
    <w:rsid w:val="00AF6C0E"/>
    <w:rsid w:val="00B01F20"/>
    <w:rsid w:val="00B07C46"/>
    <w:rsid w:val="00B108D5"/>
    <w:rsid w:val="00B1674F"/>
    <w:rsid w:val="00B27AF9"/>
    <w:rsid w:val="00B30F74"/>
    <w:rsid w:val="00B35BF9"/>
    <w:rsid w:val="00B36CBA"/>
    <w:rsid w:val="00B44B99"/>
    <w:rsid w:val="00B47729"/>
    <w:rsid w:val="00B563CD"/>
    <w:rsid w:val="00B63238"/>
    <w:rsid w:val="00B64F02"/>
    <w:rsid w:val="00B67E3D"/>
    <w:rsid w:val="00B83E4C"/>
    <w:rsid w:val="00B84F82"/>
    <w:rsid w:val="00B87677"/>
    <w:rsid w:val="00B91E33"/>
    <w:rsid w:val="00B92156"/>
    <w:rsid w:val="00B969A6"/>
    <w:rsid w:val="00BA1C0D"/>
    <w:rsid w:val="00BA1F47"/>
    <w:rsid w:val="00BA202A"/>
    <w:rsid w:val="00BA7FBA"/>
    <w:rsid w:val="00BB12BE"/>
    <w:rsid w:val="00BB3A7E"/>
    <w:rsid w:val="00BB6F9E"/>
    <w:rsid w:val="00BC0CDB"/>
    <w:rsid w:val="00BD60FF"/>
    <w:rsid w:val="00BD6C24"/>
    <w:rsid w:val="00BE240C"/>
    <w:rsid w:val="00BF6165"/>
    <w:rsid w:val="00C05C09"/>
    <w:rsid w:val="00C1043F"/>
    <w:rsid w:val="00C11259"/>
    <w:rsid w:val="00C14B6D"/>
    <w:rsid w:val="00C14BF4"/>
    <w:rsid w:val="00C21AE8"/>
    <w:rsid w:val="00C23002"/>
    <w:rsid w:val="00C27F94"/>
    <w:rsid w:val="00C34C5F"/>
    <w:rsid w:val="00C34EF7"/>
    <w:rsid w:val="00C4031A"/>
    <w:rsid w:val="00C4792B"/>
    <w:rsid w:val="00C51EB0"/>
    <w:rsid w:val="00C539C9"/>
    <w:rsid w:val="00C54DD4"/>
    <w:rsid w:val="00C615CC"/>
    <w:rsid w:val="00C632A9"/>
    <w:rsid w:val="00C64CE3"/>
    <w:rsid w:val="00C6788E"/>
    <w:rsid w:val="00C72EBA"/>
    <w:rsid w:val="00C745F8"/>
    <w:rsid w:val="00C80104"/>
    <w:rsid w:val="00C91E40"/>
    <w:rsid w:val="00C9425E"/>
    <w:rsid w:val="00C96B47"/>
    <w:rsid w:val="00CA02A1"/>
    <w:rsid w:val="00CA1D26"/>
    <w:rsid w:val="00CA350D"/>
    <w:rsid w:val="00CA61AC"/>
    <w:rsid w:val="00CA7B8C"/>
    <w:rsid w:val="00CB2E5C"/>
    <w:rsid w:val="00CB5C6E"/>
    <w:rsid w:val="00CB6127"/>
    <w:rsid w:val="00CC08A4"/>
    <w:rsid w:val="00CC61D0"/>
    <w:rsid w:val="00CC7732"/>
    <w:rsid w:val="00CD7991"/>
    <w:rsid w:val="00CD7B22"/>
    <w:rsid w:val="00CE79F3"/>
    <w:rsid w:val="00CF26E7"/>
    <w:rsid w:val="00D007E0"/>
    <w:rsid w:val="00D03EC4"/>
    <w:rsid w:val="00D11527"/>
    <w:rsid w:val="00D22579"/>
    <w:rsid w:val="00D269C4"/>
    <w:rsid w:val="00D26C97"/>
    <w:rsid w:val="00D34DE9"/>
    <w:rsid w:val="00D35355"/>
    <w:rsid w:val="00D40E0B"/>
    <w:rsid w:val="00D42ED8"/>
    <w:rsid w:val="00D42F86"/>
    <w:rsid w:val="00D60DD6"/>
    <w:rsid w:val="00D63560"/>
    <w:rsid w:val="00D65D10"/>
    <w:rsid w:val="00D70A75"/>
    <w:rsid w:val="00D7493D"/>
    <w:rsid w:val="00D74BA8"/>
    <w:rsid w:val="00D77CD9"/>
    <w:rsid w:val="00D82F7B"/>
    <w:rsid w:val="00D92E93"/>
    <w:rsid w:val="00D94591"/>
    <w:rsid w:val="00D9533E"/>
    <w:rsid w:val="00D95A39"/>
    <w:rsid w:val="00DA5F1D"/>
    <w:rsid w:val="00DB2AAB"/>
    <w:rsid w:val="00DC6264"/>
    <w:rsid w:val="00DC62EC"/>
    <w:rsid w:val="00DD16DA"/>
    <w:rsid w:val="00DE3640"/>
    <w:rsid w:val="00DE539A"/>
    <w:rsid w:val="00DE6381"/>
    <w:rsid w:val="00DE6DF6"/>
    <w:rsid w:val="00E00DF5"/>
    <w:rsid w:val="00E02D47"/>
    <w:rsid w:val="00E0581D"/>
    <w:rsid w:val="00E07D8F"/>
    <w:rsid w:val="00E13711"/>
    <w:rsid w:val="00E14851"/>
    <w:rsid w:val="00E2451C"/>
    <w:rsid w:val="00E249EF"/>
    <w:rsid w:val="00E313F7"/>
    <w:rsid w:val="00E31591"/>
    <w:rsid w:val="00E423AE"/>
    <w:rsid w:val="00E45435"/>
    <w:rsid w:val="00E4648C"/>
    <w:rsid w:val="00E47A04"/>
    <w:rsid w:val="00E50840"/>
    <w:rsid w:val="00E51162"/>
    <w:rsid w:val="00E563E1"/>
    <w:rsid w:val="00E621C2"/>
    <w:rsid w:val="00E66F7F"/>
    <w:rsid w:val="00E673A1"/>
    <w:rsid w:val="00E742B2"/>
    <w:rsid w:val="00E9185E"/>
    <w:rsid w:val="00EA0C2E"/>
    <w:rsid w:val="00EA2BDF"/>
    <w:rsid w:val="00EA42B4"/>
    <w:rsid w:val="00EB570D"/>
    <w:rsid w:val="00EC0FCE"/>
    <w:rsid w:val="00EC1252"/>
    <w:rsid w:val="00EC50CE"/>
    <w:rsid w:val="00ED01CA"/>
    <w:rsid w:val="00ED05E1"/>
    <w:rsid w:val="00ED07C2"/>
    <w:rsid w:val="00ED3637"/>
    <w:rsid w:val="00ED529B"/>
    <w:rsid w:val="00EE3D6F"/>
    <w:rsid w:val="00EF1262"/>
    <w:rsid w:val="00EF1945"/>
    <w:rsid w:val="00F0769A"/>
    <w:rsid w:val="00F16D03"/>
    <w:rsid w:val="00F42D6C"/>
    <w:rsid w:val="00F51C90"/>
    <w:rsid w:val="00F54B2C"/>
    <w:rsid w:val="00F54DD2"/>
    <w:rsid w:val="00F6052A"/>
    <w:rsid w:val="00F617CF"/>
    <w:rsid w:val="00F65249"/>
    <w:rsid w:val="00F808DF"/>
    <w:rsid w:val="00F84CDA"/>
    <w:rsid w:val="00F869F5"/>
    <w:rsid w:val="00F8705E"/>
    <w:rsid w:val="00F92E1C"/>
    <w:rsid w:val="00F9443D"/>
    <w:rsid w:val="00FA0F3C"/>
    <w:rsid w:val="00FA4D66"/>
    <w:rsid w:val="00FB1E73"/>
    <w:rsid w:val="00FB2638"/>
    <w:rsid w:val="00FB7B47"/>
    <w:rsid w:val="00FC0698"/>
    <w:rsid w:val="00FD1100"/>
    <w:rsid w:val="00FD2038"/>
    <w:rsid w:val="00FD2231"/>
    <w:rsid w:val="00FD2ECC"/>
    <w:rsid w:val="00FD4067"/>
    <w:rsid w:val="00FD61F1"/>
    <w:rsid w:val="00FE4CE5"/>
    <w:rsid w:val="00FF18B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97DAF-7407-4D9E-9E96-93893F63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BC"/>
  </w:style>
  <w:style w:type="paragraph" w:styleId="Heading1">
    <w:name w:val="heading 1"/>
    <w:basedOn w:val="Normal"/>
    <w:next w:val="Normal"/>
    <w:link w:val="Heading1Char"/>
    <w:uiPriority w:val="9"/>
    <w:qFormat/>
    <w:rsid w:val="00857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BDA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F6"/>
  </w:style>
  <w:style w:type="paragraph" w:styleId="Footer">
    <w:name w:val="footer"/>
    <w:basedOn w:val="Normal"/>
    <w:link w:val="FooterChar"/>
    <w:uiPriority w:val="99"/>
    <w:unhideWhenUsed/>
    <w:rsid w:val="0033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F6"/>
  </w:style>
  <w:style w:type="paragraph" w:styleId="TOCHeading">
    <w:name w:val="TOC Heading"/>
    <w:basedOn w:val="Heading1"/>
    <w:next w:val="Normal"/>
    <w:uiPriority w:val="39"/>
    <w:unhideWhenUsed/>
    <w:qFormat/>
    <w:rsid w:val="003315F6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315F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15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F1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D53E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1342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6618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0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C2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C62EC"/>
    <w:pPr>
      <w:spacing w:after="100"/>
      <w:ind w:left="440"/>
    </w:pPr>
  </w:style>
  <w:style w:type="paragraph" w:styleId="NoSpacing">
    <w:name w:val="No Spacing"/>
    <w:uiPriority w:val="1"/>
    <w:qFormat/>
    <w:rsid w:val="00E47A04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8905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905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905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54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123/wik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fcde144a-4b16-4d2d-99ca-d90fa51362c8">Planning</Area>
    <Category xmlns="fcde144a-4b16-4d2d-99ca-d90fa51362c8">Obtaining approval</Category>
    <TranslationStateDownloadLink xmlns="http://schemas.microsoft.com/sharepoint/v3">
      <Url xsi:nil="true"/>
      <Description xsi:nil="true"/>
    </TranslationStateDownloadLink>
  </documentManagement>
</p:properties>
</file>

<file path=customXml/itemProps1.xml><?xml version="1.0" encoding="utf-8"?>
<ds:datastoreItem xmlns:ds="http://schemas.openxmlformats.org/officeDocument/2006/customXml" ds:itemID="{572C8695-5171-4688-809F-DF2D7C13A60F}"/>
</file>

<file path=customXml/itemProps2.xml><?xml version="1.0" encoding="utf-8"?>
<ds:datastoreItem xmlns:ds="http://schemas.openxmlformats.org/officeDocument/2006/customXml" ds:itemID="{BE8FA901-5E05-4B7E-8746-4927EB39AD98}"/>
</file>

<file path=customXml/itemProps3.xml><?xml version="1.0" encoding="utf-8"?>
<ds:datastoreItem xmlns:ds="http://schemas.openxmlformats.org/officeDocument/2006/customXml" ds:itemID="{39A459AB-59BA-4E0C-8F91-33FE2DA6CB12}"/>
</file>

<file path=customXml/itemProps4.xml><?xml version="1.0" encoding="utf-8"?>
<ds:datastoreItem xmlns:ds="http://schemas.openxmlformats.org/officeDocument/2006/customXml" ds:itemID="{57BA4AF0-2DDF-4842-B6D6-339E2C9E5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Secretary of State</Company>
  <LinksUpToDate>false</LinksUpToDate>
  <CharactersWithSpaces>26639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(SOS)</dc:title>
  <dc:subject/>
  <dc:creator>pankri</dc:creator>
  <cp:keywords/>
  <dc:description/>
  <cp:lastModifiedBy>Sarah Roth</cp:lastModifiedBy>
  <cp:revision>2</cp:revision>
  <cp:lastPrinted>2016-11-02T18:39:00Z</cp:lastPrinted>
  <dcterms:created xsi:type="dcterms:W3CDTF">2017-08-23T14:33:00Z</dcterms:created>
  <dcterms:modified xsi:type="dcterms:W3CDTF">2017-08-23T14:33:00Z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