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DDA1E74" w14:paraId="3C533F97" w14:textId="77777777" w:rsidTr="248D2E1B">
        <w:trPr>
          <w:tblHeader/>
        </w:trPr>
        <w:tc>
          <w:tcPr>
            <w:tcW w:w="2160" w:type="dxa"/>
            <w:vAlign w:val="center"/>
          </w:tcPr>
          <w:p w14:paraId="05B7DE13" w14:textId="77777777" w:rsidR="1DDA1E74" w:rsidRDefault="1DDA1E74" w:rsidP="248D2E1B">
            <w:pPr>
              <w:jc w:val="center"/>
              <w:rPr>
                <w:rFonts w:eastAsia="Arial"/>
                <w:b/>
                <w:bCs/>
                <w:color w:val="082A75"/>
                <w:sz w:val="36"/>
                <w:szCs w:val="36"/>
              </w:rPr>
            </w:pPr>
            <w:r>
              <w:rPr>
                <w:noProof/>
              </w:rPr>
              <w:drawing>
                <wp:inline distT="0" distB="0" distL="0" distR="0" wp14:anchorId="0411BB1A" wp14:editId="65D14467">
                  <wp:extent cx="1031772" cy="1097280"/>
                  <wp:effectExtent l="0" t="0" r="0" b="7620"/>
                  <wp:docPr id="93710618" name="Picture 1944659586"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0034903C" w14:textId="77777777" w:rsidR="1DDA1E74" w:rsidRPr="006371A5" w:rsidRDefault="1DDA1E74" w:rsidP="00276CE3">
            <w:pPr>
              <w:pStyle w:val="Title"/>
              <w:spacing w:after="200"/>
              <w:jc w:val="center"/>
              <w:rPr>
                <w:rFonts w:asciiTheme="minorHAnsi" w:eastAsia="Arial" w:hAnsiTheme="minorHAnsi" w:cstheme="minorBidi"/>
                <w:b/>
                <w:bCs/>
                <w:color w:val="1B75BC"/>
                <w:sz w:val="48"/>
                <w:szCs w:val="48"/>
              </w:rPr>
            </w:pPr>
            <w:r w:rsidRPr="006371A5">
              <w:rPr>
                <w:rFonts w:asciiTheme="minorHAnsi" w:eastAsia="Arial" w:hAnsiTheme="minorHAnsi" w:cstheme="minorBidi"/>
                <w:b/>
                <w:bCs/>
                <w:color w:val="1B75BC"/>
                <w:sz w:val="48"/>
                <w:szCs w:val="48"/>
              </w:rPr>
              <w:t>State Performance Plan (SPP)</w:t>
            </w:r>
          </w:p>
          <w:p w14:paraId="3EBB1841" w14:textId="4B3797DB" w:rsidR="1DDA1E74" w:rsidRPr="006371A5" w:rsidRDefault="1DDA1E74" w:rsidP="00276CE3">
            <w:pPr>
              <w:pStyle w:val="Title"/>
              <w:spacing w:after="200"/>
              <w:jc w:val="center"/>
              <w:rPr>
                <w:rFonts w:asciiTheme="minorHAnsi" w:eastAsia="Arial" w:hAnsiTheme="minorHAnsi" w:cstheme="minorBidi"/>
                <w:b/>
                <w:bCs/>
                <w:color w:val="1B75BC"/>
                <w:sz w:val="48"/>
                <w:szCs w:val="48"/>
              </w:rPr>
            </w:pPr>
            <w:r w:rsidRPr="006371A5">
              <w:rPr>
                <w:rFonts w:asciiTheme="minorHAnsi" w:eastAsia="Arial" w:hAnsiTheme="minorHAnsi" w:cstheme="minorBidi"/>
                <w:b/>
                <w:bCs/>
                <w:color w:val="1B75BC"/>
                <w:sz w:val="48"/>
                <w:szCs w:val="48"/>
              </w:rPr>
              <w:t>Fact Sheet</w:t>
            </w:r>
          </w:p>
          <w:p w14:paraId="7FE1B9B6" w14:textId="2EF394C8" w:rsidR="1DDA1E74" w:rsidRDefault="1DDA1E74" w:rsidP="00276CE3">
            <w:pPr>
              <w:pStyle w:val="Title"/>
              <w:spacing w:after="200"/>
              <w:jc w:val="center"/>
              <w:rPr>
                <w:rFonts w:asciiTheme="minorHAnsi" w:eastAsia="Arial" w:hAnsiTheme="minorHAnsi" w:cstheme="minorBidi"/>
                <w:b/>
                <w:bCs/>
                <w:color w:val="082A75"/>
                <w:sz w:val="32"/>
                <w:szCs w:val="32"/>
              </w:rPr>
            </w:pPr>
            <w:r w:rsidRPr="002773B7">
              <w:rPr>
                <w:rFonts w:asciiTheme="minorHAnsi" w:eastAsia="Arial" w:hAnsiTheme="minorHAnsi" w:cstheme="minorBidi"/>
                <w:b/>
                <w:bCs/>
                <w:color w:val="1B75BC"/>
                <w:sz w:val="32"/>
                <w:szCs w:val="32"/>
              </w:rPr>
              <w:t>Indicator B1: Graduation</w:t>
            </w:r>
          </w:p>
        </w:tc>
      </w:tr>
      <w:tr w:rsidR="1DDA1E74" w14:paraId="7A4546D8" w14:textId="77777777" w:rsidTr="248D2E1B">
        <w:trPr>
          <w:trHeight w:val="72"/>
        </w:trPr>
        <w:tc>
          <w:tcPr>
            <w:tcW w:w="2484" w:type="dxa"/>
            <w:gridSpan w:val="2"/>
            <w:shd w:val="clear" w:color="auto" w:fill="9F2065"/>
          </w:tcPr>
          <w:p w14:paraId="1C8C86C3" w14:textId="77777777" w:rsidR="1DDA1E74" w:rsidRDefault="1DDA1E74" w:rsidP="00276CE3">
            <w:pPr>
              <w:rPr>
                <w:noProof/>
              </w:rPr>
            </w:pPr>
          </w:p>
        </w:tc>
        <w:tc>
          <w:tcPr>
            <w:tcW w:w="2484" w:type="dxa"/>
            <w:shd w:val="clear" w:color="auto" w:fill="E26B2A"/>
          </w:tcPr>
          <w:p w14:paraId="1BA34233" w14:textId="77777777" w:rsidR="1DDA1E74" w:rsidRDefault="1DDA1E74" w:rsidP="00276CE3">
            <w:pPr>
              <w:pStyle w:val="Title"/>
              <w:rPr>
                <w:rFonts w:asciiTheme="minorHAnsi" w:eastAsia="Arial" w:hAnsiTheme="minorHAnsi" w:cstheme="minorBidi"/>
                <w:b/>
                <w:bCs/>
                <w:color w:val="082974"/>
                <w:sz w:val="22"/>
                <w:szCs w:val="22"/>
              </w:rPr>
            </w:pPr>
          </w:p>
        </w:tc>
        <w:tc>
          <w:tcPr>
            <w:tcW w:w="2484" w:type="dxa"/>
            <w:shd w:val="clear" w:color="auto" w:fill="1B75BC"/>
          </w:tcPr>
          <w:p w14:paraId="53C3FD81" w14:textId="77777777" w:rsidR="1DDA1E74" w:rsidRDefault="1DDA1E74" w:rsidP="00276CE3">
            <w:pPr>
              <w:pStyle w:val="Title"/>
              <w:rPr>
                <w:rFonts w:asciiTheme="minorHAnsi" w:eastAsia="Arial" w:hAnsiTheme="minorHAnsi" w:cstheme="minorBidi"/>
                <w:b/>
                <w:bCs/>
                <w:color w:val="082974"/>
                <w:sz w:val="22"/>
                <w:szCs w:val="22"/>
              </w:rPr>
            </w:pPr>
          </w:p>
        </w:tc>
        <w:tc>
          <w:tcPr>
            <w:tcW w:w="2484" w:type="dxa"/>
            <w:shd w:val="clear" w:color="auto" w:fill="407641"/>
          </w:tcPr>
          <w:p w14:paraId="51456054" w14:textId="46579079" w:rsidR="1DDA1E74" w:rsidRDefault="1DDA1E74" w:rsidP="00276CE3">
            <w:pPr>
              <w:pStyle w:val="Title"/>
              <w:rPr>
                <w:rFonts w:asciiTheme="minorHAnsi" w:eastAsia="Arial" w:hAnsiTheme="minorHAnsi" w:cstheme="minorBidi"/>
                <w:b/>
                <w:bCs/>
                <w:color w:val="082974"/>
                <w:sz w:val="22"/>
                <w:szCs w:val="22"/>
              </w:rPr>
            </w:pPr>
          </w:p>
        </w:tc>
      </w:tr>
    </w:tbl>
    <w:p w14:paraId="4A0B1504" w14:textId="758CDAAA" w:rsidR="0676BD6D" w:rsidRPr="002773B7" w:rsidRDefault="1DDA1E74" w:rsidP="00AC0E47">
      <w:pPr>
        <w:pStyle w:val="Heading1"/>
        <w:spacing w:after="120" w:line="240" w:lineRule="auto"/>
        <w:rPr>
          <w:rFonts w:ascii="Calibri" w:eastAsia="Calibri" w:hAnsi="Calibri" w:cs="Calibri"/>
          <w:color w:val="1B75BC"/>
        </w:rPr>
      </w:pPr>
      <w:r w:rsidRPr="248D2E1B">
        <w:rPr>
          <w:rFonts w:ascii="Calibri" w:eastAsia="Calibri" w:hAnsi="Calibri" w:cs="Calibri"/>
          <w:b/>
          <w:bCs/>
          <w:color w:val="1B75BC"/>
        </w:rPr>
        <w:t>Oregon State Performance Plan</w:t>
      </w:r>
    </w:p>
    <w:p w14:paraId="45217717" w14:textId="3D0C0A4D" w:rsidR="00DD3119" w:rsidRDefault="1DDA1E74" w:rsidP="248D2E1B">
      <w:pPr>
        <w:spacing w:after="80" w:line="240" w:lineRule="auto"/>
        <w:rPr>
          <w:rFonts w:ascii="Calibri" w:eastAsia="Calibri" w:hAnsi="Calibri" w:cs="Calibri"/>
          <w:color w:val="000000" w:themeColor="text1"/>
        </w:rPr>
      </w:pPr>
      <w:r w:rsidRPr="248D2E1B">
        <w:rPr>
          <w:rFonts w:ascii="Calibri" w:eastAsia="Calibri" w:hAnsi="Calibri" w:cs="Calibri"/>
          <w:color w:val="000000" w:themeColor="text1"/>
        </w:rPr>
        <w:t>Under the Individuals with Disabilities Education Act of 2004 (IDEA), the Oregon Department of Education (ODE) is required to submit a six-year State Performance Plan (SPP) to the Office of Special Education</w:t>
      </w:r>
      <w:r w:rsidR="00A85800">
        <w:rPr>
          <w:rFonts w:ascii="Calibri" w:eastAsia="Calibri" w:hAnsi="Calibri" w:cs="Calibri"/>
          <w:color w:val="000000" w:themeColor="text1"/>
        </w:rPr>
        <w:t xml:space="preserve"> Programs</w:t>
      </w:r>
      <w:r w:rsidRPr="248D2E1B">
        <w:rPr>
          <w:rFonts w:ascii="Calibri" w:eastAsia="Calibri" w:hAnsi="Calibri" w:cs="Calibri"/>
          <w:color w:val="000000" w:themeColor="text1"/>
        </w:rPr>
        <w:t xml:space="preserve"> (OSEP). The OSEP has developed key performance measures, known as indicators, to measure both compliance and results. The OSEP sets the targets for compliance indicators and the ODE sets targets for the results indicators. The SPP must include targets for each results indicator. The ODE reports on progress made toward these indicators each year in the Annual Performance Report (APR). Every six years the ODE must review results targets and engage key partners in the development of new targets. </w:t>
      </w:r>
      <w:r w:rsidR="00A772F4" w:rsidRPr="248D2E1B">
        <w:rPr>
          <w:rFonts w:ascii="Calibri" w:eastAsia="Calibri" w:hAnsi="Calibri" w:cs="Calibri"/>
          <w:color w:val="000000" w:themeColor="text1"/>
        </w:rPr>
        <w:t>ODE is currently seeking input related to the indicators for which targets must be established</w:t>
      </w:r>
      <w:r w:rsidR="00DD3119" w:rsidRPr="248D2E1B">
        <w:rPr>
          <w:rFonts w:ascii="Calibri" w:eastAsia="Calibri" w:hAnsi="Calibri" w:cs="Calibri"/>
          <w:color w:val="000000" w:themeColor="text1"/>
        </w:rPr>
        <w:t xml:space="preserve"> and will be holding a public input session to discuss data related to this indicator in December 2021. </w:t>
      </w:r>
      <w:r w:rsidRPr="248D2E1B">
        <w:rPr>
          <w:rFonts w:ascii="Calibri" w:eastAsia="Calibri" w:hAnsi="Calibri" w:cs="Calibri"/>
          <w:color w:val="000000" w:themeColor="text1"/>
        </w:rPr>
        <w:t xml:space="preserve">Please see the </w:t>
      </w:r>
      <w:hyperlink r:id="rId12">
        <w:r w:rsidRPr="248D2E1B">
          <w:rPr>
            <w:rStyle w:val="Hyperlink"/>
            <w:rFonts w:ascii="Calibri" w:eastAsia="Calibri" w:hAnsi="Calibri" w:cs="Calibri"/>
          </w:rPr>
          <w:t>ODE State Performance Plan and Annual Reports for Special Education webpage</w:t>
        </w:r>
      </w:hyperlink>
      <w:r w:rsidRPr="248D2E1B">
        <w:rPr>
          <w:rFonts w:ascii="Calibri" w:eastAsia="Calibri" w:hAnsi="Calibri" w:cs="Calibri"/>
          <w:color w:val="000000" w:themeColor="text1"/>
        </w:rPr>
        <w:t xml:space="preserve"> for more information</w:t>
      </w:r>
      <w:r w:rsidR="00DD3119" w:rsidRPr="248D2E1B">
        <w:rPr>
          <w:rFonts w:ascii="Calibri" w:eastAsia="Calibri" w:hAnsi="Calibri" w:cs="Calibri"/>
          <w:color w:val="000000" w:themeColor="text1"/>
        </w:rPr>
        <w:t xml:space="preserve"> and to register for the public input session. You can also provide input without attending the session through </w:t>
      </w:r>
      <w:hyperlink r:id="rId13" w:history="1">
        <w:r w:rsidR="00DD3119" w:rsidRPr="002641EA">
          <w:rPr>
            <w:rStyle w:val="Hyperlink"/>
            <w:rFonts w:ascii="Calibri" w:eastAsia="Calibri" w:hAnsi="Calibri" w:cs="Calibri"/>
          </w:rPr>
          <w:t>this survey</w:t>
        </w:r>
      </w:hyperlink>
      <w:r w:rsidR="00DD3119" w:rsidRPr="248D2E1B">
        <w:rPr>
          <w:rFonts w:ascii="Calibri" w:eastAsia="Calibri" w:hAnsi="Calibri" w:cs="Calibri"/>
          <w:color w:val="000000" w:themeColor="text1"/>
        </w:rPr>
        <w:t>.</w:t>
      </w:r>
    </w:p>
    <w:p w14:paraId="4B73E1C3" w14:textId="0C2686AB" w:rsidR="000E4FA0" w:rsidRPr="002773B7" w:rsidRDefault="1DDA1E74" w:rsidP="00AC0E47">
      <w:pPr>
        <w:pStyle w:val="Heading1"/>
        <w:spacing w:after="120" w:line="240" w:lineRule="auto"/>
        <w:rPr>
          <w:rFonts w:asciiTheme="minorHAnsi" w:hAnsiTheme="minorHAnsi" w:cstheme="minorBidi"/>
          <w:b/>
          <w:bCs/>
          <w:color w:val="1B75BC"/>
        </w:rPr>
      </w:pPr>
      <w:r w:rsidRPr="248D2E1B">
        <w:rPr>
          <w:rFonts w:asciiTheme="minorHAnsi" w:hAnsiTheme="minorHAnsi" w:cstheme="minorBidi"/>
          <w:b/>
          <w:bCs/>
          <w:color w:val="1B75BC"/>
        </w:rPr>
        <w:t>What does this indicator measure and why is it important?</w:t>
      </w:r>
    </w:p>
    <w:p w14:paraId="1AC632E9" w14:textId="29CCCDEB" w:rsidR="6A8DFA22" w:rsidRDefault="1DDA1E74" w:rsidP="248D2E1B">
      <w:pPr>
        <w:spacing w:after="80" w:line="240" w:lineRule="auto"/>
        <w:rPr>
          <w:rFonts w:eastAsiaTheme="minorEastAsia"/>
          <w:color w:val="000000" w:themeColor="text1"/>
        </w:rPr>
      </w:pPr>
      <w:r w:rsidRPr="248D2E1B">
        <w:rPr>
          <w:rFonts w:eastAsiaTheme="minorEastAsia"/>
          <w:color w:val="000000" w:themeColor="text1"/>
        </w:rPr>
        <w:t>Indicator B1 addresses a Free Appropriate Public Education (FAPE) by measuring the percent of youth with Individualized Education Programs (IEPs) graduating from high school with a regular high school diploma. (20 U.S.C. 1416 (a)(3)(A)).</w:t>
      </w:r>
    </w:p>
    <w:p w14:paraId="12416B3F" w14:textId="0CAC8005" w:rsidR="014CB7AE" w:rsidRDefault="14E68AB7" w:rsidP="248D2E1B">
      <w:pPr>
        <w:spacing w:after="80" w:line="240" w:lineRule="auto"/>
        <w:rPr>
          <w:rFonts w:eastAsiaTheme="minorEastAsia"/>
          <w:color w:val="000000" w:themeColor="text1"/>
        </w:rPr>
      </w:pPr>
      <w:r w:rsidRPr="248D2E1B">
        <w:rPr>
          <w:rFonts w:eastAsiaTheme="minorEastAsia"/>
        </w:rPr>
        <w:t>Tracking graduation rate for students with disabilities provides the State with the data to make changes to systems and services so that students reach their post school goals.</w:t>
      </w:r>
    </w:p>
    <w:p w14:paraId="21AABC0C" w14:textId="1D2468F7" w:rsidR="6CBDC2CC" w:rsidRPr="002773B7" w:rsidRDefault="25FFB40D" w:rsidP="00AC0E47">
      <w:pPr>
        <w:pStyle w:val="Heading1"/>
        <w:spacing w:after="120" w:line="240" w:lineRule="auto"/>
        <w:rPr>
          <w:rFonts w:asciiTheme="minorHAnsi" w:hAnsiTheme="minorHAnsi" w:cstheme="minorBidi"/>
          <w:b/>
          <w:bCs/>
          <w:color w:val="1B75BC"/>
        </w:rPr>
      </w:pPr>
      <w:r w:rsidRPr="248D2E1B">
        <w:rPr>
          <w:rFonts w:asciiTheme="minorHAnsi" w:hAnsiTheme="minorHAnsi" w:cstheme="minorBidi"/>
          <w:b/>
          <w:bCs/>
          <w:color w:val="1B75BC"/>
        </w:rPr>
        <w:t>What is the data source?</w:t>
      </w:r>
    </w:p>
    <w:p w14:paraId="67F34C44" w14:textId="391267BB" w:rsidR="002D4D3E" w:rsidRPr="002D4D3E" w:rsidRDefault="1DDA1E74" w:rsidP="00276CE3">
      <w:pPr>
        <w:spacing w:line="240" w:lineRule="auto"/>
        <w:rPr>
          <w:rFonts w:eastAsiaTheme="minorEastAsia"/>
          <w:color w:val="000000" w:themeColor="text1"/>
        </w:rPr>
      </w:pPr>
      <w:r w:rsidRPr="1DDA1E74">
        <w:rPr>
          <w:rFonts w:eastAsiaTheme="minorEastAsia"/>
          <w:color w:val="000000" w:themeColor="text1"/>
        </w:rPr>
        <w:t>The data for this</w:t>
      </w:r>
      <w:r w:rsidR="00276CE3">
        <w:rPr>
          <w:rFonts w:eastAsiaTheme="minorEastAsia"/>
          <w:color w:val="000000" w:themeColor="text1"/>
        </w:rPr>
        <w:t xml:space="preserve"> </w:t>
      </w:r>
      <w:r w:rsidR="00276CE3" w:rsidRPr="002D4D3E">
        <w:rPr>
          <w:rFonts w:eastAsiaTheme="minorEastAsia"/>
          <w:color w:val="000000" w:themeColor="text1"/>
        </w:rPr>
        <w:t>indicator comes</w:t>
      </w:r>
      <w:r w:rsidRPr="002D4D3E">
        <w:rPr>
          <w:rFonts w:eastAsiaTheme="minorEastAsia"/>
          <w:color w:val="000000" w:themeColor="text1"/>
        </w:rPr>
        <w:t xml:space="preserve"> from the </w:t>
      </w:r>
      <w:r w:rsidR="00323962" w:rsidRPr="002D4D3E">
        <w:rPr>
          <w:rFonts w:eastAsiaTheme="minorEastAsia"/>
          <w:color w:val="000000" w:themeColor="text1"/>
        </w:rPr>
        <w:t xml:space="preserve">June Special Education Exit </w:t>
      </w:r>
      <w:r w:rsidR="00276CE3" w:rsidRPr="002D4D3E">
        <w:rPr>
          <w:rFonts w:eastAsiaTheme="minorEastAsia"/>
          <w:color w:val="000000" w:themeColor="text1"/>
        </w:rPr>
        <w:t>collection</w:t>
      </w:r>
      <w:r w:rsidR="00F54C0E" w:rsidRPr="002D4D3E">
        <w:rPr>
          <w:rFonts w:eastAsiaTheme="minorEastAsia"/>
          <w:color w:val="000000" w:themeColor="text1"/>
        </w:rPr>
        <w:t>, specifically</w:t>
      </w:r>
      <w:r w:rsidR="00EC2FCC">
        <w:rPr>
          <w:rFonts w:eastAsiaTheme="minorEastAsia"/>
          <w:color w:val="000000" w:themeColor="text1"/>
        </w:rPr>
        <w:t xml:space="preserve"> IDEA Section 618</w:t>
      </w:r>
      <w:r w:rsidR="00F54C0E" w:rsidRPr="002D4D3E">
        <w:rPr>
          <w:rFonts w:eastAsiaTheme="minorEastAsia"/>
          <w:color w:val="000000" w:themeColor="text1"/>
        </w:rPr>
        <w:t xml:space="preserve"> Data in EDFacts file </w:t>
      </w:r>
      <w:hyperlink r:id="rId14" w:history="1">
        <w:r w:rsidR="00F54C0E" w:rsidRPr="002D4D3E">
          <w:rPr>
            <w:rStyle w:val="Hyperlink"/>
            <w:rFonts w:eastAsiaTheme="minorEastAsia"/>
          </w:rPr>
          <w:t>FS009 – Children with Disabilities (IDEA) Exiting Special Education</w:t>
        </w:r>
      </w:hyperlink>
      <w:r w:rsidR="00276CE3" w:rsidRPr="002D4D3E">
        <w:rPr>
          <w:rFonts w:eastAsiaTheme="minorEastAsia"/>
          <w:color w:val="000000" w:themeColor="text1"/>
        </w:rPr>
        <w:t>.</w:t>
      </w:r>
      <w:r w:rsidR="002D4D3E" w:rsidRPr="002D4D3E">
        <w:rPr>
          <w:rFonts w:eastAsiaTheme="minorEastAsia"/>
          <w:color w:val="000000" w:themeColor="text1"/>
        </w:rPr>
        <w:t xml:space="preserve"> </w:t>
      </w:r>
    </w:p>
    <w:p w14:paraId="5AB48DB1" w14:textId="7D19CD10" w:rsidR="2C029DED" w:rsidRDefault="00C612BD" w:rsidP="248D2E1B">
      <w:pPr>
        <w:spacing w:after="80" w:line="240" w:lineRule="auto"/>
        <w:rPr>
          <w:rFonts w:eastAsiaTheme="minorEastAsia"/>
          <w:color w:val="000000" w:themeColor="text1"/>
        </w:rPr>
      </w:pPr>
      <w:r w:rsidRPr="248D2E1B">
        <w:rPr>
          <w:rFonts w:eastAsiaTheme="minorEastAsia"/>
          <w:color w:val="000000" w:themeColor="text1"/>
        </w:rPr>
        <w:t>The June Special Education Exit collects information for federal reporting requirements under the Individuals with Disabilities Education Act (IDEA). This includes students who have exited special education between July 1 and June 30. This data collection helps ODE meet requirements related to</w:t>
      </w:r>
      <w:r w:rsidR="00276CE3" w:rsidRPr="248D2E1B">
        <w:rPr>
          <w:rFonts w:eastAsiaTheme="minorEastAsia"/>
          <w:color w:val="000000" w:themeColor="text1"/>
        </w:rPr>
        <w:t xml:space="preserve"> Section 618 of Individuals with Disabilities Education Act (IDEA).</w:t>
      </w:r>
    </w:p>
    <w:p w14:paraId="14DE12DF" w14:textId="77777777" w:rsidR="00A67959" w:rsidRPr="002773B7" w:rsidRDefault="00A67959" w:rsidP="00AC0E47">
      <w:pPr>
        <w:pStyle w:val="Heading1"/>
        <w:spacing w:after="120" w:line="240" w:lineRule="auto"/>
        <w:rPr>
          <w:rFonts w:asciiTheme="minorHAnsi" w:hAnsiTheme="minorHAnsi" w:cstheme="minorBidi"/>
          <w:b/>
          <w:bCs/>
          <w:color w:val="1B75BC"/>
        </w:rPr>
      </w:pPr>
      <w:r w:rsidRPr="248D2E1B">
        <w:rPr>
          <w:rFonts w:asciiTheme="minorHAnsi" w:hAnsiTheme="minorHAnsi" w:cstheme="minorBidi"/>
          <w:b/>
          <w:bCs/>
          <w:color w:val="1B75BC"/>
        </w:rPr>
        <w:t>Does the baseline need to be set or reset for this indicator?</w:t>
      </w:r>
    </w:p>
    <w:p w14:paraId="34F1EC41" w14:textId="6529F24E" w:rsidR="00A67959" w:rsidRPr="001976A8" w:rsidRDefault="00A67959" w:rsidP="00D040A7">
      <w:pPr>
        <w:spacing w:line="240" w:lineRule="auto"/>
      </w:pPr>
      <w:r>
        <w:t xml:space="preserve">Yes, </w:t>
      </w:r>
      <w:r w:rsidR="00AA6793">
        <w:t xml:space="preserve">this indicator’s measurement changed and ODE must establish a new baseline. </w:t>
      </w:r>
      <w:r>
        <w:t xml:space="preserve">ODE </w:t>
      </w:r>
      <w:r w:rsidR="003C1001">
        <w:t xml:space="preserve">proposes </w:t>
      </w:r>
      <w:r w:rsidR="00FE3319">
        <w:t xml:space="preserve">using </w:t>
      </w:r>
      <w:r w:rsidR="00D040A7">
        <w:t>Oregon’s 2019-20 data (75.37%)</w:t>
      </w:r>
      <w:r w:rsidR="00FE3319">
        <w:t xml:space="preserve"> as</w:t>
      </w:r>
      <w:r>
        <w:t xml:space="preserve"> a new baseline for this indicator for the FFY 2020-2025 State Performance Plan.</w:t>
      </w:r>
    </w:p>
    <w:p w14:paraId="6CDE8B04" w14:textId="77777777" w:rsidR="00AC0E47" w:rsidRDefault="00AC0E47">
      <w:pPr>
        <w:rPr>
          <w:rFonts w:eastAsiaTheme="majorEastAsia"/>
          <w:b/>
          <w:bCs/>
          <w:color w:val="1B75BC"/>
          <w:sz w:val="32"/>
          <w:szCs w:val="32"/>
        </w:rPr>
      </w:pPr>
      <w:r>
        <w:rPr>
          <w:b/>
          <w:bCs/>
          <w:color w:val="1B75BC"/>
        </w:rPr>
        <w:br w:type="page"/>
      </w:r>
    </w:p>
    <w:p w14:paraId="0A61ADA5" w14:textId="48B1ED04" w:rsidR="00C06C4E" w:rsidRDefault="76FF882F" w:rsidP="00AC0E47">
      <w:pPr>
        <w:pStyle w:val="Heading1"/>
        <w:spacing w:before="0" w:line="240" w:lineRule="auto"/>
        <w:rPr>
          <w:rFonts w:asciiTheme="minorHAnsi" w:hAnsiTheme="minorHAnsi" w:cstheme="minorBidi"/>
          <w:b/>
          <w:bCs/>
          <w:color w:val="1B75BC"/>
        </w:rPr>
      </w:pPr>
      <w:r w:rsidRPr="50056B0F">
        <w:rPr>
          <w:rFonts w:asciiTheme="minorHAnsi" w:hAnsiTheme="minorHAnsi" w:cstheme="minorBidi"/>
          <w:b/>
          <w:bCs/>
          <w:color w:val="1B75BC"/>
        </w:rPr>
        <w:lastRenderedPageBreak/>
        <w:t>H</w:t>
      </w:r>
      <w:r w:rsidR="374A90BF" w:rsidRPr="50056B0F">
        <w:rPr>
          <w:rFonts w:asciiTheme="minorHAnsi" w:hAnsiTheme="minorHAnsi" w:cstheme="minorBidi"/>
          <w:b/>
          <w:bCs/>
          <w:color w:val="1B75BC"/>
        </w:rPr>
        <w:t>ow has Oregon performed over time?</w:t>
      </w:r>
    </w:p>
    <w:p w14:paraId="7651DE7E" w14:textId="77777777" w:rsidR="00595C26" w:rsidRDefault="00AA6793" w:rsidP="00595C26">
      <w:pPr>
        <w:spacing w:after="120" w:line="240" w:lineRule="auto"/>
      </w:pPr>
      <w:r>
        <w:t>Data in this fact sheet has been updated to show Oregon’s historical results under the new indicator measurements</w:t>
      </w:r>
      <w:r w:rsidR="00595C26">
        <w:t>, which requires the use of a new data source</w:t>
      </w:r>
      <w:r>
        <w:t xml:space="preserve">. To minimize complexity, the historical data </w:t>
      </w:r>
      <w:r w:rsidR="00595C26">
        <w:t xml:space="preserve">and targets </w:t>
      </w:r>
      <w:r>
        <w:t xml:space="preserve">Oregon reported from the prior measurement of this indicator </w:t>
      </w:r>
      <w:r w:rsidR="00595C26">
        <w:t xml:space="preserve">are </w:t>
      </w:r>
      <w:r>
        <w:t>not included</w:t>
      </w:r>
      <w:r w:rsidR="00595C26">
        <w:t xml:space="preserve"> since it used a different data source (ESEA data).</w:t>
      </w:r>
    </w:p>
    <w:p w14:paraId="4F985EC0" w14:textId="238311E2" w:rsidR="00415356" w:rsidRPr="00415356" w:rsidRDefault="00D75268" w:rsidP="00595C26">
      <w:pPr>
        <w:spacing w:after="120" w:line="240" w:lineRule="auto"/>
      </w:pPr>
      <w:bookmarkStart w:id="0" w:name="_GoBack"/>
      <w:r>
        <w:rPr>
          <w:noProof/>
        </w:rPr>
        <w:drawing>
          <wp:inline distT="0" distB="0" distL="0" distR="0" wp14:anchorId="73A5DADA" wp14:editId="563865E8">
            <wp:extent cx="6126480" cy="3200400"/>
            <wp:effectExtent l="0" t="0" r="7620" b="0"/>
            <wp:docPr id="1" name="Chart 1" title="Oregon's Indicator B1 Graduation Rat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14:paraId="302D561F" w14:textId="380986B2" w:rsidR="4AC5AAF6" w:rsidRPr="002773B7" w:rsidRDefault="4AC5AAF6" w:rsidP="00AC0E47">
      <w:pPr>
        <w:pStyle w:val="Heading1"/>
        <w:spacing w:before="120" w:line="240" w:lineRule="auto"/>
        <w:rPr>
          <w:rFonts w:ascii="Calibri" w:eastAsia="Calibri" w:hAnsi="Calibri" w:cs="Calibri"/>
          <w:color w:val="1B75BC"/>
        </w:rPr>
      </w:pPr>
      <w:r w:rsidRPr="248D2E1B">
        <w:rPr>
          <w:rFonts w:ascii="Calibri" w:eastAsia="Calibri" w:hAnsi="Calibri" w:cs="Calibri"/>
          <w:b/>
          <w:bCs/>
          <w:color w:val="1B75BC"/>
        </w:rPr>
        <w:t>What are the new targets?</w:t>
      </w:r>
    </w:p>
    <w:p w14:paraId="122D7287" w14:textId="13621CDF" w:rsidR="4AC5AAF6" w:rsidRPr="00A67959" w:rsidRDefault="4AC5AAF6" w:rsidP="00E64669">
      <w:pPr>
        <w:spacing w:after="0" w:line="240" w:lineRule="auto"/>
        <w:rPr>
          <w:rFonts w:ascii="Calibri" w:eastAsia="Calibri" w:hAnsi="Calibri" w:cs="Calibri"/>
          <w:color w:val="000000" w:themeColor="text1"/>
        </w:rPr>
      </w:pPr>
      <w:r w:rsidRPr="14E563C6">
        <w:rPr>
          <w:rFonts w:ascii="Calibri" w:eastAsia="Calibri" w:hAnsi="Calibri" w:cs="Calibri"/>
          <w:color w:val="000000" w:themeColor="text1"/>
        </w:rPr>
        <w:t xml:space="preserve">The ODE will not set new targets until we hear from our partners. There are several ways to set new targets. It could be a percentage </w:t>
      </w:r>
      <w:r w:rsidRPr="00A67959">
        <w:rPr>
          <w:rFonts w:ascii="Calibri" w:eastAsia="Calibri" w:hAnsi="Calibri" w:cs="Calibri"/>
          <w:color w:val="000000" w:themeColor="text1"/>
        </w:rPr>
        <w:t>increase, start with the end game in mind, or examine trends over time and make predictions based on trends. Some helpful information about setting targets:</w:t>
      </w:r>
    </w:p>
    <w:p w14:paraId="269BD7A8" w14:textId="77DC621A" w:rsidR="00250BC5" w:rsidRPr="006E77C6" w:rsidRDefault="00250BC5" w:rsidP="00250BC5">
      <w:pPr>
        <w:pStyle w:val="ListParagraph"/>
        <w:numPr>
          <w:ilvl w:val="0"/>
          <w:numId w:val="1"/>
        </w:numPr>
        <w:spacing w:line="240" w:lineRule="auto"/>
        <w:rPr>
          <w:rFonts w:eastAsiaTheme="minorEastAsia"/>
          <w:color w:val="000000" w:themeColor="text1"/>
        </w:rPr>
      </w:pPr>
      <w:r w:rsidRPr="006E77C6">
        <w:rPr>
          <w:rFonts w:ascii="Calibri" w:eastAsia="Calibri" w:hAnsi="Calibri" w:cs="Calibri"/>
          <w:color w:val="000000" w:themeColor="text1"/>
        </w:rPr>
        <w:t>Targets are meant to support improved results and outcomes for children and families. They should be within reach but still show growth. </w:t>
      </w:r>
    </w:p>
    <w:p w14:paraId="3D62CB97" w14:textId="105C5461" w:rsidR="4AC5AAF6" w:rsidRPr="00A67959" w:rsidRDefault="00250BC5" w:rsidP="00250BC5">
      <w:pPr>
        <w:pStyle w:val="ListParagraph"/>
        <w:numPr>
          <w:ilvl w:val="0"/>
          <w:numId w:val="1"/>
        </w:numPr>
        <w:spacing w:line="240" w:lineRule="auto"/>
        <w:rPr>
          <w:rFonts w:eastAsiaTheme="minorEastAsia"/>
          <w:color w:val="000000" w:themeColor="text1"/>
        </w:rPr>
      </w:pPr>
      <w:r w:rsidRPr="006E77C6">
        <w:rPr>
          <w:rFonts w:ascii="Calibri" w:eastAsia="Calibri" w:hAnsi="Calibri" w:cs="Calibri"/>
          <w:color w:val="000000" w:themeColor="text1"/>
        </w:rPr>
        <w:t xml:space="preserve">Change takes time. Targets can be created with this understanding in mind. For example, targets may stay the same for several years in a row, and then </w:t>
      </w:r>
      <w:r>
        <w:rPr>
          <w:rFonts w:ascii="Calibri" w:eastAsia="Calibri" w:hAnsi="Calibri" w:cs="Calibri"/>
          <w:color w:val="000000" w:themeColor="text1"/>
        </w:rPr>
        <w:t>improve</w:t>
      </w:r>
      <w:r w:rsidRPr="006E77C6">
        <w:rPr>
          <w:rFonts w:ascii="Calibri" w:eastAsia="Calibri" w:hAnsi="Calibri" w:cs="Calibri"/>
          <w:color w:val="000000" w:themeColor="text1"/>
        </w:rPr>
        <w:t xml:space="preserve"> slightly during the final target year (FFY 2025). </w:t>
      </w:r>
      <w:r>
        <w:rPr>
          <w:rFonts w:ascii="Calibri" w:eastAsia="Calibri" w:hAnsi="Calibri" w:cs="Calibri"/>
          <w:color w:val="000000" w:themeColor="text1"/>
        </w:rPr>
        <w:t xml:space="preserve">Alternatively, targets could </w:t>
      </w:r>
      <w:r w:rsidRPr="006E77C6">
        <w:rPr>
          <w:rFonts w:ascii="Calibri" w:eastAsia="Calibri" w:hAnsi="Calibri" w:cs="Calibri"/>
          <w:color w:val="000000" w:themeColor="text1"/>
        </w:rPr>
        <w:t xml:space="preserve">show a slight </w:t>
      </w:r>
      <w:r>
        <w:rPr>
          <w:rFonts w:ascii="Calibri" w:eastAsia="Calibri" w:hAnsi="Calibri" w:cs="Calibri"/>
          <w:color w:val="000000" w:themeColor="text1"/>
        </w:rPr>
        <w:t>improvement</w:t>
      </w:r>
      <w:r w:rsidRPr="006E77C6">
        <w:rPr>
          <w:rFonts w:ascii="Calibri" w:eastAsia="Calibri" w:hAnsi="Calibri" w:cs="Calibri"/>
          <w:color w:val="000000" w:themeColor="text1"/>
        </w:rPr>
        <w:t xml:space="preserve"> each year.</w:t>
      </w:r>
    </w:p>
    <w:p w14:paraId="6799DD0C" w14:textId="33C83B88" w:rsidR="4AC5AAF6" w:rsidRDefault="4AC5AAF6" w:rsidP="248D2E1B">
      <w:pPr>
        <w:spacing w:after="0" w:line="240" w:lineRule="auto"/>
        <w:rPr>
          <w:rFonts w:ascii="Calibri" w:eastAsia="Calibri" w:hAnsi="Calibri" w:cs="Calibri"/>
          <w:color w:val="408740"/>
          <w:sz w:val="24"/>
          <w:szCs w:val="24"/>
        </w:rPr>
      </w:pPr>
      <w:r w:rsidRPr="248D2E1B">
        <w:rPr>
          <w:rFonts w:ascii="Calibri" w:eastAsia="Calibri" w:hAnsi="Calibri" w:cs="Calibri"/>
          <w:b/>
          <w:bCs/>
          <w:color w:val="408740"/>
          <w:sz w:val="24"/>
          <w:szCs w:val="24"/>
        </w:rPr>
        <w:t>Example 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14:paraId="6C4D1A5D" w14:textId="77777777" w:rsidTr="248D2E1B">
        <w:trPr>
          <w:tblHeader/>
        </w:trPr>
        <w:tc>
          <w:tcPr>
            <w:tcW w:w="2220" w:type="dxa"/>
            <w:shd w:val="clear" w:color="auto" w:fill="70AD47" w:themeFill="accent6"/>
          </w:tcPr>
          <w:p w14:paraId="4305A598" w14:textId="0A05B27E" w:rsidR="14E563C6" w:rsidRDefault="14E563C6" w:rsidP="00276CE3">
            <w:pPr>
              <w:jc w:val="center"/>
              <w:rPr>
                <w:rFonts w:ascii="Calibri" w:eastAsia="Calibri" w:hAnsi="Calibri" w:cs="Calibri"/>
              </w:rPr>
            </w:pPr>
            <w:r w:rsidRPr="14E563C6">
              <w:rPr>
                <w:rFonts w:ascii="Calibri" w:eastAsia="Calibri" w:hAnsi="Calibri" w:cs="Calibri"/>
                <w:b/>
                <w:bCs/>
              </w:rPr>
              <w:t>FFY</w:t>
            </w:r>
          </w:p>
        </w:tc>
        <w:tc>
          <w:tcPr>
            <w:tcW w:w="1275" w:type="dxa"/>
            <w:shd w:val="clear" w:color="auto" w:fill="70AD47" w:themeFill="accent6"/>
          </w:tcPr>
          <w:p w14:paraId="0AC36811" w14:textId="2CD3089C" w:rsidR="14E563C6" w:rsidRDefault="14E563C6" w:rsidP="00276CE3">
            <w:pPr>
              <w:jc w:val="center"/>
              <w:rPr>
                <w:rFonts w:ascii="Calibri" w:eastAsia="Calibri" w:hAnsi="Calibri" w:cs="Calibri"/>
              </w:rPr>
            </w:pPr>
            <w:r w:rsidRPr="14E563C6">
              <w:rPr>
                <w:rFonts w:ascii="Calibri" w:eastAsia="Calibri" w:hAnsi="Calibri" w:cs="Calibri"/>
                <w:b/>
                <w:bCs/>
              </w:rPr>
              <w:t>2020</w:t>
            </w:r>
          </w:p>
        </w:tc>
        <w:tc>
          <w:tcPr>
            <w:tcW w:w="1275" w:type="dxa"/>
            <w:shd w:val="clear" w:color="auto" w:fill="70AD47" w:themeFill="accent6"/>
          </w:tcPr>
          <w:p w14:paraId="54A82F94" w14:textId="299241BE" w:rsidR="14E563C6" w:rsidRDefault="14E563C6" w:rsidP="00276CE3">
            <w:pPr>
              <w:jc w:val="center"/>
              <w:rPr>
                <w:rFonts w:ascii="Calibri" w:eastAsia="Calibri" w:hAnsi="Calibri" w:cs="Calibri"/>
              </w:rPr>
            </w:pPr>
            <w:r w:rsidRPr="14E563C6">
              <w:rPr>
                <w:rFonts w:ascii="Calibri" w:eastAsia="Calibri" w:hAnsi="Calibri" w:cs="Calibri"/>
                <w:b/>
                <w:bCs/>
              </w:rPr>
              <w:t>2021</w:t>
            </w:r>
          </w:p>
        </w:tc>
        <w:tc>
          <w:tcPr>
            <w:tcW w:w="1275" w:type="dxa"/>
            <w:shd w:val="clear" w:color="auto" w:fill="70AD47" w:themeFill="accent6"/>
          </w:tcPr>
          <w:p w14:paraId="2EDB4B36" w14:textId="1396D263" w:rsidR="14E563C6" w:rsidRDefault="14E563C6" w:rsidP="00276CE3">
            <w:pPr>
              <w:jc w:val="center"/>
              <w:rPr>
                <w:rFonts w:ascii="Calibri" w:eastAsia="Calibri" w:hAnsi="Calibri" w:cs="Calibri"/>
              </w:rPr>
            </w:pPr>
            <w:r w:rsidRPr="14E563C6">
              <w:rPr>
                <w:rFonts w:ascii="Calibri" w:eastAsia="Calibri" w:hAnsi="Calibri" w:cs="Calibri"/>
                <w:b/>
                <w:bCs/>
              </w:rPr>
              <w:t>2022</w:t>
            </w:r>
          </w:p>
        </w:tc>
        <w:tc>
          <w:tcPr>
            <w:tcW w:w="1275" w:type="dxa"/>
            <w:shd w:val="clear" w:color="auto" w:fill="70AD47" w:themeFill="accent6"/>
          </w:tcPr>
          <w:p w14:paraId="4FE6D011" w14:textId="6B12261A" w:rsidR="14E563C6" w:rsidRDefault="14E563C6" w:rsidP="00276CE3">
            <w:pPr>
              <w:jc w:val="center"/>
              <w:rPr>
                <w:rFonts w:ascii="Calibri" w:eastAsia="Calibri" w:hAnsi="Calibri" w:cs="Calibri"/>
              </w:rPr>
            </w:pPr>
            <w:r w:rsidRPr="14E563C6">
              <w:rPr>
                <w:rFonts w:ascii="Calibri" w:eastAsia="Calibri" w:hAnsi="Calibri" w:cs="Calibri"/>
                <w:b/>
                <w:bCs/>
              </w:rPr>
              <w:t>2023</w:t>
            </w:r>
          </w:p>
        </w:tc>
        <w:tc>
          <w:tcPr>
            <w:tcW w:w="1275" w:type="dxa"/>
            <w:shd w:val="clear" w:color="auto" w:fill="70AD47" w:themeFill="accent6"/>
          </w:tcPr>
          <w:p w14:paraId="3CD15A30" w14:textId="0C778491" w:rsidR="14E563C6" w:rsidRDefault="14E563C6" w:rsidP="00276CE3">
            <w:pPr>
              <w:jc w:val="center"/>
              <w:rPr>
                <w:rFonts w:ascii="Calibri" w:eastAsia="Calibri" w:hAnsi="Calibri" w:cs="Calibri"/>
              </w:rPr>
            </w:pPr>
            <w:r w:rsidRPr="14E563C6">
              <w:rPr>
                <w:rFonts w:ascii="Calibri" w:eastAsia="Calibri" w:hAnsi="Calibri" w:cs="Calibri"/>
                <w:b/>
                <w:bCs/>
              </w:rPr>
              <w:t>2024</w:t>
            </w:r>
          </w:p>
        </w:tc>
        <w:tc>
          <w:tcPr>
            <w:tcW w:w="1275" w:type="dxa"/>
            <w:shd w:val="clear" w:color="auto" w:fill="70AD47" w:themeFill="accent6"/>
          </w:tcPr>
          <w:p w14:paraId="74014F9B" w14:textId="74461DF2" w:rsidR="14E563C6" w:rsidRDefault="14E563C6" w:rsidP="00276CE3">
            <w:pPr>
              <w:jc w:val="center"/>
              <w:rPr>
                <w:rFonts w:ascii="Calibri" w:eastAsia="Calibri" w:hAnsi="Calibri" w:cs="Calibri"/>
              </w:rPr>
            </w:pPr>
            <w:r w:rsidRPr="14E563C6">
              <w:rPr>
                <w:rFonts w:ascii="Calibri" w:eastAsia="Calibri" w:hAnsi="Calibri" w:cs="Calibri"/>
                <w:b/>
                <w:bCs/>
              </w:rPr>
              <w:t>2025</w:t>
            </w:r>
          </w:p>
        </w:tc>
      </w:tr>
      <w:tr w:rsidR="14E563C6" w14:paraId="37B336D0" w14:textId="77777777" w:rsidTr="248D2E1B">
        <w:tc>
          <w:tcPr>
            <w:tcW w:w="2220" w:type="dxa"/>
          </w:tcPr>
          <w:p w14:paraId="07214275" w14:textId="5AD5C565" w:rsidR="14E563C6" w:rsidRDefault="14E563C6" w:rsidP="00276CE3">
            <w:pPr>
              <w:rPr>
                <w:rFonts w:ascii="Calibri" w:eastAsia="Calibri" w:hAnsi="Calibri" w:cs="Calibri"/>
              </w:rPr>
            </w:pPr>
            <w:r w:rsidRPr="14E563C6">
              <w:rPr>
                <w:rFonts w:ascii="Calibri" w:eastAsia="Calibri" w:hAnsi="Calibri" w:cs="Calibri"/>
              </w:rPr>
              <w:t>Targets ≥</w:t>
            </w:r>
          </w:p>
        </w:tc>
        <w:tc>
          <w:tcPr>
            <w:tcW w:w="1275" w:type="dxa"/>
          </w:tcPr>
          <w:p w14:paraId="0A0F25B7" w14:textId="2319DBB4" w:rsidR="14E563C6" w:rsidRDefault="00153874" w:rsidP="00276CE3">
            <w:pPr>
              <w:jc w:val="center"/>
              <w:rPr>
                <w:rFonts w:ascii="Calibri" w:eastAsia="Calibri" w:hAnsi="Calibri" w:cs="Calibri"/>
              </w:rPr>
            </w:pPr>
            <w:r>
              <w:rPr>
                <w:rFonts w:ascii="Calibri" w:eastAsia="Calibri" w:hAnsi="Calibri" w:cs="Calibri"/>
              </w:rPr>
              <w:t>79</w:t>
            </w:r>
            <w:r w:rsidR="00561636">
              <w:rPr>
                <w:rFonts w:ascii="Calibri" w:eastAsia="Calibri" w:hAnsi="Calibri" w:cs="Calibri"/>
              </w:rPr>
              <w:t>.00%</w:t>
            </w:r>
          </w:p>
        </w:tc>
        <w:tc>
          <w:tcPr>
            <w:tcW w:w="1275" w:type="dxa"/>
          </w:tcPr>
          <w:p w14:paraId="739EB614" w14:textId="30D9ECA5" w:rsidR="14E563C6" w:rsidRDefault="00561636" w:rsidP="00276CE3">
            <w:pPr>
              <w:jc w:val="center"/>
              <w:rPr>
                <w:rFonts w:ascii="Calibri" w:eastAsia="Calibri" w:hAnsi="Calibri" w:cs="Calibri"/>
              </w:rPr>
            </w:pPr>
            <w:r>
              <w:rPr>
                <w:rFonts w:ascii="Calibri" w:eastAsia="Calibri" w:hAnsi="Calibri" w:cs="Calibri"/>
              </w:rPr>
              <w:t>80.00%</w:t>
            </w:r>
          </w:p>
        </w:tc>
        <w:tc>
          <w:tcPr>
            <w:tcW w:w="1275" w:type="dxa"/>
          </w:tcPr>
          <w:p w14:paraId="62A21DB9" w14:textId="7D265301" w:rsidR="14E563C6" w:rsidRDefault="00561636" w:rsidP="00153874">
            <w:pPr>
              <w:jc w:val="center"/>
              <w:rPr>
                <w:rFonts w:ascii="Calibri" w:eastAsia="Calibri" w:hAnsi="Calibri" w:cs="Calibri"/>
              </w:rPr>
            </w:pPr>
            <w:r>
              <w:rPr>
                <w:rFonts w:ascii="Calibri" w:eastAsia="Calibri" w:hAnsi="Calibri" w:cs="Calibri"/>
              </w:rPr>
              <w:t>8</w:t>
            </w:r>
            <w:r w:rsidR="00153874">
              <w:rPr>
                <w:rFonts w:ascii="Calibri" w:eastAsia="Calibri" w:hAnsi="Calibri" w:cs="Calibri"/>
              </w:rPr>
              <w:t>1</w:t>
            </w:r>
            <w:r>
              <w:rPr>
                <w:rFonts w:ascii="Calibri" w:eastAsia="Calibri" w:hAnsi="Calibri" w:cs="Calibri"/>
              </w:rPr>
              <w:t>.00%</w:t>
            </w:r>
          </w:p>
        </w:tc>
        <w:tc>
          <w:tcPr>
            <w:tcW w:w="1275" w:type="dxa"/>
          </w:tcPr>
          <w:p w14:paraId="2BE0869A" w14:textId="7944C797" w:rsidR="14E563C6" w:rsidRDefault="00561636" w:rsidP="00276CE3">
            <w:pPr>
              <w:jc w:val="center"/>
              <w:rPr>
                <w:rFonts w:ascii="Calibri" w:eastAsia="Calibri" w:hAnsi="Calibri" w:cs="Calibri"/>
              </w:rPr>
            </w:pPr>
            <w:r>
              <w:rPr>
                <w:rFonts w:ascii="Calibri" w:eastAsia="Calibri" w:hAnsi="Calibri" w:cs="Calibri"/>
              </w:rPr>
              <w:t>82.00%</w:t>
            </w:r>
          </w:p>
        </w:tc>
        <w:tc>
          <w:tcPr>
            <w:tcW w:w="1275" w:type="dxa"/>
          </w:tcPr>
          <w:p w14:paraId="6178B2D8" w14:textId="75C6C89C" w:rsidR="14E563C6" w:rsidRDefault="00561636" w:rsidP="00153874">
            <w:pPr>
              <w:jc w:val="center"/>
              <w:rPr>
                <w:rFonts w:ascii="Calibri" w:eastAsia="Calibri" w:hAnsi="Calibri" w:cs="Calibri"/>
              </w:rPr>
            </w:pPr>
            <w:r>
              <w:rPr>
                <w:rFonts w:ascii="Calibri" w:eastAsia="Calibri" w:hAnsi="Calibri" w:cs="Calibri"/>
              </w:rPr>
              <w:t>8</w:t>
            </w:r>
            <w:r w:rsidR="00153874">
              <w:rPr>
                <w:rFonts w:ascii="Calibri" w:eastAsia="Calibri" w:hAnsi="Calibri" w:cs="Calibri"/>
              </w:rPr>
              <w:t>3</w:t>
            </w:r>
            <w:r>
              <w:rPr>
                <w:rFonts w:ascii="Calibri" w:eastAsia="Calibri" w:hAnsi="Calibri" w:cs="Calibri"/>
              </w:rPr>
              <w:t>.00%</w:t>
            </w:r>
          </w:p>
        </w:tc>
        <w:tc>
          <w:tcPr>
            <w:tcW w:w="1275" w:type="dxa"/>
          </w:tcPr>
          <w:p w14:paraId="61DDAF15" w14:textId="4D72BB05" w:rsidR="14E563C6" w:rsidRDefault="00561636" w:rsidP="00561636">
            <w:pPr>
              <w:jc w:val="center"/>
              <w:rPr>
                <w:rFonts w:ascii="Calibri" w:eastAsia="Calibri" w:hAnsi="Calibri" w:cs="Calibri"/>
              </w:rPr>
            </w:pPr>
            <w:r>
              <w:rPr>
                <w:rFonts w:ascii="Calibri" w:eastAsia="Calibri" w:hAnsi="Calibri" w:cs="Calibri"/>
              </w:rPr>
              <w:t>84.00%</w:t>
            </w:r>
          </w:p>
        </w:tc>
      </w:tr>
    </w:tbl>
    <w:p w14:paraId="7CBB0A02" w14:textId="786AE051" w:rsidR="4BA10CF5" w:rsidRDefault="4BA10CF5" w:rsidP="00AC0E47">
      <w:pPr>
        <w:spacing w:after="120" w:line="240" w:lineRule="auto"/>
        <w:rPr>
          <w:rFonts w:ascii="Calibri" w:eastAsia="Calibri" w:hAnsi="Calibri" w:cs="Calibri"/>
          <w:color w:val="000000" w:themeColor="text1"/>
        </w:rPr>
      </w:pPr>
      <w:r w:rsidRPr="14E563C6">
        <w:rPr>
          <w:rFonts w:ascii="Calibri" w:eastAsia="Calibri" w:hAnsi="Calibri" w:cs="Calibri"/>
          <w:color w:val="000000" w:themeColor="text1"/>
        </w:rPr>
        <w:t>Example A shows a gradual increase</w:t>
      </w:r>
      <w:r w:rsidR="00153874">
        <w:rPr>
          <w:rFonts w:ascii="Calibri" w:eastAsia="Calibri" w:hAnsi="Calibri" w:cs="Calibri"/>
          <w:color w:val="000000" w:themeColor="text1"/>
        </w:rPr>
        <w:t xml:space="preserve"> that </w:t>
      </w:r>
      <w:r w:rsidR="00AC0E47">
        <w:rPr>
          <w:rFonts w:ascii="Calibri" w:eastAsia="Calibri" w:hAnsi="Calibri" w:cs="Calibri"/>
          <w:color w:val="000000" w:themeColor="text1"/>
        </w:rPr>
        <w:t xml:space="preserve">forecasts </w:t>
      </w:r>
      <w:r w:rsidR="00153874">
        <w:rPr>
          <w:rFonts w:ascii="Calibri" w:eastAsia="Calibri" w:hAnsi="Calibri" w:cs="Calibri"/>
          <w:color w:val="000000" w:themeColor="text1"/>
        </w:rPr>
        <w:t xml:space="preserve">Oregon </w:t>
      </w:r>
      <w:r w:rsidR="00E90A4A">
        <w:rPr>
          <w:rFonts w:ascii="Calibri" w:eastAsia="Calibri" w:hAnsi="Calibri" w:cs="Calibri"/>
          <w:color w:val="000000" w:themeColor="text1"/>
        </w:rPr>
        <w:t>reaching a 90% graduation rate in 10 years</w:t>
      </w:r>
      <w:r w:rsidRPr="14E563C6">
        <w:rPr>
          <w:rFonts w:ascii="Calibri" w:eastAsia="Calibri" w:hAnsi="Calibri" w:cs="Calibri"/>
          <w:color w:val="000000" w:themeColor="text1"/>
        </w:rPr>
        <w:t>.</w:t>
      </w:r>
    </w:p>
    <w:p w14:paraId="5AE521D3" w14:textId="5723A078" w:rsidR="4BA10CF5" w:rsidRDefault="48991DC0" w:rsidP="248D2E1B">
      <w:pPr>
        <w:spacing w:after="0" w:line="240" w:lineRule="auto"/>
        <w:rPr>
          <w:rFonts w:ascii="Calibri" w:eastAsia="Calibri" w:hAnsi="Calibri" w:cs="Calibri"/>
          <w:color w:val="408740"/>
          <w:sz w:val="24"/>
          <w:szCs w:val="24"/>
        </w:rPr>
      </w:pPr>
      <w:r w:rsidRPr="248D2E1B">
        <w:rPr>
          <w:rFonts w:ascii="Calibri" w:eastAsia="Calibri" w:hAnsi="Calibri" w:cs="Calibri"/>
          <w:b/>
          <w:bCs/>
          <w:color w:val="408740"/>
          <w:sz w:val="24"/>
          <w:szCs w:val="24"/>
        </w:rPr>
        <w:t>Example 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rsidRPr="006A7934" w14:paraId="641530BC" w14:textId="77777777" w:rsidTr="248D2E1B">
        <w:trPr>
          <w:tblHeader/>
        </w:trPr>
        <w:tc>
          <w:tcPr>
            <w:tcW w:w="2220" w:type="dxa"/>
            <w:shd w:val="clear" w:color="auto" w:fill="FFC000" w:themeFill="accent4"/>
          </w:tcPr>
          <w:p w14:paraId="4283ECE7" w14:textId="6A283BE7" w:rsidR="14E563C6" w:rsidRPr="006A7934" w:rsidRDefault="14E563C6" w:rsidP="00276CE3">
            <w:pPr>
              <w:jc w:val="center"/>
              <w:rPr>
                <w:rFonts w:ascii="Calibri" w:eastAsia="Calibri" w:hAnsi="Calibri" w:cs="Calibri"/>
              </w:rPr>
            </w:pPr>
            <w:r w:rsidRPr="006A7934">
              <w:rPr>
                <w:rFonts w:ascii="Calibri" w:eastAsia="Calibri" w:hAnsi="Calibri" w:cs="Calibri"/>
                <w:b/>
                <w:bCs/>
              </w:rPr>
              <w:t>FFY</w:t>
            </w:r>
          </w:p>
        </w:tc>
        <w:tc>
          <w:tcPr>
            <w:tcW w:w="1275" w:type="dxa"/>
            <w:shd w:val="clear" w:color="auto" w:fill="FFC000" w:themeFill="accent4"/>
          </w:tcPr>
          <w:p w14:paraId="2855909C" w14:textId="73D9E00B" w:rsidR="14E563C6" w:rsidRPr="006A7934" w:rsidRDefault="14E563C6" w:rsidP="00276CE3">
            <w:pPr>
              <w:jc w:val="center"/>
              <w:rPr>
                <w:rFonts w:ascii="Calibri" w:eastAsia="Calibri" w:hAnsi="Calibri" w:cs="Calibri"/>
              </w:rPr>
            </w:pPr>
            <w:r w:rsidRPr="006A7934">
              <w:rPr>
                <w:rFonts w:ascii="Calibri" w:eastAsia="Calibri" w:hAnsi="Calibri" w:cs="Calibri"/>
                <w:b/>
                <w:bCs/>
              </w:rPr>
              <w:t>2020</w:t>
            </w:r>
          </w:p>
        </w:tc>
        <w:tc>
          <w:tcPr>
            <w:tcW w:w="1275" w:type="dxa"/>
            <w:shd w:val="clear" w:color="auto" w:fill="FFC000" w:themeFill="accent4"/>
          </w:tcPr>
          <w:p w14:paraId="7715E51A" w14:textId="26099B6A" w:rsidR="14E563C6" w:rsidRPr="006A7934" w:rsidRDefault="14E563C6" w:rsidP="00276CE3">
            <w:pPr>
              <w:jc w:val="center"/>
              <w:rPr>
                <w:rFonts w:ascii="Calibri" w:eastAsia="Calibri" w:hAnsi="Calibri" w:cs="Calibri"/>
              </w:rPr>
            </w:pPr>
            <w:r w:rsidRPr="006A7934">
              <w:rPr>
                <w:rFonts w:ascii="Calibri" w:eastAsia="Calibri" w:hAnsi="Calibri" w:cs="Calibri"/>
                <w:b/>
                <w:bCs/>
              </w:rPr>
              <w:t>2021</w:t>
            </w:r>
          </w:p>
        </w:tc>
        <w:tc>
          <w:tcPr>
            <w:tcW w:w="1275" w:type="dxa"/>
            <w:shd w:val="clear" w:color="auto" w:fill="FFC000" w:themeFill="accent4"/>
          </w:tcPr>
          <w:p w14:paraId="4036C35C" w14:textId="5682B83A" w:rsidR="14E563C6" w:rsidRPr="006A7934" w:rsidRDefault="14E563C6" w:rsidP="00276CE3">
            <w:pPr>
              <w:jc w:val="center"/>
              <w:rPr>
                <w:rFonts w:ascii="Calibri" w:eastAsia="Calibri" w:hAnsi="Calibri" w:cs="Calibri"/>
              </w:rPr>
            </w:pPr>
            <w:r w:rsidRPr="006A7934">
              <w:rPr>
                <w:rFonts w:ascii="Calibri" w:eastAsia="Calibri" w:hAnsi="Calibri" w:cs="Calibri"/>
                <w:b/>
                <w:bCs/>
              </w:rPr>
              <w:t>2022</w:t>
            </w:r>
          </w:p>
        </w:tc>
        <w:tc>
          <w:tcPr>
            <w:tcW w:w="1275" w:type="dxa"/>
            <w:shd w:val="clear" w:color="auto" w:fill="FFC000" w:themeFill="accent4"/>
          </w:tcPr>
          <w:p w14:paraId="1E8413ED" w14:textId="5043D2EE" w:rsidR="14E563C6" w:rsidRPr="006A7934" w:rsidRDefault="14E563C6" w:rsidP="00276CE3">
            <w:pPr>
              <w:jc w:val="center"/>
              <w:rPr>
                <w:rFonts w:ascii="Calibri" w:eastAsia="Calibri" w:hAnsi="Calibri" w:cs="Calibri"/>
              </w:rPr>
            </w:pPr>
            <w:r w:rsidRPr="006A7934">
              <w:rPr>
                <w:rFonts w:ascii="Calibri" w:eastAsia="Calibri" w:hAnsi="Calibri" w:cs="Calibri"/>
                <w:b/>
                <w:bCs/>
              </w:rPr>
              <w:t>2023</w:t>
            </w:r>
          </w:p>
        </w:tc>
        <w:tc>
          <w:tcPr>
            <w:tcW w:w="1275" w:type="dxa"/>
            <w:shd w:val="clear" w:color="auto" w:fill="FFC000" w:themeFill="accent4"/>
          </w:tcPr>
          <w:p w14:paraId="75D2E447" w14:textId="3A0DA58A" w:rsidR="14E563C6" w:rsidRPr="006A7934" w:rsidRDefault="14E563C6" w:rsidP="00276CE3">
            <w:pPr>
              <w:jc w:val="center"/>
              <w:rPr>
                <w:rFonts w:ascii="Calibri" w:eastAsia="Calibri" w:hAnsi="Calibri" w:cs="Calibri"/>
              </w:rPr>
            </w:pPr>
            <w:r w:rsidRPr="006A7934">
              <w:rPr>
                <w:rFonts w:ascii="Calibri" w:eastAsia="Calibri" w:hAnsi="Calibri" w:cs="Calibri"/>
                <w:b/>
                <w:bCs/>
              </w:rPr>
              <w:t>2024</w:t>
            </w:r>
          </w:p>
        </w:tc>
        <w:tc>
          <w:tcPr>
            <w:tcW w:w="1275" w:type="dxa"/>
            <w:shd w:val="clear" w:color="auto" w:fill="FFC000" w:themeFill="accent4"/>
          </w:tcPr>
          <w:p w14:paraId="65820E82" w14:textId="18D8CBA1" w:rsidR="14E563C6" w:rsidRPr="006A7934" w:rsidRDefault="14E563C6" w:rsidP="00276CE3">
            <w:pPr>
              <w:jc w:val="center"/>
              <w:rPr>
                <w:rFonts w:ascii="Calibri" w:eastAsia="Calibri" w:hAnsi="Calibri" w:cs="Calibri"/>
              </w:rPr>
            </w:pPr>
            <w:r w:rsidRPr="006A7934">
              <w:rPr>
                <w:rFonts w:ascii="Calibri" w:eastAsia="Calibri" w:hAnsi="Calibri" w:cs="Calibri"/>
                <w:b/>
                <w:bCs/>
              </w:rPr>
              <w:t>2025</w:t>
            </w:r>
          </w:p>
        </w:tc>
      </w:tr>
      <w:tr w:rsidR="14E563C6" w:rsidRPr="006A7934" w14:paraId="24F5B930" w14:textId="77777777" w:rsidTr="248D2E1B">
        <w:tc>
          <w:tcPr>
            <w:tcW w:w="2220" w:type="dxa"/>
          </w:tcPr>
          <w:p w14:paraId="22CC5843" w14:textId="4D332C3B" w:rsidR="14E563C6" w:rsidRPr="006A7934" w:rsidRDefault="14E563C6" w:rsidP="00276CE3">
            <w:pPr>
              <w:rPr>
                <w:rFonts w:ascii="Calibri" w:eastAsia="Calibri" w:hAnsi="Calibri" w:cs="Calibri"/>
              </w:rPr>
            </w:pPr>
            <w:r w:rsidRPr="006A7934">
              <w:rPr>
                <w:rFonts w:ascii="Calibri" w:eastAsia="Calibri" w:hAnsi="Calibri" w:cs="Calibri"/>
              </w:rPr>
              <w:t>Target ≥</w:t>
            </w:r>
          </w:p>
        </w:tc>
        <w:tc>
          <w:tcPr>
            <w:tcW w:w="1275" w:type="dxa"/>
          </w:tcPr>
          <w:p w14:paraId="1DB123F6" w14:textId="4744E323" w:rsidR="14E563C6" w:rsidRPr="006A7934" w:rsidRDefault="00501B97" w:rsidP="00501B97">
            <w:pPr>
              <w:jc w:val="center"/>
              <w:rPr>
                <w:rFonts w:ascii="Calibri" w:eastAsia="Calibri" w:hAnsi="Calibri" w:cs="Calibri"/>
              </w:rPr>
            </w:pPr>
            <w:r>
              <w:rPr>
                <w:rFonts w:ascii="Calibri" w:eastAsia="Calibri" w:hAnsi="Calibri" w:cs="Calibri"/>
              </w:rPr>
              <w:t>79</w:t>
            </w:r>
            <w:r w:rsidR="00561636">
              <w:rPr>
                <w:rFonts w:ascii="Calibri" w:eastAsia="Calibri" w:hAnsi="Calibri" w:cs="Calibri"/>
              </w:rPr>
              <w:t>.00%</w:t>
            </w:r>
          </w:p>
        </w:tc>
        <w:tc>
          <w:tcPr>
            <w:tcW w:w="1275" w:type="dxa"/>
          </w:tcPr>
          <w:p w14:paraId="4045CFC3" w14:textId="123409B3" w:rsidR="14E563C6" w:rsidRPr="006A7934" w:rsidRDefault="00501B97" w:rsidP="00501B97">
            <w:pPr>
              <w:jc w:val="center"/>
              <w:rPr>
                <w:rFonts w:ascii="Calibri" w:eastAsia="Calibri" w:hAnsi="Calibri" w:cs="Calibri"/>
              </w:rPr>
            </w:pPr>
            <w:r>
              <w:rPr>
                <w:rFonts w:ascii="Calibri" w:eastAsia="Calibri" w:hAnsi="Calibri" w:cs="Calibri"/>
              </w:rPr>
              <w:t>81</w:t>
            </w:r>
            <w:r w:rsidR="00561636">
              <w:rPr>
                <w:rFonts w:ascii="Calibri" w:eastAsia="Calibri" w:hAnsi="Calibri" w:cs="Calibri"/>
              </w:rPr>
              <w:t>.00%</w:t>
            </w:r>
          </w:p>
        </w:tc>
        <w:tc>
          <w:tcPr>
            <w:tcW w:w="1275" w:type="dxa"/>
          </w:tcPr>
          <w:p w14:paraId="48A6EBDC" w14:textId="0455FE7C" w:rsidR="14E563C6" w:rsidRPr="006A7934" w:rsidRDefault="00561636" w:rsidP="00501B97">
            <w:pPr>
              <w:jc w:val="center"/>
              <w:rPr>
                <w:rFonts w:ascii="Calibri" w:eastAsia="Calibri" w:hAnsi="Calibri" w:cs="Calibri"/>
              </w:rPr>
            </w:pPr>
            <w:r>
              <w:rPr>
                <w:rFonts w:ascii="Calibri" w:eastAsia="Calibri" w:hAnsi="Calibri" w:cs="Calibri"/>
              </w:rPr>
              <w:t>8</w:t>
            </w:r>
            <w:r w:rsidR="00501B97">
              <w:rPr>
                <w:rFonts w:ascii="Calibri" w:eastAsia="Calibri" w:hAnsi="Calibri" w:cs="Calibri"/>
              </w:rPr>
              <w:t>3</w:t>
            </w:r>
            <w:r>
              <w:rPr>
                <w:rFonts w:ascii="Calibri" w:eastAsia="Calibri" w:hAnsi="Calibri" w:cs="Calibri"/>
              </w:rPr>
              <w:t>.00%</w:t>
            </w:r>
          </w:p>
        </w:tc>
        <w:tc>
          <w:tcPr>
            <w:tcW w:w="1275" w:type="dxa"/>
          </w:tcPr>
          <w:p w14:paraId="650A757F" w14:textId="558910BD" w:rsidR="14E563C6" w:rsidRPr="006A7934" w:rsidRDefault="00561636" w:rsidP="00501B97">
            <w:pPr>
              <w:jc w:val="center"/>
              <w:rPr>
                <w:rFonts w:ascii="Calibri" w:eastAsia="Calibri" w:hAnsi="Calibri" w:cs="Calibri"/>
              </w:rPr>
            </w:pPr>
            <w:r>
              <w:rPr>
                <w:rFonts w:ascii="Calibri" w:eastAsia="Calibri" w:hAnsi="Calibri" w:cs="Calibri"/>
              </w:rPr>
              <w:t>8</w:t>
            </w:r>
            <w:r w:rsidR="00501B97">
              <w:rPr>
                <w:rFonts w:ascii="Calibri" w:eastAsia="Calibri" w:hAnsi="Calibri" w:cs="Calibri"/>
              </w:rPr>
              <w:t>4</w:t>
            </w:r>
            <w:r>
              <w:rPr>
                <w:rFonts w:ascii="Calibri" w:eastAsia="Calibri" w:hAnsi="Calibri" w:cs="Calibri"/>
              </w:rPr>
              <w:t>.00%</w:t>
            </w:r>
          </w:p>
        </w:tc>
        <w:tc>
          <w:tcPr>
            <w:tcW w:w="1275" w:type="dxa"/>
          </w:tcPr>
          <w:p w14:paraId="7D65633D" w14:textId="35816A32" w:rsidR="14E563C6" w:rsidRPr="006A7934" w:rsidRDefault="00561636" w:rsidP="00501B97">
            <w:pPr>
              <w:jc w:val="center"/>
              <w:rPr>
                <w:rFonts w:ascii="Calibri" w:eastAsia="Calibri" w:hAnsi="Calibri" w:cs="Calibri"/>
              </w:rPr>
            </w:pPr>
            <w:r>
              <w:rPr>
                <w:rFonts w:ascii="Calibri" w:eastAsia="Calibri" w:hAnsi="Calibri" w:cs="Calibri"/>
              </w:rPr>
              <w:t>8</w:t>
            </w:r>
            <w:r w:rsidR="00501B97">
              <w:rPr>
                <w:rFonts w:ascii="Calibri" w:eastAsia="Calibri" w:hAnsi="Calibri" w:cs="Calibri"/>
              </w:rPr>
              <w:t>6</w:t>
            </w:r>
            <w:r>
              <w:rPr>
                <w:rFonts w:ascii="Calibri" w:eastAsia="Calibri" w:hAnsi="Calibri" w:cs="Calibri"/>
              </w:rPr>
              <w:t>.00%</w:t>
            </w:r>
          </w:p>
        </w:tc>
        <w:tc>
          <w:tcPr>
            <w:tcW w:w="1275" w:type="dxa"/>
          </w:tcPr>
          <w:p w14:paraId="20CBB12A" w14:textId="4D37AE49" w:rsidR="14E563C6" w:rsidRPr="006A7934" w:rsidRDefault="00501B97" w:rsidP="00276CE3">
            <w:pPr>
              <w:jc w:val="center"/>
              <w:rPr>
                <w:rFonts w:ascii="Calibri" w:eastAsia="Calibri" w:hAnsi="Calibri" w:cs="Calibri"/>
              </w:rPr>
            </w:pPr>
            <w:r>
              <w:rPr>
                <w:rFonts w:ascii="Calibri" w:eastAsia="Calibri" w:hAnsi="Calibri" w:cs="Calibri"/>
              </w:rPr>
              <w:t>87</w:t>
            </w:r>
            <w:r w:rsidR="00561636">
              <w:rPr>
                <w:rFonts w:ascii="Calibri" w:eastAsia="Calibri" w:hAnsi="Calibri" w:cs="Calibri"/>
              </w:rPr>
              <w:t>.00%</w:t>
            </w:r>
          </w:p>
        </w:tc>
      </w:tr>
    </w:tbl>
    <w:p w14:paraId="5E647386" w14:textId="35ECA676" w:rsidR="4BA10CF5" w:rsidRDefault="4BA10CF5" w:rsidP="00AC0E47">
      <w:pPr>
        <w:spacing w:after="120" w:line="240" w:lineRule="auto"/>
        <w:rPr>
          <w:rFonts w:ascii="Calibri" w:eastAsia="Calibri" w:hAnsi="Calibri" w:cs="Calibri"/>
          <w:color w:val="000000" w:themeColor="text1"/>
        </w:rPr>
      </w:pPr>
      <w:r w:rsidRPr="006A7934">
        <w:rPr>
          <w:rFonts w:ascii="Calibri" w:eastAsia="Calibri" w:hAnsi="Calibri" w:cs="Calibri"/>
          <w:color w:val="000000" w:themeColor="text1"/>
        </w:rPr>
        <w:t>Example B shows more growth</w:t>
      </w:r>
      <w:r w:rsidR="003D0779">
        <w:rPr>
          <w:rFonts w:ascii="Calibri" w:eastAsia="Calibri" w:hAnsi="Calibri" w:cs="Calibri"/>
          <w:color w:val="000000" w:themeColor="text1"/>
        </w:rPr>
        <w:t xml:space="preserve"> </w:t>
      </w:r>
      <w:r w:rsidR="00AC0E47">
        <w:rPr>
          <w:rFonts w:ascii="Calibri" w:eastAsia="Calibri" w:hAnsi="Calibri" w:cs="Calibri"/>
          <w:color w:val="000000" w:themeColor="text1"/>
        </w:rPr>
        <w:t xml:space="preserve">that forecasts </w:t>
      </w:r>
      <w:r w:rsidR="003D0779">
        <w:rPr>
          <w:rFonts w:ascii="Calibri" w:eastAsia="Calibri" w:hAnsi="Calibri" w:cs="Calibri"/>
          <w:color w:val="000000" w:themeColor="text1"/>
        </w:rPr>
        <w:t>Oregon reaching a 90% graduation rate in 8 years</w:t>
      </w:r>
      <w:r w:rsidRPr="006A7934">
        <w:rPr>
          <w:rFonts w:ascii="Calibri" w:eastAsia="Calibri" w:hAnsi="Calibri" w:cs="Calibri"/>
          <w:color w:val="000000" w:themeColor="text1"/>
        </w:rPr>
        <w:t>.</w:t>
      </w:r>
    </w:p>
    <w:p w14:paraId="637DFD69" w14:textId="5E56CCFD" w:rsidR="003D0779" w:rsidRDefault="003D0779" w:rsidP="003D0779">
      <w:pPr>
        <w:spacing w:after="0" w:line="240" w:lineRule="auto"/>
        <w:rPr>
          <w:rFonts w:ascii="Calibri" w:eastAsia="Calibri" w:hAnsi="Calibri" w:cs="Calibri"/>
          <w:color w:val="408740"/>
          <w:sz w:val="24"/>
          <w:szCs w:val="24"/>
        </w:rPr>
      </w:pPr>
      <w:r w:rsidRPr="248D2E1B">
        <w:rPr>
          <w:rFonts w:ascii="Calibri" w:eastAsia="Calibri" w:hAnsi="Calibri" w:cs="Calibri"/>
          <w:b/>
          <w:bCs/>
          <w:color w:val="408740"/>
          <w:sz w:val="24"/>
          <w:szCs w:val="24"/>
        </w:rPr>
        <w:t xml:space="preserve">Example </w:t>
      </w:r>
      <w:r>
        <w:rPr>
          <w:rFonts w:ascii="Calibri" w:eastAsia="Calibri" w:hAnsi="Calibri" w:cs="Calibri"/>
          <w:b/>
          <w:bCs/>
          <w:color w:val="408740"/>
          <w:sz w:val="24"/>
          <w:szCs w:val="24"/>
        </w:rPr>
        <w:t>C</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003D0779" w:rsidRPr="006A7934" w14:paraId="015AF70A" w14:textId="77777777" w:rsidTr="003D0779">
        <w:trPr>
          <w:tblHeader/>
        </w:trPr>
        <w:tc>
          <w:tcPr>
            <w:tcW w:w="2220" w:type="dxa"/>
            <w:shd w:val="clear" w:color="auto" w:fill="1B75BC"/>
          </w:tcPr>
          <w:p w14:paraId="736F8F64"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FFY</w:t>
            </w:r>
          </w:p>
        </w:tc>
        <w:tc>
          <w:tcPr>
            <w:tcW w:w="1275" w:type="dxa"/>
            <w:shd w:val="clear" w:color="auto" w:fill="1B75BC"/>
          </w:tcPr>
          <w:p w14:paraId="19DCDEE6"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2020</w:t>
            </w:r>
          </w:p>
        </w:tc>
        <w:tc>
          <w:tcPr>
            <w:tcW w:w="1275" w:type="dxa"/>
            <w:shd w:val="clear" w:color="auto" w:fill="1B75BC"/>
          </w:tcPr>
          <w:p w14:paraId="495FE2DD"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2021</w:t>
            </w:r>
          </w:p>
        </w:tc>
        <w:tc>
          <w:tcPr>
            <w:tcW w:w="1275" w:type="dxa"/>
            <w:shd w:val="clear" w:color="auto" w:fill="1B75BC"/>
          </w:tcPr>
          <w:p w14:paraId="7E8F12CC"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2022</w:t>
            </w:r>
          </w:p>
        </w:tc>
        <w:tc>
          <w:tcPr>
            <w:tcW w:w="1275" w:type="dxa"/>
            <w:shd w:val="clear" w:color="auto" w:fill="1B75BC"/>
          </w:tcPr>
          <w:p w14:paraId="51D10622"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2023</w:t>
            </w:r>
          </w:p>
        </w:tc>
        <w:tc>
          <w:tcPr>
            <w:tcW w:w="1275" w:type="dxa"/>
            <w:shd w:val="clear" w:color="auto" w:fill="1B75BC"/>
          </w:tcPr>
          <w:p w14:paraId="5AE52117"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2024</w:t>
            </w:r>
          </w:p>
        </w:tc>
        <w:tc>
          <w:tcPr>
            <w:tcW w:w="1275" w:type="dxa"/>
            <w:shd w:val="clear" w:color="auto" w:fill="1B75BC"/>
          </w:tcPr>
          <w:p w14:paraId="233347EC" w14:textId="77777777" w:rsidR="003D0779" w:rsidRPr="003D0779" w:rsidRDefault="003D0779" w:rsidP="00055AD6">
            <w:pPr>
              <w:jc w:val="center"/>
              <w:rPr>
                <w:rFonts w:ascii="Calibri" w:eastAsia="Calibri" w:hAnsi="Calibri" w:cs="Calibri"/>
                <w:color w:val="FFFFFF" w:themeColor="background1"/>
              </w:rPr>
            </w:pPr>
            <w:r w:rsidRPr="003D0779">
              <w:rPr>
                <w:rFonts w:ascii="Calibri" w:eastAsia="Calibri" w:hAnsi="Calibri" w:cs="Calibri"/>
                <w:b/>
                <w:bCs/>
                <w:color w:val="FFFFFF" w:themeColor="background1"/>
              </w:rPr>
              <w:t>2025</w:t>
            </w:r>
          </w:p>
        </w:tc>
      </w:tr>
      <w:tr w:rsidR="003D0779" w:rsidRPr="006A7934" w14:paraId="4AEFC473" w14:textId="77777777" w:rsidTr="00055AD6">
        <w:tc>
          <w:tcPr>
            <w:tcW w:w="2220" w:type="dxa"/>
          </w:tcPr>
          <w:p w14:paraId="19C3E6FE" w14:textId="77777777" w:rsidR="003D0779" w:rsidRPr="006A7934" w:rsidRDefault="003D0779" w:rsidP="00055AD6">
            <w:pPr>
              <w:rPr>
                <w:rFonts w:ascii="Calibri" w:eastAsia="Calibri" w:hAnsi="Calibri" w:cs="Calibri"/>
              </w:rPr>
            </w:pPr>
            <w:r w:rsidRPr="006A7934">
              <w:rPr>
                <w:rFonts w:ascii="Calibri" w:eastAsia="Calibri" w:hAnsi="Calibri" w:cs="Calibri"/>
              </w:rPr>
              <w:t>Target ≥</w:t>
            </w:r>
          </w:p>
        </w:tc>
        <w:tc>
          <w:tcPr>
            <w:tcW w:w="1275" w:type="dxa"/>
          </w:tcPr>
          <w:p w14:paraId="0B816622" w14:textId="77777777" w:rsidR="003D0779" w:rsidRPr="006A7934" w:rsidRDefault="003D0779" w:rsidP="00055AD6">
            <w:pPr>
              <w:jc w:val="center"/>
              <w:rPr>
                <w:rFonts w:ascii="Calibri" w:eastAsia="Calibri" w:hAnsi="Calibri" w:cs="Calibri"/>
              </w:rPr>
            </w:pPr>
            <w:r>
              <w:rPr>
                <w:rFonts w:ascii="Calibri" w:eastAsia="Calibri" w:hAnsi="Calibri" w:cs="Calibri"/>
              </w:rPr>
              <w:t>79.00%</w:t>
            </w:r>
          </w:p>
        </w:tc>
        <w:tc>
          <w:tcPr>
            <w:tcW w:w="1275" w:type="dxa"/>
          </w:tcPr>
          <w:p w14:paraId="7E37ECBE" w14:textId="77777777" w:rsidR="003D0779" w:rsidRPr="006A7934" w:rsidRDefault="003D0779" w:rsidP="00055AD6">
            <w:pPr>
              <w:jc w:val="center"/>
              <w:rPr>
                <w:rFonts w:ascii="Calibri" w:eastAsia="Calibri" w:hAnsi="Calibri" w:cs="Calibri"/>
              </w:rPr>
            </w:pPr>
            <w:r>
              <w:rPr>
                <w:rFonts w:ascii="Calibri" w:eastAsia="Calibri" w:hAnsi="Calibri" w:cs="Calibri"/>
              </w:rPr>
              <w:t>81.00%</w:t>
            </w:r>
          </w:p>
        </w:tc>
        <w:tc>
          <w:tcPr>
            <w:tcW w:w="1275" w:type="dxa"/>
          </w:tcPr>
          <w:p w14:paraId="42823B08" w14:textId="77777777" w:rsidR="003D0779" w:rsidRPr="006A7934" w:rsidRDefault="003D0779" w:rsidP="00055AD6">
            <w:pPr>
              <w:jc w:val="center"/>
              <w:rPr>
                <w:rFonts w:ascii="Calibri" w:eastAsia="Calibri" w:hAnsi="Calibri" w:cs="Calibri"/>
              </w:rPr>
            </w:pPr>
            <w:r>
              <w:rPr>
                <w:rFonts w:ascii="Calibri" w:eastAsia="Calibri" w:hAnsi="Calibri" w:cs="Calibri"/>
              </w:rPr>
              <w:t>83.00%</w:t>
            </w:r>
          </w:p>
        </w:tc>
        <w:tc>
          <w:tcPr>
            <w:tcW w:w="1275" w:type="dxa"/>
          </w:tcPr>
          <w:p w14:paraId="191F89D6" w14:textId="77777777" w:rsidR="003D0779" w:rsidRPr="006A7934" w:rsidRDefault="003D0779" w:rsidP="00055AD6">
            <w:pPr>
              <w:jc w:val="center"/>
              <w:rPr>
                <w:rFonts w:ascii="Calibri" w:eastAsia="Calibri" w:hAnsi="Calibri" w:cs="Calibri"/>
              </w:rPr>
            </w:pPr>
            <w:r>
              <w:rPr>
                <w:rFonts w:ascii="Calibri" w:eastAsia="Calibri" w:hAnsi="Calibri" w:cs="Calibri"/>
              </w:rPr>
              <w:t>84.00%</w:t>
            </w:r>
          </w:p>
        </w:tc>
        <w:tc>
          <w:tcPr>
            <w:tcW w:w="1275" w:type="dxa"/>
          </w:tcPr>
          <w:p w14:paraId="69F787BE" w14:textId="77777777" w:rsidR="003D0779" w:rsidRPr="006A7934" w:rsidRDefault="003D0779" w:rsidP="00055AD6">
            <w:pPr>
              <w:jc w:val="center"/>
              <w:rPr>
                <w:rFonts w:ascii="Calibri" w:eastAsia="Calibri" w:hAnsi="Calibri" w:cs="Calibri"/>
              </w:rPr>
            </w:pPr>
            <w:r>
              <w:rPr>
                <w:rFonts w:ascii="Calibri" w:eastAsia="Calibri" w:hAnsi="Calibri" w:cs="Calibri"/>
              </w:rPr>
              <w:t>86.00%</w:t>
            </w:r>
          </w:p>
        </w:tc>
        <w:tc>
          <w:tcPr>
            <w:tcW w:w="1275" w:type="dxa"/>
          </w:tcPr>
          <w:p w14:paraId="581F7C48" w14:textId="77777777" w:rsidR="003D0779" w:rsidRPr="006A7934" w:rsidRDefault="003D0779" w:rsidP="00055AD6">
            <w:pPr>
              <w:jc w:val="center"/>
              <w:rPr>
                <w:rFonts w:ascii="Calibri" w:eastAsia="Calibri" w:hAnsi="Calibri" w:cs="Calibri"/>
              </w:rPr>
            </w:pPr>
            <w:r>
              <w:rPr>
                <w:rFonts w:ascii="Calibri" w:eastAsia="Calibri" w:hAnsi="Calibri" w:cs="Calibri"/>
              </w:rPr>
              <w:t>87.00%</w:t>
            </w:r>
          </w:p>
        </w:tc>
      </w:tr>
    </w:tbl>
    <w:p w14:paraId="6B505800" w14:textId="520FA2A0" w:rsidR="003D0779" w:rsidRDefault="003D0779" w:rsidP="00AC0E47">
      <w:pPr>
        <w:spacing w:after="120" w:line="240" w:lineRule="auto"/>
        <w:rPr>
          <w:rFonts w:ascii="Calibri" w:eastAsia="Calibri" w:hAnsi="Calibri" w:cs="Calibri"/>
          <w:color w:val="000000" w:themeColor="text1"/>
        </w:rPr>
      </w:pPr>
      <w:r w:rsidRPr="006A7934">
        <w:rPr>
          <w:rFonts w:ascii="Calibri" w:eastAsia="Calibri" w:hAnsi="Calibri" w:cs="Calibri"/>
          <w:color w:val="000000" w:themeColor="text1"/>
        </w:rPr>
        <w:t xml:space="preserve">Example </w:t>
      </w:r>
      <w:r>
        <w:rPr>
          <w:rFonts w:ascii="Calibri" w:eastAsia="Calibri" w:hAnsi="Calibri" w:cs="Calibri"/>
          <w:color w:val="000000" w:themeColor="text1"/>
        </w:rPr>
        <w:t>C</w:t>
      </w:r>
      <w:r w:rsidRPr="006A7934">
        <w:rPr>
          <w:rFonts w:ascii="Calibri" w:eastAsia="Calibri" w:hAnsi="Calibri" w:cs="Calibri"/>
          <w:color w:val="000000" w:themeColor="text1"/>
        </w:rPr>
        <w:t xml:space="preserve"> shows </w:t>
      </w:r>
      <w:r>
        <w:rPr>
          <w:rFonts w:ascii="Calibri" w:eastAsia="Calibri" w:hAnsi="Calibri" w:cs="Calibri"/>
          <w:color w:val="000000" w:themeColor="text1"/>
        </w:rPr>
        <w:t>ambitious</w:t>
      </w:r>
      <w:r w:rsidRPr="006A7934">
        <w:rPr>
          <w:rFonts w:ascii="Calibri" w:eastAsia="Calibri" w:hAnsi="Calibri" w:cs="Calibri"/>
          <w:color w:val="000000" w:themeColor="text1"/>
        </w:rPr>
        <w:t xml:space="preserve"> growth</w:t>
      </w:r>
      <w:r>
        <w:rPr>
          <w:rFonts w:ascii="Calibri" w:eastAsia="Calibri" w:hAnsi="Calibri" w:cs="Calibri"/>
          <w:color w:val="000000" w:themeColor="text1"/>
        </w:rPr>
        <w:t xml:space="preserve"> </w:t>
      </w:r>
      <w:r w:rsidR="00AC0E47">
        <w:rPr>
          <w:rFonts w:ascii="Calibri" w:eastAsia="Calibri" w:hAnsi="Calibri" w:cs="Calibri"/>
          <w:color w:val="000000" w:themeColor="text1"/>
        </w:rPr>
        <w:t xml:space="preserve">that forecasts </w:t>
      </w:r>
      <w:r>
        <w:rPr>
          <w:rFonts w:ascii="Calibri" w:eastAsia="Calibri" w:hAnsi="Calibri" w:cs="Calibri"/>
          <w:color w:val="000000" w:themeColor="text1"/>
        </w:rPr>
        <w:t>Oregon reaching a 90% graduation rate in 6 years</w:t>
      </w:r>
      <w:r w:rsidRPr="006A7934">
        <w:rPr>
          <w:rFonts w:ascii="Calibri" w:eastAsia="Calibri" w:hAnsi="Calibri" w:cs="Calibri"/>
          <w:color w:val="000000" w:themeColor="text1"/>
        </w:rPr>
        <w:t>.</w:t>
      </w:r>
    </w:p>
    <w:p w14:paraId="38F4E458" w14:textId="4E4D2936" w:rsidR="14E563C6" w:rsidRDefault="00407243" w:rsidP="00AC0E47">
      <w:pPr>
        <w:spacing w:after="0" w:line="240" w:lineRule="auto"/>
        <w:jc w:val="center"/>
        <w:rPr>
          <w:rFonts w:ascii="Calibri" w:eastAsia="Calibri" w:hAnsi="Calibri" w:cs="Calibri"/>
          <w:color w:val="000000" w:themeColor="text1"/>
        </w:rPr>
      </w:pPr>
      <w:r w:rsidRPr="248D2E1B">
        <w:rPr>
          <w:rFonts w:ascii="Calibri" w:eastAsia="Calibri" w:hAnsi="Calibri" w:cs="Calibri"/>
          <w:b/>
          <w:bCs/>
          <w:color w:val="407641"/>
        </w:rPr>
        <w:t>If you need more information in order t</w:t>
      </w:r>
      <w:r w:rsidR="00DA37D1">
        <w:rPr>
          <w:rFonts w:ascii="Calibri" w:eastAsia="Calibri" w:hAnsi="Calibri" w:cs="Calibri"/>
          <w:b/>
          <w:bCs/>
          <w:color w:val="407641"/>
        </w:rPr>
        <w:t>o provide input, please contact</w:t>
      </w:r>
      <w:r w:rsidR="00DA37D1">
        <w:rPr>
          <w:rFonts w:ascii="Calibri" w:eastAsia="Calibri" w:hAnsi="Calibri" w:cs="Calibri"/>
          <w:b/>
          <w:bCs/>
          <w:color w:val="407641"/>
        </w:rPr>
        <w:br/>
        <w:t>Elizabeth Jankowski</w:t>
      </w:r>
      <w:r w:rsidRPr="248D2E1B">
        <w:rPr>
          <w:rFonts w:ascii="Calibri" w:eastAsia="Calibri" w:hAnsi="Calibri" w:cs="Calibri"/>
          <w:b/>
          <w:bCs/>
          <w:color w:val="407641"/>
        </w:rPr>
        <w:t>, Education Specialist, a</w:t>
      </w:r>
      <w:r w:rsidR="00DA37D1">
        <w:rPr>
          <w:rFonts w:ascii="Calibri" w:eastAsia="Calibri" w:hAnsi="Calibri" w:cs="Calibri"/>
          <w:b/>
          <w:bCs/>
          <w:color w:val="407641"/>
        </w:rPr>
        <w:t xml:space="preserve">t </w:t>
      </w:r>
      <w:hyperlink r:id="rId16" w:history="1">
        <w:r w:rsidR="00DA37D1" w:rsidRPr="00BF55C0">
          <w:rPr>
            <w:rStyle w:val="Hyperlink"/>
            <w:rFonts w:ascii="Calibri" w:eastAsia="Calibri" w:hAnsi="Calibri" w:cs="Calibri"/>
            <w:b/>
            <w:bCs/>
          </w:rPr>
          <w:t>elizabeth.jankowski@state.or.us</w:t>
        </w:r>
      </w:hyperlink>
      <w:r w:rsidRPr="248D2E1B">
        <w:rPr>
          <w:rFonts w:ascii="Calibri" w:eastAsia="Calibri" w:hAnsi="Calibri" w:cs="Calibri"/>
          <w:b/>
          <w:bCs/>
          <w:color w:val="000000" w:themeColor="text1"/>
        </w:rPr>
        <w:t>.</w:t>
      </w:r>
    </w:p>
    <w:sectPr w:rsidR="14E563C6">
      <w:footerReference w:type="default" r:id="rId17"/>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6C0794A7" w16cex:dateUtc="2021-10-22T21:18:41.347Z"/>
  <w16cex:commentExtensible w16cex:durableId="19C92290" w16cex:dateUtc="2021-10-27T23:51:07.481Z"/>
  <w16cex:commentExtensible w16cex:durableId="54B8C7C3" w16cex:dateUtc="2021-10-28T15:01:43.5Z"/>
  <w16cex:commentExtensible w16cex:durableId="1C8888D9" w16cex:dateUtc="2021-10-28T15:05:25.672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A152D7F" w16cid:durableId="6C0794A7"/>
  <w16cid:commentId w16cid:paraId="2F148FC6" w16cid:durableId="19C92290"/>
  <w16cid:commentId w16cid:paraId="43EDCD21" w16cid:durableId="54B8C7C3"/>
  <w16cid:commentId w16cid:paraId="61311A9B" w16cid:durableId="1C8888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2C7E" w14:textId="77777777" w:rsidR="007911BE" w:rsidRDefault="007911BE" w:rsidP="00A015AF">
      <w:pPr>
        <w:spacing w:after="0" w:line="240" w:lineRule="auto"/>
      </w:pPr>
      <w:r>
        <w:separator/>
      </w:r>
    </w:p>
  </w:endnote>
  <w:endnote w:type="continuationSeparator" w:id="0">
    <w:p w14:paraId="2A6E63EA" w14:textId="77777777" w:rsidR="007911BE" w:rsidRDefault="007911BE" w:rsidP="00A015AF">
      <w:pPr>
        <w:spacing w:after="0" w:line="240" w:lineRule="auto"/>
      </w:pPr>
      <w:r>
        <w:continuationSeparator/>
      </w:r>
    </w:p>
  </w:endnote>
  <w:endnote w:type="continuationNotice" w:id="1">
    <w:p w14:paraId="436AA6A5"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4C17" w14:textId="56454A22" w:rsidR="14E563C6" w:rsidRDefault="00931EF8" w:rsidP="14E563C6">
    <w:pPr>
      <w:pStyle w:val="Footer"/>
    </w:pPr>
    <w:r>
      <w:t>State Performance Plan Fact Sheet – Indicator B1</w:t>
    </w:r>
    <w:r>
      <w:tab/>
    </w:r>
    <w:r>
      <w:tab/>
    </w:r>
    <w:r>
      <w:fldChar w:fldCharType="begin"/>
    </w:r>
    <w:r>
      <w:instrText xml:space="preserve"> PAGE   \* MERGEFORMAT </w:instrText>
    </w:r>
    <w:r>
      <w:fldChar w:fldCharType="separate"/>
    </w:r>
    <w:r w:rsidR="0095482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5E6E" w14:textId="77777777" w:rsidR="007911BE" w:rsidRDefault="007911BE" w:rsidP="00A015AF">
      <w:pPr>
        <w:spacing w:after="0" w:line="240" w:lineRule="auto"/>
      </w:pPr>
      <w:r>
        <w:separator/>
      </w:r>
    </w:p>
  </w:footnote>
  <w:footnote w:type="continuationSeparator" w:id="0">
    <w:p w14:paraId="09C6E109" w14:textId="77777777" w:rsidR="007911BE" w:rsidRDefault="007911BE" w:rsidP="00A015AF">
      <w:pPr>
        <w:spacing w:after="0" w:line="240" w:lineRule="auto"/>
      </w:pPr>
      <w:r>
        <w:continuationSeparator/>
      </w:r>
    </w:p>
  </w:footnote>
  <w:footnote w:type="continuationNotice" w:id="1">
    <w:p w14:paraId="686BB23C"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6" w15:restartNumberingAfterBreak="0">
    <w:nsid w:val="3B7C421C"/>
    <w:multiLevelType w:val="hybridMultilevel"/>
    <w:tmpl w:val="E6A4BA16"/>
    <w:lvl w:ilvl="0" w:tplc="61CE89C8">
      <w:start w:val="1"/>
      <w:numFmt w:val="decimal"/>
      <w:lvlText w:val="%1."/>
      <w:lvlJc w:val="left"/>
      <w:pPr>
        <w:ind w:left="720" w:hanging="360"/>
      </w:pPr>
    </w:lvl>
    <w:lvl w:ilvl="1" w:tplc="375C11BC">
      <w:start w:val="1"/>
      <w:numFmt w:val="lowerLetter"/>
      <w:lvlText w:val="%2."/>
      <w:lvlJc w:val="left"/>
      <w:pPr>
        <w:ind w:left="1440" w:hanging="360"/>
      </w:pPr>
    </w:lvl>
    <w:lvl w:ilvl="2" w:tplc="CD027BEC">
      <w:start w:val="1"/>
      <w:numFmt w:val="lowerRoman"/>
      <w:lvlText w:val="%3."/>
      <w:lvlJc w:val="right"/>
      <w:pPr>
        <w:ind w:left="2160" w:hanging="180"/>
      </w:pPr>
    </w:lvl>
    <w:lvl w:ilvl="3" w:tplc="92044F7E">
      <w:start w:val="1"/>
      <w:numFmt w:val="decimal"/>
      <w:lvlText w:val="%4."/>
      <w:lvlJc w:val="left"/>
      <w:pPr>
        <w:ind w:left="2880" w:hanging="360"/>
      </w:pPr>
    </w:lvl>
    <w:lvl w:ilvl="4" w:tplc="2A8EF62A">
      <w:start w:val="1"/>
      <w:numFmt w:val="lowerLetter"/>
      <w:lvlText w:val="%5."/>
      <w:lvlJc w:val="left"/>
      <w:pPr>
        <w:ind w:left="3600" w:hanging="360"/>
      </w:pPr>
    </w:lvl>
    <w:lvl w:ilvl="5" w:tplc="357C53E2">
      <w:start w:val="1"/>
      <w:numFmt w:val="lowerRoman"/>
      <w:lvlText w:val="%6."/>
      <w:lvlJc w:val="right"/>
      <w:pPr>
        <w:ind w:left="4320" w:hanging="180"/>
      </w:pPr>
    </w:lvl>
    <w:lvl w:ilvl="6" w:tplc="58204FE4">
      <w:start w:val="1"/>
      <w:numFmt w:val="decimal"/>
      <w:lvlText w:val="%7."/>
      <w:lvlJc w:val="left"/>
      <w:pPr>
        <w:ind w:left="5040" w:hanging="360"/>
      </w:pPr>
    </w:lvl>
    <w:lvl w:ilvl="7" w:tplc="5A1C696C">
      <w:start w:val="1"/>
      <w:numFmt w:val="lowerLetter"/>
      <w:lvlText w:val="%8."/>
      <w:lvlJc w:val="left"/>
      <w:pPr>
        <w:ind w:left="5760" w:hanging="360"/>
      </w:pPr>
    </w:lvl>
    <w:lvl w:ilvl="8" w:tplc="CAE2B794">
      <w:start w:val="1"/>
      <w:numFmt w:val="lowerRoman"/>
      <w:lvlText w:val="%9."/>
      <w:lvlJc w:val="right"/>
      <w:pPr>
        <w:ind w:left="6480" w:hanging="180"/>
      </w:p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9"/>
  </w:num>
  <w:num w:numId="7">
    <w:abstractNumId w:val="10"/>
  </w:num>
  <w:num w:numId="8">
    <w:abstractNumId w:val="7"/>
  </w:num>
  <w:num w:numId="9">
    <w:abstractNumId w:val="8"/>
  </w:num>
  <w:num w:numId="10">
    <w:abstractNumId w:val="11"/>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465FD"/>
    <w:rsid w:val="000B7B51"/>
    <w:rsid w:val="000E4FA0"/>
    <w:rsid w:val="00153874"/>
    <w:rsid w:val="001976A8"/>
    <w:rsid w:val="001B52CA"/>
    <w:rsid w:val="00233B28"/>
    <w:rsid w:val="00236837"/>
    <w:rsid w:val="00250BC5"/>
    <w:rsid w:val="002641EA"/>
    <w:rsid w:val="0026797A"/>
    <w:rsid w:val="0027587A"/>
    <w:rsid w:val="00276CE3"/>
    <w:rsid w:val="002773B7"/>
    <w:rsid w:val="002A100A"/>
    <w:rsid w:val="002D4D3E"/>
    <w:rsid w:val="002D66CC"/>
    <w:rsid w:val="00300812"/>
    <w:rsid w:val="00300F93"/>
    <w:rsid w:val="00323962"/>
    <w:rsid w:val="00327EB0"/>
    <w:rsid w:val="00347371"/>
    <w:rsid w:val="00356BE5"/>
    <w:rsid w:val="00373050"/>
    <w:rsid w:val="003A131B"/>
    <w:rsid w:val="003C1001"/>
    <w:rsid w:val="003D0779"/>
    <w:rsid w:val="00407243"/>
    <w:rsid w:val="00415356"/>
    <w:rsid w:val="00472F13"/>
    <w:rsid w:val="00496DD9"/>
    <w:rsid w:val="00501B97"/>
    <w:rsid w:val="00506FC3"/>
    <w:rsid w:val="00536C0D"/>
    <w:rsid w:val="00551272"/>
    <w:rsid w:val="00561636"/>
    <w:rsid w:val="00595C26"/>
    <w:rsid w:val="005C021F"/>
    <w:rsid w:val="005D6523"/>
    <w:rsid w:val="00613EB9"/>
    <w:rsid w:val="006231FB"/>
    <w:rsid w:val="00631DFB"/>
    <w:rsid w:val="006371A5"/>
    <w:rsid w:val="00665A1E"/>
    <w:rsid w:val="00686AA4"/>
    <w:rsid w:val="006A7934"/>
    <w:rsid w:val="006B3525"/>
    <w:rsid w:val="00770DA0"/>
    <w:rsid w:val="00777C07"/>
    <w:rsid w:val="007911BE"/>
    <w:rsid w:val="007B0B00"/>
    <w:rsid w:val="00800077"/>
    <w:rsid w:val="00862BCD"/>
    <w:rsid w:val="008707C4"/>
    <w:rsid w:val="00872B58"/>
    <w:rsid w:val="00872BA4"/>
    <w:rsid w:val="00931EF8"/>
    <w:rsid w:val="00941200"/>
    <w:rsid w:val="00954823"/>
    <w:rsid w:val="00961AD9"/>
    <w:rsid w:val="00963CE4"/>
    <w:rsid w:val="00976EA9"/>
    <w:rsid w:val="00980D00"/>
    <w:rsid w:val="009A23AC"/>
    <w:rsid w:val="009C5702"/>
    <w:rsid w:val="00A015AF"/>
    <w:rsid w:val="00A106D4"/>
    <w:rsid w:val="00A42905"/>
    <w:rsid w:val="00A67959"/>
    <w:rsid w:val="00A772F4"/>
    <w:rsid w:val="00A85800"/>
    <w:rsid w:val="00AA52F7"/>
    <w:rsid w:val="00AA6793"/>
    <w:rsid w:val="00AB4AA0"/>
    <w:rsid w:val="00AC0E47"/>
    <w:rsid w:val="00AD39D9"/>
    <w:rsid w:val="00AD4394"/>
    <w:rsid w:val="00AD794D"/>
    <w:rsid w:val="00AE56B5"/>
    <w:rsid w:val="00AF0356"/>
    <w:rsid w:val="00B50676"/>
    <w:rsid w:val="00B51C91"/>
    <w:rsid w:val="00B542E4"/>
    <w:rsid w:val="00B77D28"/>
    <w:rsid w:val="00B87EF5"/>
    <w:rsid w:val="00B9167F"/>
    <w:rsid w:val="00BB0B34"/>
    <w:rsid w:val="00C06C4E"/>
    <w:rsid w:val="00C41661"/>
    <w:rsid w:val="00C43BD2"/>
    <w:rsid w:val="00C53B82"/>
    <w:rsid w:val="00C612BD"/>
    <w:rsid w:val="00CA3BE5"/>
    <w:rsid w:val="00CD2C98"/>
    <w:rsid w:val="00D040A7"/>
    <w:rsid w:val="00D330A6"/>
    <w:rsid w:val="00D75268"/>
    <w:rsid w:val="00D92BDD"/>
    <w:rsid w:val="00DA37D1"/>
    <w:rsid w:val="00DB37A5"/>
    <w:rsid w:val="00DC5156"/>
    <w:rsid w:val="00DD3119"/>
    <w:rsid w:val="00E441BE"/>
    <w:rsid w:val="00E64669"/>
    <w:rsid w:val="00E90A4A"/>
    <w:rsid w:val="00EC2FCC"/>
    <w:rsid w:val="00EC75DD"/>
    <w:rsid w:val="00F26EC7"/>
    <w:rsid w:val="00F54C0E"/>
    <w:rsid w:val="00FB5DC0"/>
    <w:rsid w:val="00FC0AA2"/>
    <w:rsid w:val="00FE3319"/>
    <w:rsid w:val="00FF5FA5"/>
    <w:rsid w:val="0116D014"/>
    <w:rsid w:val="014CB7AE"/>
    <w:rsid w:val="03F11229"/>
    <w:rsid w:val="0401C6A4"/>
    <w:rsid w:val="044E70D6"/>
    <w:rsid w:val="051CB053"/>
    <w:rsid w:val="0676BD6D"/>
    <w:rsid w:val="074CD1C4"/>
    <w:rsid w:val="07CB03E4"/>
    <w:rsid w:val="09335D90"/>
    <w:rsid w:val="0A003D7F"/>
    <w:rsid w:val="0B773283"/>
    <w:rsid w:val="0B8E293D"/>
    <w:rsid w:val="0CD70CBB"/>
    <w:rsid w:val="0ECBA6C1"/>
    <w:rsid w:val="118102CB"/>
    <w:rsid w:val="1304DF78"/>
    <w:rsid w:val="1472C806"/>
    <w:rsid w:val="14E563C6"/>
    <w:rsid w:val="14E68AB7"/>
    <w:rsid w:val="193DE57D"/>
    <w:rsid w:val="1C7F61E5"/>
    <w:rsid w:val="1D2AD571"/>
    <w:rsid w:val="1DDA1E74"/>
    <w:rsid w:val="1E2A045C"/>
    <w:rsid w:val="1EE6117C"/>
    <w:rsid w:val="21966300"/>
    <w:rsid w:val="22C8134B"/>
    <w:rsid w:val="248D2E1B"/>
    <w:rsid w:val="24DF7665"/>
    <w:rsid w:val="25CCDDD8"/>
    <w:rsid w:val="25FFB40D"/>
    <w:rsid w:val="26D7FB04"/>
    <w:rsid w:val="2822FAC6"/>
    <w:rsid w:val="2A6A0CDA"/>
    <w:rsid w:val="2AD4D461"/>
    <w:rsid w:val="2C029DED"/>
    <w:rsid w:val="2CDFBB2B"/>
    <w:rsid w:val="2DB1E3F6"/>
    <w:rsid w:val="2EBE868D"/>
    <w:rsid w:val="2FEE46DA"/>
    <w:rsid w:val="306003B1"/>
    <w:rsid w:val="30C1FF27"/>
    <w:rsid w:val="30D3402B"/>
    <w:rsid w:val="30E71033"/>
    <w:rsid w:val="321AC14E"/>
    <w:rsid w:val="328E971D"/>
    <w:rsid w:val="32B1B4D3"/>
    <w:rsid w:val="32E7EA4E"/>
    <w:rsid w:val="33419033"/>
    <w:rsid w:val="374A90BF"/>
    <w:rsid w:val="38171751"/>
    <w:rsid w:val="39F7E42D"/>
    <w:rsid w:val="3E64F3E0"/>
    <w:rsid w:val="3E7E20C7"/>
    <w:rsid w:val="3EA8BBDF"/>
    <w:rsid w:val="4104917D"/>
    <w:rsid w:val="4113A9BA"/>
    <w:rsid w:val="428E0291"/>
    <w:rsid w:val="433DFD85"/>
    <w:rsid w:val="45A64410"/>
    <w:rsid w:val="46C6BFF5"/>
    <w:rsid w:val="476173B4"/>
    <w:rsid w:val="48891017"/>
    <w:rsid w:val="48991DC0"/>
    <w:rsid w:val="4962839E"/>
    <w:rsid w:val="49FCA9CD"/>
    <w:rsid w:val="4A9B697A"/>
    <w:rsid w:val="4AB86F41"/>
    <w:rsid w:val="4AC5AAF6"/>
    <w:rsid w:val="4AFE53FF"/>
    <w:rsid w:val="4B8E08C8"/>
    <w:rsid w:val="4BA10CF5"/>
    <w:rsid w:val="4C9A2460"/>
    <w:rsid w:val="4DC759FD"/>
    <w:rsid w:val="50056B0F"/>
    <w:rsid w:val="505099C2"/>
    <w:rsid w:val="50B8F21E"/>
    <w:rsid w:val="5176E2D7"/>
    <w:rsid w:val="52BF22C0"/>
    <w:rsid w:val="548B92EA"/>
    <w:rsid w:val="551F72D2"/>
    <w:rsid w:val="56277CA2"/>
    <w:rsid w:val="5903FD12"/>
    <w:rsid w:val="59405C85"/>
    <w:rsid w:val="59F58B08"/>
    <w:rsid w:val="5ADC2CE6"/>
    <w:rsid w:val="5AF19210"/>
    <w:rsid w:val="5BB66BB1"/>
    <w:rsid w:val="5C816E5B"/>
    <w:rsid w:val="5E4C9A5B"/>
    <w:rsid w:val="6002AB7F"/>
    <w:rsid w:val="6010CC80"/>
    <w:rsid w:val="60C45D17"/>
    <w:rsid w:val="62639553"/>
    <w:rsid w:val="626B5EFD"/>
    <w:rsid w:val="63FEC4D6"/>
    <w:rsid w:val="6444DFAF"/>
    <w:rsid w:val="6551DB58"/>
    <w:rsid w:val="65943897"/>
    <w:rsid w:val="65DFD2A5"/>
    <w:rsid w:val="65E9D2E5"/>
    <w:rsid w:val="66489C3B"/>
    <w:rsid w:val="67A7E7A3"/>
    <w:rsid w:val="67CC70AD"/>
    <w:rsid w:val="6A8DFA22"/>
    <w:rsid w:val="6B5ECC4A"/>
    <w:rsid w:val="6BECCA4F"/>
    <w:rsid w:val="6CA5B8C1"/>
    <w:rsid w:val="6CBDC2CC"/>
    <w:rsid w:val="6D1B4991"/>
    <w:rsid w:val="6FD7206D"/>
    <w:rsid w:val="70622CEC"/>
    <w:rsid w:val="7175D243"/>
    <w:rsid w:val="7246A29A"/>
    <w:rsid w:val="73B2F60B"/>
    <w:rsid w:val="73D6ED2E"/>
    <w:rsid w:val="744B1ABF"/>
    <w:rsid w:val="7528EFD8"/>
    <w:rsid w:val="754B5064"/>
    <w:rsid w:val="761F3A7E"/>
    <w:rsid w:val="76FF882F"/>
    <w:rsid w:val="77350437"/>
    <w:rsid w:val="7876ACE9"/>
    <w:rsid w:val="7B8CEE79"/>
    <w:rsid w:val="7D5128D7"/>
    <w:rsid w:val="7D7C76F4"/>
    <w:rsid w:val="7DF0AAE8"/>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FootnoteText">
    <w:name w:val="footnote text"/>
    <w:basedOn w:val="Normal"/>
    <w:link w:val="FootnoteTextChar"/>
    <w:uiPriority w:val="99"/>
    <w:semiHidden/>
    <w:unhideWhenUsed/>
    <w:rsid w:val="00F54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0E"/>
    <w:rPr>
      <w:sz w:val="20"/>
      <w:szCs w:val="20"/>
    </w:rPr>
  </w:style>
  <w:style w:type="character" w:styleId="FootnoteReference">
    <w:name w:val="footnote reference"/>
    <w:basedOn w:val="DefaultParagraphFont"/>
    <w:uiPriority w:val="99"/>
    <w:semiHidden/>
    <w:unhideWhenUsed/>
    <w:rsid w:val="00F54C0E"/>
    <w:rPr>
      <w:vertAlign w:val="superscript"/>
    </w:rPr>
  </w:style>
  <w:style w:type="character" w:styleId="FollowedHyperlink">
    <w:name w:val="FollowedHyperlink"/>
    <w:basedOn w:val="DefaultParagraphFont"/>
    <w:uiPriority w:val="99"/>
    <w:semiHidden/>
    <w:unhideWhenUsed/>
    <w:rsid w:val="00E64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6db8207f42ba40c98688939d8346b26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footer" Target="footer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elizabeth.jankowski@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eden/non-xml/fs009-18-0.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OneDrive%20-%20Oregon%20Department%20of%20Education\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Oregon's Indicator</a:t>
            </a:r>
            <a:r>
              <a:rPr lang="en-US" baseline="0"/>
              <a:t> B1 Graduation Rates Data</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'B1 &amp; B2'!$D$4</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B2'!$A$13:$A$19</c:f>
              <c:strCache>
                <c:ptCount val="6"/>
                <c:pt idx="0">
                  <c:v>2014-2015</c:v>
                </c:pt>
                <c:pt idx="1">
                  <c:v>2015-2016</c:v>
                </c:pt>
                <c:pt idx="2">
                  <c:v>2016-2017</c:v>
                </c:pt>
                <c:pt idx="3">
                  <c:v>2017-2018</c:v>
                </c:pt>
                <c:pt idx="4">
                  <c:v>2018-2019</c:v>
                </c:pt>
                <c:pt idx="5">
                  <c:v>2019-2020</c:v>
                </c:pt>
              </c:strCache>
              <c:extLst/>
            </c:strRef>
          </c:cat>
          <c:val>
            <c:numRef>
              <c:f>'B1 &amp; B2'!$D$13:$D$19</c:f>
              <c:numCache>
                <c:formatCode>0.00%</c:formatCode>
                <c:ptCount val="6"/>
                <c:pt idx="0">
                  <c:v>0.63424540401881147</c:v>
                </c:pt>
                <c:pt idx="1">
                  <c:v>0.6413519716252869</c:v>
                </c:pt>
                <c:pt idx="2">
                  <c:v>0.64730748024260243</c:v>
                </c:pt>
                <c:pt idx="3">
                  <c:v>0.67068645640074209</c:v>
                </c:pt>
                <c:pt idx="4">
                  <c:v>0.68456898229227481</c:v>
                </c:pt>
                <c:pt idx="5">
                  <c:v>0.75370406003463541</c:v>
                </c:pt>
              </c:numCache>
              <c:extLst/>
            </c:numRef>
          </c:val>
          <c:smooth val="0"/>
          <c:extLst>
            <c:ext xmlns:c16="http://schemas.microsoft.com/office/drawing/2014/chart" uri="{C3380CC4-5D6E-409C-BE32-E72D297353CC}">
              <c16:uniqueId val="{00000000-4542-4666-B052-C219D1B6CF1B}"/>
            </c:ext>
          </c:extLst>
        </c:ser>
        <c:dLbls>
          <c:showLegendKey val="0"/>
          <c:showVal val="0"/>
          <c:showCatName val="0"/>
          <c:showSerName val="0"/>
          <c:showPercent val="0"/>
          <c:showBubbleSize val="0"/>
        </c:dLbls>
        <c:marker val="1"/>
        <c:smooth val="0"/>
        <c:axId val="591452928"/>
        <c:axId val="591453256"/>
      </c:lineChart>
      <c:catAx>
        <c:axId val="591452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53256"/>
        <c:crosses val="autoZero"/>
        <c:auto val="1"/>
        <c:lblAlgn val="ctr"/>
        <c:lblOffset val="100"/>
        <c:noMultiLvlLbl val="0"/>
      </c:catAx>
      <c:valAx>
        <c:axId val="591453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45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2021-12-17T18:47:48+00:00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F47C-01DA-498A-93E5-1F87EB4DCE27}"/>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http://purl.org/dc/dcmitype/"/>
    <ds:schemaRef ds:uri="http://schemas.microsoft.com/office/infopath/2007/PartnerControls"/>
    <ds:schemaRef ds:uri="7f305cf4-7e8c-42e6-816c-ef6b646f0adc"/>
    <ds:schemaRef ds:uri="http://www.w3.org/XML/1998/namespace"/>
  </ds:schemaRefs>
</ds:datastoreItem>
</file>

<file path=customXml/itemProps4.xml><?xml version="1.0" encoding="utf-8"?>
<ds:datastoreItem xmlns:ds="http://schemas.openxmlformats.org/officeDocument/2006/customXml" ds:itemID="{3C18BBA3-5B4B-499B-B079-805C7B7E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2021-12-17T17:26:00Z</dcterms:created>
  <dcterms:modified xsi:type="dcterms:W3CDTF">2021-12-17T17:26:00Z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