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562"/>
        <w:gridCol w:w="2723"/>
        <w:gridCol w:w="2722"/>
        <w:gridCol w:w="2723"/>
      </w:tblGrid>
      <w:tr w:rsidR="2AADD8C1" w:rsidRPr="00A20D25" w14:paraId="0A279D72" w14:textId="77777777" w:rsidTr="00EB209B">
        <w:trPr>
          <w:tblHeader/>
        </w:trPr>
        <w:tc>
          <w:tcPr>
            <w:tcW w:w="2160" w:type="dxa"/>
            <w:vAlign w:val="center"/>
          </w:tcPr>
          <w:p w14:paraId="331A0426" w14:textId="77777777" w:rsidR="2AADD8C1" w:rsidRDefault="2AADD8C1" w:rsidP="00F318C1">
            <w:pPr>
              <w:jc w:val="center"/>
              <w:rPr>
                <w:rFonts w:eastAsia="Arial"/>
                <w:b/>
                <w:bCs/>
                <w:color w:val="082A75"/>
                <w:sz w:val="36"/>
                <w:szCs w:val="36"/>
              </w:rPr>
            </w:pPr>
            <w:bookmarkStart w:id="0" w:name="_GoBack"/>
            <w:bookmarkEnd w:id="0"/>
            <w:r>
              <w:rPr>
                <w:noProof/>
              </w:rPr>
              <w:drawing>
                <wp:inline distT="0" distB="0" distL="0" distR="0" wp14:anchorId="6EF6DB7A" wp14:editId="03025689">
                  <wp:extent cx="1051560" cy="1115568"/>
                  <wp:effectExtent l="0" t="0" r="0" b="8890"/>
                  <wp:docPr id="1744985551" name="Picture 1944659586" descr="Logotipo de ODE" title="Logotipo de 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51560" cy="1115568"/>
                          </a:xfrm>
                          <a:prstGeom prst="rect">
                            <a:avLst/>
                          </a:prstGeom>
                        </pic:spPr>
                      </pic:pic>
                    </a:graphicData>
                  </a:graphic>
                </wp:inline>
              </w:drawing>
            </w:r>
          </w:p>
        </w:tc>
        <w:tc>
          <w:tcPr>
            <w:tcW w:w="8730" w:type="dxa"/>
            <w:gridSpan w:val="4"/>
            <w:vAlign w:val="center"/>
          </w:tcPr>
          <w:p w14:paraId="494055C8" w14:textId="77777777" w:rsidR="2AADD8C1" w:rsidRPr="00A20D25" w:rsidRDefault="2AADD8C1" w:rsidP="00F318C1">
            <w:pPr>
              <w:pStyle w:val="Title"/>
              <w:spacing w:after="200"/>
              <w:jc w:val="center"/>
              <w:rPr>
                <w:rFonts w:asciiTheme="minorHAnsi" w:eastAsia="Arial" w:hAnsiTheme="minorHAnsi" w:cstheme="minorBidi"/>
                <w:b/>
                <w:bCs/>
                <w:color w:val="1B75BC"/>
                <w:sz w:val="48"/>
                <w:szCs w:val="48"/>
                <w:lang w:val="es-MX"/>
              </w:rPr>
            </w:pPr>
            <w:r>
              <w:rPr>
                <w:rFonts w:asciiTheme="minorHAnsi" w:eastAsia="Arial" w:hAnsiTheme="minorHAnsi" w:cstheme="minorBidi"/>
                <w:b/>
                <w:bCs/>
                <w:color w:val="1B75BC"/>
                <w:sz w:val="48"/>
                <w:szCs w:val="48"/>
                <w:lang w:val="es-PR"/>
              </w:rPr>
              <w:t>Plan de desempeño estatal (SPP)</w:t>
            </w:r>
          </w:p>
          <w:p w14:paraId="791D0C8C" w14:textId="4B3797DB" w:rsidR="2AADD8C1" w:rsidRPr="00A20D25" w:rsidRDefault="2AADD8C1" w:rsidP="00F318C1">
            <w:pPr>
              <w:pStyle w:val="Title"/>
              <w:spacing w:after="200"/>
              <w:jc w:val="center"/>
              <w:rPr>
                <w:rFonts w:asciiTheme="minorHAnsi" w:eastAsia="Arial" w:hAnsiTheme="minorHAnsi" w:cstheme="minorBidi"/>
                <w:b/>
                <w:bCs/>
                <w:color w:val="1B75BC"/>
                <w:sz w:val="48"/>
                <w:szCs w:val="48"/>
                <w:lang w:val="es-MX"/>
              </w:rPr>
            </w:pPr>
            <w:r>
              <w:rPr>
                <w:rFonts w:asciiTheme="minorHAnsi" w:eastAsia="Arial" w:hAnsiTheme="minorHAnsi" w:cstheme="minorBidi"/>
                <w:b/>
                <w:bCs/>
                <w:color w:val="1B75BC"/>
                <w:sz w:val="48"/>
                <w:szCs w:val="48"/>
                <w:lang w:val="es-PR"/>
              </w:rPr>
              <w:t>Hoja de datos</w:t>
            </w:r>
          </w:p>
          <w:p w14:paraId="0EBDB1B3" w14:textId="71B592F1" w:rsidR="2AADD8C1" w:rsidRPr="00A20D25" w:rsidRDefault="2AADD8C1" w:rsidP="00F318C1">
            <w:pPr>
              <w:pStyle w:val="Title"/>
              <w:spacing w:after="200"/>
              <w:jc w:val="center"/>
              <w:rPr>
                <w:rFonts w:asciiTheme="minorHAnsi" w:eastAsia="Arial" w:hAnsiTheme="minorHAnsi" w:cstheme="minorBidi"/>
                <w:b/>
                <w:bCs/>
                <w:color w:val="082A75"/>
                <w:sz w:val="32"/>
                <w:szCs w:val="32"/>
                <w:lang w:val="es-MX"/>
              </w:rPr>
            </w:pPr>
            <w:r>
              <w:rPr>
                <w:rFonts w:asciiTheme="minorHAnsi" w:eastAsia="Arial" w:hAnsiTheme="minorHAnsi" w:cstheme="minorBidi"/>
                <w:b/>
                <w:bCs/>
                <w:color w:val="1B75BC"/>
                <w:sz w:val="32"/>
                <w:szCs w:val="32"/>
                <w:lang w:val="es-PR"/>
              </w:rPr>
              <w:t>Indicador B14: Resultados posteriores a la escuela</w:t>
            </w:r>
          </w:p>
        </w:tc>
      </w:tr>
      <w:tr w:rsidR="2AADD8C1" w:rsidRPr="00A20D25" w14:paraId="3A60F4DA" w14:textId="77777777" w:rsidTr="00B03719">
        <w:trPr>
          <w:trHeight w:val="72"/>
        </w:trPr>
        <w:tc>
          <w:tcPr>
            <w:tcW w:w="2722" w:type="dxa"/>
            <w:gridSpan w:val="2"/>
            <w:shd w:val="clear" w:color="auto" w:fill="9F2065"/>
          </w:tcPr>
          <w:p w14:paraId="577B592E" w14:textId="77777777" w:rsidR="2AADD8C1" w:rsidRPr="00A20D25" w:rsidRDefault="2AADD8C1" w:rsidP="00F318C1">
            <w:pPr>
              <w:rPr>
                <w:noProof/>
                <w:lang w:val="es-MX"/>
              </w:rPr>
            </w:pPr>
          </w:p>
        </w:tc>
        <w:tc>
          <w:tcPr>
            <w:tcW w:w="2723" w:type="dxa"/>
            <w:shd w:val="clear" w:color="auto" w:fill="E26B2A"/>
          </w:tcPr>
          <w:p w14:paraId="1426738B" w14:textId="77777777" w:rsidR="2AADD8C1" w:rsidRPr="00A20D25" w:rsidRDefault="2AADD8C1" w:rsidP="00F318C1">
            <w:pPr>
              <w:pStyle w:val="Title"/>
              <w:rPr>
                <w:rFonts w:asciiTheme="minorHAnsi" w:eastAsia="Arial" w:hAnsiTheme="minorHAnsi" w:cstheme="minorBidi"/>
                <w:b/>
                <w:bCs/>
                <w:color w:val="082974"/>
                <w:sz w:val="22"/>
                <w:szCs w:val="22"/>
                <w:lang w:val="es-MX"/>
              </w:rPr>
            </w:pPr>
          </w:p>
        </w:tc>
        <w:tc>
          <w:tcPr>
            <w:tcW w:w="2722" w:type="dxa"/>
            <w:shd w:val="clear" w:color="auto" w:fill="1B75BC"/>
          </w:tcPr>
          <w:p w14:paraId="66F60772" w14:textId="77777777" w:rsidR="2AADD8C1" w:rsidRPr="00A20D25" w:rsidRDefault="2AADD8C1" w:rsidP="00F318C1">
            <w:pPr>
              <w:pStyle w:val="Title"/>
              <w:rPr>
                <w:rFonts w:asciiTheme="minorHAnsi" w:eastAsia="Arial" w:hAnsiTheme="minorHAnsi" w:cstheme="minorBidi"/>
                <w:b/>
                <w:bCs/>
                <w:color w:val="082974"/>
                <w:sz w:val="22"/>
                <w:szCs w:val="22"/>
                <w:lang w:val="es-MX"/>
              </w:rPr>
            </w:pPr>
          </w:p>
        </w:tc>
        <w:tc>
          <w:tcPr>
            <w:tcW w:w="2723" w:type="dxa"/>
            <w:shd w:val="clear" w:color="auto" w:fill="408740"/>
          </w:tcPr>
          <w:p w14:paraId="7530F4DE" w14:textId="46579079" w:rsidR="2AADD8C1" w:rsidRPr="00A20D25" w:rsidRDefault="2AADD8C1" w:rsidP="00F318C1">
            <w:pPr>
              <w:pStyle w:val="Title"/>
              <w:rPr>
                <w:rFonts w:asciiTheme="minorHAnsi" w:eastAsia="Arial" w:hAnsiTheme="minorHAnsi" w:cstheme="minorBidi"/>
                <w:b/>
                <w:bCs/>
                <w:color w:val="082974"/>
                <w:sz w:val="22"/>
                <w:szCs w:val="22"/>
                <w:lang w:val="es-MX"/>
              </w:rPr>
            </w:pPr>
          </w:p>
        </w:tc>
      </w:tr>
    </w:tbl>
    <w:p w14:paraId="2A80E646" w14:textId="518138F7" w:rsidR="7CAC3AE1" w:rsidRPr="00A20D25" w:rsidRDefault="7CAC3AE1" w:rsidP="00F318C1">
      <w:pPr>
        <w:pStyle w:val="Heading1"/>
        <w:spacing w:before="120" w:line="240" w:lineRule="auto"/>
        <w:rPr>
          <w:rFonts w:ascii="Calibri" w:eastAsia="Calibri" w:hAnsi="Calibri" w:cs="Calibri"/>
          <w:color w:val="1B75BC"/>
          <w:lang w:val="es-MX"/>
        </w:rPr>
      </w:pPr>
      <w:r>
        <w:rPr>
          <w:rFonts w:ascii="Calibri" w:eastAsia="Calibri" w:hAnsi="Calibri" w:cs="Calibri"/>
          <w:b/>
          <w:bCs/>
          <w:color w:val="1B75BC"/>
          <w:lang w:val="es-PR"/>
        </w:rPr>
        <w:t>Plan de desempeño del estado de Oregon</w:t>
      </w:r>
    </w:p>
    <w:p w14:paraId="64A1B65B" w14:textId="6A70A622" w:rsidR="7CAC3AE1" w:rsidRPr="00A20D25" w:rsidRDefault="7CAC3AE1" w:rsidP="00F318C1">
      <w:pPr>
        <w:spacing w:after="0" w:line="240" w:lineRule="auto"/>
        <w:rPr>
          <w:rFonts w:ascii="Calibri" w:eastAsia="Calibri" w:hAnsi="Calibri" w:cs="Calibri"/>
          <w:color w:val="000000" w:themeColor="text1"/>
          <w:lang w:val="es-MX"/>
        </w:rPr>
      </w:pPr>
      <w:r>
        <w:rPr>
          <w:rFonts w:ascii="Calibri" w:eastAsia="Calibri" w:hAnsi="Calibri" w:cs="Calibri"/>
          <w:color w:val="000000" w:themeColor="text1"/>
          <w:lang w:val="es-PR"/>
        </w:rPr>
        <w:t xml:space="preserve">Bajo la Ley de Educación para Personas con Discapacidades de 2004 (IDEA), el Departamento de Educación de Oregon (ODE) debe presentar un Plan de Desempeño Estatal (SPP) de seis años a la Oficina de Programas de Educación Especial (OSEP). La OSEP ha desarrollado medidas clave de desempeño, conocidas como indicadores, para medir tanto el cumplimiento como los resultados. La OSEP establece los objetivos para los indicadores de cumplimiento y el ODE establece lis objetivos para los indicadores de resultados. El SPP debe incluir objetivos para cada indicador de resultados. El ODE informa sobre el progreso realizado hacia estos indicadores cada año en el Informe de desempeño anual (APR). Cada seis años, la ODE debe revisar los objetivos de resultados e involucrar a los socios clave en el desarrollo de nuevos objetivos. Por favor, consulte la página web del </w:t>
      </w:r>
      <w:hyperlink r:id="rId11">
        <w:r>
          <w:rPr>
            <w:rStyle w:val="Hyperlink"/>
            <w:rFonts w:ascii="Calibri" w:eastAsia="Calibri" w:hAnsi="Calibri" w:cs="Calibri"/>
            <w:lang w:val="es-PR"/>
          </w:rPr>
          <w:t>Plan de desempeño estatal y los informes anuales de educación especial de ODE</w:t>
        </w:r>
      </w:hyperlink>
      <w:r>
        <w:rPr>
          <w:rFonts w:ascii="Calibri" w:eastAsia="Calibri" w:hAnsi="Calibri" w:cs="Calibri"/>
          <w:color w:val="000000" w:themeColor="text1"/>
          <w:lang w:val="es-PR"/>
        </w:rPr>
        <w:t xml:space="preserve"> para obtener más información y para registrarse para la sesión de comentarios del público. También puede proporcionar información sin asistir a la sesión a través de </w:t>
      </w:r>
      <w:hyperlink r:id="rId12" w:history="1">
        <w:r>
          <w:rPr>
            <w:rStyle w:val="Hyperlink"/>
            <w:rFonts w:ascii="Calibri" w:eastAsia="Calibri" w:hAnsi="Calibri" w:cs="Calibri"/>
            <w:lang w:val="es-PR"/>
          </w:rPr>
          <w:t>esta encuesta</w:t>
        </w:r>
      </w:hyperlink>
      <w:r>
        <w:rPr>
          <w:rFonts w:ascii="Calibri" w:eastAsia="Calibri" w:hAnsi="Calibri" w:cs="Calibri"/>
          <w:color w:val="000000" w:themeColor="text1"/>
          <w:lang w:val="es-PR"/>
        </w:rPr>
        <w:t>.</w:t>
      </w:r>
    </w:p>
    <w:p w14:paraId="4B73E1C3" w14:textId="0BC52818" w:rsidR="000E4FA0" w:rsidRPr="00A20D25" w:rsidRDefault="00CA3BE5" w:rsidP="00F318C1">
      <w:pPr>
        <w:pStyle w:val="Heading1"/>
        <w:spacing w:before="120" w:line="240" w:lineRule="auto"/>
        <w:rPr>
          <w:rFonts w:asciiTheme="minorHAnsi" w:hAnsiTheme="minorHAnsi" w:cstheme="minorBidi"/>
          <w:b/>
          <w:bCs/>
          <w:color w:val="1B75BC"/>
          <w:lang w:val="es-MX"/>
        </w:rPr>
      </w:pPr>
      <w:r>
        <w:rPr>
          <w:rFonts w:asciiTheme="minorHAnsi" w:hAnsiTheme="minorHAnsi" w:cstheme="minorBidi"/>
          <w:b/>
          <w:bCs/>
          <w:color w:val="1B75BC"/>
          <w:lang w:val="es-PR"/>
        </w:rPr>
        <w:t>¿Qué mide este indicador y por qué es importante?</w:t>
      </w:r>
    </w:p>
    <w:p w14:paraId="7D485964" w14:textId="66E7CEB0" w:rsidR="11B8660A" w:rsidRPr="00A20D25" w:rsidRDefault="00CF5502" w:rsidP="00F318C1">
      <w:pPr>
        <w:spacing w:after="0" w:line="240" w:lineRule="auto"/>
        <w:rPr>
          <w:rFonts w:eastAsiaTheme="minorEastAsia"/>
          <w:lang w:val="es-MX"/>
        </w:rPr>
      </w:pPr>
      <w:r>
        <w:rPr>
          <w:lang w:val="es-PR"/>
        </w:rPr>
        <w:t xml:space="preserve">El indicador B14 aborda </w:t>
      </w:r>
      <w:r>
        <w:rPr>
          <w:rFonts w:ascii="Calibri" w:hAnsi="Calibri"/>
          <w:color w:val="000000" w:themeColor="text1"/>
          <w:lang w:val="es-PR"/>
        </w:rPr>
        <w:t>una Educación Pública Apropiada y Gratuita (FAPE) en el Ambiente Menos Restrictivo (LRE)</w:t>
      </w:r>
      <w:r>
        <w:rPr>
          <w:lang w:val="es-PR"/>
        </w:rPr>
        <w:t xml:space="preserve"> midiendo los resultados post-escolares (PSO): Porcentaje de jóvenes que ya no están en la escuela secundaria, tenían un IEPs vigente en el momento en que dejaron la escuela y eran:</w:t>
      </w:r>
    </w:p>
    <w:p w14:paraId="0DB1E771" w14:textId="1D536693" w:rsidR="11B8660A" w:rsidRPr="00A20D25" w:rsidRDefault="711BC9C9" w:rsidP="00F318C1">
      <w:pPr>
        <w:pStyle w:val="ListParagraph"/>
        <w:numPr>
          <w:ilvl w:val="0"/>
          <w:numId w:val="2"/>
        </w:numPr>
        <w:spacing w:line="240" w:lineRule="auto"/>
        <w:rPr>
          <w:rFonts w:eastAsiaTheme="minorEastAsia"/>
          <w:lang w:val="es-MX"/>
        </w:rPr>
      </w:pPr>
      <w:r>
        <w:rPr>
          <w:rFonts w:eastAsiaTheme="minorEastAsia"/>
          <w:lang w:val="es-PR"/>
        </w:rPr>
        <w:t>A. Inscrito en la educación superior dentro de un año después de terminar la escuela secundaria.</w:t>
      </w:r>
    </w:p>
    <w:p w14:paraId="200C04E3" w14:textId="569C8F32" w:rsidR="11B8660A" w:rsidRPr="00A20D25" w:rsidRDefault="41427122" w:rsidP="00F318C1">
      <w:pPr>
        <w:pStyle w:val="ListParagraph"/>
        <w:numPr>
          <w:ilvl w:val="0"/>
          <w:numId w:val="2"/>
        </w:numPr>
        <w:spacing w:line="240" w:lineRule="auto"/>
        <w:rPr>
          <w:rFonts w:eastAsiaTheme="minorEastAsia"/>
          <w:lang w:val="es-MX"/>
        </w:rPr>
      </w:pPr>
      <w:r>
        <w:rPr>
          <w:rFonts w:eastAsiaTheme="minorEastAsia"/>
          <w:lang w:val="es-PR"/>
        </w:rPr>
        <w:t>B. Inscrito en educación superior o empleado competitivamente dentro de un año de haber terminado la escuela secundaria.</w:t>
      </w:r>
    </w:p>
    <w:p w14:paraId="353B9B86" w14:textId="2D14996F" w:rsidR="11B8660A" w:rsidRPr="00A20D25" w:rsidRDefault="2F622D3C" w:rsidP="00F318C1">
      <w:pPr>
        <w:pStyle w:val="ListParagraph"/>
        <w:numPr>
          <w:ilvl w:val="0"/>
          <w:numId w:val="2"/>
        </w:numPr>
        <w:spacing w:after="80" w:line="240" w:lineRule="auto"/>
        <w:rPr>
          <w:rFonts w:eastAsiaTheme="minorEastAsia"/>
          <w:lang w:val="es-MX"/>
        </w:rPr>
      </w:pPr>
      <w:r>
        <w:rPr>
          <w:rFonts w:eastAsiaTheme="minorEastAsia"/>
          <w:lang w:val="es-PR"/>
        </w:rPr>
        <w:t>C. Inscrito en educación superior o en algún otro programa de educación o capacitación postsecundaria; o en un empleo competitivo o en algún otro empleo dentro de un año de haber dejado la escuela secundaria.</w:t>
      </w:r>
    </w:p>
    <w:p w14:paraId="165D8FD5" w14:textId="530E9666" w:rsidR="5DDA8368" w:rsidRPr="00A20D25" w:rsidRDefault="20A9E5D0" w:rsidP="00F318C1">
      <w:pPr>
        <w:spacing w:after="80" w:line="240" w:lineRule="auto"/>
        <w:rPr>
          <w:rFonts w:eastAsiaTheme="minorEastAsia"/>
          <w:lang w:val="es-MX"/>
        </w:rPr>
      </w:pPr>
      <w:r>
        <w:rPr>
          <w:rFonts w:eastAsiaTheme="minorEastAsia"/>
          <w:lang w:val="es-PR"/>
        </w:rPr>
        <w:t>Este indicador informa el desarrollo de programas de transición de educación especial y secundaria más efectivos para futuros estudiantes con discapacidades.</w:t>
      </w:r>
    </w:p>
    <w:p w14:paraId="21AABC0C" w14:textId="1D2468F7" w:rsidR="6CBDC2CC" w:rsidRPr="00A20D25" w:rsidRDefault="00356BE5" w:rsidP="00F318C1">
      <w:pPr>
        <w:pStyle w:val="Heading1"/>
        <w:spacing w:before="120" w:line="240" w:lineRule="auto"/>
        <w:rPr>
          <w:rFonts w:asciiTheme="minorHAnsi" w:hAnsiTheme="minorHAnsi" w:cstheme="minorBidi"/>
          <w:b/>
          <w:bCs/>
          <w:color w:val="1B75BC"/>
          <w:lang w:val="es-MX"/>
        </w:rPr>
      </w:pPr>
      <w:r>
        <w:rPr>
          <w:rFonts w:asciiTheme="minorHAnsi" w:hAnsiTheme="minorHAnsi" w:cstheme="minorBidi"/>
          <w:b/>
          <w:bCs/>
          <w:color w:val="1B75BC"/>
          <w:lang w:val="es-PR"/>
        </w:rPr>
        <w:t>¿Cuál es la fuente de datos?</w:t>
      </w:r>
    </w:p>
    <w:p w14:paraId="660218ED" w14:textId="54FCBADE" w:rsidR="00C06C4E" w:rsidRPr="00A20D25" w:rsidRDefault="47BCFA9B" w:rsidP="00F318C1">
      <w:pPr>
        <w:spacing w:after="80" w:line="240" w:lineRule="auto"/>
        <w:rPr>
          <w:rFonts w:eastAsiaTheme="minorEastAsia"/>
          <w:lang w:val="es-MX"/>
        </w:rPr>
      </w:pPr>
      <w:r>
        <w:rPr>
          <w:rFonts w:eastAsiaTheme="minorEastAsia"/>
          <w:sz w:val="21"/>
          <w:szCs w:val="21"/>
          <w:lang w:val="es-PR"/>
        </w:rPr>
        <w:t>Los distritos realizan entrevistas de PSO con estudiantes que dejaron la educación especial el año escolar anterior y envían datos de esas entrevistas a ODE.</w:t>
      </w:r>
    </w:p>
    <w:p w14:paraId="1F4C228D" w14:textId="667E388A" w:rsidR="00502B50" w:rsidRPr="00A20D25" w:rsidRDefault="00502B50" w:rsidP="00F318C1">
      <w:pPr>
        <w:pStyle w:val="Heading1"/>
        <w:spacing w:before="120" w:line="240" w:lineRule="auto"/>
        <w:rPr>
          <w:rFonts w:asciiTheme="minorHAnsi" w:hAnsiTheme="minorHAnsi" w:cstheme="minorBidi"/>
          <w:b/>
          <w:bCs/>
          <w:color w:val="1B75BC"/>
          <w:lang w:val="es-MX"/>
        </w:rPr>
      </w:pPr>
      <w:r>
        <w:rPr>
          <w:rFonts w:asciiTheme="minorHAnsi" w:hAnsiTheme="minorHAnsi" w:cstheme="minorBidi"/>
          <w:b/>
          <w:bCs/>
          <w:color w:val="1B75BC"/>
          <w:lang w:val="es-PR"/>
        </w:rPr>
        <w:t>¿Es necesario establecer o restablecer la línea de base para este indicador?</w:t>
      </w:r>
    </w:p>
    <w:p w14:paraId="46D63E0F" w14:textId="77777777" w:rsidR="00502B50" w:rsidRPr="00A20D25" w:rsidRDefault="00502B50" w:rsidP="00F318C1">
      <w:pPr>
        <w:spacing w:line="240" w:lineRule="auto"/>
        <w:rPr>
          <w:rFonts w:eastAsiaTheme="minorEastAsia"/>
          <w:color w:val="333333"/>
          <w:sz w:val="21"/>
          <w:szCs w:val="21"/>
          <w:lang w:val="es-MX"/>
        </w:rPr>
      </w:pPr>
      <w:r>
        <w:rPr>
          <w:rFonts w:eastAsiaTheme="minorEastAsia"/>
          <w:color w:val="000000" w:themeColor="text1"/>
          <w:lang w:val="es-PR"/>
        </w:rPr>
        <w:t xml:space="preserve">Sí, es necesario establecer una nueva línea de base para B14. </w:t>
      </w:r>
    </w:p>
    <w:p w14:paraId="0A61ADA5" w14:textId="735F4356" w:rsidR="00C06C4E" w:rsidRPr="00A20D25" w:rsidRDefault="4B376A98" w:rsidP="00F318C1">
      <w:pPr>
        <w:pStyle w:val="Heading1"/>
        <w:spacing w:before="120" w:line="240" w:lineRule="auto"/>
        <w:rPr>
          <w:rFonts w:asciiTheme="minorHAnsi" w:hAnsiTheme="minorHAnsi" w:cstheme="minorBidi"/>
          <w:b/>
          <w:bCs/>
          <w:color w:val="1B75BC"/>
          <w:lang w:val="es-MX"/>
        </w:rPr>
      </w:pPr>
      <w:r>
        <w:rPr>
          <w:rFonts w:asciiTheme="minorHAnsi" w:hAnsiTheme="minorHAnsi" w:cstheme="minorBidi"/>
          <w:b/>
          <w:bCs/>
          <w:color w:val="1B75BC"/>
          <w:lang w:val="es-PR"/>
        </w:rPr>
        <w:t>¿Cómo se ha desempeñado Oregon a lo largo del tiempo?</w:t>
      </w:r>
    </w:p>
    <w:p w14:paraId="68560ABA" w14:textId="4564C43C" w:rsidR="022B6019" w:rsidRPr="00A20D25" w:rsidRDefault="00B97BAB" w:rsidP="00F318C1">
      <w:pPr>
        <w:spacing w:after="120" w:line="240" w:lineRule="auto"/>
        <w:rPr>
          <w:rFonts w:eastAsiaTheme="minorEastAsia"/>
          <w:lang w:val="es-MX"/>
        </w:rPr>
      </w:pPr>
      <w:r>
        <w:rPr>
          <w:noProof/>
        </w:rPr>
        <w:drawing>
          <wp:anchor distT="0" distB="0" distL="114300" distR="114300" simplePos="0" relativeHeight="251658240" behindDoc="0" locked="0" layoutInCell="1" allowOverlap="1" wp14:anchorId="1AF51948" wp14:editId="684A9ADF">
            <wp:simplePos x="0" y="0"/>
            <wp:positionH relativeFrom="column">
              <wp:posOffset>1803556</wp:posOffset>
            </wp:positionH>
            <wp:positionV relativeFrom="paragraph">
              <wp:posOffset>419225</wp:posOffset>
            </wp:positionV>
            <wp:extent cx="4992736" cy="1738630"/>
            <wp:effectExtent l="0" t="0" r="17780" b="13970"/>
            <wp:wrapNone/>
            <wp:docPr id="1" name="Chart 1" descr="Este gráfico muestra los datos y objetivos de B14A de Oregon." title="Datos del indicador B14 de Oregón (resultados posteriores a la escuel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lang w:val="es-PR"/>
        </w:rPr>
        <w:t xml:space="preserve">A. Porcentaje de jóvenes con IEP vigentes cuando dejaron la escuela que se inscribieron en la educación superior dentro de un año de haber dejado la escuela secundaria. </w:t>
      </w:r>
      <w:r>
        <w:rPr>
          <w:b/>
          <w:bCs/>
          <w:lang w:val="es-PR"/>
        </w:rPr>
        <w:t>(Nota:</w:t>
      </w:r>
      <w:r>
        <w:rPr>
          <w:lang w:val="es-PR"/>
        </w:rPr>
        <w:t xml:space="preserve"> La pandemia COVID-19 afectó los datos del año fiscal 2019).</w:t>
      </w:r>
    </w:p>
    <w:tbl>
      <w:tblPr>
        <w:tblStyle w:val="TableGrid"/>
        <w:tblW w:w="0" w:type="auto"/>
        <w:tblLayout w:type="fixed"/>
        <w:tblLook w:val="04A0" w:firstRow="1" w:lastRow="0" w:firstColumn="1" w:lastColumn="0" w:noHBand="0" w:noVBand="1"/>
        <w:tblCaption w:val="Indicator 14A Data Table"/>
        <w:tblDescription w:val="This table shows Oregon's statewide targets and actual data for indicator 14A from the State Performance Plan."/>
      </w:tblPr>
      <w:tblGrid>
        <w:gridCol w:w="715"/>
        <w:gridCol w:w="990"/>
        <w:gridCol w:w="990"/>
      </w:tblGrid>
      <w:tr w:rsidR="00F87909" w:rsidRPr="00F25E97" w14:paraId="0DBF8DD0" w14:textId="77777777" w:rsidTr="0035614D">
        <w:trPr>
          <w:trHeight w:val="331"/>
          <w:tblHeader/>
        </w:trPr>
        <w:tc>
          <w:tcPr>
            <w:tcW w:w="715" w:type="dxa"/>
            <w:shd w:val="clear" w:color="auto" w:fill="1B75BC"/>
            <w:vAlign w:val="center"/>
          </w:tcPr>
          <w:p w14:paraId="7FC43D9B" w14:textId="77777777" w:rsidR="00F87909" w:rsidRPr="00F25E97" w:rsidRDefault="00F87909" w:rsidP="00F318C1">
            <w:pPr>
              <w:jc w:val="center"/>
              <w:rPr>
                <w:b/>
                <w:color w:val="FFFFFF" w:themeColor="background1"/>
              </w:rPr>
            </w:pPr>
            <w:r>
              <w:rPr>
                <w:b/>
                <w:bCs/>
                <w:color w:val="FFFFFF" w:themeColor="background1"/>
                <w:lang w:val="es-PR"/>
              </w:rPr>
              <w:t>Años fiscales</w:t>
            </w:r>
          </w:p>
        </w:tc>
        <w:tc>
          <w:tcPr>
            <w:tcW w:w="990" w:type="dxa"/>
            <w:shd w:val="clear" w:color="auto" w:fill="1B75BC"/>
            <w:vAlign w:val="center"/>
          </w:tcPr>
          <w:p w14:paraId="267C502E" w14:textId="77777777" w:rsidR="00F87909" w:rsidRPr="00F25E97" w:rsidRDefault="00F87909" w:rsidP="00F318C1">
            <w:pPr>
              <w:jc w:val="center"/>
              <w:rPr>
                <w:b/>
                <w:color w:val="FFFFFF" w:themeColor="background1"/>
              </w:rPr>
            </w:pPr>
            <w:r>
              <w:rPr>
                <w:b/>
                <w:bCs/>
                <w:color w:val="FFFFFF" w:themeColor="background1"/>
                <w:lang w:val="es-PR"/>
              </w:rPr>
              <w:t>Objetivo ≥</w:t>
            </w:r>
          </w:p>
        </w:tc>
        <w:tc>
          <w:tcPr>
            <w:tcW w:w="990" w:type="dxa"/>
            <w:shd w:val="clear" w:color="auto" w:fill="1B75BC"/>
            <w:vAlign w:val="center"/>
          </w:tcPr>
          <w:p w14:paraId="0A1CCBB5" w14:textId="77777777" w:rsidR="00F87909" w:rsidRPr="00F25E97" w:rsidRDefault="00F87909" w:rsidP="00F318C1">
            <w:pPr>
              <w:jc w:val="center"/>
              <w:rPr>
                <w:b/>
                <w:color w:val="FFFFFF" w:themeColor="background1"/>
              </w:rPr>
            </w:pPr>
            <w:r>
              <w:rPr>
                <w:b/>
                <w:bCs/>
                <w:color w:val="FFFFFF" w:themeColor="background1"/>
                <w:lang w:val="es-PR"/>
              </w:rPr>
              <w:t>Datos</w:t>
            </w:r>
          </w:p>
        </w:tc>
      </w:tr>
      <w:tr w:rsidR="00F87909" w14:paraId="535ECB18" w14:textId="77777777" w:rsidTr="0035614D">
        <w:trPr>
          <w:trHeight w:val="331"/>
        </w:trPr>
        <w:tc>
          <w:tcPr>
            <w:tcW w:w="715" w:type="dxa"/>
            <w:vAlign w:val="center"/>
          </w:tcPr>
          <w:p w14:paraId="08B01ABD" w14:textId="77777777" w:rsidR="00F87909" w:rsidRDefault="00F87909" w:rsidP="00F318C1">
            <w:pPr>
              <w:jc w:val="center"/>
            </w:pPr>
            <w:r>
              <w:rPr>
                <w:lang w:val="es-PR"/>
              </w:rPr>
              <w:t>2009</w:t>
            </w:r>
          </w:p>
        </w:tc>
        <w:tc>
          <w:tcPr>
            <w:tcW w:w="990" w:type="dxa"/>
            <w:vAlign w:val="center"/>
          </w:tcPr>
          <w:p w14:paraId="66FE84A6" w14:textId="77777777" w:rsidR="00F87909" w:rsidRPr="00F25E97" w:rsidRDefault="00F87909" w:rsidP="00F318C1">
            <w:pPr>
              <w:jc w:val="center"/>
              <w:rPr>
                <w:i/>
              </w:rPr>
            </w:pPr>
            <w:r>
              <w:rPr>
                <w:i/>
                <w:iCs/>
                <w:lang w:val="es-PR"/>
              </w:rPr>
              <w:t>Línea de base</w:t>
            </w:r>
          </w:p>
        </w:tc>
        <w:tc>
          <w:tcPr>
            <w:tcW w:w="990" w:type="dxa"/>
            <w:vAlign w:val="center"/>
          </w:tcPr>
          <w:p w14:paraId="4D33B2CA" w14:textId="2B29B296" w:rsidR="00F87909" w:rsidRDefault="00B97BAB" w:rsidP="00F318C1">
            <w:pPr>
              <w:jc w:val="center"/>
            </w:pPr>
            <w:r>
              <w:rPr>
                <w:lang w:val="es-PR"/>
              </w:rPr>
              <w:t>24.18%</w:t>
            </w:r>
          </w:p>
        </w:tc>
      </w:tr>
      <w:tr w:rsidR="00F87909" w14:paraId="15074D34" w14:textId="77777777" w:rsidTr="0035614D">
        <w:trPr>
          <w:trHeight w:val="331"/>
        </w:trPr>
        <w:tc>
          <w:tcPr>
            <w:tcW w:w="715" w:type="dxa"/>
            <w:vAlign w:val="center"/>
          </w:tcPr>
          <w:p w14:paraId="76A23E25" w14:textId="77777777" w:rsidR="00F87909" w:rsidRDefault="00F87909" w:rsidP="00F318C1">
            <w:pPr>
              <w:jc w:val="center"/>
            </w:pPr>
            <w:r>
              <w:rPr>
                <w:lang w:val="es-PR"/>
              </w:rPr>
              <w:t>2014</w:t>
            </w:r>
          </w:p>
        </w:tc>
        <w:tc>
          <w:tcPr>
            <w:tcW w:w="990" w:type="dxa"/>
            <w:vAlign w:val="center"/>
          </w:tcPr>
          <w:p w14:paraId="4936F6E5" w14:textId="17AABE24" w:rsidR="00F87909" w:rsidRDefault="008C295F" w:rsidP="00F318C1">
            <w:pPr>
              <w:jc w:val="center"/>
            </w:pPr>
            <w:r>
              <w:rPr>
                <w:lang w:val="es-PR"/>
              </w:rPr>
              <w:t>28.00%</w:t>
            </w:r>
          </w:p>
        </w:tc>
        <w:tc>
          <w:tcPr>
            <w:tcW w:w="990" w:type="dxa"/>
            <w:vAlign w:val="center"/>
          </w:tcPr>
          <w:p w14:paraId="5CAA86EE" w14:textId="558238FC" w:rsidR="00F87909" w:rsidRDefault="008C295F" w:rsidP="00F318C1">
            <w:pPr>
              <w:jc w:val="center"/>
            </w:pPr>
            <w:r>
              <w:rPr>
                <w:lang w:val="es-PR"/>
              </w:rPr>
              <w:t>22.37%</w:t>
            </w:r>
          </w:p>
        </w:tc>
      </w:tr>
      <w:tr w:rsidR="00F87909" w14:paraId="241F6008" w14:textId="77777777" w:rsidTr="0035614D">
        <w:trPr>
          <w:trHeight w:val="331"/>
        </w:trPr>
        <w:tc>
          <w:tcPr>
            <w:tcW w:w="715" w:type="dxa"/>
            <w:vAlign w:val="center"/>
          </w:tcPr>
          <w:p w14:paraId="54297737" w14:textId="77777777" w:rsidR="00F87909" w:rsidRDefault="00F87909" w:rsidP="00F318C1">
            <w:pPr>
              <w:jc w:val="center"/>
            </w:pPr>
            <w:r>
              <w:rPr>
                <w:lang w:val="es-PR"/>
              </w:rPr>
              <w:t>2015</w:t>
            </w:r>
          </w:p>
        </w:tc>
        <w:tc>
          <w:tcPr>
            <w:tcW w:w="990" w:type="dxa"/>
            <w:vAlign w:val="center"/>
          </w:tcPr>
          <w:p w14:paraId="55CF6314" w14:textId="066BDD50" w:rsidR="00F87909" w:rsidRDefault="008C295F" w:rsidP="00F318C1">
            <w:pPr>
              <w:jc w:val="center"/>
            </w:pPr>
            <w:r>
              <w:rPr>
                <w:lang w:val="es-PR"/>
              </w:rPr>
              <w:t>29.00%</w:t>
            </w:r>
          </w:p>
        </w:tc>
        <w:tc>
          <w:tcPr>
            <w:tcW w:w="990" w:type="dxa"/>
            <w:vAlign w:val="center"/>
          </w:tcPr>
          <w:p w14:paraId="1018D7E7" w14:textId="3A2AE3DB" w:rsidR="00F87909" w:rsidRDefault="008C295F" w:rsidP="00F318C1">
            <w:pPr>
              <w:jc w:val="center"/>
            </w:pPr>
            <w:r>
              <w:rPr>
                <w:lang w:val="es-PR"/>
              </w:rPr>
              <w:t>24.41%</w:t>
            </w:r>
          </w:p>
        </w:tc>
      </w:tr>
      <w:tr w:rsidR="00F87909" w14:paraId="340DA046" w14:textId="77777777" w:rsidTr="0035614D">
        <w:trPr>
          <w:trHeight w:val="331"/>
        </w:trPr>
        <w:tc>
          <w:tcPr>
            <w:tcW w:w="715" w:type="dxa"/>
            <w:vAlign w:val="center"/>
          </w:tcPr>
          <w:p w14:paraId="62B3E5B3" w14:textId="77777777" w:rsidR="00F87909" w:rsidRDefault="00F87909" w:rsidP="00F318C1">
            <w:pPr>
              <w:jc w:val="center"/>
            </w:pPr>
            <w:r>
              <w:rPr>
                <w:lang w:val="es-PR"/>
              </w:rPr>
              <w:t>2016</w:t>
            </w:r>
          </w:p>
        </w:tc>
        <w:tc>
          <w:tcPr>
            <w:tcW w:w="990" w:type="dxa"/>
            <w:vAlign w:val="center"/>
          </w:tcPr>
          <w:p w14:paraId="2A7FF938" w14:textId="4B8C3D6B" w:rsidR="00F87909" w:rsidRDefault="008C295F" w:rsidP="00F318C1">
            <w:pPr>
              <w:jc w:val="center"/>
            </w:pPr>
            <w:r>
              <w:rPr>
                <w:lang w:val="es-PR"/>
              </w:rPr>
              <w:t>30.00%</w:t>
            </w:r>
          </w:p>
        </w:tc>
        <w:tc>
          <w:tcPr>
            <w:tcW w:w="990" w:type="dxa"/>
            <w:vAlign w:val="center"/>
          </w:tcPr>
          <w:p w14:paraId="0A88901F" w14:textId="6A732BED" w:rsidR="00F87909" w:rsidRDefault="008C295F" w:rsidP="00F318C1">
            <w:pPr>
              <w:jc w:val="center"/>
            </w:pPr>
            <w:r>
              <w:rPr>
                <w:lang w:val="es-PR"/>
              </w:rPr>
              <w:t>24.56%</w:t>
            </w:r>
          </w:p>
        </w:tc>
      </w:tr>
      <w:tr w:rsidR="00F87909" w14:paraId="5F800B4D" w14:textId="77777777" w:rsidTr="0035614D">
        <w:trPr>
          <w:trHeight w:val="331"/>
        </w:trPr>
        <w:tc>
          <w:tcPr>
            <w:tcW w:w="715" w:type="dxa"/>
            <w:vAlign w:val="center"/>
          </w:tcPr>
          <w:p w14:paraId="09CA5AF3" w14:textId="77777777" w:rsidR="00F87909" w:rsidRDefault="00F87909" w:rsidP="00F318C1">
            <w:pPr>
              <w:jc w:val="center"/>
            </w:pPr>
            <w:r>
              <w:rPr>
                <w:lang w:val="es-PR"/>
              </w:rPr>
              <w:t>2017</w:t>
            </w:r>
          </w:p>
        </w:tc>
        <w:tc>
          <w:tcPr>
            <w:tcW w:w="990" w:type="dxa"/>
            <w:vAlign w:val="center"/>
          </w:tcPr>
          <w:p w14:paraId="330FD4A0" w14:textId="39B73A36" w:rsidR="00F87909" w:rsidRDefault="008C295F" w:rsidP="00F318C1">
            <w:pPr>
              <w:jc w:val="center"/>
            </w:pPr>
            <w:r>
              <w:rPr>
                <w:lang w:val="es-PR"/>
              </w:rPr>
              <w:t>31.00%</w:t>
            </w:r>
          </w:p>
        </w:tc>
        <w:tc>
          <w:tcPr>
            <w:tcW w:w="990" w:type="dxa"/>
            <w:vAlign w:val="center"/>
          </w:tcPr>
          <w:p w14:paraId="015CC862" w14:textId="5F68FFEF" w:rsidR="00F87909" w:rsidRDefault="008C295F" w:rsidP="00F318C1">
            <w:pPr>
              <w:jc w:val="center"/>
            </w:pPr>
            <w:r>
              <w:rPr>
                <w:lang w:val="es-PR"/>
              </w:rPr>
              <w:t>22.82%</w:t>
            </w:r>
          </w:p>
        </w:tc>
      </w:tr>
      <w:tr w:rsidR="00F87909" w14:paraId="64CA3567" w14:textId="77777777" w:rsidTr="0035614D">
        <w:trPr>
          <w:trHeight w:val="331"/>
        </w:trPr>
        <w:tc>
          <w:tcPr>
            <w:tcW w:w="715" w:type="dxa"/>
            <w:vAlign w:val="center"/>
          </w:tcPr>
          <w:p w14:paraId="4E3E6F8D" w14:textId="77777777" w:rsidR="00F87909" w:rsidRDefault="00F87909" w:rsidP="00F318C1">
            <w:pPr>
              <w:jc w:val="center"/>
            </w:pPr>
            <w:r>
              <w:rPr>
                <w:lang w:val="es-PR"/>
              </w:rPr>
              <w:lastRenderedPageBreak/>
              <w:t>2018</w:t>
            </w:r>
          </w:p>
        </w:tc>
        <w:tc>
          <w:tcPr>
            <w:tcW w:w="990" w:type="dxa"/>
            <w:vAlign w:val="center"/>
          </w:tcPr>
          <w:p w14:paraId="4C4A4CB6" w14:textId="3F4C0062" w:rsidR="00F87909" w:rsidRDefault="008C295F" w:rsidP="00F318C1">
            <w:pPr>
              <w:jc w:val="center"/>
            </w:pPr>
            <w:r>
              <w:rPr>
                <w:lang w:val="es-PR"/>
              </w:rPr>
              <w:t>32.00%</w:t>
            </w:r>
          </w:p>
        </w:tc>
        <w:tc>
          <w:tcPr>
            <w:tcW w:w="990" w:type="dxa"/>
            <w:vAlign w:val="center"/>
          </w:tcPr>
          <w:p w14:paraId="596DCFD0" w14:textId="5A2F4FAF" w:rsidR="00F87909" w:rsidRDefault="008C295F" w:rsidP="00F318C1">
            <w:pPr>
              <w:jc w:val="center"/>
            </w:pPr>
            <w:r>
              <w:rPr>
                <w:lang w:val="es-PR"/>
              </w:rPr>
              <w:t>25.13%</w:t>
            </w:r>
          </w:p>
        </w:tc>
      </w:tr>
      <w:tr w:rsidR="00F87909" w14:paraId="255C2508" w14:textId="2B0F82FD" w:rsidTr="0035614D">
        <w:trPr>
          <w:trHeight w:val="331"/>
        </w:trPr>
        <w:tc>
          <w:tcPr>
            <w:tcW w:w="715" w:type="dxa"/>
            <w:vAlign w:val="center"/>
          </w:tcPr>
          <w:p w14:paraId="3C6F9E43" w14:textId="77777777" w:rsidR="00F87909" w:rsidRDefault="00F87909" w:rsidP="00F318C1">
            <w:pPr>
              <w:jc w:val="center"/>
            </w:pPr>
            <w:r>
              <w:rPr>
                <w:lang w:val="es-PR"/>
              </w:rPr>
              <w:t>2019</w:t>
            </w:r>
          </w:p>
        </w:tc>
        <w:tc>
          <w:tcPr>
            <w:tcW w:w="990" w:type="dxa"/>
            <w:vAlign w:val="center"/>
          </w:tcPr>
          <w:p w14:paraId="2117551F" w14:textId="0A465401" w:rsidR="00F87909" w:rsidRDefault="008C295F" w:rsidP="00F318C1">
            <w:pPr>
              <w:jc w:val="center"/>
            </w:pPr>
            <w:r>
              <w:rPr>
                <w:lang w:val="es-PR"/>
              </w:rPr>
              <w:t>32.00%</w:t>
            </w:r>
          </w:p>
        </w:tc>
        <w:tc>
          <w:tcPr>
            <w:tcW w:w="990" w:type="dxa"/>
            <w:vAlign w:val="center"/>
          </w:tcPr>
          <w:p w14:paraId="17294581" w14:textId="6410E0F0" w:rsidR="00F87909" w:rsidRDefault="008C295F" w:rsidP="00F318C1">
            <w:pPr>
              <w:jc w:val="center"/>
            </w:pPr>
            <w:r>
              <w:rPr>
                <w:lang w:val="es-PR"/>
              </w:rPr>
              <w:t>24.84%</w:t>
            </w:r>
          </w:p>
        </w:tc>
      </w:tr>
    </w:tbl>
    <w:p w14:paraId="5DE58C1D" w14:textId="3CC2C375" w:rsidR="008C295F" w:rsidRPr="00A20D25" w:rsidRDefault="008C295F" w:rsidP="00F318C1">
      <w:pPr>
        <w:pStyle w:val="Heading1"/>
        <w:spacing w:before="120" w:line="240" w:lineRule="auto"/>
        <w:rPr>
          <w:rFonts w:asciiTheme="minorHAnsi" w:hAnsiTheme="minorHAnsi" w:cstheme="minorBidi"/>
          <w:b/>
          <w:bCs/>
          <w:color w:val="1B75BC"/>
          <w:lang w:val="es-MX"/>
        </w:rPr>
      </w:pPr>
      <w:r>
        <w:rPr>
          <w:rFonts w:asciiTheme="minorHAnsi" w:hAnsiTheme="minorHAnsi" w:cstheme="minorBidi"/>
          <w:b/>
          <w:bCs/>
          <w:color w:val="1B75BC"/>
          <w:lang w:val="es-PR"/>
        </w:rPr>
        <w:t>¿Cómo se ha desempeñado Oregon a lo largo del tiempo? (Continuación)</w:t>
      </w:r>
    </w:p>
    <w:p w14:paraId="61E57A52" w14:textId="15796C5C" w:rsidR="4E8233C4" w:rsidRPr="00A20D25" w:rsidRDefault="00C30AE1" w:rsidP="00F318C1">
      <w:pPr>
        <w:spacing w:after="120" w:line="240" w:lineRule="auto"/>
        <w:rPr>
          <w:rFonts w:eastAsiaTheme="minorEastAsia"/>
          <w:lang w:val="es-MX"/>
        </w:rPr>
      </w:pPr>
      <w:r>
        <w:rPr>
          <w:noProof/>
        </w:rPr>
        <w:drawing>
          <wp:anchor distT="0" distB="0" distL="114300" distR="114300" simplePos="0" relativeHeight="251659264" behindDoc="0" locked="0" layoutInCell="1" allowOverlap="1" wp14:anchorId="074A161E" wp14:editId="22D7A166">
            <wp:simplePos x="0" y="0"/>
            <wp:positionH relativeFrom="column">
              <wp:posOffset>1803556</wp:posOffset>
            </wp:positionH>
            <wp:positionV relativeFrom="paragraph">
              <wp:posOffset>416478</wp:posOffset>
            </wp:positionV>
            <wp:extent cx="4986655" cy="1766570"/>
            <wp:effectExtent l="0" t="0" r="4445" b="5080"/>
            <wp:wrapNone/>
            <wp:docPr id="2" name="Chart 2" descr="Este gráfico muestra los datos y objetivos de B14B de Oregon." title="Datos del indicador B14 de Oregón (resultados posteriores a la escuel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lang w:val="es-PR"/>
        </w:rPr>
        <w:t xml:space="preserve">B. Porcentaje de jóvenes con IEPs vigentes al momento de dejar la escuela que están inscritos en la educación superior o tienen un empleo competitivo dentro de un año de haber dejado la escuela secundaria. </w:t>
      </w:r>
      <w:r>
        <w:rPr>
          <w:b/>
          <w:bCs/>
          <w:lang w:val="es-PR"/>
        </w:rPr>
        <w:t>(Nota:</w:t>
      </w:r>
      <w:r>
        <w:rPr>
          <w:lang w:val="es-PR"/>
        </w:rPr>
        <w:t xml:space="preserve"> La pandemia COVID-19 afectó los datos del año fiscal 2019).</w:t>
      </w:r>
    </w:p>
    <w:tbl>
      <w:tblPr>
        <w:tblStyle w:val="TableGrid"/>
        <w:tblW w:w="0" w:type="auto"/>
        <w:tblLayout w:type="fixed"/>
        <w:tblLook w:val="04A0" w:firstRow="1" w:lastRow="0" w:firstColumn="1" w:lastColumn="0" w:noHBand="0" w:noVBand="1"/>
        <w:tblCaption w:val="Indicator 14B Data Table"/>
        <w:tblDescription w:val="This table shows Oregon's statewide targets and actual data for indicator 14B from the State Performance Plan."/>
      </w:tblPr>
      <w:tblGrid>
        <w:gridCol w:w="715"/>
        <w:gridCol w:w="990"/>
        <w:gridCol w:w="990"/>
      </w:tblGrid>
      <w:tr w:rsidR="00CF5502" w:rsidRPr="00F25E97" w14:paraId="57157AA5" w14:textId="77777777" w:rsidTr="0035614D">
        <w:trPr>
          <w:trHeight w:val="337"/>
          <w:tblHeader/>
        </w:trPr>
        <w:tc>
          <w:tcPr>
            <w:tcW w:w="715" w:type="dxa"/>
            <w:shd w:val="clear" w:color="auto" w:fill="1B75BC"/>
            <w:vAlign w:val="center"/>
          </w:tcPr>
          <w:p w14:paraId="2F16893C" w14:textId="77777777" w:rsidR="00CF5502" w:rsidRPr="00F25E97" w:rsidRDefault="00CF5502" w:rsidP="00F318C1">
            <w:pPr>
              <w:jc w:val="center"/>
              <w:rPr>
                <w:b/>
                <w:color w:val="FFFFFF" w:themeColor="background1"/>
              </w:rPr>
            </w:pPr>
            <w:r>
              <w:rPr>
                <w:b/>
                <w:bCs/>
                <w:color w:val="FFFFFF" w:themeColor="background1"/>
                <w:lang w:val="es-PR"/>
              </w:rPr>
              <w:t>Años fiscales</w:t>
            </w:r>
          </w:p>
        </w:tc>
        <w:tc>
          <w:tcPr>
            <w:tcW w:w="990" w:type="dxa"/>
            <w:shd w:val="clear" w:color="auto" w:fill="1B75BC"/>
            <w:vAlign w:val="center"/>
          </w:tcPr>
          <w:p w14:paraId="0E9B93DF" w14:textId="77777777" w:rsidR="00CF5502" w:rsidRPr="00F25E97" w:rsidRDefault="00CF5502" w:rsidP="00F318C1">
            <w:pPr>
              <w:jc w:val="center"/>
              <w:rPr>
                <w:b/>
                <w:color w:val="FFFFFF" w:themeColor="background1"/>
              </w:rPr>
            </w:pPr>
            <w:r>
              <w:rPr>
                <w:b/>
                <w:bCs/>
                <w:color w:val="FFFFFF" w:themeColor="background1"/>
                <w:lang w:val="es-PR"/>
              </w:rPr>
              <w:t>Objetivo ≥</w:t>
            </w:r>
          </w:p>
        </w:tc>
        <w:tc>
          <w:tcPr>
            <w:tcW w:w="990" w:type="dxa"/>
            <w:shd w:val="clear" w:color="auto" w:fill="1B75BC"/>
            <w:vAlign w:val="center"/>
          </w:tcPr>
          <w:p w14:paraId="01849A06" w14:textId="77777777" w:rsidR="00CF5502" w:rsidRPr="00F25E97" w:rsidRDefault="00CF5502" w:rsidP="00F318C1">
            <w:pPr>
              <w:jc w:val="center"/>
              <w:rPr>
                <w:b/>
                <w:color w:val="FFFFFF" w:themeColor="background1"/>
              </w:rPr>
            </w:pPr>
            <w:r>
              <w:rPr>
                <w:b/>
                <w:bCs/>
                <w:color w:val="FFFFFF" w:themeColor="background1"/>
                <w:lang w:val="es-PR"/>
              </w:rPr>
              <w:t>Datos</w:t>
            </w:r>
          </w:p>
        </w:tc>
      </w:tr>
      <w:tr w:rsidR="00CF5502" w14:paraId="74951B3B" w14:textId="77777777" w:rsidTr="0035614D">
        <w:trPr>
          <w:trHeight w:val="337"/>
        </w:trPr>
        <w:tc>
          <w:tcPr>
            <w:tcW w:w="715" w:type="dxa"/>
            <w:vAlign w:val="center"/>
          </w:tcPr>
          <w:p w14:paraId="6E0EFB0F" w14:textId="77777777" w:rsidR="00CF5502" w:rsidRDefault="00CF5502" w:rsidP="00F318C1">
            <w:pPr>
              <w:jc w:val="center"/>
            </w:pPr>
            <w:r>
              <w:rPr>
                <w:lang w:val="es-PR"/>
              </w:rPr>
              <w:t>2009</w:t>
            </w:r>
          </w:p>
        </w:tc>
        <w:tc>
          <w:tcPr>
            <w:tcW w:w="990" w:type="dxa"/>
            <w:vAlign w:val="center"/>
          </w:tcPr>
          <w:p w14:paraId="4FC26210" w14:textId="77777777" w:rsidR="00CF5502" w:rsidRPr="00F25E97" w:rsidRDefault="00CF5502" w:rsidP="00F318C1">
            <w:pPr>
              <w:jc w:val="center"/>
              <w:rPr>
                <w:i/>
              </w:rPr>
            </w:pPr>
            <w:r>
              <w:rPr>
                <w:i/>
                <w:iCs/>
                <w:lang w:val="es-PR"/>
              </w:rPr>
              <w:t>Línea de base</w:t>
            </w:r>
          </w:p>
        </w:tc>
        <w:tc>
          <w:tcPr>
            <w:tcW w:w="990" w:type="dxa"/>
            <w:vAlign w:val="center"/>
          </w:tcPr>
          <w:p w14:paraId="6F38E424" w14:textId="04B417CE" w:rsidR="00CF5502" w:rsidRDefault="00AE1D50" w:rsidP="00F318C1">
            <w:pPr>
              <w:jc w:val="center"/>
            </w:pPr>
            <w:r>
              <w:rPr>
                <w:lang w:val="es-PR"/>
              </w:rPr>
              <w:t>50.60%</w:t>
            </w:r>
          </w:p>
        </w:tc>
      </w:tr>
      <w:tr w:rsidR="00CF5502" w14:paraId="7821B9F4" w14:textId="77777777" w:rsidTr="0035614D">
        <w:trPr>
          <w:trHeight w:val="337"/>
        </w:trPr>
        <w:tc>
          <w:tcPr>
            <w:tcW w:w="715" w:type="dxa"/>
            <w:vAlign w:val="center"/>
          </w:tcPr>
          <w:p w14:paraId="1742A4D7" w14:textId="77777777" w:rsidR="00CF5502" w:rsidRDefault="00CF5502" w:rsidP="00F318C1">
            <w:pPr>
              <w:jc w:val="center"/>
            </w:pPr>
            <w:r>
              <w:rPr>
                <w:lang w:val="es-PR"/>
              </w:rPr>
              <w:t>2014</w:t>
            </w:r>
          </w:p>
        </w:tc>
        <w:tc>
          <w:tcPr>
            <w:tcW w:w="990" w:type="dxa"/>
            <w:vAlign w:val="center"/>
          </w:tcPr>
          <w:p w14:paraId="72BA9010" w14:textId="48B3EDA2" w:rsidR="00CF5502" w:rsidRDefault="00AE1D50" w:rsidP="00F318C1">
            <w:pPr>
              <w:jc w:val="center"/>
            </w:pPr>
            <w:r>
              <w:rPr>
                <w:lang w:val="es-PR"/>
              </w:rPr>
              <w:t>55.00%</w:t>
            </w:r>
          </w:p>
        </w:tc>
        <w:tc>
          <w:tcPr>
            <w:tcW w:w="990" w:type="dxa"/>
            <w:vAlign w:val="center"/>
          </w:tcPr>
          <w:p w14:paraId="7A35AC59" w14:textId="18E9BC14" w:rsidR="00CF5502" w:rsidRDefault="00AE1D50" w:rsidP="00F318C1">
            <w:pPr>
              <w:jc w:val="center"/>
            </w:pPr>
            <w:r>
              <w:rPr>
                <w:lang w:val="es-PR"/>
              </w:rPr>
              <w:t>56.40%</w:t>
            </w:r>
          </w:p>
        </w:tc>
      </w:tr>
      <w:tr w:rsidR="00AE1D50" w14:paraId="30C5189C" w14:textId="77777777" w:rsidTr="0035614D">
        <w:trPr>
          <w:trHeight w:val="337"/>
        </w:trPr>
        <w:tc>
          <w:tcPr>
            <w:tcW w:w="715" w:type="dxa"/>
            <w:vAlign w:val="center"/>
          </w:tcPr>
          <w:p w14:paraId="40E7CDEF" w14:textId="77777777" w:rsidR="00AE1D50" w:rsidRDefault="00AE1D50" w:rsidP="00F318C1">
            <w:pPr>
              <w:jc w:val="center"/>
            </w:pPr>
            <w:r>
              <w:rPr>
                <w:lang w:val="es-PR"/>
              </w:rPr>
              <w:t>2015</w:t>
            </w:r>
          </w:p>
        </w:tc>
        <w:tc>
          <w:tcPr>
            <w:tcW w:w="990" w:type="dxa"/>
            <w:vAlign w:val="center"/>
          </w:tcPr>
          <w:p w14:paraId="17D43340" w14:textId="763F49EB" w:rsidR="00AE1D50" w:rsidRDefault="00AE1D50" w:rsidP="00F318C1">
            <w:pPr>
              <w:jc w:val="center"/>
            </w:pPr>
            <w:r>
              <w:rPr>
                <w:lang w:val="es-PR"/>
              </w:rPr>
              <w:t>55.00%</w:t>
            </w:r>
          </w:p>
        </w:tc>
        <w:tc>
          <w:tcPr>
            <w:tcW w:w="990" w:type="dxa"/>
            <w:vAlign w:val="center"/>
          </w:tcPr>
          <w:p w14:paraId="42BEE788" w14:textId="59E11A77" w:rsidR="00AE1D50" w:rsidRDefault="00AE1D50" w:rsidP="00F318C1">
            <w:pPr>
              <w:jc w:val="center"/>
            </w:pPr>
            <w:r>
              <w:rPr>
                <w:lang w:val="es-PR"/>
              </w:rPr>
              <w:t>59.52%</w:t>
            </w:r>
          </w:p>
        </w:tc>
      </w:tr>
      <w:tr w:rsidR="00AE1D50" w14:paraId="5CB2C3F9" w14:textId="77777777" w:rsidTr="0035614D">
        <w:trPr>
          <w:trHeight w:val="337"/>
        </w:trPr>
        <w:tc>
          <w:tcPr>
            <w:tcW w:w="715" w:type="dxa"/>
            <w:vAlign w:val="center"/>
          </w:tcPr>
          <w:p w14:paraId="144DE819" w14:textId="77777777" w:rsidR="00AE1D50" w:rsidRDefault="00AE1D50" w:rsidP="00F318C1">
            <w:pPr>
              <w:jc w:val="center"/>
            </w:pPr>
            <w:r>
              <w:rPr>
                <w:lang w:val="es-PR"/>
              </w:rPr>
              <w:t>2016</w:t>
            </w:r>
          </w:p>
        </w:tc>
        <w:tc>
          <w:tcPr>
            <w:tcW w:w="990" w:type="dxa"/>
            <w:vAlign w:val="center"/>
          </w:tcPr>
          <w:p w14:paraId="0BCDCF3E" w14:textId="461409D7" w:rsidR="00AE1D50" w:rsidRDefault="00AE1D50" w:rsidP="00F318C1">
            <w:pPr>
              <w:jc w:val="center"/>
            </w:pPr>
            <w:r>
              <w:rPr>
                <w:lang w:val="es-PR"/>
              </w:rPr>
              <w:t>55.50%</w:t>
            </w:r>
          </w:p>
        </w:tc>
        <w:tc>
          <w:tcPr>
            <w:tcW w:w="990" w:type="dxa"/>
            <w:vAlign w:val="center"/>
          </w:tcPr>
          <w:p w14:paraId="71942DED" w14:textId="2BC120D9" w:rsidR="00AE1D50" w:rsidRDefault="00AE1D50" w:rsidP="00F318C1">
            <w:pPr>
              <w:jc w:val="center"/>
            </w:pPr>
            <w:r>
              <w:rPr>
                <w:lang w:val="es-PR"/>
              </w:rPr>
              <w:t>60.46%</w:t>
            </w:r>
          </w:p>
        </w:tc>
      </w:tr>
      <w:tr w:rsidR="00AE1D50" w14:paraId="1074EB0C" w14:textId="77777777" w:rsidTr="0035614D">
        <w:trPr>
          <w:trHeight w:val="337"/>
        </w:trPr>
        <w:tc>
          <w:tcPr>
            <w:tcW w:w="715" w:type="dxa"/>
            <w:vAlign w:val="center"/>
          </w:tcPr>
          <w:p w14:paraId="5115106E" w14:textId="77777777" w:rsidR="00AE1D50" w:rsidRDefault="00AE1D50" w:rsidP="00F318C1">
            <w:pPr>
              <w:jc w:val="center"/>
            </w:pPr>
            <w:r>
              <w:rPr>
                <w:lang w:val="es-PR"/>
              </w:rPr>
              <w:t>2017</w:t>
            </w:r>
          </w:p>
        </w:tc>
        <w:tc>
          <w:tcPr>
            <w:tcW w:w="990" w:type="dxa"/>
            <w:vAlign w:val="center"/>
          </w:tcPr>
          <w:p w14:paraId="30243829" w14:textId="707FABBA" w:rsidR="00AE1D50" w:rsidRDefault="00AE1D50" w:rsidP="00F318C1">
            <w:pPr>
              <w:jc w:val="center"/>
            </w:pPr>
            <w:r>
              <w:rPr>
                <w:lang w:val="es-PR"/>
              </w:rPr>
              <w:t>55.50%</w:t>
            </w:r>
          </w:p>
        </w:tc>
        <w:tc>
          <w:tcPr>
            <w:tcW w:w="990" w:type="dxa"/>
            <w:vAlign w:val="center"/>
          </w:tcPr>
          <w:p w14:paraId="788B3B75" w14:textId="2B15E19A" w:rsidR="00AE1D50" w:rsidRDefault="00AE1D50" w:rsidP="00F318C1">
            <w:pPr>
              <w:jc w:val="center"/>
            </w:pPr>
            <w:r>
              <w:rPr>
                <w:lang w:val="es-PR"/>
              </w:rPr>
              <w:t>61.99%</w:t>
            </w:r>
          </w:p>
        </w:tc>
      </w:tr>
      <w:tr w:rsidR="00AE1D50" w14:paraId="0F0C8F42" w14:textId="77777777" w:rsidTr="0035614D">
        <w:trPr>
          <w:trHeight w:val="337"/>
        </w:trPr>
        <w:tc>
          <w:tcPr>
            <w:tcW w:w="715" w:type="dxa"/>
            <w:vAlign w:val="center"/>
          </w:tcPr>
          <w:p w14:paraId="7069E26E" w14:textId="77777777" w:rsidR="00AE1D50" w:rsidRDefault="00AE1D50" w:rsidP="00F318C1">
            <w:pPr>
              <w:jc w:val="center"/>
            </w:pPr>
            <w:r>
              <w:rPr>
                <w:lang w:val="es-PR"/>
              </w:rPr>
              <w:t>2018</w:t>
            </w:r>
          </w:p>
        </w:tc>
        <w:tc>
          <w:tcPr>
            <w:tcW w:w="990" w:type="dxa"/>
            <w:vAlign w:val="center"/>
          </w:tcPr>
          <w:p w14:paraId="29208335" w14:textId="68C89351" w:rsidR="00AE1D50" w:rsidRDefault="00AE1D50" w:rsidP="00F318C1">
            <w:pPr>
              <w:jc w:val="center"/>
            </w:pPr>
            <w:r>
              <w:rPr>
                <w:lang w:val="es-PR"/>
              </w:rPr>
              <w:t>56.00%</w:t>
            </w:r>
          </w:p>
        </w:tc>
        <w:tc>
          <w:tcPr>
            <w:tcW w:w="990" w:type="dxa"/>
            <w:vAlign w:val="center"/>
          </w:tcPr>
          <w:p w14:paraId="5F565BCC" w14:textId="017C9057" w:rsidR="00AE1D50" w:rsidRDefault="00AE1D50" w:rsidP="00F318C1">
            <w:pPr>
              <w:jc w:val="center"/>
            </w:pPr>
            <w:r>
              <w:rPr>
                <w:lang w:val="es-PR"/>
              </w:rPr>
              <w:t>46.46%</w:t>
            </w:r>
          </w:p>
        </w:tc>
      </w:tr>
      <w:tr w:rsidR="00AE1D50" w14:paraId="13207116" w14:textId="77777777" w:rsidTr="0035614D">
        <w:trPr>
          <w:trHeight w:val="337"/>
        </w:trPr>
        <w:tc>
          <w:tcPr>
            <w:tcW w:w="715" w:type="dxa"/>
            <w:vAlign w:val="center"/>
          </w:tcPr>
          <w:p w14:paraId="6FE08AE6" w14:textId="77777777" w:rsidR="00AE1D50" w:rsidRDefault="00AE1D50" w:rsidP="00F318C1">
            <w:pPr>
              <w:jc w:val="center"/>
            </w:pPr>
            <w:r>
              <w:rPr>
                <w:lang w:val="es-PR"/>
              </w:rPr>
              <w:t>2019</w:t>
            </w:r>
          </w:p>
        </w:tc>
        <w:tc>
          <w:tcPr>
            <w:tcW w:w="990" w:type="dxa"/>
            <w:vAlign w:val="center"/>
          </w:tcPr>
          <w:p w14:paraId="143D950A" w14:textId="1D5B3104" w:rsidR="00AE1D50" w:rsidRDefault="00AE1D50" w:rsidP="00F318C1">
            <w:pPr>
              <w:jc w:val="center"/>
            </w:pPr>
            <w:r>
              <w:rPr>
                <w:lang w:val="es-PR"/>
              </w:rPr>
              <w:t>56.00%</w:t>
            </w:r>
          </w:p>
        </w:tc>
        <w:tc>
          <w:tcPr>
            <w:tcW w:w="990" w:type="dxa"/>
            <w:vAlign w:val="center"/>
          </w:tcPr>
          <w:p w14:paraId="198B614C" w14:textId="22BA0058" w:rsidR="00AE1D50" w:rsidRDefault="00AE1D50" w:rsidP="00F318C1">
            <w:pPr>
              <w:jc w:val="center"/>
            </w:pPr>
            <w:r>
              <w:rPr>
                <w:lang w:val="es-PR"/>
              </w:rPr>
              <w:t>60.61%</w:t>
            </w:r>
          </w:p>
        </w:tc>
      </w:tr>
    </w:tbl>
    <w:p w14:paraId="53C71E82" w14:textId="3D438A62" w:rsidR="677BE8FE" w:rsidRPr="00A20D25" w:rsidRDefault="00551BCB" w:rsidP="2B5EA53A">
      <w:pPr>
        <w:spacing w:before="120" w:after="80" w:line="240" w:lineRule="auto"/>
        <w:rPr>
          <w:rFonts w:eastAsiaTheme="minorEastAsia"/>
          <w:lang w:val="es-MX"/>
        </w:rPr>
      </w:pPr>
      <w:r>
        <w:rPr>
          <w:noProof/>
        </w:rPr>
        <w:drawing>
          <wp:anchor distT="0" distB="0" distL="114300" distR="114300" simplePos="0" relativeHeight="251660288" behindDoc="0" locked="0" layoutInCell="1" allowOverlap="1" wp14:anchorId="6E0287B8" wp14:editId="7B0AAD16">
            <wp:simplePos x="0" y="0"/>
            <wp:positionH relativeFrom="column">
              <wp:posOffset>1803556</wp:posOffset>
            </wp:positionH>
            <wp:positionV relativeFrom="paragraph">
              <wp:posOffset>642394</wp:posOffset>
            </wp:positionV>
            <wp:extent cx="4987126" cy="1738630"/>
            <wp:effectExtent l="0" t="0" r="4445" b="13970"/>
            <wp:wrapNone/>
            <wp:docPr id="3" name="Chart 3" descr="Este gráfico muestra los datos y objetivos de B14C de Oregon." title="Datos del indicador B14 de Oregón (resultados posteriores a la escuela)"/>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lang w:val="es-PR"/>
        </w:rPr>
        <w:t xml:space="preserve">C. Porcentaje de jóvenes con IEPs vigentes al momento de dejar la escuela que están inscritos en la educación superior o en algún otro programa de educación o capacitación postsecundaria; o en un empleo competitivo o en algún otro empleo dentro de un año de haber dejado la escuela secundaria. </w:t>
      </w:r>
      <w:r>
        <w:rPr>
          <w:b/>
          <w:bCs/>
          <w:lang w:val="es-PR"/>
        </w:rPr>
        <w:t>(Nota:</w:t>
      </w:r>
      <w:r>
        <w:rPr>
          <w:lang w:val="es-PR"/>
        </w:rPr>
        <w:t xml:space="preserve"> La pandemia COVID-19 afectó los datos del año fiscal 2019).</w:t>
      </w:r>
      <w:commentRangeStart w:id="1"/>
      <w:commentRangeEnd w:id="1"/>
      <w:r>
        <w:rPr>
          <w:lang w:val="es-PR"/>
        </w:rPr>
        <w:commentReference w:id="1"/>
      </w:r>
    </w:p>
    <w:tbl>
      <w:tblPr>
        <w:tblStyle w:val="TableGrid"/>
        <w:tblW w:w="0" w:type="auto"/>
        <w:tblLayout w:type="fixed"/>
        <w:tblLook w:val="04A0" w:firstRow="1" w:lastRow="0" w:firstColumn="1" w:lastColumn="0" w:noHBand="0" w:noVBand="1"/>
        <w:tblCaption w:val="Indicator 14C Data Table"/>
        <w:tblDescription w:val="This table shows Oregon's statewide targets and actual data for indicator 14C from the State Performance Plan."/>
      </w:tblPr>
      <w:tblGrid>
        <w:gridCol w:w="715"/>
        <w:gridCol w:w="990"/>
        <w:gridCol w:w="990"/>
      </w:tblGrid>
      <w:tr w:rsidR="00CF5502" w:rsidRPr="00F25E97" w14:paraId="7F8C8F8C" w14:textId="77777777" w:rsidTr="0035614D">
        <w:trPr>
          <w:trHeight w:val="331"/>
          <w:tblHeader/>
        </w:trPr>
        <w:tc>
          <w:tcPr>
            <w:tcW w:w="715" w:type="dxa"/>
            <w:shd w:val="clear" w:color="auto" w:fill="1B75BC"/>
            <w:vAlign w:val="center"/>
          </w:tcPr>
          <w:p w14:paraId="16199A2C" w14:textId="77777777" w:rsidR="00CF5502" w:rsidRPr="00F25E97" w:rsidRDefault="00CF5502" w:rsidP="00F318C1">
            <w:pPr>
              <w:jc w:val="center"/>
              <w:rPr>
                <w:b/>
                <w:color w:val="FFFFFF" w:themeColor="background1"/>
              </w:rPr>
            </w:pPr>
            <w:r>
              <w:rPr>
                <w:b/>
                <w:bCs/>
                <w:color w:val="FFFFFF" w:themeColor="background1"/>
                <w:lang w:val="es-PR"/>
              </w:rPr>
              <w:t>Años fiscales</w:t>
            </w:r>
          </w:p>
        </w:tc>
        <w:tc>
          <w:tcPr>
            <w:tcW w:w="990" w:type="dxa"/>
            <w:shd w:val="clear" w:color="auto" w:fill="1B75BC"/>
            <w:vAlign w:val="center"/>
          </w:tcPr>
          <w:p w14:paraId="6F3C4673" w14:textId="77777777" w:rsidR="00CF5502" w:rsidRPr="00F25E97" w:rsidRDefault="00CF5502" w:rsidP="00F318C1">
            <w:pPr>
              <w:jc w:val="center"/>
              <w:rPr>
                <w:b/>
                <w:color w:val="FFFFFF" w:themeColor="background1"/>
              </w:rPr>
            </w:pPr>
            <w:r>
              <w:rPr>
                <w:b/>
                <w:bCs/>
                <w:color w:val="FFFFFF" w:themeColor="background1"/>
                <w:lang w:val="es-PR"/>
              </w:rPr>
              <w:t>Objetivo ≥</w:t>
            </w:r>
          </w:p>
        </w:tc>
        <w:tc>
          <w:tcPr>
            <w:tcW w:w="990" w:type="dxa"/>
            <w:shd w:val="clear" w:color="auto" w:fill="1B75BC"/>
            <w:vAlign w:val="center"/>
          </w:tcPr>
          <w:p w14:paraId="76679A04" w14:textId="77777777" w:rsidR="00CF5502" w:rsidRPr="00F25E97" w:rsidRDefault="00CF5502" w:rsidP="00F318C1">
            <w:pPr>
              <w:jc w:val="center"/>
              <w:rPr>
                <w:b/>
                <w:color w:val="FFFFFF" w:themeColor="background1"/>
              </w:rPr>
            </w:pPr>
            <w:r>
              <w:rPr>
                <w:b/>
                <w:bCs/>
                <w:color w:val="FFFFFF" w:themeColor="background1"/>
                <w:lang w:val="es-PR"/>
              </w:rPr>
              <w:t>Datos</w:t>
            </w:r>
          </w:p>
        </w:tc>
      </w:tr>
      <w:tr w:rsidR="00CF5502" w14:paraId="21816423" w14:textId="77777777" w:rsidTr="0035614D">
        <w:trPr>
          <w:trHeight w:val="331"/>
        </w:trPr>
        <w:tc>
          <w:tcPr>
            <w:tcW w:w="715" w:type="dxa"/>
            <w:vAlign w:val="center"/>
          </w:tcPr>
          <w:p w14:paraId="4E6BF70D" w14:textId="77777777" w:rsidR="00CF5502" w:rsidRDefault="00CF5502" w:rsidP="00F318C1">
            <w:pPr>
              <w:jc w:val="center"/>
            </w:pPr>
            <w:r>
              <w:rPr>
                <w:lang w:val="es-PR"/>
              </w:rPr>
              <w:t>2009</w:t>
            </w:r>
          </w:p>
        </w:tc>
        <w:tc>
          <w:tcPr>
            <w:tcW w:w="990" w:type="dxa"/>
            <w:vAlign w:val="center"/>
          </w:tcPr>
          <w:p w14:paraId="1EF19E0B" w14:textId="77777777" w:rsidR="00CF5502" w:rsidRPr="00F25E97" w:rsidRDefault="00CF5502" w:rsidP="00F318C1">
            <w:pPr>
              <w:jc w:val="center"/>
              <w:rPr>
                <w:i/>
              </w:rPr>
            </w:pPr>
            <w:r>
              <w:rPr>
                <w:i/>
                <w:iCs/>
                <w:lang w:val="es-PR"/>
              </w:rPr>
              <w:t>Línea de base</w:t>
            </w:r>
          </w:p>
        </w:tc>
        <w:tc>
          <w:tcPr>
            <w:tcW w:w="990" w:type="dxa"/>
            <w:vAlign w:val="center"/>
          </w:tcPr>
          <w:p w14:paraId="3648CA30" w14:textId="22D258AB" w:rsidR="00CF5502" w:rsidRDefault="00551BCB" w:rsidP="00F318C1">
            <w:pPr>
              <w:jc w:val="center"/>
            </w:pPr>
            <w:r>
              <w:rPr>
                <w:lang w:val="es-PR"/>
              </w:rPr>
              <w:t>66.04%</w:t>
            </w:r>
          </w:p>
        </w:tc>
      </w:tr>
      <w:tr w:rsidR="00CF5502" w14:paraId="59B25384" w14:textId="77777777" w:rsidTr="0035614D">
        <w:trPr>
          <w:trHeight w:val="331"/>
        </w:trPr>
        <w:tc>
          <w:tcPr>
            <w:tcW w:w="715" w:type="dxa"/>
            <w:vAlign w:val="center"/>
          </w:tcPr>
          <w:p w14:paraId="7BEB5E3D" w14:textId="77777777" w:rsidR="00CF5502" w:rsidRDefault="00CF5502" w:rsidP="00F318C1">
            <w:pPr>
              <w:jc w:val="center"/>
            </w:pPr>
            <w:r>
              <w:rPr>
                <w:lang w:val="es-PR"/>
              </w:rPr>
              <w:t>2014</w:t>
            </w:r>
          </w:p>
        </w:tc>
        <w:tc>
          <w:tcPr>
            <w:tcW w:w="990" w:type="dxa"/>
            <w:vAlign w:val="center"/>
          </w:tcPr>
          <w:p w14:paraId="0F8B4DF6" w14:textId="09980AE1" w:rsidR="00CF5502" w:rsidRDefault="00B33013" w:rsidP="00F318C1">
            <w:pPr>
              <w:jc w:val="center"/>
            </w:pPr>
            <w:r>
              <w:rPr>
                <w:lang w:val="es-PR"/>
              </w:rPr>
              <w:t>70.00%</w:t>
            </w:r>
          </w:p>
        </w:tc>
        <w:tc>
          <w:tcPr>
            <w:tcW w:w="990" w:type="dxa"/>
            <w:vAlign w:val="center"/>
          </w:tcPr>
          <w:p w14:paraId="6E3A9D52" w14:textId="603C9EE9" w:rsidR="00CF5502" w:rsidRDefault="00551BCB" w:rsidP="00F318C1">
            <w:pPr>
              <w:jc w:val="center"/>
            </w:pPr>
            <w:r>
              <w:rPr>
                <w:lang w:val="es-PR"/>
              </w:rPr>
              <w:t>71.34%</w:t>
            </w:r>
          </w:p>
        </w:tc>
      </w:tr>
      <w:tr w:rsidR="00CF5502" w14:paraId="7E0CC60D" w14:textId="77777777" w:rsidTr="0035614D">
        <w:trPr>
          <w:trHeight w:val="331"/>
        </w:trPr>
        <w:tc>
          <w:tcPr>
            <w:tcW w:w="715" w:type="dxa"/>
            <w:vAlign w:val="center"/>
          </w:tcPr>
          <w:p w14:paraId="293ACB31" w14:textId="77777777" w:rsidR="00CF5502" w:rsidRDefault="00CF5502" w:rsidP="00F318C1">
            <w:pPr>
              <w:jc w:val="center"/>
            </w:pPr>
            <w:r>
              <w:rPr>
                <w:lang w:val="es-PR"/>
              </w:rPr>
              <w:t>2015</w:t>
            </w:r>
          </w:p>
        </w:tc>
        <w:tc>
          <w:tcPr>
            <w:tcW w:w="990" w:type="dxa"/>
            <w:vAlign w:val="center"/>
          </w:tcPr>
          <w:p w14:paraId="4F91E147" w14:textId="4F14B2C2" w:rsidR="00CF5502" w:rsidRDefault="00551BCB" w:rsidP="00F318C1">
            <w:pPr>
              <w:jc w:val="center"/>
            </w:pPr>
            <w:r>
              <w:rPr>
                <w:lang w:val="es-PR"/>
              </w:rPr>
              <w:t>72.00%</w:t>
            </w:r>
          </w:p>
        </w:tc>
        <w:tc>
          <w:tcPr>
            <w:tcW w:w="990" w:type="dxa"/>
            <w:vAlign w:val="center"/>
          </w:tcPr>
          <w:p w14:paraId="2A7C4FC3" w14:textId="5CCEB2CB" w:rsidR="00CF5502" w:rsidRDefault="00551BCB" w:rsidP="00F318C1">
            <w:pPr>
              <w:jc w:val="center"/>
            </w:pPr>
            <w:r>
              <w:rPr>
                <w:lang w:val="es-PR"/>
              </w:rPr>
              <w:t>73.24%</w:t>
            </w:r>
          </w:p>
        </w:tc>
      </w:tr>
      <w:tr w:rsidR="00CF5502" w14:paraId="1875527E" w14:textId="77777777" w:rsidTr="0035614D">
        <w:trPr>
          <w:trHeight w:val="331"/>
        </w:trPr>
        <w:tc>
          <w:tcPr>
            <w:tcW w:w="715" w:type="dxa"/>
            <w:vAlign w:val="center"/>
          </w:tcPr>
          <w:p w14:paraId="4B16D53C" w14:textId="77777777" w:rsidR="00CF5502" w:rsidRDefault="00CF5502" w:rsidP="00F318C1">
            <w:pPr>
              <w:jc w:val="center"/>
            </w:pPr>
            <w:r>
              <w:rPr>
                <w:lang w:val="es-PR"/>
              </w:rPr>
              <w:t>2016</w:t>
            </w:r>
          </w:p>
        </w:tc>
        <w:tc>
          <w:tcPr>
            <w:tcW w:w="990" w:type="dxa"/>
            <w:vAlign w:val="center"/>
          </w:tcPr>
          <w:p w14:paraId="45FF4A05" w14:textId="7FAEB767" w:rsidR="00CF5502" w:rsidRDefault="00551BCB" w:rsidP="00F318C1">
            <w:pPr>
              <w:jc w:val="center"/>
            </w:pPr>
            <w:r>
              <w:rPr>
                <w:lang w:val="es-PR"/>
              </w:rPr>
              <w:t>72.00%</w:t>
            </w:r>
          </w:p>
        </w:tc>
        <w:tc>
          <w:tcPr>
            <w:tcW w:w="990" w:type="dxa"/>
            <w:vAlign w:val="center"/>
          </w:tcPr>
          <w:p w14:paraId="6DC778E1" w14:textId="5579C8FB" w:rsidR="00CF5502" w:rsidRDefault="00551BCB" w:rsidP="00F318C1">
            <w:pPr>
              <w:jc w:val="center"/>
            </w:pPr>
            <w:r>
              <w:rPr>
                <w:lang w:val="es-PR"/>
              </w:rPr>
              <w:t>74.59%</w:t>
            </w:r>
          </w:p>
        </w:tc>
      </w:tr>
      <w:tr w:rsidR="00CF5502" w14:paraId="3E8D7433" w14:textId="77777777" w:rsidTr="0035614D">
        <w:trPr>
          <w:trHeight w:val="331"/>
        </w:trPr>
        <w:tc>
          <w:tcPr>
            <w:tcW w:w="715" w:type="dxa"/>
            <w:vAlign w:val="center"/>
          </w:tcPr>
          <w:p w14:paraId="67EA5DE6" w14:textId="77777777" w:rsidR="00CF5502" w:rsidRDefault="00CF5502" w:rsidP="00F318C1">
            <w:pPr>
              <w:jc w:val="center"/>
            </w:pPr>
            <w:r>
              <w:rPr>
                <w:lang w:val="es-PR"/>
              </w:rPr>
              <w:t>2017</w:t>
            </w:r>
          </w:p>
        </w:tc>
        <w:tc>
          <w:tcPr>
            <w:tcW w:w="990" w:type="dxa"/>
            <w:vAlign w:val="center"/>
          </w:tcPr>
          <w:p w14:paraId="25212E40" w14:textId="5C03D0D0" w:rsidR="00CF5502" w:rsidRDefault="00551BCB" w:rsidP="00F318C1">
            <w:pPr>
              <w:jc w:val="center"/>
            </w:pPr>
            <w:r>
              <w:rPr>
                <w:lang w:val="es-PR"/>
              </w:rPr>
              <w:t>72.00%</w:t>
            </w:r>
          </w:p>
        </w:tc>
        <w:tc>
          <w:tcPr>
            <w:tcW w:w="990" w:type="dxa"/>
            <w:vAlign w:val="center"/>
          </w:tcPr>
          <w:p w14:paraId="04F82419" w14:textId="49947865" w:rsidR="00CF5502" w:rsidRDefault="00551BCB" w:rsidP="00F318C1">
            <w:pPr>
              <w:jc w:val="center"/>
            </w:pPr>
            <w:r>
              <w:rPr>
                <w:lang w:val="es-PR"/>
              </w:rPr>
              <w:t>74.20%</w:t>
            </w:r>
          </w:p>
        </w:tc>
      </w:tr>
      <w:tr w:rsidR="00CF5502" w14:paraId="4C74950A" w14:textId="77777777" w:rsidTr="0035614D">
        <w:trPr>
          <w:trHeight w:val="331"/>
        </w:trPr>
        <w:tc>
          <w:tcPr>
            <w:tcW w:w="715" w:type="dxa"/>
            <w:vAlign w:val="center"/>
          </w:tcPr>
          <w:p w14:paraId="53AFAD4E" w14:textId="77777777" w:rsidR="00CF5502" w:rsidRDefault="00CF5502" w:rsidP="00F318C1">
            <w:pPr>
              <w:jc w:val="center"/>
            </w:pPr>
            <w:r>
              <w:rPr>
                <w:lang w:val="es-PR"/>
              </w:rPr>
              <w:t>2018</w:t>
            </w:r>
          </w:p>
        </w:tc>
        <w:tc>
          <w:tcPr>
            <w:tcW w:w="990" w:type="dxa"/>
            <w:vAlign w:val="center"/>
          </w:tcPr>
          <w:p w14:paraId="15986EF1" w14:textId="68327D69" w:rsidR="00CF5502" w:rsidRDefault="00551BCB" w:rsidP="00F318C1">
            <w:pPr>
              <w:jc w:val="center"/>
            </w:pPr>
            <w:r>
              <w:rPr>
                <w:lang w:val="es-PR"/>
              </w:rPr>
              <w:t>74.00%</w:t>
            </w:r>
          </w:p>
        </w:tc>
        <w:tc>
          <w:tcPr>
            <w:tcW w:w="990" w:type="dxa"/>
            <w:vAlign w:val="center"/>
          </w:tcPr>
          <w:p w14:paraId="13E4D2B8" w14:textId="338B227B" w:rsidR="00CF5502" w:rsidRDefault="00551BCB" w:rsidP="00F318C1">
            <w:pPr>
              <w:jc w:val="center"/>
            </w:pPr>
            <w:r>
              <w:rPr>
                <w:lang w:val="es-PR"/>
              </w:rPr>
              <w:t>81.56%</w:t>
            </w:r>
          </w:p>
        </w:tc>
      </w:tr>
      <w:tr w:rsidR="00CF5502" w14:paraId="76641FE3" w14:textId="77777777" w:rsidTr="0035614D">
        <w:trPr>
          <w:trHeight w:val="331"/>
        </w:trPr>
        <w:tc>
          <w:tcPr>
            <w:tcW w:w="715" w:type="dxa"/>
            <w:vAlign w:val="center"/>
          </w:tcPr>
          <w:p w14:paraId="2F868351" w14:textId="77777777" w:rsidR="00CF5502" w:rsidRDefault="00CF5502" w:rsidP="00F318C1">
            <w:pPr>
              <w:jc w:val="center"/>
            </w:pPr>
            <w:r>
              <w:rPr>
                <w:lang w:val="es-PR"/>
              </w:rPr>
              <w:t>2019</w:t>
            </w:r>
          </w:p>
        </w:tc>
        <w:tc>
          <w:tcPr>
            <w:tcW w:w="990" w:type="dxa"/>
            <w:vAlign w:val="center"/>
          </w:tcPr>
          <w:p w14:paraId="5668765E" w14:textId="2416EDAC" w:rsidR="00CF5502" w:rsidRDefault="00551BCB" w:rsidP="00F318C1">
            <w:pPr>
              <w:jc w:val="center"/>
            </w:pPr>
            <w:r>
              <w:rPr>
                <w:lang w:val="es-PR"/>
              </w:rPr>
              <w:t>74.00%</w:t>
            </w:r>
          </w:p>
        </w:tc>
        <w:tc>
          <w:tcPr>
            <w:tcW w:w="990" w:type="dxa"/>
            <w:vAlign w:val="center"/>
          </w:tcPr>
          <w:p w14:paraId="0091D9FB" w14:textId="589E45A9" w:rsidR="00CF5502" w:rsidRDefault="00551BCB" w:rsidP="00F318C1">
            <w:pPr>
              <w:jc w:val="center"/>
            </w:pPr>
            <w:r>
              <w:rPr>
                <w:lang w:val="es-PR"/>
              </w:rPr>
              <w:t>77.16%</w:t>
            </w:r>
          </w:p>
        </w:tc>
      </w:tr>
    </w:tbl>
    <w:p w14:paraId="6CFA63B3" w14:textId="7FDFB70F" w:rsidR="60E191B5" w:rsidRPr="00A20D25" w:rsidRDefault="60E191B5" w:rsidP="00F318C1">
      <w:pPr>
        <w:pStyle w:val="Heading1"/>
        <w:spacing w:before="120" w:line="240" w:lineRule="auto"/>
        <w:rPr>
          <w:rFonts w:asciiTheme="minorHAnsi" w:hAnsiTheme="minorHAnsi" w:cstheme="minorBidi"/>
          <w:b/>
          <w:bCs/>
          <w:color w:val="1B75BC"/>
          <w:lang w:val="es-MX"/>
        </w:rPr>
      </w:pPr>
      <w:r>
        <w:rPr>
          <w:rFonts w:asciiTheme="minorHAnsi" w:hAnsiTheme="minorHAnsi" w:cstheme="minorBidi"/>
          <w:b/>
          <w:bCs/>
          <w:color w:val="1B75BC"/>
          <w:lang w:val="es-PR"/>
        </w:rPr>
        <w:t>¿Cuáles son los nuevos objetivos?</w:t>
      </w:r>
    </w:p>
    <w:p w14:paraId="4780728B" w14:textId="77777777" w:rsidR="00014229" w:rsidRPr="00F84723" w:rsidRDefault="00014229" w:rsidP="00F318C1">
      <w:pPr>
        <w:spacing w:after="0" w:line="240" w:lineRule="auto"/>
        <w:rPr>
          <w:rFonts w:ascii="Calibri" w:eastAsia="Calibri" w:hAnsi="Calibri" w:cs="Calibri"/>
          <w:color w:val="000000" w:themeColor="text1"/>
        </w:rPr>
      </w:pPr>
      <w:r>
        <w:rPr>
          <w:rFonts w:ascii="Calibri" w:eastAsia="Calibri" w:hAnsi="Calibri" w:cs="Calibri"/>
          <w:color w:val="000000" w:themeColor="text1"/>
          <w:lang w:val="es-PR"/>
        </w:rPr>
        <w:t>El ODE no establecerá nuevos objetivos hasta que tengamos noticias de nuestros socios. Hay varias formas de establecer nuevos objetivos. Podría ser un aumento porcentual, comenzar con el final del juego en mente o examinar las tendencias a lo largo del tiempo y hacer predicciones basadas en las tendencias. Alguna información útil sobre cómo establecer objetivos:</w:t>
      </w:r>
    </w:p>
    <w:p w14:paraId="3455DE89" w14:textId="77777777" w:rsidR="0035614D" w:rsidRPr="0035614D" w:rsidRDefault="00014229" w:rsidP="00F318C1">
      <w:pPr>
        <w:pStyle w:val="ListParagraph"/>
        <w:numPr>
          <w:ilvl w:val="0"/>
          <w:numId w:val="15"/>
        </w:numPr>
        <w:spacing w:line="240" w:lineRule="auto"/>
        <w:rPr>
          <w:rFonts w:ascii="Calibri" w:eastAsia="Calibri" w:hAnsi="Calibri" w:cs="Calibri"/>
          <w:color w:val="000000" w:themeColor="text1"/>
        </w:rPr>
      </w:pPr>
      <w:r>
        <w:rPr>
          <w:rFonts w:ascii="Calibri" w:eastAsia="Calibri" w:hAnsi="Calibri" w:cs="Calibri"/>
          <w:color w:val="000000" w:themeColor="text1"/>
          <w:lang w:val="es-PR"/>
        </w:rPr>
        <w:t xml:space="preserve">Los objetivos están destinados a respaldar mejores resultados y consecuencias para los niños y las familias. Deberían estar al alcance pero aún mostrar crecimiento. </w:t>
      </w:r>
    </w:p>
    <w:p w14:paraId="2B809BBC" w14:textId="2BC80ADF" w:rsidR="60E191B5" w:rsidRPr="00A20D25" w:rsidRDefault="00014229" w:rsidP="00F318C1">
      <w:pPr>
        <w:pStyle w:val="ListParagraph"/>
        <w:numPr>
          <w:ilvl w:val="0"/>
          <w:numId w:val="15"/>
        </w:numPr>
        <w:spacing w:after="60" w:line="240" w:lineRule="auto"/>
        <w:rPr>
          <w:rFonts w:ascii="Calibri" w:eastAsia="Calibri" w:hAnsi="Calibri" w:cs="Calibri"/>
          <w:color w:val="000000" w:themeColor="text1"/>
          <w:lang w:val="es-MX"/>
        </w:rPr>
      </w:pPr>
      <w:r>
        <w:rPr>
          <w:rFonts w:ascii="Calibri" w:eastAsia="Calibri" w:hAnsi="Calibri" w:cs="Calibri"/>
          <w:color w:val="000000" w:themeColor="text1"/>
          <w:lang w:val="es-PR"/>
        </w:rPr>
        <w:t>El cambio lleva tiempo. Los objetivos se pueden crear con este entendimiento en mente. Por ejemplo, los objetivos pueden permanecer iguales durante varios años seguidos y luego aumentar ligeramente durante el año objetivo final (año fiscal 2025). Alternativamente, los objetivos podrían mostrar una ligera incrementar cada año.</w:t>
      </w:r>
    </w:p>
    <w:p w14:paraId="3F62660B" w14:textId="65131304" w:rsidR="60E191B5" w:rsidRPr="00A20D25" w:rsidRDefault="60E191B5" w:rsidP="00F318C1">
      <w:pPr>
        <w:spacing w:after="0" w:line="240" w:lineRule="auto"/>
        <w:rPr>
          <w:rFonts w:ascii="Calibri" w:eastAsia="Calibri" w:hAnsi="Calibri" w:cs="Calibri"/>
          <w:color w:val="408740"/>
          <w:sz w:val="24"/>
          <w:szCs w:val="24"/>
          <w:lang w:val="es-MX"/>
        </w:rPr>
      </w:pPr>
      <w:r>
        <w:rPr>
          <w:rFonts w:ascii="Calibri" w:eastAsia="Calibri" w:hAnsi="Calibri" w:cs="Calibri"/>
          <w:b/>
          <w:bCs/>
          <w:color w:val="408740"/>
          <w:sz w:val="24"/>
          <w:szCs w:val="24"/>
          <w:lang w:val="es-PR"/>
        </w:rPr>
        <w:lastRenderedPageBreak/>
        <w:t>Ejemplo A.</w:t>
      </w:r>
      <w:r>
        <w:rPr>
          <w:rFonts w:ascii="Calibri" w:eastAsia="Calibri" w:hAnsi="Calibri" w:cs="Calibri"/>
          <w:color w:val="408740"/>
          <w:sz w:val="24"/>
          <w:szCs w:val="24"/>
          <w:lang w:val="es-PR"/>
        </w:rPr>
        <w:t xml:space="preserve"> </w:t>
      </w:r>
      <w:r>
        <w:rPr>
          <w:rFonts w:ascii="Calibri" w:eastAsia="Calibri" w:hAnsi="Calibri" w:cs="Calibri"/>
          <w:color w:val="000000" w:themeColor="text1"/>
          <w:sz w:val="24"/>
          <w:szCs w:val="24"/>
          <w:lang w:val="es-PR"/>
        </w:rPr>
        <w:t>El ejemplo A muestra un aumento gradual.</w:t>
      </w:r>
    </w:p>
    <w:tbl>
      <w:tblPr>
        <w:tblStyle w:val="TableGrid"/>
        <w:tblW w:w="10705" w:type="dxa"/>
        <w:tblLayout w:type="fixed"/>
        <w:tblLook w:val="04A0" w:firstRow="1" w:lastRow="0" w:firstColumn="1" w:lastColumn="0" w:noHBand="0" w:noVBand="1"/>
        <w:tblCaption w:val="Example Targets"/>
        <w:tblDescription w:val="This table shows one set of targets that Oregon could use for the FFY 2020-2025 State Performance Plan."/>
      </w:tblPr>
      <w:tblGrid>
        <w:gridCol w:w="2065"/>
        <w:gridCol w:w="1215"/>
        <w:gridCol w:w="1485"/>
        <w:gridCol w:w="1485"/>
        <w:gridCol w:w="1485"/>
        <w:gridCol w:w="1485"/>
        <w:gridCol w:w="1485"/>
      </w:tblGrid>
      <w:tr w:rsidR="255BAFEA" w14:paraId="0DAEBBFC" w14:textId="77777777" w:rsidTr="009A6A83">
        <w:trPr>
          <w:tblHeader/>
        </w:trPr>
        <w:tc>
          <w:tcPr>
            <w:tcW w:w="2065" w:type="dxa"/>
            <w:shd w:val="clear" w:color="auto" w:fill="9CC2E5" w:themeFill="accent5" w:themeFillTint="99"/>
          </w:tcPr>
          <w:p w14:paraId="2B02E060" w14:textId="25F5E99D" w:rsidR="255BAFEA" w:rsidRDefault="255BAFEA" w:rsidP="00F318C1">
            <w:pPr>
              <w:jc w:val="center"/>
              <w:rPr>
                <w:rFonts w:ascii="Calibri" w:eastAsia="Calibri" w:hAnsi="Calibri" w:cs="Calibri"/>
              </w:rPr>
            </w:pPr>
            <w:r>
              <w:rPr>
                <w:rFonts w:ascii="Calibri" w:eastAsia="Calibri" w:hAnsi="Calibri" w:cs="Calibri"/>
                <w:b/>
                <w:bCs/>
                <w:lang w:val="es-PR"/>
              </w:rPr>
              <w:t>Años fiscales</w:t>
            </w:r>
          </w:p>
        </w:tc>
        <w:tc>
          <w:tcPr>
            <w:tcW w:w="1215" w:type="dxa"/>
            <w:shd w:val="clear" w:color="auto" w:fill="9CC2E5" w:themeFill="accent5" w:themeFillTint="99"/>
          </w:tcPr>
          <w:p w14:paraId="4361FB89" w14:textId="2B281215" w:rsidR="255BAFEA" w:rsidRDefault="14312103" w:rsidP="00F318C1">
            <w:pPr>
              <w:jc w:val="center"/>
              <w:rPr>
                <w:rFonts w:ascii="Calibri" w:eastAsia="Calibri" w:hAnsi="Calibri" w:cs="Calibri"/>
                <w:b/>
                <w:bCs/>
              </w:rPr>
            </w:pPr>
            <w:r>
              <w:rPr>
                <w:rFonts w:ascii="Calibri" w:eastAsia="Calibri" w:hAnsi="Calibri" w:cs="Calibri"/>
                <w:b/>
                <w:bCs/>
                <w:lang w:val="es-PR"/>
              </w:rPr>
              <w:t>2020</w:t>
            </w:r>
          </w:p>
        </w:tc>
        <w:tc>
          <w:tcPr>
            <w:tcW w:w="1485" w:type="dxa"/>
            <w:shd w:val="clear" w:color="auto" w:fill="9CC2E5" w:themeFill="accent5" w:themeFillTint="99"/>
          </w:tcPr>
          <w:p w14:paraId="0A2BFB35" w14:textId="1871A870" w:rsidR="255BAFEA" w:rsidRDefault="3C153C4A" w:rsidP="00F318C1">
            <w:pPr>
              <w:jc w:val="center"/>
              <w:rPr>
                <w:rFonts w:ascii="Calibri" w:eastAsia="Calibri" w:hAnsi="Calibri" w:cs="Calibri"/>
              </w:rPr>
            </w:pPr>
            <w:r>
              <w:rPr>
                <w:rFonts w:ascii="Calibri" w:eastAsia="Calibri" w:hAnsi="Calibri" w:cs="Calibri"/>
                <w:b/>
                <w:bCs/>
                <w:lang w:val="es-PR"/>
              </w:rPr>
              <w:t>2021</w:t>
            </w:r>
          </w:p>
        </w:tc>
        <w:tc>
          <w:tcPr>
            <w:tcW w:w="1485" w:type="dxa"/>
            <w:shd w:val="clear" w:color="auto" w:fill="9CC2E5" w:themeFill="accent5" w:themeFillTint="99"/>
          </w:tcPr>
          <w:p w14:paraId="582258B9" w14:textId="13E00F2E" w:rsidR="255BAFEA" w:rsidRDefault="3C153C4A" w:rsidP="00F318C1">
            <w:pPr>
              <w:jc w:val="center"/>
              <w:rPr>
                <w:rFonts w:ascii="Calibri" w:eastAsia="Calibri" w:hAnsi="Calibri" w:cs="Calibri"/>
              </w:rPr>
            </w:pPr>
            <w:r>
              <w:rPr>
                <w:rFonts w:ascii="Calibri" w:eastAsia="Calibri" w:hAnsi="Calibri" w:cs="Calibri"/>
                <w:b/>
                <w:bCs/>
                <w:lang w:val="es-PR"/>
              </w:rPr>
              <w:t>2022</w:t>
            </w:r>
          </w:p>
        </w:tc>
        <w:tc>
          <w:tcPr>
            <w:tcW w:w="1485" w:type="dxa"/>
            <w:shd w:val="clear" w:color="auto" w:fill="9CC2E5" w:themeFill="accent5" w:themeFillTint="99"/>
          </w:tcPr>
          <w:p w14:paraId="44FC9379" w14:textId="7C4601FA" w:rsidR="255BAFEA" w:rsidRDefault="3C153C4A" w:rsidP="00F318C1">
            <w:pPr>
              <w:jc w:val="center"/>
              <w:rPr>
                <w:rFonts w:ascii="Calibri" w:eastAsia="Calibri" w:hAnsi="Calibri" w:cs="Calibri"/>
              </w:rPr>
            </w:pPr>
            <w:r>
              <w:rPr>
                <w:rFonts w:ascii="Calibri" w:eastAsia="Calibri" w:hAnsi="Calibri" w:cs="Calibri"/>
                <w:b/>
                <w:bCs/>
                <w:lang w:val="es-PR"/>
              </w:rPr>
              <w:t>2023</w:t>
            </w:r>
          </w:p>
        </w:tc>
        <w:tc>
          <w:tcPr>
            <w:tcW w:w="1485" w:type="dxa"/>
            <w:shd w:val="clear" w:color="auto" w:fill="9CC2E5" w:themeFill="accent5" w:themeFillTint="99"/>
          </w:tcPr>
          <w:p w14:paraId="7115F48E" w14:textId="55FF4EBA" w:rsidR="255BAFEA" w:rsidRDefault="3C153C4A" w:rsidP="00F318C1">
            <w:pPr>
              <w:jc w:val="center"/>
              <w:rPr>
                <w:rFonts w:ascii="Calibri" w:eastAsia="Calibri" w:hAnsi="Calibri" w:cs="Calibri"/>
              </w:rPr>
            </w:pPr>
            <w:r>
              <w:rPr>
                <w:rFonts w:ascii="Calibri" w:eastAsia="Calibri" w:hAnsi="Calibri" w:cs="Calibri"/>
                <w:b/>
                <w:bCs/>
                <w:lang w:val="es-PR"/>
              </w:rPr>
              <w:t>2024</w:t>
            </w:r>
          </w:p>
        </w:tc>
        <w:tc>
          <w:tcPr>
            <w:tcW w:w="1485" w:type="dxa"/>
            <w:shd w:val="clear" w:color="auto" w:fill="9CC2E5" w:themeFill="accent5" w:themeFillTint="99"/>
          </w:tcPr>
          <w:p w14:paraId="2786DF1E" w14:textId="2277E88B" w:rsidR="255BAFEA" w:rsidRDefault="3C153C4A" w:rsidP="00F318C1">
            <w:pPr>
              <w:jc w:val="center"/>
              <w:rPr>
                <w:rFonts w:ascii="Calibri" w:eastAsia="Calibri" w:hAnsi="Calibri" w:cs="Calibri"/>
              </w:rPr>
            </w:pPr>
            <w:r>
              <w:rPr>
                <w:rFonts w:ascii="Calibri" w:eastAsia="Calibri" w:hAnsi="Calibri" w:cs="Calibri"/>
                <w:b/>
                <w:bCs/>
                <w:lang w:val="es-PR"/>
              </w:rPr>
              <w:t>2025</w:t>
            </w:r>
          </w:p>
        </w:tc>
      </w:tr>
      <w:tr w:rsidR="255BAFEA" w14:paraId="7BCE9CB2" w14:textId="77777777" w:rsidTr="009A6A83">
        <w:trPr>
          <w:tblHeader/>
        </w:trPr>
        <w:tc>
          <w:tcPr>
            <w:tcW w:w="2065" w:type="dxa"/>
          </w:tcPr>
          <w:p w14:paraId="57D818AE" w14:textId="7D3CAEC4" w:rsidR="255BAFEA" w:rsidRDefault="255BAFEA" w:rsidP="009A6A83">
            <w:pPr>
              <w:jc w:val="center"/>
              <w:rPr>
                <w:rFonts w:ascii="Calibri" w:eastAsia="Calibri" w:hAnsi="Calibri" w:cs="Calibri"/>
              </w:rPr>
            </w:pPr>
            <w:r>
              <w:rPr>
                <w:rFonts w:ascii="Calibri" w:eastAsia="Calibri" w:hAnsi="Calibri" w:cs="Calibri"/>
                <w:lang w:val="es-PR"/>
              </w:rPr>
              <w:t>Objetivos para 14A ≥</w:t>
            </w:r>
          </w:p>
        </w:tc>
        <w:tc>
          <w:tcPr>
            <w:tcW w:w="1215" w:type="dxa"/>
          </w:tcPr>
          <w:p w14:paraId="3294DF56" w14:textId="07B5D04F" w:rsidR="255BAFEA" w:rsidRDefault="00F318C1" w:rsidP="00F318C1">
            <w:pPr>
              <w:jc w:val="center"/>
              <w:rPr>
                <w:rFonts w:ascii="Calibri" w:eastAsia="Calibri" w:hAnsi="Calibri" w:cs="Calibri"/>
              </w:rPr>
            </w:pPr>
            <w:r>
              <w:rPr>
                <w:rFonts w:ascii="Calibri" w:eastAsia="Calibri" w:hAnsi="Calibri" w:cs="Calibri"/>
                <w:lang w:val="es-PR"/>
              </w:rPr>
              <w:t>32.00%</w:t>
            </w:r>
          </w:p>
        </w:tc>
        <w:tc>
          <w:tcPr>
            <w:tcW w:w="1485" w:type="dxa"/>
          </w:tcPr>
          <w:p w14:paraId="31A988EF" w14:textId="1D478A80" w:rsidR="255BAFEA" w:rsidRDefault="0097638D" w:rsidP="00F318C1">
            <w:pPr>
              <w:jc w:val="center"/>
              <w:rPr>
                <w:rFonts w:ascii="Calibri" w:eastAsia="Calibri" w:hAnsi="Calibri" w:cs="Calibri"/>
              </w:rPr>
            </w:pPr>
            <w:r>
              <w:rPr>
                <w:rFonts w:ascii="Calibri" w:eastAsia="Calibri" w:hAnsi="Calibri" w:cs="Calibri"/>
                <w:lang w:val="es-PR"/>
              </w:rPr>
              <w:t>32.00%</w:t>
            </w:r>
          </w:p>
        </w:tc>
        <w:tc>
          <w:tcPr>
            <w:tcW w:w="1485" w:type="dxa"/>
          </w:tcPr>
          <w:p w14:paraId="6B54309C" w14:textId="5C992205" w:rsidR="255BAFEA" w:rsidRDefault="0097638D" w:rsidP="00F318C1">
            <w:pPr>
              <w:jc w:val="center"/>
              <w:rPr>
                <w:rFonts w:ascii="Calibri" w:eastAsia="Calibri" w:hAnsi="Calibri" w:cs="Calibri"/>
              </w:rPr>
            </w:pPr>
            <w:r>
              <w:rPr>
                <w:rFonts w:ascii="Calibri" w:eastAsia="Calibri" w:hAnsi="Calibri" w:cs="Calibri"/>
                <w:lang w:val="es-PR"/>
              </w:rPr>
              <w:t>34.00%</w:t>
            </w:r>
          </w:p>
        </w:tc>
        <w:tc>
          <w:tcPr>
            <w:tcW w:w="1485" w:type="dxa"/>
          </w:tcPr>
          <w:p w14:paraId="7BAF75C9" w14:textId="31E480B2" w:rsidR="255BAFEA" w:rsidRDefault="0097638D" w:rsidP="00F318C1">
            <w:pPr>
              <w:jc w:val="center"/>
              <w:rPr>
                <w:rFonts w:ascii="Calibri" w:eastAsia="Calibri" w:hAnsi="Calibri" w:cs="Calibri"/>
              </w:rPr>
            </w:pPr>
            <w:r>
              <w:rPr>
                <w:rFonts w:ascii="Calibri" w:eastAsia="Calibri" w:hAnsi="Calibri" w:cs="Calibri"/>
                <w:lang w:val="es-PR"/>
              </w:rPr>
              <w:t>34.00%</w:t>
            </w:r>
          </w:p>
        </w:tc>
        <w:tc>
          <w:tcPr>
            <w:tcW w:w="1485" w:type="dxa"/>
          </w:tcPr>
          <w:p w14:paraId="22A5AB79" w14:textId="2629FFB0" w:rsidR="255BAFEA" w:rsidRDefault="0097638D" w:rsidP="00F318C1">
            <w:pPr>
              <w:jc w:val="center"/>
              <w:rPr>
                <w:rFonts w:ascii="Calibri" w:eastAsia="Calibri" w:hAnsi="Calibri" w:cs="Calibri"/>
              </w:rPr>
            </w:pPr>
            <w:r>
              <w:rPr>
                <w:rFonts w:ascii="Calibri" w:eastAsia="Calibri" w:hAnsi="Calibri" w:cs="Calibri"/>
                <w:lang w:val="es-PR"/>
              </w:rPr>
              <w:t>36.00%</w:t>
            </w:r>
          </w:p>
        </w:tc>
        <w:tc>
          <w:tcPr>
            <w:tcW w:w="1485" w:type="dxa"/>
          </w:tcPr>
          <w:p w14:paraId="699D974D" w14:textId="1D561734" w:rsidR="255BAFEA" w:rsidRDefault="0097638D" w:rsidP="00F318C1">
            <w:pPr>
              <w:jc w:val="center"/>
              <w:rPr>
                <w:rFonts w:ascii="Calibri" w:eastAsia="Calibri" w:hAnsi="Calibri" w:cs="Calibri"/>
              </w:rPr>
            </w:pPr>
            <w:r>
              <w:rPr>
                <w:rFonts w:ascii="Calibri" w:eastAsia="Calibri" w:hAnsi="Calibri" w:cs="Calibri"/>
                <w:lang w:val="es-PR"/>
              </w:rPr>
              <w:t>36.00%</w:t>
            </w:r>
          </w:p>
        </w:tc>
      </w:tr>
      <w:tr w:rsidR="255BAFEA" w14:paraId="1767AAC2" w14:textId="77777777" w:rsidTr="009A6A83">
        <w:trPr>
          <w:tblHeader/>
        </w:trPr>
        <w:tc>
          <w:tcPr>
            <w:tcW w:w="2065" w:type="dxa"/>
          </w:tcPr>
          <w:p w14:paraId="313BC590" w14:textId="61AE9A2D" w:rsidR="255BAFEA" w:rsidRDefault="255BAFEA" w:rsidP="009A6A83">
            <w:pPr>
              <w:jc w:val="center"/>
              <w:rPr>
                <w:rFonts w:ascii="Calibri" w:eastAsia="Calibri" w:hAnsi="Calibri" w:cs="Calibri"/>
              </w:rPr>
            </w:pPr>
            <w:r>
              <w:rPr>
                <w:rFonts w:ascii="Calibri" w:eastAsia="Calibri" w:hAnsi="Calibri" w:cs="Calibri"/>
                <w:lang w:val="es-PR"/>
              </w:rPr>
              <w:t>Objetivos para 14B ≥</w:t>
            </w:r>
          </w:p>
        </w:tc>
        <w:tc>
          <w:tcPr>
            <w:tcW w:w="1215" w:type="dxa"/>
          </w:tcPr>
          <w:p w14:paraId="26CD30BE" w14:textId="34360C39" w:rsidR="255BAFEA" w:rsidRDefault="0097638D" w:rsidP="00F318C1">
            <w:pPr>
              <w:jc w:val="center"/>
              <w:rPr>
                <w:rFonts w:ascii="Calibri" w:eastAsia="Calibri" w:hAnsi="Calibri" w:cs="Calibri"/>
              </w:rPr>
            </w:pPr>
            <w:r>
              <w:rPr>
                <w:rFonts w:ascii="Calibri" w:eastAsia="Calibri" w:hAnsi="Calibri" w:cs="Calibri"/>
                <w:lang w:val="es-PR"/>
              </w:rPr>
              <w:t>56.00%</w:t>
            </w:r>
          </w:p>
        </w:tc>
        <w:tc>
          <w:tcPr>
            <w:tcW w:w="1485" w:type="dxa"/>
          </w:tcPr>
          <w:p w14:paraId="478A9E83" w14:textId="15E214E0" w:rsidR="255BAFEA" w:rsidRDefault="0097638D" w:rsidP="00F318C1">
            <w:pPr>
              <w:jc w:val="center"/>
              <w:rPr>
                <w:rFonts w:ascii="Calibri" w:eastAsia="Calibri" w:hAnsi="Calibri" w:cs="Calibri"/>
              </w:rPr>
            </w:pPr>
            <w:r>
              <w:rPr>
                <w:rFonts w:ascii="Calibri" w:eastAsia="Calibri" w:hAnsi="Calibri" w:cs="Calibri"/>
                <w:lang w:val="es-PR"/>
              </w:rPr>
              <w:t>56.00%</w:t>
            </w:r>
          </w:p>
        </w:tc>
        <w:tc>
          <w:tcPr>
            <w:tcW w:w="1485" w:type="dxa"/>
          </w:tcPr>
          <w:p w14:paraId="5DCCB902" w14:textId="79BB0BA1" w:rsidR="255BAFEA" w:rsidRDefault="0097638D" w:rsidP="00F318C1">
            <w:pPr>
              <w:jc w:val="center"/>
              <w:rPr>
                <w:rFonts w:ascii="Calibri" w:eastAsia="Calibri" w:hAnsi="Calibri" w:cs="Calibri"/>
              </w:rPr>
            </w:pPr>
            <w:r>
              <w:rPr>
                <w:rFonts w:ascii="Calibri" w:eastAsia="Calibri" w:hAnsi="Calibri" w:cs="Calibri"/>
                <w:lang w:val="es-PR"/>
              </w:rPr>
              <w:t>58.00%</w:t>
            </w:r>
          </w:p>
        </w:tc>
        <w:tc>
          <w:tcPr>
            <w:tcW w:w="1485" w:type="dxa"/>
          </w:tcPr>
          <w:p w14:paraId="39C30CF6" w14:textId="27DBAF65" w:rsidR="255BAFEA" w:rsidRDefault="0097638D" w:rsidP="00F318C1">
            <w:pPr>
              <w:jc w:val="center"/>
              <w:rPr>
                <w:rFonts w:ascii="Calibri" w:eastAsia="Calibri" w:hAnsi="Calibri" w:cs="Calibri"/>
              </w:rPr>
            </w:pPr>
            <w:r>
              <w:rPr>
                <w:rFonts w:ascii="Calibri" w:eastAsia="Calibri" w:hAnsi="Calibri" w:cs="Calibri"/>
                <w:lang w:val="es-PR"/>
              </w:rPr>
              <w:t>58.00%</w:t>
            </w:r>
          </w:p>
        </w:tc>
        <w:tc>
          <w:tcPr>
            <w:tcW w:w="1485" w:type="dxa"/>
          </w:tcPr>
          <w:p w14:paraId="234A63F1" w14:textId="3442C04E" w:rsidR="255BAFEA" w:rsidRDefault="0097638D" w:rsidP="00F318C1">
            <w:pPr>
              <w:jc w:val="center"/>
              <w:rPr>
                <w:rFonts w:ascii="Calibri" w:eastAsia="Calibri" w:hAnsi="Calibri" w:cs="Calibri"/>
              </w:rPr>
            </w:pPr>
            <w:r>
              <w:rPr>
                <w:rFonts w:ascii="Calibri" w:eastAsia="Calibri" w:hAnsi="Calibri" w:cs="Calibri"/>
                <w:lang w:val="es-PR"/>
              </w:rPr>
              <w:t>60.00%</w:t>
            </w:r>
          </w:p>
        </w:tc>
        <w:tc>
          <w:tcPr>
            <w:tcW w:w="1485" w:type="dxa"/>
          </w:tcPr>
          <w:p w14:paraId="472870F6" w14:textId="236CBB31" w:rsidR="255BAFEA" w:rsidRDefault="0097638D" w:rsidP="00F318C1">
            <w:pPr>
              <w:jc w:val="center"/>
              <w:rPr>
                <w:rFonts w:ascii="Calibri" w:eastAsia="Calibri" w:hAnsi="Calibri" w:cs="Calibri"/>
              </w:rPr>
            </w:pPr>
            <w:r>
              <w:rPr>
                <w:rFonts w:ascii="Calibri" w:eastAsia="Calibri" w:hAnsi="Calibri" w:cs="Calibri"/>
                <w:lang w:val="es-PR"/>
              </w:rPr>
              <w:t>60.00%</w:t>
            </w:r>
          </w:p>
        </w:tc>
      </w:tr>
      <w:tr w:rsidR="255BAFEA" w14:paraId="596D596B" w14:textId="77777777" w:rsidTr="009A6A83">
        <w:trPr>
          <w:tblHeader/>
        </w:trPr>
        <w:tc>
          <w:tcPr>
            <w:tcW w:w="2065" w:type="dxa"/>
          </w:tcPr>
          <w:p w14:paraId="07745EDE" w14:textId="22338FEE" w:rsidR="255BAFEA" w:rsidRDefault="255BAFEA" w:rsidP="009A6A83">
            <w:pPr>
              <w:jc w:val="center"/>
              <w:rPr>
                <w:rFonts w:ascii="Calibri" w:eastAsia="Calibri" w:hAnsi="Calibri" w:cs="Calibri"/>
              </w:rPr>
            </w:pPr>
            <w:r>
              <w:rPr>
                <w:rFonts w:ascii="Calibri" w:eastAsia="Calibri" w:hAnsi="Calibri" w:cs="Calibri"/>
                <w:lang w:val="es-PR"/>
              </w:rPr>
              <w:t>Objetivos para 14C ≥</w:t>
            </w:r>
          </w:p>
        </w:tc>
        <w:tc>
          <w:tcPr>
            <w:tcW w:w="1215" w:type="dxa"/>
          </w:tcPr>
          <w:p w14:paraId="54AEFD22" w14:textId="187FB84F" w:rsidR="255BAFEA" w:rsidRDefault="00A139EC" w:rsidP="00F318C1">
            <w:pPr>
              <w:jc w:val="center"/>
              <w:rPr>
                <w:rFonts w:ascii="Calibri" w:eastAsia="Calibri" w:hAnsi="Calibri" w:cs="Calibri"/>
              </w:rPr>
            </w:pPr>
            <w:r>
              <w:rPr>
                <w:rFonts w:ascii="Calibri" w:eastAsia="Calibri" w:hAnsi="Calibri" w:cs="Calibri"/>
                <w:lang w:val="es-PR"/>
              </w:rPr>
              <w:t>74.00%</w:t>
            </w:r>
          </w:p>
        </w:tc>
        <w:tc>
          <w:tcPr>
            <w:tcW w:w="1485" w:type="dxa"/>
          </w:tcPr>
          <w:p w14:paraId="2655E58F" w14:textId="77B2E81A" w:rsidR="255BAFEA" w:rsidRDefault="00A139EC" w:rsidP="00F318C1">
            <w:pPr>
              <w:jc w:val="center"/>
              <w:rPr>
                <w:rFonts w:ascii="Calibri" w:eastAsia="Calibri" w:hAnsi="Calibri" w:cs="Calibri"/>
              </w:rPr>
            </w:pPr>
            <w:r>
              <w:rPr>
                <w:rFonts w:ascii="Calibri" w:eastAsia="Calibri" w:hAnsi="Calibri" w:cs="Calibri"/>
                <w:lang w:val="es-PR"/>
              </w:rPr>
              <w:t>74.00%</w:t>
            </w:r>
          </w:p>
        </w:tc>
        <w:tc>
          <w:tcPr>
            <w:tcW w:w="1485" w:type="dxa"/>
          </w:tcPr>
          <w:p w14:paraId="324BAC00" w14:textId="17BA1C52" w:rsidR="255BAFEA" w:rsidRDefault="00A139EC" w:rsidP="00F318C1">
            <w:pPr>
              <w:jc w:val="center"/>
              <w:rPr>
                <w:rFonts w:ascii="Calibri" w:eastAsia="Calibri" w:hAnsi="Calibri" w:cs="Calibri"/>
              </w:rPr>
            </w:pPr>
            <w:r>
              <w:rPr>
                <w:rFonts w:ascii="Calibri" w:eastAsia="Calibri" w:hAnsi="Calibri" w:cs="Calibri"/>
                <w:lang w:val="es-PR"/>
              </w:rPr>
              <w:t>76.00%</w:t>
            </w:r>
          </w:p>
        </w:tc>
        <w:tc>
          <w:tcPr>
            <w:tcW w:w="1485" w:type="dxa"/>
          </w:tcPr>
          <w:p w14:paraId="7CF91FB7" w14:textId="6897DCB6" w:rsidR="255BAFEA" w:rsidRDefault="00A139EC" w:rsidP="00F318C1">
            <w:pPr>
              <w:jc w:val="center"/>
              <w:rPr>
                <w:rFonts w:ascii="Calibri" w:eastAsia="Calibri" w:hAnsi="Calibri" w:cs="Calibri"/>
              </w:rPr>
            </w:pPr>
            <w:r>
              <w:rPr>
                <w:rFonts w:ascii="Calibri" w:eastAsia="Calibri" w:hAnsi="Calibri" w:cs="Calibri"/>
                <w:lang w:val="es-PR"/>
              </w:rPr>
              <w:t>76.00%</w:t>
            </w:r>
          </w:p>
        </w:tc>
        <w:tc>
          <w:tcPr>
            <w:tcW w:w="1485" w:type="dxa"/>
          </w:tcPr>
          <w:p w14:paraId="1A2B19EA" w14:textId="7FD8411B" w:rsidR="255BAFEA" w:rsidRDefault="00A139EC" w:rsidP="00F318C1">
            <w:pPr>
              <w:jc w:val="center"/>
              <w:rPr>
                <w:rFonts w:ascii="Calibri" w:eastAsia="Calibri" w:hAnsi="Calibri" w:cs="Calibri"/>
              </w:rPr>
            </w:pPr>
            <w:r>
              <w:rPr>
                <w:rFonts w:ascii="Calibri" w:eastAsia="Calibri" w:hAnsi="Calibri" w:cs="Calibri"/>
                <w:lang w:val="es-PR"/>
              </w:rPr>
              <w:t>78.00%</w:t>
            </w:r>
          </w:p>
        </w:tc>
        <w:tc>
          <w:tcPr>
            <w:tcW w:w="1485" w:type="dxa"/>
          </w:tcPr>
          <w:p w14:paraId="7B8371F5" w14:textId="7F61CDD0" w:rsidR="255BAFEA" w:rsidRDefault="00A139EC" w:rsidP="00F318C1">
            <w:pPr>
              <w:jc w:val="center"/>
              <w:rPr>
                <w:rFonts w:ascii="Calibri" w:eastAsia="Calibri" w:hAnsi="Calibri" w:cs="Calibri"/>
              </w:rPr>
            </w:pPr>
            <w:r>
              <w:rPr>
                <w:rFonts w:ascii="Calibri" w:eastAsia="Calibri" w:hAnsi="Calibri" w:cs="Calibri"/>
                <w:lang w:val="es-PR"/>
              </w:rPr>
              <w:t>78.00%</w:t>
            </w:r>
          </w:p>
        </w:tc>
      </w:tr>
    </w:tbl>
    <w:p w14:paraId="39EEFF5C" w14:textId="52D2F1D8" w:rsidR="31504613" w:rsidRPr="00A20D25" w:rsidRDefault="31504613" w:rsidP="00F318C1">
      <w:pPr>
        <w:spacing w:before="120" w:after="0" w:line="240" w:lineRule="auto"/>
        <w:rPr>
          <w:rFonts w:ascii="Calibri" w:eastAsia="Calibri" w:hAnsi="Calibri" w:cs="Calibri"/>
          <w:color w:val="408740"/>
          <w:sz w:val="24"/>
          <w:szCs w:val="24"/>
          <w:lang w:val="es-MX"/>
        </w:rPr>
      </w:pPr>
      <w:r>
        <w:rPr>
          <w:rFonts w:ascii="Calibri" w:eastAsia="Calibri" w:hAnsi="Calibri" w:cs="Calibri"/>
          <w:b/>
          <w:bCs/>
          <w:color w:val="408740"/>
          <w:sz w:val="24"/>
          <w:szCs w:val="24"/>
          <w:lang w:val="es-PR"/>
        </w:rPr>
        <w:t>Ejemplo B.</w:t>
      </w:r>
      <w:r>
        <w:rPr>
          <w:rFonts w:ascii="Calibri" w:eastAsia="Calibri" w:hAnsi="Calibri" w:cs="Calibri"/>
          <w:color w:val="408740"/>
          <w:sz w:val="24"/>
          <w:szCs w:val="24"/>
          <w:lang w:val="es-PR"/>
        </w:rPr>
        <w:t xml:space="preserve"> </w:t>
      </w:r>
      <w:r>
        <w:rPr>
          <w:rFonts w:ascii="Calibri" w:eastAsia="Calibri" w:hAnsi="Calibri" w:cs="Calibri"/>
          <w:color w:val="000000" w:themeColor="text1"/>
          <w:sz w:val="24"/>
          <w:szCs w:val="24"/>
          <w:lang w:val="es-PR"/>
        </w:rPr>
        <w:t>El ejemplo B muestra más crecimiento.</w:t>
      </w:r>
    </w:p>
    <w:tbl>
      <w:tblPr>
        <w:tblStyle w:val="TableGrid"/>
        <w:tblW w:w="0" w:type="auto"/>
        <w:tblLayout w:type="fixed"/>
        <w:tblLook w:val="04A0" w:firstRow="1" w:lastRow="0" w:firstColumn="1" w:lastColumn="0" w:noHBand="0" w:noVBand="1"/>
        <w:tblCaption w:val="Example Targets"/>
        <w:tblDescription w:val="This table shows one set of targets that Oregon could use for the FFY 2020-2025 State Performance Plan."/>
      </w:tblPr>
      <w:tblGrid>
        <w:gridCol w:w="2065"/>
        <w:gridCol w:w="1215"/>
        <w:gridCol w:w="1485"/>
        <w:gridCol w:w="1485"/>
        <w:gridCol w:w="1485"/>
        <w:gridCol w:w="1485"/>
        <w:gridCol w:w="1485"/>
      </w:tblGrid>
      <w:tr w:rsidR="255BAFEA" w14:paraId="36C31074" w14:textId="77777777" w:rsidTr="009A6A83">
        <w:trPr>
          <w:tblHeader/>
        </w:trPr>
        <w:tc>
          <w:tcPr>
            <w:tcW w:w="2065" w:type="dxa"/>
            <w:shd w:val="clear" w:color="auto" w:fill="FFD966" w:themeFill="accent4" w:themeFillTint="99"/>
          </w:tcPr>
          <w:p w14:paraId="1ECF530F" w14:textId="5D20D6B5" w:rsidR="255BAFEA" w:rsidRDefault="255BAFEA" w:rsidP="00F318C1">
            <w:pPr>
              <w:jc w:val="center"/>
              <w:rPr>
                <w:rFonts w:ascii="Calibri" w:eastAsia="Calibri" w:hAnsi="Calibri" w:cs="Calibri"/>
              </w:rPr>
            </w:pPr>
            <w:r>
              <w:rPr>
                <w:rFonts w:ascii="Calibri" w:eastAsia="Calibri" w:hAnsi="Calibri" w:cs="Calibri"/>
                <w:b/>
                <w:bCs/>
                <w:lang w:val="es-PR"/>
              </w:rPr>
              <w:t>Años fiscales</w:t>
            </w:r>
          </w:p>
        </w:tc>
        <w:tc>
          <w:tcPr>
            <w:tcW w:w="1215" w:type="dxa"/>
            <w:shd w:val="clear" w:color="auto" w:fill="FFD966" w:themeFill="accent4" w:themeFillTint="99"/>
          </w:tcPr>
          <w:p w14:paraId="66D7EBEA" w14:textId="2B281215" w:rsidR="4BB76A98" w:rsidRDefault="4BB76A98" w:rsidP="00F318C1">
            <w:pPr>
              <w:jc w:val="center"/>
              <w:rPr>
                <w:rFonts w:ascii="Calibri" w:eastAsia="Calibri" w:hAnsi="Calibri" w:cs="Calibri"/>
                <w:b/>
                <w:bCs/>
              </w:rPr>
            </w:pPr>
            <w:r>
              <w:rPr>
                <w:rFonts w:ascii="Calibri" w:eastAsia="Calibri" w:hAnsi="Calibri" w:cs="Calibri"/>
                <w:b/>
                <w:bCs/>
                <w:lang w:val="es-PR"/>
              </w:rPr>
              <w:t>2020</w:t>
            </w:r>
          </w:p>
        </w:tc>
        <w:tc>
          <w:tcPr>
            <w:tcW w:w="1485" w:type="dxa"/>
            <w:shd w:val="clear" w:color="auto" w:fill="FFD966" w:themeFill="accent4" w:themeFillTint="99"/>
          </w:tcPr>
          <w:p w14:paraId="11D5334E" w14:textId="1871A870" w:rsidR="4BB76A98" w:rsidRDefault="4BB76A98" w:rsidP="00F318C1">
            <w:pPr>
              <w:jc w:val="center"/>
              <w:rPr>
                <w:rFonts w:ascii="Calibri" w:eastAsia="Calibri" w:hAnsi="Calibri" w:cs="Calibri"/>
              </w:rPr>
            </w:pPr>
            <w:r>
              <w:rPr>
                <w:rFonts w:ascii="Calibri" w:eastAsia="Calibri" w:hAnsi="Calibri" w:cs="Calibri"/>
                <w:b/>
                <w:bCs/>
                <w:lang w:val="es-PR"/>
              </w:rPr>
              <w:t>2021</w:t>
            </w:r>
          </w:p>
        </w:tc>
        <w:tc>
          <w:tcPr>
            <w:tcW w:w="1485" w:type="dxa"/>
            <w:shd w:val="clear" w:color="auto" w:fill="FFD966" w:themeFill="accent4" w:themeFillTint="99"/>
          </w:tcPr>
          <w:p w14:paraId="02091FC8" w14:textId="13E00F2E" w:rsidR="4BB76A98" w:rsidRDefault="4BB76A98" w:rsidP="00F318C1">
            <w:pPr>
              <w:jc w:val="center"/>
              <w:rPr>
                <w:rFonts w:ascii="Calibri" w:eastAsia="Calibri" w:hAnsi="Calibri" w:cs="Calibri"/>
              </w:rPr>
            </w:pPr>
            <w:r>
              <w:rPr>
                <w:rFonts w:ascii="Calibri" w:eastAsia="Calibri" w:hAnsi="Calibri" w:cs="Calibri"/>
                <w:b/>
                <w:bCs/>
                <w:lang w:val="es-PR"/>
              </w:rPr>
              <w:t>2022</w:t>
            </w:r>
          </w:p>
        </w:tc>
        <w:tc>
          <w:tcPr>
            <w:tcW w:w="1485" w:type="dxa"/>
            <w:shd w:val="clear" w:color="auto" w:fill="FFD966" w:themeFill="accent4" w:themeFillTint="99"/>
          </w:tcPr>
          <w:p w14:paraId="2DD64213" w14:textId="7C4601FA" w:rsidR="4BB76A98" w:rsidRDefault="4BB76A98" w:rsidP="00F318C1">
            <w:pPr>
              <w:jc w:val="center"/>
              <w:rPr>
                <w:rFonts w:ascii="Calibri" w:eastAsia="Calibri" w:hAnsi="Calibri" w:cs="Calibri"/>
              </w:rPr>
            </w:pPr>
            <w:r>
              <w:rPr>
                <w:rFonts w:ascii="Calibri" w:eastAsia="Calibri" w:hAnsi="Calibri" w:cs="Calibri"/>
                <w:b/>
                <w:bCs/>
                <w:lang w:val="es-PR"/>
              </w:rPr>
              <w:t>2023</w:t>
            </w:r>
          </w:p>
        </w:tc>
        <w:tc>
          <w:tcPr>
            <w:tcW w:w="1485" w:type="dxa"/>
            <w:shd w:val="clear" w:color="auto" w:fill="FFD966" w:themeFill="accent4" w:themeFillTint="99"/>
          </w:tcPr>
          <w:p w14:paraId="571A458F" w14:textId="55FF4EBA" w:rsidR="4BB76A98" w:rsidRDefault="4BB76A98" w:rsidP="00F318C1">
            <w:pPr>
              <w:jc w:val="center"/>
              <w:rPr>
                <w:rFonts w:ascii="Calibri" w:eastAsia="Calibri" w:hAnsi="Calibri" w:cs="Calibri"/>
              </w:rPr>
            </w:pPr>
            <w:r>
              <w:rPr>
                <w:rFonts w:ascii="Calibri" w:eastAsia="Calibri" w:hAnsi="Calibri" w:cs="Calibri"/>
                <w:b/>
                <w:bCs/>
                <w:lang w:val="es-PR"/>
              </w:rPr>
              <w:t>2024</w:t>
            </w:r>
          </w:p>
        </w:tc>
        <w:tc>
          <w:tcPr>
            <w:tcW w:w="1485" w:type="dxa"/>
            <w:shd w:val="clear" w:color="auto" w:fill="FFD966" w:themeFill="accent4" w:themeFillTint="99"/>
          </w:tcPr>
          <w:p w14:paraId="2579CA00" w14:textId="2277E88B" w:rsidR="4BB76A98" w:rsidRDefault="4BB76A98" w:rsidP="00F318C1">
            <w:pPr>
              <w:jc w:val="center"/>
              <w:rPr>
                <w:rFonts w:ascii="Calibri" w:eastAsia="Calibri" w:hAnsi="Calibri" w:cs="Calibri"/>
              </w:rPr>
            </w:pPr>
            <w:r>
              <w:rPr>
                <w:rFonts w:ascii="Calibri" w:eastAsia="Calibri" w:hAnsi="Calibri" w:cs="Calibri"/>
                <w:b/>
                <w:bCs/>
                <w:lang w:val="es-PR"/>
              </w:rPr>
              <w:t>2025</w:t>
            </w:r>
          </w:p>
        </w:tc>
      </w:tr>
      <w:tr w:rsidR="255BAFEA" w14:paraId="28F43C79" w14:textId="77777777" w:rsidTr="009A6A83">
        <w:tc>
          <w:tcPr>
            <w:tcW w:w="2065" w:type="dxa"/>
          </w:tcPr>
          <w:p w14:paraId="29A550CF" w14:textId="247EF85A" w:rsidR="255BAFEA" w:rsidRDefault="255BAFEA" w:rsidP="009A6A83">
            <w:pPr>
              <w:jc w:val="center"/>
              <w:rPr>
                <w:rFonts w:ascii="Calibri" w:eastAsia="Calibri" w:hAnsi="Calibri" w:cs="Calibri"/>
              </w:rPr>
            </w:pPr>
            <w:r>
              <w:rPr>
                <w:rFonts w:ascii="Calibri" w:eastAsia="Calibri" w:hAnsi="Calibri" w:cs="Calibri"/>
                <w:lang w:val="es-PR"/>
              </w:rPr>
              <w:t>Objetivos para 14A ≥</w:t>
            </w:r>
          </w:p>
        </w:tc>
        <w:tc>
          <w:tcPr>
            <w:tcW w:w="1215" w:type="dxa"/>
          </w:tcPr>
          <w:p w14:paraId="45952E14" w14:textId="0AC4D58C" w:rsidR="255BAFEA" w:rsidRDefault="00F318C1" w:rsidP="00F318C1">
            <w:pPr>
              <w:jc w:val="center"/>
              <w:rPr>
                <w:rFonts w:ascii="Calibri" w:eastAsia="Calibri" w:hAnsi="Calibri" w:cs="Calibri"/>
              </w:rPr>
            </w:pPr>
            <w:r>
              <w:rPr>
                <w:rFonts w:ascii="Calibri" w:eastAsia="Calibri" w:hAnsi="Calibri" w:cs="Calibri"/>
                <w:lang w:val="es-PR"/>
              </w:rPr>
              <w:t>32.00%</w:t>
            </w:r>
          </w:p>
        </w:tc>
        <w:tc>
          <w:tcPr>
            <w:tcW w:w="1485" w:type="dxa"/>
          </w:tcPr>
          <w:p w14:paraId="5B9F93B0" w14:textId="3C41236B" w:rsidR="255BAFEA" w:rsidRDefault="00F318C1" w:rsidP="00F318C1">
            <w:pPr>
              <w:jc w:val="center"/>
              <w:rPr>
                <w:rFonts w:ascii="Calibri" w:eastAsia="Calibri" w:hAnsi="Calibri" w:cs="Calibri"/>
              </w:rPr>
            </w:pPr>
            <w:r>
              <w:rPr>
                <w:rFonts w:ascii="Calibri" w:eastAsia="Calibri" w:hAnsi="Calibri" w:cs="Calibri"/>
                <w:lang w:val="es-PR"/>
              </w:rPr>
              <w:t>33.00%</w:t>
            </w:r>
          </w:p>
        </w:tc>
        <w:tc>
          <w:tcPr>
            <w:tcW w:w="1485" w:type="dxa"/>
          </w:tcPr>
          <w:p w14:paraId="5F4E3539" w14:textId="29F88542" w:rsidR="255BAFEA" w:rsidRDefault="00F318C1" w:rsidP="00F318C1">
            <w:pPr>
              <w:jc w:val="center"/>
              <w:rPr>
                <w:rFonts w:ascii="Calibri" w:eastAsia="Calibri" w:hAnsi="Calibri" w:cs="Calibri"/>
              </w:rPr>
            </w:pPr>
            <w:r>
              <w:rPr>
                <w:rFonts w:ascii="Calibri" w:eastAsia="Calibri" w:hAnsi="Calibri" w:cs="Calibri"/>
                <w:lang w:val="es-PR"/>
              </w:rPr>
              <w:t>34.00%</w:t>
            </w:r>
          </w:p>
        </w:tc>
        <w:tc>
          <w:tcPr>
            <w:tcW w:w="1485" w:type="dxa"/>
          </w:tcPr>
          <w:p w14:paraId="3A478066" w14:textId="3E1CF018" w:rsidR="255BAFEA" w:rsidRDefault="00F318C1" w:rsidP="00F318C1">
            <w:pPr>
              <w:jc w:val="center"/>
              <w:rPr>
                <w:rFonts w:ascii="Calibri" w:eastAsia="Calibri" w:hAnsi="Calibri" w:cs="Calibri"/>
              </w:rPr>
            </w:pPr>
            <w:r>
              <w:rPr>
                <w:rFonts w:ascii="Calibri" w:eastAsia="Calibri" w:hAnsi="Calibri" w:cs="Calibri"/>
                <w:lang w:val="es-PR"/>
              </w:rPr>
              <w:t>35.00%</w:t>
            </w:r>
          </w:p>
        </w:tc>
        <w:tc>
          <w:tcPr>
            <w:tcW w:w="1485" w:type="dxa"/>
          </w:tcPr>
          <w:p w14:paraId="4B190F78" w14:textId="7733AE9E" w:rsidR="255BAFEA" w:rsidRDefault="00F318C1" w:rsidP="00F318C1">
            <w:pPr>
              <w:jc w:val="center"/>
              <w:rPr>
                <w:rFonts w:ascii="Calibri" w:eastAsia="Calibri" w:hAnsi="Calibri" w:cs="Calibri"/>
              </w:rPr>
            </w:pPr>
            <w:r>
              <w:rPr>
                <w:rFonts w:ascii="Calibri" w:eastAsia="Calibri" w:hAnsi="Calibri" w:cs="Calibri"/>
                <w:lang w:val="es-PR"/>
              </w:rPr>
              <w:t>36.00%</w:t>
            </w:r>
          </w:p>
        </w:tc>
        <w:tc>
          <w:tcPr>
            <w:tcW w:w="1485" w:type="dxa"/>
          </w:tcPr>
          <w:p w14:paraId="52EA2190" w14:textId="14BEE4CD" w:rsidR="255BAFEA" w:rsidRDefault="00F318C1" w:rsidP="00F318C1">
            <w:pPr>
              <w:jc w:val="center"/>
              <w:rPr>
                <w:rFonts w:ascii="Calibri" w:eastAsia="Calibri" w:hAnsi="Calibri" w:cs="Calibri"/>
              </w:rPr>
            </w:pPr>
            <w:r>
              <w:rPr>
                <w:rFonts w:ascii="Calibri" w:eastAsia="Calibri" w:hAnsi="Calibri" w:cs="Calibri"/>
                <w:lang w:val="es-PR"/>
              </w:rPr>
              <w:t>37.00%</w:t>
            </w:r>
          </w:p>
        </w:tc>
      </w:tr>
      <w:tr w:rsidR="255BAFEA" w14:paraId="5C722184" w14:textId="77777777" w:rsidTr="009A6A83">
        <w:tc>
          <w:tcPr>
            <w:tcW w:w="2065" w:type="dxa"/>
          </w:tcPr>
          <w:p w14:paraId="3CF8DD9F" w14:textId="0929CD87" w:rsidR="255BAFEA" w:rsidRDefault="255BAFEA" w:rsidP="009A6A83">
            <w:pPr>
              <w:jc w:val="center"/>
              <w:rPr>
                <w:rFonts w:ascii="Calibri" w:eastAsia="Calibri" w:hAnsi="Calibri" w:cs="Calibri"/>
              </w:rPr>
            </w:pPr>
            <w:r>
              <w:rPr>
                <w:rFonts w:ascii="Calibri" w:eastAsia="Calibri" w:hAnsi="Calibri" w:cs="Calibri"/>
                <w:lang w:val="es-PR"/>
              </w:rPr>
              <w:t>Objetivos para 14B ≥</w:t>
            </w:r>
          </w:p>
        </w:tc>
        <w:tc>
          <w:tcPr>
            <w:tcW w:w="1215" w:type="dxa"/>
          </w:tcPr>
          <w:p w14:paraId="32154B03" w14:textId="7A5C5A9F" w:rsidR="255BAFEA" w:rsidRDefault="00F318C1" w:rsidP="00F318C1">
            <w:pPr>
              <w:jc w:val="center"/>
              <w:rPr>
                <w:rFonts w:ascii="Calibri" w:eastAsia="Calibri" w:hAnsi="Calibri" w:cs="Calibri"/>
              </w:rPr>
            </w:pPr>
            <w:r>
              <w:rPr>
                <w:rFonts w:ascii="Calibri" w:eastAsia="Calibri" w:hAnsi="Calibri" w:cs="Calibri"/>
                <w:lang w:val="es-PR"/>
              </w:rPr>
              <w:t>56.00%</w:t>
            </w:r>
          </w:p>
        </w:tc>
        <w:tc>
          <w:tcPr>
            <w:tcW w:w="1485" w:type="dxa"/>
          </w:tcPr>
          <w:p w14:paraId="1FAC3F1F" w14:textId="77779C3A" w:rsidR="255BAFEA" w:rsidRDefault="00F318C1" w:rsidP="00F318C1">
            <w:pPr>
              <w:jc w:val="center"/>
              <w:rPr>
                <w:rFonts w:ascii="Calibri" w:eastAsia="Calibri" w:hAnsi="Calibri" w:cs="Calibri"/>
              </w:rPr>
            </w:pPr>
            <w:r>
              <w:rPr>
                <w:rFonts w:ascii="Calibri" w:eastAsia="Calibri" w:hAnsi="Calibri" w:cs="Calibri"/>
                <w:lang w:val="es-PR"/>
              </w:rPr>
              <w:t>57.00%</w:t>
            </w:r>
          </w:p>
        </w:tc>
        <w:tc>
          <w:tcPr>
            <w:tcW w:w="1485" w:type="dxa"/>
          </w:tcPr>
          <w:p w14:paraId="328BB30B" w14:textId="296ACEAE" w:rsidR="255BAFEA" w:rsidRDefault="00F318C1" w:rsidP="00F318C1">
            <w:pPr>
              <w:jc w:val="center"/>
              <w:rPr>
                <w:rFonts w:ascii="Calibri" w:eastAsia="Calibri" w:hAnsi="Calibri" w:cs="Calibri"/>
              </w:rPr>
            </w:pPr>
            <w:r>
              <w:rPr>
                <w:rFonts w:ascii="Calibri" w:eastAsia="Calibri" w:hAnsi="Calibri" w:cs="Calibri"/>
                <w:lang w:val="es-PR"/>
              </w:rPr>
              <w:t>58.00%</w:t>
            </w:r>
          </w:p>
        </w:tc>
        <w:tc>
          <w:tcPr>
            <w:tcW w:w="1485" w:type="dxa"/>
          </w:tcPr>
          <w:p w14:paraId="1A6FE7BE" w14:textId="3315BD74" w:rsidR="255BAFEA" w:rsidRDefault="00F318C1" w:rsidP="00F318C1">
            <w:pPr>
              <w:jc w:val="center"/>
              <w:rPr>
                <w:rFonts w:ascii="Calibri" w:eastAsia="Calibri" w:hAnsi="Calibri" w:cs="Calibri"/>
              </w:rPr>
            </w:pPr>
            <w:r>
              <w:rPr>
                <w:rFonts w:ascii="Calibri" w:eastAsia="Calibri" w:hAnsi="Calibri" w:cs="Calibri"/>
                <w:lang w:val="es-PR"/>
              </w:rPr>
              <w:t>60.00%</w:t>
            </w:r>
          </w:p>
        </w:tc>
        <w:tc>
          <w:tcPr>
            <w:tcW w:w="1485" w:type="dxa"/>
          </w:tcPr>
          <w:p w14:paraId="3D613D17" w14:textId="47231D76" w:rsidR="255BAFEA" w:rsidRDefault="00F318C1" w:rsidP="00F318C1">
            <w:pPr>
              <w:jc w:val="center"/>
              <w:rPr>
                <w:rFonts w:ascii="Calibri" w:eastAsia="Calibri" w:hAnsi="Calibri" w:cs="Calibri"/>
              </w:rPr>
            </w:pPr>
            <w:r>
              <w:rPr>
                <w:rFonts w:ascii="Calibri" w:eastAsia="Calibri" w:hAnsi="Calibri" w:cs="Calibri"/>
                <w:lang w:val="es-PR"/>
              </w:rPr>
              <w:t>61.00%</w:t>
            </w:r>
          </w:p>
        </w:tc>
        <w:tc>
          <w:tcPr>
            <w:tcW w:w="1485" w:type="dxa"/>
          </w:tcPr>
          <w:p w14:paraId="3BEB96DD" w14:textId="3F5CB4D6" w:rsidR="255BAFEA" w:rsidRDefault="00F318C1" w:rsidP="00F318C1">
            <w:pPr>
              <w:jc w:val="center"/>
              <w:rPr>
                <w:rFonts w:ascii="Calibri" w:eastAsia="Calibri" w:hAnsi="Calibri" w:cs="Calibri"/>
              </w:rPr>
            </w:pPr>
            <w:r>
              <w:rPr>
                <w:rFonts w:ascii="Calibri" w:eastAsia="Calibri" w:hAnsi="Calibri" w:cs="Calibri"/>
                <w:lang w:val="es-PR"/>
              </w:rPr>
              <w:t>62.00%</w:t>
            </w:r>
          </w:p>
        </w:tc>
      </w:tr>
      <w:tr w:rsidR="255BAFEA" w14:paraId="5C9A9750" w14:textId="77777777" w:rsidTr="009A6A83">
        <w:tc>
          <w:tcPr>
            <w:tcW w:w="2065" w:type="dxa"/>
          </w:tcPr>
          <w:p w14:paraId="332B98F9" w14:textId="5928212D" w:rsidR="255BAFEA" w:rsidRDefault="255BAFEA" w:rsidP="009A6A83">
            <w:pPr>
              <w:jc w:val="center"/>
              <w:rPr>
                <w:rFonts w:ascii="Calibri" w:eastAsia="Calibri" w:hAnsi="Calibri" w:cs="Calibri"/>
              </w:rPr>
            </w:pPr>
            <w:r>
              <w:rPr>
                <w:rFonts w:ascii="Calibri" w:eastAsia="Calibri" w:hAnsi="Calibri" w:cs="Calibri"/>
                <w:lang w:val="es-PR"/>
              </w:rPr>
              <w:t>Objetivos para 14C ≥</w:t>
            </w:r>
          </w:p>
        </w:tc>
        <w:tc>
          <w:tcPr>
            <w:tcW w:w="1215" w:type="dxa"/>
          </w:tcPr>
          <w:p w14:paraId="3E0BC8EB" w14:textId="440D70E9" w:rsidR="255BAFEA" w:rsidRDefault="00A139EC" w:rsidP="00F318C1">
            <w:pPr>
              <w:jc w:val="center"/>
              <w:rPr>
                <w:rFonts w:ascii="Calibri" w:eastAsia="Calibri" w:hAnsi="Calibri" w:cs="Calibri"/>
              </w:rPr>
            </w:pPr>
            <w:r>
              <w:rPr>
                <w:rFonts w:ascii="Calibri" w:eastAsia="Calibri" w:hAnsi="Calibri" w:cs="Calibri"/>
                <w:lang w:val="es-PR"/>
              </w:rPr>
              <w:t>74.00%</w:t>
            </w:r>
          </w:p>
        </w:tc>
        <w:tc>
          <w:tcPr>
            <w:tcW w:w="1485" w:type="dxa"/>
          </w:tcPr>
          <w:p w14:paraId="24E6F3B0" w14:textId="42B14825" w:rsidR="255BAFEA" w:rsidRDefault="00A139EC" w:rsidP="00F318C1">
            <w:pPr>
              <w:jc w:val="center"/>
              <w:rPr>
                <w:rFonts w:ascii="Calibri" w:eastAsia="Calibri" w:hAnsi="Calibri" w:cs="Calibri"/>
              </w:rPr>
            </w:pPr>
            <w:r>
              <w:rPr>
                <w:rFonts w:ascii="Calibri" w:eastAsia="Calibri" w:hAnsi="Calibri" w:cs="Calibri"/>
                <w:lang w:val="es-PR"/>
              </w:rPr>
              <w:t>75.00%</w:t>
            </w:r>
          </w:p>
        </w:tc>
        <w:tc>
          <w:tcPr>
            <w:tcW w:w="1485" w:type="dxa"/>
          </w:tcPr>
          <w:p w14:paraId="2C35A31F" w14:textId="0187B0FF" w:rsidR="255BAFEA" w:rsidRDefault="00A139EC" w:rsidP="00F318C1">
            <w:pPr>
              <w:jc w:val="center"/>
              <w:rPr>
                <w:rFonts w:ascii="Calibri" w:eastAsia="Calibri" w:hAnsi="Calibri" w:cs="Calibri"/>
              </w:rPr>
            </w:pPr>
            <w:r>
              <w:rPr>
                <w:rFonts w:ascii="Calibri" w:eastAsia="Calibri" w:hAnsi="Calibri" w:cs="Calibri"/>
                <w:lang w:val="es-PR"/>
              </w:rPr>
              <w:t>76.00%</w:t>
            </w:r>
          </w:p>
        </w:tc>
        <w:tc>
          <w:tcPr>
            <w:tcW w:w="1485" w:type="dxa"/>
          </w:tcPr>
          <w:p w14:paraId="1E744704" w14:textId="6411D398" w:rsidR="255BAFEA" w:rsidRDefault="00A139EC" w:rsidP="00F318C1">
            <w:pPr>
              <w:jc w:val="center"/>
              <w:rPr>
                <w:rFonts w:ascii="Calibri" w:eastAsia="Calibri" w:hAnsi="Calibri" w:cs="Calibri"/>
              </w:rPr>
            </w:pPr>
            <w:r>
              <w:rPr>
                <w:rFonts w:ascii="Calibri" w:eastAsia="Calibri" w:hAnsi="Calibri" w:cs="Calibri"/>
                <w:lang w:val="es-PR"/>
              </w:rPr>
              <w:t>78.00%</w:t>
            </w:r>
          </w:p>
        </w:tc>
        <w:tc>
          <w:tcPr>
            <w:tcW w:w="1485" w:type="dxa"/>
          </w:tcPr>
          <w:p w14:paraId="3CA9968D" w14:textId="292E0F03" w:rsidR="255BAFEA" w:rsidRDefault="00A139EC" w:rsidP="00F318C1">
            <w:pPr>
              <w:jc w:val="center"/>
              <w:rPr>
                <w:rFonts w:ascii="Calibri" w:eastAsia="Calibri" w:hAnsi="Calibri" w:cs="Calibri"/>
              </w:rPr>
            </w:pPr>
            <w:r>
              <w:rPr>
                <w:rFonts w:ascii="Calibri" w:eastAsia="Calibri" w:hAnsi="Calibri" w:cs="Calibri"/>
                <w:lang w:val="es-PR"/>
              </w:rPr>
              <w:t>79.00%</w:t>
            </w:r>
          </w:p>
        </w:tc>
        <w:tc>
          <w:tcPr>
            <w:tcW w:w="1485" w:type="dxa"/>
          </w:tcPr>
          <w:p w14:paraId="17B9BDD0" w14:textId="62924D2F" w:rsidR="255BAFEA" w:rsidRDefault="00A139EC" w:rsidP="00F318C1">
            <w:pPr>
              <w:jc w:val="center"/>
              <w:rPr>
                <w:rFonts w:ascii="Calibri" w:eastAsia="Calibri" w:hAnsi="Calibri" w:cs="Calibri"/>
              </w:rPr>
            </w:pPr>
            <w:r>
              <w:rPr>
                <w:rFonts w:ascii="Calibri" w:eastAsia="Calibri" w:hAnsi="Calibri" w:cs="Calibri"/>
                <w:lang w:val="es-PR"/>
              </w:rPr>
              <w:t>80.00%</w:t>
            </w:r>
          </w:p>
        </w:tc>
      </w:tr>
    </w:tbl>
    <w:p w14:paraId="39E73E3D" w14:textId="52FFE0CF" w:rsidR="70986129" w:rsidRPr="00A20D25" w:rsidRDefault="5DF7B56A" w:rsidP="00F318C1">
      <w:pPr>
        <w:spacing w:before="120" w:after="0" w:line="240" w:lineRule="auto"/>
        <w:jc w:val="center"/>
        <w:rPr>
          <w:rFonts w:ascii="Calibri" w:eastAsia="Calibri" w:hAnsi="Calibri" w:cs="Calibri"/>
          <w:color w:val="000000" w:themeColor="text1"/>
          <w:sz w:val="24"/>
          <w:szCs w:val="24"/>
          <w:lang w:val="es-MX"/>
        </w:rPr>
      </w:pPr>
      <w:r>
        <w:rPr>
          <w:rFonts w:ascii="Calibri" w:eastAsia="Calibri" w:hAnsi="Calibri" w:cs="Calibri"/>
          <w:b/>
          <w:bCs/>
          <w:color w:val="407641"/>
          <w:lang w:val="es-PR"/>
        </w:rPr>
        <w:t>Si necesita más información para poder dar su opinión, comuníquese con Sally Simich, especialista en educación, en</w:t>
      </w:r>
      <w:r>
        <w:rPr>
          <w:rFonts w:ascii="Calibri" w:eastAsia="Calibri" w:hAnsi="Calibri" w:cs="Calibri"/>
          <w:b/>
          <w:bCs/>
          <w:color w:val="000000" w:themeColor="text1"/>
          <w:lang w:val="es-PR"/>
        </w:rPr>
        <w:t xml:space="preserve"> </w:t>
      </w:r>
      <w:hyperlink r:id="rId18">
        <w:r>
          <w:rPr>
            <w:rStyle w:val="Hyperlink"/>
            <w:rFonts w:ascii="Calibri" w:eastAsia="Calibri" w:hAnsi="Calibri" w:cs="Calibri"/>
            <w:b/>
            <w:bCs/>
            <w:lang w:val="es-PR"/>
          </w:rPr>
          <w:t>sally.simich@state.or.us</w:t>
        </w:r>
      </w:hyperlink>
      <w:r>
        <w:rPr>
          <w:rStyle w:val="Hyperlink"/>
          <w:rFonts w:ascii="Calibri" w:eastAsia="Calibri" w:hAnsi="Calibri" w:cs="Calibri"/>
          <w:u w:val="none"/>
          <w:lang w:val="es-PR"/>
        </w:rPr>
        <w:t>.</w:t>
      </w:r>
    </w:p>
    <w:sectPr w:rsidR="70986129" w:rsidRPr="00A20D25" w:rsidSect="00B97BAB">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OLTZ Sarah * ODE" w:date="2021-11-10T14:18:00Z" w:initials="SO">
    <w:p w14:paraId="4977CD2D" w14:textId="36FF022B" w:rsidR="2B5EA53A" w:rsidRDefault="2B5EA53A">
      <w:pPr>
        <w:pStyle w:val="CommentText"/>
      </w:pPr>
      <w:r>
        <w:t>the text cuts off at the end of the heading of this graph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77CD2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A227152" w16cex:dateUtc="2021-11-10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7CD2D" w16cid:durableId="6A2271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60A10" w14:textId="77777777" w:rsidR="00AA6DAA" w:rsidRDefault="00AA6DAA" w:rsidP="00A015AF">
      <w:pPr>
        <w:spacing w:after="0" w:line="240" w:lineRule="auto"/>
      </w:pPr>
      <w:r>
        <w:separator/>
      </w:r>
    </w:p>
  </w:endnote>
  <w:endnote w:type="continuationSeparator" w:id="0">
    <w:p w14:paraId="59426076" w14:textId="77777777" w:rsidR="00AA6DAA" w:rsidRDefault="00AA6DAA" w:rsidP="00A015AF">
      <w:pPr>
        <w:spacing w:after="0" w:line="240" w:lineRule="auto"/>
      </w:pPr>
      <w:r>
        <w:continuationSeparator/>
      </w:r>
    </w:p>
  </w:endnote>
  <w:endnote w:type="continuationNotice" w:id="1">
    <w:p w14:paraId="34BA2A6D" w14:textId="77777777" w:rsidR="00AA6DAA" w:rsidRDefault="00AA6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C3F63" w14:textId="77777777" w:rsidR="00AA6DAA" w:rsidRDefault="00AA6DAA" w:rsidP="00A015AF">
      <w:pPr>
        <w:spacing w:after="0" w:line="240" w:lineRule="auto"/>
      </w:pPr>
      <w:r>
        <w:separator/>
      </w:r>
    </w:p>
  </w:footnote>
  <w:footnote w:type="continuationSeparator" w:id="0">
    <w:p w14:paraId="70D20A79" w14:textId="77777777" w:rsidR="00AA6DAA" w:rsidRDefault="00AA6DAA" w:rsidP="00A015AF">
      <w:pPr>
        <w:spacing w:after="0" w:line="240" w:lineRule="auto"/>
      </w:pPr>
      <w:r>
        <w:continuationSeparator/>
      </w:r>
    </w:p>
  </w:footnote>
  <w:footnote w:type="continuationNotice" w:id="1">
    <w:p w14:paraId="2C2DFF18" w14:textId="77777777" w:rsidR="00AA6DAA" w:rsidRDefault="00AA6D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8F653A0"/>
    <w:multiLevelType w:val="hybridMultilevel"/>
    <w:tmpl w:val="EEE8E74A"/>
    <w:lvl w:ilvl="0" w:tplc="B180FCD8">
      <w:start w:val="1"/>
      <w:numFmt w:val="bullet"/>
      <w:lvlText w:val=""/>
      <w:lvlJc w:val="left"/>
      <w:pPr>
        <w:ind w:left="720" w:hanging="360"/>
      </w:pPr>
      <w:rPr>
        <w:rFonts w:ascii="Symbol" w:hAnsi="Symbol" w:hint="default"/>
      </w:rPr>
    </w:lvl>
    <w:lvl w:ilvl="1" w:tplc="704EBD6C">
      <w:start w:val="1"/>
      <w:numFmt w:val="bullet"/>
      <w:lvlText w:val="o"/>
      <w:lvlJc w:val="left"/>
      <w:pPr>
        <w:ind w:left="1440" w:hanging="360"/>
      </w:pPr>
      <w:rPr>
        <w:rFonts w:ascii="Courier New" w:hAnsi="Courier New" w:hint="default"/>
      </w:rPr>
    </w:lvl>
    <w:lvl w:ilvl="2" w:tplc="8948F59E">
      <w:start w:val="1"/>
      <w:numFmt w:val="bullet"/>
      <w:lvlText w:val=""/>
      <w:lvlJc w:val="left"/>
      <w:pPr>
        <w:ind w:left="2160" w:hanging="360"/>
      </w:pPr>
      <w:rPr>
        <w:rFonts w:ascii="Wingdings" w:hAnsi="Wingdings" w:hint="default"/>
      </w:rPr>
    </w:lvl>
    <w:lvl w:ilvl="3" w:tplc="63F8AA60">
      <w:start w:val="1"/>
      <w:numFmt w:val="bullet"/>
      <w:lvlText w:val=""/>
      <w:lvlJc w:val="left"/>
      <w:pPr>
        <w:ind w:left="2880" w:hanging="360"/>
      </w:pPr>
      <w:rPr>
        <w:rFonts w:ascii="Symbol" w:hAnsi="Symbol" w:hint="default"/>
      </w:rPr>
    </w:lvl>
    <w:lvl w:ilvl="4" w:tplc="BCF0FE88">
      <w:start w:val="1"/>
      <w:numFmt w:val="bullet"/>
      <w:lvlText w:val="o"/>
      <w:lvlJc w:val="left"/>
      <w:pPr>
        <w:ind w:left="3600" w:hanging="360"/>
      </w:pPr>
      <w:rPr>
        <w:rFonts w:ascii="Courier New" w:hAnsi="Courier New" w:hint="default"/>
      </w:rPr>
    </w:lvl>
    <w:lvl w:ilvl="5" w:tplc="75CC9C96">
      <w:start w:val="1"/>
      <w:numFmt w:val="bullet"/>
      <w:lvlText w:val=""/>
      <w:lvlJc w:val="left"/>
      <w:pPr>
        <w:ind w:left="4320" w:hanging="360"/>
      </w:pPr>
      <w:rPr>
        <w:rFonts w:ascii="Wingdings" w:hAnsi="Wingdings" w:hint="default"/>
      </w:rPr>
    </w:lvl>
    <w:lvl w:ilvl="6" w:tplc="BF3602FC">
      <w:start w:val="1"/>
      <w:numFmt w:val="bullet"/>
      <w:lvlText w:val=""/>
      <w:lvlJc w:val="left"/>
      <w:pPr>
        <w:ind w:left="5040" w:hanging="360"/>
      </w:pPr>
      <w:rPr>
        <w:rFonts w:ascii="Symbol" w:hAnsi="Symbol" w:hint="default"/>
      </w:rPr>
    </w:lvl>
    <w:lvl w:ilvl="7" w:tplc="E5626470">
      <w:start w:val="1"/>
      <w:numFmt w:val="bullet"/>
      <w:lvlText w:val="o"/>
      <w:lvlJc w:val="left"/>
      <w:pPr>
        <w:ind w:left="5760" w:hanging="360"/>
      </w:pPr>
      <w:rPr>
        <w:rFonts w:ascii="Courier New" w:hAnsi="Courier New" w:hint="default"/>
      </w:rPr>
    </w:lvl>
    <w:lvl w:ilvl="8" w:tplc="A3905C88">
      <w:start w:val="1"/>
      <w:numFmt w:val="bullet"/>
      <w:lvlText w:val=""/>
      <w:lvlJc w:val="left"/>
      <w:pPr>
        <w:ind w:left="6480" w:hanging="360"/>
      </w:pPr>
      <w:rPr>
        <w:rFonts w:ascii="Wingdings" w:hAnsi="Wingdings" w:hint="default"/>
      </w:r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1AAB56CB"/>
    <w:multiLevelType w:val="hybridMultilevel"/>
    <w:tmpl w:val="C3922DB4"/>
    <w:lvl w:ilvl="0" w:tplc="9794A48E">
      <w:start w:val="1"/>
      <w:numFmt w:val="bullet"/>
      <w:lvlText w:val=""/>
      <w:lvlJc w:val="left"/>
      <w:pPr>
        <w:ind w:left="720" w:hanging="360"/>
      </w:pPr>
      <w:rPr>
        <w:rFonts w:ascii="Symbol" w:hAnsi="Symbol" w:hint="default"/>
      </w:rPr>
    </w:lvl>
    <w:lvl w:ilvl="1" w:tplc="4F504008">
      <w:start w:val="1"/>
      <w:numFmt w:val="bullet"/>
      <w:lvlText w:val="o"/>
      <w:lvlJc w:val="left"/>
      <w:pPr>
        <w:ind w:left="1440" w:hanging="360"/>
      </w:pPr>
      <w:rPr>
        <w:rFonts w:ascii="Courier New" w:hAnsi="Courier New" w:hint="default"/>
      </w:rPr>
    </w:lvl>
    <w:lvl w:ilvl="2" w:tplc="FAB6E006">
      <w:start w:val="1"/>
      <w:numFmt w:val="bullet"/>
      <w:lvlText w:val=""/>
      <w:lvlJc w:val="left"/>
      <w:pPr>
        <w:ind w:left="2160" w:hanging="360"/>
      </w:pPr>
      <w:rPr>
        <w:rFonts w:ascii="Wingdings" w:hAnsi="Wingdings" w:hint="default"/>
      </w:rPr>
    </w:lvl>
    <w:lvl w:ilvl="3" w:tplc="02721FF0">
      <w:start w:val="1"/>
      <w:numFmt w:val="bullet"/>
      <w:lvlText w:val=""/>
      <w:lvlJc w:val="left"/>
      <w:pPr>
        <w:ind w:left="2880" w:hanging="360"/>
      </w:pPr>
      <w:rPr>
        <w:rFonts w:ascii="Symbol" w:hAnsi="Symbol" w:hint="default"/>
      </w:rPr>
    </w:lvl>
    <w:lvl w:ilvl="4" w:tplc="BD16A376">
      <w:start w:val="1"/>
      <w:numFmt w:val="bullet"/>
      <w:lvlText w:val="o"/>
      <w:lvlJc w:val="left"/>
      <w:pPr>
        <w:ind w:left="3600" w:hanging="360"/>
      </w:pPr>
      <w:rPr>
        <w:rFonts w:ascii="Courier New" w:hAnsi="Courier New" w:hint="default"/>
      </w:rPr>
    </w:lvl>
    <w:lvl w:ilvl="5" w:tplc="6BD64AD2">
      <w:start w:val="1"/>
      <w:numFmt w:val="bullet"/>
      <w:lvlText w:val=""/>
      <w:lvlJc w:val="left"/>
      <w:pPr>
        <w:ind w:left="4320" w:hanging="360"/>
      </w:pPr>
      <w:rPr>
        <w:rFonts w:ascii="Wingdings" w:hAnsi="Wingdings" w:hint="default"/>
      </w:rPr>
    </w:lvl>
    <w:lvl w:ilvl="6" w:tplc="CFF0AB12">
      <w:start w:val="1"/>
      <w:numFmt w:val="bullet"/>
      <w:lvlText w:val=""/>
      <w:lvlJc w:val="left"/>
      <w:pPr>
        <w:ind w:left="5040" w:hanging="360"/>
      </w:pPr>
      <w:rPr>
        <w:rFonts w:ascii="Symbol" w:hAnsi="Symbol" w:hint="default"/>
      </w:rPr>
    </w:lvl>
    <w:lvl w:ilvl="7" w:tplc="6C1CE770">
      <w:start w:val="1"/>
      <w:numFmt w:val="bullet"/>
      <w:lvlText w:val="o"/>
      <w:lvlJc w:val="left"/>
      <w:pPr>
        <w:ind w:left="5760" w:hanging="360"/>
      </w:pPr>
      <w:rPr>
        <w:rFonts w:ascii="Courier New" w:hAnsi="Courier New" w:hint="default"/>
      </w:rPr>
    </w:lvl>
    <w:lvl w:ilvl="8" w:tplc="4418B87E">
      <w:start w:val="1"/>
      <w:numFmt w:val="bullet"/>
      <w:lvlText w:val=""/>
      <w:lvlJc w:val="left"/>
      <w:pPr>
        <w:ind w:left="6480" w:hanging="360"/>
      </w:pPr>
      <w:rPr>
        <w:rFonts w:ascii="Wingdings" w:hAnsi="Wingdings" w:hint="default"/>
      </w:rPr>
    </w:lvl>
  </w:abstractNum>
  <w:abstractNum w:abstractNumId="4" w15:restartNumberingAfterBreak="0">
    <w:nsid w:val="1F094161"/>
    <w:multiLevelType w:val="hybridMultilevel"/>
    <w:tmpl w:val="E788D16E"/>
    <w:lvl w:ilvl="0" w:tplc="274E3188">
      <w:start w:val="1"/>
      <w:numFmt w:val="bullet"/>
      <w:lvlText w:val=""/>
      <w:lvlJc w:val="left"/>
      <w:pPr>
        <w:ind w:left="720" w:hanging="360"/>
      </w:pPr>
      <w:rPr>
        <w:rFonts w:ascii="Symbol" w:hAnsi="Symbol" w:hint="default"/>
      </w:rPr>
    </w:lvl>
    <w:lvl w:ilvl="1" w:tplc="78561CFA">
      <w:start w:val="1"/>
      <w:numFmt w:val="bullet"/>
      <w:lvlText w:val="o"/>
      <w:lvlJc w:val="left"/>
      <w:pPr>
        <w:ind w:left="1440" w:hanging="360"/>
      </w:pPr>
      <w:rPr>
        <w:rFonts w:ascii="Courier New" w:hAnsi="Courier New" w:hint="default"/>
      </w:rPr>
    </w:lvl>
    <w:lvl w:ilvl="2" w:tplc="F4F4CFFC">
      <w:start w:val="1"/>
      <w:numFmt w:val="bullet"/>
      <w:lvlText w:val=""/>
      <w:lvlJc w:val="left"/>
      <w:pPr>
        <w:ind w:left="2160" w:hanging="360"/>
      </w:pPr>
      <w:rPr>
        <w:rFonts w:ascii="Wingdings" w:hAnsi="Wingdings" w:hint="default"/>
      </w:rPr>
    </w:lvl>
    <w:lvl w:ilvl="3" w:tplc="769CB9EA">
      <w:start w:val="1"/>
      <w:numFmt w:val="bullet"/>
      <w:lvlText w:val=""/>
      <w:lvlJc w:val="left"/>
      <w:pPr>
        <w:ind w:left="2880" w:hanging="360"/>
      </w:pPr>
      <w:rPr>
        <w:rFonts w:ascii="Symbol" w:hAnsi="Symbol" w:hint="default"/>
      </w:rPr>
    </w:lvl>
    <w:lvl w:ilvl="4" w:tplc="CD68AC7A">
      <w:start w:val="1"/>
      <w:numFmt w:val="bullet"/>
      <w:lvlText w:val="o"/>
      <w:lvlJc w:val="left"/>
      <w:pPr>
        <w:ind w:left="3600" w:hanging="360"/>
      </w:pPr>
      <w:rPr>
        <w:rFonts w:ascii="Courier New" w:hAnsi="Courier New" w:hint="default"/>
      </w:rPr>
    </w:lvl>
    <w:lvl w:ilvl="5" w:tplc="60146252">
      <w:start w:val="1"/>
      <w:numFmt w:val="bullet"/>
      <w:lvlText w:val=""/>
      <w:lvlJc w:val="left"/>
      <w:pPr>
        <w:ind w:left="4320" w:hanging="360"/>
      </w:pPr>
      <w:rPr>
        <w:rFonts w:ascii="Wingdings" w:hAnsi="Wingdings" w:hint="default"/>
      </w:rPr>
    </w:lvl>
    <w:lvl w:ilvl="6" w:tplc="51F20778">
      <w:start w:val="1"/>
      <w:numFmt w:val="bullet"/>
      <w:lvlText w:val=""/>
      <w:lvlJc w:val="left"/>
      <w:pPr>
        <w:ind w:left="5040" w:hanging="360"/>
      </w:pPr>
      <w:rPr>
        <w:rFonts w:ascii="Symbol" w:hAnsi="Symbol" w:hint="default"/>
      </w:rPr>
    </w:lvl>
    <w:lvl w:ilvl="7" w:tplc="C59EE7C4">
      <w:start w:val="1"/>
      <w:numFmt w:val="bullet"/>
      <w:lvlText w:val="o"/>
      <w:lvlJc w:val="left"/>
      <w:pPr>
        <w:ind w:left="5760" w:hanging="360"/>
      </w:pPr>
      <w:rPr>
        <w:rFonts w:ascii="Courier New" w:hAnsi="Courier New" w:hint="default"/>
      </w:rPr>
    </w:lvl>
    <w:lvl w:ilvl="8" w:tplc="C7E40F16">
      <w:start w:val="1"/>
      <w:numFmt w:val="bullet"/>
      <w:lvlText w:val=""/>
      <w:lvlJc w:val="left"/>
      <w:pPr>
        <w:ind w:left="6480" w:hanging="360"/>
      </w:pPr>
      <w:rPr>
        <w:rFonts w:ascii="Wingdings" w:hAnsi="Wingdings" w:hint="default"/>
      </w:rPr>
    </w:lvl>
  </w:abstractNum>
  <w:abstractNum w:abstractNumId="5"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6"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7" w15:restartNumberingAfterBreak="0">
    <w:nsid w:val="2A565190"/>
    <w:multiLevelType w:val="hybridMultilevel"/>
    <w:tmpl w:val="AF4E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606D3"/>
    <w:multiLevelType w:val="hybridMultilevel"/>
    <w:tmpl w:val="0F9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0"/>
  </w:num>
  <w:num w:numId="8">
    <w:abstractNumId w:val="11"/>
  </w:num>
  <w:num w:numId="9">
    <w:abstractNumId w:val="8"/>
  </w:num>
  <w:num w:numId="10">
    <w:abstractNumId w:val="9"/>
  </w:num>
  <w:num w:numId="11">
    <w:abstractNumId w:val="13"/>
  </w:num>
  <w:num w:numId="12">
    <w:abstractNumId w:val="14"/>
  </w:num>
  <w:num w:numId="13">
    <w:abstractNumId w:val="1"/>
  </w:num>
  <w:num w:numId="14">
    <w:abstractNumId w:val="7"/>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TZ Sarah * ODE">
    <w15:presenceInfo w15:providerId="AD" w15:userId="S::soltzs@ode.state.or.us::751f620e-5731-4c3a-ae93-2ddbcc7875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14229"/>
    <w:rsid w:val="000B7B51"/>
    <w:rsid w:val="000E4FA0"/>
    <w:rsid w:val="001B52CA"/>
    <w:rsid w:val="00263F05"/>
    <w:rsid w:val="0026797A"/>
    <w:rsid w:val="0027587A"/>
    <w:rsid w:val="002A100A"/>
    <w:rsid w:val="002D66CC"/>
    <w:rsid w:val="00300812"/>
    <w:rsid w:val="00300F93"/>
    <w:rsid w:val="00327EB0"/>
    <w:rsid w:val="00334269"/>
    <w:rsid w:val="0035614D"/>
    <w:rsid w:val="00356BE5"/>
    <w:rsid w:val="00373050"/>
    <w:rsid w:val="00472F13"/>
    <w:rsid w:val="00484AB3"/>
    <w:rsid w:val="00496DD9"/>
    <w:rsid w:val="004E0AFE"/>
    <w:rsid w:val="00502B50"/>
    <w:rsid w:val="00506FC3"/>
    <w:rsid w:val="00551272"/>
    <w:rsid w:val="00551BCB"/>
    <w:rsid w:val="005B4DF4"/>
    <w:rsid w:val="005C31E2"/>
    <w:rsid w:val="005D6523"/>
    <w:rsid w:val="006231FB"/>
    <w:rsid w:val="00665A1E"/>
    <w:rsid w:val="00686AA4"/>
    <w:rsid w:val="006B3525"/>
    <w:rsid w:val="006E75B2"/>
    <w:rsid w:val="00770DA0"/>
    <w:rsid w:val="0077345D"/>
    <w:rsid w:val="007911BE"/>
    <w:rsid w:val="00800077"/>
    <w:rsid w:val="008707C4"/>
    <w:rsid w:val="00872B58"/>
    <w:rsid w:val="00872BA4"/>
    <w:rsid w:val="008C295F"/>
    <w:rsid w:val="00963CE4"/>
    <w:rsid w:val="0097638D"/>
    <w:rsid w:val="00976EA9"/>
    <w:rsid w:val="00980D00"/>
    <w:rsid w:val="009A01C3"/>
    <w:rsid w:val="009A23AC"/>
    <w:rsid w:val="009A6A83"/>
    <w:rsid w:val="009C5702"/>
    <w:rsid w:val="009E0F91"/>
    <w:rsid w:val="00A015AF"/>
    <w:rsid w:val="00A106D4"/>
    <w:rsid w:val="00A139EC"/>
    <w:rsid w:val="00A20D25"/>
    <w:rsid w:val="00A42905"/>
    <w:rsid w:val="00AA6DAA"/>
    <w:rsid w:val="00AD794D"/>
    <w:rsid w:val="00AE1D50"/>
    <w:rsid w:val="00B03719"/>
    <w:rsid w:val="00B33013"/>
    <w:rsid w:val="00B51C91"/>
    <w:rsid w:val="00B542E4"/>
    <w:rsid w:val="00B77D28"/>
    <w:rsid w:val="00B87EF5"/>
    <w:rsid w:val="00B9167F"/>
    <w:rsid w:val="00B97BAB"/>
    <w:rsid w:val="00BB0B34"/>
    <w:rsid w:val="00C06C4E"/>
    <w:rsid w:val="00C30AE1"/>
    <w:rsid w:val="00C41661"/>
    <w:rsid w:val="00C43BD2"/>
    <w:rsid w:val="00C53B82"/>
    <w:rsid w:val="00CA3BE5"/>
    <w:rsid w:val="00CD2C98"/>
    <w:rsid w:val="00CF5502"/>
    <w:rsid w:val="00D330A6"/>
    <w:rsid w:val="00DB37A5"/>
    <w:rsid w:val="00DC5156"/>
    <w:rsid w:val="00E441BE"/>
    <w:rsid w:val="00EB209B"/>
    <w:rsid w:val="00EC75DD"/>
    <w:rsid w:val="00F318C1"/>
    <w:rsid w:val="00F87909"/>
    <w:rsid w:val="00FB5DC0"/>
    <w:rsid w:val="00FC0AA2"/>
    <w:rsid w:val="022B6019"/>
    <w:rsid w:val="02358C42"/>
    <w:rsid w:val="02554B3E"/>
    <w:rsid w:val="04D98F98"/>
    <w:rsid w:val="055792E3"/>
    <w:rsid w:val="0662D283"/>
    <w:rsid w:val="06EA6DB7"/>
    <w:rsid w:val="072D457F"/>
    <w:rsid w:val="07C5025F"/>
    <w:rsid w:val="0926063C"/>
    <w:rsid w:val="09335D90"/>
    <w:rsid w:val="095E90F4"/>
    <w:rsid w:val="0A003D7F"/>
    <w:rsid w:val="0A290BC8"/>
    <w:rsid w:val="0B187ED5"/>
    <w:rsid w:val="0B773283"/>
    <w:rsid w:val="0B8E293D"/>
    <w:rsid w:val="0BBE2522"/>
    <w:rsid w:val="0CD70CBB"/>
    <w:rsid w:val="0ECBA6C1"/>
    <w:rsid w:val="0FDD4E93"/>
    <w:rsid w:val="109A458A"/>
    <w:rsid w:val="11464267"/>
    <w:rsid w:val="118102CB"/>
    <w:rsid w:val="11B8660A"/>
    <w:rsid w:val="12098CED"/>
    <w:rsid w:val="126127CC"/>
    <w:rsid w:val="12892083"/>
    <w:rsid w:val="1304DF78"/>
    <w:rsid w:val="1413B60D"/>
    <w:rsid w:val="14312103"/>
    <w:rsid w:val="144A7F77"/>
    <w:rsid w:val="151F506C"/>
    <w:rsid w:val="155C44BC"/>
    <w:rsid w:val="15AF866E"/>
    <w:rsid w:val="188C2F12"/>
    <w:rsid w:val="190339A9"/>
    <w:rsid w:val="190889A1"/>
    <w:rsid w:val="1A140396"/>
    <w:rsid w:val="1AFD238B"/>
    <w:rsid w:val="1AFD7B23"/>
    <w:rsid w:val="1B40C75E"/>
    <w:rsid w:val="1BB7808F"/>
    <w:rsid w:val="1CA5BE2B"/>
    <w:rsid w:val="1E2A045C"/>
    <w:rsid w:val="1F729DD9"/>
    <w:rsid w:val="20A9E5D0"/>
    <w:rsid w:val="21105F9C"/>
    <w:rsid w:val="2177A349"/>
    <w:rsid w:val="21966300"/>
    <w:rsid w:val="2296438A"/>
    <w:rsid w:val="23BC567F"/>
    <w:rsid w:val="246DA1D6"/>
    <w:rsid w:val="24C15646"/>
    <w:rsid w:val="255BAFEA"/>
    <w:rsid w:val="25BD0434"/>
    <w:rsid w:val="2784CA6D"/>
    <w:rsid w:val="27A54298"/>
    <w:rsid w:val="27ABDF2D"/>
    <w:rsid w:val="2822FAC6"/>
    <w:rsid w:val="28911805"/>
    <w:rsid w:val="28B5D30A"/>
    <w:rsid w:val="28E53CE7"/>
    <w:rsid w:val="2AADD8C1"/>
    <w:rsid w:val="2AC3BAFD"/>
    <w:rsid w:val="2B5EA53A"/>
    <w:rsid w:val="2B73B5F1"/>
    <w:rsid w:val="2C0C6DCB"/>
    <w:rsid w:val="2C7F5050"/>
    <w:rsid w:val="2DE2A700"/>
    <w:rsid w:val="2EE2732F"/>
    <w:rsid w:val="2F622D3C"/>
    <w:rsid w:val="3138D753"/>
    <w:rsid w:val="31504613"/>
    <w:rsid w:val="328E971D"/>
    <w:rsid w:val="32B1B4D3"/>
    <w:rsid w:val="33C543B9"/>
    <w:rsid w:val="3498CC82"/>
    <w:rsid w:val="3514A6A7"/>
    <w:rsid w:val="351FFE73"/>
    <w:rsid w:val="356B7D05"/>
    <w:rsid w:val="35BA8F2D"/>
    <w:rsid w:val="36E6BB1F"/>
    <w:rsid w:val="38171751"/>
    <w:rsid w:val="38702D18"/>
    <w:rsid w:val="38AF2955"/>
    <w:rsid w:val="39042C2B"/>
    <w:rsid w:val="3998374B"/>
    <w:rsid w:val="39F6436E"/>
    <w:rsid w:val="3AFF09C3"/>
    <w:rsid w:val="3B36CF23"/>
    <w:rsid w:val="3B374162"/>
    <w:rsid w:val="3BA15668"/>
    <w:rsid w:val="3C153C4A"/>
    <w:rsid w:val="3CC56506"/>
    <w:rsid w:val="3CEBC7E1"/>
    <w:rsid w:val="3D962B31"/>
    <w:rsid w:val="3DF2E0AE"/>
    <w:rsid w:val="3E64F3E0"/>
    <w:rsid w:val="3EA8BBDF"/>
    <w:rsid w:val="3FBAC02B"/>
    <w:rsid w:val="3FD50262"/>
    <w:rsid w:val="41427122"/>
    <w:rsid w:val="425CA830"/>
    <w:rsid w:val="428E0291"/>
    <w:rsid w:val="42C41C9A"/>
    <w:rsid w:val="433DFD85"/>
    <w:rsid w:val="43E389B2"/>
    <w:rsid w:val="46DCA98D"/>
    <w:rsid w:val="47438964"/>
    <w:rsid w:val="476173B4"/>
    <w:rsid w:val="47655737"/>
    <w:rsid w:val="47BCFA9B"/>
    <w:rsid w:val="492EBE27"/>
    <w:rsid w:val="4942F759"/>
    <w:rsid w:val="4A9B697A"/>
    <w:rsid w:val="4AB86F41"/>
    <w:rsid w:val="4B376A98"/>
    <w:rsid w:val="4BB76A98"/>
    <w:rsid w:val="4C55970D"/>
    <w:rsid w:val="4DC759FD"/>
    <w:rsid w:val="4DF1C38C"/>
    <w:rsid w:val="4E8233C4"/>
    <w:rsid w:val="4EA259BF"/>
    <w:rsid w:val="4FD1FDCF"/>
    <w:rsid w:val="4FFE963D"/>
    <w:rsid w:val="506120A0"/>
    <w:rsid w:val="51284726"/>
    <w:rsid w:val="52BF22C0"/>
    <w:rsid w:val="52D34636"/>
    <w:rsid w:val="539B885F"/>
    <w:rsid w:val="53F6C4EF"/>
    <w:rsid w:val="55553715"/>
    <w:rsid w:val="56277CA2"/>
    <w:rsid w:val="59405C85"/>
    <w:rsid w:val="5A78F6DC"/>
    <w:rsid w:val="5ADC2CE6"/>
    <w:rsid w:val="5BB66BB1"/>
    <w:rsid w:val="5D04E5E5"/>
    <w:rsid w:val="5D366AFE"/>
    <w:rsid w:val="5DDA8368"/>
    <w:rsid w:val="5DF7B56A"/>
    <w:rsid w:val="5E4C9A5B"/>
    <w:rsid w:val="5E543EBE"/>
    <w:rsid w:val="5F8E7A6C"/>
    <w:rsid w:val="5FB4F4E6"/>
    <w:rsid w:val="6002AB7F"/>
    <w:rsid w:val="600C24A6"/>
    <w:rsid w:val="6010CC80"/>
    <w:rsid w:val="60823D5F"/>
    <w:rsid w:val="60DBE48C"/>
    <w:rsid w:val="60E191B5"/>
    <w:rsid w:val="60E87CF3"/>
    <w:rsid w:val="61190FF6"/>
    <w:rsid w:val="616C1A8E"/>
    <w:rsid w:val="61ABECE6"/>
    <w:rsid w:val="62084D66"/>
    <w:rsid w:val="62F4FF9F"/>
    <w:rsid w:val="63ABBCAF"/>
    <w:rsid w:val="6444DFAF"/>
    <w:rsid w:val="64A619BC"/>
    <w:rsid w:val="64C34D71"/>
    <w:rsid w:val="64DF95C9"/>
    <w:rsid w:val="6551DB58"/>
    <w:rsid w:val="65943897"/>
    <w:rsid w:val="65BEDA81"/>
    <w:rsid w:val="65DFD2A5"/>
    <w:rsid w:val="65E9D2E5"/>
    <w:rsid w:val="6632F212"/>
    <w:rsid w:val="677BE8FE"/>
    <w:rsid w:val="67A7E7A3"/>
    <w:rsid w:val="6A0FF748"/>
    <w:rsid w:val="6B1097BA"/>
    <w:rsid w:val="6B2E1BF5"/>
    <w:rsid w:val="6B5ECC4A"/>
    <w:rsid w:val="6BE0EBE7"/>
    <w:rsid w:val="6C387B29"/>
    <w:rsid w:val="6CBDC2CC"/>
    <w:rsid w:val="6D1B4991"/>
    <w:rsid w:val="6E432AB4"/>
    <w:rsid w:val="6F93635F"/>
    <w:rsid w:val="70622CEC"/>
    <w:rsid w:val="70986129"/>
    <w:rsid w:val="709D1225"/>
    <w:rsid w:val="711BC9C9"/>
    <w:rsid w:val="718DF3DE"/>
    <w:rsid w:val="72EADE75"/>
    <w:rsid w:val="736CF1BD"/>
    <w:rsid w:val="73B2F60B"/>
    <w:rsid w:val="73D47371"/>
    <w:rsid w:val="743163CD"/>
    <w:rsid w:val="74A8A443"/>
    <w:rsid w:val="763E9884"/>
    <w:rsid w:val="764474A4"/>
    <w:rsid w:val="76EE7A50"/>
    <w:rsid w:val="7751BD9B"/>
    <w:rsid w:val="7B45601D"/>
    <w:rsid w:val="7CAC3AE1"/>
    <w:rsid w:val="7D5128D7"/>
    <w:rsid w:val="7D7C76F4"/>
    <w:rsid w:val="7DF0AAE8"/>
    <w:rsid w:val="7E680547"/>
    <w:rsid w:val="7F204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hyperlink" Target="mailto:sally.simich@state.or.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pp.smartsheet.com/b/publish?EQBCT=56c698c68a144f779ce9c9372e067c25"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chart" Target="charts/chart3.xml"/><Relationship Id="rId23"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pr" b="1" i="0" u="none" baseline="0">
                <a:solidFill>
                  <a:srgbClr val="1B75BC"/>
                </a:solidFill>
              </a:rPr>
              <a:t>Datos del indicador B14 de Oregón (resultados posteriores a la escuela)</a:t>
            </a:r>
          </a:p>
          <a:p>
            <a:pPr rtl="0">
              <a:defRPr/>
            </a:pPr>
            <a:r>
              <a:rPr lang="es-pr" sz="1000" b="0" i="0" u="none" baseline="0">
                <a:solidFill>
                  <a:srgbClr val="1B75BC"/>
                </a:solidFill>
              </a:rPr>
              <a:t>Porcentaje de jóvenes con IEPs vigentes al momento de dejar la escuela que están inscritos en la educación superior dentro de un año de haber terminado la escuela secundaria</a:t>
            </a:r>
          </a:p>
        </c:rich>
      </c:tx>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B14A!$A$2</c:f>
              <c:strCache>
                <c:ptCount val="1"/>
                <c:pt idx="0">
                  <c:v>Data</c:v>
                </c:pt>
              </c:strCache>
            </c:strRef>
          </c:tx>
          <c:spPr>
            <a:ln w="28575" cap="rnd">
              <a:solidFill>
                <a:srgbClr val="1B75BC"/>
              </a:solidFill>
              <a:round/>
            </a:ln>
            <a:effectLst/>
          </c:spPr>
          <c:marker>
            <c:symbol val="none"/>
          </c:marker>
          <c:dLbls>
            <c:dLbl>
              <c:idx val="1"/>
              <c:layout>
                <c:manualLayout>
                  <c:x val="-5.5895496527701274E-2"/>
                  <c:y val="-6.9339077319498746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ext>
                <c:ext xmlns:c16="http://schemas.microsoft.com/office/drawing/2014/chart" uri="{C3380CC4-5D6E-409C-BE32-E72D297353CC}">
                  <c16:uniqueId val="{00000000-CE85-4E95-9398-1C6A7DD11D3F}"/>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B14A!$B$1:$G$1</c:f>
              <c:numCache>
                <c:formatCode>General</c:formatCode>
                <c:ptCount val="6"/>
                <c:pt idx="0">
                  <c:v>2014</c:v>
                </c:pt>
                <c:pt idx="1">
                  <c:v>2015</c:v>
                </c:pt>
                <c:pt idx="2">
                  <c:v>2016</c:v>
                </c:pt>
                <c:pt idx="3">
                  <c:v>2017</c:v>
                </c:pt>
                <c:pt idx="4">
                  <c:v>2018</c:v>
                </c:pt>
                <c:pt idx="5">
                  <c:v>2019</c:v>
                </c:pt>
              </c:numCache>
            </c:numRef>
          </c:cat>
          <c:val>
            <c:numRef>
              <c:f>B14A!$B$2:$G$2</c:f>
              <c:numCache>
                <c:formatCode>0.00%</c:formatCode>
                <c:ptCount val="6"/>
                <c:pt idx="0">
                  <c:v>0.22370000000000001</c:v>
                </c:pt>
                <c:pt idx="1">
                  <c:v>0.24410000000000001</c:v>
                </c:pt>
                <c:pt idx="2">
                  <c:v>0.24560000000000001</c:v>
                </c:pt>
                <c:pt idx="3">
                  <c:v>0.22819999999999999</c:v>
                </c:pt>
                <c:pt idx="4">
                  <c:v>0.25130000000000002</c:v>
                </c:pt>
                <c:pt idx="5">
                  <c:v>0.24840000000000001</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6="http://schemas.microsoft.com/office/drawing/2014/chart" uri="{C3380CC4-5D6E-409C-BE32-E72D297353CC}">
              <c16:uniqueId val="{00000000-9110-459F-89ED-0EB19466EB7A}"/>
            </c:ext>
          </c:extLst>
        </c:ser>
        <c:ser>
          <c:idx val="1"/>
          <c:order val="1"/>
          <c:tx>
            <c:strRef>
              <c:f>B14A!$A$3</c:f>
              <c:strCache>
                <c:ptCount val="1"/>
                <c:pt idx="0">
                  <c:v>Target &gt;=</c:v>
                </c:pt>
              </c:strCache>
            </c:strRef>
          </c:tx>
          <c:spPr>
            <a:ln w="28575" cap="rnd">
              <a:solidFill>
                <a:srgbClr val="408740"/>
              </a:solidFill>
              <a:round/>
            </a:ln>
            <a:effectLst/>
          </c:spPr>
          <c:marker>
            <c:symbol val="none"/>
          </c:marker>
          <c:dLbls>
            <c:numFmt formatCode="0.00%" sourceLinked="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B14A!$B$1:$G$1</c:f>
              <c:numCache>
                <c:formatCode>General</c:formatCode>
                <c:ptCount val="6"/>
                <c:pt idx="0">
                  <c:v>2014</c:v>
                </c:pt>
                <c:pt idx="1">
                  <c:v>2015</c:v>
                </c:pt>
                <c:pt idx="2">
                  <c:v>2016</c:v>
                </c:pt>
                <c:pt idx="3">
                  <c:v>2017</c:v>
                </c:pt>
                <c:pt idx="4">
                  <c:v>2018</c:v>
                </c:pt>
                <c:pt idx="5">
                  <c:v>2019</c:v>
                </c:pt>
              </c:numCache>
            </c:numRef>
          </c:cat>
          <c:val>
            <c:numRef>
              <c:f>B14A!$B$3:$G$3</c:f>
              <c:numCache>
                <c:formatCode>0.00%</c:formatCode>
                <c:ptCount val="6"/>
                <c:pt idx="0">
                  <c:v>0.28000000000000003</c:v>
                </c:pt>
                <c:pt idx="1">
                  <c:v>0.28999999999999998</c:v>
                </c:pt>
                <c:pt idx="2">
                  <c:v>0.3</c:v>
                </c:pt>
                <c:pt idx="3">
                  <c:v>0.31</c:v>
                </c:pt>
                <c:pt idx="4">
                  <c:v>0.32</c:v>
                </c:pt>
                <c:pt idx="5">
                  <c:v>0.32</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6="http://schemas.microsoft.com/office/drawing/2014/chart" uri="{C3380CC4-5D6E-409C-BE32-E72D297353CC}">
              <c16:uniqueId val="{00000001-9110-459F-89ED-0EB19466EB7A}"/>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35000000000000003"/>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2"/>
      </c:valAx>
      <c:spPr>
        <a:noFill/>
        <a:ln>
          <a:noFill/>
        </a:ln>
        <a:effectLst/>
      </c:spPr>
    </c:plotArea>
    <c:legend>
      <c:legendPos val="r"/>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pr" b="1" i="0" u="none" baseline="0">
                <a:solidFill>
                  <a:srgbClr val="1B75BC"/>
                </a:solidFill>
              </a:rPr>
              <a:t>Datos del indicador B14 de Oregón (resultados posteriores a la escuela)</a:t>
            </a:r>
          </a:p>
          <a:p>
            <a:pPr rtl="0">
              <a:defRPr/>
            </a:pPr>
            <a:r>
              <a:rPr lang="es-pr" sz="900" b="0" i="0" u="none" baseline="0">
                <a:solidFill>
                  <a:srgbClr val="1B75BC"/>
                </a:solidFill>
              </a:rPr>
              <a:t>Porcentaje de jóvenes con IEPs vigentes al momento de dejar la escuela que están inscritos en la educación superior o tienen un empleo competitivo dentro de un año de haber terminado l</a:t>
            </a:r>
          </a:p>
        </c:rich>
      </c:tx>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B14B!$A$2</c:f>
              <c:strCache>
                <c:ptCount val="1"/>
                <c:pt idx="0">
                  <c:v>Data</c:v>
                </c:pt>
              </c:strCache>
            </c:strRef>
          </c:tx>
          <c:spPr>
            <a:ln w="28575" cap="rnd">
              <a:solidFill>
                <a:srgbClr val="1B75BC"/>
              </a:solidFill>
              <a:round/>
            </a:ln>
            <a:effectLst/>
          </c:spPr>
          <c:marker>
            <c:symbol val="none"/>
          </c:marker>
          <c:dLbls>
            <c:dLbl>
              <c:idx val="4"/>
              <c:layout>
                <c:manualLayout>
                  <c:x val="-0.10094070627535204"/>
                  <c:y val="-9.598197331442895E-3"/>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ext>
                <c:ext xmlns:c16="http://schemas.microsoft.com/office/drawing/2014/chart" uri="{C3380CC4-5D6E-409C-BE32-E72D297353CC}">
                  <c16:uniqueId val="{00000007-F28B-4121-B974-F84FDFC24BAD}"/>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B14B!$B$1:$G$1</c:f>
              <c:numCache>
                <c:formatCode>General</c:formatCode>
                <c:ptCount val="6"/>
                <c:pt idx="0">
                  <c:v>2014</c:v>
                </c:pt>
                <c:pt idx="1">
                  <c:v>2015</c:v>
                </c:pt>
                <c:pt idx="2">
                  <c:v>2016</c:v>
                </c:pt>
                <c:pt idx="3">
                  <c:v>2017</c:v>
                </c:pt>
                <c:pt idx="4">
                  <c:v>2018</c:v>
                </c:pt>
                <c:pt idx="5">
                  <c:v>2019</c:v>
                </c:pt>
              </c:numCache>
            </c:numRef>
          </c:cat>
          <c:val>
            <c:numRef>
              <c:f>B14B!$B$2:$G$2</c:f>
              <c:numCache>
                <c:formatCode>0.00%</c:formatCode>
                <c:ptCount val="6"/>
                <c:pt idx="0">
                  <c:v>0.56399999999999995</c:v>
                </c:pt>
                <c:pt idx="1">
                  <c:v>0.59519999999999995</c:v>
                </c:pt>
                <c:pt idx="2">
                  <c:v>0.60460000000000003</c:v>
                </c:pt>
                <c:pt idx="3">
                  <c:v>0.61990000000000001</c:v>
                </c:pt>
                <c:pt idx="4">
                  <c:v>0.46460000000000001</c:v>
                </c:pt>
                <c:pt idx="5">
                  <c:v>0.60609999999999997</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6="http://schemas.microsoft.com/office/drawing/2014/chart" uri="{C3380CC4-5D6E-409C-BE32-E72D297353CC}">
              <c16:uniqueId val="{00000000-F28B-4121-B974-F84FDFC24BAD}"/>
            </c:ext>
          </c:extLst>
        </c:ser>
        <c:ser>
          <c:idx val="1"/>
          <c:order val="1"/>
          <c:tx>
            <c:strRef>
              <c:f>B14B!$A$3</c:f>
              <c:strCache>
                <c:ptCount val="1"/>
                <c:pt idx="0">
                  <c:v>Target &gt;=</c:v>
                </c:pt>
              </c:strCache>
            </c:strRef>
          </c:tx>
          <c:spPr>
            <a:ln w="28575" cap="rnd">
              <a:solidFill>
                <a:srgbClr val="408740"/>
              </a:solidFill>
              <a:round/>
            </a:ln>
            <a:effectLst/>
          </c:spPr>
          <c:marker>
            <c:symbol val="none"/>
          </c:marker>
          <c:dLbls>
            <c:dLbl>
              <c:idx val="0"/>
              <c:layout>
                <c:manualLayout>
                  <c:x val="-5.5486160820806513E-2"/>
                  <c:y val="6.11413525077854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ext>
                <c:ext xmlns:c16="http://schemas.microsoft.com/office/drawing/2014/chart" uri="{C3380CC4-5D6E-409C-BE32-E72D297353CC}">
                  <c16:uniqueId val="{00000002-F28B-4121-B974-F84FDFC24BAD}"/>
                </c:ext>
              </c:extLst>
            </c:dLbl>
            <c:dLbl>
              <c:idx val="1"/>
              <c:layout>
                <c:manualLayout>
                  <c:x val="-5.8011413346058971E-2"/>
                  <c:y val="6.11413525077854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ext>
                <c:ext xmlns:c16="http://schemas.microsoft.com/office/drawing/2014/chart" uri="{C3380CC4-5D6E-409C-BE32-E72D297353CC}">
                  <c16:uniqueId val="{00000003-F28B-4121-B974-F84FDFC24BAD}"/>
                </c:ext>
              </c:extLst>
            </c:dLbl>
            <c:dLbl>
              <c:idx val="2"/>
              <c:layout>
                <c:manualLayout>
                  <c:x val="-5.5486160820806534E-2"/>
                  <c:y val="6.11413525077854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ext>
                <c:ext xmlns:c16="http://schemas.microsoft.com/office/drawing/2014/chart" uri="{C3380CC4-5D6E-409C-BE32-E72D297353CC}">
                  <c16:uniqueId val="{00000004-F28B-4121-B974-F84FDFC24BAD}"/>
                </c:ext>
              </c:extLst>
            </c:dLbl>
            <c:dLbl>
              <c:idx val="3"/>
              <c:layout>
                <c:manualLayout>
                  <c:x val="-5.5486160820806492E-2"/>
                  <c:y val="6.757222067498786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ext>
                <c:ext xmlns:c16="http://schemas.microsoft.com/office/drawing/2014/chart" uri="{C3380CC4-5D6E-409C-BE32-E72D297353CC}">
                  <c16:uniqueId val="{00000005-F28B-4121-B974-F84FDFC24BAD}"/>
                </c:ext>
              </c:extLst>
            </c:dLbl>
            <c:dLbl>
              <c:idx val="5"/>
              <c:layout>
                <c:manualLayout>
                  <c:x val="-5.5486160820806582E-2"/>
                  <c:y val="7.4003088842190548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ext>
                <c:ext xmlns:c16="http://schemas.microsoft.com/office/drawing/2014/chart" uri="{C3380CC4-5D6E-409C-BE32-E72D297353CC}">
                  <c16:uniqueId val="{00000006-F28B-4121-B974-F84FDFC24BAD}"/>
                </c:ext>
              </c:extLst>
            </c:dLbl>
            <c:numFmt formatCode="0.00%" sourceLinked="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15:showLeaderLines val="0"/>
              </c:ext>
            </c:extLst>
          </c:dLbls>
          <c:cat>
            <c:numRef>
              <c:f>B14B!$B$1:$G$1</c:f>
              <c:numCache>
                <c:formatCode>General</c:formatCode>
                <c:ptCount val="6"/>
                <c:pt idx="0">
                  <c:v>2014</c:v>
                </c:pt>
                <c:pt idx="1">
                  <c:v>2015</c:v>
                </c:pt>
                <c:pt idx="2">
                  <c:v>2016</c:v>
                </c:pt>
                <c:pt idx="3">
                  <c:v>2017</c:v>
                </c:pt>
                <c:pt idx="4">
                  <c:v>2018</c:v>
                </c:pt>
                <c:pt idx="5">
                  <c:v>2019</c:v>
                </c:pt>
              </c:numCache>
            </c:numRef>
          </c:cat>
          <c:val>
            <c:numRef>
              <c:f>B14B!$B$3:$G$3</c:f>
              <c:numCache>
                <c:formatCode>0.00%</c:formatCode>
                <c:ptCount val="6"/>
                <c:pt idx="0">
                  <c:v>0.55000000000000004</c:v>
                </c:pt>
                <c:pt idx="1">
                  <c:v>0.55000000000000004</c:v>
                </c:pt>
                <c:pt idx="2">
                  <c:v>0.55500000000000005</c:v>
                </c:pt>
                <c:pt idx="3">
                  <c:v>0.55500000000000005</c:v>
                </c:pt>
                <c:pt idx="4">
                  <c:v>0.56000000000000005</c:v>
                </c:pt>
                <c:pt idx="5">
                  <c:v>0.56000000000000005</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6="http://schemas.microsoft.com/office/drawing/2014/chart" uri="{C3380CC4-5D6E-409C-BE32-E72D297353CC}">
              <c16:uniqueId val="{00000001-F28B-4121-B974-F84FDFC24BAD}"/>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65000000000000013"/>
          <c:min val="0.45"/>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spPr>
        <a:noFill/>
        <a:ln>
          <a:noFill/>
        </a:ln>
        <a:effectLst/>
      </c:spPr>
    </c:plotArea>
    <c:legend>
      <c:legendPos val="r"/>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pr" b="1" i="0" u="none" baseline="0">
                <a:solidFill>
                  <a:srgbClr val="1B75BC"/>
                </a:solidFill>
              </a:rPr>
              <a:t>Datos del indicador B14 de Oregón (resultados posteriores a la escuela)</a:t>
            </a:r>
          </a:p>
          <a:p>
            <a:pPr rtl="0">
              <a:defRPr/>
            </a:pPr>
            <a:r>
              <a:rPr lang="es-pr" sz="800" b="0" i="0" u="none" strike="noStrike" baseline="0">
                <a:solidFill>
                  <a:srgbClr val="1B75BC"/>
                </a:solidFill>
                <a:effectLst/>
              </a:rPr>
              <a:t>Porcentaje de jóvenes con IEPs vigentes al momento de dejar la escuela que están inscritos en la educación superior, inscritos en algún otro programa de educación o capacitación postse</a:t>
            </a:r>
            <a:endParaRPr lang="es-pr" sz="800" b="1">
              <a:solidFill>
                <a:srgbClr val="1B75BC"/>
              </a:solidFill>
            </a:endParaRPr>
          </a:p>
        </c:rich>
      </c:tx>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B14C!$A$2</c:f>
              <c:strCache>
                <c:ptCount val="1"/>
                <c:pt idx="0">
                  <c:v>Data</c:v>
                </c:pt>
              </c:strCache>
            </c:strRef>
          </c:tx>
          <c:spPr>
            <a:ln w="28575" cap="rnd">
              <a:solidFill>
                <a:srgbClr val="1B75BC"/>
              </a:solidFill>
              <a:round/>
            </a:ln>
            <a:effectLst/>
          </c:spPr>
          <c:marker>
            <c:symbol val="none"/>
          </c:marker>
          <c:dLbls>
            <c:dLbl>
              <c:idx val="3"/>
              <c:layout>
                <c:manualLayout>
                  <c:x val="-7.1282252331472701E-2"/>
                  <c:y val="-6.0562626895889357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ext>
                <c:ext xmlns:c16="http://schemas.microsoft.com/office/drawing/2014/chart" uri="{C3380CC4-5D6E-409C-BE32-E72D297353CC}">
                  <c16:uniqueId val="{00000000-35CF-41D5-9DF2-09759658DB2F}"/>
                </c:ext>
              </c:extLst>
            </c:dLbl>
            <c:dLbl>
              <c:idx val="5"/>
              <c:layout>
                <c:manualLayout>
                  <c:x val="-3.8386477819892892E-2"/>
                  <c:y val="-5.2294929872288072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ext>
                <c:ext xmlns:c16="http://schemas.microsoft.com/office/drawing/2014/chart" uri="{C3380CC4-5D6E-409C-BE32-E72D297353CC}">
                  <c16:uniqueId val="{00000001-35CF-41D5-9DF2-09759658DB2F}"/>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15:showLeaderLines val="0"/>
              </c:ext>
            </c:extLst>
          </c:dLbls>
          <c:cat>
            <c:numRef>
              <c:f>B14C!$B$1:$G$1</c:f>
              <c:numCache>
                <c:formatCode>General</c:formatCode>
                <c:ptCount val="6"/>
                <c:pt idx="0">
                  <c:v>2014</c:v>
                </c:pt>
                <c:pt idx="1">
                  <c:v>2015</c:v>
                </c:pt>
                <c:pt idx="2">
                  <c:v>2016</c:v>
                </c:pt>
                <c:pt idx="3">
                  <c:v>2017</c:v>
                </c:pt>
                <c:pt idx="4">
                  <c:v>2018</c:v>
                </c:pt>
                <c:pt idx="5">
                  <c:v>2019</c:v>
                </c:pt>
              </c:numCache>
            </c:numRef>
          </c:cat>
          <c:val>
            <c:numRef>
              <c:f>B14C!$B$2:$G$2</c:f>
              <c:numCache>
                <c:formatCode>0.00%</c:formatCode>
                <c:ptCount val="6"/>
                <c:pt idx="0">
                  <c:v>0.71340000000000003</c:v>
                </c:pt>
                <c:pt idx="1">
                  <c:v>0.73240000000000005</c:v>
                </c:pt>
                <c:pt idx="2">
                  <c:v>0.74590000000000001</c:v>
                </c:pt>
                <c:pt idx="3">
                  <c:v>0.74199999999999999</c:v>
                </c:pt>
                <c:pt idx="4">
                  <c:v>0.81559999999999999</c:v>
                </c:pt>
                <c:pt idx="5">
                  <c:v>0.77159999999999995</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6="http://schemas.microsoft.com/office/drawing/2014/chart" uri="{C3380CC4-5D6E-409C-BE32-E72D297353CC}">
              <c16:uniqueId val="{00000002-35CF-41D5-9DF2-09759658DB2F}"/>
            </c:ext>
          </c:extLst>
        </c:ser>
        <c:ser>
          <c:idx val="1"/>
          <c:order val="1"/>
          <c:tx>
            <c:strRef>
              <c:f>B14C!$A$3</c:f>
              <c:strCache>
                <c:ptCount val="1"/>
                <c:pt idx="0">
                  <c:v>Target &gt;=</c:v>
                </c:pt>
              </c:strCache>
            </c:strRef>
          </c:tx>
          <c:spPr>
            <a:ln w="28575" cap="rnd">
              <a:solidFill>
                <a:srgbClr val="408740"/>
              </a:solidFill>
              <a:round/>
            </a:ln>
            <a:effectLst/>
          </c:spPr>
          <c:marker>
            <c:symbol val="none"/>
          </c:marker>
          <c:dLbls>
            <c:dLbl>
              <c:idx val="0"/>
              <c:layout>
                <c:manualLayout>
                  <c:x val="-4.4456279584309387E-2"/>
                  <c:y val="3.0146577104530437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ext>
                <c:ext xmlns:c16="http://schemas.microsoft.com/office/drawing/2014/chart" uri="{C3380CC4-5D6E-409C-BE32-E72D297353CC}">
                  <c16:uniqueId val="{00000003-35CF-41D5-9DF2-09759658DB2F}"/>
                </c:ext>
              </c:extLst>
            </c:dLbl>
            <c:dLbl>
              <c:idx val="1"/>
              <c:layout>
                <c:manualLayout>
                  <c:x val="-3.8386477819892927E-2"/>
                  <c:y val="3.9659058678778725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ext>
                <c:ext xmlns:c16="http://schemas.microsoft.com/office/drawing/2014/chart" uri="{C3380CC4-5D6E-409C-BE32-E72D297353CC}">
                  <c16:uniqueId val="{00000004-35CF-41D5-9DF2-09759658DB2F}"/>
                </c:ext>
              </c:extLst>
            </c:dLbl>
            <c:dLbl>
              <c:idx val="2"/>
              <c:layout>
                <c:manualLayout>
                  <c:x val="-4.4456279584309387E-2"/>
                  <c:y val="3.3317404295946533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ext>
                <c:ext xmlns:c16="http://schemas.microsoft.com/office/drawing/2014/chart" uri="{C3380CC4-5D6E-409C-BE32-E72D297353CC}">
                  <c16:uniqueId val="{00000005-35CF-41D5-9DF2-09759658DB2F}"/>
                </c:ext>
              </c:extLst>
            </c:dLbl>
            <c:dLbl>
              <c:idx val="3"/>
              <c:layout>
                <c:manualLayout>
                  <c:x val="-4.4456279584309311E-2"/>
                  <c:y val="3.3317404295946533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ext>
                <c:ext xmlns:c16="http://schemas.microsoft.com/office/drawing/2014/chart" uri="{C3380CC4-5D6E-409C-BE32-E72D297353CC}">
                  <c16:uniqueId val="{00000006-35CF-41D5-9DF2-09759658DB2F}"/>
                </c:ext>
              </c:extLst>
            </c:dLbl>
            <c:dLbl>
              <c:idx val="4"/>
              <c:layout>
                <c:manualLayout>
                  <c:x val="-3.6363210565087394E-2"/>
                  <c:y val="4.2829885870194824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ext>
                <c:ext xmlns:c16="http://schemas.microsoft.com/office/drawing/2014/chart" uri="{C3380CC4-5D6E-409C-BE32-E72D297353CC}">
                  <c16:uniqueId val="{00000007-35CF-41D5-9DF2-09759658DB2F}"/>
                </c:ext>
              </c:extLst>
            </c:dLbl>
            <c:dLbl>
              <c:idx val="5"/>
              <c:layout>
                <c:manualLayout>
                  <c:x val="-4.4456279584309533E-2"/>
                  <c:y val="3.3317404295946533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ext>
                <c:ext xmlns:c16="http://schemas.microsoft.com/office/drawing/2014/chart" uri="{C3380CC4-5D6E-409C-BE32-E72D297353CC}">
                  <c16:uniqueId val="{00000008-35CF-41D5-9DF2-09759658DB2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showLeaderLines val="0"/>
              </c:ext>
            </c:extLst>
          </c:dLbls>
          <c:cat>
            <c:numRef>
              <c:f>B14C!$B$1:$G$1</c:f>
              <c:numCache>
                <c:formatCode>General</c:formatCode>
                <c:ptCount val="6"/>
                <c:pt idx="0">
                  <c:v>2014</c:v>
                </c:pt>
                <c:pt idx="1">
                  <c:v>2015</c:v>
                </c:pt>
                <c:pt idx="2">
                  <c:v>2016</c:v>
                </c:pt>
                <c:pt idx="3">
                  <c:v>2017</c:v>
                </c:pt>
                <c:pt idx="4">
                  <c:v>2018</c:v>
                </c:pt>
                <c:pt idx="5">
                  <c:v>2019</c:v>
                </c:pt>
              </c:numCache>
            </c:numRef>
          </c:cat>
          <c:val>
            <c:numRef>
              <c:f>B14C!$B$3:$G$3</c:f>
              <c:numCache>
                <c:formatCode>0.00%</c:formatCode>
                <c:ptCount val="6"/>
                <c:pt idx="0">
                  <c:v>0.7</c:v>
                </c:pt>
                <c:pt idx="1">
                  <c:v>0.72</c:v>
                </c:pt>
                <c:pt idx="2">
                  <c:v>0.72</c:v>
                </c:pt>
                <c:pt idx="3">
                  <c:v>0.72</c:v>
                </c:pt>
                <c:pt idx="4">
                  <c:v>0.74</c:v>
                </c:pt>
                <c:pt idx="5">
                  <c:v>0.74</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6="http://schemas.microsoft.com/office/drawing/2014/chart" uri="{C3380CC4-5D6E-409C-BE32-E72D297353CC}">
              <c16:uniqueId val="{00000009-35CF-41D5-9DF2-09759658DB2F}"/>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85000000000000009"/>
          <c:min val="0.65000000000000013"/>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2"/>
      </c:valAx>
      <c:spPr>
        <a:noFill/>
        <a:ln>
          <a:noFill/>
        </a:ln>
        <a:effectLst/>
      </c:spPr>
    </c:plotArea>
    <c:legend>
      <c:legendPos val="r"/>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2021-12-17T00:31:59+00:00</Remediation_x0020_Date>
  </documentManagement>
</p:properties>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3C930DD0-CEF3-4B35-85D3-D92DEDA90151}"/>
</file>

<file path=customXml/itemProps3.xml><?xml version="1.0" encoding="utf-8"?>
<ds:datastoreItem xmlns:ds="http://schemas.openxmlformats.org/officeDocument/2006/customXml" ds:itemID="{85CC21F9-4EE9-4382-8358-CB255CA66444}">
  <ds:schemaRefs>
    <ds:schemaRef ds:uri="http://purl.org/dc/elements/1.1/"/>
    <ds:schemaRef ds:uri="http://schemas.microsoft.com/office/2006/metadata/properties"/>
    <ds:schemaRef ds:uri="b47477c3-cea5-4644-a2b9-72f12b741c1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f305cf4-7e8c-42e6-816c-ef6b646f0a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2021-12-16T18:55:00Z</dcterms:created>
  <dcterms:modified xsi:type="dcterms:W3CDTF">2021-12-16T18:55:00Z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