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540"/>
        <w:gridCol w:w="2700"/>
        <w:gridCol w:w="2700"/>
        <w:gridCol w:w="2700"/>
      </w:tblGrid>
      <w:tr w:rsidR="204AC3FC" w14:paraId="17113DD3" w14:textId="77777777" w:rsidTr="00F21CA2">
        <w:trPr>
          <w:tblHeader/>
        </w:trPr>
        <w:tc>
          <w:tcPr>
            <w:tcW w:w="2160" w:type="dxa"/>
            <w:vAlign w:val="center"/>
          </w:tcPr>
          <w:p w14:paraId="26CCAD8A" w14:textId="77777777" w:rsidR="204AC3FC" w:rsidRDefault="204AC3FC" w:rsidP="00C066F2">
            <w:pPr>
              <w:jc w:val="center"/>
              <w:rPr>
                <w:rFonts w:eastAsia="Arial"/>
                <w:b/>
                <w:bCs/>
                <w:color w:val="082A75"/>
                <w:sz w:val="36"/>
                <w:szCs w:val="36"/>
              </w:rPr>
            </w:pPr>
            <w:bookmarkStart w:id="0" w:name="_GoBack"/>
            <w:bookmarkEnd w:id="0"/>
            <w:r>
              <w:rPr>
                <w:noProof/>
              </w:rPr>
              <w:drawing>
                <wp:inline distT="0" distB="0" distL="0" distR="0" wp14:anchorId="3C36570A" wp14:editId="4EADA843">
                  <wp:extent cx="1077554" cy="1145969"/>
                  <wp:effectExtent l="0" t="0" r="8890" b="0"/>
                  <wp:docPr id="388229994" name="Picture 1944659586" descr="Logotipo de ODE" title="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8640" w:type="dxa"/>
            <w:gridSpan w:val="4"/>
            <w:vAlign w:val="center"/>
          </w:tcPr>
          <w:p w14:paraId="58955EBA" w14:textId="1151C00B" w:rsidR="204AC3FC" w:rsidRPr="00E20468" w:rsidRDefault="006A200C" w:rsidP="00C066F2">
            <w:pPr>
              <w:pStyle w:val="Title"/>
              <w:spacing w:after="200"/>
              <w:jc w:val="center"/>
              <w:rPr>
                <w:rFonts w:asciiTheme="minorHAnsi" w:eastAsia="Arial" w:hAnsiTheme="minorHAnsi" w:cstheme="minorBidi"/>
                <w:b/>
                <w:bCs/>
                <w:color w:val="1B75BC"/>
                <w:sz w:val="48"/>
                <w:szCs w:val="48"/>
              </w:rPr>
            </w:pPr>
            <w:r w:rsidRPr="006A200C">
              <w:rPr>
                <w:rFonts w:asciiTheme="minorHAnsi" w:eastAsia="Arial" w:hAnsiTheme="minorHAnsi" w:cstheme="minorBidi"/>
                <w:b/>
                <w:bCs/>
                <w:color w:val="1B75BC"/>
                <w:sz w:val="48"/>
                <w:szCs w:val="48"/>
              </w:rPr>
              <w:t xml:space="preserve">Plan de desempeño </w:t>
            </w:r>
            <w:r w:rsidR="003050A0" w:rsidRPr="006A200C">
              <w:rPr>
                <w:rFonts w:asciiTheme="minorHAnsi" w:eastAsia="Arial" w:hAnsiTheme="minorHAnsi" w:cstheme="minorBidi"/>
                <w:b/>
                <w:bCs/>
                <w:color w:val="1B75BC"/>
                <w:sz w:val="48"/>
                <w:szCs w:val="48"/>
              </w:rPr>
              <w:t xml:space="preserve">estatal </w:t>
            </w:r>
            <w:r w:rsidRPr="006A200C">
              <w:rPr>
                <w:rFonts w:asciiTheme="minorHAnsi" w:eastAsia="Arial" w:hAnsiTheme="minorHAnsi" w:cstheme="minorBidi"/>
                <w:b/>
                <w:bCs/>
                <w:color w:val="1B75BC"/>
                <w:sz w:val="48"/>
                <w:szCs w:val="48"/>
              </w:rPr>
              <w:t>(SPP)</w:t>
            </w:r>
          </w:p>
          <w:p w14:paraId="7D396B4A" w14:textId="62910624" w:rsidR="204AC3FC" w:rsidRPr="00E20468" w:rsidRDefault="006A200C" w:rsidP="00C066F2">
            <w:pPr>
              <w:pStyle w:val="Title"/>
              <w:spacing w:after="200"/>
              <w:jc w:val="center"/>
              <w:rPr>
                <w:rFonts w:asciiTheme="minorHAnsi" w:eastAsia="Arial" w:hAnsiTheme="minorHAnsi" w:cstheme="minorBidi"/>
                <w:b/>
                <w:bCs/>
                <w:color w:val="1B75BC"/>
                <w:sz w:val="48"/>
                <w:szCs w:val="48"/>
              </w:rPr>
            </w:pPr>
            <w:r w:rsidRPr="006A200C">
              <w:rPr>
                <w:rFonts w:asciiTheme="minorHAnsi" w:eastAsia="Arial" w:hAnsiTheme="minorHAnsi" w:cstheme="minorBidi"/>
                <w:b/>
                <w:bCs/>
                <w:color w:val="1B75BC"/>
                <w:sz w:val="48"/>
                <w:szCs w:val="48"/>
              </w:rPr>
              <w:t xml:space="preserve">Hoja </w:t>
            </w:r>
            <w:r w:rsidR="003050A0">
              <w:rPr>
                <w:rFonts w:asciiTheme="minorHAnsi" w:eastAsia="Arial" w:hAnsiTheme="minorHAnsi" w:cstheme="minorBidi"/>
                <w:b/>
                <w:bCs/>
                <w:color w:val="1B75BC"/>
                <w:sz w:val="48"/>
                <w:szCs w:val="48"/>
              </w:rPr>
              <w:t>de datos</w:t>
            </w:r>
          </w:p>
          <w:p w14:paraId="6AC6F17C" w14:textId="2F9C2EE6" w:rsidR="204AC3FC" w:rsidRDefault="006A200C" w:rsidP="003050A0">
            <w:pPr>
              <w:jc w:val="center"/>
              <w:rPr>
                <w:b/>
                <w:bCs/>
                <w:color w:val="082A75"/>
                <w:sz w:val="31"/>
                <w:szCs w:val="31"/>
              </w:rPr>
            </w:pPr>
            <w:r w:rsidRPr="006A200C">
              <w:rPr>
                <w:rFonts w:eastAsia="Arial"/>
                <w:b/>
                <w:bCs/>
                <w:color w:val="1B75BC"/>
                <w:sz w:val="32"/>
                <w:szCs w:val="32"/>
              </w:rPr>
              <w:t xml:space="preserve">Indicador B17: Plan </w:t>
            </w:r>
            <w:r w:rsidR="003050A0">
              <w:rPr>
                <w:rFonts w:eastAsia="Arial"/>
                <w:b/>
                <w:bCs/>
                <w:color w:val="1B75BC"/>
                <w:sz w:val="32"/>
                <w:szCs w:val="32"/>
              </w:rPr>
              <w:t>e</w:t>
            </w:r>
            <w:r w:rsidRPr="006A200C">
              <w:rPr>
                <w:rFonts w:eastAsia="Arial"/>
                <w:b/>
                <w:bCs/>
                <w:color w:val="1B75BC"/>
                <w:sz w:val="32"/>
                <w:szCs w:val="32"/>
              </w:rPr>
              <w:t xml:space="preserve">statal de </w:t>
            </w:r>
            <w:r w:rsidR="003050A0">
              <w:rPr>
                <w:rFonts w:eastAsia="Arial"/>
                <w:b/>
                <w:bCs/>
                <w:color w:val="1B75BC"/>
                <w:sz w:val="32"/>
                <w:szCs w:val="32"/>
              </w:rPr>
              <w:t>m</w:t>
            </w:r>
            <w:r w:rsidRPr="006A200C">
              <w:rPr>
                <w:rFonts w:eastAsia="Arial"/>
                <w:b/>
                <w:bCs/>
                <w:color w:val="1B75BC"/>
                <w:sz w:val="32"/>
                <w:szCs w:val="32"/>
              </w:rPr>
              <w:t xml:space="preserve">ejoramiento </w:t>
            </w:r>
            <w:r w:rsidR="003050A0">
              <w:rPr>
                <w:rFonts w:eastAsia="Arial"/>
                <w:b/>
                <w:bCs/>
                <w:color w:val="1B75BC"/>
                <w:sz w:val="32"/>
                <w:szCs w:val="32"/>
              </w:rPr>
              <w:t>s</w:t>
            </w:r>
            <w:r w:rsidRPr="006A200C">
              <w:rPr>
                <w:rFonts w:eastAsia="Arial"/>
                <w:b/>
                <w:bCs/>
                <w:color w:val="1B75BC"/>
                <w:sz w:val="32"/>
                <w:szCs w:val="32"/>
              </w:rPr>
              <w:t>istémico</w:t>
            </w:r>
          </w:p>
        </w:tc>
      </w:tr>
      <w:tr w:rsidR="204AC3FC" w14:paraId="4709CF47" w14:textId="77777777" w:rsidTr="001E76B5">
        <w:trPr>
          <w:trHeight w:val="72"/>
        </w:trPr>
        <w:tc>
          <w:tcPr>
            <w:tcW w:w="2700" w:type="dxa"/>
            <w:gridSpan w:val="2"/>
            <w:shd w:val="clear" w:color="auto" w:fill="9F2065"/>
          </w:tcPr>
          <w:p w14:paraId="7C73D1E1" w14:textId="77777777" w:rsidR="204AC3FC" w:rsidRDefault="204AC3FC" w:rsidP="00C066F2">
            <w:pPr>
              <w:rPr>
                <w:noProof/>
              </w:rPr>
            </w:pPr>
          </w:p>
        </w:tc>
        <w:tc>
          <w:tcPr>
            <w:tcW w:w="2700" w:type="dxa"/>
            <w:shd w:val="clear" w:color="auto" w:fill="E26B2A"/>
          </w:tcPr>
          <w:p w14:paraId="0B0317DC" w14:textId="77777777" w:rsidR="204AC3FC" w:rsidRDefault="204AC3FC" w:rsidP="00C066F2">
            <w:pPr>
              <w:pStyle w:val="Title"/>
              <w:rPr>
                <w:rFonts w:asciiTheme="minorHAnsi" w:eastAsia="Arial" w:hAnsiTheme="minorHAnsi" w:cstheme="minorBidi"/>
                <w:b/>
                <w:bCs/>
                <w:color w:val="082974"/>
                <w:sz w:val="22"/>
                <w:szCs w:val="22"/>
              </w:rPr>
            </w:pPr>
          </w:p>
        </w:tc>
        <w:tc>
          <w:tcPr>
            <w:tcW w:w="2700" w:type="dxa"/>
            <w:shd w:val="clear" w:color="auto" w:fill="1B75BC"/>
          </w:tcPr>
          <w:p w14:paraId="3E076059" w14:textId="77777777" w:rsidR="204AC3FC" w:rsidRDefault="204AC3FC" w:rsidP="00C066F2">
            <w:pPr>
              <w:pStyle w:val="Title"/>
              <w:rPr>
                <w:rFonts w:asciiTheme="minorHAnsi" w:eastAsia="Arial" w:hAnsiTheme="minorHAnsi" w:cstheme="minorBidi"/>
                <w:b/>
                <w:bCs/>
                <w:color w:val="082974"/>
                <w:sz w:val="22"/>
                <w:szCs w:val="22"/>
              </w:rPr>
            </w:pPr>
          </w:p>
        </w:tc>
        <w:tc>
          <w:tcPr>
            <w:tcW w:w="2700" w:type="dxa"/>
            <w:shd w:val="clear" w:color="auto" w:fill="408740"/>
          </w:tcPr>
          <w:p w14:paraId="19C2862C" w14:textId="46579079" w:rsidR="204AC3FC" w:rsidRDefault="204AC3FC" w:rsidP="00C066F2">
            <w:pPr>
              <w:pStyle w:val="Title"/>
              <w:rPr>
                <w:rFonts w:asciiTheme="minorHAnsi" w:eastAsia="Arial" w:hAnsiTheme="minorHAnsi" w:cstheme="minorBidi"/>
                <w:b/>
                <w:bCs/>
                <w:color w:val="082974"/>
                <w:sz w:val="22"/>
                <w:szCs w:val="22"/>
              </w:rPr>
            </w:pPr>
          </w:p>
        </w:tc>
      </w:tr>
    </w:tbl>
    <w:p w14:paraId="49F58273" w14:textId="4355192F" w:rsidR="000E4FA0" w:rsidRPr="00D01E3F" w:rsidRDefault="006A200C" w:rsidP="006665C6">
      <w:pPr>
        <w:pStyle w:val="Heading1"/>
        <w:spacing w:before="120" w:line="240" w:lineRule="auto"/>
        <w:rPr>
          <w:rFonts w:asciiTheme="minorHAnsi" w:hAnsiTheme="minorHAnsi" w:cstheme="minorBidi"/>
          <w:b/>
          <w:bCs/>
          <w:color w:val="1B75BC"/>
        </w:rPr>
      </w:pPr>
      <w:r w:rsidRPr="006A200C">
        <w:rPr>
          <w:rFonts w:ascii="Calibri" w:eastAsia="Calibri" w:hAnsi="Calibri" w:cs="Calibri"/>
          <w:b/>
          <w:bCs/>
          <w:color w:val="1B75BC"/>
        </w:rPr>
        <w:t xml:space="preserve">Plan de </w:t>
      </w:r>
      <w:r w:rsidR="003050A0">
        <w:rPr>
          <w:rFonts w:ascii="Calibri" w:eastAsia="Calibri" w:hAnsi="Calibri" w:cs="Calibri"/>
          <w:b/>
          <w:bCs/>
          <w:color w:val="1B75BC"/>
        </w:rPr>
        <w:t>d</w:t>
      </w:r>
      <w:r w:rsidRPr="006A200C">
        <w:rPr>
          <w:rFonts w:ascii="Calibri" w:eastAsia="Calibri" w:hAnsi="Calibri" w:cs="Calibri"/>
          <w:b/>
          <w:bCs/>
          <w:color w:val="1B75BC"/>
        </w:rPr>
        <w:t xml:space="preserve">esempeño del </w:t>
      </w:r>
      <w:r w:rsidR="003050A0">
        <w:rPr>
          <w:rFonts w:ascii="Calibri" w:eastAsia="Calibri" w:hAnsi="Calibri" w:cs="Calibri"/>
          <w:b/>
          <w:bCs/>
          <w:color w:val="1B75BC"/>
        </w:rPr>
        <w:t>estado de Orego</w:t>
      </w:r>
      <w:r w:rsidRPr="006A200C">
        <w:rPr>
          <w:rFonts w:ascii="Calibri" w:eastAsia="Calibri" w:hAnsi="Calibri" w:cs="Calibri"/>
          <w:b/>
          <w:bCs/>
          <w:color w:val="1B75BC"/>
        </w:rPr>
        <w:t>n</w:t>
      </w:r>
    </w:p>
    <w:p w14:paraId="4EE7ECDE" w14:textId="701DC097" w:rsidR="006A200C" w:rsidRDefault="006A200C" w:rsidP="001E76B5">
      <w:pPr>
        <w:spacing w:after="120" w:line="240" w:lineRule="auto"/>
        <w:rPr>
          <w:rFonts w:ascii="Calibri" w:eastAsia="Calibri" w:hAnsi="Calibri" w:cs="Calibri"/>
          <w:color w:val="000000" w:themeColor="text1"/>
        </w:rPr>
      </w:pPr>
      <w:r w:rsidRPr="006A200C">
        <w:rPr>
          <w:rFonts w:ascii="Calibri" w:eastAsia="Calibri" w:hAnsi="Calibri" w:cs="Calibri"/>
          <w:color w:val="000000" w:themeColor="text1"/>
        </w:rPr>
        <w:t xml:space="preserve">Bajo la Ley de Educación para </w:t>
      </w:r>
      <w:r w:rsidR="00E61B47">
        <w:rPr>
          <w:rFonts w:ascii="Calibri" w:eastAsia="Calibri" w:hAnsi="Calibri" w:cs="Calibri"/>
          <w:color w:val="000000" w:themeColor="text1"/>
        </w:rPr>
        <w:t>Personas</w:t>
      </w:r>
      <w:r w:rsidRPr="006A200C">
        <w:rPr>
          <w:rFonts w:ascii="Calibri" w:eastAsia="Calibri" w:hAnsi="Calibri" w:cs="Calibri"/>
          <w:color w:val="000000" w:themeColor="text1"/>
        </w:rPr>
        <w:t xml:space="preserve">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La OSEP establece los objetivos para los indicadores de cumplimiento y </w:t>
      </w:r>
      <w:r w:rsidR="00E61B47">
        <w:rPr>
          <w:rFonts w:ascii="Calibri" w:eastAsia="Calibri" w:hAnsi="Calibri" w:cs="Calibri"/>
          <w:color w:val="000000" w:themeColor="text1"/>
        </w:rPr>
        <w:t>el</w:t>
      </w:r>
      <w:r w:rsidRPr="006A200C">
        <w:rPr>
          <w:rFonts w:ascii="Calibri" w:eastAsia="Calibri" w:hAnsi="Calibri" w:cs="Calibri"/>
          <w:color w:val="000000" w:themeColor="text1"/>
        </w:rPr>
        <w:t xml:space="preserve"> ODE establece </w:t>
      </w:r>
      <w:r w:rsidR="00E61B47">
        <w:rPr>
          <w:rFonts w:ascii="Calibri" w:eastAsia="Calibri" w:hAnsi="Calibri" w:cs="Calibri"/>
          <w:color w:val="000000" w:themeColor="text1"/>
        </w:rPr>
        <w:t xml:space="preserve">los </w:t>
      </w:r>
      <w:r w:rsidRPr="006A200C">
        <w:rPr>
          <w:rFonts w:ascii="Calibri" w:eastAsia="Calibri" w:hAnsi="Calibri" w:cs="Calibri"/>
          <w:color w:val="000000" w:themeColor="text1"/>
        </w:rPr>
        <w:t xml:space="preserve">objetivos para los indicadores de resultados. El SPP debe incluir objetivos para cada indicador de resultados. </w:t>
      </w:r>
      <w:r w:rsidR="00E61B47">
        <w:rPr>
          <w:rFonts w:ascii="Calibri" w:eastAsia="Calibri" w:hAnsi="Calibri" w:cs="Calibri"/>
          <w:color w:val="000000" w:themeColor="text1"/>
        </w:rPr>
        <w:t>El</w:t>
      </w:r>
      <w:r w:rsidRPr="006A200C">
        <w:rPr>
          <w:rFonts w:ascii="Calibri" w:eastAsia="Calibri" w:hAnsi="Calibri" w:cs="Calibri"/>
          <w:color w:val="000000" w:themeColor="text1"/>
        </w:rPr>
        <w:t xml:space="preserve"> ODE informa sobre el progreso realizado hacia estos indicadores cada año en el Informe de </w:t>
      </w:r>
      <w:r w:rsidR="00673685">
        <w:rPr>
          <w:rFonts w:ascii="Calibri" w:eastAsia="Calibri" w:hAnsi="Calibri" w:cs="Calibri"/>
          <w:color w:val="000000" w:themeColor="text1"/>
        </w:rPr>
        <w:t>d</w:t>
      </w:r>
      <w:r w:rsidRPr="006A200C">
        <w:rPr>
          <w:rFonts w:ascii="Calibri" w:eastAsia="Calibri" w:hAnsi="Calibri" w:cs="Calibri"/>
          <w:color w:val="000000" w:themeColor="text1"/>
        </w:rPr>
        <w:t xml:space="preserve">esempeño </w:t>
      </w:r>
      <w:r w:rsidR="00673685">
        <w:rPr>
          <w:rFonts w:ascii="Calibri" w:eastAsia="Calibri" w:hAnsi="Calibri" w:cs="Calibri"/>
          <w:color w:val="000000" w:themeColor="text1"/>
        </w:rPr>
        <w:t xml:space="preserve">anual </w:t>
      </w:r>
      <w:r w:rsidRPr="006A200C">
        <w:rPr>
          <w:rFonts w:ascii="Calibri" w:eastAsia="Calibri" w:hAnsi="Calibri" w:cs="Calibri"/>
          <w:color w:val="000000" w:themeColor="text1"/>
        </w:rPr>
        <w:t xml:space="preserve">(APR). Cada seis años, la ODE debe revisar los objetivos de resultados e involucrar a </w:t>
      </w:r>
      <w:r w:rsidR="00673685">
        <w:rPr>
          <w:rFonts w:ascii="Calibri" w:eastAsia="Calibri" w:hAnsi="Calibri" w:cs="Calibri"/>
          <w:color w:val="000000" w:themeColor="text1"/>
        </w:rPr>
        <w:t xml:space="preserve">los </w:t>
      </w:r>
      <w:r w:rsidRPr="006A200C">
        <w:rPr>
          <w:rFonts w:ascii="Calibri" w:eastAsia="Calibri" w:hAnsi="Calibri" w:cs="Calibri"/>
          <w:color w:val="000000" w:themeColor="text1"/>
        </w:rPr>
        <w:t xml:space="preserve">socios clave en el desarrollo de nuevos objetivos. </w:t>
      </w:r>
      <w:r w:rsidR="00673685">
        <w:rPr>
          <w:rFonts w:ascii="Calibri" w:eastAsia="Calibri" w:hAnsi="Calibri" w:cs="Calibri"/>
          <w:color w:val="000000" w:themeColor="text1"/>
        </w:rPr>
        <w:t xml:space="preserve">Actualmente, el </w:t>
      </w:r>
      <w:r w:rsidRPr="006A200C">
        <w:rPr>
          <w:rFonts w:ascii="Calibri" w:eastAsia="Calibri" w:hAnsi="Calibri" w:cs="Calibri"/>
          <w:color w:val="000000" w:themeColor="text1"/>
        </w:rPr>
        <w:t xml:space="preserve">ODE está buscando </w:t>
      </w:r>
      <w:r w:rsidR="00673685">
        <w:rPr>
          <w:rFonts w:ascii="Calibri" w:eastAsia="Calibri" w:hAnsi="Calibri" w:cs="Calibri"/>
          <w:color w:val="000000" w:themeColor="text1"/>
        </w:rPr>
        <w:t>información</w:t>
      </w:r>
      <w:r w:rsidRPr="006A200C">
        <w:rPr>
          <w:rFonts w:ascii="Calibri" w:eastAsia="Calibri" w:hAnsi="Calibri" w:cs="Calibri"/>
          <w:color w:val="000000" w:themeColor="text1"/>
        </w:rPr>
        <w:t xml:space="preserve"> relacionados con los indicadores para los cuales se deben establecer </w:t>
      </w:r>
      <w:r w:rsidR="00B67669">
        <w:rPr>
          <w:rFonts w:ascii="Calibri" w:eastAsia="Calibri" w:hAnsi="Calibri" w:cs="Calibri"/>
          <w:color w:val="000000" w:themeColor="text1"/>
        </w:rPr>
        <w:t>objetivos</w:t>
      </w:r>
      <w:r w:rsidRPr="006A200C">
        <w:rPr>
          <w:rFonts w:ascii="Calibri" w:eastAsia="Calibri" w:hAnsi="Calibri" w:cs="Calibri"/>
          <w:color w:val="000000" w:themeColor="text1"/>
        </w:rPr>
        <w:t xml:space="preserve"> y </w:t>
      </w:r>
      <w:r w:rsidR="00B67669" w:rsidRPr="00B67669">
        <w:rPr>
          <w:rFonts w:ascii="Calibri" w:eastAsia="Calibri" w:hAnsi="Calibri" w:cs="Calibri"/>
          <w:color w:val="000000" w:themeColor="text1"/>
        </w:rPr>
        <w:t> llevará a cabo una sesión de información pública para discutir los datos relacionados con este indicador en diciembre de 2021</w:t>
      </w:r>
      <w:r w:rsidRPr="006A200C">
        <w:rPr>
          <w:rFonts w:ascii="Calibri" w:eastAsia="Calibri" w:hAnsi="Calibri" w:cs="Calibri"/>
          <w:color w:val="000000" w:themeColor="text1"/>
        </w:rPr>
        <w:t>.</w:t>
      </w:r>
      <w:r w:rsidR="006F6629">
        <w:rPr>
          <w:rFonts w:ascii="Calibri" w:eastAsia="Calibri" w:hAnsi="Calibri" w:cs="Calibri"/>
          <w:color w:val="000000" w:themeColor="text1"/>
        </w:rPr>
        <w:t xml:space="preserve"> </w:t>
      </w:r>
      <w:r w:rsidR="00B67669">
        <w:rPr>
          <w:rFonts w:ascii="Calibri" w:eastAsia="Calibri" w:hAnsi="Calibri" w:cs="Calibri"/>
          <w:color w:val="000000" w:themeColor="text1"/>
        </w:rPr>
        <w:t>Por favor, c</w:t>
      </w:r>
      <w:r w:rsidRPr="006A200C">
        <w:rPr>
          <w:rFonts w:ascii="Calibri" w:eastAsia="Calibri" w:hAnsi="Calibri" w:cs="Calibri"/>
          <w:color w:val="000000" w:themeColor="text1"/>
        </w:rPr>
        <w:t xml:space="preserve">onsulte </w:t>
      </w:r>
      <w:hyperlink r:id="rId11" w:history="1">
        <w:r w:rsidRPr="006A200C">
          <w:rPr>
            <w:rStyle w:val="Hyperlink"/>
            <w:rFonts w:ascii="Calibri" w:eastAsia="Calibri" w:hAnsi="Calibri" w:cs="Calibri"/>
          </w:rPr>
          <w:t xml:space="preserve">la página web del Plan de </w:t>
        </w:r>
        <w:r w:rsidR="00B67669">
          <w:rPr>
            <w:rStyle w:val="Hyperlink"/>
            <w:rFonts w:ascii="Calibri" w:eastAsia="Calibri" w:hAnsi="Calibri" w:cs="Calibri"/>
          </w:rPr>
          <w:t>d</w:t>
        </w:r>
        <w:r w:rsidRPr="006A200C">
          <w:rPr>
            <w:rStyle w:val="Hyperlink"/>
            <w:rFonts w:ascii="Calibri" w:eastAsia="Calibri" w:hAnsi="Calibri" w:cs="Calibri"/>
          </w:rPr>
          <w:t xml:space="preserve">esempeño </w:t>
        </w:r>
        <w:r w:rsidR="00B67669">
          <w:rPr>
            <w:rStyle w:val="Hyperlink"/>
            <w:rFonts w:ascii="Calibri" w:eastAsia="Calibri" w:hAnsi="Calibri" w:cs="Calibri"/>
          </w:rPr>
          <w:t>e</w:t>
        </w:r>
        <w:r w:rsidRPr="006A200C">
          <w:rPr>
            <w:rStyle w:val="Hyperlink"/>
            <w:rFonts w:ascii="Calibri" w:eastAsia="Calibri" w:hAnsi="Calibri" w:cs="Calibri"/>
          </w:rPr>
          <w:t>statal de ODE</w:t>
        </w:r>
      </w:hyperlink>
      <w:r w:rsidRPr="006A200C">
        <w:rPr>
          <w:rFonts w:ascii="Calibri" w:eastAsia="Calibri" w:hAnsi="Calibri" w:cs="Calibri"/>
          <w:color w:val="000000" w:themeColor="text1"/>
        </w:rPr>
        <w:t xml:space="preserve"> para obtener más información y para registrarse </w:t>
      </w:r>
      <w:r w:rsidR="002574CD">
        <w:rPr>
          <w:rFonts w:ascii="Calibri" w:eastAsia="Calibri" w:hAnsi="Calibri" w:cs="Calibri"/>
          <w:color w:val="000000" w:themeColor="text1"/>
        </w:rPr>
        <w:t>para</w:t>
      </w:r>
      <w:r w:rsidRPr="006A200C">
        <w:rPr>
          <w:rFonts w:ascii="Calibri" w:eastAsia="Calibri" w:hAnsi="Calibri" w:cs="Calibri"/>
          <w:color w:val="000000" w:themeColor="text1"/>
        </w:rPr>
        <w:t xml:space="preserve"> la sesión de </w:t>
      </w:r>
      <w:r w:rsidR="002574CD">
        <w:rPr>
          <w:rFonts w:ascii="Calibri" w:eastAsia="Calibri" w:hAnsi="Calibri" w:cs="Calibri"/>
          <w:color w:val="000000" w:themeColor="text1"/>
        </w:rPr>
        <w:t>comentarios del</w:t>
      </w:r>
      <w:r w:rsidRPr="006A200C">
        <w:rPr>
          <w:rFonts w:ascii="Calibri" w:eastAsia="Calibri" w:hAnsi="Calibri" w:cs="Calibri"/>
          <w:color w:val="000000" w:themeColor="text1"/>
        </w:rPr>
        <w:t xml:space="preserve"> público. También puede proporcionar información sin asistir a la sesión a través de </w:t>
      </w:r>
      <w:hyperlink r:id="rId12" w:history="1">
        <w:r w:rsidRPr="00A458A7">
          <w:rPr>
            <w:rStyle w:val="Hyperlink"/>
            <w:rFonts w:ascii="Calibri" w:eastAsia="Calibri" w:hAnsi="Calibri" w:cs="Calibri"/>
          </w:rPr>
          <w:t>esta encuesta</w:t>
        </w:r>
      </w:hyperlink>
      <w:r w:rsidRPr="006A200C">
        <w:rPr>
          <w:rFonts w:ascii="Calibri" w:eastAsia="Calibri" w:hAnsi="Calibri" w:cs="Calibri"/>
          <w:color w:val="000000" w:themeColor="text1"/>
        </w:rPr>
        <w:t>.</w:t>
      </w:r>
    </w:p>
    <w:p w14:paraId="4B73E1C3" w14:textId="1CDC995B" w:rsidR="000E4FA0" w:rsidRPr="00D01E3F" w:rsidRDefault="000D693D" w:rsidP="001E76B5">
      <w:pPr>
        <w:pStyle w:val="Heading1"/>
        <w:spacing w:before="120" w:line="240" w:lineRule="auto"/>
        <w:rPr>
          <w:rFonts w:asciiTheme="minorHAnsi" w:hAnsiTheme="minorHAnsi" w:cstheme="minorBidi"/>
          <w:b/>
          <w:bCs/>
          <w:color w:val="1B75BC"/>
        </w:rPr>
      </w:pPr>
      <w:r w:rsidRPr="000D693D">
        <w:rPr>
          <w:rFonts w:asciiTheme="minorHAnsi" w:hAnsiTheme="minorHAnsi" w:cstheme="minorBidi"/>
          <w:b/>
          <w:bCs/>
          <w:color w:val="1B75BC"/>
        </w:rPr>
        <w:t>¿Qué mide este indicador y por qué es importante?</w:t>
      </w:r>
    </w:p>
    <w:p w14:paraId="3DC3005F" w14:textId="3C9ABC3D" w:rsidR="32AB2B8B" w:rsidRDefault="00A458A7" w:rsidP="001E76B5">
      <w:pPr>
        <w:spacing w:after="120" w:line="240" w:lineRule="auto"/>
      </w:pPr>
      <w:r w:rsidRPr="00A458A7">
        <w:rPr>
          <w:rFonts w:ascii="Calibri" w:eastAsia="Calibri" w:hAnsi="Calibri" w:cs="Calibri"/>
          <w:color w:val="000000" w:themeColor="text1"/>
        </w:rPr>
        <w:t xml:space="preserve">El Indicador 17 del Plan </w:t>
      </w:r>
      <w:r w:rsidR="002574CD">
        <w:rPr>
          <w:rFonts w:ascii="Calibri" w:eastAsia="Calibri" w:hAnsi="Calibri" w:cs="Calibri"/>
          <w:color w:val="000000" w:themeColor="text1"/>
        </w:rPr>
        <w:t>e</w:t>
      </w:r>
      <w:r w:rsidRPr="00A458A7">
        <w:rPr>
          <w:rFonts w:ascii="Calibri" w:eastAsia="Calibri" w:hAnsi="Calibri" w:cs="Calibri"/>
          <w:color w:val="000000" w:themeColor="text1"/>
        </w:rPr>
        <w:t xml:space="preserve">statal de </w:t>
      </w:r>
      <w:r w:rsidR="002574CD">
        <w:rPr>
          <w:rFonts w:ascii="Calibri" w:eastAsia="Calibri" w:hAnsi="Calibri" w:cs="Calibri"/>
          <w:color w:val="000000" w:themeColor="text1"/>
        </w:rPr>
        <w:t>d</w:t>
      </w:r>
      <w:r w:rsidRPr="00A458A7">
        <w:rPr>
          <w:rFonts w:ascii="Calibri" w:eastAsia="Calibri" w:hAnsi="Calibri" w:cs="Calibri"/>
          <w:color w:val="000000" w:themeColor="text1"/>
        </w:rPr>
        <w:t xml:space="preserve">esempeño (SPP), el Plan </w:t>
      </w:r>
      <w:r w:rsidR="002574CD">
        <w:rPr>
          <w:rFonts w:ascii="Calibri" w:eastAsia="Calibri" w:hAnsi="Calibri" w:cs="Calibri"/>
          <w:color w:val="000000" w:themeColor="text1"/>
        </w:rPr>
        <w:t>e</w:t>
      </w:r>
      <w:r w:rsidRPr="00A458A7">
        <w:rPr>
          <w:rFonts w:ascii="Calibri" w:eastAsia="Calibri" w:hAnsi="Calibri" w:cs="Calibri"/>
          <w:color w:val="000000" w:themeColor="text1"/>
        </w:rPr>
        <w:t xml:space="preserve">statal de </w:t>
      </w:r>
      <w:r w:rsidR="002574CD">
        <w:rPr>
          <w:rFonts w:ascii="Calibri" w:eastAsia="Calibri" w:hAnsi="Calibri" w:cs="Calibri"/>
          <w:color w:val="000000" w:themeColor="text1"/>
        </w:rPr>
        <w:t>m</w:t>
      </w:r>
      <w:r w:rsidRPr="00A458A7">
        <w:rPr>
          <w:rFonts w:ascii="Calibri" w:eastAsia="Calibri" w:hAnsi="Calibri" w:cs="Calibri"/>
          <w:color w:val="000000" w:themeColor="text1"/>
        </w:rPr>
        <w:t xml:space="preserve">ejoramiento </w:t>
      </w:r>
      <w:r w:rsidR="002574CD">
        <w:rPr>
          <w:rFonts w:ascii="Calibri" w:eastAsia="Calibri" w:hAnsi="Calibri" w:cs="Calibri"/>
          <w:color w:val="000000" w:themeColor="text1"/>
        </w:rPr>
        <w:t>s</w:t>
      </w:r>
      <w:r w:rsidRPr="00A458A7">
        <w:rPr>
          <w:rFonts w:ascii="Calibri" w:eastAsia="Calibri" w:hAnsi="Calibri" w:cs="Calibri"/>
          <w:color w:val="000000" w:themeColor="text1"/>
        </w:rPr>
        <w:t>istémico (SSIP), es un plan plurianual sobre cómo el estado mejora los resultados para los niños con discapacidades atendidos bajo IDEA. Aunque el SSIP es parte del marco de Responsabilidad Impulsada por resultados de la Oficina de Programas de Educación Especial (OSEP), es un plan desarrollado por el estado que se centra en el uso de estrategias de mejora escalables basadas en la evidencia destinadas a mejorar un área de enfoque identificada de los resultados a nivel de estudiante.</w:t>
      </w:r>
    </w:p>
    <w:p w14:paraId="7AA9D4F2" w14:textId="0F516EC9" w:rsidR="32AB2B8B" w:rsidRDefault="00464DC5" w:rsidP="001E76B5">
      <w:pPr>
        <w:spacing w:after="120" w:line="240" w:lineRule="auto"/>
      </w:pPr>
      <w:r w:rsidRPr="00464DC5">
        <w:t>Oregon seleccionó la lectura temprana como un área de enfoque prioritaria en FFY 2013 y desarrolló el Resultado Medible Identificado por el Estado (SIMR) y SSIP para apoyar la mejora en todo el estado en esta área. Este indicador mide el progreso hacia el aumento del porcentaje de estudiantes con discapacidad que están leyendo en o por encima del nivel de grado. El dominio de la lectura en el tercer grado es un indicador clave del éxito académico futuro de los estudiantes.</w:t>
      </w:r>
      <w:r w:rsidR="2E5B875B">
        <w:t xml:space="preserve"> </w:t>
      </w:r>
    </w:p>
    <w:p w14:paraId="680EAF8B" w14:textId="5E6A0EC3" w:rsidR="32AB2B8B" w:rsidRDefault="00464DC5" w:rsidP="001E76B5">
      <w:pPr>
        <w:spacing w:after="120" w:line="240" w:lineRule="auto"/>
      </w:pPr>
      <w:r w:rsidRPr="00464DC5">
        <w:t>Especialmente para los estudiantes para quienes el sistema ha sido históricamente desatendido, la intervención temprana de las escuelas y su provisión de apoyo para que los estudiantes se conviertan en lectores competentes para el tercer grado con el fin de cambiar las trayectorias académicas futuras es imperativa.</w:t>
      </w:r>
    </w:p>
    <w:p w14:paraId="4103A870" w14:textId="2FAEF999" w:rsidR="00CA3BE5" w:rsidRPr="00D01E3F" w:rsidRDefault="000D693D" w:rsidP="001E76B5">
      <w:pPr>
        <w:pStyle w:val="Heading1"/>
        <w:spacing w:before="120" w:line="240" w:lineRule="auto"/>
        <w:rPr>
          <w:rFonts w:asciiTheme="minorHAnsi" w:hAnsiTheme="minorHAnsi" w:cstheme="minorBidi"/>
          <w:b/>
          <w:bCs/>
          <w:color w:val="1B75BC"/>
        </w:rPr>
      </w:pPr>
      <w:r w:rsidRPr="000D693D">
        <w:rPr>
          <w:rFonts w:asciiTheme="minorHAnsi" w:hAnsiTheme="minorHAnsi" w:cstheme="minorBidi"/>
          <w:b/>
          <w:bCs/>
          <w:color w:val="1B75BC"/>
        </w:rPr>
        <w:t>¿Cómo se mide este indicador?</w:t>
      </w:r>
    </w:p>
    <w:p w14:paraId="7144F8B0" w14:textId="28F01195" w:rsidR="1B73C957" w:rsidRDefault="00464DC5" w:rsidP="001E76B5">
      <w:pPr>
        <w:spacing w:after="120" w:line="240" w:lineRule="auto"/>
      </w:pPr>
      <w:r w:rsidRPr="00464DC5">
        <w:t>Este indicador se mide utilizando datos de evaluación de lectura para estudiantes de tercer grado que experimentan discapacidad. El progreso hacia este indicador se mide utilizando una combinación de fuentes de datos, incluida la evaluación de lectura de los estudiantes y los datos de evaluación intermedia y la fidelidad del personal de los datos de implementación.</w:t>
      </w:r>
      <w:r w:rsidR="111BA0A7">
        <w:t xml:space="preserve"> </w:t>
      </w:r>
    </w:p>
    <w:p w14:paraId="21AABC0C" w14:textId="738B0892" w:rsidR="6CBDC2CC" w:rsidRPr="00D01E3F" w:rsidRDefault="000D693D" w:rsidP="001E76B5">
      <w:pPr>
        <w:pStyle w:val="Heading1"/>
        <w:spacing w:before="120" w:line="240" w:lineRule="auto"/>
        <w:rPr>
          <w:rFonts w:asciiTheme="minorHAnsi" w:hAnsiTheme="minorHAnsi" w:cstheme="minorBidi"/>
          <w:b/>
          <w:bCs/>
          <w:color w:val="1B75BC"/>
        </w:rPr>
      </w:pPr>
      <w:r w:rsidRPr="000D693D">
        <w:rPr>
          <w:rFonts w:asciiTheme="minorHAnsi" w:hAnsiTheme="minorHAnsi" w:cstheme="minorBidi"/>
          <w:b/>
          <w:bCs/>
          <w:color w:val="1B75BC"/>
        </w:rPr>
        <w:t>¿Cuál es la fuente de datos?</w:t>
      </w:r>
    </w:p>
    <w:p w14:paraId="0522B3E9" w14:textId="2F0AE862" w:rsidR="30603A3A" w:rsidRDefault="00464DC5" w:rsidP="001E76B5">
      <w:pPr>
        <w:spacing w:after="120" w:line="240" w:lineRule="auto"/>
      </w:pPr>
      <w:r w:rsidRPr="00464DC5">
        <w:t>La fuente de datos principal son los puntajes de evaluación equilibrada inteligente (SBAC) del estudiante de tercer grado.</w:t>
      </w:r>
    </w:p>
    <w:p w14:paraId="0414B4AF" w14:textId="7CF6B867" w:rsidR="000601DB" w:rsidRPr="00D01E3F" w:rsidRDefault="000D693D" w:rsidP="001E76B5">
      <w:pPr>
        <w:pStyle w:val="Heading1"/>
        <w:spacing w:before="120" w:line="240" w:lineRule="auto"/>
        <w:rPr>
          <w:rFonts w:asciiTheme="minorHAnsi" w:hAnsiTheme="minorHAnsi" w:cstheme="minorBidi"/>
          <w:b/>
          <w:bCs/>
          <w:color w:val="1B75BC"/>
        </w:rPr>
      </w:pPr>
      <w:r w:rsidRPr="000D693D">
        <w:rPr>
          <w:rFonts w:asciiTheme="minorHAnsi" w:hAnsiTheme="minorHAnsi" w:cstheme="minorBidi"/>
          <w:b/>
          <w:bCs/>
          <w:color w:val="1B75BC"/>
        </w:rPr>
        <w:t>¿Es necesario establecer o restablecer la línea de base para este indicador?</w:t>
      </w:r>
    </w:p>
    <w:p w14:paraId="4B2CF5E4" w14:textId="1DD610C0" w:rsidR="000601DB" w:rsidRDefault="00464DC5" w:rsidP="001E76B5">
      <w:pPr>
        <w:spacing w:after="120" w:line="240" w:lineRule="auto"/>
      </w:pPr>
      <w:r w:rsidRPr="00464DC5">
        <w:t>Sí. El conjunto de línea de base durante la Fase I del SSIP se estableció utilizando OAKS, una evaluación sumativa estatal que ya no se ofrece en Oregón. ODE propone utilizar una línea de base del 24.4% de los estudiantes de tercer grado que experimentan discapacidad que se desempeñan en o por encima de la competencia en la Evaluación Equilibrada Más Inteligente de ELA.</w:t>
      </w:r>
    </w:p>
    <w:p w14:paraId="0A61ADA5" w14:textId="3EF5A501" w:rsidR="00C06C4E" w:rsidRPr="00D01E3F" w:rsidRDefault="000D693D" w:rsidP="00C9405C">
      <w:pPr>
        <w:pStyle w:val="Heading1"/>
        <w:spacing w:before="0" w:line="240" w:lineRule="auto"/>
        <w:rPr>
          <w:rFonts w:asciiTheme="minorHAnsi" w:hAnsiTheme="minorHAnsi" w:cstheme="minorHAnsi"/>
          <w:b/>
          <w:bCs/>
          <w:color w:val="1B75BC"/>
        </w:rPr>
      </w:pPr>
      <w:r w:rsidRPr="000D693D">
        <w:rPr>
          <w:rFonts w:asciiTheme="minorHAnsi" w:hAnsiTheme="minorHAnsi" w:cstheme="minorHAnsi"/>
          <w:b/>
          <w:bCs/>
          <w:color w:val="1B75BC"/>
        </w:rPr>
        <w:lastRenderedPageBreak/>
        <w:t>¿Cuáles son los objetivos históricos y cómo se ha desempeñado Oregon a lo largo del tiempo?</w:t>
      </w:r>
      <w:r w:rsidR="00C8698D">
        <w:rPr>
          <w:rFonts w:asciiTheme="minorHAnsi" w:hAnsiTheme="minorHAnsi" w:cstheme="minorHAnsi"/>
          <w:b/>
          <w:bCs/>
          <w:color w:val="1B75BC"/>
        </w:rPr>
        <w:t xml:space="preserve"> (</w:t>
      </w:r>
      <w:r w:rsidR="00C8698D" w:rsidRPr="00C8698D">
        <w:rPr>
          <w:rFonts w:asciiTheme="minorHAnsi" w:hAnsiTheme="minorHAnsi" w:cstheme="minorHAnsi"/>
          <w:b/>
          <w:bCs/>
          <w:color w:val="1B75BC"/>
        </w:rPr>
        <w:t>Título del gráfico</w:t>
      </w:r>
      <w:r w:rsidR="00C8698D">
        <w:rPr>
          <w:rFonts w:asciiTheme="minorHAnsi" w:hAnsiTheme="minorHAnsi" w:cstheme="minorHAnsi"/>
          <w:b/>
          <w:bCs/>
          <w:color w:val="1B75BC"/>
        </w:rPr>
        <w:t xml:space="preserve">: </w:t>
      </w:r>
      <w:r w:rsidR="00C8698D" w:rsidRPr="00C8698D">
        <w:rPr>
          <w:rFonts w:asciiTheme="minorHAnsi" w:hAnsiTheme="minorHAnsi" w:cstheme="minorHAnsi"/>
          <w:b/>
          <w:bCs/>
          <w:color w:val="1B75BC"/>
        </w:rPr>
        <w:t>B17 Datos y objetivos de SSIP</w:t>
      </w:r>
      <w:r w:rsidR="00C8698D">
        <w:rPr>
          <w:rFonts w:asciiTheme="minorHAnsi" w:hAnsiTheme="minorHAnsi" w:cstheme="minorHAnsi"/>
          <w:b/>
          <w:bCs/>
          <w:color w:val="1B75BC"/>
        </w:rPr>
        <w:t>)</w:t>
      </w:r>
    </w:p>
    <w:p w14:paraId="5874773F" w14:textId="4EF9EA30" w:rsidR="00B81104" w:rsidRDefault="00727B8B" w:rsidP="00C9405C">
      <w:pPr>
        <w:spacing w:after="0"/>
        <w:jc w:val="center"/>
      </w:pPr>
      <w:r>
        <w:rPr>
          <w:noProof/>
        </w:rPr>
        <w:drawing>
          <wp:inline distT="0" distB="0" distL="0" distR="0" wp14:anchorId="192652DA" wp14:editId="3908F18F">
            <wp:extent cx="5138928" cy="3154680"/>
            <wp:effectExtent l="19050" t="19050" r="24130" b="26670"/>
            <wp:docPr id="1" name="Picture 1" descr="Este gráfico muestra los datos del indicador B17 desde AFF 2013 hasta AFF 2019. La evaluación de la que se extrajeron estos datos cambió del OAKS al Smarter Balanced durante este período de tiempo. Por lo tanto, los datos de 2014-2016 pueden incluir resultados del OAKS o del Smarter Balanced. Los datos de 2013 son únicamente datos de OAKS. Los datos a partir de 2017 son únicamente smarter Balanced Data. Estos cambios en los datos se reflejan en líneas en la parte inferior del gráfico. No hubo datos en AFF 2019 debido a COVID." title="B17 Datos y objetivos de 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7 SSIP historic data.png"/>
                    <pic:cNvPicPr/>
                  </pic:nvPicPr>
                  <pic:blipFill>
                    <a:blip r:embed="rId13">
                      <a:extLst>
                        <a:ext uri="{28A0092B-C50C-407E-A947-70E740481C1C}">
                          <a14:useLocalDpi xmlns:a14="http://schemas.microsoft.com/office/drawing/2010/main" val="0"/>
                        </a:ext>
                      </a:extLst>
                    </a:blip>
                    <a:stretch>
                      <a:fillRect/>
                    </a:stretch>
                  </pic:blipFill>
                  <pic:spPr>
                    <a:xfrm>
                      <a:off x="0" y="0"/>
                      <a:ext cx="5138928" cy="3154680"/>
                    </a:xfrm>
                    <a:prstGeom prst="rect">
                      <a:avLst/>
                    </a:prstGeom>
                    <a:ln>
                      <a:solidFill>
                        <a:schemeClr val="accent1"/>
                      </a:solidFill>
                    </a:ln>
                  </pic:spPr>
                </pic:pic>
              </a:graphicData>
            </a:graphic>
          </wp:inline>
        </w:drawing>
      </w:r>
    </w:p>
    <w:p w14:paraId="649A03C2" w14:textId="51282F76" w:rsidR="00464DC5" w:rsidRPr="00C9405C" w:rsidRDefault="00464DC5" w:rsidP="00381998">
      <w:pPr>
        <w:jc w:val="center"/>
        <w:rPr>
          <w:sz w:val="20"/>
        </w:rPr>
      </w:pPr>
      <w:r w:rsidRPr="00C9405C">
        <w:rPr>
          <w:i/>
          <w:iCs/>
          <w:sz w:val="20"/>
        </w:rPr>
        <w:t xml:space="preserve">(Este es el lenguaje a la izquierda del gráfico) </w:t>
      </w:r>
      <w:r w:rsidRPr="00C9405C">
        <w:rPr>
          <w:sz w:val="20"/>
        </w:rPr>
        <w:t>Resultado medible identificado por el estado (SIMR): Porcentaje de estudiantes de tercer grado que experimentan discapacidad que se desempeñan en o por encima del nivel de grado en lectura</w:t>
      </w:r>
    </w:p>
    <w:tbl>
      <w:tblPr>
        <w:tblStyle w:val="TableGrid"/>
        <w:tblW w:w="10165" w:type="dxa"/>
        <w:jc w:val="center"/>
        <w:tblCellMar>
          <w:left w:w="72" w:type="dxa"/>
          <w:right w:w="72" w:type="dxa"/>
        </w:tblCellMar>
        <w:tblLook w:val="04A0" w:firstRow="1" w:lastRow="0" w:firstColumn="1" w:lastColumn="0" w:noHBand="0" w:noVBand="1"/>
        <w:tblCaption w:val="Objetivos y datos para el indicador B17"/>
      </w:tblPr>
      <w:tblGrid>
        <w:gridCol w:w="1075"/>
        <w:gridCol w:w="1335"/>
        <w:gridCol w:w="1335"/>
        <w:gridCol w:w="1335"/>
        <w:gridCol w:w="1335"/>
        <w:gridCol w:w="1335"/>
        <w:gridCol w:w="1335"/>
        <w:gridCol w:w="1080"/>
      </w:tblGrid>
      <w:tr w:rsidR="006A1FB5" w:rsidRPr="00B542E4" w14:paraId="72DFE977" w14:textId="77777777" w:rsidTr="00F21CA2">
        <w:trPr>
          <w:tblHeader/>
          <w:jc w:val="center"/>
        </w:trPr>
        <w:tc>
          <w:tcPr>
            <w:tcW w:w="1075" w:type="dxa"/>
          </w:tcPr>
          <w:p w14:paraId="586CEB51" w14:textId="2CC8DA3D" w:rsidR="00551272" w:rsidRPr="00B542E4" w:rsidRDefault="003552F9" w:rsidP="003552F9">
            <w:pPr>
              <w:jc w:val="center"/>
              <w:rPr>
                <w:b/>
              </w:rPr>
            </w:pPr>
            <w:r>
              <w:rPr>
                <w:b/>
              </w:rPr>
              <w:t>AFF</w:t>
            </w:r>
          </w:p>
        </w:tc>
        <w:tc>
          <w:tcPr>
            <w:tcW w:w="1335" w:type="dxa"/>
          </w:tcPr>
          <w:p w14:paraId="658C6B19" w14:textId="6DA250BB" w:rsidR="00551272" w:rsidRPr="00B542E4" w:rsidRDefault="2F108380" w:rsidP="00C066F2">
            <w:pPr>
              <w:jc w:val="center"/>
              <w:rPr>
                <w:b/>
                <w:bCs/>
              </w:rPr>
            </w:pPr>
            <w:r w:rsidRPr="5149803E">
              <w:rPr>
                <w:b/>
                <w:bCs/>
              </w:rPr>
              <w:t>20</w:t>
            </w:r>
            <w:r w:rsidR="439DE81B" w:rsidRPr="5149803E">
              <w:rPr>
                <w:b/>
                <w:bCs/>
              </w:rPr>
              <w:t>13</w:t>
            </w:r>
          </w:p>
        </w:tc>
        <w:tc>
          <w:tcPr>
            <w:tcW w:w="1335" w:type="dxa"/>
          </w:tcPr>
          <w:p w14:paraId="56F594C4" w14:textId="7194A6AA" w:rsidR="00551272" w:rsidRPr="00B542E4" w:rsidRDefault="00551272" w:rsidP="00C066F2">
            <w:pPr>
              <w:jc w:val="center"/>
              <w:rPr>
                <w:b/>
              </w:rPr>
            </w:pPr>
            <w:r w:rsidRPr="00B542E4">
              <w:rPr>
                <w:b/>
              </w:rPr>
              <w:t>2014</w:t>
            </w:r>
          </w:p>
        </w:tc>
        <w:tc>
          <w:tcPr>
            <w:tcW w:w="1335" w:type="dxa"/>
          </w:tcPr>
          <w:p w14:paraId="2659189E" w14:textId="660CFA01" w:rsidR="00551272" w:rsidRPr="00B542E4" w:rsidRDefault="00551272" w:rsidP="00C066F2">
            <w:pPr>
              <w:jc w:val="center"/>
              <w:rPr>
                <w:b/>
              </w:rPr>
            </w:pPr>
            <w:r w:rsidRPr="00B542E4">
              <w:rPr>
                <w:b/>
              </w:rPr>
              <w:t>2015</w:t>
            </w:r>
          </w:p>
        </w:tc>
        <w:tc>
          <w:tcPr>
            <w:tcW w:w="1335" w:type="dxa"/>
          </w:tcPr>
          <w:p w14:paraId="43123113" w14:textId="6B7184C8" w:rsidR="00551272" w:rsidRPr="00B542E4" w:rsidRDefault="00551272" w:rsidP="00C066F2">
            <w:pPr>
              <w:jc w:val="center"/>
              <w:rPr>
                <w:b/>
              </w:rPr>
            </w:pPr>
            <w:r w:rsidRPr="00B542E4">
              <w:rPr>
                <w:b/>
              </w:rPr>
              <w:t>2016</w:t>
            </w:r>
          </w:p>
        </w:tc>
        <w:tc>
          <w:tcPr>
            <w:tcW w:w="1335" w:type="dxa"/>
          </w:tcPr>
          <w:p w14:paraId="2BF19147" w14:textId="0480FBE8" w:rsidR="00551272" w:rsidRPr="00B542E4" w:rsidRDefault="00551272" w:rsidP="00C066F2">
            <w:pPr>
              <w:jc w:val="center"/>
              <w:rPr>
                <w:b/>
              </w:rPr>
            </w:pPr>
            <w:r w:rsidRPr="00B542E4">
              <w:rPr>
                <w:b/>
              </w:rPr>
              <w:t>2017</w:t>
            </w:r>
          </w:p>
        </w:tc>
        <w:tc>
          <w:tcPr>
            <w:tcW w:w="1335" w:type="dxa"/>
          </w:tcPr>
          <w:p w14:paraId="6D5F0F6E" w14:textId="44980E38" w:rsidR="00551272" w:rsidRPr="00B542E4" w:rsidRDefault="00551272" w:rsidP="00C066F2">
            <w:pPr>
              <w:jc w:val="center"/>
              <w:rPr>
                <w:b/>
              </w:rPr>
            </w:pPr>
            <w:r w:rsidRPr="00B542E4">
              <w:rPr>
                <w:b/>
              </w:rPr>
              <w:t>2018</w:t>
            </w:r>
          </w:p>
        </w:tc>
        <w:tc>
          <w:tcPr>
            <w:tcW w:w="1080" w:type="dxa"/>
          </w:tcPr>
          <w:p w14:paraId="5425E673" w14:textId="7ADACC12" w:rsidR="3325D92D" w:rsidRDefault="3325D92D" w:rsidP="00C066F2">
            <w:pPr>
              <w:jc w:val="center"/>
              <w:rPr>
                <w:b/>
                <w:bCs/>
              </w:rPr>
            </w:pPr>
            <w:r w:rsidRPr="5149803E">
              <w:rPr>
                <w:b/>
                <w:bCs/>
              </w:rPr>
              <w:t>2019</w:t>
            </w:r>
          </w:p>
        </w:tc>
      </w:tr>
      <w:tr w:rsidR="006A1FB5" w14:paraId="64D8B226" w14:textId="77777777" w:rsidTr="00AE0B06">
        <w:trPr>
          <w:jc w:val="center"/>
        </w:trPr>
        <w:tc>
          <w:tcPr>
            <w:tcW w:w="1075" w:type="dxa"/>
            <w:vAlign w:val="center"/>
          </w:tcPr>
          <w:p w14:paraId="130C79D6" w14:textId="29CBE8FD" w:rsidR="003552F9" w:rsidRDefault="003552F9" w:rsidP="006A1FB5">
            <w:pPr>
              <w:jc w:val="center"/>
            </w:pPr>
            <w:r>
              <w:rPr>
                <w:rFonts w:cstheme="minorHAnsi"/>
              </w:rPr>
              <w:t>Objetivo ≥</w:t>
            </w:r>
          </w:p>
        </w:tc>
        <w:tc>
          <w:tcPr>
            <w:tcW w:w="1335" w:type="dxa"/>
            <w:vAlign w:val="center"/>
          </w:tcPr>
          <w:p w14:paraId="60AAC71B" w14:textId="7B4FF567" w:rsidR="00686AA4" w:rsidRPr="00373050" w:rsidRDefault="003552F9" w:rsidP="003552F9">
            <w:pPr>
              <w:jc w:val="center"/>
              <w:rPr>
                <w:i/>
                <w:iCs/>
              </w:rPr>
            </w:pPr>
            <w:r>
              <w:rPr>
                <w:i/>
                <w:iCs/>
              </w:rPr>
              <w:t>R</w:t>
            </w:r>
            <w:r w:rsidRPr="003552F9">
              <w:rPr>
                <w:i/>
                <w:iCs/>
              </w:rPr>
              <w:t>eferencia</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6533541C" w:rsidR="00686AA4" w:rsidRDefault="1101F07D" w:rsidP="00D7622C">
            <w:pPr>
              <w:jc w:val="center"/>
            </w:pPr>
            <w:r>
              <w:t>43.5%</w:t>
            </w:r>
            <w:r w:rsidR="00D7622C">
              <w:t xml:space="preserve"> </w:t>
            </w:r>
            <w:r w:rsidR="519B7F70">
              <w:t>OAKS</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250E732F" w:rsidR="00686AA4" w:rsidRDefault="1101F07D" w:rsidP="006A1FB5">
            <w:pPr>
              <w:jc w:val="center"/>
            </w:pPr>
            <w:r>
              <w:t>44.5%</w:t>
            </w:r>
            <w:r w:rsidR="006A1FB5">
              <w:t xml:space="preserve"> </w:t>
            </w:r>
            <w:r w:rsidR="1BC91964">
              <w:t>OAKS</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4CD94955" w:rsidR="00686AA4" w:rsidRDefault="1101F07D" w:rsidP="006A1FB5">
            <w:pPr>
              <w:jc w:val="center"/>
            </w:pPr>
            <w:r>
              <w:t>45.5%</w:t>
            </w:r>
            <w:r w:rsidR="006A1FB5">
              <w:t xml:space="preserve"> </w:t>
            </w:r>
            <w:r w:rsidR="6F8B3A27">
              <w:t>OAKS</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21A5A3F4" w:rsidR="00686AA4" w:rsidRDefault="1101F07D" w:rsidP="00D7622C">
            <w:pPr>
              <w:jc w:val="center"/>
            </w:pPr>
            <w:r>
              <w:t>29%</w:t>
            </w:r>
            <w:r w:rsidR="006A1FB5">
              <w:t xml:space="preserve"> SBAC</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3012AE32" w:rsidR="00686AA4" w:rsidRDefault="6265F213" w:rsidP="00D7622C">
            <w:pPr>
              <w:jc w:val="center"/>
            </w:pPr>
            <w:r>
              <w:t>33%</w:t>
            </w:r>
            <w:r w:rsidR="00D7622C">
              <w:t xml:space="preserve"> SBAC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868E69" w14:textId="708C946C" w:rsidR="435A65FB" w:rsidRDefault="78966097" w:rsidP="006A1FB5">
            <w:pPr>
              <w:jc w:val="center"/>
            </w:pPr>
            <w:r>
              <w:t>35%</w:t>
            </w:r>
            <w:r w:rsidR="006A1FB5">
              <w:t xml:space="preserve"> SBAC</w:t>
            </w:r>
          </w:p>
        </w:tc>
      </w:tr>
      <w:tr w:rsidR="006A1FB5" w14:paraId="7AF46E60" w14:textId="77777777" w:rsidTr="00AE0B06">
        <w:trPr>
          <w:jc w:val="center"/>
        </w:trPr>
        <w:tc>
          <w:tcPr>
            <w:tcW w:w="1075" w:type="dxa"/>
            <w:vAlign w:val="center"/>
          </w:tcPr>
          <w:p w14:paraId="683754A9" w14:textId="2694A266" w:rsidR="003552F9" w:rsidRDefault="003552F9" w:rsidP="00C066F2">
            <w:pPr>
              <w:jc w:val="center"/>
            </w:pPr>
            <w:r>
              <w:t>Datos</w:t>
            </w:r>
          </w:p>
        </w:tc>
        <w:tc>
          <w:tcPr>
            <w:tcW w:w="1335" w:type="dxa"/>
            <w:vAlign w:val="center"/>
          </w:tcPr>
          <w:p w14:paraId="2DB7D713" w14:textId="739B9701" w:rsidR="00686AA4" w:rsidRDefault="67706CBE" w:rsidP="00C066F2">
            <w:pPr>
              <w:jc w:val="center"/>
            </w:pPr>
            <w:r>
              <w:t xml:space="preserve">42.8% </w:t>
            </w:r>
            <w:r w:rsidR="2031D08F">
              <w:t>OAKS</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00C2BB2A" w14:textId="382A1FEF" w:rsidR="00686AA4" w:rsidRDefault="2AD9E8E0" w:rsidP="006A1FB5">
            <w:pPr>
              <w:jc w:val="center"/>
              <w:rPr>
                <w:rFonts w:ascii="Calibri" w:eastAsia="Calibri" w:hAnsi="Calibri" w:cs="Calibri"/>
              </w:rPr>
            </w:pPr>
            <w:r w:rsidRPr="7A11BA5C">
              <w:rPr>
                <w:rFonts w:ascii="Calibri" w:eastAsia="Calibri" w:hAnsi="Calibri" w:cs="Calibri"/>
              </w:rPr>
              <w:t>30.57%</w:t>
            </w:r>
            <w:r w:rsidR="006A1FB5">
              <w:rPr>
                <w:rFonts w:ascii="Calibri" w:eastAsia="Calibri" w:hAnsi="Calibri" w:cs="Calibri"/>
              </w:rPr>
              <w:t xml:space="preserve"> SBAC</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4992E3C5" w14:textId="194A1AD3" w:rsidR="00686AA4" w:rsidRDefault="2AD9E8E0" w:rsidP="006A1FB5">
            <w:pPr>
              <w:jc w:val="center"/>
              <w:rPr>
                <w:rFonts w:ascii="Calibri" w:eastAsia="Calibri" w:hAnsi="Calibri" w:cs="Calibri"/>
              </w:rPr>
            </w:pPr>
            <w:r w:rsidRPr="7A11BA5C">
              <w:rPr>
                <w:rFonts w:ascii="Calibri" w:eastAsia="Calibri" w:hAnsi="Calibri" w:cs="Calibri"/>
              </w:rPr>
              <w:t>25.22%</w:t>
            </w:r>
            <w:r w:rsidR="006A1FB5">
              <w:rPr>
                <w:rFonts w:ascii="Calibri" w:eastAsia="Calibri" w:hAnsi="Calibri" w:cs="Calibri"/>
              </w:rPr>
              <w:t xml:space="preserve"> SBAC</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338C82C" w14:textId="7327503C" w:rsidR="00686AA4" w:rsidRDefault="2AD9E8E0" w:rsidP="006A1FB5">
            <w:pPr>
              <w:jc w:val="center"/>
              <w:rPr>
                <w:rFonts w:ascii="Calibri" w:eastAsia="Calibri" w:hAnsi="Calibri" w:cs="Calibri"/>
              </w:rPr>
            </w:pPr>
            <w:r w:rsidRPr="7A11BA5C">
              <w:rPr>
                <w:rFonts w:ascii="Calibri" w:eastAsia="Calibri" w:hAnsi="Calibri" w:cs="Calibri"/>
              </w:rPr>
              <w:t>23.04%</w:t>
            </w:r>
            <w:r w:rsidR="006A1FB5">
              <w:rPr>
                <w:rFonts w:ascii="Calibri" w:eastAsia="Calibri" w:hAnsi="Calibri" w:cs="Calibri"/>
              </w:rPr>
              <w:t xml:space="preserve"> SBAC</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464097D" w14:textId="65758E08" w:rsidR="00686AA4" w:rsidRDefault="2AD9E8E0" w:rsidP="006A1FB5">
            <w:pPr>
              <w:jc w:val="center"/>
              <w:rPr>
                <w:rFonts w:ascii="Calibri" w:eastAsia="Calibri" w:hAnsi="Calibri" w:cs="Calibri"/>
              </w:rPr>
            </w:pPr>
            <w:r w:rsidRPr="7A11BA5C">
              <w:rPr>
                <w:rFonts w:ascii="Calibri" w:eastAsia="Calibri" w:hAnsi="Calibri" w:cs="Calibri"/>
              </w:rPr>
              <w:t>24.08%</w:t>
            </w:r>
            <w:r w:rsidR="006A1FB5">
              <w:rPr>
                <w:rFonts w:ascii="Calibri" w:eastAsia="Calibri" w:hAnsi="Calibri" w:cs="Calibri"/>
              </w:rPr>
              <w:t xml:space="preserve"> SBAC</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CCCE185" w14:textId="48A3C220" w:rsidR="00686AA4" w:rsidRDefault="2AD9E8E0" w:rsidP="006A1FB5">
            <w:pPr>
              <w:jc w:val="center"/>
              <w:rPr>
                <w:rFonts w:ascii="Calibri" w:eastAsia="Calibri" w:hAnsi="Calibri" w:cs="Calibri"/>
              </w:rPr>
            </w:pPr>
            <w:r w:rsidRPr="7A11BA5C">
              <w:rPr>
                <w:rFonts w:ascii="Calibri" w:eastAsia="Calibri" w:hAnsi="Calibri" w:cs="Calibri"/>
              </w:rPr>
              <w:t>24.45%</w:t>
            </w:r>
            <w:r w:rsidR="006A1FB5">
              <w:rPr>
                <w:rFonts w:ascii="Calibri" w:eastAsia="Calibri" w:hAnsi="Calibri" w:cs="Calibri"/>
              </w:rPr>
              <w:t xml:space="preserve"> SBAC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3C540D" w14:textId="2CCCA4D5" w:rsidR="07D262BE" w:rsidRDefault="006A1FB5" w:rsidP="00C066F2">
            <w:pPr>
              <w:jc w:val="center"/>
              <w:rPr>
                <w:rFonts w:ascii="Calibri" w:eastAsia="Calibri" w:hAnsi="Calibri" w:cs="Calibri"/>
              </w:rPr>
            </w:pPr>
            <w:r>
              <w:rPr>
                <w:rFonts w:ascii="Calibri" w:eastAsia="Calibri" w:hAnsi="Calibri" w:cs="Calibri"/>
              </w:rPr>
              <w:t>N/A</w:t>
            </w:r>
          </w:p>
        </w:tc>
      </w:tr>
    </w:tbl>
    <w:p w14:paraId="076CAF3B" w14:textId="1C16C73E" w:rsidR="00DB37A5" w:rsidRPr="00D01E3F" w:rsidRDefault="000D693D" w:rsidP="00C9405C">
      <w:pPr>
        <w:pStyle w:val="Heading1"/>
        <w:spacing w:before="120" w:line="240" w:lineRule="auto"/>
        <w:rPr>
          <w:rFonts w:asciiTheme="minorHAnsi" w:hAnsiTheme="minorHAnsi" w:cstheme="minorHAnsi"/>
          <w:b/>
          <w:bCs/>
          <w:color w:val="1B75BC"/>
        </w:rPr>
      </w:pPr>
      <w:r w:rsidRPr="000D693D">
        <w:rPr>
          <w:rFonts w:asciiTheme="minorHAnsi" w:hAnsiTheme="minorHAnsi" w:cstheme="minorHAnsi"/>
          <w:b/>
          <w:bCs/>
          <w:color w:val="1B75BC"/>
        </w:rPr>
        <w:t xml:space="preserve">¿Cuáles son los </w:t>
      </w:r>
      <w:r w:rsidR="00507208">
        <w:rPr>
          <w:rFonts w:asciiTheme="minorHAnsi" w:hAnsiTheme="minorHAnsi" w:cstheme="minorHAnsi"/>
          <w:b/>
          <w:bCs/>
          <w:color w:val="1B75BC"/>
        </w:rPr>
        <w:t xml:space="preserve">nuevos </w:t>
      </w:r>
      <w:r w:rsidRPr="000D693D">
        <w:rPr>
          <w:rFonts w:asciiTheme="minorHAnsi" w:hAnsiTheme="minorHAnsi" w:cstheme="minorHAnsi"/>
          <w:b/>
          <w:bCs/>
          <w:color w:val="1B75BC"/>
        </w:rPr>
        <w:t>objetivos?</w:t>
      </w:r>
    </w:p>
    <w:p w14:paraId="4F443138" w14:textId="74D90A7D" w:rsidR="00C43BD2" w:rsidRPr="00C43BD2" w:rsidRDefault="003552F9" w:rsidP="00C066F2">
      <w:pPr>
        <w:numPr>
          <w:ilvl w:val="0"/>
          <w:numId w:val="5"/>
        </w:numPr>
        <w:spacing w:after="0" w:line="240" w:lineRule="auto"/>
        <w:rPr>
          <w:color w:val="000000" w:themeColor="text1"/>
        </w:rPr>
      </w:pPr>
      <w:r w:rsidRPr="003552F9">
        <w:rPr>
          <w:color w:val="000000" w:themeColor="text1"/>
        </w:rPr>
        <w:t>Los objetivos deben ser rigurosos, pero alcanzables.</w:t>
      </w:r>
      <w:r w:rsidR="00C43BD2" w:rsidRPr="2C880D0B">
        <w:rPr>
          <w:color w:val="000000" w:themeColor="text1"/>
        </w:rPr>
        <w:t> </w:t>
      </w:r>
    </w:p>
    <w:p w14:paraId="06211467" w14:textId="2006C866" w:rsidR="00C43BD2" w:rsidRPr="00C43BD2" w:rsidRDefault="003552F9" w:rsidP="00C066F2">
      <w:pPr>
        <w:numPr>
          <w:ilvl w:val="0"/>
          <w:numId w:val="5"/>
        </w:numPr>
        <w:spacing w:after="0" w:line="240" w:lineRule="auto"/>
        <w:rPr>
          <w:color w:val="000000" w:themeColor="text1"/>
        </w:rPr>
      </w:pPr>
      <w:r w:rsidRPr="003552F9">
        <w:rPr>
          <w:color w:val="000000" w:themeColor="text1"/>
        </w:rPr>
        <w:t>Los objetivos pueden permanecer iguales varios años seguidos, aunque el año objetivo final (FFY 2025) debe reflejar una mejora con respecto a la línea de base.</w:t>
      </w:r>
    </w:p>
    <w:p w14:paraId="3E186BD7" w14:textId="04CC502F" w:rsidR="00C43BD2" w:rsidRDefault="000D693D" w:rsidP="00C066F2">
      <w:pPr>
        <w:numPr>
          <w:ilvl w:val="0"/>
          <w:numId w:val="5"/>
        </w:numPr>
        <w:spacing w:after="0" w:line="240" w:lineRule="auto"/>
        <w:rPr>
          <w:color w:val="000000" w:themeColor="text1"/>
        </w:rPr>
      </w:pPr>
      <w:r w:rsidRPr="000D693D">
        <w:rPr>
          <w:color w:val="000000" w:themeColor="text1"/>
        </w:rPr>
        <w:t>El objetivo de este indicador es estar en o por encima del objetivo.</w:t>
      </w:r>
    </w:p>
    <w:p w14:paraId="116F8117" w14:textId="69FAEFF3" w:rsidR="002A100A" w:rsidRPr="002A100A" w:rsidRDefault="001E76B5" w:rsidP="00C9405C">
      <w:pPr>
        <w:spacing w:before="120" w:after="0" w:line="240" w:lineRule="auto"/>
        <w:rPr>
          <w:b/>
          <w:color w:val="408740"/>
          <w:sz w:val="24"/>
          <w:szCs w:val="24"/>
        </w:rPr>
      </w:pPr>
      <w:r w:rsidRPr="001E76B5">
        <w:rPr>
          <w:b/>
          <w:color w:val="408740"/>
          <w:sz w:val="24"/>
          <w:szCs w:val="24"/>
        </w:rPr>
        <w:t>Opción</w:t>
      </w:r>
      <w:r w:rsidR="002A100A" w:rsidRPr="002A100A">
        <w:rPr>
          <w:b/>
          <w:color w:val="408740"/>
          <w:sz w:val="24"/>
          <w:szCs w:val="24"/>
        </w:rPr>
        <w:t xml:space="preserve"> A</w:t>
      </w:r>
    </w:p>
    <w:tbl>
      <w:tblPr>
        <w:tblStyle w:val="TableGrid"/>
        <w:tblW w:w="10975" w:type="dxa"/>
        <w:tblLook w:val="04A0" w:firstRow="1" w:lastRow="0" w:firstColumn="1" w:lastColumn="0" w:noHBand="0" w:noVBand="1"/>
        <w:tblCaption w:val="Los objetivos propuestos para la opción A"/>
        <w:tblDescription w:val="En este cuadro se muestran los objetivos propuestos para la opción A."/>
      </w:tblPr>
      <w:tblGrid>
        <w:gridCol w:w="2224"/>
        <w:gridCol w:w="1458"/>
        <w:gridCol w:w="1459"/>
        <w:gridCol w:w="1458"/>
        <w:gridCol w:w="1459"/>
        <w:gridCol w:w="1458"/>
        <w:gridCol w:w="1459"/>
      </w:tblGrid>
      <w:tr w:rsidR="00B87EF5" w:rsidRPr="00B542E4" w14:paraId="4D622EFE" w14:textId="77777777" w:rsidTr="00F21CA2">
        <w:trPr>
          <w:tblHeader/>
        </w:trPr>
        <w:tc>
          <w:tcPr>
            <w:tcW w:w="2224" w:type="dxa"/>
          </w:tcPr>
          <w:p w14:paraId="259B6FD7" w14:textId="435CD1CE" w:rsidR="00B87EF5" w:rsidRPr="00B542E4" w:rsidRDefault="003552F9" w:rsidP="00C066F2">
            <w:pPr>
              <w:jc w:val="center"/>
              <w:rPr>
                <w:b/>
              </w:rPr>
            </w:pPr>
            <w:r>
              <w:rPr>
                <w:b/>
              </w:rPr>
              <w:t>AFF</w:t>
            </w:r>
          </w:p>
        </w:tc>
        <w:tc>
          <w:tcPr>
            <w:tcW w:w="1458" w:type="dxa"/>
          </w:tcPr>
          <w:p w14:paraId="571E5A61" w14:textId="22710A97" w:rsidR="00B87EF5" w:rsidRPr="00B542E4" w:rsidRDefault="21FF1976" w:rsidP="00C066F2">
            <w:pPr>
              <w:jc w:val="center"/>
              <w:rPr>
                <w:b/>
                <w:bCs/>
              </w:rPr>
            </w:pPr>
            <w:r w:rsidRPr="60DABA2E">
              <w:rPr>
                <w:b/>
                <w:bCs/>
              </w:rPr>
              <w:t>2</w:t>
            </w:r>
            <w:r w:rsidR="2613C47A" w:rsidRPr="60DABA2E">
              <w:rPr>
                <w:b/>
                <w:bCs/>
              </w:rPr>
              <w:t>0</w:t>
            </w:r>
            <w:r w:rsidR="469ED382" w:rsidRPr="60DABA2E">
              <w:rPr>
                <w:b/>
                <w:bCs/>
              </w:rPr>
              <w:t>20</w:t>
            </w:r>
          </w:p>
        </w:tc>
        <w:tc>
          <w:tcPr>
            <w:tcW w:w="1459" w:type="dxa"/>
          </w:tcPr>
          <w:p w14:paraId="427E1BD2" w14:textId="4D2F5DFE" w:rsidR="00B87EF5" w:rsidRPr="00B542E4" w:rsidRDefault="2613C47A" w:rsidP="00C066F2">
            <w:pPr>
              <w:jc w:val="center"/>
              <w:rPr>
                <w:b/>
                <w:bCs/>
              </w:rPr>
            </w:pPr>
            <w:r w:rsidRPr="60DABA2E">
              <w:rPr>
                <w:b/>
                <w:bCs/>
              </w:rPr>
              <w:t>202</w:t>
            </w:r>
            <w:r w:rsidR="2685DB33" w:rsidRPr="60DABA2E">
              <w:rPr>
                <w:b/>
                <w:bCs/>
              </w:rPr>
              <w:t>1</w:t>
            </w:r>
          </w:p>
        </w:tc>
        <w:tc>
          <w:tcPr>
            <w:tcW w:w="1458" w:type="dxa"/>
          </w:tcPr>
          <w:p w14:paraId="7AFE264B" w14:textId="27D1E193" w:rsidR="00B87EF5" w:rsidRPr="00B542E4" w:rsidRDefault="2613C47A" w:rsidP="00C066F2">
            <w:pPr>
              <w:jc w:val="center"/>
              <w:rPr>
                <w:b/>
                <w:bCs/>
              </w:rPr>
            </w:pPr>
            <w:r w:rsidRPr="60DABA2E">
              <w:rPr>
                <w:b/>
                <w:bCs/>
              </w:rPr>
              <w:t>202</w:t>
            </w:r>
            <w:r w:rsidR="020B193F" w:rsidRPr="60DABA2E">
              <w:rPr>
                <w:b/>
                <w:bCs/>
              </w:rPr>
              <w:t>2</w:t>
            </w:r>
          </w:p>
        </w:tc>
        <w:tc>
          <w:tcPr>
            <w:tcW w:w="1459" w:type="dxa"/>
          </w:tcPr>
          <w:p w14:paraId="031017BE" w14:textId="2DA2DE02" w:rsidR="00B87EF5" w:rsidRPr="00B542E4" w:rsidRDefault="2613C47A" w:rsidP="00C066F2">
            <w:pPr>
              <w:jc w:val="center"/>
              <w:rPr>
                <w:b/>
                <w:bCs/>
              </w:rPr>
            </w:pPr>
            <w:r w:rsidRPr="60DABA2E">
              <w:rPr>
                <w:b/>
                <w:bCs/>
              </w:rPr>
              <w:t>202</w:t>
            </w:r>
            <w:r w:rsidR="06EAFC31" w:rsidRPr="60DABA2E">
              <w:rPr>
                <w:b/>
                <w:bCs/>
              </w:rPr>
              <w:t>3</w:t>
            </w:r>
          </w:p>
        </w:tc>
        <w:tc>
          <w:tcPr>
            <w:tcW w:w="1458" w:type="dxa"/>
          </w:tcPr>
          <w:p w14:paraId="1B6B7751" w14:textId="13D45AA0" w:rsidR="00B87EF5" w:rsidRPr="00B542E4" w:rsidRDefault="2613C47A" w:rsidP="00C066F2">
            <w:pPr>
              <w:jc w:val="center"/>
              <w:rPr>
                <w:b/>
                <w:bCs/>
              </w:rPr>
            </w:pPr>
            <w:r w:rsidRPr="60DABA2E">
              <w:rPr>
                <w:b/>
                <w:bCs/>
              </w:rPr>
              <w:t>202</w:t>
            </w:r>
            <w:r w:rsidR="58EFF6A8" w:rsidRPr="60DABA2E">
              <w:rPr>
                <w:b/>
                <w:bCs/>
              </w:rPr>
              <w:t>4</w:t>
            </w:r>
          </w:p>
        </w:tc>
        <w:tc>
          <w:tcPr>
            <w:tcW w:w="1459" w:type="dxa"/>
          </w:tcPr>
          <w:p w14:paraId="04CD271D" w14:textId="52342ECE" w:rsidR="00B87EF5" w:rsidRPr="00B542E4" w:rsidRDefault="2613C47A" w:rsidP="00C066F2">
            <w:pPr>
              <w:jc w:val="center"/>
              <w:rPr>
                <w:b/>
                <w:bCs/>
              </w:rPr>
            </w:pPr>
            <w:r w:rsidRPr="60DABA2E">
              <w:rPr>
                <w:b/>
                <w:bCs/>
              </w:rPr>
              <w:t>202</w:t>
            </w:r>
            <w:r w:rsidR="1B77C450" w:rsidRPr="60DABA2E">
              <w:rPr>
                <w:b/>
                <w:bCs/>
              </w:rPr>
              <w:t>5</w:t>
            </w:r>
          </w:p>
        </w:tc>
      </w:tr>
      <w:tr w:rsidR="002A100A" w14:paraId="45E14FEF" w14:textId="77777777" w:rsidTr="00AE0B06">
        <w:tc>
          <w:tcPr>
            <w:tcW w:w="2224" w:type="dxa"/>
          </w:tcPr>
          <w:p w14:paraId="5A93EBDE" w14:textId="2C2A718D" w:rsidR="002A100A" w:rsidRDefault="003552F9" w:rsidP="00C066F2">
            <w:r>
              <w:t>Objetivo</w:t>
            </w:r>
            <w:r w:rsidR="002A100A">
              <w:t xml:space="preserve"> </w:t>
            </w:r>
            <w:r w:rsidR="00356BE5">
              <w:rPr>
                <w:rFonts w:cstheme="minorHAnsi"/>
              </w:rPr>
              <w:t>≥</w:t>
            </w:r>
          </w:p>
        </w:tc>
        <w:tc>
          <w:tcPr>
            <w:tcW w:w="1458" w:type="dxa"/>
          </w:tcPr>
          <w:p w14:paraId="77CC9AB5" w14:textId="44E8C383" w:rsidR="002A100A" w:rsidRPr="00B87EF5" w:rsidRDefault="59676FBA" w:rsidP="00C066F2">
            <w:pPr>
              <w:jc w:val="center"/>
            </w:pPr>
            <w:r>
              <w:t>2</w:t>
            </w:r>
            <w:r w:rsidR="076C12D4">
              <w:t>5</w:t>
            </w:r>
            <w:r w:rsidR="00D03C1C">
              <w:t>.00</w:t>
            </w:r>
            <w:r>
              <w:t>%</w:t>
            </w:r>
          </w:p>
        </w:tc>
        <w:tc>
          <w:tcPr>
            <w:tcW w:w="1459" w:type="dxa"/>
          </w:tcPr>
          <w:p w14:paraId="7F5803A4" w14:textId="21E3C7D2" w:rsidR="002A100A" w:rsidRDefault="59676FBA" w:rsidP="00C066F2">
            <w:pPr>
              <w:jc w:val="center"/>
            </w:pPr>
            <w:r>
              <w:t>2</w:t>
            </w:r>
            <w:r w:rsidR="11798E14">
              <w:t>7</w:t>
            </w:r>
            <w:r w:rsidR="00D03C1C">
              <w:t>.00</w:t>
            </w:r>
            <w:r>
              <w:t>%</w:t>
            </w:r>
          </w:p>
        </w:tc>
        <w:tc>
          <w:tcPr>
            <w:tcW w:w="1458" w:type="dxa"/>
          </w:tcPr>
          <w:p w14:paraId="6E90AE60" w14:textId="025F61AD" w:rsidR="002A100A" w:rsidRDefault="21F08DDA" w:rsidP="00C066F2">
            <w:pPr>
              <w:jc w:val="center"/>
            </w:pPr>
            <w:r>
              <w:t>29</w:t>
            </w:r>
            <w:r w:rsidR="00DA643A">
              <w:t>.00</w:t>
            </w:r>
            <w:r w:rsidR="59676FBA">
              <w:t>%</w:t>
            </w:r>
          </w:p>
        </w:tc>
        <w:tc>
          <w:tcPr>
            <w:tcW w:w="1459" w:type="dxa"/>
          </w:tcPr>
          <w:p w14:paraId="3F7E8632" w14:textId="07D0DE88" w:rsidR="002A100A" w:rsidRDefault="194C6BD6" w:rsidP="00C066F2">
            <w:pPr>
              <w:jc w:val="center"/>
            </w:pPr>
            <w:r>
              <w:t>31</w:t>
            </w:r>
            <w:r w:rsidR="00DA643A">
              <w:t>.00</w:t>
            </w:r>
            <w:r w:rsidR="59676FBA">
              <w:t>%</w:t>
            </w:r>
          </w:p>
        </w:tc>
        <w:tc>
          <w:tcPr>
            <w:tcW w:w="1458" w:type="dxa"/>
          </w:tcPr>
          <w:p w14:paraId="73EF069A" w14:textId="38A100B5" w:rsidR="002A100A" w:rsidRDefault="5B00DEA8" w:rsidP="00C066F2">
            <w:pPr>
              <w:jc w:val="center"/>
            </w:pPr>
            <w:r>
              <w:t>33</w:t>
            </w:r>
            <w:r w:rsidR="00DA643A">
              <w:t>.00</w:t>
            </w:r>
            <w:r w:rsidR="59676FBA">
              <w:t>%</w:t>
            </w:r>
          </w:p>
        </w:tc>
        <w:tc>
          <w:tcPr>
            <w:tcW w:w="1459" w:type="dxa"/>
          </w:tcPr>
          <w:p w14:paraId="33DD2500" w14:textId="4DDD1A27" w:rsidR="002A100A" w:rsidRDefault="64855193" w:rsidP="00C066F2">
            <w:pPr>
              <w:jc w:val="center"/>
            </w:pPr>
            <w:r>
              <w:t>35</w:t>
            </w:r>
            <w:r w:rsidR="00DA643A">
              <w:t>.00</w:t>
            </w:r>
            <w:r w:rsidR="59676FBA">
              <w:t>%</w:t>
            </w:r>
          </w:p>
        </w:tc>
      </w:tr>
    </w:tbl>
    <w:p w14:paraId="67B8C947" w14:textId="5204588D" w:rsidR="00C53B82" w:rsidRPr="00C53B82" w:rsidRDefault="003552F9" w:rsidP="00AE0B06">
      <w:pPr>
        <w:spacing w:after="120" w:line="240" w:lineRule="auto"/>
      </w:pPr>
      <w:r w:rsidRPr="003552F9">
        <w:t>La opción A presenta un conjunto de objetivos más conservador. Estos objetivos comienzan cerca de la tasa de competencia de los estudiantes en la ventana de evaluación más reciente y aumentan a un ritmo mayor con el tiempo. El objetivo final representa duplicar el porcentaje de estudiantes que se desempeñan en o por encima de la competencia en los próximos cinco años.</w:t>
      </w:r>
    </w:p>
    <w:p w14:paraId="759F8B3E" w14:textId="678F7FD8" w:rsidR="002A100A" w:rsidRDefault="001E76B5" w:rsidP="00C066F2">
      <w:pPr>
        <w:spacing w:after="0" w:line="240" w:lineRule="auto"/>
        <w:rPr>
          <w:b/>
          <w:color w:val="408740"/>
          <w:sz w:val="24"/>
          <w:szCs w:val="24"/>
        </w:rPr>
      </w:pPr>
      <w:r w:rsidRPr="001E76B5">
        <w:rPr>
          <w:b/>
          <w:color w:val="408740"/>
          <w:sz w:val="24"/>
          <w:szCs w:val="24"/>
        </w:rPr>
        <w:t>Opción</w:t>
      </w:r>
      <w:r w:rsidR="002A100A">
        <w:rPr>
          <w:b/>
          <w:color w:val="408740"/>
          <w:sz w:val="24"/>
          <w:szCs w:val="24"/>
        </w:rPr>
        <w:t xml:space="preserve"> B</w:t>
      </w:r>
    </w:p>
    <w:tbl>
      <w:tblPr>
        <w:tblStyle w:val="TableGrid"/>
        <w:tblW w:w="10975" w:type="dxa"/>
        <w:tblLook w:val="04A0" w:firstRow="1" w:lastRow="0" w:firstColumn="1" w:lastColumn="0" w:noHBand="0" w:noVBand="1"/>
        <w:tblCaption w:val="Los objetivos propuestos para la opción B"/>
        <w:tblDescription w:val="En este cuadro se muestran los objetivos propuestos para la opción B."/>
      </w:tblPr>
      <w:tblGrid>
        <w:gridCol w:w="2224"/>
        <w:gridCol w:w="1458"/>
        <w:gridCol w:w="1459"/>
        <w:gridCol w:w="1458"/>
        <w:gridCol w:w="1459"/>
        <w:gridCol w:w="1458"/>
        <w:gridCol w:w="1459"/>
      </w:tblGrid>
      <w:tr w:rsidR="0027587A" w:rsidRPr="00B542E4" w14:paraId="7E8BE661" w14:textId="77777777" w:rsidTr="00F21CA2">
        <w:trPr>
          <w:tblHeader/>
        </w:trPr>
        <w:tc>
          <w:tcPr>
            <w:tcW w:w="2224" w:type="dxa"/>
          </w:tcPr>
          <w:p w14:paraId="258604EF" w14:textId="75352606" w:rsidR="0027587A" w:rsidRPr="00B542E4" w:rsidRDefault="003552F9" w:rsidP="003552F9">
            <w:pPr>
              <w:jc w:val="center"/>
              <w:rPr>
                <w:b/>
              </w:rPr>
            </w:pPr>
            <w:r>
              <w:rPr>
                <w:b/>
              </w:rPr>
              <w:t>AFF</w:t>
            </w:r>
          </w:p>
        </w:tc>
        <w:tc>
          <w:tcPr>
            <w:tcW w:w="1458" w:type="dxa"/>
          </w:tcPr>
          <w:p w14:paraId="21781E71" w14:textId="5F60B4E9" w:rsidR="0027587A" w:rsidRPr="00B542E4" w:rsidRDefault="1C9B441E" w:rsidP="00C066F2">
            <w:pPr>
              <w:jc w:val="center"/>
              <w:rPr>
                <w:b/>
                <w:bCs/>
              </w:rPr>
            </w:pPr>
            <w:r w:rsidRPr="60DABA2E">
              <w:rPr>
                <w:b/>
                <w:bCs/>
              </w:rPr>
              <w:t>20</w:t>
            </w:r>
            <w:r w:rsidR="0575CA10" w:rsidRPr="60DABA2E">
              <w:rPr>
                <w:b/>
                <w:bCs/>
              </w:rPr>
              <w:t>20</w:t>
            </w:r>
          </w:p>
        </w:tc>
        <w:tc>
          <w:tcPr>
            <w:tcW w:w="1459" w:type="dxa"/>
          </w:tcPr>
          <w:p w14:paraId="183491D2" w14:textId="2920BB08" w:rsidR="0027587A" w:rsidRPr="00B542E4" w:rsidRDefault="1C9B441E" w:rsidP="00C066F2">
            <w:pPr>
              <w:jc w:val="center"/>
              <w:rPr>
                <w:b/>
                <w:bCs/>
              </w:rPr>
            </w:pPr>
            <w:r w:rsidRPr="60DABA2E">
              <w:rPr>
                <w:b/>
                <w:bCs/>
              </w:rPr>
              <w:t>202</w:t>
            </w:r>
            <w:r w:rsidR="086C21FF" w:rsidRPr="60DABA2E">
              <w:rPr>
                <w:b/>
                <w:bCs/>
              </w:rPr>
              <w:t>1</w:t>
            </w:r>
          </w:p>
        </w:tc>
        <w:tc>
          <w:tcPr>
            <w:tcW w:w="1458" w:type="dxa"/>
          </w:tcPr>
          <w:p w14:paraId="33CAE4AE" w14:textId="5CF502CB" w:rsidR="0027587A" w:rsidRPr="00B542E4" w:rsidRDefault="1C9B441E" w:rsidP="00C066F2">
            <w:pPr>
              <w:jc w:val="center"/>
              <w:rPr>
                <w:b/>
                <w:bCs/>
              </w:rPr>
            </w:pPr>
            <w:r w:rsidRPr="60DABA2E">
              <w:rPr>
                <w:b/>
                <w:bCs/>
              </w:rPr>
              <w:t>202</w:t>
            </w:r>
            <w:r w:rsidR="3677DA55" w:rsidRPr="60DABA2E">
              <w:rPr>
                <w:b/>
                <w:bCs/>
              </w:rPr>
              <w:t>2</w:t>
            </w:r>
          </w:p>
        </w:tc>
        <w:tc>
          <w:tcPr>
            <w:tcW w:w="1459" w:type="dxa"/>
          </w:tcPr>
          <w:p w14:paraId="09B3B451" w14:textId="634B6185" w:rsidR="0027587A" w:rsidRPr="00B542E4" w:rsidRDefault="1C9B441E" w:rsidP="00C066F2">
            <w:pPr>
              <w:jc w:val="center"/>
              <w:rPr>
                <w:b/>
                <w:bCs/>
              </w:rPr>
            </w:pPr>
            <w:r w:rsidRPr="60DABA2E">
              <w:rPr>
                <w:b/>
                <w:bCs/>
              </w:rPr>
              <w:t>202</w:t>
            </w:r>
            <w:r w:rsidR="75F5E8FC" w:rsidRPr="60DABA2E">
              <w:rPr>
                <w:b/>
                <w:bCs/>
              </w:rPr>
              <w:t>3</w:t>
            </w:r>
          </w:p>
        </w:tc>
        <w:tc>
          <w:tcPr>
            <w:tcW w:w="1458" w:type="dxa"/>
          </w:tcPr>
          <w:p w14:paraId="4E193761" w14:textId="3767457B" w:rsidR="0027587A" w:rsidRPr="00B542E4" w:rsidRDefault="1C9B441E" w:rsidP="00C066F2">
            <w:pPr>
              <w:jc w:val="center"/>
              <w:rPr>
                <w:b/>
                <w:bCs/>
              </w:rPr>
            </w:pPr>
            <w:r w:rsidRPr="60DABA2E">
              <w:rPr>
                <w:b/>
                <w:bCs/>
              </w:rPr>
              <w:t>202</w:t>
            </w:r>
            <w:r w:rsidR="6987B580" w:rsidRPr="60DABA2E">
              <w:rPr>
                <w:b/>
                <w:bCs/>
              </w:rPr>
              <w:t>4</w:t>
            </w:r>
          </w:p>
        </w:tc>
        <w:tc>
          <w:tcPr>
            <w:tcW w:w="1459" w:type="dxa"/>
          </w:tcPr>
          <w:p w14:paraId="386E67AB" w14:textId="40D02930" w:rsidR="0027587A" w:rsidRPr="00B542E4" w:rsidRDefault="1C9B441E" w:rsidP="00C066F2">
            <w:pPr>
              <w:jc w:val="center"/>
              <w:rPr>
                <w:b/>
                <w:bCs/>
              </w:rPr>
            </w:pPr>
            <w:r w:rsidRPr="60DABA2E">
              <w:rPr>
                <w:b/>
                <w:bCs/>
              </w:rPr>
              <w:t>202</w:t>
            </w:r>
            <w:r w:rsidR="789720BB" w:rsidRPr="60DABA2E">
              <w:rPr>
                <w:b/>
                <w:bCs/>
              </w:rPr>
              <w:t>5</w:t>
            </w:r>
          </w:p>
        </w:tc>
      </w:tr>
      <w:tr w:rsidR="0027587A" w14:paraId="3AB52173" w14:textId="77777777" w:rsidTr="00AE0B06">
        <w:tc>
          <w:tcPr>
            <w:tcW w:w="2224" w:type="dxa"/>
          </w:tcPr>
          <w:p w14:paraId="58122095" w14:textId="2145DBE4" w:rsidR="0027587A" w:rsidRDefault="003552F9" w:rsidP="00C066F2">
            <w:r>
              <w:t>Objetivo</w:t>
            </w:r>
            <w:r w:rsidR="00C06C4E">
              <w:t xml:space="preserve"> </w:t>
            </w:r>
            <w:r w:rsidR="00356BE5">
              <w:rPr>
                <w:rFonts w:cstheme="minorHAnsi"/>
              </w:rPr>
              <w:t>≥</w:t>
            </w:r>
          </w:p>
        </w:tc>
        <w:tc>
          <w:tcPr>
            <w:tcW w:w="1458" w:type="dxa"/>
          </w:tcPr>
          <w:p w14:paraId="4A78CC05" w14:textId="3ABC6551" w:rsidR="0027587A" w:rsidRPr="00B87EF5" w:rsidRDefault="10D67B9A" w:rsidP="00C066F2">
            <w:pPr>
              <w:jc w:val="center"/>
            </w:pPr>
            <w:r>
              <w:t>48</w:t>
            </w:r>
            <w:r w:rsidR="00DA643A">
              <w:t>.00</w:t>
            </w:r>
            <w:r>
              <w:t>%</w:t>
            </w:r>
          </w:p>
        </w:tc>
        <w:tc>
          <w:tcPr>
            <w:tcW w:w="1459" w:type="dxa"/>
          </w:tcPr>
          <w:p w14:paraId="1737B822" w14:textId="06A04DAE" w:rsidR="0027587A" w:rsidRDefault="10D67B9A" w:rsidP="00C066F2">
            <w:pPr>
              <w:jc w:val="center"/>
            </w:pPr>
            <w:r>
              <w:t>54</w:t>
            </w:r>
            <w:r w:rsidR="00DA643A">
              <w:t>.00</w:t>
            </w:r>
            <w:r>
              <w:t>%</w:t>
            </w:r>
          </w:p>
        </w:tc>
        <w:tc>
          <w:tcPr>
            <w:tcW w:w="1458" w:type="dxa"/>
          </w:tcPr>
          <w:p w14:paraId="4F9F9B6F" w14:textId="3221BBC3" w:rsidR="0027587A" w:rsidRDefault="10D67B9A" w:rsidP="00C066F2">
            <w:pPr>
              <w:jc w:val="center"/>
            </w:pPr>
            <w:r>
              <w:t>61</w:t>
            </w:r>
            <w:r w:rsidR="00DA643A">
              <w:t>.00</w:t>
            </w:r>
            <w:r>
              <w:t>%</w:t>
            </w:r>
          </w:p>
        </w:tc>
        <w:tc>
          <w:tcPr>
            <w:tcW w:w="1459" w:type="dxa"/>
          </w:tcPr>
          <w:p w14:paraId="391ADC2C" w14:textId="5844B3F4" w:rsidR="0027587A" w:rsidRDefault="10D67B9A" w:rsidP="00C066F2">
            <w:pPr>
              <w:jc w:val="center"/>
            </w:pPr>
            <w:r>
              <w:t>67</w:t>
            </w:r>
            <w:r w:rsidR="00DA643A">
              <w:t>.00</w:t>
            </w:r>
            <w:r>
              <w:t>%</w:t>
            </w:r>
          </w:p>
        </w:tc>
        <w:tc>
          <w:tcPr>
            <w:tcW w:w="1458" w:type="dxa"/>
          </w:tcPr>
          <w:p w14:paraId="567D5E92" w14:textId="54B22FA2" w:rsidR="0027587A" w:rsidRDefault="10D67B9A" w:rsidP="00C066F2">
            <w:pPr>
              <w:jc w:val="center"/>
            </w:pPr>
            <w:r>
              <w:t>74</w:t>
            </w:r>
            <w:r w:rsidR="00DA643A">
              <w:t>.00</w:t>
            </w:r>
            <w:r>
              <w:t>%</w:t>
            </w:r>
          </w:p>
        </w:tc>
        <w:tc>
          <w:tcPr>
            <w:tcW w:w="1459" w:type="dxa"/>
          </w:tcPr>
          <w:p w14:paraId="22A1F808" w14:textId="36101DBF" w:rsidR="0027587A" w:rsidRDefault="3A63D607" w:rsidP="00C066F2">
            <w:pPr>
              <w:jc w:val="center"/>
            </w:pPr>
            <w:r>
              <w:t>80</w:t>
            </w:r>
            <w:r w:rsidR="00DA643A">
              <w:t>.00</w:t>
            </w:r>
            <w:r>
              <w:t>%</w:t>
            </w:r>
          </w:p>
        </w:tc>
      </w:tr>
    </w:tbl>
    <w:p w14:paraId="0EDD22F2" w14:textId="7B21D3E3" w:rsidR="5149803E" w:rsidRDefault="000D693D" w:rsidP="00AE0B06">
      <w:pPr>
        <w:spacing w:after="120" w:line="240" w:lineRule="auto"/>
      </w:pPr>
      <w:r w:rsidRPr="000D693D">
        <w:rPr>
          <w:color w:val="000000" w:themeColor="text1"/>
        </w:rPr>
        <w:t>La opción B presenta un conjunto de objetivos más ambicioso. La Opción B utiliza los objetivos anuales para los indicadores de responsabilidad escolar para el desempeño de ELA para estudiantes que experimentan discapacidad según lo requerido por la Ley de Éxito de Cada Estudiante (ESSA). Estos objetivos se establecieron utilizando el rendimiento de referencia del 22% de los estudiantes con discapacidad que se desempeñaron en o por encima de la competencia en ELA en 2015-2016, según lo medido por la Evaluación Smarter Balanced.</w:t>
      </w:r>
    </w:p>
    <w:p w14:paraId="0AD94155" w14:textId="27AFAD5B" w:rsidR="000D693D" w:rsidRDefault="000D693D" w:rsidP="00C066F2">
      <w:pPr>
        <w:spacing w:after="0" w:line="240" w:lineRule="auto"/>
        <w:jc w:val="center"/>
        <w:rPr>
          <w:rFonts w:ascii="Calibri" w:eastAsia="Calibri" w:hAnsi="Calibri" w:cs="Calibri"/>
          <w:b/>
          <w:bCs/>
          <w:color w:val="407641"/>
        </w:rPr>
      </w:pPr>
      <w:r w:rsidRPr="000D693D">
        <w:rPr>
          <w:rFonts w:ascii="Calibri" w:eastAsia="Calibri" w:hAnsi="Calibri" w:cs="Calibri"/>
          <w:b/>
          <w:bCs/>
          <w:color w:val="407641"/>
        </w:rPr>
        <w:t xml:space="preserve">Si necesita más información para proporcionar información, </w:t>
      </w:r>
      <w:r w:rsidR="00507208">
        <w:rPr>
          <w:rFonts w:ascii="Calibri" w:eastAsia="Calibri" w:hAnsi="Calibri" w:cs="Calibri"/>
          <w:b/>
          <w:bCs/>
          <w:color w:val="407641"/>
        </w:rPr>
        <w:t>comuníquese</w:t>
      </w:r>
      <w:r w:rsidRPr="000D693D">
        <w:rPr>
          <w:rFonts w:ascii="Calibri" w:eastAsia="Calibri" w:hAnsi="Calibri" w:cs="Calibri"/>
          <w:b/>
          <w:bCs/>
          <w:color w:val="407641"/>
        </w:rPr>
        <w:t xml:space="preserve"> con: </w:t>
      </w:r>
    </w:p>
    <w:p w14:paraId="4B186F15" w14:textId="60B9AD08" w:rsidR="000D693D" w:rsidRPr="000D693D" w:rsidRDefault="00507208" w:rsidP="00507208">
      <w:pPr>
        <w:tabs>
          <w:tab w:val="left" w:pos="1005"/>
          <w:tab w:val="center" w:pos="5400"/>
        </w:tabs>
        <w:spacing w:after="0" w:line="240" w:lineRule="auto"/>
        <w:rPr>
          <w:rFonts w:ascii="Calibri" w:eastAsia="Calibri" w:hAnsi="Calibri" w:cs="Calibri"/>
        </w:rPr>
      </w:pPr>
      <w:r>
        <w:rPr>
          <w:rFonts w:ascii="Calibri" w:eastAsia="Calibri" w:hAnsi="Calibri" w:cs="Calibri"/>
          <w:b/>
          <w:bCs/>
          <w:color w:val="407641"/>
        </w:rPr>
        <w:tab/>
      </w:r>
      <w:r>
        <w:rPr>
          <w:rFonts w:ascii="Calibri" w:eastAsia="Calibri" w:hAnsi="Calibri" w:cs="Calibri"/>
          <w:b/>
          <w:bCs/>
          <w:color w:val="407641"/>
        </w:rPr>
        <w:tab/>
      </w:r>
      <w:r w:rsidR="000D693D" w:rsidRPr="000D693D">
        <w:rPr>
          <w:rFonts w:ascii="Calibri" w:eastAsia="Calibri" w:hAnsi="Calibri" w:cs="Calibri"/>
          <w:b/>
          <w:bCs/>
          <w:color w:val="407641"/>
        </w:rPr>
        <w:t xml:space="preserve">Sarah Soltz, </w:t>
      </w:r>
      <w:r>
        <w:rPr>
          <w:rFonts w:ascii="Calibri" w:eastAsia="Calibri" w:hAnsi="Calibri" w:cs="Calibri"/>
          <w:b/>
          <w:bCs/>
          <w:color w:val="407641"/>
        </w:rPr>
        <w:t>e</w:t>
      </w:r>
      <w:r w:rsidR="000D693D" w:rsidRPr="000D693D">
        <w:rPr>
          <w:rFonts w:ascii="Calibri" w:eastAsia="Calibri" w:hAnsi="Calibri" w:cs="Calibri"/>
          <w:b/>
          <w:bCs/>
          <w:color w:val="407641"/>
        </w:rPr>
        <w:t xml:space="preserve">specialista en </w:t>
      </w:r>
      <w:r>
        <w:rPr>
          <w:rFonts w:ascii="Calibri" w:eastAsia="Calibri" w:hAnsi="Calibri" w:cs="Calibri"/>
          <w:b/>
          <w:bCs/>
          <w:color w:val="407641"/>
        </w:rPr>
        <w:t>e</w:t>
      </w:r>
      <w:r w:rsidR="000D693D" w:rsidRPr="000D693D">
        <w:rPr>
          <w:rFonts w:ascii="Calibri" w:eastAsia="Calibri" w:hAnsi="Calibri" w:cs="Calibri"/>
          <w:b/>
          <w:bCs/>
          <w:color w:val="407641"/>
        </w:rPr>
        <w:t xml:space="preserve">ducación, en </w:t>
      </w:r>
      <w:hyperlink r:id="rId14" w:history="1">
        <w:r w:rsidR="000D693D" w:rsidRPr="00471229">
          <w:rPr>
            <w:rStyle w:val="Hyperlink"/>
            <w:rFonts w:ascii="Calibri" w:eastAsia="Calibri" w:hAnsi="Calibri" w:cs="Calibri"/>
            <w:b/>
            <w:bCs/>
          </w:rPr>
          <w:t>sarah.soltz@state.or.us</w:t>
        </w:r>
      </w:hyperlink>
      <w:r w:rsidR="000D693D">
        <w:rPr>
          <w:rFonts w:ascii="Calibri" w:eastAsia="Calibri" w:hAnsi="Calibri" w:cs="Calibri"/>
          <w:b/>
          <w:bCs/>
          <w:color w:val="407641"/>
        </w:rPr>
        <w:t>.</w:t>
      </w:r>
    </w:p>
    <w:sectPr w:rsidR="000D693D" w:rsidRPr="000D693D" w:rsidSect="001E76B5">
      <w:footerReference w:type="default" r:id="rId15"/>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21F9CF01" w16cex:dateUtc="2021-10-21T19:02:18.794Z"/>
  <w16cex:commentExtensible w16cex:durableId="4235845B" w16cex:dateUtc="2021-10-22T20:02:33.973Z"/>
  <w16cex:commentExtensible w16cex:durableId="0B202525" w16cex:dateUtc="2021-10-29T15:27:07.001Z"/>
  <w16cex:commentExtensible w16cex:durableId="4B7AD595" w16cex:dateUtc="2021-10-29T15:38:27.722Z"/>
  <w16cex:commentExtensible w16cex:durableId="061BEC35" w16cex:dateUtc="2021-10-29T15:45:56.895Z"/>
  <w16cex:commentExtensible w16cex:durableId="6FFC2686" w16cex:dateUtc="2021-11-01T23:40:29.012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64EAE30A" w16cid:durableId="21F9CF01"/>
  <w16cid:commentId w16cid:paraId="294C9085" w16cid:durableId="4235845B"/>
  <w16cid:commentId w16cid:paraId="2E44313B" w16cid:durableId="0B202525"/>
  <w16cid:commentId w16cid:paraId="56C1B99A" w16cid:durableId="4B7AD595"/>
  <w16cid:commentId w16cid:paraId="79100008" w16cid:durableId="061BEC35"/>
  <w16cid:commentId w16cid:paraId="38C5EAE8" w16cid:durableId="6FFC26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2328" w14:textId="77777777" w:rsidR="00916C22" w:rsidRDefault="00916C22" w:rsidP="00A015AF">
      <w:pPr>
        <w:spacing w:after="0" w:line="240" w:lineRule="auto"/>
      </w:pPr>
      <w:r>
        <w:separator/>
      </w:r>
    </w:p>
  </w:endnote>
  <w:endnote w:type="continuationSeparator" w:id="0">
    <w:p w14:paraId="6FF5417F" w14:textId="77777777" w:rsidR="00916C22" w:rsidRDefault="00916C22" w:rsidP="00A015AF">
      <w:pPr>
        <w:spacing w:after="0" w:line="240" w:lineRule="auto"/>
      </w:pPr>
      <w:r>
        <w:continuationSeparator/>
      </w:r>
    </w:p>
  </w:endnote>
  <w:endnote w:type="continuationNotice" w:id="1">
    <w:p w14:paraId="2C940249" w14:textId="77777777" w:rsidR="00916C22" w:rsidRDefault="00916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68B7" w14:textId="3E8BDD80" w:rsidR="204AC3FC" w:rsidRDefault="000D693D" w:rsidP="204AC3FC">
    <w:pPr>
      <w:pStyle w:val="Footer"/>
    </w:pPr>
    <w:r w:rsidRPr="000D693D">
      <w:t xml:space="preserve">Hoja </w:t>
    </w:r>
    <w:r w:rsidR="00507208">
      <w:t>de datos</w:t>
    </w:r>
    <w:r w:rsidRPr="000D693D">
      <w:t xml:space="preserve"> del </w:t>
    </w:r>
    <w:r w:rsidR="00507208">
      <w:t>p</w:t>
    </w:r>
    <w:r w:rsidRPr="000D693D">
      <w:t>lan estatal de desempeño – Indicador B17</w:t>
    </w:r>
    <w:r w:rsidR="008620F1">
      <w:tab/>
    </w:r>
    <w:r w:rsidR="008620F1">
      <w:fldChar w:fldCharType="begin"/>
    </w:r>
    <w:r w:rsidR="008620F1">
      <w:instrText xml:space="preserve"> PAGE   \* MERGEFORMAT </w:instrText>
    </w:r>
    <w:r w:rsidR="008620F1">
      <w:fldChar w:fldCharType="separate"/>
    </w:r>
    <w:r w:rsidR="00D568BF">
      <w:rPr>
        <w:noProof/>
      </w:rPr>
      <w:t>2</w:t>
    </w:r>
    <w:r w:rsidR="008620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8466" w14:textId="77777777" w:rsidR="00916C22" w:rsidRDefault="00916C22" w:rsidP="00A015AF">
      <w:pPr>
        <w:spacing w:after="0" w:line="240" w:lineRule="auto"/>
      </w:pPr>
      <w:r>
        <w:separator/>
      </w:r>
    </w:p>
  </w:footnote>
  <w:footnote w:type="continuationSeparator" w:id="0">
    <w:p w14:paraId="417E57B3" w14:textId="77777777" w:rsidR="00916C22" w:rsidRDefault="00916C22" w:rsidP="00A015AF">
      <w:pPr>
        <w:spacing w:after="0" w:line="240" w:lineRule="auto"/>
      </w:pPr>
      <w:r>
        <w:continuationSeparator/>
      </w:r>
    </w:p>
  </w:footnote>
  <w:footnote w:type="continuationNotice" w:id="1">
    <w:p w14:paraId="74E67FD7" w14:textId="77777777" w:rsidR="00916C22" w:rsidRDefault="00916C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7"/>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45F6C"/>
    <w:rsid w:val="000601AE"/>
    <w:rsid w:val="000601DB"/>
    <w:rsid w:val="0006662B"/>
    <w:rsid w:val="000B7B51"/>
    <w:rsid w:val="000D239F"/>
    <w:rsid w:val="000D693D"/>
    <w:rsid w:val="000E223E"/>
    <w:rsid w:val="000E4FA0"/>
    <w:rsid w:val="001578EC"/>
    <w:rsid w:val="001B52CA"/>
    <w:rsid w:val="001B5BD1"/>
    <w:rsid w:val="001D6D90"/>
    <w:rsid w:val="001E76B5"/>
    <w:rsid w:val="00201BFA"/>
    <w:rsid w:val="00245322"/>
    <w:rsid w:val="002574CD"/>
    <w:rsid w:val="0026797A"/>
    <w:rsid w:val="002724DF"/>
    <w:rsid w:val="00272EC1"/>
    <w:rsid w:val="0027587A"/>
    <w:rsid w:val="00293C88"/>
    <w:rsid w:val="002A100A"/>
    <w:rsid w:val="002D66CC"/>
    <w:rsid w:val="002D83E7"/>
    <w:rsid w:val="00300812"/>
    <w:rsid w:val="00300F93"/>
    <w:rsid w:val="003050A0"/>
    <w:rsid w:val="00327EB0"/>
    <w:rsid w:val="003552F9"/>
    <w:rsid w:val="00356BE5"/>
    <w:rsid w:val="00373050"/>
    <w:rsid w:val="00381998"/>
    <w:rsid w:val="003D1BBB"/>
    <w:rsid w:val="003E3FC0"/>
    <w:rsid w:val="00464DC5"/>
    <w:rsid w:val="00472F13"/>
    <w:rsid w:val="00484FFE"/>
    <w:rsid w:val="00496DD9"/>
    <w:rsid w:val="004D2DF1"/>
    <w:rsid w:val="00506BAB"/>
    <w:rsid w:val="00506FC3"/>
    <w:rsid w:val="00507208"/>
    <w:rsid w:val="005406BB"/>
    <w:rsid w:val="00551272"/>
    <w:rsid w:val="00553F1B"/>
    <w:rsid w:val="00563CA9"/>
    <w:rsid w:val="005D6523"/>
    <w:rsid w:val="006076A9"/>
    <w:rsid w:val="006231FB"/>
    <w:rsid w:val="00665A1E"/>
    <w:rsid w:val="006665C6"/>
    <w:rsid w:val="00673685"/>
    <w:rsid w:val="00686AA4"/>
    <w:rsid w:val="006A1FB5"/>
    <w:rsid w:val="006A200C"/>
    <w:rsid w:val="006B3525"/>
    <w:rsid w:val="006F5CD5"/>
    <w:rsid w:val="006F6629"/>
    <w:rsid w:val="007252BB"/>
    <w:rsid w:val="00727B8B"/>
    <w:rsid w:val="0073468C"/>
    <w:rsid w:val="00770DA0"/>
    <w:rsid w:val="00772FA0"/>
    <w:rsid w:val="007911BE"/>
    <w:rsid w:val="007A4399"/>
    <w:rsid w:val="007CD639"/>
    <w:rsid w:val="00800077"/>
    <w:rsid w:val="008620F1"/>
    <w:rsid w:val="008707C4"/>
    <w:rsid w:val="00872B58"/>
    <w:rsid w:val="00872BA4"/>
    <w:rsid w:val="00912763"/>
    <w:rsid w:val="00916C22"/>
    <w:rsid w:val="00920793"/>
    <w:rsid w:val="00963CE4"/>
    <w:rsid w:val="0096464D"/>
    <w:rsid w:val="00976EA9"/>
    <w:rsid w:val="00980D00"/>
    <w:rsid w:val="009A23AC"/>
    <w:rsid w:val="009A5FD9"/>
    <w:rsid w:val="009B429F"/>
    <w:rsid w:val="009C5702"/>
    <w:rsid w:val="00A015AF"/>
    <w:rsid w:val="00A106D4"/>
    <w:rsid w:val="00A42905"/>
    <w:rsid w:val="00A458A7"/>
    <w:rsid w:val="00A52333"/>
    <w:rsid w:val="00AD794D"/>
    <w:rsid w:val="00AE0B06"/>
    <w:rsid w:val="00AF377C"/>
    <w:rsid w:val="00B103DB"/>
    <w:rsid w:val="00B14FAF"/>
    <w:rsid w:val="00B20D2C"/>
    <w:rsid w:val="00B51C91"/>
    <w:rsid w:val="00B542E4"/>
    <w:rsid w:val="00B67669"/>
    <w:rsid w:val="00B77D28"/>
    <w:rsid w:val="00B81104"/>
    <w:rsid w:val="00B87EF5"/>
    <w:rsid w:val="00B9167F"/>
    <w:rsid w:val="00B92BA3"/>
    <w:rsid w:val="00BB0B34"/>
    <w:rsid w:val="00C066F2"/>
    <w:rsid w:val="00C06C4E"/>
    <w:rsid w:val="00C41661"/>
    <w:rsid w:val="00C43BD2"/>
    <w:rsid w:val="00C458DF"/>
    <w:rsid w:val="00C53B82"/>
    <w:rsid w:val="00C6EFA5"/>
    <w:rsid w:val="00C8698D"/>
    <w:rsid w:val="00C9405C"/>
    <w:rsid w:val="00CA3BE5"/>
    <w:rsid w:val="00CD2C98"/>
    <w:rsid w:val="00D01E3F"/>
    <w:rsid w:val="00D03C1C"/>
    <w:rsid w:val="00D330A6"/>
    <w:rsid w:val="00D568BF"/>
    <w:rsid w:val="00D7622C"/>
    <w:rsid w:val="00DA643A"/>
    <w:rsid w:val="00DB37A5"/>
    <w:rsid w:val="00DC5156"/>
    <w:rsid w:val="00E20468"/>
    <w:rsid w:val="00E441BE"/>
    <w:rsid w:val="00E61B47"/>
    <w:rsid w:val="00EC63E5"/>
    <w:rsid w:val="00EC75DD"/>
    <w:rsid w:val="00F21CA2"/>
    <w:rsid w:val="00F37D91"/>
    <w:rsid w:val="00F85767"/>
    <w:rsid w:val="00FB5DC0"/>
    <w:rsid w:val="00FC0AA2"/>
    <w:rsid w:val="00FD04B2"/>
    <w:rsid w:val="0154A8BE"/>
    <w:rsid w:val="020B193F"/>
    <w:rsid w:val="029A7DFA"/>
    <w:rsid w:val="03135A89"/>
    <w:rsid w:val="035329DC"/>
    <w:rsid w:val="03950F72"/>
    <w:rsid w:val="03B62D2D"/>
    <w:rsid w:val="03CDE032"/>
    <w:rsid w:val="045CACF9"/>
    <w:rsid w:val="04AED068"/>
    <w:rsid w:val="05718BA8"/>
    <w:rsid w:val="0575CA10"/>
    <w:rsid w:val="05D0C084"/>
    <w:rsid w:val="060693BD"/>
    <w:rsid w:val="06B52CF0"/>
    <w:rsid w:val="06EAFC31"/>
    <w:rsid w:val="070AFF37"/>
    <w:rsid w:val="07433452"/>
    <w:rsid w:val="076C12D4"/>
    <w:rsid w:val="0788DB9E"/>
    <w:rsid w:val="07D262BE"/>
    <w:rsid w:val="08065705"/>
    <w:rsid w:val="086C21FF"/>
    <w:rsid w:val="08F13053"/>
    <w:rsid w:val="09335D90"/>
    <w:rsid w:val="09443AEB"/>
    <w:rsid w:val="0972C08F"/>
    <w:rsid w:val="0979F0ED"/>
    <w:rsid w:val="09ECCDB2"/>
    <w:rsid w:val="0A003D7F"/>
    <w:rsid w:val="0A64DCD6"/>
    <w:rsid w:val="0B773283"/>
    <w:rsid w:val="0B8E293D"/>
    <w:rsid w:val="0BAEE581"/>
    <w:rsid w:val="0BD6C29C"/>
    <w:rsid w:val="0C85B652"/>
    <w:rsid w:val="0CD70CBB"/>
    <w:rsid w:val="0DAFA462"/>
    <w:rsid w:val="0DDEC5F2"/>
    <w:rsid w:val="0ECBA6C1"/>
    <w:rsid w:val="0ECF1B5D"/>
    <w:rsid w:val="0F2F2248"/>
    <w:rsid w:val="0FDE9AEC"/>
    <w:rsid w:val="0FFDD9D9"/>
    <w:rsid w:val="102EABE6"/>
    <w:rsid w:val="10782387"/>
    <w:rsid w:val="10D67B9A"/>
    <w:rsid w:val="1101F07D"/>
    <w:rsid w:val="11147049"/>
    <w:rsid w:val="111BA0A7"/>
    <w:rsid w:val="11798E14"/>
    <w:rsid w:val="118102CB"/>
    <w:rsid w:val="1251EB6E"/>
    <w:rsid w:val="125BDFD2"/>
    <w:rsid w:val="1273D2EC"/>
    <w:rsid w:val="12BE79BE"/>
    <w:rsid w:val="1304DF78"/>
    <w:rsid w:val="1352104B"/>
    <w:rsid w:val="14C1B7AD"/>
    <w:rsid w:val="14FE0846"/>
    <w:rsid w:val="153EB971"/>
    <w:rsid w:val="158D8F2F"/>
    <w:rsid w:val="15964791"/>
    <w:rsid w:val="15C191AD"/>
    <w:rsid w:val="15DFD745"/>
    <w:rsid w:val="16AD671A"/>
    <w:rsid w:val="16B9F66F"/>
    <w:rsid w:val="17125921"/>
    <w:rsid w:val="17D5AF12"/>
    <w:rsid w:val="18796B2B"/>
    <w:rsid w:val="19103DC2"/>
    <w:rsid w:val="194C6BD6"/>
    <w:rsid w:val="1A53D88C"/>
    <w:rsid w:val="1A76E908"/>
    <w:rsid w:val="1AFBAA0F"/>
    <w:rsid w:val="1B5247C4"/>
    <w:rsid w:val="1B73C957"/>
    <w:rsid w:val="1B77C450"/>
    <w:rsid w:val="1BC91964"/>
    <w:rsid w:val="1BCAC340"/>
    <w:rsid w:val="1C9B441E"/>
    <w:rsid w:val="1CE0692B"/>
    <w:rsid w:val="1D1BF2E1"/>
    <w:rsid w:val="1D7865C3"/>
    <w:rsid w:val="1DCF414D"/>
    <w:rsid w:val="1E2A045C"/>
    <w:rsid w:val="1E4C17A1"/>
    <w:rsid w:val="1EFC1295"/>
    <w:rsid w:val="1F44003C"/>
    <w:rsid w:val="1FD11A18"/>
    <w:rsid w:val="2031D08F"/>
    <w:rsid w:val="204AC3FC"/>
    <w:rsid w:val="20E8F455"/>
    <w:rsid w:val="21480C53"/>
    <w:rsid w:val="21966300"/>
    <w:rsid w:val="21DE6BDE"/>
    <w:rsid w:val="21F08DDA"/>
    <w:rsid w:val="21FF1976"/>
    <w:rsid w:val="226A0CDD"/>
    <w:rsid w:val="227DA860"/>
    <w:rsid w:val="22B72008"/>
    <w:rsid w:val="2320C94D"/>
    <w:rsid w:val="2348C536"/>
    <w:rsid w:val="23CCD4B8"/>
    <w:rsid w:val="23CE589C"/>
    <w:rsid w:val="2457F699"/>
    <w:rsid w:val="245ECB8A"/>
    <w:rsid w:val="25D5986D"/>
    <w:rsid w:val="2613C47A"/>
    <w:rsid w:val="2619606C"/>
    <w:rsid w:val="2685DB33"/>
    <w:rsid w:val="26FAD2D1"/>
    <w:rsid w:val="27086503"/>
    <w:rsid w:val="2735E9C4"/>
    <w:rsid w:val="2822FAC6"/>
    <w:rsid w:val="28600CA2"/>
    <w:rsid w:val="28C11FFE"/>
    <w:rsid w:val="290D3FA9"/>
    <w:rsid w:val="2987E815"/>
    <w:rsid w:val="2A090D2C"/>
    <w:rsid w:val="2A3A5ADB"/>
    <w:rsid w:val="2A410E8C"/>
    <w:rsid w:val="2A5CF05F"/>
    <w:rsid w:val="2AD9E8E0"/>
    <w:rsid w:val="2B221976"/>
    <w:rsid w:val="2B3A2864"/>
    <w:rsid w:val="2B881282"/>
    <w:rsid w:val="2BCE43F4"/>
    <w:rsid w:val="2BE13043"/>
    <w:rsid w:val="2BE2B18C"/>
    <w:rsid w:val="2C880D0B"/>
    <w:rsid w:val="2D2ED953"/>
    <w:rsid w:val="2D5BDAEF"/>
    <w:rsid w:val="2D822528"/>
    <w:rsid w:val="2E5B875B"/>
    <w:rsid w:val="2E8D7975"/>
    <w:rsid w:val="2F0B18C9"/>
    <w:rsid w:val="2F0F24CF"/>
    <w:rsid w:val="2F108380"/>
    <w:rsid w:val="30603A3A"/>
    <w:rsid w:val="3093D685"/>
    <w:rsid w:val="30D9D902"/>
    <w:rsid w:val="313596BE"/>
    <w:rsid w:val="31E72669"/>
    <w:rsid w:val="324B2CD8"/>
    <w:rsid w:val="328E971D"/>
    <w:rsid w:val="32AB2B8B"/>
    <w:rsid w:val="32B1B4D3"/>
    <w:rsid w:val="32EED492"/>
    <w:rsid w:val="32F28F00"/>
    <w:rsid w:val="3325D92D"/>
    <w:rsid w:val="33641669"/>
    <w:rsid w:val="33F32595"/>
    <w:rsid w:val="34866C67"/>
    <w:rsid w:val="354BF7B0"/>
    <w:rsid w:val="357D7E2E"/>
    <w:rsid w:val="359FA9A1"/>
    <w:rsid w:val="35B0AAAF"/>
    <w:rsid w:val="35E36B05"/>
    <w:rsid w:val="35F89C5C"/>
    <w:rsid w:val="363EC6CF"/>
    <w:rsid w:val="3668E92D"/>
    <w:rsid w:val="36737277"/>
    <w:rsid w:val="3677DA55"/>
    <w:rsid w:val="36C5C00E"/>
    <w:rsid w:val="36F8AD63"/>
    <w:rsid w:val="371298AA"/>
    <w:rsid w:val="377D300E"/>
    <w:rsid w:val="37CFC44D"/>
    <w:rsid w:val="38171751"/>
    <w:rsid w:val="38283C43"/>
    <w:rsid w:val="3833B3CB"/>
    <w:rsid w:val="3899CAB5"/>
    <w:rsid w:val="38F4B112"/>
    <w:rsid w:val="3908C9A3"/>
    <w:rsid w:val="393881C0"/>
    <w:rsid w:val="3951A16E"/>
    <w:rsid w:val="39EEA588"/>
    <w:rsid w:val="3A0283CE"/>
    <w:rsid w:val="3A63D607"/>
    <w:rsid w:val="3B8FE029"/>
    <w:rsid w:val="3BB63A14"/>
    <w:rsid w:val="3BD84591"/>
    <w:rsid w:val="3C702282"/>
    <w:rsid w:val="3D0F1BFC"/>
    <w:rsid w:val="3DF990A3"/>
    <w:rsid w:val="3E5683B4"/>
    <w:rsid w:val="3E64F3E0"/>
    <w:rsid w:val="3EA8BBDF"/>
    <w:rsid w:val="3FBE0FFD"/>
    <w:rsid w:val="4093A389"/>
    <w:rsid w:val="40C2B971"/>
    <w:rsid w:val="41B6A312"/>
    <w:rsid w:val="428E0291"/>
    <w:rsid w:val="433DFD85"/>
    <w:rsid w:val="434F59BB"/>
    <w:rsid w:val="435A65FB"/>
    <w:rsid w:val="43912FC6"/>
    <w:rsid w:val="439C8FCC"/>
    <w:rsid w:val="439DE81B"/>
    <w:rsid w:val="43B80BDE"/>
    <w:rsid w:val="43F3DDAC"/>
    <w:rsid w:val="43F76729"/>
    <w:rsid w:val="444D4FF6"/>
    <w:rsid w:val="456EF75A"/>
    <w:rsid w:val="4686FA7D"/>
    <w:rsid w:val="46906166"/>
    <w:rsid w:val="469ED382"/>
    <w:rsid w:val="476173B4"/>
    <w:rsid w:val="477F3979"/>
    <w:rsid w:val="48140424"/>
    <w:rsid w:val="486DFD64"/>
    <w:rsid w:val="48839FF9"/>
    <w:rsid w:val="49B65DEE"/>
    <w:rsid w:val="49D840E0"/>
    <w:rsid w:val="4A778975"/>
    <w:rsid w:val="4A9B697A"/>
    <w:rsid w:val="4AB86F41"/>
    <w:rsid w:val="4B0383EA"/>
    <w:rsid w:val="4B3B6793"/>
    <w:rsid w:val="4B53E659"/>
    <w:rsid w:val="4B6C24A0"/>
    <w:rsid w:val="4C57E4D2"/>
    <w:rsid w:val="4DC759FD"/>
    <w:rsid w:val="4E240737"/>
    <w:rsid w:val="4F037760"/>
    <w:rsid w:val="4F3A204E"/>
    <w:rsid w:val="4FF4DF30"/>
    <w:rsid w:val="5022B1BA"/>
    <w:rsid w:val="505DE23E"/>
    <w:rsid w:val="507B62BA"/>
    <w:rsid w:val="50F5F6CF"/>
    <w:rsid w:val="5149803E"/>
    <w:rsid w:val="519B7F70"/>
    <w:rsid w:val="5207F2CB"/>
    <w:rsid w:val="523553A6"/>
    <w:rsid w:val="52BD76C8"/>
    <w:rsid w:val="52BF22C0"/>
    <w:rsid w:val="52C0DF48"/>
    <w:rsid w:val="530E9E62"/>
    <w:rsid w:val="5332964E"/>
    <w:rsid w:val="53790137"/>
    <w:rsid w:val="5431A54E"/>
    <w:rsid w:val="54692DB5"/>
    <w:rsid w:val="546AF893"/>
    <w:rsid w:val="54D805C5"/>
    <w:rsid w:val="55A2EA1A"/>
    <w:rsid w:val="55A61DD1"/>
    <w:rsid w:val="55C5C37C"/>
    <w:rsid w:val="56277CA2"/>
    <w:rsid w:val="5663B950"/>
    <w:rsid w:val="567E7022"/>
    <w:rsid w:val="56BF0CDD"/>
    <w:rsid w:val="576319E4"/>
    <w:rsid w:val="57A4E5E0"/>
    <w:rsid w:val="57E326AF"/>
    <w:rsid w:val="581FC64B"/>
    <w:rsid w:val="5858E3F3"/>
    <w:rsid w:val="58EFF6A8"/>
    <w:rsid w:val="58F562D9"/>
    <w:rsid w:val="59405C85"/>
    <w:rsid w:val="595AB092"/>
    <w:rsid w:val="59676FBA"/>
    <w:rsid w:val="59F47B13"/>
    <w:rsid w:val="5A113967"/>
    <w:rsid w:val="5A65F3BF"/>
    <w:rsid w:val="5AA93F7E"/>
    <w:rsid w:val="5ABBD9B1"/>
    <w:rsid w:val="5ADC2CE6"/>
    <w:rsid w:val="5AE099B6"/>
    <w:rsid w:val="5B00DEA8"/>
    <w:rsid w:val="5B0808E3"/>
    <w:rsid w:val="5B2D29E1"/>
    <w:rsid w:val="5BB66BB1"/>
    <w:rsid w:val="5C25C267"/>
    <w:rsid w:val="5DCCBB4F"/>
    <w:rsid w:val="5DF7E1C9"/>
    <w:rsid w:val="5E4C9A5B"/>
    <w:rsid w:val="5E4D51A6"/>
    <w:rsid w:val="5EC17BC2"/>
    <w:rsid w:val="5F059DCC"/>
    <w:rsid w:val="5FC82CD6"/>
    <w:rsid w:val="6002AB7F"/>
    <w:rsid w:val="6010CC80"/>
    <w:rsid w:val="60637FAD"/>
    <w:rsid w:val="60681AE8"/>
    <w:rsid w:val="60DABA2E"/>
    <w:rsid w:val="61165DD2"/>
    <w:rsid w:val="6190E72F"/>
    <w:rsid w:val="61FCC644"/>
    <w:rsid w:val="62068329"/>
    <w:rsid w:val="6265F213"/>
    <w:rsid w:val="631DC0BA"/>
    <w:rsid w:val="633E3013"/>
    <w:rsid w:val="63AB5085"/>
    <w:rsid w:val="63C035F3"/>
    <w:rsid w:val="6406DDBB"/>
    <w:rsid w:val="6444DFAF"/>
    <w:rsid w:val="64855193"/>
    <w:rsid w:val="6551DB58"/>
    <w:rsid w:val="65943897"/>
    <w:rsid w:val="65DFD2A5"/>
    <w:rsid w:val="65E9D2E5"/>
    <w:rsid w:val="664123FE"/>
    <w:rsid w:val="66955EEF"/>
    <w:rsid w:val="67706CBE"/>
    <w:rsid w:val="67A7E7A3"/>
    <w:rsid w:val="68A98022"/>
    <w:rsid w:val="6922BB29"/>
    <w:rsid w:val="6987B580"/>
    <w:rsid w:val="699FBCED"/>
    <w:rsid w:val="6A3B4FF0"/>
    <w:rsid w:val="6A513FAB"/>
    <w:rsid w:val="6A687417"/>
    <w:rsid w:val="6ABE8C81"/>
    <w:rsid w:val="6B36E867"/>
    <w:rsid w:val="6B5ECC4A"/>
    <w:rsid w:val="6B829922"/>
    <w:rsid w:val="6C5722C6"/>
    <w:rsid w:val="6CBDC2CC"/>
    <w:rsid w:val="6CCBF2AB"/>
    <w:rsid w:val="6D1B4991"/>
    <w:rsid w:val="6DA02DCF"/>
    <w:rsid w:val="6E73B428"/>
    <w:rsid w:val="6F8B3A27"/>
    <w:rsid w:val="6FCFDFD7"/>
    <w:rsid w:val="70509A39"/>
    <w:rsid w:val="70622CEC"/>
    <w:rsid w:val="7119CE54"/>
    <w:rsid w:val="71B3D322"/>
    <w:rsid w:val="71C0F8D3"/>
    <w:rsid w:val="71EF1CE9"/>
    <w:rsid w:val="71FC0C0D"/>
    <w:rsid w:val="723DDD90"/>
    <w:rsid w:val="7288C332"/>
    <w:rsid w:val="72AC9189"/>
    <w:rsid w:val="72EF06D9"/>
    <w:rsid w:val="734D0560"/>
    <w:rsid w:val="73564D16"/>
    <w:rsid w:val="73862F87"/>
    <w:rsid w:val="73B2F60B"/>
    <w:rsid w:val="74541677"/>
    <w:rsid w:val="74D03025"/>
    <w:rsid w:val="753799B7"/>
    <w:rsid w:val="7579C843"/>
    <w:rsid w:val="75F5E8FC"/>
    <w:rsid w:val="76D4AB68"/>
    <w:rsid w:val="777FB792"/>
    <w:rsid w:val="77C07411"/>
    <w:rsid w:val="77D9ECEE"/>
    <w:rsid w:val="781A6986"/>
    <w:rsid w:val="7821AAAB"/>
    <w:rsid w:val="78966097"/>
    <w:rsid w:val="789720BB"/>
    <w:rsid w:val="7A11BA5C"/>
    <w:rsid w:val="7A25966B"/>
    <w:rsid w:val="7A80C2AD"/>
    <w:rsid w:val="7B0A62EC"/>
    <w:rsid w:val="7B93258D"/>
    <w:rsid w:val="7BE3C638"/>
    <w:rsid w:val="7C2887D5"/>
    <w:rsid w:val="7C72B6CF"/>
    <w:rsid w:val="7C7E6C98"/>
    <w:rsid w:val="7CA2F05B"/>
    <w:rsid w:val="7D5128D7"/>
    <w:rsid w:val="7D7C76F4"/>
    <w:rsid w:val="7D9FACE1"/>
    <w:rsid w:val="7DC8A227"/>
    <w:rsid w:val="7DF0AAE8"/>
    <w:rsid w:val="7E4C68E7"/>
    <w:rsid w:val="7E90EC2F"/>
    <w:rsid w:val="7E9E7E61"/>
    <w:rsid w:val="7EB81603"/>
    <w:rsid w:val="7F204854"/>
    <w:rsid w:val="7F5F4789"/>
    <w:rsid w:val="7F623E1C"/>
    <w:rsid w:val="7F87D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655addfb94454a37b68e307d1f730cc7" TargetMode="External"/><Relationship Id="rId17" Type="http://schemas.openxmlformats.org/officeDocument/2006/relationships/theme" Target="theme/theme1.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rah.soltz@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2021-12-17T21:32:43+00:00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C21F9-4EE9-4382-8358-CB255CA6644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67ec8cc-8112-4f51-9eae-056e1884b63e"/>
    <ds:schemaRef ds:uri="22012516-4e57-414a-a8cb-a1798ec64e59"/>
    <ds:schemaRef ds:uri="http://www.w3.org/XML/1998/namespace"/>
    <ds:schemaRef ds:uri="http://purl.org/dc/terms/"/>
  </ds:schemaRefs>
</ds:datastoreItem>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25A6EE71-51E4-481D-85CD-8620D6BBD8E2}"/>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2021-12-17T21:13:00Z</dcterms:created>
  <dcterms:modified xsi:type="dcterms:W3CDTF">2021-12-17T21:13:00Z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