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1B7C5E0B" w14:paraId="084C1F72" w14:textId="77777777" w:rsidTr="003554B6">
        <w:trPr>
          <w:tblHeader/>
        </w:trPr>
        <w:tc>
          <w:tcPr>
            <w:tcW w:w="2160" w:type="dxa"/>
            <w:vAlign w:val="center"/>
          </w:tcPr>
          <w:p w14:paraId="57AF7FFA" w14:textId="77777777" w:rsidR="1B7C5E0B" w:rsidRDefault="1B7C5E0B" w:rsidP="1B7C5E0B">
            <w:pPr>
              <w:spacing w:after="200"/>
              <w:jc w:val="center"/>
              <w:rPr>
                <w:rFonts w:eastAsia="Arial"/>
                <w:b/>
                <w:bCs/>
                <w:color w:val="082A75"/>
                <w:sz w:val="36"/>
                <w:szCs w:val="36"/>
              </w:rPr>
            </w:pPr>
            <w:bookmarkStart w:id="0" w:name="_GoBack"/>
            <w:bookmarkEnd w:id="0"/>
            <w:r>
              <w:rPr>
                <w:noProof/>
                <w:lang w:val="en-US"/>
              </w:rPr>
              <w:drawing>
                <wp:inline distT="0" distB="0" distL="0" distR="0" wp14:anchorId="2310871B" wp14:editId="7BCFE3E0">
                  <wp:extent cx="1077554" cy="1145969"/>
                  <wp:effectExtent l="0" t="0" r="8890" b="0"/>
                  <wp:docPr id="102924986" name="Picture 1944659586"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72F2D8A2" w14:textId="77777777" w:rsidR="004F6C8F" w:rsidRPr="007C77D4" w:rsidRDefault="004F6C8F" w:rsidP="004F6C8F">
            <w:pPr>
              <w:pStyle w:val="Title"/>
              <w:spacing w:after="200"/>
              <w:jc w:val="center"/>
              <w:rPr>
                <w:rFonts w:asciiTheme="minorHAnsi" w:eastAsia="Arial" w:hAnsiTheme="minorHAnsi" w:cstheme="minorBidi"/>
                <w:b/>
                <w:bCs/>
                <w:color w:val="1B75BC"/>
                <w:sz w:val="48"/>
                <w:szCs w:val="48"/>
              </w:rPr>
            </w:pPr>
            <w:r>
              <w:rPr>
                <w:rFonts w:asciiTheme="minorHAnsi" w:hAnsiTheme="minorHAnsi"/>
                <w:b/>
                <w:color w:val="1B75BC"/>
                <w:sz w:val="48"/>
              </w:rPr>
              <w:t>Плановые показатели штата (SPP)</w:t>
            </w:r>
          </w:p>
          <w:p w14:paraId="2F0F70D4" w14:textId="696DA8F3" w:rsidR="1B7C5E0B" w:rsidRDefault="004F6C8F" w:rsidP="004F6C8F">
            <w:pPr>
              <w:pStyle w:val="Title"/>
              <w:spacing w:after="200"/>
              <w:jc w:val="center"/>
              <w:rPr>
                <w:rFonts w:asciiTheme="minorHAnsi" w:eastAsia="Arial" w:hAnsiTheme="minorHAnsi" w:cstheme="minorBidi"/>
                <w:b/>
                <w:bCs/>
                <w:color w:val="082A75"/>
                <w:sz w:val="48"/>
                <w:szCs w:val="48"/>
              </w:rPr>
            </w:pPr>
            <w:r>
              <w:rPr>
                <w:rFonts w:asciiTheme="minorHAnsi" w:hAnsiTheme="minorHAnsi"/>
                <w:b/>
                <w:color w:val="1B75BC"/>
                <w:sz w:val="48"/>
              </w:rPr>
              <w:t>Информационный листок</w:t>
            </w:r>
          </w:p>
          <w:p w14:paraId="2846B97B" w14:textId="517BFEF3" w:rsidR="1B7C5E0B" w:rsidRDefault="1B7C5E0B" w:rsidP="1B7C5E0B">
            <w:pPr>
              <w:pStyle w:val="Title"/>
              <w:spacing w:after="200"/>
              <w:jc w:val="center"/>
              <w:rPr>
                <w:rFonts w:asciiTheme="minorHAnsi" w:eastAsia="Arial" w:hAnsiTheme="minorHAnsi" w:cstheme="minorBidi"/>
                <w:b/>
                <w:bCs/>
                <w:color w:val="082A75"/>
                <w:sz w:val="32"/>
                <w:szCs w:val="32"/>
              </w:rPr>
            </w:pPr>
            <w:r>
              <w:rPr>
                <w:rFonts w:asciiTheme="minorHAnsi" w:hAnsiTheme="minorHAnsi"/>
                <w:b/>
                <w:color w:val="1B75BC"/>
                <w:sz w:val="32"/>
              </w:rPr>
              <w:t>Показатель B4A: временное отстранение или</w:t>
            </w:r>
            <w:r w:rsidR="008C528B">
              <w:rPr>
                <w:rFonts w:asciiTheme="minorHAnsi" w:hAnsiTheme="minorHAnsi"/>
                <w:b/>
                <w:color w:val="1B75BC"/>
                <w:sz w:val="32"/>
                <w:lang w:val="en-US"/>
              </w:rPr>
              <w:t> </w:t>
            </w:r>
            <w:r>
              <w:rPr>
                <w:rFonts w:asciiTheme="minorHAnsi" w:hAnsiTheme="minorHAnsi"/>
                <w:b/>
                <w:color w:val="1B75BC"/>
                <w:sz w:val="32"/>
              </w:rPr>
              <w:t>исключение</w:t>
            </w:r>
          </w:p>
        </w:tc>
      </w:tr>
      <w:tr w:rsidR="1B7C5E0B" w14:paraId="2E1D28EB" w14:textId="77777777" w:rsidTr="1B7C5E0B">
        <w:trPr>
          <w:trHeight w:val="72"/>
        </w:trPr>
        <w:tc>
          <w:tcPr>
            <w:tcW w:w="2484" w:type="dxa"/>
            <w:gridSpan w:val="2"/>
            <w:shd w:val="clear" w:color="auto" w:fill="9F2065"/>
          </w:tcPr>
          <w:p w14:paraId="4F3C832A" w14:textId="77777777" w:rsidR="1B7C5E0B" w:rsidRDefault="1B7C5E0B" w:rsidP="1B7C5E0B">
            <w:pPr>
              <w:rPr>
                <w:noProof/>
              </w:rPr>
            </w:pPr>
          </w:p>
        </w:tc>
        <w:tc>
          <w:tcPr>
            <w:tcW w:w="2484" w:type="dxa"/>
            <w:shd w:val="clear" w:color="auto" w:fill="E26B2A"/>
          </w:tcPr>
          <w:p w14:paraId="1561D28A" w14:textId="77777777" w:rsidR="1B7C5E0B" w:rsidRDefault="1B7C5E0B" w:rsidP="1B7C5E0B">
            <w:pPr>
              <w:pStyle w:val="Title"/>
              <w:rPr>
                <w:rFonts w:asciiTheme="minorHAnsi" w:eastAsia="Arial" w:hAnsiTheme="minorHAnsi" w:cstheme="minorBidi"/>
                <w:b/>
                <w:bCs/>
                <w:color w:val="082974"/>
                <w:sz w:val="22"/>
                <w:szCs w:val="22"/>
              </w:rPr>
            </w:pPr>
          </w:p>
        </w:tc>
        <w:tc>
          <w:tcPr>
            <w:tcW w:w="2484" w:type="dxa"/>
            <w:shd w:val="clear" w:color="auto" w:fill="1B75BC"/>
          </w:tcPr>
          <w:p w14:paraId="628B44D2" w14:textId="77777777" w:rsidR="1B7C5E0B" w:rsidRDefault="1B7C5E0B" w:rsidP="1B7C5E0B">
            <w:pPr>
              <w:pStyle w:val="Title"/>
              <w:rPr>
                <w:rFonts w:asciiTheme="minorHAnsi" w:eastAsia="Arial" w:hAnsiTheme="minorHAnsi" w:cstheme="minorBidi"/>
                <w:b/>
                <w:bCs/>
                <w:color w:val="082974"/>
                <w:sz w:val="22"/>
                <w:szCs w:val="22"/>
              </w:rPr>
            </w:pPr>
          </w:p>
        </w:tc>
        <w:tc>
          <w:tcPr>
            <w:tcW w:w="2484" w:type="dxa"/>
            <w:shd w:val="clear" w:color="auto" w:fill="408740"/>
          </w:tcPr>
          <w:p w14:paraId="062CAE25" w14:textId="46579079" w:rsidR="1B7C5E0B" w:rsidRDefault="1B7C5E0B" w:rsidP="1B7C5E0B">
            <w:pPr>
              <w:pStyle w:val="Title"/>
              <w:rPr>
                <w:rFonts w:asciiTheme="minorHAnsi" w:eastAsia="Arial" w:hAnsiTheme="minorHAnsi" w:cstheme="minorBidi"/>
                <w:b/>
                <w:bCs/>
                <w:color w:val="082974"/>
                <w:sz w:val="22"/>
                <w:szCs w:val="22"/>
              </w:rPr>
            </w:pPr>
          </w:p>
        </w:tc>
      </w:tr>
    </w:tbl>
    <w:p w14:paraId="4FF6F2F1" w14:textId="0C6F4ABE" w:rsidR="2E477674" w:rsidRPr="004F6C8F" w:rsidRDefault="2E477674" w:rsidP="001010B9">
      <w:pPr>
        <w:pStyle w:val="Heading1"/>
        <w:rPr>
          <w:rFonts w:ascii="Calibri" w:eastAsia="Calibri" w:hAnsi="Calibri" w:cs="Calibri"/>
          <w:color w:val="1B75BC"/>
        </w:rPr>
      </w:pPr>
      <w:r>
        <w:rPr>
          <w:rFonts w:ascii="Calibri" w:hAnsi="Calibri"/>
          <w:b/>
          <w:color w:val="1B75BC"/>
        </w:rPr>
        <w:t>Плановые показатели штата Орегон</w:t>
      </w:r>
    </w:p>
    <w:p w14:paraId="54D091D1" w14:textId="7A8540F9" w:rsidR="003931A2" w:rsidRDefault="003931A2" w:rsidP="003931A2">
      <w:pPr>
        <w:spacing w:line="240" w:lineRule="auto"/>
        <w:rPr>
          <w:rFonts w:ascii="Calibri" w:eastAsia="Calibri" w:hAnsi="Calibri" w:cs="Calibri"/>
          <w:color w:val="000000" w:themeColor="text1"/>
        </w:rPr>
      </w:pPr>
      <w:r>
        <w:rPr>
          <w:rFonts w:ascii="Calibri" w:hAnsi="Calibri"/>
          <w:color w:val="000000" w:themeColor="text1"/>
        </w:rPr>
        <w:t>Согласно закону «Об образовании лиц с инвалидностью» (Disabilities Education Act, IDEA) 2004 г., Департамент образования штата Орегон (Oregon Department of Education, ODE) обязан представить шестилетний план своей деятельности («плановые показатели штата», State Performance Plan или SPP) в</w:t>
      </w:r>
      <w:r w:rsidR="00822CEC">
        <w:rPr>
          <w:rFonts w:ascii="Calibri" w:hAnsi="Calibri"/>
          <w:color w:val="000000" w:themeColor="text1"/>
          <w:lang w:val="en-US"/>
        </w:rPr>
        <w:t> </w:t>
      </w:r>
      <w:r>
        <w:rPr>
          <w:rFonts w:ascii="Calibri" w:hAnsi="Calibri"/>
          <w:color w:val="000000" w:themeColor="text1"/>
        </w:rPr>
        <w:t xml:space="preserve">Управление программ обучения детей с особыми потребностями (Office of Special Education Programs, OSEP). OSEP разработало основные критерии качества, или показатели, которые позволяют оценить соблюдение требований и результаты деятельности. OSEP устанавливает целевые значения показателей, характеризующих соблюдение требований, а ODE — целевые значения показателей, характеризующих достигнутые результаты. В SPP должны быть указаны целевые значения показателей по каждому результату. Каждый год ODE готовит Ежегодный отчет о достигнутых результатах (Annual Performance Report, APR), где указывает, по каким показателям были достигнуты целевые значения. Каждые шесть лет ODE должен выполнять анализ показателей, характеризующих достигнутые результаты, и привлекать ключевых партнеров для определения новых целевых значений. В настоящее время ODE собирает исходные данные по показателям, для которых необходимо определить целевые значения. В этой связи в декабре 2021 года проводятся опросы общественного мнения. Чтобы получить дополнительную информацию и зарегистрироваться для участия в опросе, посетите веб-сайт, на котором размещены подготовленные ODE </w:t>
      </w:r>
      <w:hyperlink r:id="rId11">
        <w:r>
          <w:rPr>
            <w:rStyle w:val="Hyperlink"/>
            <w:rFonts w:ascii="Calibri" w:hAnsi="Calibri"/>
          </w:rPr>
          <w:t>«Плановые показатели штата» и «Ежегодные отчеты о достигнутых результатах»</w:t>
        </w:r>
      </w:hyperlink>
      <w:r>
        <w:t>.</w:t>
      </w:r>
      <w:r>
        <w:rPr>
          <w:rFonts w:ascii="Calibri" w:hAnsi="Calibri"/>
          <w:color w:val="000000" w:themeColor="text1"/>
        </w:rPr>
        <w:t xml:space="preserve"> Вы также можете отправить свои замечания, не участвуя в опросе. Для этого нужно заполнить </w:t>
      </w:r>
      <w:hyperlink r:id="rId12">
        <w:r>
          <w:rPr>
            <w:rStyle w:val="Hyperlink"/>
            <w:rFonts w:ascii="Calibri" w:hAnsi="Calibri"/>
          </w:rPr>
          <w:t>эту анкету</w:t>
        </w:r>
      </w:hyperlink>
      <w:r>
        <w:rPr>
          <w:rFonts w:ascii="Calibri" w:hAnsi="Calibri"/>
          <w:color w:val="000000" w:themeColor="text1"/>
        </w:rPr>
        <w:t xml:space="preserve">. </w:t>
      </w:r>
    </w:p>
    <w:p w14:paraId="4B73E1C3" w14:textId="0BC52818" w:rsidR="000E4FA0" w:rsidRPr="004F6C8F" w:rsidRDefault="00CA3BE5" w:rsidP="001010B9">
      <w:pPr>
        <w:pStyle w:val="Heading1"/>
        <w:rPr>
          <w:rFonts w:asciiTheme="minorHAnsi" w:hAnsiTheme="minorHAnsi" w:cstheme="minorBidi"/>
          <w:b/>
          <w:bCs/>
          <w:color w:val="1B75BC"/>
        </w:rPr>
      </w:pPr>
      <w:r>
        <w:rPr>
          <w:rFonts w:asciiTheme="minorHAnsi" w:hAnsiTheme="minorHAnsi"/>
          <w:b/>
          <w:color w:val="1B75BC"/>
        </w:rPr>
        <w:t>О чем говорит этот показатель и почему он важен?</w:t>
      </w:r>
    </w:p>
    <w:p w14:paraId="7556F5CC" w14:textId="5D8E6EE6" w:rsidR="0B99F1C1" w:rsidRDefault="39725B81" w:rsidP="00D762C9">
      <w:pPr>
        <w:spacing w:after="0"/>
        <w:rPr>
          <w:rFonts w:ascii="Calibri" w:eastAsia="Calibri" w:hAnsi="Calibri" w:cs="Calibri"/>
          <w:color w:val="000000" w:themeColor="text1"/>
        </w:rPr>
      </w:pPr>
      <w:r>
        <w:t>Показатель B4 состоит из двух компонентов. Показатель B4A относится к области получения надлежащего бесплатного государственного образования (Free Appropriate Public Education, FAPE) в среде с минимальными ограничениями (Least Restrictive Environment, LRE). Он характеризует долю округов, где наблюдается существенное расхождение данных по количеству учащихся по программам IEP, исключенных или временно отстраненных на срок более 10 дней в течение учебного года.</w:t>
      </w:r>
      <w:r>
        <w:rPr>
          <w:color w:val="000000" w:themeColor="text1"/>
        </w:rPr>
        <w:t xml:space="preserve"> </w:t>
      </w:r>
      <w:r>
        <w:t>Показатель B4B характеризует долю временно отстраненных или исключенных учащихся определенной расы / этнической принадлежности. Этот показатель характеризует соблюдение соответствия, и его целевое значение должно быть равно 0%.</w:t>
      </w:r>
      <w:r>
        <w:rPr>
          <w:color w:val="000000" w:themeColor="text1"/>
        </w:rPr>
        <w:t xml:space="preserve"> </w:t>
      </w:r>
      <w:r>
        <w:rPr>
          <w:rFonts w:ascii="Calibri" w:hAnsi="Calibri"/>
          <w:color w:val="000000" w:themeColor="text1"/>
        </w:rPr>
        <w:t>Показатель B4 — это важный показатель равноправия. Он сравнивает количество временно отстраненных / исключенных детей с инвалидностью с общим количеством отстраненных / исключенных детей без инвалидности в школьном округе. Он свидетельствует о том, может ли штат Орегон обучать детей с инвалидностью без применения таких дисциплинарных мер, как временное отстранение / исключение.</w:t>
      </w:r>
    </w:p>
    <w:p w14:paraId="21AABC0C" w14:textId="359082F6" w:rsidR="6CBDC2CC" w:rsidRPr="004F6C8F" w:rsidRDefault="00356BE5" w:rsidP="594D45D0">
      <w:pPr>
        <w:pStyle w:val="Heading1"/>
        <w:rPr>
          <w:rFonts w:asciiTheme="minorHAnsi" w:hAnsiTheme="minorHAnsi" w:cstheme="minorBidi"/>
          <w:b/>
          <w:bCs/>
          <w:color w:val="1B75BC"/>
        </w:rPr>
      </w:pPr>
      <w:r>
        <w:rPr>
          <w:rFonts w:asciiTheme="minorHAnsi" w:hAnsiTheme="minorHAnsi"/>
          <w:b/>
          <w:color w:val="1B75BC"/>
        </w:rPr>
        <w:t>Из какого источника поступают данные для определения показателя B4?</w:t>
      </w:r>
    </w:p>
    <w:p w14:paraId="547500C5" w14:textId="083F6790" w:rsidR="0D0A4BA7" w:rsidRDefault="5216D46F" w:rsidP="1B7C5E0B">
      <w:pPr>
        <w:rPr>
          <w:rFonts w:eastAsiaTheme="minorEastAsia"/>
          <w:color w:val="000000" w:themeColor="text1"/>
        </w:rPr>
      </w:pPr>
      <w:r>
        <w:rPr>
          <w:color w:val="000000" w:themeColor="text1"/>
        </w:rPr>
        <w:t xml:space="preserve">Показатель B4 (и B4A, и B4B) определяется на основании данных штата о применяемых к учащимся дисциплинарных мерах, в том числе на результатах анализа данных о дисциплинарных мерах в штате, сбор которых предусмотрен положениями раздела 618 закона IDEA. Расхождение данных можно </w:t>
      </w:r>
      <w:r>
        <w:rPr>
          <w:color w:val="000000" w:themeColor="text1"/>
        </w:rPr>
        <w:lastRenderedPageBreak/>
        <w:t>определить по соотношению случаев временного отстранения или исключения среди детей, которые занимаются по программам IEP, и детей без инвалидности по данным учебного заведенич или путем сравнения количества случаев временного отстранения или исключения среди детей, которые занимаются по программам IEP, по всем учебным заведениям штата. В штате Орегон этот показатель определяют как отношение случаев временного отстранения или исключения среди детей, которые занимаются по программам IEP, и детей без инвалидности.</w:t>
      </w:r>
    </w:p>
    <w:p w14:paraId="397FDAF9" w14:textId="632789CB" w:rsidR="001010B9" w:rsidRPr="004F6C8F" w:rsidRDefault="001010B9" w:rsidP="001010B9">
      <w:pPr>
        <w:pStyle w:val="Heading1"/>
        <w:rPr>
          <w:rFonts w:asciiTheme="minorHAnsi" w:hAnsiTheme="minorHAnsi" w:cstheme="minorBidi"/>
          <w:b/>
          <w:bCs/>
          <w:color w:val="1B75BC"/>
        </w:rPr>
      </w:pPr>
      <w:r>
        <w:rPr>
          <w:rFonts w:asciiTheme="minorHAnsi" w:hAnsiTheme="minorHAnsi"/>
          <w:b/>
          <w:color w:val="1B75BC"/>
        </w:rPr>
        <w:t>Нужно ли установить или изменить базовое значение для этого показателя?</w:t>
      </w:r>
    </w:p>
    <w:p w14:paraId="26E510EF" w14:textId="4B9CC52F" w:rsidR="001010B9" w:rsidRPr="003931A2" w:rsidRDefault="00D762C9" w:rsidP="003931A2">
      <w:r>
        <w:t>Да, ODE предлагает принять за новые базовые значения этого показателя на 2020-2025 гг. последнее установленное базовое значение (62,00% в 2019 г.).</w:t>
      </w:r>
    </w:p>
    <w:p w14:paraId="0A61ADA5" w14:textId="616C03DB" w:rsidR="00C06C4E" w:rsidRPr="004F6C8F" w:rsidRDefault="137D2887" w:rsidP="0E16BC08">
      <w:pPr>
        <w:pStyle w:val="Heading1"/>
        <w:spacing w:after="120"/>
        <w:rPr>
          <w:rFonts w:asciiTheme="minorHAnsi" w:hAnsiTheme="minorHAnsi" w:cstheme="minorBidi"/>
          <w:b/>
          <w:bCs/>
          <w:color w:val="1B75BC"/>
        </w:rPr>
      </w:pPr>
      <w:r>
        <w:rPr>
          <w:rFonts w:asciiTheme="minorHAnsi" w:hAnsiTheme="minorHAnsi"/>
          <w:b/>
          <w:color w:val="1B75BC"/>
        </w:rPr>
        <w:t>Каких результатов достиг штат Орегон с течением времени?</w:t>
      </w:r>
    </w:p>
    <w:p w14:paraId="206EE662" w14:textId="46C9CADA" w:rsidR="00D762C9" w:rsidRDefault="00C47BF3" w:rsidP="005A7631">
      <w:pPr>
        <w:jc w:val="center"/>
        <w:rPr>
          <w:rFonts w:ascii="Arial" w:eastAsia="Arial" w:hAnsi="Arial" w:cs="Arial"/>
          <w:b/>
          <w:bCs/>
          <w:color w:val="000000" w:themeColor="text1"/>
          <w:sz w:val="16"/>
          <w:szCs w:val="16"/>
        </w:rPr>
      </w:pPr>
      <w:r>
        <w:rPr>
          <w:noProof/>
          <w:lang w:val="en-US"/>
        </w:rPr>
        <mc:AlternateContent>
          <mc:Choice Requires="wps">
            <w:drawing>
              <wp:anchor distT="0" distB="0" distL="114300" distR="114300" simplePos="0" relativeHeight="251661312" behindDoc="0" locked="0" layoutInCell="1" allowOverlap="1" wp14:anchorId="41CC8100" wp14:editId="02B1F06B">
                <wp:simplePos x="0" y="0"/>
                <wp:positionH relativeFrom="column">
                  <wp:posOffset>1151709</wp:posOffset>
                </wp:positionH>
                <wp:positionV relativeFrom="paragraph">
                  <wp:posOffset>816338</wp:posOffset>
                </wp:positionV>
                <wp:extent cx="1144270" cy="1001486"/>
                <wp:effectExtent l="0" t="0" r="11430" b="14605"/>
                <wp:wrapNone/>
                <wp:docPr id="5" name="Rectangle 4"/>
                <wp:cNvGraphicFramePr/>
                <a:graphic xmlns:a="http://schemas.openxmlformats.org/drawingml/2006/main">
                  <a:graphicData uri="http://schemas.microsoft.com/office/word/2010/wordprocessingShape">
                    <wps:wsp>
                      <wps:cNvSpPr/>
                      <wps:spPr>
                        <a:xfrm>
                          <a:off x="0" y="0"/>
                          <a:ext cx="1144270" cy="10014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0BF4B7" w14:textId="3CCCF464" w:rsidR="00800630" w:rsidRPr="00C47BF3" w:rsidRDefault="00800630" w:rsidP="00800630">
                            <w:pPr>
                              <w:pStyle w:val="NormalWeb"/>
                              <w:spacing w:before="0" w:beforeAutospacing="0" w:after="0" w:afterAutospacing="0"/>
                              <w:jc w:val="center"/>
                              <w:rPr>
                                <w:sz w:val="20"/>
                              </w:rPr>
                            </w:pPr>
                            <w:r w:rsidRPr="00C47BF3">
                              <w:rPr>
                                <w:rFonts w:asciiTheme="minorHAnsi" w:hAnsi="Calibri"/>
                                <w:color w:val="FFFFFF" w:themeColor="light1"/>
                                <w:sz w:val="18"/>
                              </w:rPr>
                              <w:t>Указанные доли рассчитаны с</w:t>
                            </w:r>
                            <w:r w:rsidR="00C47BF3">
                              <w:rPr>
                                <w:rFonts w:asciiTheme="minorHAnsi" w:hAnsi="Calibri"/>
                                <w:color w:val="FFFFFF" w:themeColor="light1"/>
                                <w:sz w:val="18"/>
                                <w:lang w:val="en-US"/>
                              </w:rPr>
                              <w:t> </w:t>
                            </w:r>
                            <w:r w:rsidRPr="00C47BF3">
                              <w:rPr>
                                <w:rFonts w:asciiTheme="minorHAnsi" w:hAnsi="Calibri"/>
                                <w:color w:val="FFFFFF" w:themeColor="light1"/>
                                <w:sz w:val="18"/>
                              </w:rPr>
                              <w:t>учетом данных по всем округам независимо от</w:t>
                            </w:r>
                            <w:r w:rsidR="00C47BF3">
                              <w:rPr>
                                <w:rFonts w:asciiTheme="minorHAnsi" w:hAnsi="Calibri"/>
                                <w:color w:val="FFFFFF" w:themeColor="light1"/>
                                <w:sz w:val="18"/>
                                <w:lang w:val="en-US"/>
                              </w:rPr>
                              <w:t> </w:t>
                            </w:r>
                            <w:r w:rsidR="00C47BF3" w:rsidRPr="00C47BF3">
                              <w:rPr>
                                <w:rFonts w:asciiTheme="minorHAnsi" w:hAnsi="Calibri"/>
                                <w:color w:val="FFFFFF" w:themeColor="light1"/>
                                <w:sz w:val="18"/>
                              </w:rPr>
                              <w:t>размера</w:t>
                            </w:r>
                            <w:r w:rsidRPr="00C47BF3">
                              <w:rPr>
                                <w:rFonts w:asciiTheme="minorHAnsi" w:hAnsi="Calibri"/>
                                <w:color w:val="FFFFFF" w:themeColor="light1"/>
                                <w:sz w:val="18"/>
                              </w:rPr>
                              <w:t xml:space="preserve"> 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CC8100" id="Rectangle 4" o:spid="_x0000_s1026" style="position:absolute;left:0;text-align:left;margin-left:90.7pt;margin-top:64.3pt;width:90.1pt;height: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" fillcolor="#4472c4 [3204]" strokecolor="#1f3763 [1604]" strokeweight="1pt">
                <v:textbox>
                  <w:txbxContent>
                    <w:p w14:paraId="2D0BF4B7" w14:textId="3CCCF464" w:rsidR="00800630" w:rsidRPr="00C47BF3" w:rsidRDefault="00800630" w:rsidP="00800630">
                      <w:pPr>
                        <w:pStyle w:val="NormalWeb"/>
                        <w:spacing w:before="0" w:beforeAutospacing="0" w:after="0" w:afterAutospacing="0"/>
                        <w:jc w:val="center"/>
                        <w:rPr>
                          <w:sz w:val="20"/>
                        </w:rPr>
                      </w:pPr>
                      <w:r w:rsidRPr="00C47BF3">
                        <w:rPr>
                          <w:rFonts w:asciiTheme="minorHAnsi" w:hAnsi="Calibri"/>
                          <w:color w:val="FFFFFF" w:themeColor="light1"/>
                          <w:sz w:val="18"/>
                        </w:rPr>
                        <w:t>Указанные доли рассчитаны с</w:t>
                      </w:r>
                      <w:r w:rsidR="00C47BF3">
                        <w:rPr>
                          <w:rFonts w:asciiTheme="minorHAnsi" w:hAnsi="Calibri"/>
                          <w:color w:val="FFFFFF" w:themeColor="light1"/>
                          <w:sz w:val="18"/>
                          <w:lang w:val="en-US"/>
                        </w:rPr>
                        <w:t> </w:t>
                      </w:r>
                      <w:r w:rsidRPr="00C47BF3">
                        <w:rPr>
                          <w:rFonts w:asciiTheme="minorHAnsi" w:hAnsi="Calibri"/>
                          <w:color w:val="FFFFFF" w:themeColor="light1"/>
                          <w:sz w:val="18"/>
                        </w:rPr>
                        <w:t>учетом данных по всем округам независимо от</w:t>
                      </w:r>
                      <w:r w:rsidR="00C47BF3">
                        <w:rPr>
                          <w:rFonts w:asciiTheme="minorHAnsi" w:hAnsi="Calibri"/>
                          <w:color w:val="FFFFFF" w:themeColor="light1"/>
                          <w:sz w:val="18"/>
                          <w:lang w:val="en-US"/>
                        </w:rPr>
                        <w:t> </w:t>
                      </w:r>
                      <w:r w:rsidR="00C47BF3" w:rsidRPr="00C47BF3">
                        <w:rPr>
                          <w:rFonts w:asciiTheme="minorHAnsi" w:hAnsi="Calibri"/>
                          <w:color w:val="FFFFFF" w:themeColor="light1"/>
                          <w:sz w:val="18"/>
                        </w:rPr>
                        <w:t>размера</w:t>
                      </w:r>
                      <w:r w:rsidRPr="00C47BF3">
                        <w:rPr>
                          <w:rFonts w:asciiTheme="minorHAnsi" w:hAnsi="Calibri"/>
                          <w:color w:val="FFFFFF" w:themeColor="light1"/>
                          <w:sz w:val="18"/>
                        </w:rPr>
                        <w:t xml:space="preserve"> n.</w:t>
                      </w:r>
                    </w:p>
                  </w:txbxContent>
                </v:textbox>
              </v:rect>
            </w:pict>
          </mc:Fallback>
        </mc:AlternateContent>
      </w:r>
      <w:r>
        <w:rPr>
          <w:noProof/>
          <w:lang w:val="en-US"/>
        </w:rPr>
        <mc:AlternateContent>
          <mc:Choice Requires="wps">
            <w:drawing>
              <wp:anchor distT="0" distB="0" distL="114300" distR="114300" simplePos="0" relativeHeight="251663360" behindDoc="0" locked="0" layoutInCell="1" allowOverlap="1" wp14:anchorId="5266A3E6" wp14:editId="2AD1F902">
                <wp:simplePos x="0" y="0"/>
                <wp:positionH relativeFrom="column">
                  <wp:posOffset>3481251</wp:posOffset>
                </wp:positionH>
                <wp:positionV relativeFrom="paragraph">
                  <wp:posOffset>1817824</wp:posOffset>
                </wp:positionV>
                <wp:extent cx="1470660" cy="522514"/>
                <wp:effectExtent l="0" t="0" r="15240" b="11430"/>
                <wp:wrapNone/>
                <wp:docPr id="6" name="Rectangle 5"/>
                <wp:cNvGraphicFramePr/>
                <a:graphic xmlns:a="http://schemas.openxmlformats.org/drawingml/2006/main">
                  <a:graphicData uri="http://schemas.microsoft.com/office/word/2010/wordprocessingShape">
                    <wps:wsp>
                      <wps:cNvSpPr/>
                      <wps:spPr>
                        <a:xfrm>
                          <a:off x="0" y="0"/>
                          <a:ext cx="1470660" cy="52251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8C6622" w14:textId="0D0F1BB0" w:rsidR="00800630" w:rsidRPr="00C47BF3" w:rsidRDefault="00800630" w:rsidP="00800630">
                            <w:pPr>
                              <w:pStyle w:val="NormalWeb"/>
                              <w:spacing w:before="0" w:beforeAutospacing="0" w:after="0" w:afterAutospacing="0"/>
                              <w:jc w:val="center"/>
                              <w:rPr>
                                <w:sz w:val="20"/>
                                <w:szCs w:val="20"/>
                              </w:rPr>
                            </w:pPr>
                            <w:r w:rsidRPr="00C47BF3">
                              <w:rPr>
                                <w:rFonts w:asciiTheme="minorHAnsi" w:hAnsi="Calibri"/>
                                <w:color w:val="FFFFFF" w:themeColor="light1"/>
                                <w:sz w:val="18"/>
                                <w:szCs w:val="20"/>
                              </w:rPr>
                              <w:t>В 2016 г. ODE установил новое базовое значение</w:t>
                            </w:r>
                            <w:r w:rsidR="00C47BF3" w:rsidRPr="00C47BF3">
                              <w:rPr>
                                <w:rFonts w:asciiTheme="minorHAnsi" w:hAnsi="Calibri"/>
                                <w:color w:val="FFFFFF" w:themeColor="light1"/>
                                <w:sz w:val="18"/>
                                <w:szCs w:val="20"/>
                              </w:rPr>
                              <w:t xml:space="preserve"> </w:t>
                            </w:r>
                            <w:r w:rsidR="00C47BF3">
                              <w:rPr>
                                <w:rFonts w:asciiTheme="minorHAnsi" w:hAnsi="Calibri"/>
                                <w:color w:val="FFFFFF" w:themeColor="light1"/>
                                <w:sz w:val="18"/>
                                <w:szCs w:val="20"/>
                              </w:rPr>
                              <w:t>с учетом</w:t>
                            </w:r>
                            <w:r w:rsidRPr="00C47BF3">
                              <w:rPr>
                                <w:rFonts w:asciiTheme="minorHAnsi" w:hAnsi="Calibri"/>
                                <w:color w:val="FFFFFF" w:themeColor="light1"/>
                                <w:sz w:val="18"/>
                                <w:szCs w:val="20"/>
                              </w:rPr>
                              <w:t xml:space="preserve"> размер</w:t>
                            </w:r>
                            <w:r w:rsidR="00C47BF3">
                              <w:rPr>
                                <w:rFonts w:asciiTheme="minorHAnsi" w:hAnsi="Calibri"/>
                                <w:color w:val="FFFFFF" w:themeColor="light1"/>
                                <w:sz w:val="18"/>
                                <w:szCs w:val="20"/>
                              </w:rPr>
                              <w:t>а</w:t>
                            </w:r>
                            <w:r w:rsidRPr="00C47BF3">
                              <w:rPr>
                                <w:rFonts w:asciiTheme="minorHAnsi" w:hAnsi="Calibri"/>
                                <w:color w:val="FFFFFF" w:themeColor="light1"/>
                                <w:sz w:val="18"/>
                                <w:szCs w:val="20"/>
                              </w:rPr>
                              <w:t xml:space="preserve"> 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66A3E6" id="Rectangle 5" o:spid="_x0000_s1027" style="position:absolute;left:0;text-align:left;margin-left:274.1pt;margin-top:143.15pt;width:115.8pt;height:41.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" fillcolor="#4472c4 [3204]" strokecolor="#1f3763 [1604]" strokeweight="1pt">
                <v:textbox>
                  <w:txbxContent>
                    <w:p w14:paraId="398C6622" w14:textId="0D0F1BB0" w:rsidR="00800630" w:rsidRPr="00C47BF3" w:rsidRDefault="00800630" w:rsidP="00800630">
                      <w:pPr>
                        <w:pStyle w:val="NormalWeb"/>
                        <w:spacing w:before="0" w:beforeAutospacing="0" w:after="0" w:afterAutospacing="0"/>
                        <w:jc w:val="center"/>
                        <w:rPr>
                          <w:sz w:val="20"/>
                          <w:szCs w:val="20"/>
                        </w:rPr>
                      </w:pPr>
                      <w:r w:rsidRPr="00C47BF3">
                        <w:rPr>
                          <w:rFonts w:asciiTheme="minorHAnsi" w:hAnsi="Calibri"/>
                          <w:color w:val="FFFFFF" w:themeColor="light1"/>
                          <w:sz w:val="18"/>
                          <w:szCs w:val="20"/>
                        </w:rPr>
                        <w:t>В 2016 г. ODE установил новое базовое значение</w:t>
                      </w:r>
                      <w:r w:rsidR="00C47BF3" w:rsidRPr="00C47BF3">
                        <w:rPr>
                          <w:rFonts w:asciiTheme="minorHAnsi" w:hAnsi="Calibri"/>
                          <w:color w:val="FFFFFF" w:themeColor="light1"/>
                          <w:sz w:val="18"/>
                          <w:szCs w:val="20"/>
                        </w:rPr>
                        <w:t xml:space="preserve"> </w:t>
                      </w:r>
                      <w:r w:rsidR="00C47BF3">
                        <w:rPr>
                          <w:rFonts w:asciiTheme="minorHAnsi" w:hAnsi="Calibri"/>
                          <w:color w:val="FFFFFF" w:themeColor="light1"/>
                          <w:sz w:val="18"/>
                          <w:szCs w:val="20"/>
                        </w:rPr>
                        <w:t>с учетом</w:t>
                      </w:r>
                      <w:r w:rsidRPr="00C47BF3">
                        <w:rPr>
                          <w:rFonts w:asciiTheme="minorHAnsi" w:hAnsi="Calibri"/>
                          <w:color w:val="FFFFFF" w:themeColor="light1"/>
                          <w:sz w:val="18"/>
                          <w:szCs w:val="20"/>
                        </w:rPr>
                        <w:t xml:space="preserve"> размер</w:t>
                      </w:r>
                      <w:r w:rsidR="00C47BF3">
                        <w:rPr>
                          <w:rFonts w:asciiTheme="minorHAnsi" w:hAnsi="Calibri"/>
                          <w:color w:val="FFFFFF" w:themeColor="light1"/>
                          <w:sz w:val="18"/>
                          <w:szCs w:val="20"/>
                        </w:rPr>
                        <w:t>а</w:t>
                      </w:r>
                      <w:r w:rsidRPr="00C47BF3">
                        <w:rPr>
                          <w:rFonts w:asciiTheme="minorHAnsi" w:hAnsi="Calibri"/>
                          <w:color w:val="FFFFFF" w:themeColor="light1"/>
                          <w:sz w:val="18"/>
                          <w:szCs w:val="20"/>
                        </w:rPr>
                        <w:t xml:space="preserve"> n.</w:t>
                      </w:r>
                    </w:p>
                  </w:txbxContent>
                </v:textbox>
              </v:rect>
            </w:pict>
          </mc:Fallback>
        </mc:AlternateContent>
      </w:r>
      <w:r w:rsidR="00DE49CF">
        <w:rPr>
          <w:rFonts w:ascii="Arial" w:hAnsi="Arial"/>
          <w:b/>
          <w:noProof/>
          <w:color w:val="000000" w:themeColor="text1"/>
          <w:sz w:val="16"/>
          <w:lang w:val="en-US"/>
        </w:rPr>
        <mc:AlternateContent>
          <mc:Choice Requires="wps">
            <w:drawing>
              <wp:anchor distT="0" distB="0" distL="114300" distR="114300" simplePos="0" relativeHeight="251659264" behindDoc="0" locked="0" layoutInCell="1" allowOverlap="1" wp14:anchorId="51424591" wp14:editId="258907B6">
                <wp:simplePos x="0" y="0"/>
                <wp:positionH relativeFrom="column">
                  <wp:posOffset>2784580</wp:posOffset>
                </wp:positionH>
                <wp:positionV relativeFrom="paragraph">
                  <wp:posOffset>470535</wp:posOffset>
                </wp:positionV>
                <wp:extent cx="0" cy="2322195"/>
                <wp:effectExtent l="0" t="0" r="19050" b="20955"/>
                <wp:wrapNone/>
                <wp:docPr id="3" name="Straight Connector 3" descr="This is a vertical line on top of the graph showing Oregon's statewide targets and actual data for Indicator B4A. The line sits in a gap in the data between 2015 and 2016, representing a change in the baseline data Oregon uses for indicator B4A." title="Phase Change Line"/>
                <wp:cNvGraphicFramePr/>
                <a:graphic xmlns:a="http://schemas.openxmlformats.org/drawingml/2006/main">
                  <a:graphicData uri="http://schemas.microsoft.com/office/word/2010/wordprocessingShape">
                    <wps:wsp>
                      <wps:cNvCnPr/>
                      <wps:spPr>
                        <a:xfrm>
                          <a:off x="0" y="0"/>
                          <a:ext cx="0" cy="2322195"/>
                        </a:xfrm>
                        <a:prstGeom prst="line">
                          <a:avLst/>
                        </a:prstGeom>
                        <a:ln w="19050" cap="flat" cmpd="sng" algn="ctr">
                          <a:solidFill>
                            <a:srgbClr val="1B75BC"/>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188CF3" id="Straight Connector 3" o:spid="_x0000_s1026" alt="Title: Phase Change Line - Description: This is a vertical line on top of the graph showing Oregon's statewide targets and actual data for Indicator B4A. The line sits in a gap in the data between 2015 and 2016, representing a change in the baseline data Oregon uses for indicator B4A."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25pt,37.05pt" to="219.25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" strokecolor="#1b75bc" strokeweight="1.5pt"/>
            </w:pict>
          </mc:Fallback>
        </mc:AlternateContent>
      </w:r>
      <w:r w:rsidR="00DE49CF">
        <w:rPr>
          <w:noProof/>
          <w:lang w:val="en-US"/>
        </w:rPr>
        <w:drawing>
          <wp:inline distT="0" distB="0" distL="0" distR="0" wp14:anchorId="17E698DF" wp14:editId="3A9E5C0F">
            <wp:extent cx="5315357" cy="3383280"/>
            <wp:effectExtent l="0" t="0" r="0" b="7620"/>
            <wp:docPr id="1" name="Chart 1" descr="This chart shows Oregon's targets and actual statewide data from 2014 - 2019.  There is a gap between 2015 and 2016, with a vertical line to represent two different phases of data. The data on the right side of the line uses the current SPP baseline for Indicator B4B, which was established in 2016." title="Oregon's Indicator B4A (Suspension/Expulsion) 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TableGrid"/>
        <w:tblW w:w="7915" w:type="dxa"/>
        <w:jc w:val="center"/>
        <w:tblLayout w:type="fixed"/>
        <w:tblLook w:val="04A0" w:firstRow="1" w:lastRow="0" w:firstColumn="1" w:lastColumn="0" w:noHBand="0" w:noVBand="1"/>
        <w:tblCaption w:val="Oregon's Indicator B4B Data"/>
        <w:tblDescription w:val="This table shows the statewide targets and actual data for Oregon for Indicator B4B."/>
      </w:tblPr>
      <w:tblGrid>
        <w:gridCol w:w="989"/>
        <w:gridCol w:w="989"/>
        <w:gridCol w:w="990"/>
        <w:gridCol w:w="989"/>
        <w:gridCol w:w="989"/>
        <w:gridCol w:w="990"/>
        <w:gridCol w:w="989"/>
        <w:gridCol w:w="990"/>
      </w:tblGrid>
      <w:tr w:rsidR="005A7631" w14:paraId="70744F58" w14:textId="77777777" w:rsidTr="00344E90">
        <w:trPr>
          <w:tblHeader/>
          <w:jc w:val="center"/>
        </w:trPr>
        <w:tc>
          <w:tcPr>
            <w:tcW w:w="989" w:type="dxa"/>
          </w:tcPr>
          <w:p w14:paraId="1F0AF2BE" w14:textId="77777777" w:rsidR="005A7631" w:rsidRPr="00B542E4" w:rsidRDefault="005A7631" w:rsidP="00137C0D">
            <w:pPr>
              <w:jc w:val="center"/>
              <w:rPr>
                <w:b/>
              </w:rPr>
            </w:pPr>
            <w:r>
              <w:rPr>
                <w:b/>
              </w:rPr>
              <w:t>Год</w:t>
            </w:r>
          </w:p>
        </w:tc>
        <w:tc>
          <w:tcPr>
            <w:tcW w:w="989" w:type="dxa"/>
          </w:tcPr>
          <w:p w14:paraId="020F2BDC" w14:textId="7C00AFA8" w:rsidR="005A7631" w:rsidRPr="00B542E4" w:rsidRDefault="005A7631" w:rsidP="00137C0D">
            <w:pPr>
              <w:jc w:val="center"/>
              <w:rPr>
                <w:b/>
                <w:bCs/>
              </w:rPr>
            </w:pPr>
            <w:r>
              <w:rPr>
                <w:b/>
              </w:rPr>
              <w:t>2016</w:t>
            </w:r>
          </w:p>
        </w:tc>
        <w:tc>
          <w:tcPr>
            <w:tcW w:w="990" w:type="dxa"/>
            <w:tcBorders>
              <w:right w:val="single" w:sz="4" w:space="0" w:color="auto"/>
            </w:tcBorders>
            <w:shd w:val="clear" w:color="auto" w:fill="auto"/>
          </w:tcPr>
          <w:p w14:paraId="1B123951" w14:textId="77777777" w:rsidR="005A7631" w:rsidRPr="00DE49CF" w:rsidRDefault="005A7631" w:rsidP="00137C0D">
            <w:pPr>
              <w:jc w:val="center"/>
              <w:rPr>
                <w:b/>
              </w:rPr>
            </w:pPr>
            <w:r>
              <w:rPr>
                <w:b/>
              </w:rPr>
              <w:t>2014</w:t>
            </w:r>
          </w:p>
        </w:tc>
        <w:tc>
          <w:tcPr>
            <w:tcW w:w="989" w:type="dxa"/>
            <w:tcBorders>
              <w:top w:val="single" w:sz="4" w:space="0" w:color="auto"/>
              <w:left w:val="single" w:sz="4" w:space="0" w:color="auto"/>
              <w:bottom w:val="single" w:sz="4" w:space="0" w:color="auto"/>
              <w:right w:val="single" w:sz="18" w:space="0" w:color="1B75BC"/>
            </w:tcBorders>
            <w:shd w:val="clear" w:color="auto" w:fill="auto"/>
          </w:tcPr>
          <w:p w14:paraId="252D9A38" w14:textId="77777777" w:rsidR="005A7631" w:rsidRPr="00DE49CF" w:rsidRDefault="005A7631" w:rsidP="00137C0D">
            <w:pPr>
              <w:jc w:val="center"/>
              <w:rPr>
                <w:b/>
              </w:rPr>
            </w:pPr>
            <w:r>
              <w:rPr>
                <w:b/>
              </w:rPr>
              <w:t>2015</w:t>
            </w:r>
          </w:p>
        </w:tc>
        <w:tc>
          <w:tcPr>
            <w:tcW w:w="989" w:type="dxa"/>
            <w:tcBorders>
              <w:top w:val="single" w:sz="4" w:space="0" w:color="auto"/>
              <w:left w:val="single" w:sz="18" w:space="0" w:color="1B75BC"/>
              <w:bottom w:val="single" w:sz="4" w:space="0" w:color="auto"/>
              <w:right w:val="single" w:sz="4" w:space="0" w:color="auto"/>
            </w:tcBorders>
          </w:tcPr>
          <w:p w14:paraId="61820CE4" w14:textId="77777777" w:rsidR="005A7631" w:rsidRPr="00B542E4" w:rsidRDefault="005A7631" w:rsidP="00137C0D">
            <w:pPr>
              <w:jc w:val="center"/>
              <w:rPr>
                <w:b/>
              </w:rPr>
            </w:pPr>
            <w:r>
              <w:rPr>
                <w:b/>
              </w:rPr>
              <w:t>2016</w:t>
            </w:r>
          </w:p>
        </w:tc>
        <w:tc>
          <w:tcPr>
            <w:tcW w:w="990" w:type="dxa"/>
            <w:tcBorders>
              <w:left w:val="single" w:sz="4" w:space="0" w:color="auto"/>
            </w:tcBorders>
          </w:tcPr>
          <w:p w14:paraId="553569A8" w14:textId="77777777" w:rsidR="005A7631" w:rsidRPr="00B542E4" w:rsidRDefault="005A7631" w:rsidP="00137C0D">
            <w:pPr>
              <w:jc w:val="center"/>
              <w:rPr>
                <w:b/>
              </w:rPr>
            </w:pPr>
            <w:r>
              <w:rPr>
                <w:b/>
              </w:rPr>
              <w:t>2017</w:t>
            </w:r>
          </w:p>
        </w:tc>
        <w:tc>
          <w:tcPr>
            <w:tcW w:w="989" w:type="dxa"/>
          </w:tcPr>
          <w:p w14:paraId="7D234245" w14:textId="77777777" w:rsidR="005A7631" w:rsidRPr="00B542E4" w:rsidRDefault="005A7631" w:rsidP="00137C0D">
            <w:pPr>
              <w:jc w:val="center"/>
              <w:rPr>
                <w:b/>
              </w:rPr>
            </w:pPr>
            <w:r>
              <w:rPr>
                <w:b/>
              </w:rPr>
              <w:t>2018</w:t>
            </w:r>
          </w:p>
        </w:tc>
        <w:tc>
          <w:tcPr>
            <w:tcW w:w="990" w:type="dxa"/>
          </w:tcPr>
          <w:p w14:paraId="4CB25504" w14:textId="77777777" w:rsidR="005A7631" w:rsidRDefault="005A7631" w:rsidP="00137C0D">
            <w:pPr>
              <w:jc w:val="center"/>
              <w:rPr>
                <w:b/>
                <w:bCs/>
              </w:rPr>
            </w:pPr>
            <w:r>
              <w:rPr>
                <w:b/>
              </w:rPr>
              <w:t>2019</w:t>
            </w:r>
          </w:p>
        </w:tc>
      </w:tr>
      <w:tr w:rsidR="005A7631" w14:paraId="0592D3BD" w14:textId="77777777" w:rsidTr="00344E90">
        <w:trPr>
          <w:jc w:val="center"/>
        </w:trPr>
        <w:tc>
          <w:tcPr>
            <w:tcW w:w="989" w:type="dxa"/>
          </w:tcPr>
          <w:p w14:paraId="3914DB74" w14:textId="0825AA61" w:rsidR="005A7631" w:rsidRDefault="005A7631" w:rsidP="005A7631">
            <w:r>
              <w:t>Цель ≥</w:t>
            </w:r>
          </w:p>
        </w:tc>
        <w:tc>
          <w:tcPr>
            <w:tcW w:w="989" w:type="dxa"/>
          </w:tcPr>
          <w:p w14:paraId="7033CDF9" w14:textId="77777777" w:rsidR="005A7631" w:rsidRPr="00373050" w:rsidRDefault="005A7631" w:rsidP="005A7631">
            <w:pPr>
              <w:jc w:val="center"/>
              <w:rPr>
                <w:i/>
              </w:rPr>
            </w:pPr>
            <w:r>
              <w:rPr>
                <w:i/>
              </w:rPr>
              <w:t>База</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E71CBB0" w14:textId="2D5498D5" w:rsidR="005A7631" w:rsidRPr="00DE49CF" w:rsidRDefault="005A7631" w:rsidP="005A7631">
            <w:pPr>
              <w:jc w:val="center"/>
            </w:pPr>
            <w:r>
              <w:t>7,20%</w:t>
            </w:r>
          </w:p>
        </w:tc>
        <w:tc>
          <w:tcPr>
            <w:tcW w:w="989" w:type="dxa"/>
            <w:tcBorders>
              <w:top w:val="single" w:sz="4" w:space="0" w:color="auto"/>
              <w:left w:val="single" w:sz="4" w:space="0" w:color="auto"/>
              <w:bottom w:val="single" w:sz="4" w:space="0" w:color="auto"/>
              <w:right w:val="single" w:sz="18" w:space="0" w:color="1B75BC"/>
            </w:tcBorders>
            <w:shd w:val="clear" w:color="auto" w:fill="auto"/>
          </w:tcPr>
          <w:p w14:paraId="3E9FC6BA" w14:textId="2177F547" w:rsidR="005A7631" w:rsidRPr="00DE49CF" w:rsidRDefault="005A7631" w:rsidP="005A7631">
            <w:pPr>
              <w:jc w:val="center"/>
            </w:pPr>
            <w:r>
              <w:t>6,70%</w:t>
            </w:r>
          </w:p>
        </w:tc>
        <w:tc>
          <w:tcPr>
            <w:tcW w:w="989" w:type="dxa"/>
            <w:tcBorders>
              <w:top w:val="single" w:sz="4" w:space="0" w:color="auto"/>
              <w:left w:val="single" w:sz="18" w:space="0" w:color="1B75BC"/>
              <w:bottom w:val="single" w:sz="4" w:space="0" w:color="auto"/>
              <w:right w:val="single" w:sz="4" w:space="0" w:color="auto"/>
            </w:tcBorders>
            <w:shd w:val="clear" w:color="auto" w:fill="auto"/>
          </w:tcPr>
          <w:p w14:paraId="1297925C" w14:textId="12096CBA" w:rsidR="005A7631" w:rsidRDefault="005A7631" w:rsidP="005A7631">
            <w:pPr>
              <w:jc w:val="center"/>
            </w:pPr>
            <w:r>
              <w:t>68,65%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BD67D28" w14:textId="0E9CDD70" w:rsidR="005A7631" w:rsidRDefault="005A7631" w:rsidP="005A7631">
            <w:pPr>
              <w:jc w:val="center"/>
            </w:pPr>
            <w:r>
              <w:t>68,15%</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4E8C480A" w14:textId="32E7B834" w:rsidR="005A7631" w:rsidRDefault="005A7631" w:rsidP="005A7631">
            <w:pPr>
              <w:jc w:val="center"/>
            </w:pPr>
            <w:r>
              <w:t>67,65%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B47FAC" w14:textId="23C29C89" w:rsidR="005A7631" w:rsidRDefault="005A7631" w:rsidP="005A7631">
            <w:pPr>
              <w:jc w:val="center"/>
            </w:pPr>
            <w:r>
              <w:t>62,00%</w:t>
            </w:r>
          </w:p>
        </w:tc>
      </w:tr>
      <w:tr w:rsidR="005A7631" w14:paraId="3C801418" w14:textId="77777777" w:rsidTr="00344E90">
        <w:trPr>
          <w:jc w:val="center"/>
        </w:trPr>
        <w:tc>
          <w:tcPr>
            <w:tcW w:w="989" w:type="dxa"/>
          </w:tcPr>
          <w:p w14:paraId="6CD19CA6" w14:textId="77777777" w:rsidR="005A7631" w:rsidRDefault="005A7631" w:rsidP="005A7631">
            <w:r>
              <w:t>Данные</w:t>
            </w:r>
          </w:p>
        </w:tc>
        <w:tc>
          <w:tcPr>
            <w:tcW w:w="989" w:type="dxa"/>
          </w:tcPr>
          <w:p w14:paraId="407385D7" w14:textId="66CEF3D9" w:rsidR="005A7631" w:rsidRDefault="005A7631" w:rsidP="005A7631">
            <w:pPr>
              <w:jc w:val="center"/>
            </w:pPr>
            <w:r>
              <w:t>62,96%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AE2548F" w14:textId="7E92644D" w:rsidR="005A7631" w:rsidRPr="00DE49CF" w:rsidRDefault="005A7631" w:rsidP="005A7631">
            <w:pPr>
              <w:jc w:val="center"/>
            </w:pPr>
            <w:r>
              <w:t>13,71%</w:t>
            </w:r>
          </w:p>
        </w:tc>
        <w:tc>
          <w:tcPr>
            <w:tcW w:w="989" w:type="dxa"/>
            <w:tcBorders>
              <w:top w:val="single" w:sz="4" w:space="0" w:color="auto"/>
              <w:left w:val="single" w:sz="4" w:space="0" w:color="auto"/>
              <w:bottom w:val="single" w:sz="4" w:space="0" w:color="auto"/>
              <w:right w:val="single" w:sz="18" w:space="0" w:color="1B75BC"/>
            </w:tcBorders>
            <w:shd w:val="clear" w:color="auto" w:fill="auto"/>
          </w:tcPr>
          <w:p w14:paraId="47D2C86B" w14:textId="511ECDC4" w:rsidR="005A7631" w:rsidRPr="00DE49CF" w:rsidRDefault="005A7631" w:rsidP="005A7631">
            <w:pPr>
              <w:jc w:val="center"/>
            </w:pPr>
            <w:r>
              <w:t>8,63%</w:t>
            </w:r>
          </w:p>
        </w:tc>
        <w:tc>
          <w:tcPr>
            <w:tcW w:w="989" w:type="dxa"/>
            <w:tcBorders>
              <w:top w:val="single" w:sz="4" w:space="0" w:color="auto"/>
              <w:left w:val="single" w:sz="18" w:space="0" w:color="1B75BC"/>
              <w:bottom w:val="single" w:sz="4" w:space="0" w:color="auto"/>
              <w:right w:val="single" w:sz="4" w:space="0" w:color="auto"/>
            </w:tcBorders>
            <w:shd w:val="clear" w:color="auto" w:fill="auto"/>
          </w:tcPr>
          <w:p w14:paraId="7C5F7BDF" w14:textId="25C8B258" w:rsidR="005A7631" w:rsidRDefault="005A7631" w:rsidP="005A7631">
            <w:pPr>
              <w:jc w:val="center"/>
            </w:pPr>
            <w:r>
              <w:t>62,96%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6201364" w14:textId="1F6EA127" w:rsidR="005A7631" w:rsidRDefault="005A7631" w:rsidP="005A7631">
            <w:pPr>
              <w:jc w:val="center"/>
            </w:pPr>
            <w:r>
              <w:t>66,67%</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4794ED6C" w14:textId="72291E12" w:rsidR="005A7631" w:rsidRDefault="005A7631" w:rsidP="005A7631">
            <w:pPr>
              <w:jc w:val="center"/>
            </w:pPr>
            <w:r>
              <w:t>53,13%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651915" w14:textId="093AEA0A" w:rsidR="005A7631" w:rsidRDefault="005A7631" w:rsidP="005A7631">
            <w:pPr>
              <w:jc w:val="center"/>
            </w:pPr>
            <w:r>
              <w:t>67,74%</w:t>
            </w:r>
          </w:p>
        </w:tc>
      </w:tr>
    </w:tbl>
    <w:p w14:paraId="57E819B6" w14:textId="01C032CB" w:rsidR="4BBB7754" w:rsidRPr="004F6C8F" w:rsidRDefault="4BBB7754" w:rsidP="11458547">
      <w:pPr>
        <w:pStyle w:val="Heading1"/>
        <w:rPr>
          <w:rFonts w:ascii="Calibri" w:eastAsia="Calibri" w:hAnsi="Calibri" w:cs="Calibri"/>
          <w:color w:val="1B75BC"/>
        </w:rPr>
      </w:pPr>
      <w:r>
        <w:rPr>
          <w:rFonts w:ascii="Calibri" w:hAnsi="Calibri"/>
          <w:b/>
          <w:color w:val="1B75BC"/>
        </w:rPr>
        <w:t>Будут ли установлены новые целевые значения?</w:t>
      </w:r>
    </w:p>
    <w:p w14:paraId="22ADC927" w14:textId="33CF52D0" w:rsidR="4BBB7754" w:rsidRPr="00F84723" w:rsidRDefault="4BBB7754" w:rsidP="00F14F43">
      <w:pPr>
        <w:spacing w:after="0"/>
        <w:rPr>
          <w:rFonts w:ascii="Calibri" w:eastAsia="Calibri" w:hAnsi="Calibri" w:cs="Calibri"/>
          <w:color w:val="000000" w:themeColor="text1"/>
        </w:rPr>
      </w:pPr>
      <w:r>
        <w:rPr>
          <w:rFonts w:ascii="Calibri" w:hAnsi="Calibri"/>
          <w:color w:val="000000" w:themeColor="text1"/>
        </w:rPr>
        <w:t>ODE не будет устанавливать новые целевые значения, пока партнеры не предоставят информацию. Новые целевые значения можно устанавливать несколькими способами. Это может быть значение, к</w:t>
      </w:r>
      <w:r w:rsidR="00822CEC">
        <w:rPr>
          <w:rFonts w:ascii="Calibri" w:hAnsi="Calibri"/>
          <w:color w:val="000000" w:themeColor="text1"/>
          <w:lang w:val="en-US"/>
        </w:rPr>
        <w:t> </w:t>
      </w:r>
      <w:r>
        <w:rPr>
          <w:rFonts w:ascii="Calibri" w:hAnsi="Calibri"/>
          <w:color w:val="000000" w:themeColor="text1"/>
        </w:rPr>
        <w:t>которому изначально решено стремиться, или значение, прогнозируемое на основе тенденций. При выборе целевых значений стоит учесть следующее:</w:t>
      </w:r>
    </w:p>
    <w:p w14:paraId="4551AD98" w14:textId="77777777" w:rsidR="001D55B0" w:rsidRPr="00F84723" w:rsidRDefault="001D55B0" w:rsidP="001D55B0">
      <w:pPr>
        <w:pStyle w:val="ListParagraph"/>
        <w:numPr>
          <w:ilvl w:val="0"/>
          <w:numId w:val="1"/>
        </w:numPr>
        <w:rPr>
          <w:rFonts w:ascii="Calibri" w:eastAsia="Calibri" w:hAnsi="Calibri" w:cs="Calibri"/>
          <w:color w:val="000000" w:themeColor="text1"/>
        </w:rPr>
      </w:pPr>
      <w:r>
        <w:rPr>
          <w:rFonts w:ascii="Calibri" w:hAnsi="Calibri"/>
          <w:color w:val="000000" w:themeColor="text1"/>
        </w:rPr>
        <w:t xml:space="preserve">Они призваны стимулировать повышение качества жизни семей с детьми. Они должны быть достижимыми, но демонстрировать рост. </w:t>
      </w:r>
    </w:p>
    <w:p w14:paraId="1E4FA14B" w14:textId="640BD67D" w:rsidR="4BBB7754" w:rsidRPr="00F84723" w:rsidRDefault="001D55B0" w:rsidP="001D55B0">
      <w:pPr>
        <w:pStyle w:val="ListParagraph"/>
        <w:numPr>
          <w:ilvl w:val="0"/>
          <w:numId w:val="1"/>
        </w:numPr>
        <w:rPr>
          <w:rFonts w:ascii="Calibri" w:eastAsia="Calibri" w:hAnsi="Calibri" w:cs="Calibri"/>
          <w:color w:val="000000" w:themeColor="text1"/>
        </w:rPr>
      </w:pPr>
      <w:r>
        <w:rPr>
          <w:rFonts w:ascii="Calibri" w:hAnsi="Calibri"/>
          <w:color w:val="000000" w:themeColor="text1"/>
        </w:rPr>
        <w:t>Изменения требуют времени, и это можно учитывать при выборе целевых значений. Например, показатели могут не меняться несколько лет подряд, а за последний год (2025) немного уменьшиться. Либо показатели могут постепенно уменьшаться год от года.</w:t>
      </w:r>
    </w:p>
    <w:p w14:paraId="477534C5" w14:textId="1B5E3036" w:rsidR="547E444A" w:rsidRPr="00F84723" w:rsidRDefault="547E444A" w:rsidP="00BC1904">
      <w:pPr>
        <w:pStyle w:val="ListParagraph"/>
        <w:numPr>
          <w:ilvl w:val="0"/>
          <w:numId w:val="1"/>
        </w:numPr>
        <w:spacing w:after="120"/>
        <w:rPr>
          <w:color w:val="000000" w:themeColor="text1"/>
        </w:rPr>
      </w:pPr>
      <w:r>
        <w:rPr>
          <w:rFonts w:ascii="Calibri" w:hAnsi="Calibri"/>
          <w:b/>
          <w:i/>
        </w:rPr>
        <w:t>На данные о дисциплинарных мерах за 2020 и 2021 гг. повлияла пандемия COVID-19</w:t>
      </w:r>
    </w:p>
    <w:p w14:paraId="08B9EDF3" w14:textId="099234F4" w:rsidR="4BBB7754" w:rsidRDefault="4BBB7754" w:rsidP="00BC1904">
      <w:pPr>
        <w:spacing w:after="120"/>
        <w:rPr>
          <w:rFonts w:ascii="Calibri" w:eastAsia="Calibri" w:hAnsi="Calibri" w:cs="Calibri"/>
          <w:color w:val="408740"/>
          <w:sz w:val="24"/>
          <w:szCs w:val="24"/>
        </w:rPr>
      </w:pPr>
      <w:r>
        <w:rPr>
          <w:rFonts w:ascii="Calibri" w:hAnsi="Calibri"/>
          <w:b/>
          <w:color w:val="408740"/>
          <w:sz w:val="24"/>
        </w:rPr>
        <w:lastRenderedPageBreak/>
        <w:t xml:space="preserve">Пример А для целевых значений показателя B4A: Базовое значение: 62% (2019 г.) </w:t>
      </w:r>
    </w:p>
    <w:tbl>
      <w:tblPr>
        <w:tblStyle w:val="TableGrid"/>
        <w:tblW w:w="0" w:type="auto"/>
        <w:tblLayout w:type="fixed"/>
        <w:tblLook w:val="04A0" w:firstRow="1" w:lastRow="0" w:firstColumn="1" w:lastColumn="0" w:noHBand="0" w:noVBand="1"/>
        <w:tblCaption w:val="Example Targets"/>
        <w:tblDescription w:val="This table shows one possible set of targets Oregon could use for this indicator."/>
      </w:tblPr>
      <w:tblGrid>
        <w:gridCol w:w="2220"/>
        <w:gridCol w:w="1275"/>
        <w:gridCol w:w="1275"/>
        <w:gridCol w:w="1275"/>
        <w:gridCol w:w="1275"/>
        <w:gridCol w:w="1275"/>
        <w:gridCol w:w="1275"/>
      </w:tblGrid>
      <w:tr w:rsidR="11458547" w14:paraId="5D98BE62" w14:textId="77777777" w:rsidTr="003554B6">
        <w:trPr>
          <w:tblHeader/>
        </w:trPr>
        <w:tc>
          <w:tcPr>
            <w:tcW w:w="2220" w:type="dxa"/>
          </w:tcPr>
          <w:p w14:paraId="761F74D5" w14:textId="23EBD312" w:rsidR="11458547" w:rsidRDefault="11458547" w:rsidP="11458547">
            <w:pPr>
              <w:spacing w:line="259" w:lineRule="auto"/>
              <w:jc w:val="center"/>
              <w:rPr>
                <w:rFonts w:ascii="Calibri" w:eastAsia="Calibri" w:hAnsi="Calibri" w:cs="Calibri"/>
              </w:rPr>
            </w:pPr>
            <w:r>
              <w:rPr>
                <w:rFonts w:ascii="Calibri" w:hAnsi="Calibri"/>
                <w:b/>
              </w:rPr>
              <w:t>Год</w:t>
            </w:r>
          </w:p>
        </w:tc>
        <w:tc>
          <w:tcPr>
            <w:tcW w:w="1275" w:type="dxa"/>
          </w:tcPr>
          <w:p w14:paraId="6FF289AD" w14:textId="064B2D84" w:rsidR="11458547" w:rsidRDefault="6A5506BC" w:rsidP="1B7C5E0B">
            <w:pPr>
              <w:spacing w:line="259" w:lineRule="auto"/>
              <w:jc w:val="center"/>
              <w:rPr>
                <w:rFonts w:ascii="Calibri" w:eastAsia="Calibri" w:hAnsi="Calibri" w:cs="Calibri"/>
              </w:rPr>
            </w:pPr>
            <w:r>
              <w:rPr>
                <w:rFonts w:ascii="Calibri" w:hAnsi="Calibri"/>
                <w:b/>
              </w:rPr>
              <w:t>2020</w:t>
            </w:r>
          </w:p>
        </w:tc>
        <w:tc>
          <w:tcPr>
            <w:tcW w:w="1275" w:type="dxa"/>
          </w:tcPr>
          <w:p w14:paraId="5F13C07F" w14:textId="224FB439" w:rsidR="11458547" w:rsidRDefault="6A5506BC" w:rsidP="1B7C5E0B">
            <w:pPr>
              <w:spacing w:line="259" w:lineRule="auto"/>
              <w:jc w:val="center"/>
              <w:rPr>
                <w:rFonts w:ascii="Calibri" w:eastAsia="Calibri" w:hAnsi="Calibri" w:cs="Calibri"/>
              </w:rPr>
            </w:pPr>
            <w:r>
              <w:rPr>
                <w:rFonts w:ascii="Calibri" w:hAnsi="Calibri"/>
                <w:b/>
              </w:rPr>
              <w:t>2021</w:t>
            </w:r>
          </w:p>
        </w:tc>
        <w:tc>
          <w:tcPr>
            <w:tcW w:w="1275" w:type="dxa"/>
          </w:tcPr>
          <w:p w14:paraId="4C2A8153" w14:textId="1DBED9FF" w:rsidR="11458547" w:rsidRDefault="11458547" w:rsidP="11458547">
            <w:pPr>
              <w:spacing w:line="259" w:lineRule="auto"/>
              <w:jc w:val="center"/>
              <w:rPr>
                <w:rFonts w:ascii="Calibri" w:eastAsia="Calibri" w:hAnsi="Calibri" w:cs="Calibri"/>
              </w:rPr>
            </w:pPr>
            <w:r>
              <w:rPr>
                <w:rFonts w:ascii="Calibri" w:hAnsi="Calibri"/>
                <w:b/>
              </w:rPr>
              <w:t>2022</w:t>
            </w:r>
          </w:p>
        </w:tc>
        <w:tc>
          <w:tcPr>
            <w:tcW w:w="1275" w:type="dxa"/>
          </w:tcPr>
          <w:p w14:paraId="06D8CCF0" w14:textId="49AB4782" w:rsidR="11458547" w:rsidRDefault="11458547" w:rsidP="11458547">
            <w:pPr>
              <w:spacing w:line="259" w:lineRule="auto"/>
              <w:jc w:val="center"/>
              <w:rPr>
                <w:rFonts w:ascii="Calibri" w:eastAsia="Calibri" w:hAnsi="Calibri" w:cs="Calibri"/>
              </w:rPr>
            </w:pPr>
            <w:r>
              <w:rPr>
                <w:rFonts w:ascii="Calibri" w:hAnsi="Calibri"/>
                <w:b/>
              </w:rPr>
              <w:t>2023</w:t>
            </w:r>
          </w:p>
        </w:tc>
        <w:tc>
          <w:tcPr>
            <w:tcW w:w="1275" w:type="dxa"/>
          </w:tcPr>
          <w:p w14:paraId="21F7EA2C" w14:textId="2DF08A33" w:rsidR="11458547" w:rsidRDefault="11458547" w:rsidP="11458547">
            <w:pPr>
              <w:spacing w:line="259" w:lineRule="auto"/>
              <w:jc w:val="center"/>
              <w:rPr>
                <w:rFonts w:ascii="Calibri" w:eastAsia="Calibri" w:hAnsi="Calibri" w:cs="Calibri"/>
              </w:rPr>
            </w:pPr>
            <w:r>
              <w:rPr>
                <w:rFonts w:ascii="Calibri" w:hAnsi="Calibri"/>
                <w:b/>
              </w:rPr>
              <w:t>2024</w:t>
            </w:r>
          </w:p>
        </w:tc>
        <w:tc>
          <w:tcPr>
            <w:tcW w:w="1275" w:type="dxa"/>
          </w:tcPr>
          <w:p w14:paraId="149E4E9B" w14:textId="51328839" w:rsidR="11458547" w:rsidRDefault="11458547" w:rsidP="11458547">
            <w:pPr>
              <w:spacing w:line="259" w:lineRule="auto"/>
              <w:jc w:val="center"/>
              <w:rPr>
                <w:rFonts w:ascii="Calibri" w:eastAsia="Calibri" w:hAnsi="Calibri" w:cs="Calibri"/>
              </w:rPr>
            </w:pPr>
            <w:r>
              <w:rPr>
                <w:rFonts w:ascii="Calibri" w:hAnsi="Calibri"/>
                <w:b/>
              </w:rPr>
              <w:t>2025</w:t>
            </w:r>
          </w:p>
        </w:tc>
      </w:tr>
      <w:tr w:rsidR="11458547" w14:paraId="6AF5CF9A" w14:textId="77777777" w:rsidTr="00BB6EA2">
        <w:trPr>
          <w:trHeight w:val="107"/>
        </w:trPr>
        <w:tc>
          <w:tcPr>
            <w:tcW w:w="2220" w:type="dxa"/>
          </w:tcPr>
          <w:p w14:paraId="069109CF" w14:textId="3A51A624" w:rsidR="439FDF39" w:rsidRDefault="439FDF39" w:rsidP="00300D8D">
            <w:pPr>
              <w:spacing w:line="259" w:lineRule="auto"/>
              <w:rPr>
                <w:rFonts w:ascii="Calibri" w:eastAsia="Calibri" w:hAnsi="Calibri" w:cs="Calibri"/>
              </w:rPr>
            </w:pPr>
            <w:r>
              <w:rPr>
                <w:rFonts w:ascii="Calibri" w:hAnsi="Calibri"/>
              </w:rPr>
              <w:t>Цели 4А ≤</w:t>
            </w:r>
          </w:p>
        </w:tc>
        <w:tc>
          <w:tcPr>
            <w:tcW w:w="1275" w:type="dxa"/>
          </w:tcPr>
          <w:p w14:paraId="0DC7BE9E" w14:textId="70593578" w:rsidR="11458547" w:rsidRDefault="06953851" w:rsidP="1B7C5E0B">
            <w:pPr>
              <w:spacing w:line="259" w:lineRule="auto"/>
              <w:jc w:val="center"/>
              <w:rPr>
                <w:rFonts w:ascii="Calibri" w:eastAsia="Calibri" w:hAnsi="Calibri" w:cs="Calibri"/>
              </w:rPr>
            </w:pPr>
            <w:r>
              <w:rPr>
                <w:rFonts w:ascii="Calibri" w:hAnsi="Calibri"/>
              </w:rPr>
              <w:t>62,00%</w:t>
            </w:r>
          </w:p>
        </w:tc>
        <w:tc>
          <w:tcPr>
            <w:tcW w:w="1275" w:type="dxa"/>
          </w:tcPr>
          <w:p w14:paraId="0F18F025" w14:textId="3F02F31B" w:rsidR="11458547" w:rsidRDefault="06953851" w:rsidP="1B7C5E0B">
            <w:pPr>
              <w:spacing w:line="259" w:lineRule="auto"/>
              <w:jc w:val="center"/>
              <w:rPr>
                <w:rFonts w:ascii="Calibri" w:eastAsia="Calibri" w:hAnsi="Calibri" w:cs="Calibri"/>
              </w:rPr>
            </w:pPr>
            <w:r>
              <w:rPr>
                <w:rFonts w:ascii="Calibri" w:hAnsi="Calibri"/>
              </w:rPr>
              <w:t>62,00%</w:t>
            </w:r>
          </w:p>
        </w:tc>
        <w:tc>
          <w:tcPr>
            <w:tcW w:w="1275" w:type="dxa"/>
          </w:tcPr>
          <w:p w14:paraId="201861D7" w14:textId="0FE27410" w:rsidR="11458547" w:rsidRDefault="06953851" w:rsidP="1B7C5E0B">
            <w:pPr>
              <w:spacing w:line="259" w:lineRule="auto"/>
              <w:jc w:val="center"/>
              <w:rPr>
                <w:rFonts w:ascii="Calibri" w:eastAsia="Calibri" w:hAnsi="Calibri" w:cs="Calibri"/>
              </w:rPr>
            </w:pPr>
            <w:r>
              <w:rPr>
                <w:rFonts w:ascii="Calibri" w:hAnsi="Calibri"/>
              </w:rPr>
              <w:t>61,75%</w:t>
            </w:r>
          </w:p>
        </w:tc>
        <w:tc>
          <w:tcPr>
            <w:tcW w:w="1275" w:type="dxa"/>
          </w:tcPr>
          <w:p w14:paraId="75B0C0F7" w14:textId="6256E394" w:rsidR="11458547" w:rsidRDefault="06953851" w:rsidP="00BB6EA2">
            <w:pPr>
              <w:spacing w:line="259" w:lineRule="auto"/>
              <w:jc w:val="center"/>
              <w:rPr>
                <w:rFonts w:ascii="Calibri" w:eastAsia="Calibri" w:hAnsi="Calibri" w:cs="Calibri"/>
              </w:rPr>
            </w:pPr>
            <w:r>
              <w:rPr>
                <w:rFonts w:ascii="Calibri" w:hAnsi="Calibri"/>
              </w:rPr>
              <w:t>61,50%</w:t>
            </w:r>
          </w:p>
        </w:tc>
        <w:tc>
          <w:tcPr>
            <w:tcW w:w="1275" w:type="dxa"/>
          </w:tcPr>
          <w:p w14:paraId="5D752F71" w14:textId="6F93A730" w:rsidR="11458547" w:rsidRDefault="06953851" w:rsidP="00BB6EA2">
            <w:pPr>
              <w:spacing w:line="259" w:lineRule="auto"/>
              <w:jc w:val="center"/>
              <w:rPr>
                <w:rFonts w:ascii="Calibri" w:eastAsia="Calibri" w:hAnsi="Calibri" w:cs="Calibri"/>
              </w:rPr>
            </w:pPr>
            <w:r>
              <w:rPr>
                <w:rFonts w:ascii="Calibri" w:hAnsi="Calibri"/>
              </w:rPr>
              <w:t>61,25%</w:t>
            </w:r>
          </w:p>
        </w:tc>
        <w:tc>
          <w:tcPr>
            <w:tcW w:w="1275" w:type="dxa"/>
          </w:tcPr>
          <w:p w14:paraId="29839416" w14:textId="66DE3A84" w:rsidR="11458547" w:rsidRDefault="06953851" w:rsidP="1B7C5E0B">
            <w:pPr>
              <w:spacing w:line="259" w:lineRule="auto"/>
              <w:jc w:val="center"/>
              <w:rPr>
                <w:rFonts w:ascii="Calibri" w:eastAsia="Calibri" w:hAnsi="Calibri" w:cs="Calibri"/>
              </w:rPr>
            </w:pPr>
            <w:r>
              <w:rPr>
                <w:rFonts w:ascii="Calibri" w:hAnsi="Calibri"/>
              </w:rPr>
              <w:t>61,00%</w:t>
            </w:r>
          </w:p>
        </w:tc>
      </w:tr>
    </w:tbl>
    <w:p w14:paraId="7C2E7CBC" w14:textId="4B65C366" w:rsidR="255201E7" w:rsidRDefault="255201E7" w:rsidP="00BC1904">
      <w:pPr>
        <w:spacing w:after="120"/>
        <w:rPr>
          <w:rFonts w:ascii="Calibri" w:eastAsia="Calibri" w:hAnsi="Calibri" w:cs="Calibri"/>
          <w:color w:val="000000" w:themeColor="text1"/>
        </w:rPr>
      </w:pPr>
      <w:r>
        <w:rPr>
          <w:rFonts w:ascii="Calibri" w:hAnsi="Calibri"/>
          <w:color w:val="000000" w:themeColor="text1"/>
        </w:rPr>
        <w:t>Пример А демонстрирует постепенный прогресс.</w:t>
      </w:r>
    </w:p>
    <w:p w14:paraId="39B5FF48" w14:textId="4E940495" w:rsidR="255201E7" w:rsidRDefault="255201E7" w:rsidP="00BC1904">
      <w:pPr>
        <w:spacing w:after="120"/>
        <w:rPr>
          <w:rFonts w:ascii="Calibri" w:eastAsia="Calibri" w:hAnsi="Calibri" w:cs="Calibri"/>
          <w:color w:val="408740"/>
          <w:sz w:val="24"/>
          <w:szCs w:val="24"/>
        </w:rPr>
      </w:pPr>
      <w:r>
        <w:rPr>
          <w:rFonts w:ascii="Calibri" w:hAnsi="Calibri"/>
          <w:b/>
          <w:color w:val="408740"/>
          <w:sz w:val="24"/>
        </w:rPr>
        <w:t>Пример B для целевых значений показателя B4A: Базовое значение: 62% (2019 г.)</w:t>
      </w:r>
    </w:p>
    <w:tbl>
      <w:tblPr>
        <w:tblStyle w:val="TableGrid"/>
        <w:tblW w:w="0" w:type="auto"/>
        <w:tblLayout w:type="fixed"/>
        <w:tblLook w:val="04A0" w:firstRow="1" w:lastRow="0" w:firstColumn="1" w:lastColumn="0" w:noHBand="0" w:noVBand="1"/>
        <w:tblCaption w:val="Example Targets"/>
        <w:tblDescription w:val="This table shows one possible set of targets Oregon could use for this indicator."/>
      </w:tblPr>
      <w:tblGrid>
        <w:gridCol w:w="2220"/>
        <w:gridCol w:w="1275"/>
        <w:gridCol w:w="1275"/>
        <w:gridCol w:w="1275"/>
        <w:gridCol w:w="1275"/>
        <w:gridCol w:w="1275"/>
        <w:gridCol w:w="1275"/>
      </w:tblGrid>
      <w:tr w:rsidR="11458547" w14:paraId="0FAC3656" w14:textId="77777777" w:rsidTr="003554B6">
        <w:trPr>
          <w:tblHeader/>
        </w:trPr>
        <w:tc>
          <w:tcPr>
            <w:tcW w:w="2220" w:type="dxa"/>
          </w:tcPr>
          <w:p w14:paraId="0F4C8285" w14:textId="6E1B46F2" w:rsidR="11458547" w:rsidRDefault="11458547" w:rsidP="11458547">
            <w:pPr>
              <w:spacing w:line="259" w:lineRule="auto"/>
              <w:jc w:val="center"/>
              <w:rPr>
                <w:rFonts w:ascii="Calibri" w:eastAsia="Calibri" w:hAnsi="Calibri" w:cs="Calibri"/>
              </w:rPr>
            </w:pPr>
            <w:r>
              <w:rPr>
                <w:rFonts w:ascii="Calibri" w:hAnsi="Calibri"/>
                <w:b/>
              </w:rPr>
              <w:t>Год</w:t>
            </w:r>
          </w:p>
        </w:tc>
        <w:tc>
          <w:tcPr>
            <w:tcW w:w="1275" w:type="dxa"/>
          </w:tcPr>
          <w:p w14:paraId="051D9902" w14:textId="04C3D9DF" w:rsidR="11458547" w:rsidRDefault="11458547" w:rsidP="11458547">
            <w:pPr>
              <w:spacing w:line="259" w:lineRule="auto"/>
              <w:jc w:val="center"/>
              <w:rPr>
                <w:rFonts w:ascii="Calibri" w:eastAsia="Calibri" w:hAnsi="Calibri" w:cs="Calibri"/>
              </w:rPr>
            </w:pPr>
            <w:r>
              <w:rPr>
                <w:rFonts w:ascii="Calibri" w:hAnsi="Calibri"/>
                <w:b/>
              </w:rPr>
              <w:t>2020</w:t>
            </w:r>
          </w:p>
        </w:tc>
        <w:tc>
          <w:tcPr>
            <w:tcW w:w="1275" w:type="dxa"/>
          </w:tcPr>
          <w:p w14:paraId="2CAB0210" w14:textId="2CAE7552" w:rsidR="11458547" w:rsidRDefault="11458547" w:rsidP="11458547">
            <w:pPr>
              <w:spacing w:line="259" w:lineRule="auto"/>
              <w:jc w:val="center"/>
              <w:rPr>
                <w:rFonts w:ascii="Calibri" w:eastAsia="Calibri" w:hAnsi="Calibri" w:cs="Calibri"/>
              </w:rPr>
            </w:pPr>
            <w:r>
              <w:rPr>
                <w:rFonts w:ascii="Calibri" w:hAnsi="Calibri"/>
                <w:b/>
              </w:rPr>
              <w:t>2021</w:t>
            </w:r>
          </w:p>
        </w:tc>
        <w:tc>
          <w:tcPr>
            <w:tcW w:w="1275" w:type="dxa"/>
          </w:tcPr>
          <w:p w14:paraId="041A0AB9" w14:textId="358BD01F" w:rsidR="11458547" w:rsidRDefault="11458547" w:rsidP="11458547">
            <w:pPr>
              <w:spacing w:line="259" w:lineRule="auto"/>
              <w:jc w:val="center"/>
              <w:rPr>
                <w:rFonts w:ascii="Calibri" w:eastAsia="Calibri" w:hAnsi="Calibri" w:cs="Calibri"/>
              </w:rPr>
            </w:pPr>
            <w:r>
              <w:rPr>
                <w:rFonts w:ascii="Calibri" w:hAnsi="Calibri"/>
                <w:b/>
              </w:rPr>
              <w:t>2022</w:t>
            </w:r>
          </w:p>
        </w:tc>
        <w:tc>
          <w:tcPr>
            <w:tcW w:w="1275" w:type="dxa"/>
          </w:tcPr>
          <w:p w14:paraId="47295C0D" w14:textId="6165BA72" w:rsidR="11458547" w:rsidRDefault="11458547" w:rsidP="11458547">
            <w:pPr>
              <w:spacing w:line="259" w:lineRule="auto"/>
              <w:jc w:val="center"/>
              <w:rPr>
                <w:rFonts w:ascii="Calibri" w:eastAsia="Calibri" w:hAnsi="Calibri" w:cs="Calibri"/>
              </w:rPr>
            </w:pPr>
            <w:r>
              <w:rPr>
                <w:rFonts w:ascii="Calibri" w:hAnsi="Calibri"/>
                <w:b/>
              </w:rPr>
              <w:t>2023</w:t>
            </w:r>
          </w:p>
        </w:tc>
        <w:tc>
          <w:tcPr>
            <w:tcW w:w="1275" w:type="dxa"/>
          </w:tcPr>
          <w:p w14:paraId="0186D260" w14:textId="4B386DA3" w:rsidR="11458547" w:rsidRDefault="11458547" w:rsidP="11458547">
            <w:pPr>
              <w:spacing w:line="259" w:lineRule="auto"/>
              <w:jc w:val="center"/>
              <w:rPr>
                <w:rFonts w:ascii="Calibri" w:eastAsia="Calibri" w:hAnsi="Calibri" w:cs="Calibri"/>
              </w:rPr>
            </w:pPr>
            <w:r>
              <w:rPr>
                <w:rFonts w:ascii="Calibri" w:hAnsi="Calibri"/>
                <w:b/>
              </w:rPr>
              <w:t>2024</w:t>
            </w:r>
          </w:p>
        </w:tc>
        <w:tc>
          <w:tcPr>
            <w:tcW w:w="1275" w:type="dxa"/>
          </w:tcPr>
          <w:p w14:paraId="478A199B" w14:textId="048C9FA8" w:rsidR="11458547" w:rsidRDefault="11458547" w:rsidP="11458547">
            <w:pPr>
              <w:spacing w:line="259" w:lineRule="auto"/>
              <w:jc w:val="center"/>
              <w:rPr>
                <w:rFonts w:ascii="Calibri" w:eastAsia="Calibri" w:hAnsi="Calibri" w:cs="Calibri"/>
              </w:rPr>
            </w:pPr>
            <w:r>
              <w:rPr>
                <w:rFonts w:ascii="Calibri" w:hAnsi="Calibri"/>
                <w:b/>
              </w:rPr>
              <w:t>2025</w:t>
            </w:r>
          </w:p>
        </w:tc>
      </w:tr>
      <w:tr w:rsidR="11458547" w14:paraId="631770DF" w14:textId="77777777" w:rsidTr="1B7C5E0B">
        <w:tc>
          <w:tcPr>
            <w:tcW w:w="2220" w:type="dxa"/>
          </w:tcPr>
          <w:p w14:paraId="39F47907" w14:textId="09D5DE17" w:rsidR="11458547" w:rsidRDefault="11458547" w:rsidP="00300D8D">
            <w:pPr>
              <w:spacing w:line="259" w:lineRule="auto"/>
              <w:rPr>
                <w:rFonts w:ascii="Calibri" w:eastAsia="Calibri" w:hAnsi="Calibri" w:cs="Calibri"/>
              </w:rPr>
            </w:pPr>
            <w:r>
              <w:rPr>
                <w:rFonts w:ascii="Calibri" w:hAnsi="Calibri"/>
              </w:rPr>
              <w:t>Цели 4А ≤</w:t>
            </w:r>
          </w:p>
        </w:tc>
        <w:tc>
          <w:tcPr>
            <w:tcW w:w="1275" w:type="dxa"/>
          </w:tcPr>
          <w:p w14:paraId="1BE3574C" w14:textId="6396B2D1" w:rsidR="11458547" w:rsidRDefault="00BB6EA2" w:rsidP="1B7C5E0B">
            <w:pPr>
              <w:spacing w:line="259" w:lineRule="auto"/>
              <w:jc w:val="center"/>
              <w:rPr>
                <w:rFonts w:ascii="Calibri" w:eastAsia="Calibri" w:hAnsi="Calibri" w:cs="Calibri"/>
              </w:rPr>
            </w:pPr>
            <w:r>
              <w:rPr>
                <w:rFonts w:ascii="Calibri" w:hAnsi="Calibri"/>
              </w:rPr>
              <w:t>62,00%</w:t>
            </w:r>
          </w:p>
        </w:tc>
        <w:tc>
          <w:tcPr>
            <w:tcW w:w="1275" w:type="dxa"/>
          </w:tcPr>
          <w:p w14:paraId="27B9FB50" w14:textId="6EA0F2D7" w:rsidR="11458547" w:rsidRDefault="00BB6EA2" w:rsidP="00BB6EA2">
            <w:pPr>
              <w:spacing w:line="259" w:lineRule="auto"/>
              <w:jc w:val="center"/>
              <w:rPr>
                <w:rFonts w:ascii="Calibri" w:eastAsia="Calibri" w:hAnsi="Calibri" w:cs="Calibri"/>
              </w:rPr>
            </w:pPr>
            <w:r>
              <w:rPr>
                <w:rFonts w:ascii="Calibri" w:hAnsi="Calibri"/>
              </w:rPr>
              <w:t>62,00%</w:t>
            </w:r>
          </w:p>
        </w:tc>
        <w:tc>
          <w:tcPr>
            <w:tcW w:w="1275" w:type="dxa"/>
          </w:tcPr>
          <w:p w14:paraId="5E5CA2C5" w14:textId="1BEA0AFC" w:rsidR="11458547" w:rsidRDefault="00BB6EA2" w:rsidP="00BB6EA2">
            <w:pPr>
              <w:spacing w:line="259" w:lineRule="auto"/>
              <w:jc w:val="center"/>
              <w:rPr>
                <w:rFonts w:ascii="Calibri" w:eastAsia="Calibri" w:hAnsi="Calibri" w:cs="Calibri"/>
              </w:rPr>
            </w:pPr>
            <w:r>
              <w:rPr>
                <w:rFonts w:ascii="Calibri" w:hAnsi="Calibri"/>
              </w:rPr>
              <w:t>61,50%</w:t>
            </w:r>
          </w:p>
        </w:tc>
        <w:tc>
          <w:tcPr>
            <w:tcW w:w="1275" w:type="dxa"/>
          </w:tcPr>
          <w:p w14:paraId="39CD7664" w14:textId="7B358D02" w:rsidR="11458547" w:rsidRDefault="148FBD78" w:rsidP="1B7C5E0B">
            <w:pPr>
              <w:spacing w:line="259" w:lineRule="auto"/>
              <w:jc w:val="center"/>
              <w:rPr>
                <w:rFonts w:ascii="Calibri" w:eastAsia="Calibri" w:hAnsi="Calibri" w:cs="Calibri"/>
              </w:rPr>
            </w:pPr>
            <w:r>
              <w:rPr>
                <w:rFonts w:ascii="Calibri" w:hAnsi="Calibri"/>
              </w:rPr>
              <w:t>61,25%</w:t>
            </w:r>
          </w:p>
        </w:tc>
        <w:tc>
          <w:tcPr>
            <w:tcW w:w="1275" w:type="dxa"/>
          </w:tcPr>
          <w:p w14:paraId="4E98C006" w14:textId="06C47462" w:rsidR="11458547" w:rsidRDefault="148FBD78" w:rsidP="1B7C5E0B">
            <w:pPr>
              <w:spacing w:line="259" w:lineRule="auto"/>
              <w:jc w:val="center"/>
              <w:rPr>
                <w:rFonts w:ascii="Calibri" w:eastAsia="Calibri" w:hAnsi="Calibri" w:cs="Calibri"/>
              </w:rPr>
            </w:pPr>
            <w:r>
              <w:rPr>
                <w:rFonts w:ascii="Calibri" w:hAnsi="Calibri"/>
              </w:rPr>
              <w:t>61,00%</w:t>
            </w:r>
          </w:p>
        </w:tc>
        <w:tc>
          <w:tcPr>
            <w:tcW w:w="1275" w:type="dxa"/>
          </w:tcPr>
          <w:p w14:paraId="2900B4A7" w14:textId="13B9272D" w:rsidR="11458547" w:rsidRDefault="148FBD78" w:rsidP="1B7C5E0B">
            <w:pPr>
              <w:spacing w:line="259" w:lineRule="auto"/>
              <w:jc w:val="center"/>
              <w:rPr>
                <w:rFonts w:ascii="Calibri" w:eastAsia="Calibri" w:hAnsi="Calibri" w:cs="Calibri"/>
              </w:rPr>
            </w:pPr>
            <w:r>
              <w:rPr>
                <w:rFonts w:ascii="Calibri" w:hAnsi="Calibri"/>
              </w:rPr>
              <w:t>60,50%</w:t>
            </w:r>
          </w:p>
        </w:tc>
      </w:tr>
    </w:tbl>
    <w:p w14:paraId="5F35CFE9" w14:textId="4479FC23" w:rsidR="255201E7" w:rsidRPr="00F14F43" w:rsidRDefault="00BB6EA2" w:rsidP="00BC1904">
      <w:pPr>
        <w:spacing w:after="120"/>
        <w:rPr>
          <w:rFonts w:ascii="Calibri" w:eastAsia="Calibri" w:hAnsi="Calibri" w:cs="Calibri"/>
          <w:color w:val="000000" w:themeColor="text1"/>
        </w:rPr>
      </w:pPr>
      <w:r>
        <w:rPr>
          <w:rFonts w:ascii="Calibri" w:hAnsi="Calibri"/>
          <w:color w:val="000000" w:themeColor="text1"/>
        </w:rPr>
        <w:t>Пример B демонстрирует более активный прогресс.</w:t>
      </w:r>
    </w:p>
    <w:p w14:paraId="0DD861B0" w14:textId="6DF5B66A" w:rsidR="134DEFB0" w:rsidRDefault="134DEFB0" w:rsidP="00863AC2">
      <w:pPr>
        <w:jc w:val="center"/>
        <w:rPr>
          <w:rFonts w:ascii="Calibri" w:eastAsia="Calibri" w:hAnsi="Calibri" w:cs="Calibri"/>
          <w:b/>
          <w:bCs/>
          <w:color w:val="000000" w:themeColor="text1"/>
        </w:rPr>
      </w:pPr>
      <w:r>
        <w:rPr>
          <w:rFonts w:ascii="Calibri" w:hAnsi="Calibri"/>
          <w:b/>
          <w:color w:val="538135" w:themeColor="accent6" w:themeShade="BF"/>
        </w:rPr>
        <w:t>Если вам нужна дополнительная информация, обратитесь к</w:t>
      </w:r>
      <w:r w:rsidR="00822CEC" w:rsidRPr="00822CEC">
        <w:rPr>
          <w:rFonts w:ascii="Calibri" w:hAnsi="Calibri"/>
          <w:b/>
          <w:color w:val="538135" w:themeColor="accent6" w:themeShade="BF"/>
        </w:rPr>
        <w:t xml:space="preserve"> </w:t>
      </w:r>
      <w:r>
        <w:rPr>
          <w:rFonts w:ascii="Calibri" w:hAnsi="Calibri"/>
          <w:b/>
          <w:color w:val="538135" w:themeColor="accent6" w:themeShade="BF"/>
        </w:rPr>
        <w:t>специалисту по вопросам образования Лайзе Бейтман (Lisa Bateman) по эл. почте</w:t>
      </w:r>
      <w:r>
        <w:rPr>
          <w:rFonts w:ascii="Calibri" w:hAnsi="Calibri"/>
          <w:b/>
          <w:color w:val="000000" w:themeColor="text1"/>
        </w:rPr>
        <w:t xml:space="preserve"> </w:t>
      </w:r>
      <w:r>
        <w:rPr>
          <w:rStyle w:val="Hyperlink"/>
          <w:rFonts w:ascii="Calibri" w:hAnsi="Calibri"/>
          <w:b/>
        </w:rPr>
        <w:t>lisa.bateman@state.or.us</w:t>
      </w:r>
      <w:r>
        <w:rPr>
          <w:rFonts w:ascii="Calibri" w:hAnsi="Calibri"/>
          <w:b/>
          <w:color w:val="000000" w:themeColor="text1"/>
        </w:rPr>
        <w:t>.</w:t>
      </w:r>
    </w:p>
    <w:sectPr w:rsidR="134DEFB0">
      <w:footerReference w:type="default" r:id="rId14"/>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B8EC9" w14:textId="77777777" w:rsidR="008A7852" w:rsidRDefault="008A7852" w:rsidP="00A015AF">
      <w:pPr>
        <w:spacing w:after="0" w:line="240" w:lineRule="auto"/>
      </w:pPr>
      <w:r>
        <w:separator/>
      </w:r>
    </w:p>
  </w:endnote>
  <w:endnote w:type="continuationSeparator" w:id="0">
    <w:p w14:paraId="3BAD83CE" w14:textId="77777777" w:rsidR="008A7852" w:rsidRDefault="008A7852" w:rsidP="00A015AF">
      <w:pPr>
        <w:spacing w:after="0" w:line="240" w:lineRule="auto"/>
      </w:pPr>
      <w:r>
        <w:continuationSeparator/>
      </w:r>
    </w:p>
  </w:endnote>
  <w:endnote w:type="continuationNotice" w:id="1">
    <w:p w14:paraId="29AD2D20" w14:textId="77777777" w:rsidR="008A7852" w:rsidRDefault="008A78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44D70" w14:textId="4630A087" w:rsidR="11458547" w:rsidRDefault="00BB6EA2" w:rsidP="11458547">
    <w:pPr>
      <w:pStyle w:val="Footer"/>
    </w:pPr>
    <w:r>
      <w:t>Плановые показатели штата. Информационный листок. Показатель B4A</w:t>
    </w:r>
    <w:r>
      <w:tab/>
    </w:r>
    <w:r>
      <w:fldChar w:fldCharType="begin"/>
    </w:r>
    <w:r>
      <w:instrText xml:space="preserve"> PAGE   \* MERGEFORMAT </w:instrText>
    </w:r>
    <w:r>
      <w:fldChar w:fldCharType="separate"/>
    </w:r>
    <w:r w:rsidR="009B30A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91457" w14:textId="77777777" w:rsidR="008A7852" w:rsidRDefault="008A7852" w:rsidP="00A015AF">
      <w:pPr>
        <w:spacing w:after="0" w:line="240" w:lineRule="auto"/>
      </w:pPr>
      <w:r>
        <w:separator/>
      </w:r>
    </w:p>
  </w:footnote>
  <w:footnote w:type="continuationSeparator" w:id="0">
    <w:p w14:paraId="5CBB1954" w14:textId="77777777" w:rsidR="008A7852" w:rsidRDefault="008A7852" w:rsidP="00A015AF">
      <w:pPr>
        <w:spacing w:after="0" w:line="240" w:lineRule="auto"/>
      </w:pPr>
      <w:r>
        <w:continuationSeparator/>
      </w:r>
    </w:p>
  </w:footnote>
  <w:footnote w:type="continuationNotice" w:id="1">
    <w:p w14:paraId="51598579" w14:textId="77777777" w:rsidR="008A7852" w:rsidRDefault="008A78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18F653A0"/>
    <w:multiLevelType w:val="hybridMultilevel"/>
    <w:tmpl w:val="EEE8E74A"/>
    <w:lvl w:ilvl="0" w:tplc="B180FCD8">
      <w:start w:val="1"/>
      <w:numFmt w:val="bullet"/>
      <w:lvlText w:val=""/>
      <w:lvlJc w:val="left"/>
      <w:pPr>
        <w:ind w:left="720" w:hanging="360"/>
      </w:pPr>
      <w:rPr>
        <w:rFonts w:ascii="Symbol" w:hAnsi="Symbol" w:hint="default"/>
      </w:rPr>
    </w:lvl>
    <w:lvl w:ilvl="1" w:tplc="704EBD6C">
      <w:start w:val="1"/>
      <w:numFmt w:val="bullet"/>
      <w:lvlText w:val="o"/>
      <w:lvlJc w:val="left"/>
      <w:pPr>
        <w:ind w:left="1440" w:hanging="360"/>
      </w:pPr>
      <w:rPr>
        <w:rFonts w:ascii="Courier New" w:hAnsi="Courier New" w:hint="default"/>
      </w:rPr>
    </w:lvl>
    <w:lvl w:ilvl="2" w:tplc="8948F59E">
      <w:start w:val="1"/>
      <w:numFmt w:val="bullet"/>
      <w:lvlText w:val=""/>
      <w:lvlJc w:val="left"/>
      <w:pPr>
        <w:ind w:left="2160" w:hanging="360"/>
      </w:pPr>
      <w:rPr>
        <w:rFonts w:ascii="Wingdings" w:hAnsi="Wingdings" w:hint="default"/>
      </w:rPr>
    </w:lvl>
    <w:lvl w:ilvl="3" w:tplc="63F8AA60">
      <w:start w:val="1"/>
      <w:numFmt w:val="bullet"/>
      <w:lvlText w:val=""/>
      <w:lvlJc w:val="left"/>
      <w:pPr>
        <w:ind w:left="2880" w:hanging="360"/>
      </w:pPr>
      <w:rPr>
        <w:rFonts w:ascii="Symbol" w:hAnsi="Symbol" w:hint="default"/>
      </w:rPr>
    </w:lvl>
    <w:lvl w:ilvl="4" w:tplc="BCF0FE88">
      <w:start w:val="1"/>
      <w:numFmt w:val="bullet"/>
      <w:lvlText w:val="o"/>
      <w:lvlJc w:val="left"/>
      <w:pPr>
        <w:ind w:left="3600" w:hanging="360"/>
      </w:pPr>
      <w:rPr>
        <w:rFonts w:ascii="Courier New" w:hAnsi="Courier New" w:hint="default"/>
      </w:rPr>
    </w:lvl>
    <w:lvl w:ilvl="5" w:tplc="75CC9C96">
      <w:start w:val="1"/>
      <w:numFmt w:val="bullet"/>
      <w:lvlText w:val=""/>
      <w:lvlJc w:val="left"/>
      <w:pPr>
        <w:ind w:left="4320" w:hanging="360"/>
      </w:pPr>
      <w:rPr>
        <w:rFonts w:ascii="Wingdings" w:hAnsi="Wingdings" w:hint="default"/>
      </w:rPr>
    </w:lvl>
    <w:lvl w:ilvl="6" w:tplc="BF3602FC">
      <w:start w:val="1"/>
      <w:numFmt w:val="bullet"/>
      <w:lvlText w:val=""/>
      <w:lvlJc w:val="left"/>
      <w:pPr>
        <w:ind w:left="5040" w:hanging="360"/>
      </w:pPr>
      <w:rPr>
        <w:rFonts w:ascii="Symbol" w:hAnsi="Symbol" w:hint="default"/>
      </w:rPr>
    </w:lvl>
    <w:lvl w:ilvl="7" w:tplc="E5626470">
      <w:start w:val="1"/>
      <w:numFmt w:val="bullet"/>
      <w:lvlText w:val="o"/>
      <w:lvlJc w:val="left"/>
      <w:pPr>
        <w:ind w:left="5760" w:hanging="360"/>
      </w:pPr>
      <w:rPr>
        <w:rFonts w:ascii="Courier New" w:hAnsi="Courier New" w:hint="default"/>
      </w:rPr>
    </w:lvl>
    <w:lvl w:ilvl="8" w:tplc="A3905C88">
      <w:start w:val="1"/>
      <w:numFmt w:val="bullet"/>
      <w:lvlText w:val=""/>
      <w:lvlJc w:val="left"/>
      <w:pPr>
        <w:ind w:left="6480" w:hanging="360"/>
      </w:pPr>
      <w:rPr>
        <w:rFonts w:ascii="Wingdings" w:hAnsi="Wingdings" w:hint="default"/>
      </w:rPr>
    </w:lvl>
  </w:abstractNum>
  <w:abstractNum w:abstractNumId="2"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3" w15:restartNumberingAfterBreak="0">
    <w:nsid w:val="1E6D79B9"/>
    <w:multiLevelType w:val="hybridMultilevel"/>
    <w:tmpl w:val="F0CEB0B4"/>
    <w:lvl w:ilvl="0" w:tplc="64A464E2">
      <w:start w:val="1"/>
      <w:numFmt w:val="bullet"/>
      <w:lvlText w:val=""/>
      <w:lvlJc w:val="left"/>
      <w:pPr>
        <w:ind w:left="720" w:hanging="360"/>
      </w:pPr>
      <w:rPr>
        <w:rFonts w:ascii="Symbol" w:hAnsi="Symbol" w:hint="default"/>
      </w:rPr>
    </w:lvl>
    <w:lvl w:ilvl="1" w:tplc="B31CE896">
      <w:start w:val="1"/>
      <w:numFmt w:val="bullet"/>
      <w:lvlText w:val="o"/>
      <w:lvlJc w:val="left"/>
      <w:pPr>
        <w:ind w:left="1440" w:hanging="360"/>
      </w:pPr>
      <w:rPr>
        <w:rFonts w:ascii="Courier New" w:hAnsi="Courier New" w:hint="default"/>
      </w:rPr>
    </w:lvl>
    <w:lvl w:ilvl="2" w:tplc="6ECAB0AC">
      <w:start w:val="1"/>
      <w:numFmt w:val="bullet"/>
      <w:lvlText w:val=""/>
      <w:lvlJc w:val="left"/>
      <w:pPr>
        <w:ind w:left="2160" w:hanging="360"/>
      </w:pPr>
      <w:rPr>
        <w:rFonts w:ascii="Wingdings" w:hAnsi="Wingdings" w:hint="default"/>
      </w:rPr>
    </w:lvl>
    <w:lvl w:ilvl="3" w:tplc="2E72509E">
      <w:start w:val="1"/>
      <w:numFmt w:val="bullet"/>
      <w:lvlText w:val=""/>
      <w:lvlJc w:val="left"/>
      <w:pPr>
        <w:ind w:left="2880" w:hanging="360"/>
      </w:pPr>
      <w:rPr>
        <w:rFonts w:ascii="Symbol" w:hAnsi="Symbol" w:hint="default"/>
      </w:rPr>
    </w:lvl>
    <w:lvl w:ilvl="4" w:tplc="456CA1DC">
      <w:start w:val="1"/>
      <w:numFmt w:val="bullet"/>
      <w:lvlText w:val="o"/>
      <w:lvlJc w:val="left"/>
      <w:pPr>
        <w:ind w:left="3600" w:hanging="360"/>
      </w:pPr>
      <w:rPr>
        <w:rFonts w:ascii="Courier New" w:hAnsi="Courier New" w:hint="default"/>
      </w:rPr>
    </w:lvl>
    <w:lvl w:ilvl="5" w:tplc="F59297F0">
      <w:start w:val="1"/>
      <w:numFmt w:val="bullet"/>
      <w:lvlText w:val=""/>
      <w:lvlJc w:val="left"/>
      <w:pPr>
        <w:ind w:left="4320" w:hanging="360"/>
      </w:pPr>
      <w:rPr>
        <w:rFonts w:ascii="Wingdings" w:hAnsi="Wingdings" w:hint="default"/>
      </w:rPr>
    </w:lvl>
    <w:lvl w:ilvl="6" w:tplc="61B6F44C">
      <w:start w:val="1"/>
      <w:numFmt w:val="bullet"/>
      <w:lvlText w:val=""/>
      <w:lvlJc w:val="left"/>
      <w:pPr>
        <w:ind w:left="5040" w:hanging="360"/>
      </w:pPr>
      <w:rPr>
        <w:rFonts w:ascii="Symbol" w:hAnsi="Symbol" w:hint="default"/>
      </w:rPr>
    </w:lvl>
    <w:lvl w:ilvl="7" w:tplc="8D9ACD00">
      <w:start w:val="1"/>
      <w:numFmt w:val="bullet"/>
      <w:lvlText w:val="o"/>
      <w:lvlJc w:val="left"/>
      <w:pPr>
        <w:ind w:left="5760" w:hanging="360"/>
      </w:pPr>
      <w:rPr>
        <w:rFonts w:ascii="Courier New" w:hAnsi="Courier New" w:hint="default"/>
      </w:rPr>
    </w:lvl>
    <w:lvl w:ilvl="8" w:tplc="08F84D88">
      <w:start w:val="1"/>
      <w:numFmt w:val="bullet"/>
      <w:lvlText w:val=""/>
      <w:lvlJc w:val="left"/>
      <w:pPr>
        <w:ind w:left="6480" w:hanging="360"/>
      </w:pPr>
      <w:rPr>
        <w:rFonts w:ascii="Wingdings" w:hAnsi="Wingdings" w:hint="default"/>
      </w:rPr>
    </w:lvl>
  </w:abstractNum>
  <w:abstractNum w:abstractNumId="4"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5"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6"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C766BB"/>
    <w:multiLevelType w:val="hybridMultilevel"/>
    <w:tmpl w:val="9E407996"/>
    <w:lvl w:ilvl="0" w:tplc="126879B8">
      <w:start w:val="1"/>
      <w:numFmt w:val="bullet"/>
      <w:lvlText w:val=""/>
      <w:lvlJc w:val="left"/>
      <w:pPr>
        <w:ind w:left="720" w:hanging="360"/>
      </w:pPr>
      <w:rPr>
        <w:rFonts w:ascii="Symbol" w:hAnsi="Symbol" w:hint="default"/>
      </w:rPr>
    </w:lvl>
    <w:lvl w:ilvl="1" w:tplc="F8EC3D40">
      <w:start w:val="1"/>
      <w:numFmt w:val="bullet"/>
      <w:lvlText w:val="o"/>
      <w:lvlJc w:val="left"/>
      <w:pPr>
        <w:ind w:left="1440" w:hanging="360"/>
      </w:pPr>
      <w:rPr>
        <w:rFonts w:ascii="Courier New" w:hAnsi="Courier New" w:hint="default"/>
      </w:rPr>
    </w:lvl>
    <w:lvl w:ilvl="2" w:tplc="50B82F96">
      <w:start w:val="1"/>
      <w:numFmt w:val="bullet"/>
      <w:lvlText w:val=""/>
      <w:lvlJc w:val="left"/>
      <w:pPr>
        <w:ind w:left="2160" w:hanging="360"/>
      </w:pPr>
      <w:rPr>
        <w:rFonts w:ascii="Wingdings" w:hAnsi="Wingdings" w:hint="default"/>
      </w:rPr>
    </w:lvl>
    <w:lvl w:ilvl="3" w:tplc="1624A04C">
      <w:start w:val="1"/>
      <w:numFmt w:val="bullet"/>
      <w:lvlText w:val=""/>
      <w:lvlJc w:val="left"/>
      <w:pPr>
        <w:ind w:left="2880" w:hanging="360"/>
      </w:pPr>
      <w:rPr>
        <w:rFonts w:ascii="Symbol" w:hAnsi="Symbol" w:hint="default"/>
      </w:rPr>
    </w:lvl>
    <w:lvl w:ilvl="4" w:tplc="20385178">
      <w:start w:val="1"/>
      <w:numFmt w:val="bullet"/>
      <w:lvlText w:val="o"/>
      <w:lvlJc w:val="left"/>
      <w:pPr>
        <w:ind w:left="3600" w:hanging="360"/>
      </w:pPr>
      <w:rPr>
        <w:rFonts w:ascii="Courier New" w:hAnsi="Courier New" w:hint="default"/>
      </w:rPr>
    </w:lvl>
    <w:lvl w:ilvl="5" w:tplc="DCDA59CA">
      <w:start w:val="1"/>
      <w:numFmt w:val="bullet"/>
      <w:lvlText w:val=""/>
      <w:lvlJc w:val="left"/>
      <w:pPr>
        <w:ind w:left="4320" w:hanging="360"/>
      </w:pPr>
      <w:rPr>
        <w:rFonts w:ascii="Wingdings" w:hAnsi="Wingdings" w:hint="default"/>
      </w:rPr>
    </w:lvl>
    <w:lvl w:ilvl="6" w:tplc="04EE8CE4">
      <w:start w:val="1"/>
      <w:numFmt w:val="bullet"/>
      <w:lvlText w:val=""/>
      <w:lvlJc w:val="left"/>
      <w:pPr>
        <w:ind w:left="5040" w:hanging="360"/>
      </w:pPr>
      <w:rPr>
        <w:rFonts w:ascii="Symbol" w:hAnsi="Symbol" w:hint="default"/>
      </w:rPr>
    </w:lvl>
    <w:lvl w:ilvl="7" w:tplc="75A22714">
      <w:start w:val="1"/>
      <w:numFmt w:val="bullet"/>
      <w:lvlText w:val="o"/>
      <w:lvlJc w:val="left"/>
      <w:pPr>
        <w:ind w:left="5760" w:hanging="360"/>
      </w:pPr>
      <w:rPr>
        <w:rFonts w:ascii="Courier New" w:hAnsi="Courier New" w:hint="default"/>
      </w:rPr>
    </w:lvl>
    <w:lvl w:ilvl="8" w:tplc="73D29E7E">
      <w:start w:val="1"/>
      <w:numFmt w:val="bullet"/>
      <w:lvlText w:val=""/>
      <w:lvlJc w:val="left"/>
      <w:pPr>
        <w:ind w:left="6480" w:hanging="360"/>
      </w:pPr>
      <w:rPr>
        <w:rFonts w:ascii="Wingdings" w:hAnsi="Wingdings" w:hint="default"/>
      </w:rPr>
    </w:lvl>
  </w:abstractNum>
  <w:abstractNum w:abstractNumId="11"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5"/>
  </w:num>
  <w:num w:numId="5">
    <w:abstractNumId w:val="4"/>
  </w:num>
  <w:num w:numId="6">
    <w:abstractNumId w:val="0"/>
  </w:num>
  <w:num w:numId="7">
    <w:abstractNumId w:val="2"/>
  </w:num>
  <w:num w:numId="8">
    <w:abstractNumId w:val="8"/>
  </w:num>
  <w:num w:numId="9">
    <w:abstractNumId w:val="9"/>
  </w:num>
  <w:num w:numId="10">
    <w:abstractNumId w:val="6"/>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B7B51"/>
    <w:rsid w:val="000E4FA0"/>
    <w:rsid w:val="001010B9"/>
    <w:rsid w:val="001B52CA"/>
    <w:rsid w:val="001C7D34"/>
    <w:rsid w:val="001D55B0"/>
    <w:rsid w:val="0022411C"/>
    <w:rsid w:val="0026797A"/>
    <w:rsid w:val="0027587A"/>
    <w:rsid w:val="002A100A"/>
    <w:rsid w:val="002C20D0"/>
    <w:rsid w:val="002D66CC"/>
    <w:rsid w:val="00300812"/>
    <w:rsid w:val="00300D8D"/>
    <w:rsid w:val="00300F93"/>
    <w:rsid w:val="00327EB0"/>
    <w:rsid w:val="00344E90"/>
    <w:rsid w:val="003554B6"/>
    <w:rsid w:val="0035696D"/>
    <w:rsid w:val="00356BE5"/>
    <w:rsid w:val="00373050"/>
    <w:rsid w:val="003931A2"/>
    <w:rsid w:val="003B2D38"/>
    <w:rsid w:val="003F29AA"/>
    <w:rsid w:val="00458732"/>
    <w:rsid w:val="00472F13"/>
    <w:rsid w:val="00485E63"/>
    <w:rsid w:val="00496DD9"/>
    <w:rsid w:val="004C5ABE"/>
    <w:rsid w:val="004F6C8F"/>
    <w:rsid w:val="00506FC3"/>
    <w:rsid w:val="00551272"/>
    <w:rsid w:val="0059714F"/>
    <w:rsid w:val="005A7631"/>
    <w:rsid w:val="005D6523"/>
    <w:rsid w:val="006231FB"/>
    <w:rsid w:val="00665A1E"/>
    <w:rsid w:val="00686AA4"/>
    <w:rsid w:val="006B3525"/>
    <w:rsid w:val="00770DA0"/>
    <w:rsid w:val="007911BE"/>
    <w:rsid w:val="00800077"/>
    <w:rsid w:val="00800630"/>
    <w:rsid w:val="00822CEC"/>
    <w:rsid w:val="00863AC2"/>
    <w:rsid w:val="008707C4"/>
    <w:rsid w:val="00872B58"/>
    <w:rsid w:val="00872BA4"/>
    <w:rsid w:val="00887339"/>
    <w:rsid w:val="008A7852"/>
    <w:rsid w:val="008C528B"/>
    <w:rsid w:val="008E65C5"/>
    <w:rsid w:val="00963CE4"/>
    <w:rsid w:val="00976EA9"/>
    <w:rsid w:val="00980D00"/>
    <w:rsid w:val="009A23AC"/>
    <w:rsid w:val="009B30AE"/>
    <w:rsid w:val="009C5702"/>
    <w:rsid w:val="00A015AF"/>
    <w:rsid w:val="00A106D4"/>
    <w:rsid w:val="00A42905"/>
    <w:rsid w:val="00AB54F2"/>
    <w:rsid w:val="00AD794D"/>
    <w:rsid w:val="00AF0B40"/>
    <w:rsid w:val="00B30905"/>
    <w:rsid w:val="00B51C91"/>
    <w:rsid w:val="00B542E4"/>
    <w:rsid w:val="00B56658"/>
    <w:rsid w:val="00B77D28"/>
    <w:rsid w:val="00B87EF5"/>
    <w:rsid w:val="00B9167F"/>
    <w:rsid w:val="00BB0B34"/>
    <w:rsid w:val="00BB6EA2"/>
    <w:rsid w:val="00BC1904"/>
    <w:rsid w:val="00BD5AD6"/>
    <w:rsid w:val="00BD6B54"/>
    <w:rsid w:val="00C06C4E"/>
    <w:rsid w:val="00C41661"/>
    <w:rsid w:val="00C43BD2"/>
    <w:rsid w:val="00C47BF3"/>
    <w:rsid w:val="00C53B82"/>
    <w:rsid w:val="00CA1046"/>
    <w:rsid w:val="00CA3BE5"/>
    <w:rsid w:val="00CB4075"/>
    <w:rsid w:val="00CD2C98"/>
    <w:rsid w:val="00D330A6"/>
    <w:rsid w:val="00D71053"/>
    <w:rsid w:val="00D762C9"/>
    <w:rsid w:val="00D9277C"/>
    <w:rsid w:val="00DB37A5"/>
    <w:rsid w:val="00DC5156"/>
    <w:rsid w:val="00DD086F"/>
    <w:rsid w:val="00DE49CF"/>
    <w:rsid w:val="00E0137B"/>
    <w:rsid w:val="00E441BE"/>
    <w:rsid w:val="00E63F8D"/>
    <w:rsid w:val="00EA4E02"/>
    <w:rsid w:val="00EC75DD"/>
    <w:rsid w:val="00EF0C9F"/>
    <w:rsid w:val="00F14F43"/>
    <w:rsid w:val="00F46949"/>
    <w:rsid w:val="00F84723"/>
    <w:rsid w:val="00FB5DC0"/>
    <w:rsid w:val="00FC0AA2"/>
    <w:rsid w:val="017A6FA3"/>
    <w:rsid w:val="01ED20D3"/>
    <w:rsid w:val="02251F92"/>
    <w:rsid w:val="0365F255"/>
    <w:rsid w:val="044F1072"/>
    <w:rsid w:val="045BF1AD"/>
    <w:rsid w:val="05A836D4"/>
    <w:rsid w:val="0643A2AB"/>
    <w:rsid w:val="06953851"/>
    <w:rsid w:val="07C9D6E0"/>
    <w:rsid w:val="07D04B2D"/>
    <w:rsid w:val="081C60CA"/>
    <w:rsid w:val="082CC511"/>
    <w:rsid w:val="09335D90"/>
    <w:rsid w:val="0A003D7F"/>
    <w:rsid w:val="0A2CDC34"/>
    <w:rsid w:val="0AAD7BC6"/>
    <w:rsid w:val="0ABE3CF3"/>
    <w:rsid w:val="0B11FEFA"/>
    <w:rsid w:val="0B773283"/>
    <w:rsid w:val="0B8E293D"/>
    <w:rsid w:val="0B99F1C1"/>
    <w:rsid w:val="0C2DCDBC"/>
    <w:rsid w:val="0C34B4F6"/>
    <w:rsid w:val="0C8156BD"/>
    <w:rsid w:val="0CD70CBB"/>
    <w:rsid w:val="0D0A4BA7"/>
    <w:rsid w:val="0E04191D"/>
    <w:rsid w:val="0E16BC08"/>
    <w:rsid w:val="0EBFA8C5"/>
    <w:rsid w:val="0ECBA6C1"/>
    <w:rsid w:val="0F2C8211"/>
    <w:rsid w:val="0FF4EC02"/>
    <w:rsid w:val="100626D9"/>
    <w:rsid w:val="1039C8F6"/>
    <w:rsid w:val="10508FBE"/>
    <w:rsid w:val="11458547"/>
    <w:rsid w:val="118102CB"/>
    <w:rsid w:val="118B1692"/>
    <w:rsid w:val="12CF9C68"/>
    <w:rsid w:val="12ECAFE9"/>
    <w:rsid w:val="13031F34"/>
    <w:rsid w:val="1304DF78"/>
    <w:rsid w:val="134DEFB0"/>
    <w:rsid w:val="137D2887"/>
    <w:rsid w:val="13DAC150"/>
    <w:rsid w:val="143B419E"/>
    <w:rsid w:val="148FBD78"/>
    <w:rsid w:val="15CE0E12"/>
    <w:rsid w:val="15E78A03"/>
    <w:rsid w:val="1651B394"/>
    <w:rsid w:val="1666A711"/>
    <w:rsid w:val="16F3CB71"/>
    <w:rsid w:val="1711FEE5"/>
    <w:rsid w:val="17495722"/>
    <w:rsid w:val="19776AF4"/>
    <w:rsid w:val="19CC8DFF"/>
    <w:rsid w:val="1ABF8DB2"/>
    <w:rsid w:val="1B7C5E0B"/>
    <w:rsid w:val="1BB44B0B"/>
    <w:rsid w:val="1E2A045C"/>
    <w:rsid w:val="1E97D5E6"/>
    <w:rsid w:val="1F270DDB"/>
    <w:rsid w:val="1F7457EA"/>
    <w:rsid w:val="1F95CBF4"/>
    <w:rsid w:val="1F9C634C"/>
    <w:rsid w:val="1FD708CF"/>
    <w:rsid w:val="201CF74B"/>
    <w:rsid w:val="213833AD"/>
    <w:rsid w:val="21966300"/>
    <w:rsid w:val="234DB5E1"/>
    <w:rsid w:val="236B4709"/>
    <w:rsid w:val="2458AF87"/>
    <w:rsid w:val="255201E7"/>
    <w:rsid w:val="25807E8A"/>
    <w:rsid w:val="25EDCB23"/>
    <w:rsid w:val="275154E9"/>
    <w:rsid w:val="27576571"/>
    <w:rsid w:val="2822FAC6"/>
    <w:rsid w:val="282E2091"/>
    <w:rsid w:val="2AA4BDA7"/>
    <w:rsid w:val="2AC8B079"/>
    <w:rsid w:val="2AD1A3FE"/>
    <w:rsid w:val="2B71373A"/>
    <w:rsid w:val="2C6CDE68"/>
    <w:rsid w:val="2D51159C"/>
    <w:rsid w:val="2D7FEF55"/>
    <w:rsid w:val="2E410E00"/>
    <w:rsid w:val="2E477674"/>
    <w:rsid w:val="2E952437"/>
    <w:rsid w:val="2EECE5FD"/>
    <w:rsid w:val="2FF0FDBA"/>
    <w:rsid w:val="3041410F"/>
    <w:rsid w:val="30CDEACE"/>
    <w:rsid w:val="30E407B3"/>
    <w:rsid w:val="31D54F44"/>
    <w:rsid w:val="328E971D"/>
    <w:rsid w:val="32B1B4D3"/>
    <w:rsid w:val="32E87EF7"/>
    <w:rsid w:val="3378E1D1"/>
    <w:rsid w:val="351280C1"/>
    <w:rsid w:val="38171751"/>
    <w:rsid w:val="386E153C"/>
    <w:rsid w:val="38B71D6A"/>
    <w:rsid w:val="39648390"/>
    <w:rsid w:val="396D877D"/>
    <w:rsid w:val="39725B81"/>
    <w:rsid w:val="39F1CCBC"/>
    <w:rsid w:val="3A6FAE9D"/>
    <w:rsid w:val="3C0A79D6"/>
    <w:rsid w:val="3C0B83B4"/>
    <w:rsid w:val="3CD7CCF5"/>
    <w:rsid w:val="3CE68E41"/>
    <w:rsid w:val="3D2BDA56"/>
    <w:rsid w:val="3E64F3E0"/>
    <w:rsid w:val="3EA8BBDF"/>
    <w:rsid w:val="3EFAF9E1"/>
    <w:rsid w:val="404F61D3"/>
    <w:rsid w:val="41B2989F"/>
    <w:rsid w:val="427FB747"/>
    <w:rsid w:val="428E0291"/>
    <w:rsid w:val="433DFD85"/>
    <w:rsid w:val="43596AE6"/>
    <w:rsid w:val="439FDF39"/>
    <w:rsid w:val="43F249A9"/>
    <w:rsid w:val="45222427"/>
    <w:rsid w:val="45C3E30F"/>
    <w:rsid w:val="46837A4F"/>
    <w:rsid w:val="476173B4"/>
    <w:rsid w:val="47C83790"/>
    <w:rsid w:val="47CEB289"/>
    <w:rsid w:val="48378762"/>
    <w:rsid w:val="48E7518B"/>
    <w:rsid w:val="49F4EE38"/>
    <w:rsid w:val="4A194456"/>
    <w:rsid w:val="4A54C733"/>
    <w:rsid w:val="4A9B697A"/>
    <w:rsid w:val="4AB86F41"/>
    <w:rsid w:val="4B11191C"/>
    <w:rsid w:val="4B4F307A"/>
    <w:rsid w:val="4BBB7754"/>
    <w:rsid w:val="4CCE58BB"/>
    <w:rsid w:val="4D7D2065"/>
    <w:rsid w:val="4DC759FD"/>
    <w:rsid w:val="4E6A8F31"/>
    <w:rsid w:val="4F3BF885"/>
    <w:rsid w:val="4FEDB4EA"/>
    <w:rsid w:val="507C7E08"/>
    <w:rsid w:val="5111616E"/>
    <w:rsid w:val="51370D45"/>
    <w:rsid w:val="51F994DB"/>
    <w:rsid w:val="5216D46F"/>
    <w:rsid w:val="5279CFC6"/>
    <w:rsid w:val="52BF22C0"/>
    <w:rsid w:val="53EEDAD6"/>
    <w:rsid w:val="547E444A"/>
    <w:rsid w:val="547FFAE0"/>
    <w:rsid w:val="557B9F8C"/>
    <w:rsid w:val="557DB8F8"/>
    <w:rsid w:val="5625A594"/>
    <w:rsid w:val="56277CA2"/>
    <w:rsid w:val="56B4A16F"/>
    <w:rsid w:val="585071D0"/>
    <w:rsid w:val="5878D708"/>
    <w:rsid w:val="59405C85"/>
    <w:rsid w:val="594A8349"/>
    <w:rsid w:val="594D45D0"/>
    <w:rsid w:val="59BADF24"/>
    <w:rsid w:val="5ADC2CE6"/>
    <w:rsid w:val="5BB66BB1"/>
    <w:rsid w:val="5BCF6986"/>
    <w:rsid w:val="5C37FD43"/>
    <w:rsid w:val="5CBBFCC9"/>
    <w:rsid w:val="5E4C9A5B"/>
    <w:rsid w:val="5F88197C"/>
    <w:rsid w:val="6002AB7F"/>
    <w:rsid w:val="6010CC80"/>
    <w:rsid w:val="6079BFEB"/>
    <w:rsid w:val="62059022"/>
    <w:rsid w:val="62289522"/>
    <w:rsid w:val="6240FA37"/>
    <w:rsid w:val="634338B4"/>
    <w:rsid w:val="6444DFAF"/>
    <w:rsid w:val="6551DB58"/>
    <w:rsid w:val="6575746A"/>
    <w:rsid w:val="65943897"/>
    <w:rsid w:val="65DFD2A5"/>
    <w:rsid w:val="65E9D2E5"/>
    <w:rsid w:val="66777201"/>
    <w:rsid w:val="66D90145"/>
    <w:rsid w:val="67A7E7A3"/>
    <w:rsid w:val="693027CC"/>
    <w:rsid w:val="695994BF"/>
    <w:rsid w:val="695A588D"/>
    <w:rsid w:val="6A5506BC"/>
    <w:rsid w:val="6AF553B1"/>
    <w:rsid w:val="6B2CB8EF"/>
    <w:rsid w:val="6B5ECC4A"/>
    <w:rsid w:val="6BE21697"/>
    <w:rsid w:val="6C8AFDEF"/>
    <w:rsid w:val="6CBDC2CC"/>
    <w:rsid w:val="6D11706C"/>
    <w:rsid w:val="6D1B4991"/>
    <w:rsid w:val="6D33F6A2"/>
    <w:rsid w:val="6E3A6498"/>
    <w:rsid w:val="6E79A38F"/>
    <w:rsid w:val="6F8C3B8E"/>
    <w:rsid w:val="6F923161"/>
    <w:rsid w:val="6F9DEAC1"/>
    <w:rsid w:val="700CE321"/>
    <w:rsid w:val="70350FDD"/>
    <w:rsid w:val="70622CEC"/>
    <w:rsid w:val="7222B9C5"/>
    <w:rsid w:val="73B2F60B"/>
    <w:rsid w:val="73F7DBF8"/>
    <w:rsid w:val="75B1BA69"/>
    <w:rsid w:val="761FB338"/>
    <w:rsid w:val="768742F6"/>
    <w:rsid w:val="790F151A"/>
    <w:rsid w:val="79577504"/>
    <w:rsid w:val="798C1E3F"/>
    <w:rsid w:val="79F41046"/>
    <w:rsid w:val="7ADECC18"/>
    <w:rsid w:val="7B475C77"/>
    <w:rsid w:val="7BDE2E06"/>
    <w:rsid w:val="7D5128D7"/>
    <w:rsid w:val="7D7C76F4"/>
    <w:rsid w:val="7D880A16"/>
    <w:rsid w:val="7DF0AAE8"/>
    <w:rsid w:val="7F204854"/>
    <w:rsid w:val="7FE7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46949"/>
    <w:rPr>
      <w:b/>
      <w:bCs/>
    </w:rPr>
  </w:style>
  <w:style w:type="character" w:customStyle="1" w:styleId="CommentSubjectChar">
    <w:name w:val="Comment Subject Char"/>
    <w:basedOn w:val="CommentTextChar"/>
    <w:link w:val="CommentSubject"/>
    <w:uiPriority w:val="99"/>
    <w:semiHidden/>
    <w:rsid w:val="00F46949"/>
    <w:rPr>
      <w:b/>
      <w:bCs/>
      <w:sz w:val="20"/>
      <w:szCs w:val="20"/>
    </w:rPr>
  </w:style>
  <w:style w:type="paragraph" w:styleId="NormalWeb">
    <w:name w:val="Normal (Web)"/>
    <w:basedOn w:val="Normal"/>
    <w:uiPriority w:val="99"/>
    <w:semiHidden/>
    <w:unhideWhenUsed/>
    <w:rsid w:val="0080063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martsheet.com/b/publish?EQBCT=f3071e8bc3114363b078314a6e57726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1B75BC"/>
                </a:solidFill>
              </a:rPr>
              <a:t>Данные по показателю B4A (временное отстранение / исключение) в штате Орегон</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B4A!$A$2</c:f>
              <c:strCache>
                <c:ptCount val="1"/>
                <c:pt idx="0">
                  <c:v>Data</c:v>
                </c:pt>
              </c:strCache>
            </c:strRef>
          </c:tx>
          <c:spPr>
            <a:ln w="28575" cap="rnd">
              <a:solidFill>
                <a:srgbClr val="1B75BC"/>
              </a:solidFill>
              <a:round/>
            </a:ln>
            <a:effectLst/>
          </c:spPr>
          <c:marker>
            <c:symbol val="none"/>
          </c:marker>
          <c:dLbls>
            <c:dLbl>
              <c:idx val="0"/>
              <c:layout>
                <c:manualLayout>
                  <c:x val="-4.4456279584309387E-2"/>
                  <c:y val="-3.644079391520758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451-427F-89F8-A20F0FD84EFE}"/>
                </c:ext>
              </c:extLst>
            </c:dLbl>
            <c:dLbl>
              <c:idx val="1"/>
              <c:layout>
                <c:manualLayout>
                  <c:x val="-5.6029368281796874E-2"/>
                  <c:y val="-4.278244829803978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451-427F-89F8-A20F0FD84EFE}"/>
                </c:ext>
              </c:extLst>
            </c:dLbl>
            <c:dLbl>
              <c:idx val="3"/>
              <c:layout>
                <c:manualLayout>
                  <c:x val="-3.4339943310281895E-2"/>
                  <c:y val="6.502567621010750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451-427F-89F8-A20F0FD84EFE}"/>
                </c:ext>
              </c:extLst>
            </c:dLbl>
            <c:dLbl>
              <c:idx val="4"/>
              <c:layout>
                <c:manualLayout>
                  <c:x val="-5.0526081348725882E-2"/>
                  <c:y val="3.64882314873625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451-427F-89F8-A20F0FD84EF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B4A!$B$1:$H$1</c:f>
              <c:numCache>
                <c:formatCode>General</c:formatCode>
                <c:ptCount val="7"/>
                <c:pt idx="0">
                  <c:v>2014</c:v>
                </c:pt>
                <c:pt idx="1">
                  <c:v>2015</c:v>
                </c:pt>
                <c:pt idx="3">
                  <c:v>2016</c:v>
                </c:pt>
                <c:pt idx="4">
                  <c:v>2017</c:v>
                </c:pt>
                <c:pt idx="5">
                  <c:v>2018</c:v>
                </c:pt>
                <c:pt idx="6">
                  <c:v>2019</c:v>
                </c:pt>
              </c:numCache>
            </c:numRef>
          </c:cat>
          <c:val>
            <c:numRef>
              <c:f>B4A!$B$2:$H$2</c:f>
              <c:numCache>
                <c:formatCode>0.00%</c:formatCode>
                <c:ptCount val="7"/>
                <c:pt idx="0">
                  <c:v>0.1371</c:v>
                </c:pt>
                <c:pt idx="1">
                  <c:v>8.6300000000000002E-2</c:v>
                </c:pt>
                <c:pt idx="3">
                  <c:v>0.62960000000000005</c:v>
                </c:pt>
                <c:pt idx="4">
                  <c:v>0.66669999999999996</c:v>
                </c:pt>
                <c:pt idx="5">
                  <c:v>0.53129999999999999</c:v>
                </c:pt>
                <c:pt idx="6">
                  <c:v>0.6774</c:v>
                </c:pt>
              </c:numCache>
            </c:numRef>
          </c:val>
          <c:smooth val="0"/>
          <c:extLst>
            <c:ext xmlns:c16="http://schemas.microsoft.com/office/drawing/2014/chart" uri="{C3380CC4-5D6E-409C-BE32-E72D297353CC}">
              <c16:uniqueId val="{00000004-5451-427F-89F8-A20F0FD84EFE}"/>
            </c:ext>
          </c:extLst>
        </c:ser>
        <c:ser>
          <c:idx val="1"/>
          <c:order val="1"/>
          <c:tx>
            <c:strRef>
              <c:f>B4A!$A$3</c:f>
              <c:strCache>
                <c:ptCount val="1"/>
                <c:pt idx="0">
                  <c:v>Target &lt;=</c:v>
                </c:pt>
              </c:strCache>
            </c:strRef>
          </c:tx>
          <c:spPr>
            <a:ln w="28575" cap="rnd">
              <a:solidFill>
                <a:srgbClr val="408740"/>
              </a:solidFill>
              <a:round/>
            </a:ln>
            <a:effectLst/>
          </c:spPr>
          <c:marker>
            <c:symbol val="none"/>
          </c:marker>
          <c:dLbls>
            <c:dLbl>
              <c:idx val="0"/>
              <c:layout>
                <c:manualLayout>
                  <c:x val="-4.046024709987741E-2"/>
                  <c:y val="-2.69283123409594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451-427F-89F8-A20F0FD84EFE}"/>
                </c:ext>
              </c:extLst>
            </c:dLbl>
            <c:dLbl>
              <c:idx val="1"/>
              <c:layout>
                <c:manualLayout>
                  <c:x val="-1.011123827779495E-2"/>
                  <c:y val="4.779959573201667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451-427F-89F8-A20F0FD84EFE}"/>
                </c:ext>
              </c:extLst>
            </c:dLbl>
            <c:dLbl>
              <c:idx val="4"/>
              <c:layout>
                <c:manualLayout>
                  <c:x val="-3.2933692912000941E-2"/>
                  <c:y val="-4.278244829803978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451-427F-89F8-A20F0FD84EFE}"/>
                </c:ext>
              </c:extLst>
            </c:dLbl>
            <c:dLbl>
              <c:idx val="6"/>
              <c:layout>
                <c:manualLayout>
                  <c:x val="-3.4956960166806439E-2"/>
                  <c:y val="2.697574991311428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451-427F-89F8-A20F0FD84EF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B4A!$B$1:$H$1</c:f>
              <c:numCache>
                <c:formatCode>General</c:formatCode>
                <c:ptCount val="7"/>
                <c:pt idx="0">
                  <c:v>2014</c:v>
                </c:pt>
                <c:pt idx="1">
                  <c:v>2015</c:v>
                </c:pt>
                <c:pt idx="3">
                  <c:v>2016</c:v>
                </c:pt>
                <c:pt idx="4">
                  <c:v>2017</c:v>
                </c:pt>
                <c:pt idx="5">
                  <c:v>2018</c:v>
                </c:pt>
                <c:pt idx="6">
                  <c:v>2019</c:v>
                </c:pt>
              </c:numCache>
            </c:numRef>
          </c:cat>
          <c:val>
            <c:numRef>
              <c:f>B4A!$B$3:$H$3</c:f>
              <c:numCache>
                <c:formatCode>0.00%</c:formatCode>
                <c:ptCount val="7"/>
                <c:pt idx="0">
                  <c:v>7.1999999999999995E-2</c:v>
                </c:pt>
                <c:pt idx="1">
                  <c:v>6.7000000000000004E-2</c:v>
                </c:pt>
                <c:pt idx="3">
                  <c:v>0.6865</c:v>
                </c:pt>
                <c:pt idx="4">
                  <c:v>0.68149999999999999</c:v>
                </c:pt>
                <c:pt idx="5">
                  <c:v>0.67649999999999999</c:v>
                </c:pt>
                <c:pt idx="6">
                  <c:v>0.62</c:v>
                </c:pt>
              </c:numCache>
            </c:numRef>
          </c:val>
          <c:smooth val="0"/>
          <c:extLst>
            <c:ext xmlns:c16="http://schemas.microsoft.com/office/drawing/2014/chart" uri="{C3380CC4-5D6E-409C-BE32-E72D297353CC}">
              <c16:uniqueId val="{00000009-5451-427F-89F8-A20F0FD84EFE}"/>
            </c:ext>
          </c:extLst>
        </c:ser>
        <c:ser>
          <c:idx val="2"/>
          <c:order val="2"/>
          <c:tx>
            <c:strRef>
              <c:f>B4A!$A$4</c:f>
              <c:strCache>
                <c:ptCount val="1"/>
                <c:pt idx="0">
                  <c:v>Phase</c:v>
                </c:pt>
              </c:strCache>
            </c:strRef>
          </c:tx>
          <c:spPr>
            <a:ln w="28575" cap="rnd">
              <a:solidFill>
                <a:schemeClr val="accent3"/>
              </a:solidFill>
              <a:round/>
            </a:ln>
            <a:effectLst/>
          </c:spPr>
          <c:marker>
            <c:symbol val="none"/>
          </c:marker>
          <c:dLbls>
            <c:delete val="1"/>
          </c:dLbls>
          <c:cat>
            <c:numRef>
              <c:f>B4A!$B$1:$H$1</c:f>
              <c:numCache>
                <c:formatCode>General</c:formatCode>
                <c:ptCount val="7"/>
                <c:pt idx="0">
                  <c:v>2014</c:v>
                </c:pt>
                <c:pt idx="1">
                  <c:v>2015</c:v>
                </c:pt>
                <c:pt idx="3">
                  <c:v>2016</c:v>
                </c:pt>
                <c:pt idx="4">
                  <c:v>2017</c:v>
                </c:pt>
                <c:pt idx="5">
                  <c:v>2018</c:v>
                </c:pt>
                <c:pt idx="6">
                  <c:v>2019</c:v>
                </c:pt>
              </c:numCache>
            </c:numRef>
          </c:cat>
          <c:val>
            <c:numRef>
              <c:f>B4A!$B$4:$H$4</c:f>
              <c:numCache>
                <c:formatCode>General</c:formatCode>
                <c:ptCount val="7"/>
                <c:pt idx="2" formatCode="0%">
                  <c:v>1</c:v>
                </c:pt>
              </c:numCache>
            </c:numRef>
          </c:val>
          <c:smooth val="0"/>
          <c:extLst>
            <c:ext xmlns:c16="http://schemas.microsoft.com/office/drawing/2014/chart" uri="{C3380CC4-5D6E-409C-BE32-E72D297353CC}">
              <c16:uniqueId val="{0000000A-5451-427F-89F8-A20F0FD84EFE}"/>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0.1"/>
      </c:valAx>
      <c:spPr>
        <a:noFill/>
        <a:ln>
          <a:noFill/>
        </a:ln>
        <a:effectLst/>
      </c:spPr>
    </c:plotArea>
    <c:legend>
      <c:legendPos val="b"/>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2021-12-17T00:31:55+00:00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3A2D80-27E5-443F-A375-5075015F8AA5}"/>
</file>

<file path=customXml/itemProps2.xml><?xml version="1.0" encoding="utf-8"?>
<ds:datastoreItem xmlns:ds="http://schemas.openxmlformats.org/officeDocument/2006/customXml" ds:itemID="{85CC21F9-4EE9-4382-8358-CB255CA6644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47477c3-cea5-4644-a2b9-72f12b741c16"/>
    <ds:schemaRef ds:uri="http://purl.org/dc/terms/"/>
    <ds:schemaRef ds:uri="7f305cf4-7e8c-42e6-816c-ef6b646f0adc"/>
    <ds:schemaRef ds:uri="http://www.w3.org/XML/1998/namespace"/>
  </ds:schemaRefs>
</ds:datastoreItem>
</file>

<file path=customXml/itemProps3.xml><?xml version="1.0" encoding="utf-8"?>
<ds:datastoreItem xmlns:ds="http://schemas.openxmlformats.org/officeDocument/2006/customXml" ds:itemID="{04F8720C-5962-4E5E-8C0C-E9B105BD9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2021-12-16T17:18:00Z</dcterms:created>
  <dcterms:modified xsi:type="dcterms:W3CDTF">2021-12-16T17:18:00Z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