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226187FF" w14:paraId="5531DE85" w14:textId="77777777" w:rsidTr="00A25114">
        <w:trPr>
          <w:tblHeader/>
        </w:trPr>
        <w:tc>
          <w:tcPr>
            <w:tcW w:w="2160" w:type="dxa"/>
            <w:vAlign w:val="center"/>
          </w:tcPr>
          <w:p w14:paraId="55A78B50" w14:textId="77777777" w:rsidR="226187FF" w:rsidRDefault="226187FF" w:rsidP="226187FF">
            <w:pPr>
              <w:jc w:val="center"/>
              <w:rPr>
                <w:rFonts w:eastAsia="Arial"/>
                <w:b/>
                <w:bCs/>
                <w:color w:val="082A75"/>
                <w:sz w:val="36"/>
                <w:szCs w:val="36"/>
              </w:rPr>
            </w:pPr>
            <w:r>
              <w:rPr>
                <w:noProof/>
                <w:color w:val="2B579A"/>
                <w:shd w:val="clear" w:color="auto" w:fill="E6E6E6"/>
              </w:rPr>
              <w:drawing>
                <wp:inline distT="0" distB="0" distL="0" distR="0" wp14:anchorId="35B6AA04" wp14:editId="4BF3D004">
                  <wp:extent cx="1077554" cy="1145969"/>
                  <wp:effectExtent l="0" t="0" r="8890" b="0"/>
                  <wp:docPr id="1607847959"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224D2F8" w14:textId="77777777" w:rsidR="226187FF" w:rsidRPr="007E66CA" w:rsidRDefault="226187FF" w:rsidP="226187FF">
            <w:pPr>
              <w:pStyle w:val="Title"/>
              <w:spacing w:after="200"/>
              <w:jc w:val="center"/>
              <w:rPr>
                <w:rFonts w:asciiTheme="minorHAnsi" w:eastAsia="Arial" w:hAnsiTheme="minorHAnsi" w:cstheme="minorBidi"/>
                <w:b/>
                <w:bCs/>
                <w:color w:val="1B75BC"/>
                <w:sz w:val="48"/>
                <w:szCs w:val="48"/>
              </w:rPr>
            </w:pPr>
            <w:r w:rsidRPr="007E66CA">
              <w:rPr>
                <w:rFonts w:asciiTheme="minorHAnsi" w:eastAsia="Arial" w:hAnsiTheme="minorHAnsi" w:cstheme="minorBidi"/>
                <w:b/>
                <w:bCs/>
                <w:color w:val="1B75BC"/>
                <w:sz w:val="48"/>
                <w:szCs w:val="48"/>
              </w:rPr>
              <w:t>State Performance Plan (SPP)</w:t>
            </w:r>
          </w:p>
          <w:p w14:paraId="4B342FD8" w14:textId="4B3797DB" w:rsidR="226187FF" w:rsidRPr="007E66CA" w:rsidRDefault="226187FF" w:rsidP="226187FF">
            <w:pPr>
              <w:pStyle w:val="Title"/>
              <w:spacing w:after="200"/>
              <w:jc w:val="center"/>
              <w:rPr>
                <w:rFonts w:asciiTheme="minorHAnsi" w:eastAsia="Arial" w:hAnsiTheme="minorHAnsi" w:cstheme="minorBidi"/>
                <w:b/>
                <w:bCs/>
                <w:color w:val="1B75BC"/>
                <w:sz w:val="48"/>
                <w:szCs w:val="48"/>
              </w:rPr>
            </w:pPr>
            <w:r w:rsidRPr="007E66CA">
              <w:rPr>
                <w:rFonts w:asciiTheme="minorHAnsi" w:eastAsia="Arial" w:hAnsiTheme="minorHAnsi" w:cstheme="minorBidi"/>
                <w:b/>
                <w:bCs/>
                <w:color w:val="1B75BC"/>
                <w:sz w:val="48"/>
                <w:szCs w:val="48"/>
              </w:rPr>
              <w:t>Fact Sheet</w:t>
            </w:r>
          </w:p>
          <w:p w14:paraId="33BA0D48" w14:textId="74F745EB" w:rsidR="226187FF" w:rsidRDefault="226187FF" w:rsidP="226187FF">
            <w:pPr>
              <w:pStyle w:val="Title"/>
              <w:spacing w:after="200"/>
              <w:jc w:val="center"/>
              <w:rPr>
                <w:rFonts w:asciiTheme="minorHAnsi" w:eastAsia="Arial" w:hAnsiTheme="minorHAnsi" w:cstheme="minorBidi"/>
                <w:b/>
                <w:bCs/>
                <w:color w:val="082A75"/>
                <w:sz w:val="32"/>
                <w:szCs w:val="32"/>
              </w:rPr>
            </w:pPr>
            <w:r w:rsidRPr="007E66CA">
              <w:rPr>
                <w:rFonts w:asciiTheme="minorHAnsi" w:eastAsia="Arial" w:hAnsiTheme="minorHAnsi" w:cstheme="minorBidi"/>
                <w:b/>
                <w:bCs/>
                <w:color w:val="1B75BC"/>
                <w:sz w:val="32"/>
                <w:szCs w:val="32"/>
              </w:rPr>
              <w:t>Indicator B6: Preschool Environments</w:t>
            </w:r>
          </w:p>
        </w:tc>
      </w:tr>
      <w:tr w:rsidR="226187FF" w14:paraId="7A462BA3" w14:textId="77777777" w:rsidTr="226187FF">
        <w:trPr>
          <w:trHeight w:val="72"/>
        </w:trPr>
        <w:tc>
          <w:tcPr>
            <w:tcW w:w="2484" w:type="dxa"/>
            <w:gridSpan w:val="2"/>
            <w:shd w:val="clear" w:color="auto" w:fill="9F2065"/>
          </w:tcPr>
          <w:p w14:paraId="324A88BF" w14:textId="77777777" w:rsidR="226187FF" w:rsidRDefault="226187FF" w:rsidP="226187FF">
            <w:pPr>
              <w:rPr>
                <w:noProof/>
              </w:rPr>
            </w:pPr>
          </w:p>
        </w:tc>
        <w:tc>
          <w:tcPr>
            <w:tcW w:w="2484" w:type="dxa"/>
            <w:shd w:val="clear" w:color="auto" w:fill="E26B2A"/>
          </w:tcPr>
          <w:p w14:paraId="766BF308"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1B75BC"/>
          </w:tcPr>
          <w:p w14:paraId="64CE9337"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408740"/>
          </w:tcPr>
          <w:p w14:paraId="5A804B9A" w14:textId="46579079" w:rsidR="226187FF" w:rsidRDefault="226187FF" w:rsidP="226187FF">
            <w:pPr>
              <w:pStyle w:val="Title"/>
              <w:rPr>
                <w:rFonts w:asciiTheme="minorHAnsi" w:eastAsia="Arial" w:hAnsiTheme="minorHAnsi" w:cstheme="minorBidi"/>
                <w:b/>
                <w:bCs/>
                <w:color w:val="082974"/>
                <w:sz w:val="22"/>
                <w:szCs w:val="22"/>
              </w:rPr>
            </w:pPr>
          </w:p>
        </w:tc>
      </w:tr>
    </w:tbl>
    <w:p w14:paraId="21678DA0" w14:textId="0FE10594" w:rsidR="3B25DF22" w:rsidRDefault="3B25DF22" w:rsidP="226187FF">
      <w:pPr>
        <w:pStyle w:val="Heading1"/>
        <w:spacing w:before="0"/>
        <w:rPr>
          <w:rFonts w:ascii="Calibri" w:eastAsia="Calibri" w:hAnsi="Calibri" w:cs="Calibri"/>
        </w:rPr>
      </w:pPr>
      <w:r w:rsidRPr="77603532">
        <w:rPr>
          <w:rFonts w:ascii="Calibri" w:eastAsia="Calibri" w:hAnsi="Calibri" w:cs="Calibri"/>
          <w:b/>
          <w:bCs/>
        </w:rPr>
        <w:t>Oregon State Performance Plan</w:t>
      </w:r>
    </w:p>
    <w:p w14:paraId="78E93DE2" w14:textId="7E29F8BA" w:rsidR="3B25DF22" w:rsidRDefault="3B25DF22" w:rsidP="6272B19D">
      <w:pPr>
        <w:spacing w:after="0"/>
        <w:rPr>
          <w:rFonts w:ascii="Calibri" w:eastAsia="Calibri" w:hAnsi="Calibri" w:cs="Calibri"/>
          <w:color w:val="000000" w:themeColor="text1"/>
        </w:rPr>
      </w:pPr>
      <w:r w:rsidRPr="6272B19D">
        <w:rPr>
          <w:rFonts w:ascii="Calibri" w:eastAsia="Calibri" w:hAnsi="Calibri" w:cs="Calibri"/>
          <w:color w:val="000000" w:themeColor="text1"/>
        </w:rPr>
        <w:t>Under the Individuals with Disabilities Education Act of 2004 (IDEA), the Oregon Department of Education (ODE) is required to submit a six-year State Performance Plan (SPP) to the Office of Special Education</w:t>
      </w:r>
      <w:r w:rsidR="00827B7A">
        <w:rPr>
          <w:rFonts w:ascii="Calibri" w:eastAsia="Calibri" w:hAnsi="Calibri" w:cs="Calibri"/>
          <w:color w:val="000000" w:themeColor="text1"/>
        </w:rPr>
        <w:t xml:space="preserve"> Programs</w:t>
      </w:r>
      <w:r w:rsidRPr="6272B19D">
        <w:rPr>
          <w:rFonts w:ascii="Calibri" w:eastAsia="Calibri" w:hAnsi="Calibri" w:cs="Calibri"/>
          <w:color w:val="000000" w:themeColor="text1"/>
        </w:rPr>
        <w:t xml:space="preserve">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w:t>
      </w:r>
      <w:r w:rsidR="1D27B694" w:rsidRPr="6272B19D">
        <w:rPr>
          <w:rFonts w:ascii="Calibri" w:eastAsia="Calibri" w:hAnsi="Calibri" w:cs="Calibri"/>
          <w:color w:val="000000" w:themeColor="text1"/>
        </w:rPr>
        <w:t xml:space="preserve">Please see the </w:t>
      </w:r>
      <w:hyperlink r:id="rId11">
        <w:r w:rsidR="1D27B694" w:rsidRPr="6272B19D">
          <w:rPr>
            <w:rStyle w:val="Hyperlink"/>
            <w:rFonts w:ascii="Calibri" w:eastAsia="Calibri" w:hAnsi="Calibri" w:cs="Calibri"/>
          </w:rPr>
          <w:t>ODE State Performance Plan and Annual Reports for Special Education webpage</w:t>
        </w:r>
      </w:hyperlink>
      <w:r w:rsidR="1D27B694" w:rsidRPr="6272B19D">
        <w:rPr>
          <w:rFonts w:ascii="Calibri" w:eastAsia="Calibri" w:hAnsi="Calibri" w:cs="Calibri"/>
          <w:color w:val="000000" w:themeColor="text1"/>
        </w:rPr>
        <w:t xml:space="preserve"> for more information and to register for the public input session. You can also provide input without attending the session through </w:t>
      </w:r>
      <w:hyperlink r:id="rId12" w:history="1">
        <w:r w:rsidR="1D27B694" w:rsidRPr="00DF63E6">
          <w:rPr>
            <w:rStyle w:val="Hyperlink"/>
            <w:rFonts w:ascii="Calibri" w:eastAsia="Calibri" w:hAnsi="Calibri" w:cs="Calibri"/>
          </w:rPr>
          <w:t>this survey</w:t>
        </w:r>
      </w:hyperlink>
      <w:r w:rsidRPr="6272B19D">
        <w:rPr>
          <w:rFonts w:ascii="Calibri" w:eastAsia="Calibri" w:hAnsi="Calibri" w:cs="Calibri"/>
          <w:color w:val="000000" w:themeColor="text1"/>
        </w:rPr>
        <w:t>.</w:t>
      </w:r>
    </w:p>
    <w:p w14:paraId="4B73E1C3" w14:textId="0BC52818" w:rsidR="000E4FA0" w:rsidRPr="00C06C4E" w:rsidRDefault="00CA3BE5" w:rsidP="008C4B4B">
      <w:pPr>
        <w:pStyle w:val="Heading1"/>
        <w:spacing w:before="120"/>
        <w:rPr>
          <w:rFonts w:asciiTheme="minorHAnsi" w:hAnsiTheme="minorHAnsi" w:cstheme="minorBidi"/>
          <w:b/>
          <w:bCs/>
        </w:rPr>
      </w:pPr>
      <w:r w:rsidRPr="226187FF">
        <w:rPr>
          <w:rFonts w:asciiTheme="minorHAnsi" w:hAnsiTheme="minorHAnsi" w:cstheme="minorBidi"/>
          <w:b/>
          <w:bCs/>
        </w:rPr>
        <w:t>What does this indicator measure</w:t>
      </w:r>
      <w:r w:rsidR="0ECBA6C1" w:rsidRPr="226187FF">
        <w:rPr>
          <w:rFonts w:asciiTheme="minorHAnsi" w:hAnsiTheme="minorHAnsi" w:cstheme="minorBidi"/>
          <w:b/>
          <w:bCs/>
        </w:rPr>
        <w:t xml:space="preserve"> and why is it important</w:t>
      </w:r>
      <w:r w:rsidRPr="226187FF">
        <w:rPr>
          <w:rFonts w:asciiTheme="minorHAnsi" w:hAnsiTheme="minorHAnsi" w:cstheme="minorBidi"/>
          <w:b/>
          <w:bCs/>
        </w:rPr>
        <w:t>?</w:t>
      </w:r>
    </w:p>
    <w:p w14:paraId="1C92DF4F" w14:textId="432CC40E" w:rsidR="2C586C10" w:rsidRDefault="2C586C10" w:rsidP="440AB443">
      <w:pPr>
        <w:spacing w:after="0"/>
        <w:rPr>
          <w:rFonts w:eastAsiaTheme="minorEastAsia"/>
          <w:color w:val="000000" w:themeColor="text1"/>
        </w:rPr>
      </w:pPr>
      <w:r w:rsidRPr="440AB443">
        <w:rPr>
          <w:rFonts w:eastAsiaTheme="minorEastAsia"/>
        </w:rPr>
        <w:t xml:space="preserve">Indicator B6 </w:t>
      </w:r>
      <w:r w:rsidR="46133743" w:rsidRPr="440AB443">
        <w:rPr>
          <w:rFonts w:ascii="Calibri" w:eastAsia="Calibri" w:hAnsi="Calibri" w:cs="Calibri"/>
          <w:color w:val="000000" w:themeColor="text1"/>
        </w:rPr>
        <w:t xml:space="preserve">addresses a Free Appropriate Public Education (FAPE) in the Least Restrictive Environment (LRE) </w:t>
      </w:r>
      <w:r w:rsidRPr="440AB443">
        <w:rPr>
          <w:rFonts w:eastAsiaTheme="minorEastAsia"/>
        </w:rPr>
        <w:t xml:space="preserve">by measuring </w:t>
      </w:r>
      <w:r w:rsidRPr="440AB443">
        <w:rPr>
          <w:rFonts w:eastAsiaTheme="minorEastAsia"/>
          <w:color w:val="000000" w:themeColor="text1"/>
        </w:rPr>
        <w:t>Preschool environments: Percent of children aged 3 through 5 with I</w:t>
      </w:r>
      <w:r w:rsidR="4C79CDA7" w:rsidRPr="440AB443">
        <w:rPr>
          <w:rFonts w:eastAsiaTheme="minorEastAsia"/>
          <w:color w:val="000000" w:themeColor="text1"/>
        </w:rPr>
        <w:t xml:space="preserve">ndividualized </w:t>
      </w:r>
      <w:r w:rsidRPr="440AB443">
        <w:rPr>
          <w:rFonts w:eastAsiaTheme="minorEastAsia"/>
          <w:color w:val="000000" w:themeColor="text1"/>
        </w:rPr>
        <w:t>E</w:t>
      </w:r>
      <w:r w:rsidR="17A5E4AE" w:rsidRPr="440AB443">
        <w:rPr>
          <w:rFonts w:eastAsiaTheme="minorEastAsia"/>
          <w:color w:val="000000" w:themeColor="text1"/>
        </w:rPr>
        <w:t xml:space="preserve">ducation </w:t>
      </w:r>
      <w:r w:rsidRPr="440AB443">
        <w:rPr>
          <w:rFonts w:eastAsiaTheme="minorEastAsia"/>
          <w:color w:val="000000" w:themeColor="text1"/>
        </w:rPr>
        <w:t>P</w:t>
      </w:r>
      <w:r w:rsidR="25F20B0E" w:rsidRPr="440AB443">
        <w:rPr>
          <w:rFonts w:eastAsiaTheme="minorEastAsia"/>
          <w:color w:val="000000" w:themeColor="text1"/>
        </w:rPr>
        <w:t>rograms (IEP)</w:t>
      </w:r>
      <w:r w:rsidRPr="440AB443">
        <w:rPr>
          <w:rFonts w:eastAsiaTheme="minorEastAsia"/>
          <w:color w:val="000000" w:themeColor="text1"/>
        </w:rPr>
        <w:t xml:space="preserve"> attending a:</w:t>
      </w:r>
    </w:p>
    <w:p w14:paraId="5764F86C" w14:textId="31ECD420" w:rsidR="2C586C10" w:rsidRDefault="2BCC4040" w:rsidP="4D0E0F7D">
      <w:pPr>
        <w:pStyle w:val="ListParagraph"/>
        <w:numPr>
          <w:ilvl w:val="0"/>
          <w:numId w:val="5"/>
        </w:numPr>
        <w:rPr>
          <w:rFonts w:eastAsiaTheme="minorEastAsia"/>
          <w:color w:val="000000" w:themeColor="text1"/>
        </w:rPr>
      </w:pPr>
      <w:r w:rsidRPr="4D0E0F7D">
        <w:rPr>
          <w:rFonts w:eastAsiaTheme="minorEastAsia"/>
          <w:color w:val="000000" w:themeColor="text1"/>
        </w:rPr>
        <w:t xml:space="preserve">A. </w:t>
      </w:r>
      <w:r w:rsidR="2C586C10" w:rsidRPr="4D0E0F7D">
        <w:rPr>
          <w:rFonts w:eastAsiaTheme="minorEastAsia"/>
          <w:color w:val="000000" w:themeColor="text1"/>
        </w:rPr>
        <w:t>Regular early childhood program and receiving the majority of special education and related services in the regular early childhood program</w:t>
      </w:r>
      <w:r w:rsidR="6FE1F2A0" w:rsidRPr="3BF9C9C7">
        <w:rPr>
          <w:rFonts w:eastAsiaTheme="minorEastAsia"/>
          <w:color w:val="000000" w:themeColor="text1"/>
        </w:rPr>
        <w:t>.</w:t>
      </w:r>
    </w:p>
    <w:p w14:paraId="135E641E" w14:textId="095E4FF8" w:rsidR="2C586C10" w:rsidRDefault="5A28C5A5" w:rsidP="4D0E0F7D">
      <w:pPr>
        <w:pStyle w:val="ListParagraph"/>
        <w:numPr>
          <w:ilvl w:val="0"/>
          <w:numId w:val="5"/>
        </w:numPr>
        <w:rPr>
          <w:rFonts w:eastAsiaTheme="minorEastAsia"/>
          <w:color w:val="000000" w:themeColor="text1"/>
        </w:rPr>
      </w:pPr>
      <w:r w:rsidRPr="563487A3">
        <w:rPr>
          <w:rFonts w:eastAsiaTheme="minorEastAsia"/>
          <w:color w:val="000000" w:themeColor="text1"/>
        </w:rPr>
        <w:t xml:space="preserve">B. </w:t>
      </w:r>
      <w:r w:rsidR="2C586C10" w:rsidRPr="563487A3">
        <w:rPr>
          <w:rFonts w:eastAsiaTheme="minorEastAsia"/>
          <w:color w:val="000000" w:themeColor="text1"/>
        </w:rPr>
        <w:t>Separate special education class, separate school or residential facility.</w:t>
      </w:r>
      <w:r w:rsidR="01C00528" w:rsidRPr="563487A3">
        <w:rPr>
          <w:rFonts w:eastAsiaTheme="minorEastAsia"/>
          <w:color w:val="000000" w:themeColor="text1"/>
        </w:rPr>
        <w:t xml:space="preserve"> </w:t>
      </w:r>
    </w:p>
    <w:p w14:paraId="66B5028C" w14:textId="2E08F26A" w:rsidR="2C586C10" w:rsidRDefault="29A74D69" w:rsidP="440AB443">
      <w:pPr>
        <w:pStyle w:val="ListParagraph"/>
        <w:numPr>
          <w:ilvl w:val="0"/>
          <w:numId w:val="5"/>
        </w:numPr>
        <w:spacing w:after="80"/>
        <w:rPr>
          <w:rFonts w:eastAsiaTheme="minorEastAsia"/>
          <w:color w:val="000000" w:themeColor="text1"/>
        </w:rPr>
      </w:pPr>
      <w:r w:rsidRPr="440AB443">
        <w:rPr>
          <w:rFonts w:eastAsiaTheme="minorEastAsia"/>
        </w:rPr>
        <w:t>C. Receiving special education and related services in the home.</w:t>
      </w:r>
      <w:r w:rsidR="5620D3B2" w:rsidRPr="440AB443">
        <w:rPr>
          <w:rFonts w:eastAsiaTheme="minorEastAsia"/>
          <w:b/>
          <w:bCs/>
        </w:rPr>
        <w:t xml:space="preserve"> (This is a new target setting area and 2020 is the baseline year.)</w:t>
      </w:r>
    </w:p>
    <w:p w14:paraId="701E8C94" w14:textId="26138DBA" w:rsidR="5D405C7A" w:rsidRDefault="5D405C7A" w:rsidP="440AB443">
      <w:pPr>
        <w:spacing w:after="80"/>
        <w:rPr>
          <w:rFonts w:eastAsiaTheme="minorEastAsia"/>
          <w:color w:val="000000" w:themeColor="text1"/>
        </w:rPr>
      </w:pPr>
      <w:r w:rsidRPr="440AB443">
        <w:rPr>
          <w:rFonts w:eastAsiaTheme="minorEastAsia"/>
          <w:color w:val="000000" w:themeColor="text1"/>
        </w:rPr>
        <w:t xml:space="preserve">One of the primary tenets of IDEA is the right to </w:t>
      </w:r>
      <w:r w:rsidRPr="440AB443">
        <w:rPr>
          <w:rFonts w:ascii="Calibri" w:eastAsia="Calibri" w:hAnsi="Calibri" w:cs="Calibri"/>
          <w:color w:val="000000" w:themeColor="text1"/>
        </w:rPr>
        <w:t xml:space="preserve">a Free Appropriate Public Education (FAPE) in the Least Restrictive Environment (LRE). </w:t>
      </w:r>
      <w:r w:rsidR="232BB6B3" w:rsidRPr="440AB443">
        <w:rPr>
          <w:rFonts w:eastAsiaTheme="minorEastAsia"/>
          <w:color w:val="000000" w:themeColor="text1"/>
        </w:rPr>
        <w:t xml:space="preserve">Over thirty years of research indicates that when children with disabilities are educated in the Least Restrictive Environment with </w:t>
      </w:r>
      <w:r w:rsidR="1A2344BD" w:rsidRPr="440AB443">
        <w:rPr>
          <w:rFonts w:eastAsiaTheme="minorEastAsia"/>
          <w:color w:val="000000" w:themeColor="text1"/>
        </w:rPr>
        <w:t>classmates of the same age</w:t>
      </w:r>
      <w:r w:rsidR="232BB6B3" w:rsidRPr="440AB443">
        <w:rPr>
          <w:rFonts w:eastAsiaTheme="minorEastAsia"/>
          <w:color w:val="000000" w:themeColor="text1"/>
        </w:rPr>
        <w:t>, the</w:t>
      </w:r>
      <w:r w:rsidR="42EC6A3F" w:rsidRPr="440AB443">
        <w:rPr>
          <w:rFonts w:eastAsiaTheme="minorEastAsia"/>
          <w:color w:val="000000" w:themeColor="text1"/>
        </w:rPr>
        <w:t>re are</w:t>
      </w:r>
      <w:r w:rsidR="232BB6B3" w:rsidRPr="440AB443">
        <w:rPr>
          <w:rFonts w:eastAsiaTheme="minorEastAsia"/>
          <w:color w:val="000000" w:themeColor="text1"/>
        </w:rPr>
        <w:t xml:space="preserve"> improved lea</w:t>
      </w:r>
      <w:r w:rsidR="3A4CA002" w:rsidRPr="440AB443">
        <w:rPr>
          <w:rFonts w:eastAsiaTheme="minorEastAsia"/>
          <w:color w:val="000000" w:themeColor="text1"/>
        </w:rPr>
        <w:t>rning, behavior</w:t>
      </w:r>
      <w:r w:rsidR="5A2DE042" w:rsidRPr="440AB443">
        <w:rPr>
          <w:rFonts w:eastAsiaTheme="minorEastAsia"/>
          <w:color w:val="000000" w:themeColor="text1"/>
        </w:rPr>
        <w:t>al</w:t>
      </w:r>
      <w:r w:rsidR="3A4CA002" w:rsidRPr="440AB443">
        <w:rPr>
          <w:rFonts w:eastAsiaTheme="minorEastAsia"/>
          <w:color w:val="000000" w:themeColor="text1"/>
        </w:rPr>
        <w:t>, social</w:t>
      </w:r>
      <w:r w:rsidR="1A0A96F3" w:rsidRPr="440AB443">
        <w:rPr>
          <w:rFonts w:eastAsiaTheme="minorEastAsia"/>
          <w:color w:val="000000" w:themeColor="text1"/>
        </w:rPr>
        <w:t xml:space="preserve"> and health</w:t>
      </w:r>
      <w:r w:rsidR="3A4CA002" w:rsidRPr="440AB443">
        <w:rPr>
          <w:rFonts w:eastAsiaTheme="minorEastAsia"/>
          <w:color w:val="000000" w:themeColor="text1"/>
        </w:rPr>
        <w:t xml:space="preserve"> outcomes that last through their lifetime. </w:t>
      </w:r>
      <w:r w:rsidR="4F26D5B4" w:rsidRPr="440AB443">
        <w:rPr>
          <w:rFonts w:eastAsiaTheme="minorEastAsia"/>
          <w:color w:val="000000" w:themeColor="text1"/>
        </w:rPr>
        <w:t xml:space="preserve">Programs, in partnership with Early Care and Education </w:t>
      </w:r>
      <w:r w:rsidR="35C4A063" w:rsidRPr="440AB443">
        <w:rPr>
          <w:rFonts w:eastAsiaTheme="minorEastAsia"/>
          <w:color w:val="000000" w:themeColor="text1"/>
        </w:rPr>
        <w:t>providers</w:t>
      </w:r>
      <w:r w:rsidR="4F26D5B4" w:rsidRPr="440AB443">
        <w:rPr>
          <w:rFonts w:eastAsiaTheme="minorEastAsia"/>
          <w:color w:val="000000" w:themeColor="text1"/>
        </w:rPr>
        <w:t xml:space="preserve">, can work together to ensure </w:t>
      </w:r>
      <w:r w:rsidR="66B7971A" w:rsidRPr="440AB443">
        <w:rPr>
          <w:rFonts w:eastAsiaTheme="minorEastAsia"/>
          <w:color w:val="000000" w:themeColor="text1"/>
        </w:rPr>
        <w:t xml:space="preserve">the majority of </w:t>
      </w:r>
      <w:r w:rsidR="4F26D5B4" w:rsidRPr="440AB443">
        <w:rPr>
          <w:rFonts w:eastAsiaTheme="minorEastAsia"/>
          <w:color w:val="000000" w:themeColor="text1"/>
        </w:rPr>
        <w:t xml:space="preserve">services and </w:t>
      </w:r>
      <w:r w:rsidR="16DA4DCD" w:rsidRPr="440AB443">
        <w:rPr>
          <w:rFonts w:eastAsiaTheme="minorEastAsia"/>
          <w:color w:val="000000" w:themeColor="text1"/>
        </w:rPr>
        <w:t>support</w:t>
      </w:r>
      <w:r w:rsidR="4F26D5B4" w:rsidRPr="440AB443">
        <w:rPr>
          <w:rFonts w:eastAsiaTheme="minorEastAsia"/>
          <w:color w:val="000000" w:themeColor="text1"/>
        </w:rPr>
        <w:t xml:space="preserve"> are provided in the regular early childhood program</w:t>
      </w:r>
      <w:r w:rsidR="3787DB34" w:rsidRPr="440AB443">
        <w:rPr>
          <w:rFonts w:eastAsiaTheme="minorEastAsia"/>
          <w:color w:val="000000" w:themeColor="text1"/>
        </w:rPr>
        <w:t xml:space="preserve">. </w:t>
      </w:r>
      <w:r w:rsidR="1E1E7585" w:rsidRPr="440AB443">
        <w:rPr>
          <w:rFonts w:eastAsiaTheme="minorEastAsia"/>
          <w:color w:val="000000" w:themeColor="text1"/>
        </w:rPr>
        <w:t xml:space="preserve">This ensures that from an early age the child and family build relationships and </w:t>
      </w:r>
      <w:r w:rsidR="46E77A5D" w:rsidRPr="440AB443">
        <w:rPr>
          <w:rFonts w:eastAsiaTheme="minorEastAsia"/>
          <w:color w:val="000000" w:themeColor="text1"/>
        </w:rPr>
        <w:t>a keen sense</w:t>
      </w:r>
      <w:r w:rsidR="1E1E7585" w:rsidRPr="440AB443">
        <w:rPr>
          <w:rFonts w:eastAsiaTheme="minorEastAsia"/>
          <w:color w:val="000000" w:themeColor="text1"/>
        </w:rPr>
        <w:t xml:space="preserve"> of belonging in the</w:t>
      </w:r>
      <w:r w:rsidR="64DF137A" w:rsidRPr="440AB443">
        <w:rPr>
          <w:rFonts w:eastAsiaTheme="minorEastAsia"/>
          <w:color w:val="000000" w:themeColor="text1"/>
        </w:rPr>
        <w:t>ir</w:t>
      </w:r>
      <w:r w:rsidR="1E1E7585" w:rsidRPr="440AB443">
        <w:rPr>
          <w:rFonts w:eastAsiaTheme="minorEastAsia"/>
          <w:color w:val="000000" w:themeColor="text1"/>
        </w:rPr>
        <w:t xml:space="preserve"> community</w:t>
      </w:r>
      <w:r w:rsidR="0368B5D8" w:rsidRPr="440AB443">
        <w:rPr>
          <w:rFonts w:eastAsiaTheme="minorEastAsia"/>
          <w:color w:val="000000" w:themeColor="text1"/>
        </w:rPr>
        <w:t>.</w:t>
      </w:r>
    </w:p>
    <w:p w14:paraId="21AABC0C" w14:textId="1D2468F7" w:rsidR="6CBDC2CC" w:rsidRDefault="00356BE5" w:rsidP="440AB443">
      <w:pPr>
        <w:pStyle w:val="Heading1"/>
        <w:spacing w:before="0"/>
        <w:rPr>
          <w:rFonts w:asciiTheme="minorHAnsi" w:hAnsiTheme="minorHAnsi" w:cstheme="minorBidi"/>
          <w:b/>
          <w:bCs/>
        </w:rPr>
      </w:pPr>
      <w:r w:rsidRPr="440AB443">
        <w:rPr>
          <w:rFonts w:asciiTheme="minorHAnsi" w:hAnsiTheme="minorHAnsi" w:cstheme="minorBidi"/>
          <w:b/>
          <w:bCs/>
        </w:rPr>
        <w:t>What is the data source?</w:t>
      </w:r>
    </w:p>
    <w:p w14:paraId="54EFF341" w14:textId="60E3A0C5" w:rsidR="67687AE3" w:rsidRDefault="5E132CBB" w:rsidP="440AB443">
      <w:pPr>
        <w:spacing w:after="80"/>
        <w:rPr>
          <w:rFonts w:eastAsiaTheme="minorEastAsia"/>
          <w:color w:val="000000" w:themeColor="text1"/>
        </w:rPr>
      </w:pPr>
      <w:r w:rsidRPr="105B6A3F">
        <w:rPr>
          <w:rFonts w:eastAsiaTheme="minorEastAsia"/>
          <w:color w:val="000000" w:themeColor="text1"/>
        </w:rPr>
        <w:t>Same data as used for reporting to the Department under section 618 of the IDEA, using the definitions in EDFacts file specification FS089.</w:t>
      </w:r>
    </w:p>
    <w:p w14:paraId="0E57F4FB" w14:textId="77777777" w:rsidR="00310CA0" w:rsidRDefault="00310CA0" w:rsidP="0085558C">
      <w:pPr>
        <w:pStyle w:val="Heading1"/>
        <w:spacing w:before="0" w:line="240" w:lineRule="auto"/>
        <w:rPr>
          <w:rFonts w:asciiTheme="minorHAnsi" w:hAnsiTheme="minorHAnsi" w:cstheme="minorBidi"/>
          <w:b/>
          <w:bCs/>
        </w:rPr>
      </w:pPr>
      <w:r w:rsidRPr="105B6A3F">
        <w:rPr>
          <w:rFonts w:asciiTheme="minorHAnsi" w:hAnsiTheme="minorHAnsi" w:cstheme="minorBidi"/>
          <w:b/>
          <w:bCs/>
        </w:rPr>
        <w:t>Does the baseline need to be set or reset for this indicator?</w:t>
      </w:r>
    </w:p>
    <w:p w14:paraId="5F5E07EA" w14:textId="77777777" w:rsidR="00310CA0" w:rsidRPr="00E56E85" w:rsidRDefault="00310CA0" w:rsidP="00310CA0">
      <w:pPr>
        <w:spacing w:after="80"/>
        <w:rPr>
          <w:color w:val="000000" w:themeColor="text1"/>
        </w:rPr>
      </w:pPr>
      <w:r w:rsidRPr="00E56E85">
        <w:t xml:space="preserve">Yes, given changes in which students have been historically included in this data collection (until 2019, kindergarten students were included in the data collection), a new baseline must be established for Target area A and B. This new baseline reflects the number of preschool aged children (3-5 years old) receiving early childhood special education services across the continuum of placement options outlined above. Furthermore, </w:t>
      </w:r>
      <w:r w:rsidRPr="00E56E85">
        <w:rPr>
          <w:rFonts w:ascii="Calibri" w:eastAsia="Calibri" w:hAnsi="Calibri" w:cs="Calibri"/>
          <w:color w:val="000000" w:themeColor="text1"/>
        </w:rPr>
        <w:t xml:space="preserve">Target area </w:t>
      </w:r>
      <w:r w:rsidRPr="00E56E85">
        <w:rPr>
          <w:rFonts w:ascii="Calibri" w:eastAsia="Calibri" w:hAnsi="Calibri" w:cs="Calibri"/>
          <w:b/>
          <w:bCs/>
          <w:color w:val="000000" w:themeColor="text1"/>
        </w:rPr>
        <w:t>C</w:t>
      </w:r>
      <w:r w:rsidRPr="00E56E85">
        <w:rPr>
          <w:rFonts w:ascii="Calibri" w:eastAsia="Calibri" w:hAnsi="Calibri" w:cs="Calibri"/>
          <w:color w:val="000000" w:themeColor="text1"/>
        </w:rPr>
        <w:t xml:space="preserve"> is new in 2020 and 2020 is the baseline year. </w:t>
      </w:r>
    </w:p>
    <w:p w14:paraId="2ED74D39" w14:textId="2BC3AD20" w:rsidR="105B6A3F" w:rsidRDefault="105B6A3F">
      <w:r>
        <w:br w:type="page"/>
      </w:r>
    </w:p>
    <w:p w14:paraId="0A61ADA5" w14:textId="5172996B" w:rsidR="00C06C4E" w:rsidRPr="00C06C4E" w:rsidRDefault="47EB34E2" w:rsidP="440AB443">
      <w:pPr>
        <w:pStyle w:val="Heading1"/>
        <w:spacing w:before="0"/>
        <w:rPr>
          <w:rFonts w:asciiTheme="minorHAnsi" w:hAnsiTheme="minorHAnsi" w:cstheme="minorBidi"/>
          <w:b/>
          <w:bCs/>
        </w:rPr>
      </w:pPr>
      <w:r w:rsidRPr="105B6A3F">
        <w:rPr>
          <w:rFonts w:asciiTheme="minorHAnsi" w:hAnsiTheme="minorHAnsi" w:cstheme="minorBidi"/>
          <w:b/>
          <w:bCs/>
        </w:rPr>
        <w:lastRenderedPageBreak/>
        <w:t>H</w:t>
      </w:r>
      <w:r w:rsidR="6ACAD255" w:rsidRPr="105B6A3F">
        <w:rPr>
          <w:rFonts w:asciiTheme="minorHAnsi" w:hAnsiTheme="minorHAnsi" w:cstheme="minorBidi"/>
          <w:b/>
          <w:bCs/>
        </w:rPr>
        <w:t>ow has Oregon performed over time?</w:t>
      </w:r>
    </w:p>
    <w:p w14:paraId="4DEA1827" w14:textId="14216111" w:rsidR="717A2B49" w:rsidRDefault="717A2B49" w:rsidP="105B6A3F">
      <w:pPr>
        <w:pStyle w:val="ListParagraph"/>
        <w:numPr>
          <w:ilvl w:val="0"/>
          <w:numId w:val="1"/>
        </w:numPr>
        <w:spacing w:after="0"/>
        <w:rPr>
          <w:rFonts w:eastAsiaTheme="minorEastAsia"/>
          <w:color w:val="000000" w:themeColor="text1"/>
        </w:rPr>
      </w:pPr>
      <w:r w:rsidRPr="105B6A3F">
        <w:rPr>
          <w:rFonts w:eastAsiaTheme="minorEastAsia"/>
          <w:color w:val="000000" w:themeColor="text1"/>
        </w:rPr>
        <w:t>Regular early childhood program and receiving the majority of special education and related services in the regular early childhood program.</w:t>
      </w:r>
    </w:p>
    <w:p w14:paraId="4CABC3F1" w14:textId="19A44DB2" w:rsidR="57AE5FD7" w:rsidRDefault="57AE5FD7" w:rsidP="105B6A3F">
      <w:pPr>
        <w:jc w:val="center"/>
      </w:pPr>
      <w:r>
        <w:rPr>
          <w:noProof/>
          <w:color w:val="2B579A"/>
          <w:shd w:val="clear" w:color="auto" w:fill="E6E6E6"/>
        </w:rPr>
        <w:drawing>
          <wp:inline distT="0" distB="0" distL="0" distR="0" wp14:anchorId="2131EBD8" wp14:editId="4C0DFDBD">
            <wp:extent cx="4697621" cy="3004520"/>
            <wp:effectExtent l="0" t="0" r="0" b="0"/>
            <wp:docPr id="126238950" name="Picture 126238950" descr="Graph showing Oregon's performance on Indicator B6 A from 2014 to 2019." title="Indicator B6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97621" cy="3004520"/>
                    </a:xfrm>
                    <a:prstGeom prst="rect">
                      <a:avLst/>
                    </a:prstGeom>
                  </pic:spPr>
                </pic:pic>
              </a:graphicData>
            </a:graphic>
          </wp:inline>
        </w:drawing>
      </w:r>
    </w:p>
    <w:tbl>
      <w:tblPr>
        <w:tblStyle w:val="TableGrid"/>
        <w:tblW w:w="0" w:type="auto"/>
        <w:jc w:val="center"/>
        <w:tblLook w:val="04A0" w:firstRow="1" w:lastRow="0" w:firstColumn="1" w:lastColumn="0" w:noHBand="0" w:noVBand="1"/>
        <w:tblCaption w:val="Oregon's Indicator B6 (Preschool LRE) Data table"/>
      </w:tblPr>
      <w:tblGrid>
        <w:gridCol w:w="1244"/>
        <w:gridCol w:w="1439"/>
        <w:gridCol w:w="1259"/>
        <w:gridCol w:w="1140"/>
        <w:gridCol w:w="1215"/>
        <w:gridCol w:w="1230"/>
        <w:gridCol w:w="1140"/>
        <w:gridCol w:w="1259"/>
      </w:tblGrid>
      <w:tr w:rsidR="105B6A3F" w14:paraId="51AAE5B4" w14:textId="77777777" w:rsidTr="00A25114">
        <w:trPr>
          <w:trHeight w:val="300"/>
          <w:tblHeader/>
          <w:jc w:val="center"/>
        </w:trPr>
        <w:tc>
          <w:tcPr>
            <w:tcW w:w="1245" w:type="dxa"/>
            <w:shd w:val="clear" w:color="auto" w:fill="FFD966" w:themeFill="accent4" w:themeFillTint="99"/>
          </w:tcPr>
          <w:p w14:paraId="192B5EC0" w14:textId="1E8C7C9C" w:rsidR="105B6A3F" w:rsidRDefault="105B6A3F" w:rsidP="105B6A3F">
            <w:pPr>
              <w:spacing w:line="259" w:lineRule="auto"/>
              <w:jc w:val="center"/>
              <w:rPr>
                <w:rFonts w:ascii="Calibri" w:eastAsia="Calibri" w:hAnsi="Calibri" w:cs="Calibri"/>
              </w:rPr>
            </w:pPr>
            <w:r w:rsidRPr="105B6A3F">
              <w:rPr>
                <w:rFonts w:ascii="Calibri" w:eastAsia="Calibri" w:hAnsi="Calibri" w:cs="Calibri"/>
                <w:b/>
                <w:bCs/>
              </w:rPr>
              <w:t>FFY</w:t>
            </w:r>
          </w:p>
        </w:tc>
        <w:tc>
          <w:tcPr>
            <w:tcW w:w="1440" w:type="dxa"/>
            <w:shd w:val="clear" w:color="auto" w:fill="FFD966" w:themeFill="accent4" w:themeFillTint="99"/>
          </w:tcPr>
          <w:p w14:paraId="389FCDF1" w14:textId="3CA85135" w:rsidR="0D66CEB0" w:rsidRDefault="0D66CEB0" w:rsidP="105B6A3F">
            <w:pPr>
              <w:spacing w:line="259" w:lineRule="auto"/>
              <w:jc w:val="center"/>
              <w:rPr>
                <w:rFonts w:ascii="Calibri" w:eastAsia="Calibri" w:hAnsi="Calibri" w:cs="Calibri"/>
                <w:b/>
                <w:bCs/>
              </w:rPr>
            </w:pPr>
            <w:r w:rsidRPr="105B6A3F">
              <w:rPr>
                <w:rFonts w:ascii="Calibri" w:eastAsia="Calibri" w:hAnsi="Calibri" w:cs="Calibri"/>
                <w:b/>
                <w:bCs/>
              </w:rPr>
              <w:t>2011</w:t>
            </w:r>
          </w:p>
        </w:tc>
        <w:tc>
          <w:tcPr>
            <w:tcW w:w="1260" w:type="dxa"/>
            <w:shd w:val="clear" w:color="auto" w:fill="FFD966" w:themeFill="accent4" w:themeFillTint="99"/>
          </w:tcPr>
          <w:p w14:paraId="59D77794" w14:textId="7194A6AA" w:rsidR="105B6A3F" w:rsidRDefault="105B6A3F" w:rsidP="105B6A3F">
            <w:pPr>
              <w:jc w:val="center"/>
              <w:rPr>
                <w:b/>
                <w:bCs/>
              </w:rPr>
            </w:pPr>
            <w:r w:rsidRPr="105B6A3F">
              <w:rPr>
                <w:b/>
                <w:bCs/>
              </w:rPr>
              <w:t>2014</w:t>
            </w:r>
          </w:p>
        </w:tc>
        <w:tc>
          <w:tcPr>
            <w:tcW w:w="1140" w:type="dxa"/>
            <w:shd w:val="clear" w:color="auto" w:fill="FFD966" w:themeFill="accent4" w:themeFillTint="99"/>
          </w:tcPr>
          <w:p w14:paraId="7A9B48FC" w14:textId="660CFA01" w:rsidR="105B6A3F" w:rsidRDefault="105B6A3F" w:rsidP="105B6A3F">
            <w:pPr>
              <w:jc w:val="center"/>
              <w:rPr>
                <w:b/>
                <w:bCs/>
              </w:rPr>
            </w:pPr>
            <w:r w:rsidRPr="105B6A3F">
              <w:rPr>
                <w:b/>
                <w:bCs/>
              </w:rPr>
              <w:t>2015</w:t>
            </w:r>
          </w:p>
        </w:tc>
        <w:tc>
          <w:tcPr>
            <w:tcW w:w="1215" w:type="dxa"/>
            <w:shd w:val="clear" w:color="auto" w:fill="FFD966" w:themeFill="accent4" w:themeFillTint="99"/>
          </w:tcPr>
          <w:p w14:paraId="3B50E969" w14:textId="6B7184C8" w:rsidR="105B6A3F" w:rsidRDefault="105B6A3F" w:rsidP="105B6A3F">
            <w:pPr>
              <w:jc w:val="center"/>
              <w:rPr>
                <w:b/>
                <w:bCs/>
              </w:rPr>
            </w:pPr>
            <w:r w:rsidRPr="105B6A3F">
              <w:rPr>
                <w:b/>
                <w:bCs/>
              </w:rPr>
              <w:t>2016</w:t>
            </w:r>
          </w:p>
        </w:tc>
        <w:tc>
          <w:tcPr>
            <w:tcW w:w="1230" w:type="dxa"/>
            <w:shd w:val="clear" w:color="auto" w:fill="FFD966" w:themeFill="accent4" w:themeFillTint="99"/>
          </w:tcPr>
          <w:p w14:paraId="3A8751AE" w14:textId="0480FBE8" w:rsidR="105B6A3F" w:rsidRDefault="105B6A3F" w:rsidP="105B6A3F">
            <w:pPr>
              <w:jc w:val="center"/>
              <w:rPr>
                <w:b/>
                <w:bCs/>
              </w:rPr>
            </w:pPr>
            <w:r w:rsidRPr="105B6A3F">
              <w:rPr>
                <w:b/>
                <w:bCs/>
              </w:rPr>
              <w:t>2017</w:t>
            </w:r>
          </w:p>
        </w:tc>
        <w:tc>
          <w:tcPr>
            <w:tcW w:w="1140" w:type="dxa"/>
            <w:shd w:val="clear" w:color="auto" w:fill="FFD966" w:themeFill="accent4" w:themeFillTint="99"/>
          </w:tcPr>
          <w:p w14:paraId="31DAC9AE" w14:textId="44980E38" w:rsidR="105B6A3F" w:rsidRDefault="105B6A3F" w:rsidP="105B6A3F">
            <w:pPr>
              <w:jc w:val="center"/>
              <w:rPr>
                <w:b/>
                <w:bCs/>
              </w:rPr>
            </w:pPr>
            <w:r w:rsidRPr="105B6A3F">
              <w:rPr>
                <w:b/>
                <w:bCs/>
              </w:rPr>
              <w:t>2018</w:t>
            </w:r>
          </w:p>
        </w:tc>
        <w:tc>
          <w:tcPr>
            <w:tcW w:w="1260" w:type="dxa"/>
            <w:shd w:val="clear" w:color="auto" w:fill="FFD966" w:themeFill="accent4" w:themeFillTint="99"/>
          </w:tcPr>
          <w:p w14:paraId="0E71ADB1" w14:textId="3D0F1A82" w:rsidR="105B6A3F" w:rsidRDefault="105B6A3F" w:rsidP="105B6A3F">
            <w:pPr>
              <w:jc w:val="center"/>
              <w:rPr>
                <w:b/>
                <w:bCs/>
              </w:rPr>
            </w:pPr>
            <w:r w:rsidRPr="105B6A3F">
              <w:rPr>
                <w:b/>
                <w:bCs/>
              </w:rPr>
              <w:t>2019</w:t>
            </w:r>
          </w:p>
        </w:tc>
      </w:tr>
      <w:tr w:rsidR="105B6A3F" w14:paraId="170B05A3" w14:textId="77777777" w:rsidTr="105B6A3F">
        <w:trPr>
          <w:trHeight w:val="300"/>
          <w:jc w:val="center"/>
        </w:trPr>
        <w:tc>
          <w:tcPr>
            <w:tcW w:w="1245" w:type="dxa"/>
          </w:tcPr>
          <w:p w14:paraId="317DD9DE" w14:textId="0FD05FFD" w:rsidR="105B6A3F" w:rsidRDefault="105B6A3F" w:rsidP="105B6A3F">
            <w:pPr>
              <w:spacing w:line="259" w:lineRule="auto"/>
              <w:rPr>
                <w:rFonts w:ascii="Calibri" w:eastAsia="Calibri" w:hAnsi="Calibri" w:cs="Calibri"/>
              </w:rPr>
            </w:pPr>
            <w:r w:rsidRPr="105B6A3F">
              <w:rPr>
                <w:rFonts w:ascii="Calibri" w:eastAsia="Calibri" w:hAnsi="Calibri" w:cs="Calibri"/>
              </w:rPr>
              <w:t>Targets ≥</w:t>
            </w:r>
          </w:p>
        </w:tc>
        <w:tc>
          <w:tcPr>
            <w:tcW w:w="1440" w:type="dxa"/>
          </w:tcPr>
          <w:p w14:paraId="783567D4" w14:textId="35582C7F" w:rsidR="29E79F05" w:rsidRDefault="29E79F05" w:rsidP="105B6A3F">
            <w:pPr>
              <w:spacing w:line="259" w:lineRule="auto"/>
              <w:jc w:val="center"/>
              <w:rPr>
                <w:rFonts w:ascii="Calibri" w:eastAsia="Calibri" w:hAnsi="Calibri" w:cs="Calibri"/>
                <w:i/>
                <w:iCs/>
              </w:rPr>
            </w:pPr>
            <w:r w:rsidRPr="105B6A3F">
              <w:rPr>
                <w:rFonts w:ascii="Calibri" w:eastAsia="Calibri" w:hAnsi="Calibri" w:cs="Calibri"/>
                <w:i/>
                <w:iCs/>
              </w:rPr>
              <w:t>Baseline</w:t>
            </w:r>
          </w:p>
        </w:tc>
        <w:tc>
          <w:tcPr>
            <w:tcW w:w="1260" w:type="dxa"/>
          </w:tcPr>
          <w:p w14:paraId="4FFDD61B" w14:textId="7BDC8723" w:rsidR="105B6A3F" w:rsidRDefault="105B6A3F" w:rsidP="105B6A3F">
            <w:pPr>
              <w:jc w:val="center"/>
            </w:pPr>
            <w:r>
              <w:t>35.00%</w:t>
            </w:r>
          </w:p>
        </w:tc>
        <w:tc>
          <w:tcPr>
            <w:tcW w:w="1140" w:type="dxa"/>
          </w:tcPr>
          <w:p w14:paraId="71EB6966" w14:textId="6E455C7A" w:rsidR="105B6A3F" w:rsidRDefault="105B6A3F" w:rsidP="105B6A3F">
            <w:pPr>
              <w:jc w:val="center"/>
            </w:pPr>
            <w:r>
              <w:t>35.50%</w:t>
            </w:r>
          </w:p>
        </w:tc>
        <w:tc>
          <w:tcPr>
            <w:tcW w:w="1215" w:type="dxa"/>
          </w:tcPr>
          <w:p w14:paraId="4ADDF17A" w14:textId="783DDE49" w:rsidR="105B6A3F" w:rsidRDefault="105B6A3F" w:rsidP="105B6A3F">
            <w:pPr>
              <w:jc w:val="center"/>
            </w:pPr>
            <w:r>
              <w:t>35.50%</w:t>
            </w:r>
          </w:p>
        </w:tc>
        <w:tc>
          <w:tcPr>
            <w:tcW w:w="1230" w:type="dxa"/>
          </w:tcPr>
          <w:p w14:paraId="1E3524D1" w14:textId="7AF5AF9A" w:rsidR="105B6A3F" w:rsidRDefault="105B6A3F" w:rsidP="105B6A3F">
            <w:pPr>
              <w:jc w:val="center"/>
            </w:pPr>
            <w:r>
              <w:t>36.00%</w:t>
            </w:r>
          </w:p>
        </w:tc>
        <w:tc>
          <w:tcPr>
            <w:tcW w:w="1140" w:type="dxa"/>
          </w:tcPr>
          <w:p w14:paraId="27172C8D" w14:textId="36AA96D3" w:rsidR="105B6A3F" w:rsidRDefault="105B6A3F" w:rsidP="105B6A3F">
            <w:pPr>
              <w:jc w:val="center"/>
            </w:pPr>
            <w:r>
              <w:t>36.00%</w:t>
            </w:r>
          </w:p>
        </w:tc>
        <w:tc>
          <w:tcPr>
            <w:tcW w:w="1260" w:type="dxa"/>
          </w:tcPr>
          <w:p w14:paraId="198DE43A" w14:textId="63A099B1" w:rsidR="105B6A3F" w:rsidRDefault="105B6A3F" w:rsidP="105B6A3F">
            <w:pPr>
              <w:jc w:val="center"/>
            </w:pPr>
            <w:r>
              <w:t>36.00%</w:t>
            </w:r>
          </w:p>
        </w:tc>
      </w:tr>
      <w:tr w:rsidR="105B6A3F" w14:paraId="3539D9EF" w14:textId="77777777" w:rsidTr="105B6A3F">
        <w:trPr>
          <w:trHeight w:val="300"/>
          <w:jc w:val="center"/>
        </w:trPr>
        <w:tc>
          <w:tcPr>
            <w:tcW w:w="1245" w:type="dxa"/>
          </w:tcPr>
          <w:p w14:paraId="3829584D" w14:textId="15B2E0A4" w:rsidR="51AC50F4" w:rsidRDefault="51AC50F4" w:rsidP="105B6A3F">
            <w:pPr>
              <w:spacing w:line="259" w:lineRule="auto"/>
              <w:rPr>
                <w:rFonts w:ascii="Calibri" w:eastAsia="Calibri" w:hAnsi="Calibri" w:cs="Calibri"/>
              </w:rPr>
            </w:pPr>
            <w:r w:rsidRPr="105B6A3F">
              <w:rPr>
                <w:rFonts w:ascii="Calibri" w:eastAsia="Calibri" w:hAnsi="Calibri" w:cs="Calibri"/>
              </w:rPr>
              <w:t>Data</w:t>
            </w:r>
          </w:p>
        </w:tc>
        <w:tc>
          <w:tcPr>
            <w:tcW w:w="1440" w:type="dxa"/>
          </w:tcPr>
          <w:p w14:paraId="1FB44D3F" w14:textId="4A99B48E" w:rsidR="39F2FD07" w:rsidRDefault="39F2FD07" w:rsidP="105B6A3F">
            <w:pPr>
              <w:jc w:val="center"/>
              <w:rPr>
                <w:b/>
                <w:bCs/>
                <w:color w:val="FF0000"/>
              </w:rPr>
            </w:pPr>
            <w:r w:rsidRPr="105B6A3F">
              <w:rPr>
                <w:b/>
                <w:bCs/>
                <w:color w:val="FF0000"/>
              </w:rPr>
              <w:t>32.70%</w:t>
            </w:r>
          </w:p>
        </w:tc>
        <w:tc>
          <w:tcPr>
            <w:tcW w:w="1260" w:type="dxa"/>
          </w:tcPr>
          <w:p w14:paraId="6619D1FD" w14:textId="691ADFA9" w:rsidR="105B6A3F" w:rsidRDefault="105B6A3F" w:rsidP="105B6A3F">
            <w:pPr>
              <w:jc w:val="center"/>
            </w:pPr>
            <w:r>
              <w:t>37.00%</w:t>
            </w:r>
          </w:p>
        </w:tc>
        <w:tc>
          <w:tcPr>
            <w:tcW w:w="1140" w:type="dxa"/>
          </w:tcPr>
          <w:p w14:paraId="3E274CE9" w14:textId="71BCDF81" w:rsidR="105B6A3F" w:rsidRDefault="105B6A3F" w:rsidP="105B6A3F">
            <w:pPr>
              <w:jc w:val="center"/>
            </w:pPr>
            <w:r>
              <w:t>39.91%</w:t>
            </w:r>
          </w:p>
        </w:tc>
        <w:tc>
          <w:tcPr>
            <w:tcW w:w="1215" w:type="dxa"/>
          </w:tcPr>
          <w:p w14:paraId="47A883A9" w14:textId="685BAB6F" w:rsidR="105B6A3F" w:rsidRDefault="105B6A3F" w:rsidP="105B6A3F">
            <w:pPr>
              <w:jc w:val="center"/>
            </w:pPr>
            <w:r>
              <w:t>45.25%</w:t>
            </w:r>
          </w:p>
        </w:tc>
        <w:tc>
          <w:tcPr>
            <w:tcW w:w="1230" w:type="dxa"/>
          </w:tcPr>
          <w:p w14:paraId="5D7C18C8" w14:textId="53684A3B" w:rsidR="105B6A3F" w:rsidRDefault="105B6A3F" w:rsidP="105B6A3F">
            <w:pPr>
              <w:jc w:val="center"/>
            </w:pPr>
            <w:r>
              <w:t>45.05%</w:t>
            </w:r>
          </w:p>
        </w:tc>
        <w:tc>
          <w:tcPr>
            <w:tcW w:w="1140" w:type="dxa"/>
          </w:tcPr>
          <w:p w14:paraId="21A609E7" w14:textId="7FC7EC7E" w:rsidR="105B6A3F" w:rsidRDefault="105B6A3F" w:rsidP="105B6A3F">
            <w:pPr>
              <w:jc w:val="center"/>
            </w:pPr>
            <w:r>
              <w:t>44.57%</w:t>
            </w:r>
          </w:p>
        </w:tc>
        <w:tc>
          <w:tcPr>
            <w:tcW w:w="1260" w:type="dxa"/>
          </w:tcPr>
          <w:p w14:paraId="4F5DCE9A" w14:textId="14FA4A6C" w:rsidR="105B6A3F" w:rsidRDefault="105B6A3F" w:rsidP="105B6A3F">
            <w:pPr>
              <w:jc w:val="center"/>
            </w:pPr>
            <w:r>
              <w:t>48.16%</w:t>
            </w:r>
          </w:p>
        </w:tc>
      </w:tr>
    </w:tbl>
    <w:p w14:paraId="496C805C" w14:textId="6D1E4007" w:rsidR="48CEF0CD" w:rsidRDefault="48CEF0CD" w:rsidP="105B6A3F">
      <w:pPr>
        <w:pStyle w:val="ListParagraph"/>
        <w:numPr>
          <w:ilvl w:val="0"/>
          <w:numId w:val="1"/>
        </w:numPr>
        <w:spacing w:before="240" w:after="0"/>
        <w:rPr>
          <w:rFonts w:eastAsiaTheme="minorEastAsia"/>
        </w:rPr>
      </w:pPr>
      <w:r w:rsidRPr="105B6A3F">
        <w:rPr>
          <w:rFonts w:eastAsiaTheme="minorEastAsia"/>
          <w:color w:val="000000" w:themeColor="text1"/>
        </w:rPr>
        <w:t xml:space="preserve">Percent attending a </w:t>
      </w:r>
      <w:r w:rsidR="0BA7A292" w:rsidRPr="105B6A3F">
        <w:rPr>
          <w:rFonts w:eastAsiaTheme="minorEastAsia"/>
          <w:color w:val="000000" w:themeColor="text1"/>
        </w:rPr>
        <w:t>special education class, separate school</w:t>
      </w:r>
      <w:r w:rsidR="02521B69" w:rsidRPr="105B6A3F">
        <w:rPr>
          <w:rFonts w:eastAsiaTheme="minorEastAsia"/>
          <w:color w:val="000000" w:themeColor="text1"/>
        </w:rPr>
        <w:t>,</w:t>
      </w:r>
      <w:r w:rsidR="0BA7A292" w:rsidRPr="105B6A3F">
        <w:rPr>
          <w:rFonts w:eastAsiaTheme="minorEastAsia"/>
          <w:color w:val="000000" w:themeColor="text1"/>
        </w:rPr>
        <w:t xml:space="preserve"> or residential facility.</w:t>
      </w:r>
    </w:p>
    <w:p w14:paraId="7126B8D4" w14:textId="7AB91EF9" w:rsidR="183F3469" w:rsidRDefault="183F3469" w:rsidP="105B6A3F">
      <w:pPr>
        <w:spacing w:after="0"/>
        <w:jc w:val="center"/>
      </w:pPr>
      <w:r>
        <w:rPr>
          <w:noProof/>
          <w:color w:val="2B579A"/>
          <w:shd w:val="clear" w:color="auto" w:fill="E6E6E6"/>
        </w:rPr>
        <w:drawing>
          <wp:inline distT="0" distB="0" distL="0" distR="0" wp14:anchorId="65094C98" wp14:editId="1F9D5A00">
            <wp:extent cx="4703650" cy="3008376"/>
            <wp:effectExtent l="0" t="0" r="1905" b="1905"/>
            <wp:docPr id="352252036" name="Picture 352252036" title="Oregon's Indicator B6 (Preschool LR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703650" cy="3008376"/>
                    </a:xfrm>
                    <a:prstGeom prst="rect">
                      <a:avLst/>
                    </a:prstGeom>
                  </pic:spPr>
                </pic:pic>
              </a:graphicData>
            </a:graphic>
          </wp:inline>
        </w:drawing>
      </w:r>
    </w:p>
    <w:tbl>
      <w:tblPr>
        <w:tblStyle w:val="TableGrid"/>
        <w:tblW w:w="0" w:type="auto"/>
        <w:jc w:val="center"/>
        <w:tblLook w:val="04A0" w:firstRow="1" w:lastRow="0" w:firstColumn="1" w:lastColumn="0" w:noHBand="0" w:noVBand="1"/>
        <w:tblCaption w:val="Oregon's Indicator B6 (Preschool LRE) Data table"/>
      </w:tblPr>
      <w:tblGrid>
        <w:gridCol w:w="1244"/>
        <w:gridCol w:w="1439"/>
        <w:gridCol w:w="1259"/>
        <w:gridCol w:w="1140"/>
        <w:gridCol w:w="1215"/>
        <w:gridCol w:w="1230"/>
        <w:gridCol w:w="1140"/>
        <w:gridCol w:w="1259"/>
      </w:tblGrid>
      <w:tr w:rsidR="105B6A3F" w14:paraId="32877098" w14:textId="77777777" w:rsidTr="00A25114">
        <w:trPr>
          <w:trHeight w:val="300"/>
          <w:tblHeader/>
          <w:jc w:val="center"/>
        </w:trPr>
        <w:tc>
          <w:tcPr>
            <w:tcW w:w="1245" w:type="dxa"/>
            <w:shd w:val="clear" w:color="auto" w:fill="9CC2E5" w:themeFill="accent5" w:themeFillTint="99"/>
          </w:tcPr>
          <w:p w14:paraId="3BDFEB4E" w14:textId="1E8C7C9C" w:rsidR="105B6A3F" w:rsidRDefault="105B6A3F" w:rsidP="105B6A3F">
            <w:pPr>
              <w:spacing w:line="259" w:lineRule="auto"/>
              <w:jc w:val="center"/>
              <w:rPr>
                <w:rFonts w:ascii="Calibri" w:eastAsia="Calibri" w:hAnsi="Calibri" w:cs="Calibri"/>
              </w:rPr>
            </w:pPr>
            <w:r w:rsidRPr="105B6A3F">
              <w:rPr>
                <w:rFonts w:ascii="Calibri" w:eastAsia="Calibri" w:hAnsi="Calibri" w:cs="Calibri"/>
                <w:b/>
                <w:bCs/>
              </w:rPr>
              <w:t>FFY</w:t>
            </w:r>
          </w:p>
        </w:tc>
        <w:tc>
          <w:tcPr>
            <w:tcW w:w="1440" w:type="dxa"/>
            <w:shd w:val="clear" w:color="auto" w:fill="9CC2E5" w:themeFill="accent5" w:themeFillTint="99"/>
          </w:tcPr>
          <w:p w14:paraId="5E4B1BB7" w14:textId="3CA85135" w:rsidR="105B6A3F" w:rsidRDefault="105B6A3F" w:rsidP="105B6A3F">
            <w:pPr>
              <w:spacing w:line="259" w:lineRule="auto"/>
              <w:jc w:val="center"/>
              <w:rPr>
                <w:rFonts w:ascii="Calibri" w:eastAsia="Calibri" w:hAnsi="Calibri" w:cs="Calibri"/>
                <w:b/>
                <w:bCs/>
              </w:rPr>
            </w:pPr>
            <w:r w:rsidRPr="105B6A3F">
              <w:rPr>
                <w:rFonts w:ascii="Calibri" w:eastAsia="Calibri" w:hAnsi="Calibri" w:cs="Calibri"/>
                <w:b/>
                <w:bCs/>
              </w:rPr>
              <w:t>2011</w:t>
            </w:r>
          </w:p>
        </w:tc>
        <w:tc>
          <w:tcPr>
            <w:tcW w:w="1260" w:type="dxa"/>
            <w:shd w:val="clear" w:color="auto" w:fill="9CC2E5" w:themeFill="accent5" w:themeFillTint="99"/>
          </w:tcPr>
          <w:p w14:paraId="6529AE7D" w14:textId="7194A6AA" w:rsidR="105B6A3F" w:rsidRDefault="105B6A3F" w:rsidP="105B6A3F">
            <w:pPr>
              <w:jc w:val="center"/>
              <w:rPr>
                <w:b/>
                <w:bCs/>
              </w:rPr>
            </w:pPr>
            <w:r w:rsidRPr="105B6A3F">
              <w:rPr>
                <w:b/>
                <w:bCs/>
              </w:rPr>
              <w:t>2014</w:t>
            </w:r>
          </w:p>
        </w:tc>
        <w:tc>
          <w:tcPr>
            <w:tcW w:w="1140" w:type="dxa"/>
            <w:shd w:val="clear" w:color="auto" w:fill="9CC2E5" w:themeFill="accent5" w:themeFillTint="99"/>
          </w:tcPr>
          <w:p w14:paraId="223D32A4" w14:textId="660CFA01" w:rsidR="105B6A3F" w:rsidRDefault="105B6A3F" w:rsidP="105B6A3F">
            <w:pPr>
              <w:jc w:val="center"/>
              <w:rPr>
                <w:b/>
                <w:bCs/>
              </w:rPr>
            </w:pPr>
            <w:r w:rsidRPr="105B6A3F">
              <w:rPr>
                <w:b/>
                <w:bCs/>
              </w:rPr>
              <w:t>2015</w:t>
            </w:r>
          </w:p>
        </w:tc>
        <w:tc>
          <w:tcPr>
            <w:tcW w:w="1215" w:type="dxa"/>
            <w:shd w:val="clear" w:color="auto" w:fill="9CC2E5" w:themeFill="accent5" w:themeFillTint="99"/>
          </w:tcPr>
          <w:p w14:paraId="75D68033" w14:textId="6B7184C8" w:rsidR="105B6A3F" w:rsidRDefault="105B6A3F" w:rsidP="105B6A3F">
            <w:pPr>
              <w:jc w:val="center"/>
              <w:rPr>
                <w:b/>
                <w:bCs/>
              </w:rPr>
            </w:pPr>
            <w:r w:rsidRPr="105B6A3F">
              <w:rPr>
                <w:b/>
                <w:bCs/>
              </w:rPr>
              <w:t>2016</w:t>
            </w:r>
          </w:p>
        </w:tc>
        <w:tc>
          <w:tcPr>
            <w:tcW w:w="1230" w:type="dxa"/>
            <w:shd w:val="clear" w:color="auto" w:fill="9CC2E5" w:themeFill="accent5" w:themeFillTint="99"/>
          </w:tcPr>
          <w:p w14:paraId="24EBA6FF" w14:textId="0480FBE8" w:rsidR="105B6A3F" w:rsidRDefault="105B6A3F" w:rsidP="105B6A3F">
            <w:pPr>
              <w:jc w:val="center"/>
              <w:rPr>
                <w:b/>
                <w:bCs/>
              </w:rPr>
            </w:pPr>
            <w:r w:rsidRPr="105B6A3F">
              <w:rPr>
                <w:b/>
                <w:bCs/>
              </w:rPr>
              <w:t>2017</w:t>
            </w:r>
          </w:p>
        </w:tc>
        <w:tc>
          <w:tcPr>
            <w:tcW w:w="1140" w:type="dxa"/>
            <w:shd w:val="clear" w:color="auto" w:fill="9CC2E5" w:themeFill="accent5" w:themeFillTint="99"/>
          </w:tcPr>
          <w:p w14:paraId="04578C93" w14:textId="44980E38" w:rsidR="105B6A3F" w:rsidRDefault="105B6A3F" w:rsidP="105B6A3F">
            <w:pPr>
              <w:jc w:val="center"/>
              <w:rPr>
                <w:b/>
                <w:bCs/>
              </w:rPr>
            </w:pPr>
            <w:r w:rsidRPr="105B6A3F">
              <w:rPr>
                <w:b/>
                <w:bCs/>
              </w:rPr>
              <w:t>2018</w:t>
            </w:r>
          </w:p>
        </w:tc>
        <w:tc>
          <w:tcPr>
            <w:tcW w:w="1260" w:type="dxa"/>
            <w:shd w:val="clear" w:color="auto" w:fill="9CC2E5" w:themeFill="accent5" w:themeFillTint="99"/>
          </w:tcPr>
          <w:p w14:paraId="673B445E" w14:textId="3D0F1A82" w:rsidR="105B6A3F" w:rsidRDefault="105B6A3F" w:rsidP="105B6A3F">
            <w:pPr>
              <w:jc w:val="center"/>
              <w:rPr>
                <w:b/>
                <w:bCs/>
              </w:rPr>
            </w:pPr>
            <w:r w:rsidRPr="105B6A3F">
              <w:rPr>
                <w:b/>
                <w:bCs/>
              </w:rPr>
              <w:t>2019</w:t>
            </w:r>
          </w:p>
        </w:tc>
      </w:tr>
      <w:tr w:rsidR="105B6A3F" w14:paraId="6B866DF9" w14:textId="77777777" w:rsidTr="105B6A3F">
        <w:trPr>
          <w:trHeight w:val="300"/>
          <w:jc w:val="center"/>
        </w:trPr>
        <w:tc>
          <w:tcPr>
            <w:tcW w:w="1245" w:type="dxa"/>
          </w:tcPr>
          <w:p w14:paraId="1D6E5412" w14:textId="0FD05FFD" w:rsidR="105B6A3F" w:rsidRDefault="105B6A3F" w:rsidP="105B6A3F">
            <w:pPr>
              <w:spacing w:line="259" w:lineRule="auto"/>
              <w:rPr>
                <w:rFonts w:ascii="Calibri" w:eastAsia="Calibri" w:hAnsi="Calibri" w:cs="Calibri"/>
              </w:rPr>
            </w:pPr>
            <w:r w:rsidRPr="105B6A3F">
              <w:rPr>
                <w:rFonts w:ascii="Calibri" w:eastAsia="Calibri" w:hAnsi="Calibri" w:cs="Calibri"/>
              </w:rPr>
              <w:t>Targets ≥</w:t>
            </w:r>
          </w:p>
        </w:tc>
        <w:tc>
          <w:tcPr>
            <w:tcW w:w="1440" w:type="dxa"/>
          </w:tcPr>
          <w:p w14:paraId="24FA09E5" w14:textId="35582C7F" w:rsidR="105B6A3F" w:rsidRDefault="105B6A3F" w:rsidP="105B6A3F">
            <w:pPr>
              <w:spacing w:line="259" w:lineRule="auto"/>
              <w:jc w:val="center"/>
              <w:rPr>
                <w:rFonts w:ascii="Calibri" w:eastAsia="Calibri" w:hAnsi="Calibri" w:cs="Calibri"/>
                <w:i/>
                <w:iCs/>
              </w:rPr>
            </w:pPr>
            <w:r w:rsidRPr="105B6A3F">
              <w:rPr>
                <w:rFonts w:ascii="Calibri" w:eastAsia="Calibri" w:hAnsi="Calibri" w:cs="Calibri"/>
                <w:i/>
                <w:iCs/>
              </w:rPr>
              <w:t>Baseline</w:t>
            </w:r>
          </w:p>
        </w:tc>
        <w:tc>
          <w:tcPr>
            <w:tcW w:w="1260" w:type="dxa"/>
          </w:tcPr>
          <w:p w14:paraId="4AB2822A" w14:textId="37D5D269" w:rsidR="105B6A3F" w:rsidRDefault="105B6A3F" w:rsidP="105B6A3F">
            <w:pPr>
              <w:jc w:val="center"/>
            </w:pPr>
            <w:r>
              <w:t>24.60%</w:t>
            </w:r>
          </w:p>
        </w:tc>
        <w:tc>
          <w:tcPr>
            <w:tcW w:w="1140" w:type="dxa"/>
          </w:tcPr>
          <w:p w14:paraId="29635960" w14:textId="226E6016" w:rsidR="105B6A3F" w:rsidRDefault="105B6A3F" w:rsidP="105B6A3F">
            <w:pPr>
              <w:jc w:val="center"/>
            </w:pPr>
            <w:r>
              <w:t>24.00%</w:t>
            </w:r>
          </w:p>
        </w:tc>
        <w:tc>
          <w:tcPr>
            <w:tcW w:w="1215" w:type="dxa"/>
          </w:tcPr>
          <w:p w14:paraId="534EB3FF" w14:textId="17000279" w:rsidR="105B6A3F" w:rsidRDefault="105B6A3F" w:rsidP="105B6A3F">
            <w:pPr>
              <w:jc w:val="center"/>
            </w:pPr>
            <w:r>
              <w:t>24.00%</w:t>
            </w:r>
          </w:p>
        </w:tc>
        <w:tc>
          <w:tcPr>
            <w:tcW w:w="1230" w:type="dxa"/>
          </w:tcPr>
          <w:p w14:paraId="7B933F0E" w14:textId="369D0462" w:rsidR="105B6A3F" w:rsidRDefault="105B6A3F" w:rsidP="105B6A3F">
            <w:pPr>
              <w:jc w:val="center"/>
            </w:pPr>
            <w:r>
              <w:t>23.50%</w:t>
            </w:r>
          </w:p>
        </w:tc>
        <w:tc>
          <w:tcPr>
            <w:tcW w:w="1140" w:type="dxa"/>
          </w:tcPr>
          <w:p w14:paraId="19E5C64D" w14:textId="282FAE95" w:rsidR="105B6A3F" w:rsidRDefault="105B6A3F" w:rsidP="105B6A3F">
            <w:pPr>
              <w:jc w:val="center"/>
            </w:pPr>
            <w:r>
              <w:t>23.50%</w:t>
            </w:r>
          </w:p>
        </w:tc>
        <w:tc>
          <w:tcPr>
            <w:tcW w:w="1260" w:type="dxa"/>
          </w:tcPr>
          <w:p w14:paraId="31C34836" w14:textId="1FED79DB" w:rsidR="105B6A3F" w:rsidRDefault="105B6A3F" w:rsidP="105B6A3F">
            <w:pPr>
              <w:jc w:val="center"/>
            </w:pPr>
            <w:r>
              <w:t>23.50%</w:t>
            </w:r>
          </w:p>
        </w:tc>
      </w:tr>
      <w:tr w:rsidR="105B6A3F" w14:paraId="2DA32B89" w14:textId="77777777" w:rsidTr="105B6A3F">
        <w:trPr>
          <w:trHeight w:val="300"/>
          <w:jc w:val="center"/>
        </w:trPr>
        <w:tc>
          <w:tcPr>
            <w:tcW w:w="1245" w:type="dxa"/>
          </w:tcPr>
          <w:p w14:paraId="5894A800" w14:textId="15B2E0A4" w:rsidR="105B6A3F" w:rsidRDefault="105B6A3F" w:rsidP="105B6A3F">
            <w:pPr>
              <w:spacing w:line="259" w:lineRule="auto"/>
              <w:rPr>
                <w:rFonts w:ascii="Calibri" w:eastAsia="Calibri" w:hAnsi="Calibri" w:cs="Calibri"/>
              </w:rPr>
            </w:pPr>
            <w:r w:rsidRPr="105B6A3F">
              <w:rPr>
                <w:rFonts w:ascii="Calibri" w:eastAsia="Calibri" w:hAnsi="Calibri" w:cs="Calibri"/>
              </w:rPr>
              <w:t>Data</w:t>
            </w:r>
          </w:p>
        </w:tc>
        <w:tc>
          <w:tcPr>
            <w:tcW w:w="1440" w:type="dxa"/>
          </w:tcPr>
          <w:p w14:paraId="38A1F49F" w14:textId="054435D1" w:rsidR="0973F848" w:rsidRDefault="0973F848" w:rsidP="105B6A3F">
            <w:pPr>
              <w:spacing w:line="259" w:lineRule="auto"/>
              <w:jc w:val="center"/>
              <w:rPr>
                <w:b/>
                <w:bCs/>
                <w:color w:val="FF0000"/>
              </w:rPr>
            </w:pPr>
            <w:r w:rsidRPr="105B6A3F">
              <w:rPr>
                <w:b/>
                <w:bCs/>
                <w:color w:val="FF0000"/>
              </w:rPr>
              <w:t>25.56%</w:t>
            </w:r>
          </w:p>
        </w:tc>
        <w:tc>
          <w:tcPr>
            <w:tcW w:w="1260" w:type="dxa"/>
          </w:tcPr>
          <w:p w14:paraId="50DF630D" w14:textId="24671E2C" w:rsidR="105B6A3F" w:rsidRDefault="105B6A3F" w:rsidP="105B6A3F">
            <w:pPr>
              <w:jc w:val="center"/>
            </w:pPr>
            <w:r>
              <w:t>22.93%</w:t>
            </w:r>
          </w:p>
        </w:tc>
        <w:tc>
          <w:tcPr>
            <w:tcW w:w="1140" w:type="dxa"/>
          </w:tcPr>
          <w:p w14:paraId="04A0BE0D" w14:textId="42F78481" w:rsidR="105B6A3F" w:rsidRDefault="105B6A3F" w:rsidP="105B6A3F">
            <w:pPr>
              <w:jc w:val="center"/>
            </w:pPr>
            <w:r>
              <w:t>23.30%</w:t>
            </w:r>
          </w:p>
        </w:tc>
        <w:tc>
          <w:tcPr>
            <w:tcW w:w="1215" w:type="dxa"/>
          </w:tcPr>
          <w:p w14:paraId="1770568B" w14:textId="3666BE7B" w:rsidR="105B6A3F" w:rsidRDefault="105B6A3F" w:rsidP="105B6A3F">
            <w:pPr>
              <w:jc w:val="center"/>
            </w:pPr>
            <w:r>
              <w:t>19.80%</w:t>
            </w:r>
          </w:p>
        </w:tc>
        <w:tc>
          <w:tcPr>
            <w:tcW w:w="1230" w:type="dxa"/>
          </w:tcPr>
          <w:p w14:paraId="0CDDAF70" w14:textId="22720EEE" w:rsidR="105B6A3F" w:rsidRDefault="105B6A3F" w:rsidP="105B6A3F">
            <w:pPr>
              <w:jc w:val="center"/>
            </w:pPr>
            <w:r>
              <w:t>19.03%</w:t>
            </w:r>
          </w:p>
        </w:tc>
        <w:tc>
          <w:tcPr>
            <w:tcW w:w="1140" w:type="dxa"/>
          </w:tcPr>
          <w:p w14:paraId="4D0F2FC1" w14:textId="173FB98F" w:rsidR="105B6A3F" w:rsidRDefault="105B6A3F" w:rsidP="105B6A3F">
            <w:pPr>
              <w:jc w:val="center"/>
            </w:pPr>
            <w:r>
              <w:t>19.17%</w:t>
            </w:r>
          </w:p>
        </w:tc>
        <w:tc>
          <w:tcPr>
            <w:tcW w:w="1260" w:type="dxa"/>
          </w:tcPr>
          <w:p w14:paraId="3E53F812" w14:textId="738E34FB" w:rsidR="105B6A3F" w:rsidRDefault="105B6A3F" w:rsidP="105B6A3F">
            <w:pPr>
              <w:jc w:val="center"/>
            </w:pPr>
            <w:r>
              <w:t>24.52%</w:t>
            </w:r>
          </w:p>
        </w:tc>
      </w:tr>
    </w:tbl>
    <w:p w14:paraId="6E803FF7" w14:textId="5D5B1793" w:rsidR="105B6A3F" w:rsidRDefault="105B6A3F" w:rsidP="105B6A3F">
      <w:pPr>
        <w:spacing w:after="0"/>
        <w:rPr>
          <w:rFonts w:eastAsiaTheme="minorEastAsia"/>
          <w:color w:val="000000" w:themeColor="text1"/>
        </w:rPr>
      </w:pPr>
    </w:p>
    <w:p w14:paraId="33F32983" w14:textId="67732E8A" w:rsidR="105B6A3F" w:rsidRDefault="105B6A3F">
      <w:r>
        <w:br w:type="page"/>
      </w:r>
    </w:p>
    <w:p w14:paraId="2CA38853" w14:textId="732E1DCA" w:rsidR="0E6BE1FC" w:rsidRDefault="0E6BE1FC" w:rsidP="440AB443">
      <w:pPr>
        <w:pStyle w:val="Heading1"/>
        <w:spacing w:before="0"/>
        <w:rPr>
          <w:rFonts w:ascii="Calibri" w:eastAsia="Calibri" w:hAnsi="Calibri" w:cs="Calibri"/>
        </w:rPr>
      </w:pPr>
      <w:r w:rsidRPr="440AB443">
        <w:rPr>
          <w:rFonts w:ascii="Calibri" w:eastAsia="Calibri" w:hAnsi="Calibri" w:cs="Calibri"/>
          <w:b/>
          <w:bCs/>
        </w:rPr>
        <w:lastRenderedPageBreak/>
        <w:t>What are the new targets?</w:t>
      </w:r>
    </w:p>
    <w:p w14:paraId="602EC1B4" w14:textId="6DC5B851" w:rsidR="0E6BE1FC" w:rsidRDefault="60D43FE7" w:rsidP="105B6A3F">
      <w:pPr>
        <w:spacing w:after="0"/>
        <w:rPr>
          <w:rFonts w:ascii="Calibri" w:eastAsia="Calibri" w:hAnsi="Calibri" w:cs="Calibri"/>
          <w:color w:val="000000" w:themeColor="text1"/>
        </w:rPr>
      </w:pPr>
      <w:r w:rsidRPr="105B6A3F">
        <w:rPr>
          <w:rFonts w:ascii="Calibri" w:eastAsia="Calibri" w:hAnsi="Calibri" w:cs="Calibri"/>
          <w:color w:val="000000" w:themeColor="text1"/>
        </w:rPr>
        <w:t>The ODE will not set new targets until we hear from our partners. There are several ways to set new targets. It could be a percentage increase, start with the end game in mind, or examine trends over time and make predictions based on trends. Some helpful information about setting targets:</w:t>
      </w:r>
    </w:p>
    <w:p w14:paraId="432898C8" w14:textId="71B97563" w:rsidR="0E6BE1FC" w:rsidRDefault="0E6BE1FC" w:rsidP="4D0E0F7D">
      <w:pPr>
        <w:pStyle w:val="ListParagraph"/>
        <w:numPr>
          <w:ilvl w:val="0"/>
          <w:numId w:val="4"/>
        </w:numPr>
        <w:rPr>
          <w:rFonts w:eastAsiaTheme="minorEastAsia"/>
          <w:color w:val="000000" w:themeColor="text1"/>
          <w:sz w:val="24"/>
          <w:szCs w:val="24"/>
        </w:rPr>
      </w:pPr>
      <w:r w:rsidRPr="4D0E0F7D">
        <w:rPr>
          <w:rFonts w:ascii="Calibri" w:eastAsia="Calibri" w:hAnsi="Calibri" w:cs="Calibri"/>
          <w:color w:val="000000" w:themeColor="text1"/>
          <w:sz w:val="24"/>
          <w:szCs w:val="24"/>
        </w:rPr>
        <w:t>Targets are meant to support improved results and outcomes for children and families. They should be within reach but still show growth. </w:t>
      </w:r>
    </w:p>
    <w:p w14:paraId="3BC35269" w14:textId="12D1CC77" w:rsidR="0E6BE1FC" w:rsidRDefault="0E6BE1FC" w:rsidP="4D0E0F7D">
      <w:pPr>
        <w:pStyle w:val="ListParagraph"/>
        <w:numPr>
          <w:ilvl w:val="0"/>
          <w:numId w:val="4"/>
        </w:numPr>
        <w:rPr>
          <w:rFonts w:eastAsiaTheme="minorEastAsia"/>
          <w:color w:val="000000" w:themeColor="text1"/>
          <w:sz w:val="24"/>
          <w:szCs w:val="24"/>
        </w:rPr>
      </w:pPr>
      <w:r w:rsidRPr="4D0E0F7D">
        <w:rPr>
          <w:rFonts w:ascii="Calibri" w:eastAsia="Calibri" w:hAnsi="Calibri" w:cs="Calibri"/>
          <w:color w:val="000000" w:themeColor="text1"/>
          <w:sz w:val="24"/>
          <w:szCs w:val="24"/>
        </w:rPr>
        <w:t>Change takes time. Targets can be created with this understanding in mind. For example, targets may stay the same for several years in a row, and then increase slightly during the final target year (FFY 2025). Or show a slight increase each year.</w:t>
      </w:r>
    </w:p>
    <w:p w14:paraId="29ACC891" w14:textId="193ECA44" w:rsidR="0E6BE1FC" w:rsidRDefault="0E6BE1FC" w:rsidP="563487A3">
      <w:pPr>
        <w:pStyle w:val="ListParagraph"/>
        <w:numPr>
          <w:ilvl w:val="0"/>
          <w:numId w:val="4"/>
        </w:numPr>
        <w:rPr>
          <w:rFonts w:eastAsiaTheme="minorEastAsia"/>
          <w:color w:val="000000" w:themeColor="text1"/>
          <w:sz w:val="24"/>
          <w:szCs w:val="24"/>
        </w:rPr>
      </w:pPr>
      <w:r w:rsidRPr="563487A3">
        <w:rPr>
          <w:rFonts w:ascii="Calibri" w:eastAsia="Calibri" w:hAnsi="Calibri" w:cs="Calibri"/>
          <w:color w:val="000000" w:themeColor="text1"/>
          <w:sz w:val="24"/>
          <w:szCs w:val="24"/>
        </w:rPr>
        <w:t>The goal for this indicator is to be at or above the target</w:t>
      </w:r>
      <w:r w:rsidR="210EB38A" w:rsidRPr="563487A3">
        <w:rPr>
          <w:rFonts w:ascii="Calibri" w:eastAsia="Calibri" w:hAnsi="Calibri" w:cs="Calibri"/>
          <w:color w:val="000000" w:themeColor="text1"/>
          <w:sz w:val="24"/>
          <w:szCs w:val="24"/>
        </w:rPr>
        <w:t xml:space="preserve"> for area </w:t>
      </w:r>
      <w:r w:rsidR="210EB38A" w:rsidRPr="563487A3">
        <w:rPr>
          <w:rFonts w:ascii="Calibri" w:eastAsia="Calibri" w:hAnsi="Calibri" w:cs="Calibri"/>
          <w:b/>
          <w:bCs/>
          <w:color w:val="000000" w:themeColor="text1"/>
          <w:sz w:val="24"/>
          <w:szCs w:val="24"/>
        </w:rPr>
        <w:t>A</w:t>
      </w:r>
      <w:r w:rsidR="210EB38A" w:rsidRPr="563487A3">
        <w:rPr>
          <w:rFonts w:ascii="Calibri" w:eastAsia="Calibri" w:hAnsi="Calibri" w:cs="Calibri"/>
          <w:color w:val="000000" w:themeColor="text1"/>
          <w:sz w:val="24"/>
          <w:szCs w:val="24"/>
        </w:rPr>
        <w:t xml:space="preserve">, and at or below target for </w:t>
      </w:r>
      <w:r w:rsidR="43FCA528" w:rsidRPr="563487A3">
        <w:rPr>
          <w:rFonts w:ascii="Calibri" w:eastAsia="Calibri" w:hAnsi="Calibri" w:cs="Calibri"/>
          <w:color w:val="000000" w:themeColor="text1"/>
          <w:sz w:val="24"/>
          <w:szCs w:val="24"/>
        </w:rPr>
        <w:t>a</w:t>
      </w:r>
      <w:r w:rsidR="210EB38A" w:rsidRPr="563487A3">
        <w:rPr>
          <w:rFonts w:ascii="Calibri" w:eastAsia="Calibri" w:hAnsi="Calibri" w:cs="Calibri"/>
          <w:color w:val="000000" w:themeColor="text1"/>
          <w:sz w:val="24"/>
          <w:szCs w:val="24"/>
        </w:rPr>
        <w:t>rea</w:t>
      </w:r>
      <w:r w:rsidR="362D2AE8" w:rsidRPr="563487A3">
        <w:rPr>
          <w:rFonts w:ascii="Calibri" w:eastAsia="Calibri" w:hAnsi="Calibri" w:cs="Calibri"/>
          <w:color w:val="000000" w:themeColor="text1"/>
          <w:sz w:val="24"/>
          <w:szCs w:val="24"/>
        </w:rPr>
        <w:t>s</w:t>
      </w:r>
      <w:r w:rsidR="210EB38A" w:rsidRPr="563487A3">
        <w:rPr>
          <w:rFonts w:ascii="Calibri" w:eastAsia="Calibri" w:hAnsi="Calibri" w:cs="Calibri"/>
          <w:color w:val="000000" w:themeColor="text1"/>
          <w:sz w:val="24"/>
          <w:szCs w:val="24"/>
        </w:rPr>
        <w:t xml:space="preserve"> </w:t>
      </w:r>
      <w:r w:rsidR="210EB38A" w:rsidRPr="563487A3">
        <w:rPr>
          <w:rFonts w:ascii="Calibri" w:eastAsia="Calibri" w:hAnsi="Calibri" w:cs="Calibri"/>
          <w:b/>
          <w:bCs/>
          <w:color w:val="000000" w:themeColor="text1"/>
          <w:sz w:val="24"/>
          <w:szCs w:val="24"/>
        </w:rPr>
        <w:t>B</w:t>
      </w:r>
      <w:r w:rsidR="210EB38A" w:rsidRPr="563487A3">
        <w:rPr>
          <w:rFonts w:ascii="Calibri" w:eastAsia="Calibri" w:hAnsi="Calibri" w:cs="Calibri"/>
          <w:color w:val="000000" w:themeColor="text1"/>
          <w:sz w:val="24"/>
          <w:szCs w:val="24"/>
        </w:rPr>
        <w:t xml:space="preserve"> and </w:t>
      </w:r>
      <w:r w:rsidR="210EB38A" w:rsidRPr="563487A3">
        <w:rPr>
          <w:rFonts w:ascii="Calibri" w:eastAsia="Calibri" w:hAnsi="Calibri" w:cs="Calibri"/>
          <w:b/>
          <w:bCs/>
          <w:color w:val="000000" w:themeColor="text1"/>
          <w:sz w:val="24"/>
          <w:szCs w:val="24"/>
        </w:rPr>
        <w:t>C</w:t>
      </w:r>
      <w:r w:rsidR="210EB38A" w:rsidRPr="563487A3">
        <w:rPr>
          <w:rFonts w:ascii="Calibri" w:eastAsia="Calibri" w:hAnsi="Calibri" w:cs="Calibri"/>
          <w:color w:val="000000" w:themeColor="text1"/>
          <w:sz w:val="24"/>
          <w:szCs w:val="24"/>
        </w:rPr>
        <w:t>.</w:t>
      </w:r>
      <w:r w:rsidR="13007DAD" w:rsidRPr="563487A3">
        <w:rPr>
          <w:rFonts w:ascii="Calibri" w:eastAsia="Calibri" w:hAnsi="Calibri" w:cs="Calibri"/>
          <w:color w:val="000000" w:themeColor="text1"/>
          <w:sz w:val="24"/>
          <w:szCs w:val="24"/>
        </w:rPr>
        <w:t xml:space="preserve">  </w:t>
      </w:r>
    </w:p>
    <w:p w14:paraId="754BDB68" w14:textId="3D70C1F3" w:rsidR="0E6BE1FC" w:rsidRDefault="260FF05A" w:rsidP="45AF07F7">
      <w:pPr>
        <w:pStyle w:val="ListParagraph"/>
        <w:numPr>
          <w:ilvl w:val="0"/>
          <w:numId w:val="4"/>
        </w:numPr>
        <w:rPr>
          <w:rFonts w:eastAsiaTheme="minorEastAsia"/>
          <w:color w:val="000000" w:themeColor="text1"/>
          <w:sz w:val="24"/>
          <w:szCs w:val="24"/>
        </w:rPr>
      </w:pPr>
      <w:r w:rsidRPr="45AF07F7">
        <w:rPr>
          <w:rFonts w:ascii="Calibri" w:eastAsia="Calibri" w:hAnsi="Calibri" w:cs="Calibri"/>
          <w:color w:val="000000" w:themeColor="text1"/>
          <w:sz w:val="24"/>
          <w:szCs w:val="24"/>
        </w:rPr>
        <w:t>Currently the placement in the home setting for delivery of special education services is at 10.25%.  Targets for the future should be at or below this level.</w:t>
      </w:r>
    </w:p>
    <w:p w14:paraId="650662D1" w14:textId="3C938B49" w:rsidR="0900F060" w:rsidRDefault="0900F060" w:rsidP="45AF07F7">
      <w:pPr>
        <w:pStyle w:val="ListParagraph"/>
        <w:numPr>
          <w:ilvl w:val="0"/>
          <w:numId w:val="4"/>
        </w:numPr>
        <w:rPr>
          <w:color w:val="000000" w:themeColor="text1"/>
          <w:sz w:val="24"/>
          <w:szCs w:val="24"/>
        </w:rPr>
      </w:pPr>
      <w:r w:rsidRPr="45AF07F7">
        <w:rPr>
          <w:rFonts w:ascii="Calibri" w:eastAsia="Calibri" w:hAnsi="Calibri" w:cs="Calibri"/>
          <w:color w:val="000000" w:themeColor="text1"/>
          <w:sz w:val="24"/>
          <w:szCs w:val="24"/>
        </w:rPr>
        <w:t>This indicator has been affected by C</w:t>
      </w:r>
      <w:r w:rsidR="005B741F">
        <w:rPr>
          <w:rFonts w:ascii="Calibri" w:eastAsia="Calibri" w:hAnsi="Calibri" w:cs="Calibri"/>
          <w:color w:val="000000" w:themeColor="text1"/>
          <w:sz w:val="24"/>
          <w:szCs w:val="24"/>
        </w:rPr>
        <w:t>OVID-</w:t>
      </w:r>
      <w:r w:rsidRPr="45AF07F7">
        <w:rPr>
          <w:rFonts w:ascii="Calibri" w:eastAsia="Calibri" w:hAnsi="Calibri" w:cs="Calibri"/>
          <w:color w:val="000000" w:themeColor="text1"/>
          <w:sz w:val="24"/>
          <w:szCs w:val="24"/>
        </w:rPr>
        <w:t>19 restrictions and there was a reduction of placements</w:t>
      </w:r>
      <w:r w:rsidR="3083DCD5" w:rsidRPr="45AF07F7">
        <w:rPr>
          <w:rFonts w:ascii="Calibri" w:eastAsia="Calibri" w:hAnsi="Calibri" w:cs="Calibri"/>
          <w:color w:val="000000" w:themeColor="text1"/>
          <w:sz w:val="24"/>
          <w:szCs w:val="24"/>
        </w:rPr>
        <w:t xml:space="preserve"> in community sites and an increase in placements in other sites this past year.</w:t>
      </w:r>
    </w:p>
    <w:p w14:paraId="74CA71EE" w14:textId="34D585F6" w:rsidR="0E6BE1FC" w:rsidRDefault="0E6BE1FC" w:rsidP="440AB443">
      <w:pPr>
        <w:spacing w:after="0"/>
        <w:rPr>
          <w:rFonts w:ascii="Calibri" w:eastAsia="Calibri" w:hAnsi="Calibri" w:cs="Calibri"/>
          <w:color w:val="408740"/>
          <w:sz w:val="24"/>
          <w:szCs w:val="24"/>
        </w:rPr>
      </w:pPr>
      <w:r w:rsidRPr="440AB443">
        <w:rPr>
          <w:rFonts w:ascii="Calibri" w:eastAsia="Calibri" w:hAnsi="Calibri" w:cs="Calibri"/>
          <w:b/>
          <w:bCs/>
          <w:color w:val="408740"/>
          <w:sz w:val="24"/>
          <w:szCs w:val="24"/>
        </w:rPr>
        <w:t>Example A</w:t>
      </w:r>
    </w:p>
    <w:tbl>
      <w:tblPr>
        <w:tblStyle w:val="TableGrid"/>
        <w:tblW w:w="0" w:type="auto"/>
        <w:tblLayout w:type="fixed"/>
        <w:tblLook w:val="04A0" w:firstRow="1" w:lastRow="0" w:firstColumn="1" w:lastColumn="0" w:noHBand="0" w:noVBand="1"/>
        <w:tblCaption w:val="Example A"/>
      </w:tblPr>
      <w:tblGrid>
        <w:gridCol w:w="2220"/>
        <w:gridCol w:w="1275"/>
        <w:gridCol w:w="1275"/>
        <w:gridCol w:w="1275"/>
        <w:gridCol w:w="1275"/>
        <w:gridCol w:w="1275"/>
        <w:gridCol w:w="1275"/>
      </w:tblGrid>
      <w:tr w:rsidR="4D0E0F7D" w14:paraId="3DEB0825" w14:textId="77777777" w:rsidTr="00A25114">
        <w:trPr>
          <w:tblHeader/>
        </w:trPr>
        <w:tc>
          <w:tcPr>
            <w:tcW w:w="2220" w:type="dxa"/>
            <w:shd w:val="clear" w:color="auto" w:fill="FFD966" w:themeFill="accent4" w:themeFillTint="99"/>
          </w:tcPr>
          <w:p w14:paraId="34DFB917" w14:textId="1E8C7C9C"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FFY</w:t>
            </w:r>
          </w:p>
        </w:tc>
        <w:tc>
          <w:tcPr>
            <w:tcW w:w="1275" w:type="dxa"/>
            <w:shd w:val="clear" w:color="auto" w:fill="FFD966" w:themeFill="accent4" w:themeFillTint="99"/>
          </w:tcPr>
          <w:p w14:paraId="37E8E5E5" w14:textId="246A30BD"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2020</w:t>
            </w:r>
          </w:p>
        </w:tc>
        <w:tc>
          <w:tcPr>
            <w:tcW w:w="1275" w:type="dxa"/>
            <w:shd w:val="clear" w:color="auto" w:fill="FFD966" w:themeFill="accent4" w:themeFillTint="99"/>
          </w:tcPr>
          <w:p w14:paraId="61EDA470" w14:textId="3421E923"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2021</w:t>
            </w:r>
          </w:p>
        </w:tc>
        <w:tc>
          <w:tcPr>
            <w:tcW w:w="1275" w:type="dxa"/>
            <w:shd w:val="clear" w:color="auto" w:fill="FFD966" w:themeFill="accent4" w:themeFillTint="99"/>
          </w:tcPr>
          <w:p w14:paraId="02B49ED1" w14:textId="1FE62FD4"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2022</w:t>
            </w:r>
          </w:p>
        </w:tc>
        <w:tc>
          <w:tcPr>
            <w:tcW w:w="1275" w:type="dxa"/>
            <w:shd w:val="clear" w:color="auto" w:fill="FFD966" w:themeFill="accent4" w:themeFillTint="99"/>
          </w:tcPr>
          <w:p w14:paraId="5BFEAA9C" w14:textId="3481E9B6"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2023</w:t>
            </w:r>
          </w:p>
        </w:tc>
        <w:tc>
          <w:tcPr>
            <w:tcW w:w="1275" w:type="dxa"/>
            <w:shd w:val="clear" w:color="auto" w:fill="FFD966" w:themeFill="accent4" w:themeFillTint="99"/>
          </w:tcPr>
          <w:p w14:paraId="47A82655" w14:textId="0331CC3A"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2024</w:t>
            </w:r>
          </w:p>
        </w:tc>
        <w:tc>
          <w:tcPr>
            <w:tcW w:w="1275" w:type="dxa"/>
            <w:shd w:val="clear" w:color="auto" w:fill="FFD966" w:themeFill="accent4" w:themeFillTint="99"/>
          </w:tcPr>
          <w:p w14:paraId="3BB163EC" w14:textId="40D67193"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2025</w:t>
            </w:r>
          </w:p>
        </w:tc>
      </w:tr>
      <w:tr w:rsidR="4D0E0F7D" w14:paraId="2633055E" w14:textId="77777777" w:rsidTr="77603532">
        <w:tc>
          <w:tcPr>
            <w:tcW w:w="2220" w:type="dxa"/>
          </w:tcPr>
          <w:p w14:paraId="6DA72857" w14:textId="0EBFC09B" w:rsidR="4D0E0F7D" w:rsidRDefault="1F4311E1" w:rsidP="563487A3">
            <w:pPr>
              <w:spacing w:line="259" w:lineRule="auto"/>
              <w:rPr>
                <w:rFonts w:ascii="Calibri" w:eastAsia="Calibri" w:hAnsi="Calibri" w:cs="Calibri"/>
              </w:rPr>
            </w:pPr>
            <w:r w:rsidRPr="563487A3">
              <w:rPr>
                <w:rFonts w:ascii="Calibri" w:eastAsia="Calibri" w:hAnsi="Calibri" w:cs="Calibri"/>
              </w:rPr>
              <w:t xml:space="preserve">A: </w:t>
            </w:r>
            <w:r w:rsidR="4D0E0F7D" w:rsidRPr="563487A3">
              <w:rPr>
                <w:rFonts w:ascii="Calibri" w:eastAsia="Calibri" w:hAnsi="Calibri" w:cs="Calibri"/>
              </w:rPr>
              <w:t>Targets ≥</w:t>
            </w:r>
          </w:p>
        </w:tc>
        <w:tc>
          <w:tcPr>
            <w:tcW w:w="1275" w:type="dxa"/>
          </w:tcPr>
          <w:p w14:paraId="0DF61BF0" w14:textId="61643800" w:rsidR="4D0E0F7D" w:rsidRDefault="1826E863" w:rsidP="2C436F9F">
            <w:pPr>
              <w:spacing w:line="259" w:lineRule="auto"/>
              <w:jc w:val="center"/>
              <w:rPr>
                <w:rFonts w:ascii="Calibri" w:eastAsia="Calibri" w:hAnsi="Calibri" w:cs="Calibri"/>
              </w:rPr>
            </w:pPr>
            <w:r w:rsidRPr="2C436F9F">
              <w:rPr>
                <w:rFonts w:ascii="Calibri" w:eastAsia="Calibri" w:hAnsi="Calibri" w:cs="Calibri"/>
              </w:rPr>
              <w:t xml:space="preserve">Baseline: </w:t>
            </w:r>
            <w:r w:rsidR="7AA0F911" w:rsidRPr="2C436F9F">
              <w:rPr>
                <w:rFonts w:ascii="Calibri" w:eastAsia="Calibri" w:hAnsi="Calibri" w:cs="Calibri"/>
              </w:rPr>
              <w:t>48.16</w:t>
            </w:r>
            <w:r w:rsidR="0C4CB667" w:rsidRPr="2C436F9F">
              <w:rPr>
                <w:rFonts w:ascii="Calibri" w:eastAsia="Calibri" w:hAnsi="Calibri" w:cs="Calibri"/>
              </w:rPr>
              <w:t>%</w:t>
            </w:r>
          </w:p>
        </w:tc>
        <w:tc>
          <w:tcPr>
            <w:tcW w:w="1275" w:type="dxa"/>
          </w:tcPr>
          <w:p w14:paraId="71CFA088" w14:textId="513A4123"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48.16</w:t>
            </w:r>
            <w:r w:rsidR="161A5538" w:rsidRPr="2C436F9F">
              <w:rPr>
                <w:rFonts w:ascii="Calibri" w:eastAsia="Calibri" w:hAnsi="Calibri" w:cs="Calibri"/>
              </w:rPr>
              <w:t>%</w:t>
            </w:r>
          </w:p>
        </w:tc>
        <w:tc>
          <w:tcPr>
            <w:tcW w:w="1275" w:type="dxa"/>
          </w:tcPr>
          <w:p w14:paraId="70A84EB4" w14:textId="69837454"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48.16</w:t>
            </w:r>
            <w:r w:rsidR="0334E29D" w:rsidRPr="2C436F9F">
              <w:rPr>
                <w:rFonts w:ascii="Calibri" w:eastAsia="Calibri" w:hAnsi="Calibri" w:cs="Calibri"/>
              </w:rPr>
              <w:t>%</w:t>
            </w:r>
          </w:p>
        </w:tc>
        <w:tc>
          <w:tcPr>
            <w:tcW w:w="1275" w:type="dxa"/>
          </w:tcPr>
          <w:p w14:paraId="2BA54887" w14:textId="360DDE9E"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48.50</w:t>
            </w:r>
            <w:r w:rsidR="5B1063F4" w:rsidRPr="2C436F9F">
              <w:rPr>
                <w:rFonts w:ascii="Calibri" w:eastAsia="Calibri" w:hAnsi="Calibri" w:cs="Calibri"/>
              </w:rPr>
              <w:t>%</w:t>
            </w:r>
          </w:p>
        </w:tc>
        <w:tc>
          <w:tcPr>
            <w:tcW w:w="1275" w:type="dxa"/>
          </w:tcPr>
          <w:p w14:paraId="273F7B53" w14:textId="1A0401FE"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48.50</w:t>
            </w:r>
            <w:r w:rsidR="1253CF87" w:rsidRPr="2C436F9F">
              <w:rPr>
                <w:rFonts w:ascii="Calibri" w:eastAsia="Calibri" w:hAnsi="Calibri" w:cs="Calibri"/>
              </w:rPr>
              <w:t>%</w:t>
            </w:r>
          </w:p>
        </w:tc>
        <w:tc>
          <w:tcPr>
            <w:tcW w:w="1275" w:type="dxa"/>
          </w:tcPr>
          <w:p w14:paraId="636B64B3" w14:textId="50A01A3C"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49.00</w:t>
            </w:r>
            <w:r w:rsidR="5BB940B7" w:rsidRPr="2C436F9F">
              <w:rPr>
                <w:rFonts w:ascii="Calibri" w:eastAsia="Calibri" w:hAnsi="Calibri" w:cs="Calibri"/>
              </w:rPr>
              <w:t>%</w:t>
            </w:r>
          </w:p>
        </w:tc>
      </w:tr>
      <w:tr w:rsidR="563487A3" w14:paraId="1C2A89E1" w14:textId="77777777" w:rsidTr="77603532">
        <w:trPr>
          <w:trHeight w:val="300"/>
        </w:trPr>
        <w:tc>
          <w:tcPr>
            <w:tcW w:w="2220" w:type="dxa"/>
          </w:tcPr>
          <w:p w14:paraId="0C87EC69" w14:textId="3DE21DFC" w:rsidR="0C876602" w:rsidRDefault="0C876602" w:rsidP="2C436F9F">
            <w:pPr>
              <w:spacing w:line="259" w:lineRule="auto"/>
              <w:rPr>
                <w:rFonts w:ascii="Calibri" w:eastAsia="Calibri" w:hAnsi="Calibri" w:cs="Calibri"/>
              </w:rPr>
            </w:pPr>
            <w:r w:rsidRPr="2C436F9F">
              <w:rPr>
                <w:rFonts w:ascii="Calibri" w:eastAsia="Calibri" w:hAnsi="Calibri" w:cs="Calibri"/>
              </w:rPr>
              <w:t xml:space="preserve">B: Target </w:t>
            </w:r>
            <w:r w:rsidR="666E2AC5" w:rsidRPr="2C436F9F">
              <w:rPr>
                <w:rFonts w:ascii="Calibri" w:eastAsia="Calibri" w:hAnsi="Calibri" w:cs="Calibri"/>
              </w:rPr>
              <w:t>≤</w:t>
            </w:r>
          </w:p>
        </w:tc>
        <w:tc>
          <w:tcPr>
            <w:tcW w:w="1275" w:type="dxa"/>
          </w:tcPr>
          <w:p w14:paraId="2E6F675F" w14:textId="01F1E50E" w:rsidR="10BB1120" w:rsidRDefault="1F250579" w:rsidP="2C436F9F">
            <w:pPr>
              <w:spacing w:line="259" w:lineRule="auto"/>
              <w:jc w:val="center"/>
              <w:rPr>
                <w:rFonts w:ascii="Calibri" w:eastAsia="Calibri" w:hAnsi="Calibri" w:cs="Calibri"/>
              </w:rPr>
            </w:pPr>
            <w:r w:rsidRPr="77603532">
              <w:rPr>
                <w:rFonts w:ascii="Calibri" w:eastAsia="Calibri" w:hAnsi="Calibri" w:cs="Calibri"/>
              </w:rPr>
              <w:t xml:space="preserve">Baseline: </w:t>
            </w:r>
            <w:r w:rsidR="6FAA0BD6" w:rsidRPr="77603532">
              <w:rPr>
                <w:rFonts w:ascii="Calibri" w:eastAsia="Calibri" w:hAnsi="Calibri" w:cs="Calibri"/>
              </w:rPr>
              <w:t>23.50</w:t>
            </w:r>
            <w:r w:rsidR="29418584" w:rsidRPr="77603532">
              <w:rPr>
                <w:rFonts w:ascii="Calibri" w:eastAsia="Calibri" w:hAnsi="Calibri" w:cs="Calibri"/>
              </w:rPr>
              <w:t>%</w:t>
            </w:r>
          </w:p>
        </w:tc>
        <w:tc>
          <w:tcPr>
            <w:tcW w:w="1275" w:type="dxa"/>
          </w:tcPr>
          <w:p w14:paraId="05693603" w14:textId="65F1CB10"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23.50</w:t>
            </w:r>
            <w:r w:rsidR="50BDD47B" w:rsidRPr="2C436F9F">
              <w:rPr>
                <w:rFonts w:ascii="Calibri" w:eastAsia="Calibri" w:hAnsi="Calibri" w:cs="Calibri"/>
              </w:rPr>
              <w:t>%</w:t>
            </w:r>
          </w:p>
        </w:tc>
        <w:tc>
          <w:tcPr>
            <w:tcW w:w="1275" w:type="dxa"/>
          </w:tcPr>
          <w:p w14:paraId="65BFC708" w14:textId="693D50BD"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23.50</w:t>
            </w:r>
            <w:r w:rsidR="772ECE21" w:rsidRPr="2C436F9F">
              <w:rPr>
                <w:rFonts w:ascii="Calibri" w:eastAsia="Calibri" w:hAnsi="Calibri" w:cs="Calibri"/>
              </w:rPr>
              <w:t>%</w:t>
            </w:r>
          </w:p>
        </w:tc>
        <w:tc>
          <w:tcPr>
            <w:tcW w:w="1275" w:type="dxa"/>
          </w:tcPr>
          <w:p w14:paraId="3476696D" w14:textId="00B0521D"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23.00</w:t>
            </w:r>
            <w:r w:rsidR="1242DBDC" w:rsidRPr="2C436F9F">
              <w:rPr>
                <w:rFonts w:ascii="Calibri" w:eastAsia="Calibri" w:hAnsi="Calibri" w:cs="Calibri"/>
              </w:rPr>
              <w:t>%</w:t>
            </w:r>
          </w:p>
        </w:tc>
        <w:tc>
          <w:tcPr>
            <w:tcW w:w="1275" w:type="dxa"/>
          </w:tcPr>
          <w:p w14:paraId="63E0E9DC" w14:textId="1923848F"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23.00</w:t>
            </w:r>
            <w:r w:rsidR="5A166F1E" w:rsidRPr="2C436F9F">
              <w:rPr>
                <w:rFonts w:ascii="Calibri" w:eastAsia="Calibri" w:hAnsi="Calibri" w:cs="Calibri"/>
              </w:rPr>
              <w:t>%</w:t>
            </w:r>
          </w:p>
        </w:tc>
        <w:tc>
          <w:tcPr>
            <w:tcW w:w="1275" w:type="dxa"/>
          </w:tcPr>
          <w:p w14:paraId="469E9451" w14:textId="4717CD16"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22.50</w:t>
            </w:r>
            <w:r w:rsidR="5AE3C6A7" w:rsidRPr="2C436F9F">
              <w:rPr>
                <w:rFonts w:ascii="Calibri" w:eastAsia="Calibri" w:hAnsi="Calibri" w:cs="Calibri"/>
              </w:rPr>
              <w:t>%</w:t>
            </w:r>
          </w:p>
        </w:tc>
      </w:tr>
      <w:tr w:rsidR="563487A3" w14:paraId="09F5C738" w14:textId="77777777" w:rsidTr="77603532">
        <w:tc>
          <w:tcPr>
            <w:tcW w:w="2220" w:type="dxa"/>
          </w:tcPr>
          <w:p w14:paraId="20AB3F5A" w14:textId="2CBD8B10" w:rsidR="40C215C7" w:rsidRDefault="40C215C7" w:rsidP="563487A3">
            <w:pPr>
              <w:spacing w:line="259" w:lineRule="auto"/>
              <w:rPr>
                <w:rFonts w:ascii="Arial" w:eastAsia="Arial" w:hAnsi="Arial" w:cs="Arial"/>
                <w:sz w:val="16"/>
                <w:szCs w:val="16"/>
              </w:rPr>
            </w:pPr>
            <w:r w:rsidRPr="2C436F9F">
              <w:rPr>
                <w:rFonts w:ascii="Calibri" w:eastAsia="Calibri" w:hAnsi="Calibri" w:cs="Calibri"/>
              </w:rPr>
              <w:t xml:space="preserve">C: </w:t>
            </w:r>
            <w:r w:rsidR="2D2EA812" w:rsidRPr="2C436F9F">
              <w:rPr>
                <w:rFonts w:ascii="Calibri" w:eastAsia="Calibri" w:hAnsi="Calibri" w:cs="Calibri"/>
              </w:rPr>
              <w:t>Target ≤</w:t>
            </w:r>
          </w:p>
        </w:tc>
        <w:tc>
          <w:tcPr>
            <w:tcW w:w="1275" w:type="dxa"/>
          </w:tcPr>
          <w:p w14:paraId="134C4CCF" w14:textId="0F84CC02" w:rsidR="3D9D1780" w:rsidRDefault="79DC1EF6" w:rsidP="105B6A3F">
            <w:pPr>
              <w:spacing w:line="259" w:lineRule="auto"/>
              <w:jc w:val="center"/>
              <w:rPr>
                <w:rFonts w:ascii="Calibri" w:eastAsia="Calibri" w:hAnsi="Calibri" w:cs="Calibri"/>
              </w:rPr>
            </w:pPr>
            <w:r w:rsidRPr="105B6A3F">
              <w:rPr>
                <w:rFonts w:ascii="Calibri" w:eastAsia="Calibri" w:hAnsi="Calibri" w:cs="Calibri"/>
              </w:rPr>
              <w:t>Baseline: 10.25%</w:t>
            </w:r>
          </w:p>
        </w:tc>
        <w:tc>
          <w:tcPr>
            <w:tcW w:w="1275" w:type="dxa"/>
          </w:tcPr>
          <w:p w14:paraId="7935ED3B" w14:textId="10E60B33"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10.25</w:t>
            </w:r>
            <w:r w:rsidR="339734B7" w:rsidRPr="2C436F9F">
              <w:rPr>
                <w:rFonts w:ascii="Calibri" w:eastAsia="Calibri" w:hAnsi="Calibri" w:cs="Calibri"/>
              </w:rPr>
              <w:t>%</w:t>
            </w:r>
          </w:p>
        </w:tc>
        <w:tc>
          <w:tcPr>
            <w:tcW w:w="1275" w:type="dxa"/>
          </w:tcPr>
          <w:p w14:paraId="701AC79A" w14:textId="1A7274E0"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10.25</w:t>
            </w:r>
            <w:r w:rsidR="53FB2DBF" w:rsidRPr="2C436F9F">
              <w:rPr>
                <w:rFonts w:ascii="Calibri" w:eastAsia="Calibri" w:hAnsi="Calibri" w:cs="Calibri"/>
              </w:rPr>
              <w:t>%</w:t>
            </w:r>
          </w:p>
        </w:tc>
        <w:tc>
          <w:tcPr>
            <w:tcW w:w="1275" w:type="dxa"/>
          </w:tcPr>
          <w:p w14:paraId="6EED264C" w14:textId="34051E1B"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10.00</w:t>
            </w:r>
            <w:r w:rsidR="48D07565" w:rsidRPr="2C436F9F">
              <w:rPr>
                <w:rFonts w:ascii="Calibri" w:eastAsia="Calibri" w:hAnsi="Calibri" w:cs="Calibri"/>
              </w:rPr>
              <w:t>%</w:t>
            </w:r>
          </w:p>
        </w:tc>
        <w:tc>
          <w:tcPr>
            <w:tcW w:w="1275" w:type="dxa"/>
          </w:tcPr>
          <w:p w14:paraId="6AD646D6" w14:textId="65F81EB2"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10.00</w:t>
            </w:r>
            <w:r w:rsidR="3CB72B11" w:rsidRPr="2C436F9F">
              <w:rPr>
                <w:rFonts w:ascii="Calibri" w:eastAsia="Calibri" w:hAnsi="Calibri" w:cs="Calibri"/>
              </w:rPr>
              <w:t>%</w:t>
            </w:r>
          </w:p>
        </w:tc>
        <w:tc>
          <w:tcPr>
            <w:tcW w:w="1275" w:type="dxa"/>
          </w:tcPr>
          <w:p w14:paraId="0C919CD9" w14:textId="67FF0C51"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9.75</w:t>
            </w:r>
            <w:r w:rsidR="62B34E12" w:rsidRPr="2C436F9F">
              <w:rPr>
                <w:rFonts w:ascii="Calibri" w:eastAsia="Calibri" w:hAnsi="Calibri" w:cs="Calibri"/>
              </w:rPr>
              <w:t>%</w:t>
            </w:r>
          </w:p>
        </w:tc>
      </w:tr>
    </w:tbl>
    <w:p w14:paraId="518172A2" w14:textId="142A57B1" w:rsidR="617D639D" w:rsidRDefault="617D639D" w:rsidP="4D0E0F7D">
      <w:pPr>
        <w:rPr>
          <w:rFonts w:ascii="Calibri" w:eastAsia="Calibri" w:hAnsi="Calibri" w:cs="Calibri"/>
          <w:color w:val="000000" w:themeColor="text1"/>
        </w:rPr>
      </w:pPr>
      <w:r w:rsidRPr="4D0E0F7D">
        <w:rPr>
          <w:rFonts w:ascii="Calibri" w:eastAsia="Calibri" w:hAnsi="Calibri" w:cs="Calibri"/>
          <w:color w:val="000000" w:themeColor="text1"/>
        </w:rPr>
        <w:t>Example A shows a gradual increase.</w:t>
      </w:r>
    </w:p>
    <w:p w14:paraId="418E8CF8" w14:textId="4CD38DD6" w:rsidR="617D639D" w:rsidRDefault="617D639D" w:rsidP="440AB443">
      <w:pPr>
        <w:spacing w:after="0"/>
        <w:rPr>
          <w:rFonts w:ascii="Calibri" w:eastAsia="Calibri" w:hAnsi="Calibri" w:cs="Calibri"/>
          <w:color w:val="408740"/>
          <w:sz w:val="24"/>
          <w:szCs w:val="24"/>
        </w:rPr>
      </w:pPr>
      <w:r w:rsidRPr="440AB443">
        <w:rPr>
          <w:rFonts w:ascii="Calibri" w:eastAsia="Calibri" w:hAnsi="Calibri" w:cs="Calibri"/>
          <w:b/>
          <w:bCs/>
          <w:color w:val="408740"/>
          <w:sz w:val="24"/>
          <w:szCs w:val="24"/>
        </w:rPr>
        <w:t>Example B</w:t>
      </w:r>
    </w:p>
    <w:tbl>
      <w:tblPr>
        <w:tblStyle w:val="TableGrid"/>
        <w:tblW w:w="0" w:type="auto"/>
        <w:tblLayout w:type="fixed"/>
        <w:tblLook w:val="04A0" w:firstRow="1" w:lastRow="0" w:firstColumn="1" w:lastColumn="0" w:noHBand="0" w:noVBand="1"/>
        <w:tblCaption w:val="Example B"/>
      </w:tblPr>
      <w:tblGrid>
        <w:gridCol w:w="2220"/>
        <w:gridCol w:w="1275"/>
        <w:gridCol w:w="1275"/>
        <w:gridCol w:w="1275"/>
        <w:gridCol w:w="1275"/>
        <w:gridCol w:w="1275"/>
        <w:gridCol w:w="1275"/>
      </w:tblGrid>
      <w:tr w:rsidR="4D0E0F7D" w14:paraId="5BF5BE6E" w14:textId="77777777" w:rsidTr="00A25114">
        <w:trPr>
          <w:tblHeader/>
        </w:trPr>
        <w:tc>
          <w:tcPr>
            <w:tcW w:w="2220" w:type="dxa"/>
            <w:shd w:val="clear" w:color="auto" w:fill="8496B0" w:themeFill="text2" w:themeFillTint="99"/>
          </w:tcPr>
          <w:p w14:paraId="36F59048" w14:textId="46664171" w:rsidR="4D0E0F7D" w:rsidRDefault="4D0E0F7D" w:rsidP="4D0E0F7D">
            <w:pPr>
              <w:spacing w:line="259" w:lineRule="auto"/>
              <w:jc w:val="center"/>
              <w:rPr>
                <w:rFonts w:ascii="Calibri" w:eastAsia="Calibri" w:hAnsi="Calibri" w:cs="Calibri"/>
              </w:rPr>
            </w:pPr>
            <w:bookmarkStart w:id="0" w:name="_GoBack" w:colFirst="0" w:colLast="7"/>
            <w:r w:rsidRPr="4D0E0F7D">
              <w:rPr>
                <w:rFonts w:ascii="Calibri" w:eastAsia="Calibri" w:hAnsi="Calibri" w:cs="Calibri"/>
                <w:b/>
                <w:bCs/>
              </w:rPr>
              <w:t>FFY</w:t>
            </w:r>
          </w:p>
        </w:tc>
        <w:tc>
          <w:tcPr>
            <w:tcW w:w="1275" w:type="dxa"/>
            <w:shd w:val="clear" w:color="auto" w:fill="8496B0" w:themeFill="text2" w:themeFillTint="99"/>
          </w:tcPr>
          <w:p w14:paraId="1F6337A3" w14:textId="02A84C5E"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2020</w:t>
            </w:r>
          </w:p>
        </w:tc>
        <w:tc>
          <w:tcPr>
            <w:tcW w:w="1275" w:type="dxa"/>
            <w:shd w:val="clear" w:color="auto" w:fill="8496B0" w:themeFill="text2" w:themeFillTint="99"/>
          </w:tcPr>
          <w:p w14:paraId="333819BF" w14:textId="2A195DEB"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2021</w:t>
            </w:r>
          </w:p>
        </w:tc>
        <w:tc>
          <w:tcPr>
            <w:tcW w:w="1275" w:type="dxa"/>
            <w:shd w:val="clear" w:color="auto" w:fill="8496B0" w:themeFill="text2" w:themeFillTint="99"/>
          </w:tcPr>
          <w:p w14:paraId="11F33FF2" w14:textId="5AB82B68"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2022</w:t>
            </w:r>
          </w:p>
        </w:tc>
        <w:tc>
          <w:tcPr>
            <w:tcW w:w="1275" w:type="dxa"/>
            <w:shd w:val="clear" w:color="auto" w:fill="8496B0" w:themeFill="text2" w:themeFillTint="99"/>
          </w:tcPr>
          <w:p w14:paraId="7EAB2695" w14:textId="6AABBC4C"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2023</w:t>
            </w:r>
          </w:p>
        </w:tc>
        <w:tc>
          <w:tcPr>
            <w:tcW w:w="1275" w:type="dxa"/>
            <w:shd w:val="clear" w:color="auto" w:fill="8496B0" w:themeFill="text2" w:themeFillTint="99"/>
          </w:tcPr>
          <w:p w14:paraId="36A2A0C2" w14:textId="00278846"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2024</w:t>
            </w:r>
          </w:p>
        </w:tc>
        <w:tc>
          <w:tcPr>
            <w:tcW w:w="1275" w:type="dxa"/>
            <w:shd w:val="clear" w:color="auto" w:fill="8496B0" w:themeFill="text2" w:themeFillTint="99"/>
          </w:tcPr>
          <w:p w14:paraId="60713094" w14:textId="1598A251"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2025</w:t>
            </w:r>
          </w:p>
        </w:tc>
      </w:tr>
      <w:bookmarkEnd w:id="0"/>
      <w:tr w:rsidR="4D0E0F7D" w14:paraId="1DA51015" w14:textId="77777777" w:rsidTr="2C436F9F">
        <w:tc>
          <w:tcPr>
            <w:tcW w:w="2220" w:type="dxa"/>
          </w:tcPr>
          <w:p w14:paraId="24EDBB91" w14:textId="49112826" w:rsidR="4D0E0F7D" w:rsidRDefault="4961E004" w:rsidP="563487A3">
            <w:pPr>
              <w:spacing w:line="259" w:lineRule="auto"/>
              <w:rPr>
                <w:rFonts w:ascii="Calibri" w:eastAsia="Calibri" w:hAnsi="Calibri" w:cs="Calibri"/>
              </w:rPr>
            </w:pPr>
            <w:r w:rsidRPr="563487A3">
              <w:rPr>
                <w:rFonts w:ascii="Calibri" w:eastAsia="Calibri" w:hAnsi="Calibri" w:cs="Calibri"/>
              </w:rPr>
              <w:t xml:space="preserve">A: </w:t>
            </w:r>
            <w:r w:rsidR="4D0E0F7D" w:rsidRPr="563487A3">
              <w:rPr>
                <w:rFonts w:ascii="Calibri" w:eastAsia="Calibri" w:hAnsi="Calibri" w:cs="Calibri"/>
              </w:rPr>
              <w:t>Target ≥</w:t>
            </w:r>
          </w:p>
        </w:tc>
        <w:tc>
          <w:tcPr>
            <w:tcW w:w="1275" w:type="dxa"/>
          </w:tcPr>
          <w:p w14:paraId="0B8F77F6" w14:textId="59B39B0C" w:rsidR="4D0E0F7D" w:rsidRDefault="171C7E67" w:rsidP="2C436F9F">
            <w:pPr>
              <w:spacing w:line="259" w:lineRule="auto"/>
              <w:jc w:val="center"/>
              <w:rPr>
                <w:rFonts w:ascii="Calibri" w:eastAsia="Calibri" w:hAnsi="Calibri" w:cs="Calibri"/>
              </w:rPr>
            </w:pPr>
            <w:r w:rsidRPr="2C436F9F">
              <w:rPr>
                <w:rFonts w:ascii="Calibri" w:eastAsia="Calibri" w:hAnsi="Calibri" w:cs="Calibri"/>
              </w:rPr>
              <w:t xml:space="preserve">Baseline: </w:t>
            </w:r>
            <w:r w:rsidR="618B5539" w:rsidRPr="2C436F9F">
              <w:rPr>
                <w:rFonts w:ascii="Calibri" w:eastAsia="Calibri" w:hAnsi="Calibri" w:cs="Calibri"/>
              </w:rPr>
              <w:t>48.16</w:t>
            </w:r>
            <w:r w:rsidR="41B75A4E" w:rsidRPr="2C436F9F">
              <w:rPr>
                <w:rFonts w:ascii="Calibri" w:eastAsia="Calibri" w:hAnsi="Calibri" w:cs="Calibri"/>
              </w:rPr>
              <w:t>%</w:t>
            </w:r>
          </w:p>
        </w:tc>
        <w:tc>
          <w:tcPr>
            <w:tcW w:w="1275" w:type="dxa"/>
          </w:tcPr>
          <w:p w14:paraId="32C063F0" w14:textId="63C8EA6B" w:rsidR="4D0E0F7D" w:rsidRDefault="7C007190" w:rsidP="2C436F9F">
            <w:pPr>
              <w:spacing w:line="259" w:lineRule="auto"/>
              <w:jc w:val="center"/>
              <w:rPr>
                <w:rFonts w:ascii="Calibri" w:eastAsia="Calibri" w:hAnsi="Calibri" w:cs="Calibri"/>
              </w:rPr>
            </w:pPr>
            <w:r w:rsidRPr="2C436F9F">
              <w:rPr>
                <w:rFonts w:ascii="Calibri" w:eastAsia="Calibri" w:hAnsi="Calibri" w:cs="Calibri"/>
              </w:rPr>
              <w:t>48.16</w:t>
            </w:r>
            <w:r w:rsidR="3787D464" w:rsidRPr="2C436F9F">
              <w:rPr>
                <w:rFonts w:ascii="Calibri" w:eastAsia="Calibri" w:hAnsi="Calibri" w:cs="Calibri"/>
              </w:rPr>
              <w:t>%</w:t>
            </w:r>
          </w:p>
        </w:tc>
        <w:tc>
          <w:tcPr>
            <w:tcW w:w="1275" w:type="dxa"/>
          </w:tcPr>
          <w:p w14:paraId="252A4181" w14:textId="35F2C20E" w:rsidR="4D0E0F7D" w:rsidRDefault="0B477588" w:rsidP="2C436F9F">
            <w:pPr>
              <w:spacing w:line="259" w:lineRule="auto"/>
              <w:jc w:val="center"/>
              <w:rPr>
                <w:rFonts w:ascii="Calibri" w:eastAsia="Calibri" w:hAnsi="Calibri" w:cs="Calibri"/>
              </w:rPr>
            </w:pPr>
            <w:r w:rsidRPr="2C436F9F">
              <w:rPr>
                <w:rFonts w:ascii="Calibri" w:eastAsia="Calibri" w:hAnsi="Calibri" w:cs="Calibri"/>
              </w:rPr>
              <w:t>48.00</w:t>
            </w:r>
            <w:r w:rsidR="773AA1FC" w:rsidRPr="2C436F9F">
              <w:rPr>
                <w:rFonts w:ascii="Calibri" w:eastAsia="Calibri" w:hAnsi="Calibri" w:cs="Calibri"/>
              </w:rPr>
              <w:t xml:space="preserve"> </w:t>
            </w:r>
            <w:r w:rsidR="10F23686" w:rsidRPr="2C436F9F">
              <w:rPr>
                <w:rFonts w:ascii="Calibri" w:eastAsia="Calibri" w:hAnsi="Calibri" w:cs="Calibri"/>
              </w:rPr>
              <w:t>%</w:t>
            </w:r>
          </w:p>
        </w:tc>
        <w:tc>
          <w:tcPr>
            <w:tcW w:w="1275" w:type="dxa"/>
          </w:tcPr>
          <w:p w14:paraId="15B8CD89" w14:textId="592FB55F" w:rsidR="4D0E0F7D" w:rsidRDefault="18BC89EC" w:rsidP="2C436F9F">
            <w:pPr>
              <w:spacing w:line="259" w:lineRule="auto"/>
              <w:jc w:val="center"/>
              <w:rPr>
                <w:rFonts w:ascii="Calibri" w:eastAsia="Calibri" w:hAnsi="Calibri" w:cs="Calibri"/>
              </w:rPr>
            </w:pPr>
            <w:r w:rsidRPr="2C436F9F">
              <w:rPr>
                <w:rFonts w:ascii="Calibri" w:eastAsia="Calibri" w:hAnsi="Calibri" w:cs="Calibri"/>
              </w:rPr>
              <w:t>48.00</w:t>
            </w:r>
            <w:r w:rsidR="638390E4" w:rsidRPr="2C436F9F">
              <w:rPr>
                <w:rFonts w:ascii="Calibri" w:eastAsia="Calibri" w:hAnsi="Calibri" w:cs="Calibri"/>
              </w:rPr>
              <w:t>%</w:t>
            </w:r>
          </w:p>
        </w:tc>
        <w:tc>
          <w:tcPr>
            <w:tcW w:w="1275" w:type="dxa"/>
          </w:tcPr>
          <w:p w14:paraId="01BE5110" w14:textId="16E44723" w:rsidR="4D0E0F7D" w:rsidRDefault="55C68CB5" w:rsidP="2C436F9F">
            <w:pPr>
              <w:spacing w:line="259" w:lineRule="auto"/>
              <w:jc w:val="center"/>
              <w:rPr>
                <w:rFonts w:ascii="Calibri" w:eastAsia="Calibri" w:hAnsi="Calibri" w:cs="Calibri"/>
              </w:rPr>
            </w:pPr>
            <w:r w:rsidRPr="2C436F9F">
              <w:rPr>
                <w:rFonts w:ascii="Calibri" w:eastAsia="Calibri" w:hAnsi="Calibri" w:cs="Calibri"/>
              </w:rPr>
              <w:t>49.00</w:t>
            </w:r>
            <w:r w:rsidR="464B4694" w:rsidRPr="2C436F9F">
              <w:rPr>
                <w:rFonts w:ascii="Calibri" w:eastAsia="Calibri" w:hAnsi="Calibri" w:cs="Calibri"/>
              </w:rPr>
              <w:t>%</w:t>
            </w:r>
          </w:p>
        </w:tc>
        <w:tc>
          <w:tcPr>
            <w:tcW w:w="1275" w:type="dxa"/>
          </w:tcPr>
          <w:p w14:paraId="72168331" w14:textId="679F75DE" w:rsidR="4D0E0F7D" w:rsidRDefault="26CCFC22" w:rsidP="2C436F9F">
            <w:pPr>
              <w:spacing w:line="259" w:lineRule="auto"/>
              <w:jc w:val="center"/>
              <w:rPr>
                <w:rFonts w:ascii="Calibri" w:eastAsia="Calibri" w:hAnsi="Calibri" w:cs="Calibri"/>
              </w:rPr>
            </w:pPr>
            <w:r w:rsidRPr="2C436F9F">
              <w:rPr>
                <w:rFonts w:ascii="Calibri" w:eastAsia="Calibri" w:hAnsi="Calibri" w:cs="Calibri"/>
              </w:rPr>
              <w:t>50.00</w:t>
            </w:r>
            <w:r w:rsidR="58B2E977" w:rsidRPr="2C436F9F">
              <w:rPr>
                <w:rFonts w:ascii="Calibri" w:eastAsia="Calibri" w:hAnsi="Calibri" w:cs="Calibri"/>
              </w:rPr>
              <w:t>%</w:t>
            </w:r>
          </w:p>
        </w:tc>
      </w:tr>
      <w:tr w:rsidR="563487A3" w14:paraId="01BE53AD" w14:textId="77777777" w:rsidTr="2C436F9F">
        <w:tc>
          <w:tcPr>
            <w:tcW w:w="2220" w:type="dxa"/>
          </w:tcPr>
          <w:p w14:paraId="02321D79" w14:textId="00C206AF" w:rsidR="2FF0482B" w:rsidRDefault="2FF0482B" w:rsidP="563487A3">
            <w:pPr>
              <w:spacing w:line="259" w:lineRule="auto"/>
              <w:rPr>
                <w:rFonts w:ascii="Arial" w:eastAsia="Arial" w:hAnsi="Arial" w:cs="Arial"/>
                <w:sz w:val="16"/>
                <w:szCs w:val="16"/>
              </w:rPr>
            </w:pPr>
            <w:r w:rsidRPr="2C436F9F">
              <w:rPr>
                <w:rFonts w:ascii="Calibri" w:eastAsia="Calibri" w:hAnsi="Calibri" w:cs="Calibri"/>
              </w:rPr>
              <w:t>B: Target</w:t>
            </w:r>
            <w:r w:rsidRPr="2C436F9F">
              <w:rPr>
                <w:rFonts w:ascii="Arial" w:eastAsia="Arial" w:hAnsi="Arial" w:cs="Arial"/>
                <w:sz w:val="16"/>
                <w:szCs w:val="16"/>
              </w:rPr>
              <w:t xml:space="preserve"> </w:t>
            </w:r>
            <w:r w:rsidR="2F6F3A32" w:rsidRPr="2C436F9F">
              <w:rPr>
                <w:rFonts w:ascii="Arial" w:eastAsia="Arial" w:hAnsi="Arial" w:cs="Arial"/>
                <w:sz w:val="16"/>
                <w:szCs w:val="16"/>
              </w:rPr>
              <w:t>≤</w:t>
            </w:r>
          </w:p>
        </w:tc>
        <w:tc>
          <w:tcPr>
            <w:tcW w:w="1275" w:type="dxa"/>
          </w:tcPr>
          <w:p w14:paraId="762DC97D" w14:textId="7F16DF57" w:rsidR="77E32A3D" w:rsidRDefault="338609A0" w:rsidP="2C436F9F">
            <w:pPr>
              <w:spacing w:line="259" w:lineRule="auto"/>
              <w:jc w:val="center"/>
              <w:rPr>
                <w:rFonts w:ascii="Calibri" w:eastAsia="Calibri" w:hAnsi="Calibri" w:cs="Calibri"/>
              </w:rPr>
            </w:pPr>
            <w:r w:rsidRPr="2C436F9F">
              <w:rPr>
                <w:rFonts w:ascii="Calibri" w:eastAsia="Calibri" w:hAnsi="Calibri" w:cs="Calibri"/>
              </w:rPr>
              <w:t xml:space="preserve">Baseline: </w:t>
            </w:r>
            <w:r w:rsidR="77E32A3D" w:rsidRPr="2C436F9F">
              <w:rPr>
                <w:rFonts w:ascii="Calibri" w:eastAsia="Calibri" w:hAnsi="Calibri" w:cs="Calibri"/>
              </w:rPr>
              <w:t>23.50</w:t>
            </w:r>
            <w:r w:rsidR="233A587D" w:rsidRPr="2C436F9F">
              <w:rPr>
                <w:rFonts w:ascii="Calibri" w:eastAsia="Calibri" w:hAnsi="Calibri" w:cs="Calibri"/>
              </w:rPr>
              <w:t>%</w:t>
            </w:r>
          </w:p>
        </w:tc>
        <w:tc>
          <w:tcPr>
            <w:tcW w:w="1275" w:type="dxa"/>
          </w:tcPr>
          <w:p w14:paraId="67ECB9E7" w14:textId="68D65438" w:rsidR="5BD65965" w:rsidRDefault="5BD65965" w:rsidP="2C436F9F">
            <w:pPr>
              <w:spacing w:line="259" w:lineRule="auto"/>
              <w:jc w:val="center"/>
              <w:rPr>
                <w:rFonts w:ascii="Calibri" w:eastAsia="Calibri" w:hAnsi="Calibri" w:cs="Calibri"/>
              </w:rPr>
            </w:pPr>
            <w:r w:rsidRPr="2C436F9F">
              <w:rPr>
                <w:rFonts w:ascii="Calibri" w:eastAsia="Calibri" w:hAnsi="Calibri" w:cs="Calibri"/>
              </w:rPr>
              <w:t>23.50</w:t>
            </w:r>
            <w:r w:rsidR="268A7AF2" w:rsidRPr="2C436F9F">
              <w:rPr>
                <w:rFonts w:ascii="Calibri" w:eastAsia="Calibri" w:hAnsi="Calibri" w:cs="Calibri"/>
              </w:rPr>
              <w:t>%</w:t>
            </w:r>
          </w:p>
        </w:tc>
        <w:tc>
          <w:tcPr>
            <w:tcW w:w="1275" w:type="dxa"/>
          </w:tcPr>
          <w:p w14:paraId="22458CF2" w14:textId="06F32078" w:rsidR="155F6890" w:rsidRDefault="155F6890" w:rsidP="2C436F9F">
            <w:pPr>
              <w:spacing w:line="259" w:lineRule="auto"/>
              <w:jc w:val="center"/>
              <w:rPr>
                <w:rFonts w:ascii="Calibri" w:eastAsia="Calibri" w:hAnsi="Calibri" w:cs="Calibri"/>
              </w:rPr>
            </w:pPr>
            <w:r w:rsidRPr="2C436F9F">
              <w:rPr>
                <w:rFonts w:ascii="Calibri" w:eastAsia="Calibri" w:hAnsi="Calibri" w:cs="Calibri"/>
              </w:rPr>
              <w:t>23.00</w:t>
            </w:r>
            <w:r w:rsidR="76BB8001" w:rsidRPr="2C436F9F">
              <w:rPr>
                <w:rFonts w:ascii="Calibri" w:eastAsia="Calibri" w:hAnsi="Calibri" w:cs="Calibri"/>
              </w:rPr>
              <w:t>%</w:t>
            </w:r>
          </w:p>
        </w:tc>
        <w:tc>
          <w:tcPr>
            <w:tcW w:w="1275" w:type="dxa"/>
          </w:tcPr>
          <w:p w14:paraId="2CD924EA" w14:textId="741814AB" w:rsidR="3AA8473B" w:rsidRDefault="3AA8473B" w:rsidP="2C436F9F">
            <w:pPr>
              <w:spacing w:line="259" w:lineRule="auto"/>
              <w:jc w:val="center"/>
              <w:rPr>
                <w:rFonts w:ascii="Calibri" w:eastAsia="Calibri" w:hAnsi="Calibri" w:cs="Calibri"/>
              </w:rPr>
            </w:pPr>
            <w:r w:rsidRPr="2C436F9F">
              <w:rPr>
                <w:rFonts w:ascii="Calibri" w:eastAsia="Calibri" w:hAnsi="Calibri" w:cs="Calibri"/>
              </w:rPr>
              <w:t>23.00</w:t>
            </w:r>
            <w:r w:rsidR="4807B1A1" w:rsidRPr="2C436F9F">
              <w:rPr>
                <w:rFonts w:ascii="Calibri" w:eastAsia="Calibri" w:hAnsi="Calibri" w:cs="Calibri"/>
              </w:rPr>
              <w:t>%</w:t>
            </w:r>
          </w:p>
        </w:tc>
        <w:tc>
          <w:tcPr>
            <w:tcW w:w="1275" w:type="dxa"/>
          </w:tcPr>
          <w:p w14:paraId="660D3401" w14:textId="0FB00572" w:rsidR="2759E963" w:rsidRDefault="2759E963" w:rsidP="2C436F9F">
            <w:pPr>
              <w:spacing w:line="259" w:lineRule="auto"/>
              <w:jc w:val="center"/>
              <w:rPr>
                <w:rFonts w:ascii="Calibri" w:eastAsia="Calibri" w:hAnsi="Calibri" w:cs="Calibri"/>
              </w:rPr>
            </w:pPr>
            <w:r w:rsidRPr="2C436F9F">
              <w:rPr>
                <w:rFonts w:ascii="Calibri" w:eastAsia="Calibri" w:hAnsi="Calibri" w:cs="Calibri"/>
              </w:rPr>
              <w:t>22.00</w:t>
            </w:r>
            <w:r w:rsidR="131EED53" w:rsidRPr="2C436F9F">
              <w:rPr>
                <w:rFonts w:ascii="Calibri" w:eastAsia="Calibri" w:hAnsi="Calibri" w:cs="Calibri"/>
              </w:rPr>
              <w:t>%</w:t>
            </w:r>
          </w:p>
        </w:tc>
        <w:tc>
          <w:tcPr>
            <w:tcW w:w="1275" w:type="dxa"/>
          </w:tcPr>
          <w:p w14:paraId="6B249D38" w14:textId="0526E3E9" w:rsidR="2F213194" w:rsidRDefault="2F213194" w:rsidP="2C436F9F">
            <w:pPr>
              <w:spacing w:line="259" w:lineRule="auto"/>
              <w:jc w:val="center"/>
              <w:rPr>
                <w:rFonts w:ascii="Calibri" w:eastAsia="Calibri" w:hAnsi="Calibri" w:cs="Calibri"/>
              </w:rPr>
            </w:pPr>
            <w:r w:rsidRPr="2C436F9F">
              <w:rPr>
                <w:rFonts w:ascii="Calibri" w:eastAsia="Calibri" w:hAnsi="Calibri" w:cs="Calibri"/>
              </w:rPr>
              <w:t>21.00</w:t>
            </w:r>
            <w:r w:rsidR="0415BC1A" w:rsidRPr="2C436F9F">
              <w:rPr>
                <w:rFonts w:ascii="Calibri" w:eastAsia="Calibri" w:hAnsi="Calibri" w:cs="Calibri"/>
              </w:rPr>
              <w:t>%</w:t>
            </w:r>
          </w:p>
        </w:tc>
      </w:tr>
      <w:tr w:rsidR="563487A3" w14:paraId="6E31753F" w14:textId="77777777" w:rsidTr="2C436F9F">
        <w:tc>
          <w:tcPr>
            <w:tcW w:w="2220" w:type="dxa"/>
          </w:tcPr>
          <w:p w14:paraId="3E813D08" w14:textId="65FC2C5A" w:rsidR="2FF0482B" w:rsidRDefault="2FF0482B" w:rsidP="563487A3">
            <w:pPr>
              <w:spacing w:line="259" w:lineRule="auto"/>
              <w:rPr>
                <w:rFonts w:ascii="Arial" w:eastAsia="Arial" w:hAnsi="Arial" w:cs="Arial"/>
                <w:sz w:val="16"/>
                <w:szCs w:val="16"/>
              </w:rPr>
            </w:pPr>
            <w:r w:rsidRPr="2C436F9F">
              <w:rPr>
                <w:rFonts w:ascii="Calibri" w:eastAsia="Calibri" w:hAnsi="Calibri" w:cs="Calibri"/>
              </w:rPr>
              <w:t>C: Target</w:t>
            </w:r>
            <w:r w:rsidRPr="2C436F9F">
              <w:rPr>
                <w:rFonts w:ascii="Arial" w:eastAsia="Arial" w:hAnsi="Arial" w:cs="Arial"/>
                <w:sz w:val="16"/>
                <w:szCs w:val="16"/>
              </w:rPr>
              <w:t xml:space="preserve"> </w:t>
            </w:r>
            <w:r w:rsidR="01D9C08D" w:rsidRPr="2C436F9F">
              <w:rPr>
                <w:rFonts w:ascii="Arial" w:eastAsia="Arial" w:hAnsi="Arial" w:cs="Arial"/>
                <w:sz w:val="16"/>
                <w:szCs w:val="16"/>
              </w:rPr>
              <w:t>≤</w:t>
            </w:r>
          </w:p>
        </w:tc>
        <w:tc>
          <w:tcPr>
            <w:tcW w:w="1275" w:type="dxa"/>
          </w:tcPr>
          <w:p w14:paraId="1604C1CB" w14:textId="19F4A74D" w:rsidR="2FF0482B" w:rsidRDefault="2FF0482B" w:rsidP="563487A3">
            <w:pPr>
              <w:spacing w:line="259" w:lineRule="auto"/>
              <w:jc w:val="center"/>
              <w:rPr>
                <w:rFonts w:ascii="Calibri" w:eastAsia="Calibri" w:hAnsi="Calibri" w:cs="Calibri"/>
              </w:rPr>
            </w:pPr>
            <w:r w:rsidRPr="563487A3">
              <w:rPr>
                <w:rFonts w:ascii="Calibri" w:eastAsia="Calibri" w:hAnsi="Calibri" w:cs="Calibri"/>
              </w:rPr>
              <w:t>Baseline: 10.25</w:t>
            </w:r>
            <w:r w:rsidR="5ABCD2B6" w:rsidRPr="563487A3">
              <w:rPr>
                <w:rFonts w:ascii="Calibri" w:eastAsia="Calibri" w:hAnsi="Calibri" w:cs="Calibri"/>
              </w:rPr>
              <w:t>%</w:t>
            </w:r>
          </w:p>
        </w:tc>
        <w:tc>
          <w:tcPr>
            <w:tcW w:w="1275" w:type="dxa"/>
          </w:tcPr>
          <w:p w14:paraId="1F281EBC" w14:textId="4CEE5747" w:rsidR="2F602488" w:rsidRDefault="2F602488" w:rsidP="2C436F9F">
            <w:pPr>
              <w:spacing w:line="259" w:lineRule="auto"/>
              <w:jc w:val="center"/>
              <w:rPr>
                <w:rFonts w:ascii="Calibri" w:eastAsia="Calibri" w:hAnsi="Calibri" w:cs="Calibri"/>
              </w:rPr>
            </w:pPr>
            <w:r w:rsidRPr="2C436F9F">
              <w:rPr>
                <w:rFonts w:ascii="Calibri" w:eastAsia="Calibri" w:hAnsi="Calibri" w:cs="Calibri"/>
              </w:rPr>
              <w:t>10.25</w:t>
            </w:r>
            <w:r w:rsidR="0E292C28" w:rsidRPr="2C436F9F">
              <w:rPr>
                <w:rFonts w:ascii="Calibri" w:eastAsia="Calibri" w:hAnsi="Calibri" w:cs="Calibri"/>
              </w:rPr>
              <w:t>%</w:t>
            </w:r>
          </w:p>
        </w:tc>
        <w:tc>
          <w:tcPr>
            <w:tcW w:w="1275" w:type="dxa"/>
          </w:tcPr>
          <w:p w14:paraId="7875F5F4" w14:textId="651FE532" w:rsidR="4C763C71" w:rsidRDefault="4C763C71" w:rsidP="2C436F9F">
            <w:pPr>
              <w:spacing w:line="259" w:lineRule="auto"/>
              <w:jc w:val="center"/>
              <w:rPr>
                <w:rFonts w:ascii="Calibri" w:eastAsia="Calibri" w:hAnsi="Calibri" w:cs="Calibri"/>
              </w:rPr>
            </w:pPr>
            <w:r w:rsidRPr="2C436F9F">
              <w:rPr>
                <w:rFonts w:ascii="Calibri" w:eastAsia="Calibri" w:hAnsi="Calibri" w:cs="Calibri"/>
              </w:rPr>
              <w:t>10.00</w:t>
            </w:r>
            <w:r w:rsidR="16E87F14" w:rsidRPr="2C436F9F">
              <w:rPr>
                <w:rFonts w:ascii="Calibri" w:eastAsia="Calibri" w:hAnsi="Calibri" w:cs="Calibri"/>
              </w:rPr>
              <w:t>%</w:t>
            </w:r>
          </w:p>
        </w:tc>
        <w:tc>
          <w:tcPr>
            <w:tcW w:w="1275" w:type="dxa"/>
          </w:tcPr>
          <w:p w14:paraId="79ADB44B" w14:textId="1210E798" w:rsidR="2AB6DDDC" w:rsidRDefault="2AB6DDDC" w:rsidP="2C436F9F">
            <w:pPr>
              <w:spacing w:line="259" w:lineRule="auto"/>
              <w:jc w:val="center"/>
              <w:rPr>
                <w:rFonts w:ascii="Calibri" w:eastAsia="Calibri" w:hAnsi="Calibri" w:cs="Calibri"/>
              </w:rPr>
            </w:pPr>
            <w:r w:rsidRPr="2C436F9F">
              <w:rPr>
                <w:rFonts w:ascii="Calibri" w:eastAsia="Calibri" w:hAnsi="Calibri" w:cs="Calibri"/>
              </w:rPr>
              <w:t>10.00</w:t>
            </w:r>
            <w:r w:rsidR="5191CA9E" w:rsidRPr="2C436F9F">
              <w:rPr>
                <w:rFonts w:ascii="Calibri" w:eastAsia="Calibri" w:hAnsi="Calibri" w:cs="Calibri"/>
              </w:rPr>
              <w:t>%</w:t>
            </w:r>
          </w:p>
        </w:tc>
        <w:tc>
          <w:tcPr>
            <w:tcW w:w="1275" w:type="dxa"/>
          </w:tcPr>
          <w:p w14:paraId="5C6B4C84" w14:textId="449DF700" w:rsidR="5BCEB4D2" w:rsidRDefault="5BCEB4D2" w:rsidP="2C436F9F">
            <w:pPr>
              <w:spacing w:line="259" w:lineRule="auto"/>
              <w:jc w:val="center"/>
              <w:rPr>
                <w:rFonts w:ascii="Calibri" w:eastAsia="Calibri" w:hAnsi="Calibri" w:cs="Calibri"/>
              </w:rPr>
            </w:pPr>
            <w:r w:rsidRPr="2C436F9F">
              <w:rPr>
                <w:rFonts w:ascii="Calibri" w:eastAsia="Calibri" w:hAnsi="Calibri" w:cs="Calibri"/>
              </w:rPr>
              <w:t>9.50</w:t>
            </w:r>
            <w:r w:rsidR="70D4D6A4" w:rsidRPr="2C436F9F">
              <w:rPr>
                <w:rFonts w:ascii="Calibri" w:eastAsia="Calibri" w:hAnsi="Calibri" w:cs="Calibri"/>
              </w:rPr>
              <w:t>%</w:t>
            </w:r>
          </w:p>
        </w:tc>
        <w:tc>
          <w:tcPr>
            <w:tcW w:w="1275" w:type="dxa"/>
          </w:tcPr>
          <w:p w14:paraId="66E8393A" w14:textId="143C5E92" w:rsidR="0ADEE78D" w:rsidRDefault="0ADEE78D" w:rsidP="2C436F9F">
            <w:pPr>
              <w:spacing w:line="259" w:lineRule="auto"/>
              <w:jc w:val="center"/>
              <w:rPr>
                <w:rFonts w:ascii="Calibri" w:eastAsia="Calibri" w:hAnsi="Calibri" w:cs="Calibri"/>
              </w:rPr>
            </w:pPr>
            <w:r w:rsidRPr="2C436F9F">
              <w:rPr>
                <w:rFonts w:ascii="Calibri" w:eastAsia="Calibri" w:hAnsi="Calibri" w:cs="Calibri"/>
              </w:rPr>
              <w:t>9.00</w:t>
            </w:r>
            <w:r w:rsidR="218F8DD2" w:rsidRPr="2C436F9F">
              <w:rPr>
                <w:rFonts w:ascii="Calibri" w:eastAsia="Calibri" w:hAnsi="Calibri" w:cs="Calibri"/>
              </w:rPr>
              <w:t>%</w:t>
            </w:r>
          </w:p>
        </w:tc>
      </w:tr>
    </w:tbl>
    <w:p w14:paraId="76E97FB1" w14:textId="698D046C" w:rsidR="617D639D" w:rsidRPr="008F727F" w:rsidRDefault="617D639D" w:rsidP="20F6DFA2">
      <w:pPr>
        <w:rPr>
          <w:rFonts w:ascii="Calibri" w:eastAsia="Calibri" w:hAnsi="Calibri" w:cs="Calibri"/>
          <w:color w:val="000000" w:themeColor="text1"/>
        </w:rPr>
      </w:pPr>
      <w:r w:rsidRPr="26578C73">
        <w:rPr>
          <w:rFonts w:ascii="Calibri" w:eastAsia="Calibri" w:hAnsi="Calibri" w:cs="Calibri"/>
          <w:color w:val="000000" w:themeColor="text1"/>
        </w:rPr>
        <w:t xml:space="preserve">Example B shows </w:t>
      </w:r>
      <w:r w:rsidR="0FE17031" w:rsidRPr="26578C73">
        <w:rPr>
          <w:rFonts w:ascii="Calibri" w:eastAsia="Calibri" w:hAnsi="Calibri" w:cs="Calibri"/>
          <w:color w:val="000000" w:themeColor="text1"/>
        </w:rPr>
        <w:t>a more</w:t>
      </w:r>
      <w:r w:rsidR="0C445A63" w:rsidRPr="26578C73">
        <w:rPr>
          <w:rFonts w:ascii="Calibri" w:eastAsia="Calibri" w:hAnsi="Calibri" w:cs="Calibri"/>
          <w:color w:val="000000" w:themeColor="text1"/>
        </w:rPr>
        <w:t xml:space="preserve"> robust set of targets. </w:t>
      </w:r>
    </w:p>
    <w:p w14:paraId="5D989595" w14:textId="5D57F0CF" w:rsidR="617D639D" w:rsidRDefault="4EF629B4" w:rsidP="440AB443">
      <w:pPr>
        <w:spacing w:after="0"/>
        <w:jc w:val="center"/>
        <w:rPr>
          <w:rFonts w:ascii="Calibri" w:eastAsia="Calibri" w:hAnsi="Calibri" w:cs="Calibri"/>
          <w:b/>
          <w:bCs/>
        </w:rPr>
      </w:pPr>
      <w:r w:rsidRPr="440AB443">
        <w:rPr>
          <w:rFonts w:ascii="Calibri" w:eastAsia="Calibri" w:hAnsi="Calibri" w:cs="Calibri"/>
          <w:b/>
          <w:bCs/>
          <w:color w:val="538135" w:themeColor="accent6" w:themeShade="BF"/>
        </w:rPr>
        <w:t xml:space="preserve">If you need more information in order to provide input, please contact Meredith Villines at </w:t>
      </w:r>
      <w:hyperlink r:id="rId15">
        <w:r w:rsidRPr="440AB443">
          <w:rPr>
            <w:rStyle w:val="Hyperlink"/>
            <w:rFonts w:ascii="Calibri" w:eastAsia="Calibri" w:hAnsi="Calibri" w:cs="Calibri"/>
            <w:b/>
            <w:bCs/>
          </w:rPr>
          <w:t>meredith.villines@state.or.us</w:t>
        </w:r>
      </w:hyperlink>
      <w:r w:rsidRPr="440AB443">
        <w:rPr>
          <w:rFonts w:ascii="Calibri" w:eastAsia="Calibri" w:hAnsi="Calibri" w:cs="Calibri"/>
          <w:b/>
          <w:bCs/>
        </w:rPr>
        <w:t xml:space="preserve">. </w:t>
      </w:r>
    </w:p>
    <w:p w14:paraId="723EA37E" w14:textId="68F8B4EE" w:rsidR="617D639D" w:rsidRDefault="617D639D" w:rsidP="600DFCD9">
      <w:pPr>
        <w:rPr>
          <w:rFonts w:ascii="Calibri" w:eastAsia="Calibri" w:hAnsi="Calibri" w:cs="Calibri"/>
          <w:color w:val="000000" w:themeColor="text1"/>
          <w:sz w:val="24"/>
          <w:szCs w:val="24"/>
        </w:rPr>
      </w:pPr>
    </w:p>
    <w:sectPr w:rsidR="617D639D">
      <w:headerReference w:type="even" r:id="rId16"/>
      <w:headerReference w:type="default" r:id="rId17"/>
      <w:footerReference w:type="even" r:id="rId18"/>
      <w:footerReference w:type="default" r:id="rId19"/>
      <w:headerReference w:type="first" r:id="rId20"/>
      <w:footerReference w:type="first" r:id="rId21"/>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F5EC" w14:textId="77777777" w:rsidR="007911BE" w:rsidRDefault="007911BE" w:rsidP="00A015AF">
      <w:pPr>
        <w:spacing w:after="0" w:line="240" w:lineRule="auto"/>
      </w:pPr>
      <w:r>
        <w:separator/>
      </w:r>
    </w:p>
  </w:endnote>
  <w:endnote w:type="continuationSeparator" w:id="0">
    <w:p w14:paraId="0FEA6C38" w14:textId="77777777" w:rsidR="007911BE" w:rsidRDefault="007911BE" w:rsidP="00A015AF">
      <w:pPr>
        <w:spacing w:after="0" w:line="240" w:lineRule="auto"/>
      </w:pPr>
      <w:r>
        <w:continuationSeparator/>
      </w:r>
    </w:p>
  </w:endnote>
  <w:endnote w:type="continuationNotice" w:id="1">
    <w:p w14:paraId="3A2F7843"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8ADF" w14:textId="77777777" w:rsidR="00CA2F56" w:rsidRDefault="00CA2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41BD" w14:textId="48D3A7D4" w:rsidR="4D0E0F7D" w:rsidRDefault="00506A1E" w:rsidP="4D0E0F7D">
    <w:pPr>
      <w:pStyle w:val="Footer"/>
    </w:pPr>
    <w:r>
      <w:t>State Performance Plan Fact Sheet – Indicator B6</w:t>
    </w:r>
    <w:r>
      <w:tab/>
    </w:r>
    <w:r>
      <w:tab/>
    </w:r>
    <w:r>
      <w:fldChar w:fldCharType="begin"/>
    </w:r>
    <w:r>
      <w:instrText xml:space="preserve"> PAGE   \* MERGEFORMAT </w:instrText>
    </w:r>
    <w:r>
      <w:fldChar w:fldCharType="separate"/>
    </w:r>
    <w:r w:rsidR="00A25114">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6557" w14:textId="77777777" w:rsidR="00CA2F56" w:rsidRDefault="00CA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5465" w14:textId="77777777" w:rsidR="007911BE" w:rsidRDefault="007911BE" w:rsidP="00A015AF">
      <w:pPr>
        <w:spacing w:after="0" w:line="240" w:lineRule="auto"/>
      </w:pPr>
      <w:r>
        <w:separator/>
      </w:r>
    </w:p>
  </w:footnote>
  <w:footnote w:type="continuationSeparator" w:id="0">
    <w:p w14:paraId="7C473492" w14:textId="77777777" w:rsidR="007911BE" w:rsidRDefault="007911BE" w:rsidP="00A015AF">
      <w:pPr>
        <w:spacing w:after="0" w:line="240" w:lineRule="auto"/>
      </w:pPr>
      <w:r>
        <w:continuationSeparator/>
      </w:r>
    </w:p>
  </w:footnote>
  <w:footnote w:type="continuationNotice" w:id="1">
    <w:p w14:paraId="145CD9E5"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D17C" w14:textId="77777777" w:rsidR="00CA2F56" w:rsidRDefault="00CA2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F4C5" w14:textId="77777777" w:rsidR="00CA2F56" w:rsidRDefault="00CA2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792A" w14:textId="77777777" w:rsidR="00CA2F56" w:rsidRDefault="00CA2F56">
    <w:pPr>
      <w:pStyle w:val="Header"/>
    </w:pPr>
  </w:p>
</w:hdr>
</file>

<file path=word/intelligence.xml><?xml version="1.0" encoding="utf-8"?>
<int:Intelligence xmlns:int="http://schemas.microsoft.com/office/intelligence/2019/intelligence">
  <int:IntelligenceSettings/>
  <int:Manifest>
    <int:ParagraphRange paragraphId="1881050260" textId="1983654492" start="361" length="15" invalidationStart="361" invalidationLength="15" id="0+ZBpOud"/>
  </int:Manifest>
  <int:Observations>
    <int:Content id="0+ZBpOu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22211355"/>
    <w:multiLevelType w:val="hybridMultilevel"/>
    <w:tmpl w:val="95DED630"/>
    <w:lvl w:ilvl="0" w:tplc="A7281954">
      <w:start w:val="1"/>
      <w:numFmt w:val="upperLetter"/>
      <w:lvlText w:val="%1."/>
      <w:lvlJc w:val="left"/>
      <w:pPr>
        <w:ind w:left="720" w:hanging="360"/>
      </w:pPr>
    </w:lvl>
    <w:lvl w:ilvl="1" w:tplc="0450C28A">
      <w:start w:val="1"/>
      <w:numFmt w:val="lowerLetter"/>
      <w:lvlText w:val="%2."/>
      <w:lvlJc w:val="left"/>
      <w:pPr>
        <w:ind w:left="1440" w:hanging="360"/>
      </w:pPr>
    </w:lvl>
    <w:lvl w:ilvl="2" w:tplc="CF86C4E0">
      <w:start w:val="1"/>
      <w:numFmt w:val="lowerRoman"/>
      <w:lvlText w:val="%3."/>
      <w:lvlJc w:val="right"/>
      <w:pPr>
        <w:ind w:left="2160" w:hanging="180"/>
      </w:pPr>
    </w:lvl>
    <w:lvl w:ilvl="3" w:tplc="3A68188E">
      <w:start w:val="1"/>
      <w:numFmt w:val="decimal"/>
      <w:lvlText w:val="%4."/>
      <w:lvlJc w:val="left"/>
      <w:pPr>
        <w:ind w:left="2880" w:hanging="360"/>
      </w:pPr>
    </w:lvl>
    <w:lvl w:ilvl="4" w:tplc="679A0C84">
      <w:start w:val="1"/>
      <w:numFmt w:val="lowerLetter"/>
      <w:lvlText w:val="%5."/>
      <w:lvlJc w:val="left"/>
      <w:pPr>
        <w:ind w:left="3600" w:hanging="360"/>
      </w:pPr>
    </w:lvl>
    <w:lvl w:ilvl="5" w:tplc="6E16A1CC">
      <w:start w:val="1"/>
      <w:numFmt w:val="lowerRoman"/>
      <w:lvlText w:val="%6."/>
      <w:lvlJc w:val="right"/>
      <w:pPr>
        <w:ind w:left="4320" w:hanging="180"/>
      </w:pPr>
    </w:lvl>
    <w:lvl w:ilvl="6" w:tplc="8FD436B6">
      <w:start w:val="1"/>
      <w:numFmt w:val="decimal"/>
      <w:lvlText w:val="%7."/>
      <w:lvlJc w:val="left"/>
      <w:pPr>
        <w:ind w:left="5040" w:hanging="360"/>
      </w:pPr>
    </w:lvl>
    <w:lvl w:ilvl="7" w:tplc="40766C3E">
      <w:start w:val="1"/>
      <w:numFmt w:val="lowerLetter"/>
      <w:lvlText w:val="%8."/>
      <w:lvlJc w:val="left"/>
      <w:pPr>
        <w:ind w:left="5760" w:hanging="360"/>
      </w:pPr>
    </w:lvl>
    <w:lvl w:ilvl="8" w:tplc="E3EEBF00">
      <w:start w:val="1"/>
      <w:numFmt w:val="lowerRoman"/>
      <w:lvlText w:val="%9."/>
      <w:lvlJc w:val="right"/>
      <w:pPr>
        <w:ind w:left="6480" w:hanging="180"/>
      </w:pPr>
    </w:lvl>
  </w:abstractNum>
  <w:abstractNum w:abstractNumId="5" w15:restartNumberingAfterBreak="0">
    <w:nsid w:val="2F255602"/>
    <w:multiLevelType w:val="hybridMultilevel"/>
    <w:tmpl w:val="C7D86026"/>
    <w:lvl w:ilvl="0" w:tplc="F6C46696">
      <w:start w:val="1"/>
      <w:numFmt w:val="bullet"/>
      <w:lvlText w:val=""/>
      <w:lvlJc w:val="left"/>
      <w:pPr>
        <w:ind w:left="720" w:hanging="360"/>
      </w:pPr>
      <w:rPr>
        <w:rFonts w:ascii="Symbol" w:hAnsi="Symbol" w:hint="default"/>
      </w:rPr>
    </w:lvl>
    <w:lvl w:ilvl="1" w:tplc="0B4810A0">
      <w:start w:val="1"/>
      <w:numFmt w:val="bullet"/>
      <w:lvlText w:val="o"/>
      <w:lvlJc w:val="left"/>
      <w:pPr>
        <w:ind w:left="1440" w:hanging="360"/>
      </w:pPr>
      <w:rPr>
        <w:rFonts w:ascii="Courier New" w:hAnsi="Courier New" w:hint="default"/>
      </w:rPr>
    </w:lvl>
    <w:lvl w:ilvl="2" w:tplc="4198DDCE">
      <w:start w:val="1"/>
      <w:numFmt w:val="bullet"/>
      <w:lvlText w:val=""/>
      <w:lvlJc w:val="left"/>
      <w:pPr>
        <w:ind w:left="2160" w:hanging="360"/>
      </w:pPr>
      <w:rPr>
        <w:rFonts w:ascii="Wingdings" w:hAnsi="Wingdings" w:hint="default"/>
      </w:rPr>
    </w:lvl>
    <w:lvl w:ilvl="3" w:tplc="CC8CB4AE">
      <w:start w:val="1"/>
      <w:numFmt w:val="bullet"/>
      <w:lvlText w:val=""/>
      <w:lvlJc w:val="left"/>
      <w:pPr>
        <w:ind w:left="2880" w:hanging="360"/>
      </w:pPr>
      <w:rPr>
        <w:rFonts w:ascii="Symbol" w:hAnsi="Symbol" w:hint="default"/>
      </w:rPr>
    </w:lvl>
    <w:lvl w:ilvl="4" w:tplc="04A20AA2">
      <w:start w:val="1"/>
      <w:numFmt w:val="bullet"/>
      <w:lvlText w:val="o"/>
      <w:lvlJc w:val="left"/>
      <w:pPr>
        <w:ind w:left="3600" w:hanging="360"/>
      </w:pPr>
      <w:rPr>
        <w:rFonts w:ascii="Courier New" w:hAnsi="Courier New" w:hint="default"/>
      </w:rPr>
    </w:lvl>
    <w:lvl w:ilvl="5" w:tplc="2F1A60A2">
      <w:start w:val="1"/>
      <w:numFmt w:val="bullet"/>
      <w:lvlText w:val=""/>
      <w:lvlJc w:val="left"/>
      <w:pPr>
        <w:ind w:left="4320" w:hanging="360"/>
      </w:pPr>
      <w:rPr>
        <w:rFonts w:ascii="Wingdings" w:hAnsi="Wingdings" w:hint="default"/>
      </w:rPr>
    </w:lvl>
    <w:lvl w:ilvl="6" w:tplc="C21A1B94">
      <w:start w:val="1"/>
      <w:numFmt w:val="bullet"/>
      <w:lvlText w:val=""/>
      <w:lvlJc w:val="left"/>
      <w:pPr>
        <w:ind w:left="5040" w:hanging="360"/>
      </w:pPr>
      <w:rPr>
        <w:rFonts w:ascii="Symbol" w:hAnsi="Symbol" w:hint="default"/>
      </w:rPr>
    </w:lvl>
    <w:lvl w:ilvl="7" w:tplc="4BB60368">
      <w:start w:val="1"/>
      <w:numFmt w:val="bullet"/>
      <w:lvlText w:val="o"/>
      <w:lvlJc w:val="left"/>
      <w:pPr>
        <w:ind w:left="5760" w:hanging="360"/>
      </w:pPr>
      <w:rPr>
        <w:rFonts w:ascii="Courier New" w:hAnsi="Courier New" w:hint="default"/>
      </w:rPr>
    </w:lvl>
    <w:lvl w:ilvl="8" w:tplc="F2228AC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29D8"/>
    <w:multiLevelType w:val="hybridMultilevel"/>
    <w:tmpl w:val="192C18D6"/>
    <w:lvl w:ilvl="0" w:tplc="4246D578">
      <w:start w:val="1"/>
      <w:numFmt w:val="bullet"/>
      <w:lvlText w:val=""/>
      <w:lvlJc w:val="left"/>
      <w:pPr>
        <w:ind w:left="720" w:hanging="360"/>
      </w:pPr>
      <w:rPr>
        <w:rFonts w:ascii="Symbol" w:hAnsi="Symbol" w:hint="default"/>
      </w:rPr>
    </w:lvl>
    <w:lvl w:ilvl="1" w:tplc="02061538">
      <w:start w:val="1"/>
      <w:numFmt w:val="bullet"/>
      <w:lvlText w:val="o"/>
      <w:lvlJc w:val="left"/>
      <w:pPr>
        <w:ind w:left="1440" w:hanging="360"/>
      </w:pPr>
      <w:rPr>
        <w:rFonts w:ascii="Courier New" w:hAnsi="Courier New" w:hint="default"/>
      </w:rPr>
    </w:lvl>
    <w:lvl w:ilvl="2" w:tplc="59440E2E">
      <w:start w:val="1"/>
      <w:numFmt w:val="bullet"/>
      <w:lvlText w:val=""/>
      <w:lvlJc w:val="left"/>
      <w:pPr>
        <w:ind w:left="2160" w:hanging="360"/>
      </w:pPr>
      <w:rPr>
        <w:rFonts w:ascii="Wingdings" w:hAnsi="Wingdings" w:hint="default"/>
      </w:rPr>
    </w:lvl>
    <w:lvl w:ilvl="3" w:tplc="351497B8">
      <w:start w:val="1"/>
      <w:numFmt w:val="bullet"/>
      <w:lvlText w:val=""/>
      <w:lvlJc w:val="left"/>
      <w:pPr>
        <w:ind w:left="2880" w:hanging="360"/>
      </w:pPr>
      <w:rPr>
        <w:rFonts w:ascii="Symbol" w:hAnsi="Symbol" w:hint="default"/>
      </w:rPr>
    </w:lvl>
    <w:lvl w:ilvl="4" w:tplc="D6505276">
      <w:start w:val="1"/>
      <w:numFmt w:val="bullet"/>
      <w:lvlText w:val="o"/>
      <w:lvlJc w:val="left"/>
      <w:pPr>
        <w:ind w:left="3600" w:hanging="360"/>
      </w:pPr>
      <w:rPr>
        <w:rFonts w:ascii="Courier New" w:hAnsi="Courier New" w:hint="default"/>
      </w:rPr>
    </w:lvl>
    <w:lvl w:ilvl="5" w:tplc="CB52A2F4">
      <w:start w:val="1"/>
      <w:numFmt w:val="bullet"/>
      <w:lvlText w:val=""/>
      <w:lvlJc w:val="left"/>
      <w:pPr>
        <w:ind w:left="4320" w:hanging="360"/>
      </w:pPr>
      <w:rPr>
        <w:rFonts w:ascii="Wingdings" w:hAnsi="Wingdings" w:hint="default"/>
      </w:rPr>
    </w:lvl>
    <w:lvl w:ilvl="6" w:tplc="D8584C76">
      <w:start w:val="1"/>
      <w:numFmt w:val="bullet"/>
      <w:lvlText w:val=""/>
      <w:lvlJc w:val="left"/>
      <w:pPr>
        <w:ind w:left="5040" w:hanging="360"/>
      </w:pPr>
      <w:rPr>
        <w:rFonts w:ascii="Symbol" w:hAnsi="Symbol" w:hint="default"/>
      </w:rPr>
    </w:lvl>
    <w:lvl w:ilvl="7" w:tplc="CB725720">
      <w:start w:val="1"/>
      <w:numFmt w:val="bullet"/>
      <w:lvlText w:val="o"/>
      <w:lvlJc w:val="left"/>
      <w:pPr>
        <w:ind w:left="5760" w:hanging="360"/>
      </w:pPr>
      <w:rPr>
        <w:rFonts w:ascii="Courier New" w:hAnsi="Courier New" w:hint="default"/>
      </w:rPr>
    </w:lvl>
    <w:lvl w:ilvl="8" w:tplc="C1402832">
      <w:start w:val="1"/>
      <w:numFmt w:val="bullet"/>
      <w:lvlText w:val=""/>
      <w:lvlJc w:val="left"/>
      <w:pPr>
        <w:ind w:left="6480" w:hanging="360"/>
      </w:pPr>
      <w:rPr>
        <w:rFonts w:ascii="Wingdings" w:hAnsi="Wingdings" w:hint="default"/>
      </w:r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E5068"/>
    <w:multiLevelType w:val="hybridMultilevel"/>
    <w:tmpl w:val="C2A4976E"/>
    <w:lvl w:ilvl="0" w:tplc="BD10B714">
      <w:start w:val="1"/>
      <w:numFmt w:val="upperLetter"/>
      <w:lvlText w:val="%1."/>
      <w:lvlJc w:val="left"/>
      <w:pPr>
        <w:ind w:left="720" w:hanging="360"/>
      </w:pPr>
    </w:lvl>
    <w:lvl w:ilvl="1" w:tplc="1284C638">
      <w:start w:val="1"/>
      <w:numFmt w:val="lowerLetter"/>
      <w:lvlText w:val="%2."/>
      <w:lvlJc w:val="left"/>
      <w:pPr>
        <w:ind w:left="1440" w:hanging="360"/>
      </w:pPr>
    </w:lvl>
    <w:lvl w:ilvl="2" w:tplc="D7DCA596">
      <w:start w:val="1"/>
      <w:numFmt w:val="lowerRoman"/>
      <w:lvlText w:val="%3."/>
      <w:lvlJc w:val="right"/>
      <w:pPr>
        <w:ind w:left="2160" w:hanging="180"/>
      </w:pPr>
    </w:lvl>
    <w:lvl w:ilvl="3" w:tplc="F13C1592">
      <w:start w:val="1"/>
      <w:numFmt w:val="decimal"/>
      <w:lvlText w:val="%4."/>
      <w:lvlJc w:val="left"/>
      <w:pPr>
        <w:ind w:left="2880" w:hanging="360"/>
      </w:pPr>
    </w:lvl>
    <w:lvl w:ilvl="4" w:tplc="FE162DF2">
      <w:start w:val="1"/>
      <w:numFmt w:val="lowerLetter"/>
      <w:lvlText w:val="%5."/>
      <w:lvlJc w:val="left"/>
      <w:pPr>
        <w:ind w:left="3600" w:hanging="360"/>
      </w:pPr>
    </w:lvl>
    <w:lvl w:ilvl="5" w:tplc="1EA02860">
      <w:start w:val="1"/>
      <w:numFmt w:val="lowerRoman"/>
      <w:lvlText w:val="%6."/>
      <w:lvlJc w:val="right"/>
      <w:pPr>
        <w:ind w:left="4320" w:hanging="180"/>
      </w:pPr>
    </w:lvl>
    <w:lvl w:ilvl="6" w:tplc="6F5EEAFC">
      <w:start w:val="1"/>
      <w:numFmt w:val="decimal"/>
      <w:lvlText w:val="%7."/>
      <w:lvlJc w:val="left"/>
      <w:pPr>
        <w:ind w:left="5040" w:hanging="360"/>
      </w:pPr>
    </w:lvl>
    <w:lvl w:ilvl="7" w:tplc="4A109E88">
      <w:start w:val="1"/>
      <w:numFmt w:val="lowerLetter"/>
      <w:lvlText w:val="%8."/>
      <w:lvlJc w:val="left"/>
      <w:pPr>
        <w:ind w:left="5760" w:hanging="360"/>
      </w:pPr>
    </w:lvl>
    <w:lvl w:ilvl="8" w:tplc="7584C2C4">
      <w:start w:val="1"/>
      <w:numFmt w:val="lowerRoman"/>
      <w:lvlText w:val="%9."/>
      <w:lvlJc w:val="right"/>
      <w:pPr>
        <w:ind w:left="6480" w:hanging="180"/>
      </w:pPr>
    </w:lvl>
  </w:abstractNum>
  <w:abstractNum w:abstractNumId="13" w15:restartNumberingAfterBreak="0">
    <w:nsid w:val="77A6643B"/>
    <w:multiLevelType w:val="hybridMultilevel"/>
    <w:tmpl w:val="EE6AF998"/>
    <w:lvl w:ilvl="0" w:tplc="EE54AF6C">
      <w:start w:val="1"/>
      <w:numFmt w:val="upperLetter"/>
      <w:lvlText w:val="%1."/>
      <w:lvlJc w:val="left"/>
      <w:pPr>
        <w:ind w:left="360" w:hanging="360"/>
      </w:pPr>
    </w:lvl>
    <w:lvl w:ilvl="1" w:tplc="4096413A">
      <w:start w:val="1"/>
      <w:numFmt w:val="lowerLetter"/>
      <w:lvlText w:val="%2."/>
      <w:lvlJc w:val="left"/>
      <w:pPr>
        <w:ind w:left="1080" w:hanging="360"/>
      </w:pPr>
    </w:lvl>
    <w:lvl w:ilvl="2" w:tplc="9ABEFFAA">
      <w:start w:val="1"/>
      <w:numFmt w:val="lowerRoman"/>
      <w:lvlText w:val="%3."/>
      <w:lvlJc w:val="right"/>
      <w:pPr>
        <w:ind w:left="1800" w:hanging="180"/>
      </w:pPr>
    </w:lvl>
    <w:lvl w:ilvl="3" w:tplc="B952FAF8">
      <w:start w:val="1"/>
      <w:numFmt w:val="decimal"/>
      <w:lvlText w:val="%4."/>
      <w:lvlJc w:val="left"/>
      <w:pPr>
        <w:ind w:left="2520" w:hanging="360"/>
      </w:pPr>
    </w:lvl>
    <w:lvl w:ilvl="4" w:tplc="AD8EAFA8">
      <w:start w:val="1"/>
      <w:numFmt w:val="lowerLetter"/>
      <w:lvlText w:val="%5."/>
      <w:lvlJc w:val="left"/>
      <w:pPr>
        <w:ind w:left="3240" w:hanging="360"/>
      </w:pPr>
    </w:lvl>
    <w:lvl w:ilvl="5" w:tplc="57A2542A">
      <w:start w:val="1"/>
      <w:numFmt w:val="lowerRoman"/>
      <w:lvlText w:val="%6."/>
      <w:lvlJc w:val="right"/>
      <w:pPr>
        <w:ind w:left="3960" w:hanging="180"/>
      </w:pPr>
    </w:lvl>
    <w:lvl w:ilvl="6" w:tplc="28CA1C06">
      <w:start w:val="1"/>
      <w:numFmt w:val="decimal"/>
      <w:lvlText w:val="%7."/>
      <w:lvlJc w:val="left"/>
      <w:pPr>
        <w:ind w:left="4680" w:hanging="360"/>
      </w:pPr>
    </w:lvl>
    <w:lvl w:ilvl="7" w:tplc="989ACB48">
      <w:start w:val="1"/>
      <w:numFmt w:val="lowerLetter"/>
      <w:lvlText w:val="%8."/>
      <w:lvlJc w:val="left"/>
      <w:pPr>
        <w:ind w:left="5400" w:hanging="360"/>
      </w:pPr>
    </w:lvl>
    <w:lvl w:ilvl="8" w:tplc="1624BA08">
      <w:start w:val="1"/>
      <w:numFmt w:val="lowerRoman"/>
      <w:lvlText w:val="%9."/>
      <w:lvlJc w:val="right"/>
      <w:pPr>
        <w:ind w:left="6120" w:hanging="180"/>
      </w:pPr>
    </w:lvl>
  </w:abstractNum>
  <w:abstractNum w:abstractNumId="14"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7"/>
  </w:num>
  <w:num w:numId="5">
    <w:abstractNumId w:val="5"/>
  </w:num>
  <w:num w:numId="6">
    <w:abstractNumId w:val="3"/>
  </w:num>
  <w:num w:numId="7">
    <w:abstractNumId w:val="2"/>
  </w:num>
  <w:num w:numId="8">
    <w:abstractNumId w:val="0"/>
  </w:num>
  <w:num w:numId="9">
    <w:abstractNumId w:val="1"/>
  </w:num>
  <w:num w:numId="10">
    <w:abstractNumId w:val="9"/>
  </w:num>
  <w:num w:numId="11">
    <w:abstractNumId w:val="10"/>
  </w:num>
  <w:num w:numId="12">
    <w:abstractNumId w:val="6"/>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5C48"/>
    <w:rsid w:val="000B7B51"/>
    <w:rsid w:val="000E4FA0"/>
    <w:rsid w:val="001B52CA"/>
    <w:rsid w:val="0026797A"/>
    <w:rsid w:val="0027587A"/>
    <w:rsid w:val="002A100A"/>
    <w:rsid w:val="002D66CC"/>
    <w:rsid w:val="00300812"/>
    <w:rsid w:val="00300F93"/>
    <w:rsid w:val="00310CA0"/>
    <w:rsid w:val="00327EB0"/>
    <w:rsid w:val="00356BE5"/>
    <w:rsid w:val="00373050"/>
    <w:rsid w:val="00472F13"/>
    <w:rsid w:val="00496DD9"/>
    <w:rsid w:val="00506A1E"/>
    <w:rsid w:val="00506FC3"/>
    <w:rsid w:val="00551272"/>
    <w:rsid w:val="005B741F"/>
    <w:rsid w:val="005D6523"/>
    <w:rsid w:val="0060460F"/>
    <w:rsid w:val="006231FB"/>
    <w:rsid w:val="00665A1E"/>
    <w:rsid w:val="00686AA4"/>
    <w:rsid w:val="006B3525"/>
    <w:rsid w:val="00770DA0"/>
    <w:rsid w:val="007911BE"/>
    <w:rsid w:val="007E66CA"/>
    <w:rsid w:val="00800077"/>
    <w:rsid w:val="00827B7A"/>
    <w:rsid w:val="0085558C"/>
    <w:rsid w:val="008707C4"/>
    <w:rsid w:val="00872B58"/>
    <w:rsid w:val="00872BA4"/>
    <w:rsid w:val="008C4B4B"/>
    <w:rsid w:val="008F727F"/>
    <w:rsid w:val="00963CE4"/>
    <w:rsid w:val="00976EA9"/>
    <w:rsid w:val="00980D00"/>
    <w:rsid w:val="009A23AC"/>
    <w:rsid w:val="009C5702"/>
    <w:rsid w:val="00A015AF"/>
    <w:rsid w:val="00A106D4"/>
    <w:rsid w:val="00A25114"/>
    <w:rsid w:val="00A42905"/>
    <w:rsid w:val="00AD794D"/>
    <w:rsid w:val="00B51C91"/>
    <w:rsid w:val="00B542E4"/>
    <w:rsid w:val="00B6AA41"/>
    <w:rsid w:val="00B77D28"/>
    <w:rsid w:val="00B87EF5"/>
    <w:rsid w:val="00B9167F"/>
    <w:rsid w:val="00BB0B34"/>
    <w:rsid w:val="00C06C4E"/>
    <w:rsid w:val="00C41661"/>
    <w:rsid w:val="00C43BD2"/>
    <w:rsid w:val="00C53B82"/>
    <w:rsid w:val="00CA2F56"/>
    <w:rsid w:val="00CA3BE5"/>
    <w:rsid w:val="00CD2C98"/>
    <w:rsid w:val="00D330A6"/>
    <w:rsid w:val="00DB37A5"/>
    <w:rsid w:val="00DC5156"/>
    <w:rsid w:val="00DF63E6"/>
    <w:rsid w:val="00E441BE"/>
    <w:rsid w:val="00E56E85"/>
    <w:rsid w:val="00EC75DD"/>
    <w:rsid w:val="00FB5DC0"/>
    <w:rsid w:val="00FC0AA2"/>
    <w:rsid w:val="013E38D2"/>
    <w:rsid w:val="01C00528"/>
    <w:rsid w:val="01D9C08D"/>
    <w:rsid w:val="0236344E"/>
    <w:rsid w:val="02521B69"/>
    <w:rsid w:val="027CE19B"/>
    <w:rsid w:val="0334E29D"/>
    <w:rsid w:val="034E5C47"/>
    <w:rsid w:val="0368B5D8"/>
    <w:rsid w:val="0415BC1A"/>
    <w:rsid w:val="04DCAA4E"/>
    <w:rsid w:val="05C8BF47"/>
    <w:rsid w:val="05DE649B"/>
    <w:rsid w:val="0677A7E3"/>
    <w:rsid w:val="0681E39F"/>
    <w:rsid w:val="079B96CC"/>
    <w:rsid w:val="07F10B19"/>
    <w:rsid w:val="0895ACEF"/>
    <w:rsid w:val="08D23D5E"/>
    <w:rsid w:val="0900F060"/>
    <w:rsid w:val="09335D90"/>
    <w:rsid w:val="0936389D"/>
    <w:rsid w:val="0973F848"/>
    <w:rsid w:val="0992BD33"/>
    <w:rsid w:val="09EBC414"/>
    <w:rsid w:val="0A003D7F"/>
    <w:rsid w:val="0AB1D5BE"/>
    <w:rsid w:val="0ACAFE1B"/>
    <w:rsid w:val="0ADEE78D"/>
    <w:rsid w:val="0B477588"/>
    <w:rsid w:val="0B773283"/>
    <w:rsid w:val="0B8E293D"/>
    <w:rsid w:val="0BA7A292"/>
    <w:rsid w:val="0C13C3E4"/>
    <w:rsid w:val="0C445A63"/>
    <w:rsid w:val="0C4CB667"/>
    <w:rsid w:val="0C6E5840"/>
    <w:rsid w:val="0C876602"/>
    <w:rsid w:val="0CD70CBB"/>
    <w:rsid w:val="0D009F98"/>
    <w:rsid w:val="0D66CEB0"/>
    <w:rsid w:val="0E029EDD"/>
    <w:rsid w:val="0E292C28"/>
    <w:rsid w:val="0E6BE1FC"/>
    <w:rsid w:val="0EA60CDA"/>
    <w:rsid w:val="0ECBA6C1"/>
    <w:rsid w:val="0F6C1EE0"/>
    <w:rsid w:val="0FE17031"/>
    <w:rsid w:val="103541D5"/>
    <w:rsid w:val="105B6A3F"/>
    <w:rsid w:val="10923231"/>
    <w:rsid w:val="10BB1120"/>
    <w:rsid w:val="10F23686"/>
    <w:rsid w:val="11211742"/>
    <w:rsid w:val="118102CB"/>
    <w:rsid w:val="11E5CCF8"/>
    <w:rsid w:val="120CC5A0"/>
    <w:rsid w:val="122EBFF6"/>
    <w:rsid w:val="12428368"/>
    <w:rsid w:val="1242DBDC"/>
    <w:rsid w:val="1253CF87"/>
    <w:rsid w:val="1281EACB"/>
    <w:rsid w:val="128DA890"/>
    <w:rsid w:val="12DEBAEA"/>
    <w:rsid w:val="13007DAD"/>
    <w:rsid w:val="1304DF78"/>
    <w:rsid w:val="131CE1BB"/>
    <w:rsid w:val="131EED53"/>
    <w:rsid w:val="13A8CD5C"/>
    <w:rsid w:val="141A4C6A"/>
    <w:rsid w:val="147A8B4B"/>
    <w:rsid w:val="1492E0DA"/>
    <w:rsid w:val="1494F3FA"/>
    <w:rsid w:val="14E04DCA"/>
    <w:rsid w:val="155F6890"/>
    <w:rsid w:val="161A5538"/>
    <w:rsid w:val="16B84A94"/>
    <w:rsid w:val="16DA4DCD"/>
    <w:rsid w:val="16E87F14"/>
    <w:rsid w:val="171C7E67"/>
    <w:rsid w:val="177730C5"/>
    <w:rsid w:val="17A5E4AE"/>
    <w:rsid w:val="17D25999"/>
    <w:rsid w:val="181788A2"/>
    <w:rsid w:val="1826E863"/>
    <w:rsid w:val="183F3469"/>
    <w:rsid w:val="184AF6E2"/>
    <w:rsid w:val="18A919CC"/>
    <w:rsid w:val="18BC89EC"/>
    <w:rsid w:val="195D5F44"/>
    <w:rsid w:val="1A0A96F3"/>
    <w:rsid w:val="1A2344BD"/>
    <w:rsid w:val="1A72F6B2"/>
    <w:rsid w:val="1A8B323F"/>
    <w:rsid w:val="1AE64CE4"/>
    <w:rsid w:val="1B24E9E4"/>
    <w:rsid w:val="1B2F8D0C"/>
    <w:rsid w:val="1B6E82BF"/>
    <w:rsid w:val="1BB8F9F4"/>
    <w:rsid w:val="1C63C9E9"/>
    <w:rsid w:val="1C6B81FD"/>
    <w:rsid w:val="1CD8C805"/>
    <w:rsid w:val="1D27B694"/>
    <w:rsid w:val="1DCF596D"/>
    <w:rsid w:val="1DDE5E58"/>
    <w:rsid w:val="1E1E7585"/>
    <w:rsid w:val="1E2A045C"/>
    <w:rsid w:val="1E419B1D"/>
    <w:rsid w:val="1F250579"/>
    <w:rsid w:val="1F3F7D58"/>
    <w:rsid w:val="1F4311E1"/>
    <w:rsid w:val="1F596FC6"/>
    <w:rsid w:val="20F6DFA2"/>
    <w:rsid w:val="210EB38A"/>
    <w:rsid w:val="21601382"/>
    <w:rsid w:val="218F8DD2"/>
    <w:rsid w:val="21966300"/>
    <w:rsid w:val="21C5E5CD"/>
    <w:rsid w:val="21E6E152"/>
    <w:rsid w:val="220A26C3"/>
    <w:rsid w:val="226187FF"/>
    <w:rsid w:val="232BB6B3"/>
    <w:rsid w:val="233A587D"/>
    <w:rsid w:val="23F62630"/>
    <w:rsid w:val="2480A233"/>
    <w:rsid w:val="24C5DB00"/>
    <w:rsid w:val="250D9BEB"/>
    <w:rsid w:val="25F20B0E"/>
    <w:rsid w:val="260FF05A"/>
    <w:rsid w:val="2622B9EF"/>
    <w:rsid w:val="26578C73"/>
    <w:rsid w:val="266CE5AA"/>
    <w:rsid w:val="26885939"/>
    <w:rsid w:val="268A7AF2"/>
    <w:rsid w:val="26CCFC22"/>
    <w:rsid w:val="272E3804"/>
    <w:rsid w:val="2759E963"/>
    <w:rsid w:val="2822FAC6"/>
    <w:rsid w:val="288B9F29"/>
    <w:rsid w:val="28ED2473"/>
    <w:rsid w:val="29418584"/>
    <w:rsid w:val="29A74D69"/>
    <w:rsid w:val="29E79F05"/>
    <w:rsid w:val="2A040E4A"/>
    <w:rsid w:val="2AB6DDDC"/>
    <w:rsid w:val="2BCC4040"/>
    <w:rsid w:val="2BF57658"/>
    <w:rsid w:val="2C10AA31"/>
    <w:rsid w:val="2C27E6DF"/>
    <w:rsid w:val="2C436F9F"/>
    <w:rsid w:val="2C531686"/>
    <w:rsid w:val="2C586C10"/>
    <w:rsid w:val="2C68B2DC"/>
    <w:rsid w:val="2D0FF1AB"/>
    <w:rsid w:val="2D2EA812"/>
    <w:rsid w:val="2DC7F2CE"/>
    <w:rsid w:val="2DEB5B3C"/>
    <w:rsid w:val="2E743CC3"/>
    <w:rsid w:val="2F213194"/>
    <w:rsid w:val="2F602488"/>
    <w:rsid w:val="2F6F3A32"/>
    <w:rsid w:val="2FF0482B"/>
    <w:rsid w:val="3083DCD5"/>
    <w:rsid w:val="30DA790D"/>
    <w:rsid w:val="31C2E584"/>
    <w:rsid w:val="31D2F696"/>
    <w:rsid w:val="3232E577"/>
    <w:rsid w:val="32464CC8"/>
    <w:rsid w:val="328E971D"/>
    <w:rsid w:val="32B1B4D3"/>
    <w:rsid w:val="338609A0"/>
    <w:rsid w:val="339734B7"/>
    <w:rsid w:val="33F99A72"/>
    <w:rsid w:val="34255B1A"/>
    <w:rsid w:val="350F209D"/>
    <w:rsid w:val="35C4A063"/>
    <w:rsid w:val="3623058C"/>
    <w:rsid w:val="362D2AE8"/>
    <w:rsid w:val="36965A6E"/>
    <w:rsid w:val="36A07196"/>
    <w:rsid w:val="36CD08D9"/>
    <w:rsid w:val="3761E591"/>
    <w:rsid w:val="3787D464"/>
    <w:rsid w:val="3787DB34"/>
    <w:rsid w:val="37B35309"/>
    <w:rsid w:val="38171751"/>
    <w:rsid w:val="39F2FD07"/>
    <w:rsid w:val="3A3BB63B"/>
    <w:rsid w:val="3A4CA002"/>
    <w:rsid w:val="3A542134"/>
    <w:rsid w:val="3A8B71C8"/>
    <w:rsid w:val="3A9101F4"/>
    <w:rsid w:val="3AA8473B"/>
    <w:rsid w:val="3AC2DCC6"/>
    <w:rsid w:val="3B120262"/>
    <w:rsid w:val="3B25DF22"/>
    <w:rsid w:val="3BB70ECA"/>
    <w:rsid w:val="3BCC21B1"/>
    <w:rsid w:val="3BE6E972"/>
    <w:rsid w:val="3BF9C9C7"/>
    <w:rsid w:val="3C57B6EF"/>
    <w:rsid w:val="3C9550CF"/>
    <w:rsid w:val="3C97490D"/>
    <w:rsid w:val="3CB72B11"/>
    <w:rsid w:val="3D9D1780"/>
    <w:rsid w:val="3DC4EE3B"/>
    <w:rsid w:val="3E64F3E0"/>
    <w:rsid w:val="3EA8BBDF"/>
    <w:rsid w:val="3FBE2F7C"/>
    <w:rsid w:val="402C0641"/>
    <w:rsid w:val="40AA3A5B"/>
    <w:rsid w:val="40C215C7"/>
    <w:rsid w:val="4157F2C3"/>
    <w:rsid w:val="4159FFDD"/>
    <w:rsid w:val="41B75A4E"/>
    <w:rsid w:val="422CE2BB"/>
    <w:rsid w:val="428E0291"/>
    <w:rsid w:val="42EC6A3F"/>
    <w:rsid w:val="43081C4A"/>
    <w:rsid w:val="433DFD85"/>
    <w:rsid w:val="43FCA528"/>
    <w:rsid w:val="440AB443"/>
    <w:rsid w:val="441625AB"/>
    <w:rsid w:val="44DA367C"/>
    <w:rsid w:val="45AF07F7"/>
    <w:rsid w:val="46133743"/>
    <w:rsid w:val="464B4694"/>
    <w:rsid w:val="46E77A5D"/>
    <w:rsid w:val="470053DE"/>
    <w:rsid w:val="476173B4"/>
    <w:rsid w:val="47DCBF47"/>
    <w:rsid w:val="47EB34E2"/>
    <w:rsid w:val="4807B1A1"/>
    <w:rsid w:val="480A7C4B"/>
    <w:rsid w:val="486CE4D0"/>
    <w:rsid w:val="487069A4"/>
    <w:rsid w:val="48A41169"/>
    <w:rsid w:val="48C9D52C"/>
    <w:rsid w:val="48CEF0CD"/>
    <w:rsid w:val="48D07565"/>
    <w:rsid w:val="48FAAA62"/>
    <w:rsid w:val="4912FA00"/>
    <w:rsid w:val="4961E004"/>
    <w:rsid w:val="4989E6D9"/>
    <w:rsid w:val="4994E597"/>
    <w:rsid w:val="4A08B531"/>
    <w:rsid w:val="4A3EEEDD"/>
    <w:rsid w:val="4A3FE1CA"/>
    <w:rsid w:val="4A7BBC9F"/>
    <w:rsid w:val="4A9B697A"/>
    <w:rsid w:val="4AB86F41"/>
    <w:rsid w:val="4B40CCE0"/>
    <w:rsid w:val="4B479536"/>
    <w:rsid w:val="4BC4FF02"/>
    <w:rsid w:val="4C548086"/>
    <w:rsid w:val="4C763C71"/>
    <w:rsid w:val="4C79CDA7"/>
    <w:rsid w:val="4D0E0F7D"/>
    <w:rsid w:val="4D88B7EF"/>
    <w:rsid w:val="4DC759FD"/>
    <w:rsid w:val="4DCD42C6"/>
    <w:rsid w:val="4DDBC7FB"/>
    <w:rsid w:val="4DFDC92C"/>
    <w:rsid w:val="4E7D3DBA"/>
    <w:rsid w:val="4EF629B4"/>
    <w:rsid w:val="4EFA4815"/>
    <w:rsid w:val="4F26D5B4"/>
    <w:rsid w:val="4F6855C3"/>
    <w:rsid w:val="4F691327"/>
    <w:rsid w:val="4F754D6F"/>
    <w:rsid w:val="4FFB7BFB"/>
    <w:rsid w:val="50BDD47B"/>
    <w:rsid w:val="50F5A1B3"/>
    <w:rsid w:val="5104E388"/>
    <w:rsid w:val="5191CA9E"/>
    <w:rsid w:val="51A316D9"/>
    <w:rsid w:val="51AC50F4"/>
    <w:rsid w:val="52AA99AD"/>
    <w:rsid w:val="52BF22C0"/>
    <w:rsid w:val="53060CB8"/>
    <w:rsid w:val="530CE6DE"/>
    <w:rsid w:val="5378CB0F"/>
    <w:rsid w:val="53A2A7FD"/>
    <w:rsid w:val="53B7B6D3"/>
    <w:rsid w:val="53FB2DBF"/>
    <w:rsid w:val="55A0CD84"/>
    <w:rsid w:val="55BCA7BE"/>
    <w:rsid w:val="55C68CB5"/>
    <w:rsid w:val="5620D3B2"/>
    <w:rsid w:val="56277CA2"/>
    <w:rsid w:val="563487A3"/>
    <w:rsid w:val="569A3F58"/>
    <w:rsid w:val="572B0038"/>
    <w:rsid w:val="57784FAA"/>
    <w:rsid w:val="57A00BE4"/>
    <w:rsid w:val="57AE5FD7"/>
    <w:rsid w:val="57D15E4B"/>
    <w:rsid w:val="5826183E"/>
    <w:rsid w:val="586BDAE5"/>
    <w:rsid w:val="58B2E977"/>
    <w:rsid w:val="59405C85"/>
    <w:rsid w:val="5A166F1E"/>
    <w:rsid w:val="5A28C5A5"/>
    <w:rsid w:val="5A2DE042"/>
    <w:rsid w:val="5AB3B354"/>
    <w:rsid w:val="5ABCD2B6"/>
    <w:rsid w:val="5ADC2CE6"/>
    <w:rsid w:val="5AE3C6A7"/>
    <w:rsid w:val="5B1063F4"/>
    <w:rsid w:val="5B1620C2"/>
    <w:rsid w:val="5B3D9753"/>
    <w:rsid w:val="5BB66BB1"/>
    <w:rsid w:val="5BB940B7"/>
    <w:rsid w:val="5BCEB4D2"/>
    <w:rsid w:val="5BD65965"/>
    <w:rsid w:val="5C9F3FC8"/>
    <w:rsid w:val="5CA1F360"/>
    <w:rsid w:val="5CB1F123"/>
    <w:rsid w:val="5CD1A602"/>
    <w:rsid w:val="5D05AD78"/>
    <w:rsid w:val="5D405C7A"/>
    <w:rsid w:val="5E132CBB"/>
    <w:rsid w:val="5E137048"/>
    <w:rsid w:val="5E4C9A5B"/>
    <w:rsid w:val="5F104EB6"/>
    <w:rsid w:val="6002AB7F"/>
    <w:rsid w:val="600DFCD9"/>
    <w:rsid w:val="6010CC80"/>
    <w:rsid w:val="602A0FDF"/>
    <w:rsid w:val="60D43FE7"/>
    <w:rsid w:val="6101E47F"/>
    <w:rsid w:val="617D639D"/>
    <w:rsid w:val="618B5539"/>
    <w:rsid w:val="61EF5EB0"/>
    <w:rsid w:val="6272B19D"/>
    <w:rsid w:val="6289F09F"/>
    <w:rsid w:val="62A59CDC"/>
    <w:rsid w:val="62B34E12"/>
    <w:rsid w:val="630D6884"/>
    <w:rsid w:val="6354DA6C"/>
    <w:rsid w:val="638390E4"/>
    <w:rsid w:val="6444DFAF"/>
    <w:rsid w:val="64DF137A"/>
    <w:rsid w:val="6551DB58"/>
    <w:rsid w:val="656667DD"/>
    <w:rsid w:val="65874EC4"/>
    <w:rsid w:val="65943897"/>
    <w:rsid w:val="65DFD2A5"/>
    <w:rsid w:val="65E9D2E5"/>
    <w:rsid w:val="666E2AC5"/>
    <w:rsid w:val="668DD04F"/>
    <w:rsid w:val="66B7971A"/>
    <w:rsid w:val="66D2F3C1"/>
    <w:rsid w:val="67687AE3"/>
    <w:rsid w:val="67A7E7A3"/>
    <w:rsid w:val="67BF8BC8"/>
    <w:rsid w:val="684CD858"/>
    <w:rsid w:val="68866319"/>
    <w:rsid w:val="68E9EEDA"/>
    <w:rsid w:val="68F5F2D3"/>
    <w:rsid w:val="69BBED1D"/>
    <w:rsid w:val="6A2A55A5"/>
    <w:rsid w:val="6A324D13"/>
    <w:rsid w:val="6A6E3592"/>
    <w:rsid w:val="6A74D448"/>
    <w:rsid w:val="6AB0AEC1"/>
    <w:rsid w:val="6ACAD255"/>
    <w:rsid w:val="6B1C6255"/>
    <w:rsid w:val="6B46C3F4"/>
    <w:rsid w:val="6B5ECC4A"/>
    <w:rsid w:val="6B7F27EE"/>
    <w:rsid w:val="6B80D741"/>
    <w:rsid w:val="6C0FB1D3"/>
    <w:rsid w:val="6C32EACA"/>
    <w:rsid w:val="6CBDC2CC"/>
    <w:rsid w:val="6D1B4991"/>
    <w:rsid w:val="6D9E122D"/>
    <w:rsid w:val="6DBAC4CD"/>
    <w:rsid w:val="6E7E6512"/>
    <w:rsid w:val="6E9C33F2"/>
    <w:rsid w:val="6F5160E6"/>
    <w:rsid w:val="6F61E8F1"/>
    <w:rsid w:val="6F9F392A"/>
    <w:rsid w:val="6FAA0BD6"/>
    <w:rsid w:val="6FE1F2A0"/>
    <w:rsid w:val="70622CEC"/>
    <w:rsid w:val="7077AFB4"/>
    <w:rsid w:val="70D4D6A4"/>
    <w:rsid w:val="717A2B49"/>
    <w:rsid w:val="71C625B2"/>
    <w:rsid w:val="72074A04"/>
    <w:rsid w:val="720B084E"/>
    <w:rsid w:val="72B90B04"/>
    <w:rsid w:val="73B2F60B"/>
    <w:rsid w:val="743BE41A"/>
    <w:rsid w:val="76BB8001"/>
    <w:rsid w:val="76CB5D30"/>
    <w:rsid w:val="772ECE21"/>
    <w:rsid w:val="773AA1FC"/>
    <w:rsid w:val="77603532"/>
    <w:rsid w:val="77E32A3D"/>
    <w:rsid w:val="785D2F3A"/>
    <w:rsid w:val="78AEC438"/>
    <w:rsid w:val="79526F60"/>
    <w:rsid w:val="79955D1E"/>
    <w:rsid w:val="79DC1EF6"/>
    <w:rsid w:val="79FA0895"/>
    <w:rsid w:val="7AA0F911"/>
    <w:rsid w:val="7BA71CC5"/>
    <w:rsid w:val="7BF0D022"/>
    <w:rsid w:val="7C007190"/>
    <w:rsid w:val="7C92ACA4"/>
    <w:rsid w:val="7CA5AD87"/>
    <w:rsid w:val="7CB050AF"/>
    <w:rsid w:val="7D114904"/>
    <w:rsid w:val="7D5128D7"/>
    <w:rsid w:val="7D7C76F4"/>
    <w:rsid w:val="7DF0AAE8"/>
    <w:rsid w:val="7E0D6602"/>
    <w:rsid w:val="7E6222C8"/>
    <w:rsid w:val="7EAC9640"/>
    <w:rsid w:val="7EB568F1"/>
    <w:rsid w:val="7EFC1C04"/>
    <w:rsid w:val="7F204854"/>
    <w:rsid w:val="7FCA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pp.smartsheet.com/b/publish?EQBCT=3e97a72d3b5a4b66a7be5170d5431e2e" TargetMode="External"/><Relationship Id="rId17" Type="http://schemas.openxmlformats.org/officeDocument/2006/relationships/header" Target="header2.xml"/><Relationship Id="R2535d6b105a54938" Type="http://schemas.microsoft.com/office/2016/09/relationships/commentsIds" Target="commentsIds.xml"/><Relationship Id="R3e1c7752420540fa" Type="http://schemas.microsoft.com/office/2018/08/relationships/commentsExtensible" Target="commentsExtensible.xml"/><Relationship Id="R1d16fd1e5eda418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meredith.villines@state.or.u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2021-12-17T18:47:47+00:00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C21F9-4EE9-4382-8358-CB255CA66444}">
  <ds:schemaRefs>
    <ds:schemaRef ds:uri="http://purl.org/dc/elements/1.1/"/>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7f305cf4-7e8c-42e6-816c-ef6b646f0a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7E869B-05F7-4625-9B02-B6872C6EA8BA}"/>
</file>

<file path=customXml/itemProps3.xml><?xml version="1.0" encoding="utf-8"?>
<ds:datastoreItem xmlns:ds="http://schemas.openxmlformats.org/officeDocument/2006/customXml" ds:itemID="{04F8720C-5962-4E5E-8C0C-E9B105B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2021-12-17T17:48:00Z</dcterms:created>
  <dcterms:modified xsi:type="dcterms:W3CDTF">2021-12-17T17:48:00Z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