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60"/>
        <w:gridCol w:w="324"/>
        <w:gridCol w:w="2484"/>
        <w:gridCol w:w="2484"/>
        <w:gridCol w:w="2484"/>
      </w:tblGrid>
      <w:tr w:rsidR="226187FF" w14:paraId="5531DE85" w14:textId="77777777" w:rsidTr="00575BCA">
        <w:trPr>
          <w:tblHeader/>
        </w:trPr>
        <w:tc>
          <w:tcPr>
            <w:tcW w:w="2160" w:type="dxa"/>
            <w:vAlign w:val="center"/>
          </w:tcPr>
          <w:p w14:paraId="55A78B50" w14:textId="77777777" w:rsidR="226187FF" w:rsidRDefault="226187FF" w:rsidP="226187FF">
            <w:pPr>
              <w:jc w:val="center"/>
              <w:rPr>
                <w:rFonts w:eastAsia="Arial"/>
                <w:b/>
                <w:bCs/>
                <w:color w:val="082A75"/>
                <w:sz w:val="36"/>
                <w:szCs w:val="36"/>
              </w:rPr>
            </w:pPr>
            <w:r>
              <w:rPr>
                <w:noProof/>
                <w:color w:val="2B579A"/>
                <w:shd w:val="clear" w:color="auto" w:fill="E6E6E6"/>
                <w:lang w:val="en-US"/>
              </w:rPr>
              <w:drawing>
                <wp:inline distT="0" distB="0" distL="0" distR="0" wp14:anchorId="35B6AA04" wp14:editId="4AB86408">
                  <wp:extent cx="1077554" cy="1145969"/>
                  <wp:effectExtent l="0" t="0" r="8890" b="0"/>
                  <wp:docPr id="1607847959" name="Picture 1944659586" title="Oregon Department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54" cy="114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gridSpan w:val="4"/>
            <w:vAlign w:val="center"/>
          </w:tcPr>
          <w:p w14:paraId="0224D2F8" w14:textId="77777777" w:rsidR="226187FF" w:rsidRPr="007E66CA" w:rsidRDefault="226187FF" w:rsidP="226187FF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Плановые показатели штата (SPP)</w:t>
            </w:r>
          </w:p>
          <w:p w14:paraId="4B342FD8" w14:textId="4B3797DB" w:rsidR="226187FF" w:rsidRPr="007E66CA" w:rsidRDefault="226187FF" w:rsidP="226187FF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Информационный листок</w:t>
            </w:r>
          </w:p>
          <w:p w14:paraId="33BA0D48" w14:textId="74F745EB" w:rsidR="226187FF" w:rsidRDefault="226187FF" w:rsidP="226187FF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32"/>
                <w:szCs w:val="32"/>
              </w:rPr>
            </w:pPr>
            <w:r w:rsidRPr="008B73EB">
              <w:rPr>
                <w:rFonts w:asciiTheme="minorHAnsi" w:hAnsiTheme="minorHAnsi"/>
                <w:b/>
                <w:color w:val="1B75BC"/>
                <w:sz w:val="28"/>
                <w:szCs w:val="52"/>
              </w:rPr>
              <w:t>Показатель B6: среда обучения детей дошкольного возраста</w:t>
            </w:r>
          </w:p>
        </w:tc>
      </w:tr>
      <w:tr w:rsidR="226187FF" w14:paraId="7A462BA3" w14:textId="77777777" w:rsidTr="226187FF">
        <w:trPr>
          <w:trHeight w:val="72"/>
        </w:trPr>
        <w:tc>
          <w:tcPr>
            <w:tcW w:w="2484" w:type="dxa"/>
            <w:gridSpan w:val="2"/>
            <w:shd w:val="clear" w:color="auto" w:fill="9F2065"/>
          </w:tcPr>
          <w:p w14:paraId="324A88BF" w14:textId="77777777" w:rsidR="226187FF" w:rsidRDefault="226187FF" w:rsidP="226187FF">
            <w:pPr>
              <w:rPr>
                <w:noProof/>
              </w:rPr>
            </w:pPr>
          </w:p>
        </w:tc>
        <w:tc>
          <w:tcPr>
            <w:tcW w:w="2484" w:type="dxa"/>
            <w:shd w:val="clear" w:color="auto" w:fill="E26B2A"/>
          </w:tcPr>
          <w:p w14:paraId="766BF308" w14:textId="77777777" w:rsidR="226187FF" w:rsidRDefault="226187FF" w:rsidP="226187FF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1B75BC"/>
          </w:tcPr>
          <w:p w14:paraId="64CE9337" w14:textId="77777777" w:rsidR="226187FF" w:rsidRDefault="226187FF" w:rsidP="226187FF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408740"/>
          </w:tcPr>
          <w:p w14:paraId="5A804B9A" w14:textId="46579079" w:rsidR="226187FF" w:rsidRDefault="226187FF" w:rsidP="226187FF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14:paraId="21678DA0" w14:textId="0FE10594" w:rsidR="3B25DF22" w:rsidRDefault="3B25DF22" w:rsidP="226187FF">
      <w:pPr>
        <w:pStyle w:val="Heading1"/>
        <w:spacing w:before="0"/>
        <w:rPr>
          <w:rFonts w:ascii="Calibri" w:eastAsia="Calibri" w:hAnsi="Calibri" w:cs="Calibri"/>
        </w:rPr>
      </w:pPr>
      <w:r>
        <w:rPr>
          <w:rFonts w:ascii="Calibri" w:hAnsi="Calibri"/>
          <w:b/>
        </w:rPr>
        <w:t>Плановые показатели штата Орегон</w:t>
      </w:r>
    </w:p>
    <w:p w14:paraId="78E93DE2" w14:textId="373BACE4" w:rsidR="3B25DF22" w:rsidRDefault="3B25DF22" w:rsidP="6272B19D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Согласно закону «Об образовании лиц с инвалидностью» (Disabilities Education Act, IDEA) 2004 г., Департамент образования штата Орегон (Oregon Department of Education, ODE) обязан представить шестилетний план своей деятельности («плановые показатели штата», State Performance Plan или SPP) в</w:t>
      </w:r>
      <w:r w:rsidR="008B73EB">
        <w:rPr>
          <w:rFonts w:ascii="Calibri" w:hAnsi="Calibri"/>
          <w:color w:val="000000" w:themeColor="text1"/>
        </w:rPr>
        <w:t> </w:t>
      </w:r>
      <w:r>
        <w:rPr>
          <w:rFonts w:ascii="Calibri" w:hAnsi="Calibri"/>
          <w:color w:val="000000" w:themeColor="text1"/>
        </w:rPr>
        <w:t xml:space="preserve">Управление программ обучения детей с особыми потребностями (Office of Special Education Programs, OSEP). OSEP разработало основные критерии качества, или показатели, которые позволяют оценить соблюдение требований и результаты деятельности. OSEP устанавливает целевые значения показателей, характеризующих соблюдение требований, а ODE — целевые значения показателей, характеризующих достигнутые результаты. В SPP должны быть указаны целевые значения показателей по каждому результату. Каждый год ODE готовит Ежегодный отчет о достигнутых результатах (Annual Performance Report, APR), где указывает, по каким показателям были достигнуты целевые значения. Каждые шесть лет ODE должен выполнять анализ показателей, характеризующих достигнутые результаты, и привлекать ключевых партнеров для определения новых целевых значений. Чтобы получить дополнительную информацию и зарегистрироваться для участия в опросе, посетите веб-сайт, на котором размещены подготовленные ODE </w:t>
      </w:r>
      <w:hyperlink r:id="rId11">
        <w:r>
          <w:rPr>
            <w:rStyle w:val="Hyperlink"/>
            <w:rFonts w:ascii="Calibri" w:hAnsi="Calibri"/>
          </w:rPr>
          <w:t>«Плановые показатели штата» и «Ежегодные отчеты о достигнутых результатах»</w:t>
        </w:r>
      </w:hyperlink>
      <w:r>
        <w:t>.</w:t>
      </w:r>
      <w:r>
        <w:rPr>
          <w:rFonts w:ascii="Calibri" w:hAnsi="Calibri"/>
          <w:color w:val="000000" w:themeColor="text1"/>
        </w:rPr>
        <w:t xml:space="preserve"> Вы также можете отправить свои замечания, не участвуя в опросе. Для этого нужно заполнить </w:t>
      </w:r>
      <w:hyperlink r:id="rId12" w:history="1">
        <w:r>
          <w:rPr>
            <w:rStyle w:val="Hyperlink"/>
            <w:rFonts w:ascii="Calibri" w:hAnsi="Calibri"/>
          </w:rPr>
          <w:t>эту анкету</w:t>
        </w:r>
      </w:hyperlink>
      <w:r>
        <w:rPr>
          <w:rFonts w:ascii="Calibri" w:hAnsi="Calibri"/>
          <w:color w:val="000000" w:themeColor="text1"/>
        </w:rPr>
        <w:t>.</w:t>
      </w:r>
    </w:p>
    <w:p w14:paraId="4B73E1C3" w14:textId="0BC52818" w:rsidR="000E4FA0" w:rsidRPr="00C06C4E" w:rsidRDefault="00CA3BE5" w:rsidP="008C4B4B">
      <w:pPr>
        <w:pStyle w:val="Heading1"/>
        <w:spacing w:before="12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t>О чем говорит этот показатель и почему он важен?</w:t>
      </w:r>
    </w:p>
    <w:p w14:paraId="1C92DF4F" w14:textId="432CC40E" w:rsidR="2C586C10" w:rsidRDefault="2C586C10" w:rsidP="440AB443">
      <w:pPr>
        <w:spacing w:after="0"/>
        <w:rPr>
          <w:rFonts w:eastAsiaTheme="minorEastAsia"/>
          <w:color w:val="000000" w:themeColor="text1"/>
        </w:rPr>
      </w:pPr>
      <w:r>
        <w:t>Показатель B6 относится к области получения надлежащего бесплатного государственного образования (Free Appropriate Public Education, FAPE) в среде с минимальными ограничениями (Least Restrictive Environment, LRE). Он характеризует среду обучения детей дошкольного возраста.</w:t>
      </w:r>
      <w:r>
        <w:rPr>
          <w:color w:val="000000" w:themeColor="text1"/>
        </w:rPr>
        <w:t xml:space="preserve"> Доля детей в возрасте от 3 до 5 лет, обучающихся по индивидуальной программе (IEP) в следующей среде:</w:t>
      </w:r>
    </w:p>
    <w:p w14:paraId="5764F86C" w14:textId="31ECD420" w:rsidR="2C586C10" w:rsidRDefault="2BCC4040" w:rsidP="4D0E0F7D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>
        <w:rPr>
          <w:color w:val="000000" w:themeColor="text1"/>
        </w:rPr>
        <w:t>А. Обычное дошкольное учреждение, где ребенок проходит специальное обучение и получает связанные с ним услуги.</w:t>
      </w:r>
    </w:p>
    <w:p w14:paraId="135E641E" w14:textId="095E4FF8" w:rsidR="2C586C10" w:rsidRDefault="5A28C5A5" w:rsidP="4D0E0F7D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>
        <w:rPr>
          <w:color w:val="000000" w:themeColor="text1"/>
        </w:rPr>
        <w:t xml:space="preserve">B. Отдельный класс для детей с особыми потребностями, отдельная школа или интернат. </w:t>
      </w:r>
    </w:p>
    <w:p w14:paraId="66B5028C" w14:textId="2E08F26A" w:rsidR="2C586C10" w:rsidRDefault="29A74D69" w:rsidP="440AB443">
      <w:pPr>
        <w:pStyle w:val="ListParagraph"/>
        <w:numPr>
          <w:ilvl w:val="0"/>
          <w:numId w:val="5"/>
        </w:numPr>
        <w:spacing w:after="80"/>
        <w:rPr>
          <w:rFonts w:eastAsiaTheme="minorEastAsia"/>
          <w:color w:val="000000" w:themeColor="text1"/>
        </w:rPr>
      </w:pPr>
      <w:r>
        <w:t>С. Специальное обучение и связанные с ним услуги на дому.</w:t>
      </w:r>
      <w:r>
        <w:rPr>
          <w:b/>
        </w:rPr>
        <w:t xml:space="preserve"> (Ранее данный показатель отсутствовал, поэтому плановое значение 2020 г. является базовым)</w:t>
      </w:r>
    </w:p>
    <w:p w14:paraId="701E8C94" w14:textId="26138DBA" w:rsidR="5D405C7A" w:rsidRDefault="5D405C7A" w:rsidP="440AB443">
      <w:pPr>
        <w:spacing w:after="80"/>
        <w:rPr>
          <w:rFonts w:eastAsiaTheme="minorEastAsia"/>
          <w:color w:val="000000" w:themeColor="text1"/>
        </w:rPr>
      </w:pPr>
      <w:r>
        <w:rPr>
          <w:color w:val="000000" w:themeColor="text1"/>
        </w:rPr>
        <w:t>Одним из основных принципов IDEA является право получать надлежащее бесплатное государственное образование в среде с минимальными ограничениями.</w:t>
      </w:r>
      <w:r>
        <w:rPr>
          <w:rFonts w:ascii="Calibri" w:hAnsi="Calibri"/>
          <w:color w:val="000000" w:themeColor="text1"/>
        </w:rPr>
        <w:t xml:space="preserve"> </w:t>
      </w:r>
      <w:r>
        <w:rPr>
          <w:color w:val="000000" w:themeColor="text1"/>
        </w:rPr>
        <w:t>Результаты 30-летних исследований говорят о том, что у детей с инвалидностью, которые учились в среде с минимальными ограничениями вместе со сверстниками, наблюдался прогресс в приобретении знаний, поведении, социальных взаимодействиях и состоянии здоровья, который сохранялся на всю жизнь. Вместе с поставщиками услуг дошкольного образования и воспитания, программы могут обеспечить предоставление большинства необходимых услуг в рамках обычных дошкольных учреждений. Благодаря этому с раннего возраста семьи с особыми детьми могут строить взаимоотношения с другими людьми и чувствовать себя частью сообщества.</w:t>
      </w:r>
    </w:p>
    <w:p w14:paraId="21AABC0C" w14:textId="1D2468F7" w:rsidR="6CBDC2CC" w:rsidRDefault="00356BE5" w:rsidP="440AB443">
      <w:pPr>
        <w:pStyle w:val="Heading1"/>
        <w:spacing w:before="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t>Из какого источника поступают данные?</w:t>
      </w:r>
    </w:p>
    <w:p w14:paraId="54EFF341" w14:textId="60E3A0C5" w:rsidR="67687AE3" w:rsidRDefault="5E132CBB" w:rsidP="440AB443">
      <w:pPr>
        <w:spacing w:after="80"/>
        <w:rPr>
          <w:rFonts w:eastAsiaTheme="minorEastAsia"/>
          <w:color w:val="000000" w:themeColor="text1"/>
        </w:rPr>
      </w:pPr>
      <w:r>
        <w:rPr>
          <w:color w:val="000000" w:themeColor="text1"/>
        </w:rPr>
        <w:t>Данные, которые используются для подготовки предусмотренного разделом 618 закона IDEA отчета для Департамента, с использованием определений из документа FS089 на портале EDFacts.</w:t>
      </w:r>
    </w:p>
    <w:p w14:paraId="0E57F4FB" w14:textId="77777777" w:rsidR="00310CA0" w:rsidRDefault="00310CA0" w:rsidP="0085558C">
      <w:pPr>
        <w:pStyle w:val="Heading1"/>
        <w:spacing w:before="0" w:line="240" w:lineRule="auto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lastRenderedPageBreak/>
        <w:t>Нужно ли установить или изменить базовое значение для этого показателя?</w:t>
      </w:r>
    </w:p>
    <w:p w14:paraId="5F5E07EA" w14:textId="77777777" w:rsidR="00310CA0" w:rsidRPr="00E56E85" w:rsidRDefault="00310CA0" w:rsidP="00310CA0">
      <w:pPr>
        <w:spacing w:after="80"/>
        <w:rPr>
          <w:color w:val="000000" w:themeColor="text1"/>
        </w:rPr>
      </w:pPr>
      <w:r>
        <w:t>Да, с учетом изменений, в соответствии с которыми данные по учащимся собирали ранее (до 2019 года при определении показателя учитывали данные по учащимся подготовительного класса начальной школы), необходимо установить новое базовое значение для целевых областей A и B. Новое базовое значение отражает количество детей дошкольного возраста (от 3 до 5 лет), получающих услуги специального образования в условиях, описанных выше. Более того, область С появилась в 2020 году, и этот год является для нее базовым.</w:t>
      </w:r>
      <w:r>
        <w:rPr>
          <w:rFonts w:ascii="Calibri" w:hAnsi="Calibri"/>
          <w:color w:val="000000" w:themeColor="text1"/>
        </w:rPr>
        <w:t xml:space="preserve"> </w:t>
      </w:r>
    </w:p>
    <w:p w14:paraId="0A61ADA5" w14:textId="5172996B" w:rsidR="00C06C4E" w:rsidRPr="00C06C4E" w:rsidRDefault="47EB34E2" w:rsidP="440AB443">
      <w:pPr>
        <w:pStyle w:val="Heading1"/>
        <w:spacing w:before="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</w:rPr>
        <w:t>Каких результатов достиг штат Орегон с течением времени?</w:t>
      </w:r>
    </w:p>
    <w:p w14:paraId="4DEA1827" w14:textId="14216111" w:rsidR="717A2B49" w:rsidRDefault="717A2B49" w:rsidP="105B6A3F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>
        <w:rPr>
          <w:color w:val="000000" w:themeColor="text1"/>
        </w:rPr>
        <w:t>Обычное дошкольное учреждение, где ребенок проходит специальное обучение и получает связанные с ним услуги.</w:t>
      </w:r>
    </w:p>
    <w:p w14:paraId="4CABC3F1" w14:textId="19A44DB2" w:rsidR="57AE5FD7" w:rsidRDefault="57AE5FD7" w:rsidP="105B6A3F">
      <w:pPr>
        <w:jc w:val="center"/>
      </w:pPr>
      <w:r>
        <w:rPr>
          <w:noProof/>
          <w:color w:val="2B579A"/>
          <w:shd w:val="clear" w:color="auto" w:fill="E6E6E6"/>
          <w:lang w:val="en-US"/>
        </w:rPr>
        <w:drawing>
          <wp:inline distT="0" distB="0" distL="0" distR="0" wp14:anchorId="2131EBD8" wp14:editId="4C0DFDBD">
            <wp:extent cx="4697621" cy="3004520"/>
            <wp:effectExtent l="0" t="0" r="0" b="0"/>
            <wp:docPr id="126238950" name="Picture 126238950" descr="Graph showing Oregon's performance on Indicator B6 A from 2014 to 2019." title="Indicator B6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621" cy="30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Oregon's Indicator B6"/>
      </w:tblPr>
      <w:tblGrid>
        <w:gridCol w:w="1244"/>
        <w:gridCol w:w="1439"/>
        <w:gridCol w:w="1259"/>
        <w:gridCol w:w="1140"/>
        <w:gridCol w:w="1215"/>
        <w:gridCol w:w="1230"/>
        <w:gridCol w:w="1140"/>
        <w:gridCol w:w="1259"/>
      </w:tblGrid>
      <w:tr w:rsidR="105B6A3F" w14:paraId="51AAE5B4" w14:textId="77777777" w:rsidTr="00575BCA">
        <w:trPr>
          <w:trHeight w:val="300"/>
          <w:tblHeader/>
          <w:jc w:val="center"/>
        </w:trPr>
        <w:tc>
          <w:tcPr>
            <w:tcW w:w="1245" w:type="dxa"/>
            <w:shd w:val="clear" w:color="auto" w:fill="FFD966" w:themeFill="accent4" w:themeFillTint="99"/>
          </w:tcPr>
          <w:p w14:paraId="192B5EC0" w14:textId="1E8C7C9C" w:rsidR="105B6A3F" w:rsidRDefault="105B6A3F" w:rsidP="105B6A3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389FCDF1" w14:textId="3CA85135" w:rsidR="0D66CEB0" w:rsidRDefault="0D66CEB0" w:rsidP="105B6A3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2011</w:t>
            </w:r>
          </w:p>
        </w:tc>
        <w:tc>
          <w:tcPr>
            <w:tcW w:w="1260" w:type="dxa"/>
            <w:shd w:val="clear" w:color="auto" w:fill="FFD966" w:themeFill="accent4" w:themeFillTint="99"/>
          </w:tcPr>
          <w:p w14:paraId="59D77794" w14:textId="7194A6AA" w:rsidR="105B6A3F" w:rsidRDefault="105B6A3F" w:rsidP="105B6A3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2014</w:t>
            </w:r>
          </w:p>
        </w:tc>
        <w:tc>
          <w:tcPr>
            <w:tcW w:w="1140" w:type="dxa"/>
            <w:shd w:val="clear" w:color="auto" w:fill="FFD966" w:themeFill="accent4" w:themeFillTint="99"/>
          </w:tcPr>
          <w:p w14:paraId="7A9B48FC" w14:textId="660CFA01" w:rsidR="105B6A3F" w:rsidRDefault="105B6A3F" w:rsidP="105B6A3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2015</w:t>
            </w:r>
          </w:p>
        </w:tc>
        <w:tc>
          <w:tcPr>
            <w:tcW w:w="1215" w:type="dxa"/>
            <w:shd w:val="clear" w:color="auto" w:fill="FFD966" w:themeFill="accent4" w:themeFillTint="99"/>
          </w:tcPr>
          <w:p w14:paraId="3B50E969" w14:textId="6B7184C8" w:rsidR="105B6A3F" w:rsidRDefault="105B6A3F" w:rsidP="105B6A3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2016</w:t>
            </w:r>
          </w:p>
        </w:tc>
        <w:tc>
          <w:tcPr>
            <w:tcW w:w="1230" w:type="dxa"/>
            <w:shd w:val="clear" w:color="auto" w:fill="FFD966" w:themeFill="accent4" w:themeFillTint="99"/>
          </w:tcPr>
          <w:p w14:paraId="3A8751AE" w14:textId="0480FBE8" w:rsidR="105B6A3F" w:rsidRDefault="105B6A3F" w:rsidP="105B6A3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2017</w:t>
            </w:r>
          </w:p>
        </w:tc>
        <w:tc>
          <w:tcPr>
            <w:tcW w:w="1140" w:type="dxa"/>
            <w:shd w:val="clear" w:color="auto" w:fill="FFD966" w:themeFill="accent4" w:themeFillTint="99"/>
          </w:tcPr>
          <w:p w14:paraId="31DAC9AE" w14:textId="44980E38" w:rsidR="105B6A3F" w:rsidRDefault="105B6A3F" w:rsidP="105B6A3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2018</w:t>
            </w:r>
          </w:p>
        </w:tc>
        <w:tc>
          <w:tcPr>
            <w:tcW w:w="1260" w:type="dxa"/>
            <w:shd w:val="clear" w:color="auto" w:fill="FFD966" w:themeFill="accent4" w:themeFillTint="99"/>
          </w:tcPr>
          <w:p w14:paraId="0E71ADB1" w14:textId="3D0F1A82" w:rsidR="105B6A3F" w:rsidRDefault="105B6A3F" w:rsidP="105B6A3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2019</w:t>
            </w:r>
          </w:p>
        </w:tc>
      </w:tr>
      <w:tr w:rsidR="105B6A3F" w14:paraId="170B05A3" w14:textId="77777777" w:rsidTr="105B6A3F">
        <w:trPr>
          <w:trHeight w:val="300"/>
          <w:jc w:val="center"/>
        </w:trPr>
        <w:tc>
          <w:tcPr>
            <w:tcW w:w="1245" w:type="dxa"/>
          </w:tcPr>
          <w:p w14:paraId="317DD9DE" w14:textId="0FD05FFD" w:rsidR="105B6A3F" w:rsidRDefault="105B6A3F" w:rsidP="105B6A3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Цель ≥</w:t>
            </w:r>
          </w:p>
        </w:tc>
        <w:tc>
          <w:tcPr>
            <w:tcW w:w="1440" w:type="dxa"/>
          </w:tcPr>
          <w:p w14:paraId="783567D4" w14:textId="35582C7F" w:rsidR="29E79F05" w:rsidRDefault="29E79F05" w:rsidP="105B6A3F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hAnsi="Calibri"/>
                <w:i/>
              </w:rPr>
              <w:t>База</w:t>
            </w:r>
          </w:p>
        </w:tc>
        <w:tc>
          <w:tcPr>
            <w:tcW w:w="1260" w:type="dxa"/>
          </w:tcPr>
          <w:p w14:paraId="4FFDD61B" w14:textId="7BDC8723" w:rsidR="105B6A3F" w:rsidRDefault="105B6A3F" w:rsidP="105B6A3F">
            <w:pPr>
              <w:jc w:val="center"/>
            </w:pPr>
            <w:r>
              <w:t>35,00%</w:t>
            </w:r>
          </w:p>
        </w:tc>
        <w:tc>
          <w:tcPr>
            <w:tcW w:w="1140" w:type="dxa"/>
          </w:tcPr>
          <w:p w14:paraId="71EB6966" w14:textId="6E455C7A" w:rsidR="105B6A3F" w:rsidRDefault="105B6A3F" w:rsidP="105B6A3F">
            <w:pPr>
              <w:jc w:val="center"/>
            </w:pPr>
            <w:r>
              <w:t>35,50%</w:t>
            </w:r>
          </w:p>
        </w:tc>
        <w:tc>
          <w:tcPr>
            <w:tcW w:w="1215" w:type="dxa"/>
          </w:tcPr>
          <w:p w14:paraId="4ADDF17A" w14:textId="783DDE49" w:rsidR="105B6A3F" w:rsidRDefault="105B6A3F" w:rsidP="105B6A3F">
            <w:pPr>
              <w:jc w:val="center"/>
            </w:pPr>
            <w:r>
              <w:t>35,50%</w:t>
            </w:r>
          </w:p>
        </w:tc>
        <w:tc>
          <w:tcPr>
            <w:tcW w:w="1230" w:type="dxa"/>
          </w:tcPr>
          <w:p w14:paraId="1E3524D1" w14:textId="7AF5AF9A" w:rsidR="105B6A3F" w:rsidRDefault="105B6A3F" w:rsidP="105B6A3F">
            <w:pPr>
              <w:jc w:val="center"/>
            </w:pPr>
            <w:r>
              <w:t>36,00%</w:t>
            </w:r>
          </w:p>
        </w:tc>
        <w:tc>
          <w:tcPr>
            <w:tcW w:w="1140" w:type="dxa"/>
          </w:tcPr>
          <w:p w14:paraId="27172C8D" w14:textId="36AA96D3" w:rsidR="105B6A3F" w:rsidRDefault="105B6A3F" w:rsidP="105B6A3F">
            <w:pPr>
              <w:jc w:val="center"/>
            </w:pPr>
            <w:r>
              <w:t>36,00%</w:t>
            </w:r>
          </w:p>
        </w:tc>
        <w:tc>
          <w:tcPr>
            <w:tcW w:w="1260" w:type="dxa"/>
          </w:tcPr>
          <w:p w14:paraId="198DE43A" w14:textId="63A099B1" w:rsidR="105B6A3F" w:rsidRDefault="105B6A3F" w:rsidP="105B6A3F">
            <w:pPr>
              <w:jc w:val="center"/>
            </w:pPr>
            <w:r>
              <w:t>36,00%</w:t>
            </w:r>
          </w:p>
        </w:tc>
      </w:tr>
      <w:tr w:rsidR="105B6A3F" w14:paraId="3539D9EF" w14:textId="77777777" w:rsidTr="105B6A3F">
        <w:trPr>
          <w:trHeight w:val="300"/>
          <w:jc w:val="center"/>
        </w:trPr>
        <w:tc>
          <w:tcPr>
            <w:tcW w:w="1245" w:type="dxa"/>
          </w:tcPr>
          <w:p w14:paraId="3829584D" w14:textId="15B2E0A4" w:rsidR="51AC50F4" w:rsidRDefault="51AC50F4" w:rsidP="105B6A3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Данные</w:t>
            </w:r>
          </w:p>
        </w:tc>
        <w:tc>
          <w:tcPr>
            <w:tcW w:w="1440" w:type="dxa"/>
          </w:tcPr>
          <w:p w14:paraId="1FB44D3F" w14:textId="4A99B48E" w:rsidR="39F2FD07" w:rsidRDefault="39F2FD07" w:rsidP="105B6A3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color w:val="FF0000"/>
              </w:rPr>
              <w:t>32,70%</w:t>
            </w:r>
          </w:p>
        </w:tc>
        <w:tc>
          <w:tcPr>
            <w:tcW w:w="1260" w:type="dxa"/>
          </w:tcPr>
          <w:p w14:paraId="6619D1FD" w14:textId="691ADFA9" w:rsidR="105B6A3F" w:rsidRDefault="105B6A3F" w:rsidP="105B6A3F">
            <w:pPr>
              <w:jc w:val="center"/>
            </w:pPr>
            <w:r>
              <w:t>37,00%</w:t>
            </w:r>
          </w:p>
        </w:tc>
        <w:tc>
          <w:tcPr>
            <w:tcW w:w="1140" w:type="dxa"/>
          </w:tcPr>
          <w:p w14:paraId="3E274CE9" w14:textId="71BCDF81" w:rsidR="105B6A3F" w:rsidRDefault="105B6A3F" w:rsidP="105B6A3F">
            <w:pPr>
              <w:jc w:val="center"/>
            </w:pPr>
            <w:r>
              <w:t>39,91%</w:t>
            </w:r>
          </w:p>
        </w:tc>
        <w:tc>
          <w:tcPr>
            <w:tcW w:w="1215" w:type="dxa"/>
          </w:tcPr>
          <w:p w14:paraId="47A883A9" w14:textId="685BAB6F" w:rsidR="105B6A3F" w:rsidRDefault="105B6A3F" w:rsidP="105B6A3F">
            <w:pPr>
              <w:jc w:val="center"/>
            </w:pPr>
            <w:r>
              <w:t>45,25%</w:t>
            </w:r>
          </w:p>
        </w:tc>
        <w:tc>
          <w:tcPr>
            <w:tcW w:w="1230" w:type="dxa"/>
          </w:tcPr>
          <w:p w14:paraId="5D7C18C8" w14:textId="53684A3B" w:rsidR="105B6A3F" w:rsidRDefault="105B6A3F" w:rsidP="105B6A3F">
            <w:pPr>
              <w:jc w:val="center"/>
            </w:pPr>
            <w:r>
              <w:t>45,05%</w:t>
            </w:r>
          </w:p>
        </w:tc>
        <w:tc>
          <w:tcPr>
            <w:tcW w:w="1140" w:type="dxa"/>
          </w:tcPr>
          <w:p w14:paraId="21A609E7" w14:textId="7FC7EC7E" w:rsidR="105B6A3F" w:rsidRDefault="105B6A3F" w:rsidP="105B6A3F">
            <w:pPr>
              <w:jc w:val="center"/>
            </w:pPr>
            <w:r>
              <w:t>44,57%</w:t>
            </w:r>
          </w:p>
        </w:tc>
        <w:tc>
          <w:tcPr>
            <w:tcW w:w="1260" w:type="dxa"/>
          </w:tcPr>
          <w:p w14:paraId="4F5DCE9A" w14:textId="14FA4A6C" w:rsidR="105B6A3F" w:rsidRDefault="105B6A3F" w:rsidP="105B6A3F">
            <w:pPr>
              <w:jc w:val="center"/>
            </w:pPr>
            <w:r>
              <w:t>48,16%</w:t>
            </w:r>
          </w:p>
        </w:tc>
      </w:tr>
    </w:tbl>
    <w:p w14:paraId="496C805C" w14:textId="1DA94907" w:rsidR="48CEF0CD" w:rsidRDefault="48CEF0CD" w:rsidP="008B73EB">
      <w:pPr>
        <w:pStyle w:val="ListParagraph"/>
        <w:keepNext/>
        <w:numPr>
          <w:ilvl w:val="0"/>
          <w:numId w:val="1"/>
        </w:numPr>
        <w:spacing w:before="240" w:after="0"/>
        <w:rPr>
          <w:rFonts w:eastAsiaTheme="minorEastAsia"/>
        </w:rPr>
      </w:pPr>
      <w:r>
        <w:rPr>
          <w:color w:val="000000" w:themeColor="text1"/>
        </w:rPr>
        <w:lastRenderedPageBreak/>
        <w:t>Доля детей, обучающихся в классе для детей с особыми потребностями, в отдельной школе или в</w:t>
      </w:r>
      <w:r w:rsidR="008B73EB">
        <w:rPr>
          <w:color w:val="000000" w:themeColor="text1"/>
        </w:rPr>
        <w:t> </w:t>
      </w:r>
      <w:r>
        <w:rPr>
          <w:color w:val="000000" w:themeColor="text1"/>
        </w:rPr>
        <w:t>интернате.</w:t>
      </w:r>
    </w:p>
    <w:p w14:paraId="7126B8D4" w14:textId="3F9FE410" w:rsidR="183F3469" w:rsidRDefault="183F3469" w:rsidP="105B6A3F">
      <w:pPr>
        <w:spacing w:after="0"/>
        <w:jc w:val="center"/>
      </w:pPr>
      <w:r>
        <w:rPr>
          <w:noProof/>
          <w:color w:val="2B579A"/>
          <w:shd w:val="clear" w:color="auto" w:fill="E6E6E6"/>
          <w:lang w:val="en-US"/>
        </w:rPr>
        <w:drawing>
          <wp:inline distT="0" distB="0" distL="0" distR="0" wp14:anchorId="65094C98" wp14:editId="115BAB6E">
            <wp:extent cx="4703650" cy="3008376"/>
            <wp:effectExtent l="0" t="0" r="1905" b="1905"/>
            <wp:docPr id="352252036" name="Picture 352252036" title="Oregon's Indicator B6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650" cy="300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Oregon's Indicator B6 data"/>
      </w:tblPr>
      <w:tblGrid>
        <w:gridCol w:w="1244"/>
        <w:gridCol w:w="1439"/>
        <w:gridCol w:w="1259"/>
        <w:gridCol w:w="1140"/>
        <w:gridCol w:w="1215"/>
        <w:gridCol w:w="1230"/>
        <w:gridCol w:w="1140"/>
        <w:gridCol w:w="1259"/>
      </w:tblGrid>
      <w:tr w:rsidR="105B6A3F" w14:paraId="32877098" w14:textId="77777777" w:rsidTr="00575BCA">
        <w:trPr>
          <w:trHeight w:val="300"/>
          <w:tblHeader/>
          <w:jc w:val="center"/>
        </w:trPr>
        <w:tc>
          <w:tcPr>
            <w:tcW w:w="1245" w:type="dxa"/>
            <w:shd w:val="clear" w:color="auto" w:fill="9CC2E5" w:themeFill="accent5" w:themeFillTint="99"/>
          </w:tcPr>
          <w:p w14:paraId="3BDFEB4E" w14:textId="1E8C7C9C" w:rsidR="105B6A3F" w:rsidRDefault="105B6A3F" w:rsidP="105B6A3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440" w:type="dxa"/>
            <w:shd w:val="clear" w:color="auto" w:fill="9CC2E5" w:themeFill="accent5" w:themeFillTint="99"/>
          </w:tcPr>
          <w:p w14:paraId="5E4B1BB7" w14:textId="3CA85135" w:rsidR="105B6A3F" w:rsidRDefault="105B6A3F" w:rsidP="105B6A3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</w:rPr>
              <w:t>2011</w:t>
            </w:r>
          </w:p>
        </w:tc>
        <w:tc>
          <w:tcPr>
            <w:tcW w:w="1260" w:type="dxa"/>
            <w:shd w:val="clear" w:color="auto" w:fill="9CC2E5" w:themeFill="accent5" w:themeFillTint="99"/>
          </w:tcPr>
          <w:p w14:paraId="6529AE7D" w14:textId="7194A6AA" w:rsidR="105B6A3F" w:rsidRDefault="105B6A3F" w:rsidP="105B6A3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2014</w:t>
            </w:r>
          </w:p>
        </w:tc>
        <w:tc>
          <w:tcPr>
            <w:tcW w:w="1140" w:type="dxa"/>
            <w:shd w:val="clear" w:color="auto" w:fill="9CC2E5" w:themeFill="accent5" w:themeFillTint="99"/>
          </w:tcPr>
          <w:p w14:paraId="223D32A4" w14:textId="660CFA01" w:rsidR="105B6A3F" w:rsidRDefault="105B6A3F" w:rsidP="105B6A3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2015</w:t>
            </w:r>
          </w:p>
        </w:tc>
        <w:tc>
          <w:tcPr>
            <w:tcW w:w="1215" w:type="dxa"/>
            <w:shd w:val="clear" w:color="auto" w:fill="9CC2E5" w:themeFill="accent5" w:themeFillTint="99"/>
          </w:tcPr>
          <w:p w14:paraId="75D68033" w14:textId="6B7184C8" w:rsidR="105B6A3F" w:rsidRDefault="105B6A3F" w:rsidP="105B6A3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2016</w:t>
            </w:r>
          </w:p>
        </w:tc>
        <w:tc>
          <w:tcPr>
            <w:tcW w:w="1230" w:type="dxa"/>
            <w:shd w:val="clear" w:color="auto" w:fill="9CC2E5" w:themeFill="accent5" w:themeFillTint="99"/>
          </w:tcPr>
          <w:p w14:paraId="24EBA6FF" w14:textId="0480FBE8" w:rsidR="105B6A3F" w:rsidRDefault="105B6A3F" w:rsidP="105B6A3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2017</w:t>
            </w:r>
          </w:p>
        </w:tc>
        <w:tc>
          <w:tcPr>
            <w:tcW w:w="1140" w:type="dxa"/>
            <w:shd w:val="clear" w:color="auto" w:fill="9CC2E5" w:themeFill="accent5" w:themeFillTint="99"/>
          </w:tcPr>
          <w:p w14:paraId="04578C93" w14:textId="44980E38" w:rsidR="105B6A3F" w:rsidRDefault="105B6A3F" w:rsidP="105B6A3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2018</w:t>
            </w:r>
          </w:p>
        </w:tc>
        <w:tc>
          <w:tcPr>
            <w:tcW w:w="1260" w:type="dxa"/>
            <w:shd w:val="clear" w:color="auto" w:fill="9CC2E5" w:themeFill="accent5" w:themeFillTint="99"/>
          </w:tcPr>
          <w:p w14:paraId="673B445E" w14:textId="3D0F1A82" w:rsidR="105B6A3F" w:rsidRDefault="105B6A3F" w:rsidP="105B6A3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2019</w:t>
            </w:r>
          </w:p>
        </w:tc>
      </w:tr>
      <w:tr w:rsidR="105B6A3F" w14:paraId="6B866DF9" w14:textId="77777777" w:rsidTr="105B6A3F">
        <w:trPr>
          <w:trHeight w:val="300"/>
          <w:jc w:val="center"/>
        </w:trPr>
        <w:tc>
          <w:tcPr>
            <w:tcW w:w="1245" w:type="dxa"/>
          </w:tcPr>
          <w:p w14:paraId="1D6E5412" w14:textId="0FD05FFD" w:rsidR="105B6A3F" w:rsidRDefault="105B6A3F" w:rsidP="105B6A3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Цель ≥</w:t>
            </w:r>
          </w:p>
        </w:tc>
        <w:tc>
          <w:tcPr>
            <w:tcW w:w="1440" w:type="dxa"/>
          </w:tcPr>
          <w:p w14:paraId="24FA09E5" w14:textId="35582C7F" w:rsidR="105B6A3F" w:rsidRDefault="105B6A3F" w:rsidP="105B6A3F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hAnsi="Calibri"/>
                <w:i/>
              </w:rPr>
              <w:t>База</w:t>
            </w:r>
          </w:p>
        </w:tc>
        <w:tc>
          <w:tcPr>
            <w:tcW w:w="1260" w:type="dxa"/>
          </w:tcPr>
          <w:p w14:paraId="4AB2822A" w14:textId="37D5D269" w:rsidR="105B6A3F" w:rsidRDefault="105B6A3F" w:rsidP="105B6A3F">
            <w:pPr>
              <w:jc w:val="center"/>
            </w:pPr>
            <w:r>
              <w:t>24,60%</w:t>
            </w:r>
          </w:p>
        </w:tc>
        <w:tc>
          <w:tcPr>
            <w:tcW w:w="1140" w:type="dxa"/>
          </w:tcPr>
          <w:p w14:paraId="29635960" w14:textId="226E6016" w:rsidR="105B6A3F" w:rsidRDefault="105B6A3F" w:rsidP="105B6A3F">
            <w:pPr>
              <w:jc w:val="center"/>
            </w:pPr>
            <w:r>
              <w:t>24,00%</w:t>
            </w:r>
          </w:p>
        </w:tc>
        <w:tc>
          <w:tcPr>
            <w:tcW w:w="1215" w:type="dxa"/>
          </w:tcPr>
          <w:p w14:paraId="534EB3FF" w14:textId="17000279" w:rsidR="105B6A3F" w:rsidRDefault="105B6A3F" w:rsidP="105B6A3F">
            <w:pPr>
              <w:jc w:val="center"/>
            </w:pPr>
            <w:r>
              <w:t>24,00%</w:t>
            </w:r>
          </w:p>
        </w:tc>
        <w:tc>
          <w:tcPr>
            <w:tcW w:w="1230" w:type="dxa"/>
          </w:tcPr>
          <w:p w14:paraId="7B933F0E" w14:textId="369D0462" w:rsidR="105B6A3F" w:rsidRDefault="105B6A3F" w:rsidP="105B6A3F">
            <w:pPr>
              <w:jc w:val="center"/>
            </w:pPr>
            <w:r>
              <w:t>23,50%</w:t>
            </w:r>
          </w:p>
        </w:tc>
        <w:tc>
          <w:tcPr>
            <w:tcW w:w="1140" w:type="dxa"/>
          </w:tcPr>
          <w:p w14:paraId="19E5C64D" w14:textId="282FAE95" w:rsidR="105B6A3F" w:rsidRDefault="105B6A3F" w:rsidP="105B6A3F">
            <w:pPr>
              <w:jc w:val="center"/>
            </w:pPr>
            <w:r>
              <w:t>23,50%</w:t>
            </w:r>
          </w:p>
        </w:tc>
        <w:tc>
          <w:tcPr>
            <w:tcW w:w="1260" w:type="dxa"/>
          </w:tcPr>
          <w:p w14:paraId="31C34836" w14:textId="1FED79DB" w:rsidR="105B6A3F" w:rsidRDefault="105B6A3F" w:rsidP="105B6A3F">
            <w:pPr>
              <w:jc w:val="center"/>
            </w:pPr>
            <w:r>
              <w:t>23,50%</w:t>
            </w:r>
          </w:p>
        </w:tc>
      </w:tr>
      <w:tr w:rsidR="105B6A3F" w14:paraId="2DA32B89" w14:textId="77777777" w:rsidTr="105B6A3F">
        <w:trPr>
          <w:trHeight w:val="300"/>
          <w:jc w:val="center"/>
        </w:trPr>
        <w:tc>
          <w:tcPr>
            <w:tcW w:w="1245" w:type="dxa"/>
          </w:tcPr>
          <w:p w14:paraId="5894A800" w14:textId="15B2E0A4" w:rsidR="105B6A3F" w:rsidRDefault="105B6A3F" w:rsidP="105B6A3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Данные</w:t>
            </w:r>
          </w:p>
        </w:tc>
        <w:tc>
          <w:tcPr>
            <w:tcW w:w="1440" w:type="dxa"/>
          </w:tcPr>
          <w:p w14:paraId="38A1F49F" w14:textId="054435D1" w:rsidR="0973F848" w:rsidRDefault="0973F848" w:rsidP="105B6A3F">
            <w:pPr>
              <w:spacing w:line="259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color w:val="FF0000"/>
              </w:rPr>
              <w:t>25,56%</w:t>
            </w:r>
          </w:p>
        </w:tc>
        <w:tc>
          <w:tcPr>
            <w:tcW w:w="1260" w:type="dxa"/>
          </w:tcPr>
          <w:p w14:paraId="50DF630D" w14:textId="24671E2C" w:rsidR="105B6A3F" w:rsidRDefault="105B6A3F" w:rsidP="105B6A3F">
            <w:pPr>
              <w:jc w:val="center"/>
            </w:pPr>
            <w:r>
              <w:t>22,93%</w:t>
            </w:r>
          </w:p>
        </w:tc>
        <w:tc>
          <w:tcPr>
            <w:tcW w:w="1140" w:type="dxa"/>
          </w:tcPr>
          <w:p w14:paraId="04A0BE0D" w14:textId="42F78481" w:rsidR="105B6A3F" w:rsidRDefault="105B6A3F" w:rsidP="105B6A3F">
            <w:pPr>
              <w:jc w:val="center"/>
            </w:pPr>
            <w:r>
              <w:t>23,30%</w:t>
            </w:r>
          </w:p>
        </w:tc>
        <w:tc>
          <w:tcPr>
            <w:tcW w:w="1215" w:type="dxa"/>
          </w:tcPr>
          <w:p w14:paraId="1770568B" w14:textId="3666BE7B" w:rsidR="105B6A3F" w:rsidRDefault="105B6A3F" w:rsidP="105B6A3F">
            <w:pPr>
              <w:jc w:val="center"/>
            </w:pPr>
            <w:r>
              <w:t>19,80%</w:t>
            </w:r>
          </w:p>
        </w:tc>
        <w:tc>
          <w:tcPr>
            <w:tcW w:w="1230" w:type="dxa"/>
          </w:tcPr>
          <w:p w14:paraId="0CDDAF70" w14:textId="22720EEE" w:rsidR="105B6A3F" w:rsidRDefault="105B6A3F" w:rsidP="105B6A3F">
            <w:pPr>
              <w:jc w:val="center"/>
            </w:pPr>
            <w:r>
              <w:t>19,03%</w:t>
            </w:r>
          </w:p>
        </w:tc>
        <w:tc>
          <w:tcPr>
            <w:tcW w:w="1140" w:type="dxa"/>
          </w:tcPr>
          <w:p w14:paraId="4D0F2FC1" w14:textId="173FB98F" w:rsidR="105B6A3F" w:rsidRDefault="105B6A3F" w:rsidP="105B6A3F">
            <w:pPr>
              <w:jc w:val="center"/>
            </w:pPr>
            <w:r>
              <w:t>19,17%</w:t>
            </w:r>
          </w:p>
        </w:tc>
        <w:tc>
          <w:tcPr>
            <w:tcW w:w="1260" w:type="dxa"/>
          </w:tcPr>
          <w:p w14:paraId="3E53F812" w14:textId="738E34FB" w:rsidR="105B6A3F" w:rsidRDefault="105B6A3F" w:rsidP="105B6A3F">
            <w:pPr>
              <w:jc w:val="center"/>
            </w:pPr>
            <w:r>
              <w:t>24,52%</w:t>
            </w:r>
          </w:p>
        </w:tc>
      </w:tr>
    </w:tbl>
    <w:p w14:paraId="6E803FF7" w14:textId="5D5B1793" w:rsidR="105B6A3F" w:rsidRDefault="105B6A3F" w:rsidP="105B6A3F">
      <w:pPr>
        <w:spacing w:after="0"/>
        <w:rPr>
          <w:rFonts w:eastAsiaTheme="minorEastAsia"/>
          <w:color w:val="000000" w:themeColor="text1"/>
        </w:rPr>
      </w:pPr>
    </w:p>
    <w:p w14:paraId="2CA38853" w14:textId="732E1DCA" w:rsidR="0E6BE1FC" w:rsidRDefault="0E6BE1FC" w:rsidP="440AB443">
      <w:pPr>
        <w:pStyle w:val="Heading1"/>
        <w:spacing w:before="0"/>
        <w:rPr>
          <w:rFonts w:ascii="Calibri" w:eastAsia="Calibri" w:hAnsi="Calibri" w:cs="Calibri"/>
        </w:rPr>
      </w:pPr>
      <w:r>
        <w:rPr>
          <w:rFonts w:ascii="Calibri" w:hAnsi="Calibri"/>
          <w:b/>
        </w:rPr>
        <w:t>Будут ли установлены новые целевые значения?</w:t>
      </w:r>
    </w:p>
    <w:p w14:paraId="602EC1B4" w14:textId="75A3A1B2" w:rsidR="0E6BE1FC" w:rsidRDefault="60D43FE7" w:rsidP="105B6A3F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ODE не будет устанавливать новые целевые значения, пока партнеры не предоставят информацию. Новые целевые значения можно устанавливать несколькими способами. Это может быть значение, к</w:t>
      </w:r>
      <w:r w:rsidR="008B73EB">
        <w:rPr>
          <w:rFonts w:ascii="Calibri" w:hAnsi="Calibri"/>
          <w:color w:val="000000" w:themeColor="text1"/>
        </w:rPr>
        <w:t> </w:t>
      </w:r>
      <w:r>
        <w:rPr>
          <w:rFonts w:ascii="Calibri" w:hAnsi="Calibri"/>
          <w:color w:val="000000" w:themeColor="text1"/>
        </w:rPr>
        <w:t>которому изначально решено стремиться, или значение, прогнозируемое на основе тенденций. При выборе целевых значений стоит учесть следующее:</w:t>
      </w:r>
    </w:p>
    <w:p w14:paraId="432898C8" w14:textId="71B97563" w:rsidR="0E6BE1FC" w:rsidRDefault="0E6BE1FC" w:rsidP="4D0E0F7D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>Они призваны стимулировать повышение качества жизни семей с детьми. Они должны быть достижимыми, но демонстрировать рост. </w:t>
      </w:r>
    </w:p>
    <w:p w14:paraId="3BC35269" w14:textId="12D1CC77" w:rsidR="0E6BE1FC" w:rsidRDefault="0E6BE1FC" w:rsidP="4D0E0F7D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>Изменения требуют времени, и это можно учитывать при выборе целевых значений. Например, показатели могут не меняться несколько лет подряд, а за последний год (2025) немного улучшиться. А могут постепенно улучшаться от года к году.</w:t>
      </w:r>
    </w:p>
    <w:p w14:paraId="29ACC891" w14:textId="193ECA44" w:rsidR="0E6BE1FC" w:rsidRDefault="0E6BE1FC" w:rsidP="563487A3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 xml:space="preserve">Этот показатель не должен быть ниже целевого значения в области </w:t>
      </w:r>
      <w:r>
        <w:rPr>
          <w:rFonts w:ascii="Calibri" w:hAnsi="Calibri"/>
          <w:b/>
          <w:bCs/>
          <w:color w:val="000000" w:themeColor="text1"/>
          <w:sz w:val="24"/>
        </w:rPr>
        <w:t>А</w:t>
      </w:r>
      <w:r>
        <w:rPr>
          <w:rFonts w:ascii="Calibri" w:hAnsi="Calibri"/>
          <w:color w:val="000000" w:themeColor="text1"/>
          <w:sz w:val="24"/>
        </w:rPr>
        <w:t xml:space="preserve"> и выше целевых значений в областях </w:t>
      </w:r>
      <w:r>
        <w:rPr>
          <w:rFonts w:ascii="Calibri" w:hAnsi="Calibri"/>
          <w:b/>
          <w:bCs/>
          <w:color w:val="000000" w:themeColor="text1"/>
          <w:sz w:val="24"/>
        </w:rPr>
        <w:t>B</w:t>
      </w:r>
      <w:r>
        <w:rPr>
          <w:rFonts w:ascii="Calibri" w:hAnsi="Calibri"/>
          <w:color w:val="000000" w:themeColor="text1"/>
          <w:sz w:val="24"/>
        </w:rPr>
        <w:t xml:space="preserve"> и </w:t>
      </w:r>
      <w:r>
        <w:rPr>
          <w:rFonts w:ascii="Calibri" w:hAnsi="Calibri"/>
          <w:b/>
          <w:bCs/>
          <w:color w:val="000000" w:themeColor="text1"/>
          <w:sz w:val="24"/>
        </w:rPr>
        <w:t>С</w:t>
      </w:r>
      <w:r>
        <w:rPr>
          <w:rFonts w:ascii="Calibri" w:hAnsi="Calibri"/>
          <w:color w:val="000000" w:themeColor="text1"/>
          <w:sz w:val="24"/>
        </w:rPr>
        <w:t xml:space="preserve">.  </w:t>
      </w:r>
    </w:p>
    <w:p w14:paraId="754BDB68" w14:textId="3D70C1F3" w:rsidR="0E6BE1FC" w:rsidRDefault="260FF05A" w:rsidP="45AF07F7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>В настоящее время доля детей, проходящих специальное обучение на дому, составляет 10,25%.  В будущем данный показатель не должен превысить этот уровень.</w:t>
      </w:r>
    </w:p>
    <w:p w14:paraId="650662D1" w14:textId="3C938B49" w:rsidR="0900F060" w:rsidRDefault="0900F060" w:rsidP="45AF07F7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>На значения данного показателя повлияли ограничения, связанные с пандемией COVID-19. В прошлом году число детей, проходивших обучение в центрах по месту жительства, сократилось, а число детей, проходивших обучение в других учреждениях, возросло.</w:t>
      </w:r>
    </w:p>
    <w:p w14:paraId="74CA71EE" w14:textId="34D585F6" w:rsidR="0E6BE1FC" w:rsidRDefault="0E6BE1FC" w:rsidP="440AB443">
      <w:pPr>
        <w:spacing w:after="0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Пример A"/>
      </w:tblPr>
      <w:tblGrid>
        <w:gridCol w:w="1975"/>
        <w:gridCol w:w="1520"/>
        <w:gridCol w:w="1275"/>
        <w:gridCol w:w="1275"/>
        <w:gridCol w:w="1275"/>
        <w:gridCol w:w="1275"/>
        <w:gridCol w:w="1275"/>
      </w:tblGrid>
      <w:tr w:rsidR="4D0E0F7D" w14:paraId="3DEB0825" w14:textId="77777777" w:rsidTr="00575BCA">
        <w:trPr>
          <w:tblHeader/>
        </w:trPr>
        <w:tc>
          <w:tcPr>
            <w:tcW w:w="1975" w:type="dxa"/>
            <w:shd w:val="clear" w:color="auto" w:fill="FFD966" w:themeFill="accent4" w:themeFillTint="99"/>
          </w:tcPr>
          <w:p w14:paraId="34DFB917" w14:textId="1E8C7C9C" w:rsidR="4D0E0F7D" w:rsidRDefault="4D0E0F7D" w:rsidP="4D0E0F7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520" w:type="dxa"/>
            <w:shd w:val="clear" w:color="auto" w:fill="FFD966" w:themeFill="accent4" w:themeFillTint="99"/>
          </w:tcPr>
          <w:p w14:paraId="37E8E5E5" w14:textId="246A30BD" w:rsidR="4D0E0F7D" w:rsidRDefault="4D0E0F7D" w:rsidP="4D0E0F7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14:paraId="61EDA470" w14:textId="3421E923" w:rsidR="4D0E0F7D" w:rsidRDefault="4D0E0F7D" w:rsidP="4D0E0F7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14:paraId="02B49ED1" w14:textId="1FE62FD4" w:rsidR="4D0E0F7D" w:rsidRDefault="4D0E0F7D" w:rsidP="4D0E0F7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14:paraId="5BFEAA9C" w14:textId="3481E9B6" w:rsidR="4D0E0F7D" w:rsidRDefault="4D0E0F7D" w:rsidP="4D0E0F7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14:paraId="47A82655" w14:textId="0331CC3A" w:rsidR="4D0E0F7D" w:rsidRDefault="4D0E0F7D" w:rsidP="4D0E0F7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14:paraId="3BB163EC" w14:textId="40D67193" w:rsidR="4D0E0F7D" w:rsidRDefault="4D0E0F7D" w:rsidP="4D0E0F7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tr w:rsidR="4D0E0F7D" w14:paraId="2633055E" w14:textId="77777777" w:rsidTr="008B73EB">
        <w:tc>
          <w:tcPr>
            <w:tcW w:w="1975" w:type="dxa"/>
          </w:tcPr>
          <w:p w14:paraId="6DA72857" w14:textId="0EBFC09B" w:rsidR="4D0E0F7D" w:rsidRDefault="1F4311E1" w:rsidP="563487A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A: Цель ≥</w:t>
            </w:r>
          </w:p>
        </w:tc>
        <w:tc>
          <w:tcPr>
            <w:tcW w:w="1520" w:type="dxa"/>
          </w:tcPr>
          <w:p w14:paraId="0DF61BF0" w14:textId="61643800" w:rsidR="4D0E0F7D" w:rsidRDefault="1826E863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База: 48,16%</w:t>
            </w:r>
          </w:p>
        </w:tc>
        <w:tc>
          <w:tcPr>
            <w:tcW w:w="1275" w:type="dxa"/>
          </w:tcPr>
          <w:p w14:paraId="71CFA088" w14:textId="513A4123" w:rsidR="4D0E0F7D" w:rsidRDefault="7AA0F911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48,16%</w:t>
            </w:r>
          </w:p>
        </w:tc>
        <w:tc>
          <w:tcPr>
            <w:tcW w:w="1275" w:type="dxa"/>
          </w:tcPr>
          <w:p w14:paraId="70A84EB4" w14:textId="69837454" w:rsidR="4D0E0F7D" w:rsidRDefault="7AA0F911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48,16%</w:t>
            </w:r>
          </w:p>
        </w:tc>
        <w:tc>
          <w:tcPr>
            <w:tcW w:w="1275" w:type="dxa"/>
          </w:tcPr>
          <w:p w14:paraId="2BA54887" w14:textId="360DDE9E" w:rsidR="4D0E0F7D" w:rsidRDefault="7AA0F911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48,50%</w:t>
            </w:r>
          </w:p>
        </w:tc>
        <w:tc>
          <w:tcPr>
            <w:tcW w:w="1275" w:type="dxa"/>
          </w:tcPr>
          <w:p w14:paraId="273F7B53" w14:textId="1A0401FE" w:rsidR="4D0E0F7D" w:rsidRDefault="7AA0F911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48,50%</w:t>
            </w:r>
          </w:p>
        </w:tc>
        <w:tc>
          <w:tcPr>
            <w:tcW w:w="1275" w:type="dxa"/>
          </w:tcPr>
          <w:p w14:paraId="636B64B3" w14:textId="50A01A3C" w:rsidR="4D0E0F7D" w:rsidRDefault="7AA0F911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49,00%</w:t>
            </w:r>
          </w:p>
        </w:tc>
      </w:tr>
      <w:tr w:rsidR="563487A3" w14:paraId="1C2A89E1" w14:textId="77777777" w:rsidTr="008B73EB">
        <w:trPr>
          <w:trHeight w:val="300"/>
        </w:trPr>
        <w:tc>
          <w:tcPr>
            <w:tcW w:w="1975" w:type="dxa"/>
          </w:tcPr>
          <w:p w14:paraId="0C87EC69" w14:textId="3DE21DFC" w:rsidR="0C876602" w:rsidRDefault="0C876602" w:rsidP="2C436F9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B: Цель ≥</w:t>
            </w:r>
          </w:p>
        </w:tc>
        <w:tc>
          <w:tcPr>
            <w:tcW w:w="1520" w:type="dxa"/>
          </w:tcPr>
          <w:p w14:paraId="2E6F675F" w14:textId="01F1E50E" w:rsidR="10BB1120" w:rsidRDefault="1F250579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База: 23,50%</w:t>
            </w:r>
          </w:p>
        </w:tc>
        <w:tc>
          <w:tcPr>
            <w:tcW w:w="1275" w:type="dxa"/>
          </w:tcPr>
          <w:p w14:paraId="05693603" w14:textId="65F1CB10" w:rsidR="10BB1120" w:rsidRDefault="10BB1120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23,50%</w:t>
            </w:r>
          </w:p>
        </w:tc>
        <w:tc>
          <w:tcPr>
            <w:tcW w:w="1275" w:type="dxa"/>
          </w:tcPr>
          <w:p w14:paraId="65BFC708" w14:textId="693D50BD" w:rsidR="10BB1120" w:rsidRDefault="10BB1120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23,50%</w:t>
            </w:r>
          </w:p>
        </w:tc>
        <w:tc>
          <w:tcPr>
            <w:tcW w:w="1275" w:type="dxa"/>
          </w:tcPr>
          <w:p w14:paraId="3476696D" w14:textId="00B0521D" w:rsidR="10BB1120" w:rsidRDefault="10BB1120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23,00%</w:t>
            </w:r>
          </w:p>
        </w:tc>
        <w:tc>
          <w:tcPr>
            <w:tcW w:w="1275" w:type="dxa"/>
          </w:tcPr>
          <w:p w14:paraId="63E0E9DC" w14:textId="1923848F" w:rsidR="10BB1120" w:rsidRDefault="10BB1120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23,00%</w:t>
            </w:r>
          </w:p>
        </w:tc>
        <w:tc>
          <w:tcPr>
            <w:tcW w:w="1275" w:type="dxa"/>
          </w:tcPr>
          <w:p w14:paraId="469E9451" w14:textId="4717CD16" w:rsidR="10BB1120" w:rsidRDefault="10BB1120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22,50%</w:t>
            </w:r>
          </w:p>
        </w:tc>
      </w:tr>
      <w:tr w:rsidR="563487A3" w14:paraId="09F5C738" w14:textId="77777777" w:rsidTr="008B73EB">
        <w:tc>
          <w:tcPr>
            <w:tcW w:w="1975" w:type="dxa"/>
          </w:tcPr>
          <w:p w14:paraId="20AB3F5A" w14:textId="2CBD8B10" w:rsidR="40C215C7" w:rsidRDefault="40C215C7" w:rsidP="563487A3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hAnsi="Calibri"/>
              </w:rPr>
              <w:t>C: Цель ≥</w:t>
            </w:r>
          </w:p>
        </w:tc>
        <w:tc>
          <w:tcPr>
            <w:tcW w:w="1520" w:type="dxa"/>
          </w:tcPr>
          <w:p w14:paraId="134C4CCF" w14:textId="0F84CC02" w:rsidR="3D9D1780" w:rsidRDefault="79DC1EF6" w:rsidP="105B6A3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База: 10,25%</w:t>
            </w:r>
          </w:p>
        </w:tc>
        <w:tc>
          <w:tcPr>
            <w:tcW w:w="1275" w:type="dxa"/>
          </w:tcPr>
          <w:p w14:paraId="7935ED3B" w14:textId="10E60B33" w:rsidR="76CB5D30" w:rsidRDefault="76CB5D30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10,25%</w:t>
            </w:r>
          </w:p>
        </w:tc>
        <w:tc>
          <w:tcPr>
            <w:tcW w:w="1275" w:type="dxa"/>
          </w:tcPr>
          <w:p w14:paraId="701AC79A" w14:textId="1A7274E0" w:rsidR="76CB5D30" w:rsidRDefault="76CB5D30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10,25%</w:t>
            </w:r>
          </w:p>
        </w:tc>
        <w:tc>
          <w:tcPr>
            <w:tcW w:w="1275" w:type="dxa"/>
          </w:tcPr>
          <w:p w14:paraId="6EED264C" w14:textId="34051E1B" w:rsidR="76CB5D30" w:rsidRDefault="76CB5D30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10,00%</w:t>
            </w:r>
          </w:p>
        </w:tc>
        <w:tc>
          <w:tcPr>
            <w:tcW w:w="1275" w:type="dxa"/>
          </w:tcPr>
          <w:p w14:paraId="6AD646D6" w14:textId="65F81EB2" w:rsidR="76CB5D30" w:rsidRDefault="76CB5D30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10,00%</w:t>
            </w:r>
          </w:p>
        </w:tc>
        <w:tc>
          <w:tcPr>
            <w:tcW w:w="1275" w:type="dxa"/>
          </w:tcPr>
          <w:p w14:paraId="0C919CD9" w14:textId="67FF0C51" w:rsidR="76CB5D30" w:rsidRDefault="76CB5D30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9,75%</w:t>
            </w:r>
          </w:p>
        </w:tc>
      </w:tr>
    </w:tbl>
    <w:p w14:paraId="518172A2" w14:textId="142A57B1" w:rsidR="617D639D" w:rsidRDefault="617D639D" w:rsidP="4D0E0F7D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Пример А демонстрирует постепенный рост.</w:t>
      </w:r>
    </w:p>
    <w:p w14:paraId="418E8CF8" w14:textId="4CD38DD6" w:rsidR="617D639D" w:rsidRDefault="617D639D" w:rsidP="440AB443">
      <w:pPr>
        <w:spacing w:after="0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lastRenderedPageBreak/>
        <w:t>Пример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Пример B"/>
      </w:tblPr>
      <w:tblGrid>
        <w:gridCol w:w="1885"/>
        <w:gridCol w:w="1610"/>
        <w:gridCol w:w="1275"/>
        <w:gridCol w:w="1275"/>
        <w:gridCol w:w="1275"/>
        <w:gridCol w:w="1275"/>
        <w:gridCol w:w="1275"/>
      </w:tblGrid>
      <w:tr w:rsidR="4D0E0F7D" w14:paraId="5BF5BE6E" w14:textId="77777777" w:rsidTr="00575BCA">
        <w:trPr>
          <w:tblHeader/>
        </w:trPr>
        <w:tc>
          <w:tcPr>
            <w:tcW w:w="1885" w:type="dxa"/>
            <w:shd w:val="clear" w:color="auto" w:fill="8496B0" w:themeFill="text2" w:themeFillTint="99"/>
          </w:tcPr>
          <w:p w14:paraId="36F59048" w14:textId="46664171" w:rsidR="4D0E0F7D" w:rsidRDefault="4D0E0F7D" w:rsidP="4D0E0F7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bookmarkStart w:id="0" w:name="_GoBack" w:colFirst="0" w:colLast="7"/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610" w:type="dxa"/>
            <w:shd w:val="clear" w:color="auto" w:fill="8496B0" w:themeFill="text2" w:themeFillTint="99"/>
          </w:tcPr>
          <w:p w14:paraId="1F6337A3" w14:textId="02A84C5E" w:rsidR="4D0E0F7D" w:rsidRDefault="4D0E0F7D" w:rsidP="4D0E0F7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275" w:type="dxa"/>
            <w:shd w:val="clear" w:color="auto" w:fill="8496B0" w:themeFill="text2" w:themeFillTint="99"/>
          </w:tcPr>
          <w:p w14:paraId="333819BF" w14:textId="2A195DEB" w:rsidR="4D0E0F7D" w:rsidRDefault="4D0E0F7D" w:rsidP="4D0E0F7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275" w:type="dxa"/>
            <w:shd w:val="clear" w:color="auto" w:fill="8496B0" w:themeFill="text2" w:themeFillTint="99"/>
          </w:tcPr>
          <w:p w14:paraId="11F33FF2" w14:textId="5AB82B68" w:rsidR="4D0E0F7D" w:rsidRDefault="4D0E0F7D" w:rsidP="4D0E0F7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275" w:type="dxa"/>
            <w:shd w:val="clear" w:color="auto" w:fill="8496B0" w:themeFill="text2" w:themeFillTint="99"/>
          </w:tcPr>
          <w:p w14:paraId="7EAB2695" w14:textId="6AABBC4C" w:rsidR="4D0E0F7D" w:rsidRDefault="4D0E0F7D" w:rsidP="4D0E0F7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275" w:type="dxa"/>
            <w:shd w:val="clear" w:color="auto" w:fill="8496B0" w:themeFill="text2" w:themeFillTint="99"/>
          </w:tcPr>
          <w:p w14:paraId="36A2A0C2" w14:textId="00278846" w:rsidR="4D0E0F7D" w:rsidRDefault="4D0E0F7D" w:rsidP="4D0E0F7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275" w:type="dxa"/>
            <w:shd w:val="clear" w:color="auto" w:fill="8496B0" w:themeFill="text2" w:themeFillTint="99"/>
          </w:tcPr>
          <w:p w14:paraId="60713094" w14:textId="1598A251" w:rsidR="4D0E0F7D" w:rsidRDefault="4D0E0F7D" w:rsidP="4D0E0F7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bookmarkEnd w:id="0"/>
      <w:tr w:rsidR="4D0E0F7D" w14:paraId="1DA51015" w14:textId="77777777" w:rsidTr="008B73EB">
        <w:tc>
          <w:tcPr>
            <w:tcW w:w="1885" w:type="dxa"/>
          </w:tcPr>
          <w:p w14:paraId="24EDBB91" w14:textId="49112826" w:rsidR="4D0E0F7D" w:rsidRDefault="4961E004" w:rsidP="563487A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A: Цель ≥</w:t>
            </w:r>
          </w:p>
        </w:tc>
        <w:tc>
          <w:tcPr>
            <w:tcW w:w="1610" w:type="dxa"/>
          </w:tcPr>
          <w:p w14:paraId="0B8F77F6" w14:textId="59B39B0C" w:rsidR="4D0E0F7D" w:rsidRDefault="171C7E67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База: 48,16%</w:t>
            </w:r>
          </w:p>
        </w:tc>
        <w:tc>
          <w:tcPr>
            <w:tcW w:w="1275" w:type="dxa"/>
          </w:tcPr>
          <w:p w14:paraId="32C063F0" w14:textId="63C8EA6B" w:rsidR="4D0E0F7D" w:rsidRDefault="7C007190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48,16%</w:t>
            </w:r>
          </w:p>
        </w:tc>
        <w:tc>
          <w:tcPr>
            <w:tcW w:w="1275" w:type="dxa"/>
          </w:tcPr>
          <w:p w14:paraId="252A4181" w14:textId="35F2C20E" w:rsidR="4D0E0F7D" w:rsidRDefault="0B477588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48,00%</w:t>
            </w:r>
          </w:p>
        </w:tc>
        <w:tc>
          <w:tcPr>
            <w:tcW w:w="1275" w:type="dxa"/>
          </w:tcPr>
          <w:p w14:paraId="15B8CD89" w14:textId="592FB55F" w:rsidR="4D0E0F7D" w:rsidRDefault="18BC89EC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48,00%</w:t>
            </w:r>
          </w:p>
        </w:tc>
        <w:tc>
          <w:tcPr>
            <w:tcW w:w="1275" w:type="dxa"/>
          </w:tcPr>
          <w:p w14:paraId="01BE5110" w14:textId="16E44723" w:rsidR="4D0E0F7D" w:rsidRDefault="55C68CB5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49,00%</w:t>
            </w:r>
          </w:p>
        </w:tc>
        <w:tc>
          <w:tcPr>
            <w:tcW w:w="1275" w:type="dxa"/>
          </w:tcPr>
          <w:p w14:paraId="72168331" w14:textId="679F75DE" w:rsidR="4D0E0F7D" w:rsidRDefault="26CCFC22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50,00%</w:t>
            </w:r>
          </w:p>
        </w:tc>
      </w:tr>
      <w:tr w:rsidR="563487A3" w14:paraId="01BE53AD" w14:textId="77777777" w:rsidTr="008B73EB">
        <w:tc>
          <w:tcPr>
            <w:tcW w:w="1885" w:type="dxa"/>
          </w:tcPr>
          <w:p w14:paraId="02321D79" w14:textId="00C206AF" w:rsidR="2FF0482B" w:rsidRDefault="2FF0482B" w:rsidP="563487A3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hAnsi="Calibri"/>
              </w:rPr>
              <w:t>B: Цель</w:t>
            </w:r>
            <w:r>
              <w:rPr>
                <w:rFonts w:ascii="Arial" w:hAnsi="Arial"/>
                <w:sz w:val="16"/>
              </w:rPr>
              <w:t xml:space="preserve"> ≤</w:t>
            </w:r>
          </w:p>
        </w:tc>
        <w:tc>
          <w:tcPr>
            <w:tcW w:w="1610" w:type="dxa"/>
          </w:tcPr>
          <w:p w14:paraId="762DC97D" w14:textId="7F16DF57" w:rsidR="77E32A3D" w:rsidRDefault="338609A0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База: 23,50%</w:t>
            </w:r>
          </w:p>
        </w:tc>
        <w:tc>
          <w:tcPr>
            <w:tcW w:w="1275" w:type="dxa"/>
          </w:tcPr>
          <w:p w14:paraId="67ECB9E7" w14:textId="68D65438" w:rsidR="5BD65965" w:rsidRDefault="5BD65965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23,50%</w:t>
            </w:r>
          </w:p>
        </w:tc>
        <w:tc>
          <w:tcPr>
            <w:tcW w:w="1275" w:type="dxa"/>
          </w:tcPr>
          <w:p w14:paraId="22458CF2" w14:textId="06F32078" w:rsidR="155F6890" w:rsidRDefault="155F6890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23,00%</w:t>
            </w:r>
          </w:p>
        </w:tc>
        <w:tc>
          <w:tcPr>
            <w:tcW w:w="1275" w:type="dxa"/>
          </w:tcPr>
          <w:p w14:paraId="2CD924EA" w14:textId="741814AB" w:rsidR="3AA8473B" w:rsidRDefault="3AA8473B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23,00%</w:t>
            </w:r>
          </w:p>
        </w:tc>
        <w:tc>
          <w:tcPr>
            <w:tcW w:w="1275" w:type="dxa"/>
          </w:tcPr>
          <w:p w14:paraId="660D3401" w14:textId="0FB00572" w:rsidR="2759E963" w:rsidRDefault="2759E963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22,00%</w:t>
            </w:r>
          </w:p>
        </w:tc>
        <w:tc>
          <w:tcPr>
            <w:tcW w:w="1275" w:type="dxa"/>
          </w:tcPr>
          <w:p w14:paraId="6B249D38" w14:textId="0526E3E9" w:rsidR="2F213194" w:rsidRDefault="2F213194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21,00%</w:t>
            </w:r>
          </w:p>
        </w:tc>
      </w:tr>
      <w:tr w:rsidR="563487A3" w14:paraId="6E31753F" w14:textId="77777777" w:rsidTr="008B73EB">
        <w:tc>
          <w:tcPr>
            <w:tcW w:w="1885" w:type="dxa"/>
          </w:tcPr>
          <w:p w14:paraId="3E813D08" w14:textId="65FC2C5A" w:rsidR="2FF0482B" w:rsidRDefault="2FF0482B" w:rsidP="563487A3">
            <w:pPr>
              <w:spacing w:line="259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hAnsi="Calibri"/>
              </w:rPr>
              <w:t>C: Цель</w:t>
            </w:r>
            <w:r>
              <w:rPr>
                <w:rFonts w:ascii="Arial" w:hAnsi="Arial"/>
                <w:sz w:val="16"/>
              </w:rPr>
              <w:t xml:space="preserve"> ≤</w:t>
            </w:r>
          </w:p>
        </w:tc>
        <w:tc>
          <w:tcPr>
            <w:tcW w:w="1610" w:type="dxa"/>
          </w:tcPr>
          <w:p w14:paraId="1604C1CB" w14:textId="19F4A74D" w:rsidR="2FF0482B" w:rsidRDefault="2FF0482B" w:rsidP="563487A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База: 10,25%</w:t>
            </w:r>
          </w:p>
        </w:tc>
        <w:tc>
          <w:tcPr>
            <w:tcW w:w="1275" w:type="dxa"/>
          </w:tcPr>
          <w:p w14:paraId="1F281EBC" w14:textId="4CEE5747" w:rsidR="2F602488" w:rsidRDefault="2F602488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10,25%</w:t>
            </w:r>
          </w:p>
        </w:tc>
        <w:tc>
          <w:tcPr>
            <w:tcW w:w="1275" w:type="dxa"/>
          </w:tcPr>
          <w:p w14:paraId="7875F5F4" w14:textId="651FE532" w:rsidR="4C763C71" w:rsidRDefault="4C763C71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10,00%</w:t>
            </w:r>
          </w:p>
        </w:tc>
        <w:tc>
          <w:tcPr>
            <w:tcW w:w="1275" w:type="dxa"/>
          </w:tcPr>
          <w:p w14:paraId="79ADB44B" w14:textId="1210E798" w:rsidR="2AB6DDDC" w:rsidRDefault="2AB6DDDC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10,00%</w:t>
            </w:r>
          </w:p>
        </w:tc>
        <w:tc>
          <w:tcPr>
            <w:tcW w:w="1275" w:type="dxa"/>
          </w:tcPr>
          <w:p w14:paraId="5C6B4C84" w14:textId="449DF700" w:rsidR="5BCEB4D2" w:rsidRDefault="5BCEB4D2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9,50%</w:t>
            </w:r>
          </w:p>
        </w:tc>
        <w:tc>
          <w:tcPr>
            <w:tcW w:w="1275" w:type="dxa"/>
          </w:tcPr>
          <w:p w14:paraId="66E8393A" w14:textId="143C5E92" w:rsidR="0ADEE78D" w:rsidRDefault="0ADEE78D" w:rsidP="2C436F9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9,00%</w:t>
            </w:r>
          </w:p>
        </w:tc>
      </w:tr>
    </w:tbl>
    <w:p w14:paraId="76E97FB1" w14:textId="698D046C" w:rsidR="617D639D" w:rsidRPr="008F727F" w:rsidRDefault="617D639D" w:rsidP="20F6DFA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В примере B представлены более динамичные целевые показатели. </w:t>
      </w:r>
    </w:p>
    <w:p w14:paraId="5D989595" w14:textId="7BD1A624" w:rsidR="617D639D" w:rsidRDefault="4EF629B4" w:rsidP="440AB443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color w:val="538135" w:themeColor="accent6" w:themeShade="BF"/>
        </w:rPr>
        <w:t>Если вам нужна дополнительная информация, обратитесь к Мередит Виллинс (Meredith Villines) по</w:t>
      </w:r>
      <w:r w:rsidR="008B73EB">
        <w:rPr>
          <w:rFonts w:ascii="Calibri" w:hAnsi="Calibri"/>
          <w:b/>
          <w:color w:val="538135" w:themeColor="accent6" w:themeShade="BF"/>
        </w:rPr>
        <w:t> </w:t>
      </w:r>
      <w:r>
        <w:rPr>
          <w:rFonts w:ascii="Calibri" w:hAnsi="Calibri"/>
          <w:b/>
          <w:color w:val="538135" w:themeColor="accent6" w:themeShade="BF"/>
        </w:rPr>
        <w:t xml:space="preserve">эл. почте </w:t>
      </w:r>
      <w:hyperlink r:id="rId15">
        <w:r>
          <w:rPr>
            <w:rStyle w:val="Hyperlink"/>
            <w:rFonts w:ascii="Calibri" w:hAnsi="Calibri"/>
            <w:b/>
          </w:rPr>
          <w:t>meredith.villines@state.or.us</w:t>
        </w:r>
      </w:hyperlink>
      <w:r>
        <w:rPr>
          <w:rFonts w:ascii="Calibri" w:hAnsi="Calibri"/>
          <w:b/>
        </w:rPr>
        <w:t xml:space="preserve">. </w:t>
      </w:r>
    </w:p>
    <w:p w14:paraId="723EA37E" w14:textId="68F8B4EE" w:rsidR="617D639D" w:rsidRDefault="617D639D" w:rsidP="600DFCD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617D639D">
      <w:footerReference w:type="default" r:id="rId1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B6C95" w14:textId="77777777" w:rsidR="00623285" w:rsidRDefault="00623285" w:rsidP="00A015AF">
      <w:pPr>
        <w:spacing w:after="0" w:line="240" w:lineRule="auto"/>
      </w:pPr>
      <w:r>
        <w:separator/>
      </w:r>
    </w:p>
  </w:endnote>
  <w:endnote w:type="continuationSeparator" w:id="0">
    <w:p w14:paraId="1A90AEEC" w14:textId="77777777" w:rsidR="00623285" w:rsidRDefault="00623285" w:rsidP="00A015AF">
      <w:pPr>
        <w:spacing w:after="0" w:line="240" w:lineRule="auto"/>
      </w:pPr>
      <w:r>
        <w:continuationSeparator/>
      </w:r>
    </w:p>
  </w:endnote>
  <w:endnote w:type="continuationNotice" w:id="1">
    <w:p w14:paraId="202D659B" w14:textId="77777777" w:rsidR="00623285" w:rsidRDefault="006232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41BD" w14:textId="110404C6" w:rsidR="4D0E0F7D" w:rsidRDefault="00506A1E" w:rsidP="4D0E0F7D">
    <w:pPr>
      <w:pStyle w:val="Footer"/>
    </w:pPr>
    <w:r>
      <w:t>Плановые показатели штата. Информационный листок. Показатель B6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75BC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1C122" w14:textId="77777777" w:rsidR="00623285" w:rsidRDefault="00623285" w:rsidP="00A015AF">
      <w:pPr>
        <w:spacing w:after="0" w:line="240" w:lineRule="auto"/>
      </w:pPr>
      <w:r>
        <w:separator/>
      </w:r>
    </w:p>
  </w:footnote>
  <w:footnote w:type="continuationSeparator" w:id="0">
    <w:p w14:paraId="58C8ED66" w14:textId="77777777" w:rsidR="00623285" w:rsidRDefault="00623285" w:rsidP="00A015AF">
      <w:pPr>
        <w:spacing w:after="0" w:line="240" w:lineRule="auto"/>
      </w:pPr>
      <w:r>
        <w:continuationSeparator/>
      </w:r>
    </w:p>
  </w:footnote>
  <w:footnote w:type="continuationNotice" w:id="1">
    <w:p w14:paraId="0087E4D5" w14:textId="77777777" w:rsidR="00623285" w:rsidRDefault="00623285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881050260" textId="1983654492" start="361" length="15" invalidationStart="361" invalidationLength="15" id="0+ZBpOud"/>
  </int:Manifest>
  <int:Observations>
    <int:Content id="0+ZBpOu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11355"/>
    <w:multiLevelType w:val="hybridMultilevel"/>
    <w:tmpl w:val="95DED630"/>
    <w:lvl w:ilvl="0" w:tplc="A7281954">
      <w:start w:val="1"/>
      <w:numFmt w:val="upperLetter"/>
      <w:lvlText w:val="%1."/>
      <w:lvlJc w:val="left"/>
      <w:pPr>
        <w:ind w:left="720" w:hanging="360"/>
      </w:pPr>
    </w:lvl>
    <w:lvl w:ilvl="1" w:tplc="0450C28A">
      <w:start w:val="1"/>
      <w:numFmt w:val="lowerLetter"/>
      <w:lvlText w:val="%2."/>
      <w:lvlJc w:val="left"/>
      <w:pPr>
        <w:ind w:left="1440" w:hanging="360"/>
      </w:pPr>
    </w:lvl>
    <w:lvl w:ilvl="2" w:tplc="CF86C4E0">
      <w:start w:val="1"/>
      <w:numFmt w:val="lowerRoman"/>
      <w:lvlText w:val="%3."/>
      <w:lvlJc w:val="right"/>
      <w:pPr>
        <w:ind w:left="2160" w:hanging="180"/>
      </w:pPr>
    </w:lvl>
    <w:lvl w:ilvl="3" w:tplc="3A68188E">
      <w:start w:val="1"/>
      <w:numFmt w:val="decimal"/>
      <w:lvlText w:val="%4."/>
      <w:lvlJc w:val="left"/>
      <w:pPr>
        <w:ind w:left="2880" w:hanging="360"/>
      </w:pPr>
    </w:lvl>
    <w:lvl w:ilvl="4" w:tplc="679A0C84">
      <w:start w:val="1"/>
      <w:numFmt w:val="lowerLetter"/>
      <w:lvlText w:val="%5."/>
      <w:lvlJc w:val="left"/>
      <w:pPr>
        <w:ind w:left="3600" w:hanging="360"/>
      </w:pPr>
    </w:lvl>
    <w:lvl w:ilvl="5" w:tplc="6E16A1CC">
      <w:start w:val="1"/>
      <w:numFmt w:val="lowerRoman"/>
      <w:lvlText w:val="%6."/>
      <w:lvlJc w:val="right"/>
      <w:pPr>
        <w:ind w:left="4320" w:hanging="180"/>
      </w:pPr>
    </w:lvl>
    <w:lvl w:ilvl="6" w:tplc="8FD436B6">
      <w:start w:val="1"/>
      <w:numFmt w:val="decimal"/>
      <w:lvlText w:val="%7."/>
      <w:lvlJc w:val="left"/>
      <w:pPr>
        <w:ind w:left="5040" w:hanging="360"/>
      </w:pPr>
    </w:lvl>
    <w:lvl w:ilvl="7" w:tplc="40766C3E">
      <w:start w:val="1"/>
      <w:numFmt w:val="lowerLetter"/>
      <w:lvlText w:val="%8."/>
      <w:lvlJc w:val="left"/>
      <w:pPr>
        <w:ind w:left="5760" w:hanging="360"/>
      </w:pPr>
    </w:lvl>
    <w:lvl w:ilvl="8" w:tplc="E3EEBF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55602"/>
    <w:multiLevelType w:val="hybridMultilevel"/>
    <w:tmpl w:val="C7D86026"/>
    <w:lvl w:ilvl="0" w:tplc="F6C46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81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8D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CB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20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A6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A1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60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8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129D8"/>
    <w:multiLevelType w:val="hybridMultilevel"/>
    <w:tmpl w:val="192C18D6"/>
    <w:lvl w:ilvl="0" w:tplc="4246D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61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40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49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05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2A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84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25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02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E5068"/>
    <w:multiLevelType w:val="hybridMultilevel"/>
    <w:tmpl w:val="C2A4976E"/>
    <w:lvl w:ilvl="0" w:tplc="BD10B714">
      <w:start w:val="1"/>
      <w:numFmt w:val="upperLetter"/>
      <w:lvlText w:val="%1."/>
      <w:lvlJc w:val="left"/>
      <w:pPr>
        <w:ind w:left="720" w:hanging="360"/>
      </w:pPr>
    </w:lvl>
    <w:lvl w:ilvl="1" w:tplc="1284C638">
      <w:start w:val="1"/>
      <w:numFmt w:val="lowerLetter"/>
      <w:lvlText w:val="%2."/>
      <w:lvlJc w:val="left"/>
      <w:pPr>
        <w:ind w:left="1440" w:hanging="360"/>
      </w:pPr>
    </w:lvl>
    <w:lvl w:ilvl="2" w:tplc="D7DCA596">
      <w:start w:val="1"/>
      <w:numFmt w:val="lowerRoman"/>
      <w:lvlText w:val="%3."/>
      <w:lvlJc w:val="right"/>
      <w:pPr>
        <w:ind w:left="2160" w:hanging="180"/>
      </w:pPr>
    </w:lvl>
    <w:lvl w:ilvl="3" w:tplc="F13C1592">
      <w:start w:val="1"/>
      <w:numFmt w:val="decimal"/>
      <w:lvlText w:val="%4."/>
      <w:lvlJc w:val="left"/>
      <w:pPr>
        <w:ind w:left="2880" w:hanging="360"/>
      </w:pPr>
    </w:lvl>
    <w:lvl w:ilvl="4" w:tplc="FE162DF2">
      <w:start w:val="1"/>
      <w:numFmt w:val="lowerLetter"/>
      <w:lvlText w:val="%5."/>
      <w:lvlJc w:val="left"/>
      <w:pPr>
        <w:ind w:left="3600" w:hanging="360"/>
      </w:pPr>
    </w:lvl>
    <w:lvl w:ilvl="5" w:tplc="1EA02860">
      <w:start w:val="1"/>
      <w:numFmt w:val="lowerRoman"/>
      <w:lvlText w:val="%6."/>
      <w:lvlJc w:val="right"/>
      <w:pPr>
        <w:ind w:left="4320" w:hanging="180"/>
      </w:pPr>
    </w:lvl>
    <w:lvl w:ilvl="6" w:tplc="6F5EEAFC">
      <w:start w:val="1"/>
      <w:numFmt w:val="decimal"/>
      <w:lvlText w:val="%7."/>
      <w:lvlJc w:val="left"/>
      <w:pPr>
        <w:ind w:left="5040" w:hanging="360"/>
      </w:pPr>
    </w:lvl>
    <w:lvl w:ilvl="7" w:tplc="4A109E88">
      <w:start w:val="1"/>
      <w:numFmt w:val="lowerLetter"/>
      <w:lvlText w:val="%8."/>
      <w:lvlJc w:val="left"/>
      <w:pPr>
        <w:ind w:left="5760" w:hanging="360"/>
      </w:pPr>
    </w:lvl>
    <w:lvl w:ilvl="8" w:tplc="7584C2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6643B"/>
    <w:multiLevelType w:val="hybridMultilevel"/>
    <w:tmpl w:val="EE6AF998"/>
    <w:lvl w:ilvl="0" w:tplc="EE54AF6C">
      <w:start w:val="1"/>
      <w:numFmt w:val="upperLetter"/>
      <w:lvlText w:val="%1."/>
      <w:lvlJc w:val="left"/>
      <w:pPr>
        <w:ind w:left="360" w:hanging="360"/>
      </w:pPr>
    </w:lvl>
    <w:lvl w:ilvl="1" w:tplc="4096413A">
      <w:start w:val="1"/>
      <w:numFmt w:val="lowerLetter"/>
      <w:lvlText w:val="%2."/>
      <w:lvlJc w:val="left"/>
      <w:pPr>
        <w:ind w:left="1080" w:hanging="360"/>
      </w:pPr>
    </w:lvl>
    <w:lvl w:ilvl="2" w:tplc="9ABEFFAA">
      <w:start w:val="1"/>
      <w:numFmt w:val="lowerRoman"/>
      <w:lvlText w:val="%3."/>
      <w:lvlJc w:val="right"/>
      <w:pPr>
        <w:ind w:left="1800" w:hanging="180"/>
      </w:pPr>
    </w:lvl>
    <w:lvl w:ilvl="3" w:tplc="B952FAF8">
      <w:start w:val="1"/>
      <w:numFmt w:val="decimal"/>
      <w:lvlText w:val="%4."/>
      <w:lvlJc w:val="left"/>
      <w:pPr>
        <w:ind w:left="2520" w:hanging="360"/>
      </w:pPr>
    </w:lvl>
    <w:lvl w:ilvl="4" w:tplc="AD8EAFA8">
      <w:start w:val="1"/>
      <w:numFmt w:val="lowerLetter"/>
      <w:lvlText w:val="%5."/>
      <w:lvlJc w:val="left"/>
      <w:pPr>
        <w:ind w:left="3240" w:hanging="360"/>
      </w:pPr>
    </w:lvl>
    <w:lvl w:ilvl="5" w:tplc="57A2542A">
      <w:start w:val="1"/>
      <w:numFmt w:val="lowerRoman"/>
      <w:lvlText w:val="%6."/>
      <w:lvlJc w:val="right"/>
      <w:pPr>
        <w:ind w:left="3960" w:hanging="180"/>
      </w:pPr>
    </w:lvl>
    <w:lvl w:ilvl="6" w:tplc="28CA1C06">
      <w:start w:val="1"/>
      <w:numFmt w:val="decimal"/>
      <w:lvlText w:val="%7."/>
      <w:lvlJc w:val="left"/>
      <w:pPr>
        <w:ind w:left="4680" w:hanging="360"/>
      </w:pPr>
    </w:lvl>
    <w:lvl w:ilvl="7" w:tplc="989ACB48">
      <w:start w:val="1"/>
      <w:numFmt w:val="lowerLetter"/>
      <w:lvlText w:val="%8."/>
      <w:lvlJc w:val="left"/>
      <w:pPr>
        <w:ind w:left="5400" w:hanging="360"/>
      </w:pPr>
    </w:lvl>
    <w:lvl w:ilvl="8" w:tplc="1624BA0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55C48"/>
    <w:rsid w:val="000B7B51"/>
    <w:rsid w:val="000E4FA0"/>
    <w:rsid w:val="001B52CA"/>
    <w:rsid w:val="0026797A"/>
    <w:rsid w:val="0027587A"/>
    <w:rsid w:val="002A100A"/>
    <w:rsid w:val="002D66CC"/>
    <w:rsid w:val="00300812"/>
    <w:rsid w:val="00300F93"/>
    <w:rsid w:val="00310CA0"/>
    <w:rsid w:val="00327EB0"/>
    <w:rsid w:val="00356BE5"/>
    <w:rsid w:val="00373050"/>
    <w:rsid w:val="00472F13"/>
    <w:rsid w:val="00496DD9"/>
    <w:rsid w:val="00506A1E"/>
    <w:rsid w:val="00506FC3"/>
    <w:rsid w:val="00551272"/>
    <w:rsid w:val="00575BCA"/>
    <w:rsid w:val="005B741F"/>
    <w:rsid w:val="005D6523"/>
    <w:rsid w:val="0060460F"/>
    <w:rsid w:val="006231FB"/>
    <w:rsid w:val="00623285"/>
    <w:rsid w:val="00665A1E"/>
    <w:rsid w:val="00686AA4"/>
    <w:rsid w:val="006B3525"/>
    <w:rsid w:val="00770DA0"/>
    <w:rsid w:val="007911BE"/>
    <w:rsid w:val="007E66CA"/>
    <w:rsid w:val="00800077"/>
    <w:rsid w:val="00827B7A"/>
    <w:rsid w:val="0085558C"/>
    <w:rsid w:val="008707C4"/>
    <w:rsid w:val="00872B58"/>
    <w:rsid w:val="00872BA4"/>
    <w:rsid w:val="008B73EB"/>
    <w:rsid w:val="008C4B4B"/>
    <w:rsid w:val="008F727F"/>
    <w:rsid w:val="00963CE4"/>
    <w:rsid w:val="00976EA9"/>
    <w:rsid w:val="00980D00"/>
    <w:rsid w:val="009A23AC"/>
    <w:rsid w:val="009C5702"/>
    <w:rsid w:val="00A015AF"/>
    <w:rsid w:val="00A106D4"/>
    <w:rsid w:val="00A42905"/>
    <w:rsid w:val="00AD794D"/>
    <w:rsid w:val="00B51C91"/>
    <w:rsid w:val="00B542E4"/>
    <w:rsid w:val="00B6AA41"/>
    <w:rsid w:val="00B77D28"/>
    <w:rsid w:val="00B87EF5"/>
    <w:rsid w:val="00B9167F"/>
    <w:rsid w:val="00BB0B34"/>
    <w:rsid w:val="00C06C4E"/>
    <w:rsid w:val="00C41661"/>
    <w:rsid w:val="00C43BD2"/>
    <w:rsid w:val="00C53B82"/>
    <w:rsid w:val="00CA2F56"/>
    <w:rsid w:val="00CA3BE5"/>
    <w:rsid w:val="00CD2C98"/>
    <w:rsid w:val="00D330A6"/>
    <w:rsid w:val="00DB37A5"/>
    <w:rsid w:val="00DC5156"/>
    <w:rsid w:val="00DF63E6"/>
    <w:rsid w:val="00E441BE"/>
    <w:rsid w:val="00E56E85"/>
    <w:rsid w:val="00EC75DD"/>
    <w:rsid w:val="00FB5DC0"/>
    <w:rsid w:val="00FC0AA2"/>
    <w:rsid w:val="013E38D2"/>
    <w:rsid w:val="01C00528"/>
    <w:rsid w:val="01D9C08D"/>
    <w:rsid w:val="0236344E"/>
    <w:rsid w:val="02521B69"/>
    <w:rsid w:val="027CE19B"/>
    <w:rsid w:val="0334E29D"/>
    <w:rsid w:val="034E5C47"/>
    <w:rsid w:val="0368B5D8"/>
    <w:rsid w:val="0415BC1A"/>
    <w:rsid w:val="04DCAA4E"/>
    <w:rsid w:val="05C8BF47"/>
    <w:rsid w:val="05DE649B"/>
    <w:rsid w:val="0677A7E3"/>
    <w:rsid w:val="0681E39F"/>
    <w:rsid w:val="079B96CC"/>
    <w:rsid w:val="07F10B19"/>
    <w:rsid w:val="0895ACEF"/>
    <w:rsid w:val="08D23D5E"/>
    <w:rsid w:val="0900F060"/>
    <w:rsid w:val="09335D90"/>
    <w:rsid w:val="0936389D"/>
    <w:rsid w:val="0973F848"/>
    <w:rsid w:val="0992BD33"/>
    <w:rsid w:val="09EBC414"/>
    <w:rsid w:val="0A003D7F"/>
    <w:rsid w:val="0AB1D5BE"/>
    <w:rsid w:val="0ACAFE1B"/>
    <w:rsid w:val="0ADEE78D"/>
    <w:rsid w:val="0B477588"/>
    <w:rsid w:val="0B773283"/>
    <w:rsid w:val="0B8E293D"/>
    <w:rsid w:val="0BA7A292"/>
    <w:rsid w:val="0C13C3E4"/>
    <w:rsid w:val="0C445A63"/>
    <w:rsid w:val="0C4CB667"/>
    <w:rsid w:val="0C6E5840"/>
    <w:rsid w:val="0C876602"/>
    <w:rsid w:val="0CD70CBB"/>
    <w:rsid w:val="0D009F98"/>
    <w:rsid w:val="0D66CEB0"/>
    <w:rsid w:val="0E029EDD"/>
    <w:rsid w:val="0E292C28"/>
    <w:rsid w:val="0E6BE1FC"/>
    <w:rsid w:val="0EA60CDA"/>
    <w:rsid w:val="0ECBA6C1"/>
    <w:rsid w:val="0F6C1EE0"/>
    <w:rsid w:val="0FE17031"/>
    <w:rsid w:val="103541D5"/>
    <w:rsid w:val="105B6A3F"/>
    <w:rsid w:val="10923231"/>
    <w:rsid w:val="10BB1120"/>
    <w:rsid w:val="10F23686"/>
    <w:rsid w:val="11211742"/>
    <w:rsid w:val="118102CB"/>
    <w:rsid w:val="11E5CCF8"/>
    <w:rsid w:val="120CC5A0"/>
    <w:rsid w:val="122EBFF6"/>
    <w:rsid w:val="12428368"/>
    <w:rsid w:val="1242DBDC"/>
    <w:rsid w:val="1253CF87"/>
    <w:rsid w:val="1281EACB"/>
    <w:rsid w:val="128DA890"/>
    <w:rsid w:val="12DEBAEA"/>
    <w:rsid w:val="13007DAD"/>
    <w:rsid w:val="1304DF78"/>
    <w:rsid w:val="131CE1BB"/>
    <w:rsid w:val="131EED53"/>
    <w:rsid w:val="13A8CD5C"/>
    <w:rsid w:val="141A4C6A"/>
    <w:rsid w:val="147A8B4B"/>
    <w:rsid w:val="1492E0DA"/>
    <w:rsid w:val="1494F3FA"/>
    <w:rsid w:val="14E04DCA"/>
    <w:rsid w:val="155F6890"/>
    <w:rsid w:val="161A5538"/>
    <w:rsid w:val="16B84A94"/>
    <w:rsid w:val="16DA4DCD"/>
    <w:rsid w:val="16E87F14"/>
    <w:rsid w:val="171C7E67"/>
    <w:rsid w:val="177730C5"/>
    <w:rsid w:val="17A5E4AE"/>
    <w:rsid w:val="17D25999"/>
    <w:rsid w:val="181788A2"/>
    <w:rsid w:val="1826E863"/>
    <w:rsid w:val="183F3469"/>
    <w:rsid w:val="184AF6E2"/>
    <w:rsid w:val="18A919CC"/>
    <w:rsid w:val="18BC89EC"/>
    <w:rsid w:val="195D5F44"/>
    <w:rsid w:val="1A0A96F3"/>
    <w:rsid w:val="1A2344BD"/>
    <w:rsid w:val="1A72F6B2"/>
    <w:rsid w:val="1A8B323F"/>
    <w:rsid w:val="1AE64CE4"/>
    <w:rsid w:val="1B24E9E4"/>
    <w:rsid w:val="1B2F8D0C"/>
    <w:rsid w:val="1B6E82BF"/>
    <w:rsid w:val="1BB8F9F4"/>
    <w:rsid w:val="1C63C9E9"/>
    <w:rsid w:val="1C6B81FD"/>
    <w:rsid w:val="1CD8C805"/>
    <w:rsid w:val="1D27B694"/>
    <w:rsid w:val="1DCF596D"/>
    <w:rsid w:val="1DDE5E58"/>
    <w:rsid w:val="1E1E7585"/>
    <w:rsid w:val="1E2A045C"/>
    <w:rsid w:val="1E419B1D"/>
    <w:rsid w:val="1F250579"/>
    <w:rsid w:val="1F3F7D58"/>
    <w:rsid w:val="1F4311E1"/>
    <w:rsid w:val="1F596FC6"/>
    <w:rsid w:val="20F6DFA2"/>
    <w:rsid w:val="210EB38A"/>
    <w:rsid w:val="21601382"/>
    <w:rsid w:val="218F8DD2"/>
    <w:rsid w:val="21966300"/>
    <w:rsid w:val="21C5E5CD"/>
    <w:rsid w:val="21E6E152"/>
    <w:rsid w:val="220A26C3"/>
    <w:rsid w:val="226187FF"/>
    <w:rsid w:val="232BB6B3"/>
    <w:rsid w:val="233A587D"/>
    <w:rsid w:val="23F62630"/>
    <w:rsid w:val="2480A233"/>
    <w:rsid w:val="24C5DB00"/>
    <w:rsid w:val="250D9BEB"/>
    <w:rsid w:val="25F20B0E"/>
    <w:rsid w:val="260FF05A"/>
    <w:rsid w:val="2622B9EF"/>
    <w:rsid w:val="26578C73"/>
    <w:rsid w:val="266CE5AA"/>
    <w:rsid w:val="26885939"/>
    <w:rsid w:val="268A7AF2"/>
    <w:rsid w:val="26CCFC22"/>
    <w:rsid w:val="272E3804"/>
    <w:rsid w:val="2759E963"/>
    <w:rsid w:val="2822FAC6"/>
    <w:rsid w:val="288B9F29"/>
    <w:rsid w:val="28ED2473"/>
    <w:rsid w:val="29418584"/>
    <w:rsid w:val="29A74D69"/>
    <w:rsid w:val="29E79F05"/>
    <w:rsid w:val="2A040E4A"/>
    <w:rsid w:val="2AB6DDDC"/>
    <w:rsid w:val="2BCC4040"/>
    <w:rsid w:val="2BF57658"/>
    <w:rsid w:val="2C10AA31"/>
    <w:rsid w:val="2C27E6DF"/>
    <w:rsid w:val="2C436F9F"/>
    <w:rsid w:val="2C531686"/>
    <w:rsid w:val="2C586C10"/>
    <w:rsid w:val="2C68B2DC"/>
    <w:rsid w:val="2D0FF1AB"/>
    <w:rsid w:val="2D2EA812"/>
    <w:rsid w:val="2DC7F2CE"/>
    <w:rsid w:val="2DEB5B3C"/>
    <w:rsid w:val="2E743CC3"/>
    <w:rsid w:val="2F213194"/>
    <w:rsid w:val="2F602488"/>
    <w:rsid w:val="2F6F3A32"/>
    <w:rsid w:val="2FF0482B"/>
    <w:rsid w:val="3083DCD5"/>
    <w:rsid w:val="30DA790D"/>
    <w:rsid w:val="31C2E584"/>
    <w:rsid w:val="31D2F696"/>
    <w:rsid w:val="3232E577"/>
    <w:rsid w:val="32464CC8"/>
    <w:rsid w:val="328E971D"/>
    <w:rsid w:val="32B1B4D3"/>
    <w:rsid w:val="338609A0"/>
    <w:rsid w:val="339734B7"/>
    <w:rsid w:val="33F99A72"/>
    <w:rsid w:val="34255B1A"/>
    <w:rsid w:val="350F209D"/>
    <w:rsid w:val="35C4A063"/>
    <w:rsid w:val="3623058C"/>
    <w:rsid w:val="362D2AE8"/>
    <w:rsid w:val="36965A6E"/>
    <w:rsid w:val="36A07196"/>
    <w:rsid w:val="36CD08D9"/>
    <w:rsid w:val="3761E591"/>
    <w:rsid w:val="3787D464"/>
    <w:rsid w:val="3787DB34"/>
    <w:rsid w:val="37B35309"/>
    <w:rsid w:val="38171751"/>
    <w:rsid w:val="39F2FD07"/>
    <w:rsid w:val="3A3BB63B"/>
    <w:rsid w:val="3A4CA002"/>
    <w:rsid w:val="3A542134"/>
    <w:rsid w:val="3A8B71C8"/>
    <w:rsid w:val="3A9101F4"/>
    <w:rsid w:val="3AA8473B"/>
    <w:rsid w:val="3AC2DCC6"/>
    <w:rsid w:val="3B120262"/>
    <w:rsid w:val="3B25DF22"/>
    <w:rsid w:val="3BB70ECA"/>
    <w:rsid w:val="3BCC21B1"/>
    <w:rsid w:val="3BE6E972"/>
    <w:rsid w:val="3BF9C9C7"/>
    <w:rsid w:val="3C57B6EF"/>
    <w:rsid w:val="3C9550CF"/>
    <w:rsid w:val="3C97490D"/>
    <w:rsid w:val="3CB72B11"/>
    <w:rsid w:val="3D9D1780"/>
    <w:rsid w:val="3DC4EE3B"/>
    <w:rsid w:val="3E64F3E0"/>
    <w:rsid w:val="3EA8BBDF"/>
    <w:rsid w:val="3FBE2F7C"/>
    <w:rsid w:val="402C0641"/>
    <w:rsid w:val="40AA3A5B"/>
    <w:rsid w:val="40C215C7"/>
    <w:rsid w:val="4157F2C3"/>
    <w:rsid w:val="4159FFDD"/>
    <w:rsid w:val="41B75A4E"/>
    <w:rsid w:val="422CE2BB"/>
    <w:rsid w:val="428E0291"/>
    <w:rsid w:val="42EC6A3F"/>
    <w:rsid w:val="43081C4A"/>
    <w:rsid w:val="433DFD85"/>
    <w:rsid w:val="43FCA528"/>
    <w:rsid w:val="440AB443"/>
    <w:rsid w:val="441625AB"/>
    <w:rsid w:val="44DA367C"/>
    <w:rsid w:val="45AF07F7"/>
    <w:rsid w:val="46133743"/>
    <w:rsid w:val="464B4694"/>
    <w:rsid w:val="46E77A5D"/>
    <w:rsid w:val="470053DE"/>
    <w:rsid w:val="476173B4"/>
    <w:rsid w:val="47DCBF47"/>
    <w:rsid w:val="47EB34E2"/>
    <w:rsid w:val="4807B1A1"/>
    <w:rsid w:val="480A7C4B"/>
    <w:rsid w:val="486CE4D0"/>
    <w:rsid w:val="487069A4"/>
    <w:rsid w:val="48A41169"/>
    <w:rsid w:val="48C9D52C"/>
    <w:rsid w:val="48CEF0CD"/>
    <w:rsid w:val="48D07565"/>
    <w:rsid w:val="48FAAA62"/>
    <w:rsid w:val="4912FA00"/>
    <w:rsid w:val="4961E004"/>
    <w:rsid w:val="4989E6D9"/>
    <w:rsid w:val="4994E597"/>
    <w:rsid w:val="4A08B531"/>
    <w:rsid w:val="4A3EEEDD"/>
    <w:rsid w:val="4A3FE1CA"/>
    <w:rsid w:val="4A7BBC9F"/>
    <w:rsid w:val="4A9B697A"/>
    <w:rsid w:val="4AB86F41"/>
    <w:rsid w:val="4B40CCE0"/>
    <w:rsid w:val="4B479536"/>
    <w:rsid w:val="4BC4FF02"/>
    <w:rsid w:val="4C548086"/>
    <w:rsid w:val="4C763C71"/>
    <w:rsid w:val="4C79CDA7"/>
    <w:rsid w:val="4D0E0F7D"/>
    <w:rsid w:val="4D88B7EF"/>
    <w:rsid w:val="4DC759FD"/>
    <w:rsid w:val="4DCD42C6"/>
    <w:rsid w:val="4DDBC7FB"/>
    <w:rsid w:val="4DFDC92C"/>
    <w:rsid w:val="4E7D3DBA"/>
    <w:rsid w:val="4EF629B4"/>
    <w:rsid w:val="4EFA4815"/>
    <w:rsid w:val="4F26D5B4"/>
    <w:rsid w:val="4F6855C3"/>
    <w:rsid w:val="4F691327"/>
    <w:rsid w:val="4F754D6F"/>
    <w:rsid w:val="4FFB7BFB"/>
    <w:rsid w:val="50BDD47B"/>
    <w:rsid w:val="50F5A1B3"/>
    <w:rsid w:val="5104E388"/>
    <w:rsid w:val="5191CA9E"/>
    <w:rsid w:val="51A316D9"/>
    <w:rsid w:val="51AC50F4"/>
    <w:rsid w:val="52AA99AD"/>
    <w:rsid w:val="52BF22C0"/>
    <w:rsid w:val="53060CB8"/>
    <w:rsid w:val="530CE6DE"/>
    <w:rsid w:val="5378CB0F"/>
    <w:rsid w:val="53A2A7FD"/>
    <w:rsid w:val="53B7B6D3"/>
    <w:rsid w:val="53FB2DBF"/>
    <w:rsid w:val="55A0CD84"/>
    <w:rsid w:val="55BCA7BE"/>
    <w:rsid w:val="55C68CB5"/>
    <w:rsid w:val="5620D3B2"/>
    <w:rsid w:val="56277CA2"/>
    <w:rsid w:val="563487A3"/>
    <w:rsid w:val="569A3F58"/>
    <w:rsid w:val="572B0038"/>
    <w:rsid w:val="57784FAA"/>
    <w:rsid w:val="57A00BE4"/>
    <w:rsid w:val="57AE5FD7"/>
    <w:rsid w:val="57D15E4B"/>
    <w:rsid w:val="5826183E"/>
    <w:rsid w:val="586BDAE5"/>
    <w:rsid w:val="58B2E977"/>
    <w:rsid w:val="59405C85"/>
    <w:rsid w:val="5A166F1E"/>
    <w:rsid w:val="5A28C5A5"/>
    <w:rsid w:val="5A2DE042"/>
    <w:rsid w:val="5AB3B354"/>
    <w:rsid w:val="5ABCD2B6"/>
    <w:rsid w:val="5ADC2CE6"/>
    <w:rsid w:val="5AE3C6A7"/>
    <w:rsid w:val="5B1063F4"/>
    <w:rsid w:val="5B1620C2"/>
    <w:rsid w:val="5B3D9753"/>
    <w:rsid w:val="5BB66BB1"/>
    <w:rsid w:val="5BB940B7"/>
    <w:rsid w:val="5BCEB4D2"/>
    <w:rsid w:val="5BD65965"/>
    <w:rsid w:val="5C9F3FC8"/>
    <w:rsid w:val="5CA1F360"/>
    <w:rsid w:val="5CB1F123"/>
    <w:rsid w:val="5CD1A602"/>
    <w:rsid w:val="5D05AD78"/>
    <w:rsid w:val="5D405C7A"/>
    <w:rsid w:val="5E132CBB"/>
    <w:rsid w:val="5E137048"/>
    <w:rsid w:val="5E4C9A5B"/>
    <w:rsid w:val="5F104EB6"/>
    <w:rsid w:val="6002AB7F"/>
    <w:rsid w:val="600DFCD9"/>
    <w:rsid w:val="6010CC80"/>
    <w:rsid w:val="602A0FDF"/>
    <w:rsid w:val="60D43FE7"/>
    <w:rsid w:val="6101E47F"/>
    <w:rsid w:val="617D639D"/>
    <w:rsid w:val="618B5539"/>
    <w:rsid w:val="61EF5EB0"/>
    <w:rsid w:val="6272B19D"/>
    <w:rsid w:val="6289F09F"/>
    <w:rsid w:val="62A59CDC"/>
    <w:rsid w:val="62B34E12"/>
    <w:rsid w:val="630D6884"/>
    <w:rsid w:val="6354DA6C"/>
    <w:rsid w:val="638390E4"/>
    <w:rsid w:val="6444DFAF"/>
    <w:rsid w:val="64DF137A"/>
    <w:rsid w:val="6551DB58"/>
    <w:rsid w:val="656667DD"/>
    <w:rsid w:val="65874EC4"/>
    <w:rsid w:val="65943897"/>
    <w:rsid w:val="65DFD2A5"/>
    <w:rsid w:val="65E9D2E5"/>
    <w:rsid w:val="666E2AC5"/>
    <w:rsid w:val="668DD04F"/>
    <w:rsid w:val="66B7971A"/>
    <w:rsid w:val="66D2F3C1"/>
    <w:rsid w:val="67687AE3"/>
    <w:rsid w:val="67A7E7A3"/>
    <w:rsid w:val="67BF8BC8"/>
    <w:rsid w:val="684CD858"/>
    <w:rsid w:val="68866319"/>
    <w:rsid w:val="68E9EEDA"/>
    <w:rsid w:val="68F5F2D3"/>
    <w:rsid w:val="69BBED1D"/>
    <w:rsid w:val="6A2A55A5"/>
    <w:rsid w:val="6A324D13"/>
    <w:rsid w:val="6A6E3592"/>
    <w:rsid w:val="6A74D448"/>
    <w:rsid w:val="6AB0AEC1"/>
    <w:rsid w:val="6ACAD255"/>
    <w:rsid w:val="6B1C6255"/>
    <w:rsid w:val="6B46C3F4"/>
    <w:rsid w:val="6B5ECC4A"/>
    <w:rsid w:val="6B7F27EE"/>
    <w:rsid w:val="6B80D741"/>
    <w:rsid w:val="6C0FB1D3"/>
    <w:rsid w:val="6C32EACA"/>
    <w:rsid w:val="6CBDC2CC"/>
    <w:rsid w:val="6D1B4991"/>
    <w:rsid w:val="6D9E122D"/>
    <w:rsid w:val="6DBAC4CD"/>
    <w:rsid w:val="6E7E6512"/>
    <w:rsid w:val="6E9C33F2"/>
    <w:rsid w:val="6F5160E6"/>
    <w:rsid w:val="6F61E8F1"/>
    <w:rsid w:val="6F9F392A"/>
    <w:rsid w:val="6FAA0BD6"/>
    <w:rsid w:val="6FE1F2A0"/>
    <w:rsid w:val="70622CEC"/>
    <w:rsid w:val="7077AFB4"/>
    <w:rsid w:val="70D4D6A4"/>
    <w:rsid w:val="717A2B49"/>
    <w:rsid w:val="71C625B2"/>
    <w:rsid w:val="72074A04"/>
    <w:rsid w:val="720B084E"/>
    <w:rsid w:val="72B90B04"/>
    <w:rsid w:val="73B2F60B"/>
    <w:rsid w:val="743BE41A"/>
    <w:rsid w:val="76BB8001"/>
    <w:rsid w:val="76CB5D30"/>
    <w:rsid w:val="772ECE21"/>
    <w:rsid w:val="773AA1FC"/>
    <w:rsid w:val="77603532"/>
    <w:rsid w:val="77E32A3D"/>
    <w:rsid w:val="785D2F3A"/>
    <w:rsid w:val="78AEC438"/>
    <w:rsid w:val="79526F60"/>
    <w:rsid w:val="79955D1E"/>
    <w:rsid w:val="79DC1EF6"/>
    <w:rsid w:val="79FA0895"/>
    <w:rsid w:val="7AA0F911"/>
    <w:rsid w:val="7BA71CC5"/>
    <w:rsid w:val="7BF0D022"/>
    <w:rsid w:val="7C007190"/>
    <w:rsid w:val="7C92ACA4"/>
    <w:rsid w:val="7CA5AD87"/>
    <w:rsid w:val="7CB050AF"/>
    <w:rsid w:val="7D114904"/>
    <w:rsid w:val="7D5128D7"/>
    <w:rsid w:val="7D7C76F4"/>
    <w:rsid w:val="7DF0AAE8"/>
    <w:rsid w:val="7E0D6602"/>
    <w:rsid w:val="7E6222C8"/>
    <w:rsid w:val="7EAC9640"/>
    <w:rsid w:val="7EB568F1"/>
    <w:rsid w:val="7EFC1C04"/>
    <w:rsid w:val="7F204854"/>
    <w:rsid w:val="7FC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publish?EQBCT=3e97a72d3b5a4b66a7be5170d5431e2e" TargetMode="External"/><Relationship Id="rId17" Type="http://schemas.openxmlformats.org/officeDocument/2006/relationships/fontTable" Target="fontTable.xml"/><Relationship Id="R1d16fd1e5eda418e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Annual-Performance-Report-for-Special-Education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meredith.villines@state.or.u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2021-12-17T00:31:57+00:00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C21F9-4EE9-4382-8358-CB255CA66444}">
  <ds:schemaRefs>
    <ds:schemaRef ds:uri="http://schemas.microsoft.com/office/2006/documentManagement/types"/>
    <ds:schemaRef ds:uri="b47477c3-cea5-4644-a2b9-72f12b741c1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f305cf4-7e8c-42e6-816c-ef6b646f0a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DC73C-56DC-4C22-B9CB-DDC62235A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2021-12-15T19:53:00Z</dcterms:created>
  <dcterms:modified xsi:type="dcterms:W3CDTF">2021-12-15T19:53:00Z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