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226187FF" w14:paraId="5531DE85" w14:textId="77777777" w:rsidTr="0056491D">
        <w:trPr>
          <w:tblHeader/>
        </w:trPr>
        <w:tc>
          <w:tcPr>
            <w:tcW w:w="2160" w:type="dxa"/>
            <w:vAlign w:val="center"/>
          </w:tcPr>
          <w:p w14:paraId="55A78B50" w14:textId="77777777" w:rsidR="226187FF" w:rsidRDefault="226187FF" w:rsidP="226187FF">
            <w:pPr>
              <w:jc w:val="center"/>
              <w:rPr>
                <w:rFonts w:eastAsia="Arial"/>
                <w:b/>
                <w:bCs/>
                <w:color w:val="082A75"/>
                <w:sz w:val="36"/>
                <w:szCs w:val="36"/>
              </w:rPr>
            </w:pPr>
            <w:r>
              <w:rPr>
                <w:noProof/>
                <w:color w:val="2B579A"/>
                <w:shd w:val="clear" w:color="auto" w:fill="E6E6E6"/>
              </w:rPr>
              <w:drawing>
                <wp:inline distT="0" distB="0" distL="0" distR="0" wp14:anchorId="35B6AA04" wp14:editId="66B90898">
                  <wp:extent cx="1077554" cy="1145969"/>
                  <wp:effectExtent l="0" t="0" r="8890" b="0"/>
                  <wp:docPr id="1607847959"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0224D2F8" w14:textId="0318642E" w:rsidR="226187FF" w:rsidRPr="007E66CA" w:rsidRDefault="004603D5" w:rsidP="226187FF">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Kế hoạch Thực hiện của Tiểu Bang</w:t>
            </w:r>
            <w:r w:rsidRPr="007E66CA">
              <w:rPr>
                <w:rFonts w:asciiTheme="minorHAnsi" w:eastAsia="Arial" w:hAnsiTheme="minorHAnsi" w:cstheme="minorBidi"/>
                <w:b/>
                <w:bCs/>
                <w:color w:val="1B75BC"/>
                <w:sz w:val="48"/>
                <w:szCs w:val="48"/>
              </w:rPr>
              <w:t xml:space="preserve"> </w:t>
            </w:r>
            <w:r w:rsidR="226187FF" w:rsidRPr="007E66CA">
              <w:rPr>
                <w:rFonts w:asciiTheme="minorHAnsi" w:eastAsia="Arial" w:hAnsiTheme="minorHAnsi" w:cstheme="minorBidi"/>
                <w:b/>
                <w:bCs/>
                <w:color w:val="1B75BC"/>
                <w:sz w:val="48"/>
                <w:szCs w:val="48"/>
              </w:rPr>
              <w:t>(SPP)</w:t>
            </w:r>
          </w:p>
          <w:p w14:paraId="0A8DCF2F" w14:textId="1FD33FA6" w:rsidR="004603D5" w:rsidRPr="003E715C" w:rsidRDefault="004603D5" w:rsidP="004603D5">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 xml:space="preserve">Tờ </w:t>
            </w:r>
            <w:r w:rsidR="00B65620">
              <w:rPr>
                <w:rFonts w:asciiTheme="minorHAnsi" w:eastAsia="Arial" w:hAnsiTheme="minorHAnsi" w:cstheme="minorBidi"/>
                <w:b/>
                <w:bCs/>
                <w:color w:val="1B75BC"/>
                <w:sz w:val="48"/>
                <w:szCs w:val="48"/>
              </w:rPr>
              <w:t>dữ kiện</w:t>
            </w:r>
          </w:p>
          <w:p w14:paraId="33BA0D48" w14:textId="7ECB1531" w:rsidR="226187FF" w:rsidRDefault="004603D5" w:rsidP="226187FF">
            <w:pPr>
              <w:pStyle w:val="Title"/>
              <w:spacing w:after="200"/>
              <w:jc w:val="center"/>
              <w:rPr>
                <w:rFonts w:asciiTheme="minorHAnsi" w:eastAsia="Arial" w:hAnsiTheme="minorHAnsi" w:cstheme="minorBidi"/>
                <w:b/>
                <w:bCs/>
                <w:color w:val="082A75"/>
                <w:sz w:val="32"/>
                <w:szCs w:val="32"/>
              </w:rPr>
            </w:pPr>
            <w:r w:rsidRPr="00EB7DD3">
              <w:rPr>
                <w:rFonts w:asciiTheme="minorHAnsi" w:eastAsia="Arial" w:hAnsiTheme="minorHAnsi" w:cstheme="minorBidi"/>
                <w:b/>
                <w:bCs/>
                <w:color w:val="1B75BC"/>
                <w:sz w:val="32"/>
                <w:szCs w:val="32"/>
              </w:rPr>
              <w:t>Chỉ số</w:t>
            </w:r>
            <w:r w:rsidR="226187FF" w:rsidRPr="007E66CA">
              <w:rPr>
                <w:rFonts w:asciiTheme="minorHAnsi" w:eastAsia="Arial" w:hAnsiTheme="minorHAnsi" w:cstheme="minorBidi"/>
                <w:b/>
                <w:bCs/>
                <w:color w:val="1B75BC"/>
                <w:sz w:val="32"/>
                <w:szCs w:val="32"/>
              </w:rPr>
              <w:t xml:space="preserve"> B6: </w:t>
            </w:r>
            <w:r w:rsidRPr="004603D5">
              <w:rPr>
                <w:rFonts w:asciiTheme="minorHAnsi" w:eastAsia="Arial" w:hAnsiTheme="minorHAnsi" w:cstheme="minorBidi"/>
                <w:b/>
                <w:bCs/>
                <w:color w:val="1B75BC"/>
                <w:sz w:val="32"/>
                <w:szCs w:val="32"/>
              </w:rPr>
              <w:t>Môi trườ</w:t>
            </w:r>
            <w:r>
              <w:rPr>
                <w:rFonts w:asciiTheme="minorHAnsi" w:eastAsia="Arial" w:hAnsiTheme="minorHAnsi" w:cstheme="minorBidi"/>
                <w:b/>
                <w:bCs/>
                <w:color w:val="1B75BC"/>
                <w:sz w:val="32"/>
                <w:szCs w:val="32"/>
              </w:rPr>
              <w:t>ng M</w:t>
            </w:r>
            <w:r w:rsidRPr="004603D5">
              <w:rPr>
                <w:rFonts w:asciiTheme="minorHAnsi" w:eastAsia="Arial" w:hAnsiTheme="minorHAnsi" w:cstheme="minorBidi"/>
                <w:b/>
                <w:bCs/>
                <w:color w:val="1B75BC"/>
                <w:sz w:val="32"/>
                <w:szCs w:val="32"/>
              </w:rPr>
              <w:t>ầm non</w:t>
            </w:r>
          </w:p>
        </w:tc>
      </w:tr>
      <w:tr w:rsidR="226187FF" w14:paraId="7A462BA3" w14:textId="77777777" w:rsidTr="226187FF">
        <w:trPr>
          <w:trHeight w:val="72"/>
        </w:trPr>
        <w:tc>
          <w:tcPr>
            <w:tcW w:w="2484" w:type="dxa"/>
            <w:gridSpan w:val="2"/>
            <w:shd w:val="clear" w:color="auto" w:fill="9F2065"/>
          </w:tcPr>
          <w:p w14:paraId="324A88BF" w14:textId="77777777" w:rsidR="226187FF" w:rsidRDefault="226187FF" w:rsidP="226187FF">
            <w:pPr>
              <w:rPr>
                <w:noProof/>
              </w:rPr>
            </w:pPr>
          </w:p>
        </w:tc>
        <w:tc>
          <w:tcPr>
            <w:tcW w:w="2484" w:type="dxa"/>
            <w:shd w:val="clear" w:color="auto" w:fill="E26B2A"/>
          </w:tcPr>
          <w:p w14:paraId="766BF308" w14:textId="77777777" w:rsidR="226187FF" w:rsidRDefault="226187FF" w:rsidP="226187FF">
            <w:pPr>
              <w:pStyle w:val="Title"/>
              <w:rPr>
                <w:rFonts w:asciiTheme="minorHAnsi" w:eastAsia="Arial" w:hAnsiTheme="minorHAnsi" w:cstheme="minorBidi"/>
                <w:b/>
                <w:bCs/>
                <w:color w:val="082974"/>
                <w:sz w:val="22"/>
                <w:szCs w:val="22"/>
              </w:rPr>
            </w:pPr>
          </w:p>
        </w:tc>
        <w:tc>
          <w:tcPr>
            <w:tcW w:w="2484" w:type="dxa"/>
            <w:shd w:val="clear" w:color="auto" w:fill="1B75BC"/>
          </w:tcPr>
          <w:p w14:paraId="64CE9337" w14:textId="77777777" w:rsidR="226187FF" w:rsidRDefault="226187FF" w:rsidP="226187FF">
            <w:pPr>
              <w:pStyle w:val="Title"/>
              <w:rPr>
                <w:rFonts w:asciiTheme="minorHAnsi" w:eastAsia="Arial" w:hAnsiTheme="minorHAnsi" w:cstheme="minorBidi"/>
                <w:b/>
                <w:bCs/>
                <w:color w:val="082974"/>
                <w:sz w:val="22"/>
                <w:szCs w:val="22"/>
              </w:rPr>
            </w:pPr>
          </w:p>
        </w:tc>
        <w:tc>
          <w:tcPr>
            <w:tcW w:w="2484" w:type="dxa"/>
            <w:shd w:val="clear" w:color="auto" w:fill="408740"/>
          </w:tcPr>
          <w:p w14:paraId="5A804B9A" w14:textId="46579079" w:rsidR="226187FF" w:rsidRDefault="226187FF" w:rsidP="226187FF">
            <w:pPr>
              <w:pStyle w:val="Title"/>
              <w:rPr>
                <w:rFonts w:asciiTheme="minorHAnsi" w:eastAsia="Arial" w:hAnsiTheme="minorHAnsi" w:cstheme="minorBidi"/>
                <w:b/>
                <w:bCs/>
                <w:color w:val="082974"/>
                <w:sz w:val="22"/>
                <w:szCs w:val="22"/>
              </w:rPr>
            </w:pPr>
          </w:p>
        </w:tc>
      </w:tr>
    </w:tbl>
    <w:p w14:paraId="21678DA0" w14:textId="421B331C" w:rsidR="3B25DF22" w:rsidRPr="004603D5" w:rsidRDefault="004603D5" w:rsidP="004603D5">
      <w:pPr>
        <w:pStyle w:val="Heading1"/>
        <w:spacing w:before="120" w:line="240" w:lineRule="auto"/>
        <w:rPr>
          <w:rFonts w:ascii="Calibri" w:eastAsia="Calibri" w:hAnsi="Calibri" w:cs="Calibri"/>
          <w:color w:val="1B75BC"/>
        </w:rPr>
      </w:pPr>
      <w:r w:rsidRPr="004603D5">
        <w:rPr>
          <w:rFonts w:ascii="Calibri" w:eastAsia="Calibri" w:hAnsi="Calibri" w:cs="Calibri"/>
          <w:b/>
          <w:bCs/>
        </w:rPr>
        <w:t xml:space="preserve">Kế hoạch </w:t>
      </w:r>
      <w:r w:rsidR="009F7F5F">
        <w:rPr>
          <w:rFonts w:ascii="Calibri" w:eastAsia="Calibri" w:hAnsi="Calibri" w:cs="Calibri"/>
          <w:b/>
          <w:bCs/>
        </w:rPr>
        <w:t>T</w:t>
      </w:r>
      <w:r w:rsidRPr="004603D5">
        <w:rPr>
          <w:rFonts w:ascii="Calibri" w:eastAsia="Calibri" w:hAnsi="Calibri" w:cs="Calibri"/>
          <w:b/>
          <w:bCs/>
        </w:rPr>
        <w:t>hực hiện của Tiểu bang Oregon</w:t>
      </w:r>
    </w:p>
    <w:p w14:paraId="6E7A79A8" w14:textId="423BF6E3" w:rsidR="004603D5" w:rsidRDefault="007E2D80" w:rsidP="00004D4F">
      <w:pPr>
        <w:spacing w:after="0" w:line="240" w:lineRule="auto"/>
        <w:rPr>
          <w:rFonts w:ascii="Calibri" w:eastAsia="Calibri" w:hAnsi="Calibri" w:cs="Calibri"/>
          <w:color w:val="000000" w:themeColor="text1"/>
        </w:rPr>
      </w:pPr>
      <w:bookmarkStart w:id="0" w:name="_Hlk90010621"/>
      <w:r w:rsidRPr="008F2687">
        <w:rPr>
          <w:rFonts w:cs="Calibri"/>
          <w:color w:val="000000"/>
        </w:rPr>
        <w:t xml:space="preserve">Theo Đạo luật Giáo dục </w:t>
      </w:r>
      <w:r>
        <w:rPr>
          <w:rFonts w:cs="Calibri"/>
          <w:color w:val="000000"/>
        </w:rPr>
        <w:t>Người</w:t>
      </w:r>
      <w:r w:rsidRPr="008F2687">
        <w:rPr>
          <w:rFonts w:cs="Calibri"/>
          <w:color w:val="000000"/>
        </w:rPr>
        <w:t xml:space="preserve"> Khuyết tật năm 2004 (IDEA), </w:t>
      </w:r>
      <w:r>
        <w:rPr>
          <w:rFonts w:cs="Calibri"/>
          <w:color w:val="000000"/>
        </w:rPr>
        <w:t>Bộ</w:t>
      </w:r>
      <w:r w:rsidRPr="008F2687">
        <w:rPr>
          <w:rFonts w:cs="Calibri"/>
          <w:color w:val="000000"/>
        </w:rPr>
        <w:t xml:space="preserve"> Giáo dục Oregon (ODE) được yêu cầu gửi Kế hoạch </w:t>
      </w:r>
      <w:r w:rsidR="009F7F5F">
        <w:rPr>
          <w:rFonts w:cs="Calibri"/>
          <w:color w:val="000000"/>
        </w:rPr>
        <w:t>T</w:t>
      </w:r>
      <w:r w:rsidRPr="008F2687">
        <w:rPr>
          <w:rFonts w:cs="Calibri"/>
          <w:color w:val="000000"/>
        </w:rPr>
        <w:t xml:space="preserve">hực hiện của Tiểu bang (SPP) </w:t>
      </w:r>
      <w:r>
        <w:rPr>
          <w:rFonts w:cs="Calibri"/>
          <w:color w:val="000000"/>
        </w:rPr>
        <w:t xml:space="preserve">trong </w:t>
      </w:r>
      <w:r w:rsidRPr="008F2687">
        <w:rPr>
          <w:rFonts w:cs="Calibri"/>
          <w:color w:val="000000"/>
        </w:rPr>
        <w:t xml:space="preserve">6 năm cho </w:t>
      </w:r>
      <w:r>
        <w:rPr>
          <w:rFonts w:cs="Calibri"/>
          <w:color w:val="000000"/>
        </w:rPr>
        <w:t>Văn phòng</w:t>
      </w:r>
      <w:r w:rsidRPr="008F2687">
        <w:rPr>
          <w:rFonts w:cs="Calibri"/>
          <w:color w:val="000000"/>
        </w:rPr>
        <w:t xml:space="preserve"> Chương trình Giáo dục Đặc biệt (OSEP). </w:t>
      </w:r>
      <w:bookmarkEnd w:id="0"/>
      <w:r w:rsidR="004603D5" w:rsidRPr="00295FEA">
        <w:rPr>
          <w:rFonts w:ascii="Calibri" w:eastAsia="Calibri" w:hAnsi="Calibri" w:cs="Calibri"/>
          <w:color w:val="000000" w:themeColor="text1"/>
        </w:rPr>
        <w:t xml:space="preserve">OSEP đã phát triển các biện pháp thực hiện chính, được gọi là các chỉ số, để đo lường cả </w:t>
      </w:r>
      <w:r w:rsidR="004603D5">
        <w:rPr>
          <w:rFonts w:ascii="Calibri" w:eastAsia="Calibri" w:hAnsi="Calibri" w:cs="Calibri"/>
          <w:color w:val="000000" w:themeColor="text1"/>
        </w:rPr>
        <w:t xml:space="preserve">việc </w:t>
      </w:r>
      <w:r w:rsidR="004603D5" w:rsidRPr="00295FEA">
        <w:rPr>
          <w:rFonts w:ascii="Calibri" w:eastAsia="Calibri" w:hAnsi="Calibri" w:cs="Calibri"/>
          <w:color w:val="000000" w:themeColor="text1"/>
        </w:rPr>
        <w:t>tuân thủ và kết quả. OSEP đặt ra các mục tiêu cho các chỉ số tuân thủ</w:t>
      </w:r>
      <w:r w:rsidR="004603D5">
        <w:rPr>
          <w:rFonts w:ascii="Calibri" w:eastAsia="Calibri" w:hAnsi="Calibri" w:cs="Calibri"/>
          <w:color w:val="000000" w:themeColor="text1"/>
        </w:rPr>
        <w:t xml:space="preserve">, đồng thời, </w:t>
      </w:r>
      <w:r w:rsidR="004603D5" w:rsidRPr="00295FEA">
        <w:rPr>
          <w:rFonts w:ascii="Calibri" w:eastAsia="Calibri" w:hAnsi="Calibri" w:cs="Calibri"/>
          <w:color w:val="000000" w:themeColor="text1"/>
        </w:rPr>
        <w:t xml:space="preserve">ODE </w:t>
      </w:r>
      <w:r w:rsidR="004603D5">
        <w:rPr>
          <w:rFonts w:ascii="Calibri" w:eastAsia="Calibri" w:hAnsi="Calibri" w:cs="Calibri"/>
          <w:color w:val="000000" w:themeColor="text1"/>
        </w:rPr>
        <w:t xml:space="preserve">cũng </w:t>
      </w:r>
      <w:r w:rsidR="004603D5" w:rsidRPr="00295FEA">
        <w:rPr>
          <w:rFonts w:ascii="Calibri" w:eastAsia="Calibri" w:hAnsi="Calibri" w:cs="Calibri"/>
          <w:color w:val="000000" w:themeColor="text1"/>
        </w:rPr>
        <w:t xml:space="preserve">đặt ra các mục tiêu cho các chỉ số kết quả. SPP phải bao gồm các mục tiêu cho </w:t>
      </w:r>
      <w:r w:rsidR="004603D5">
        <w:rPr>
          <w:rFonts w:ascii="Calibri" w:eastAsia="Calibri" w:hAnsi="Calibri" w:cs="Calibri"/>
          <w:color w:val="000000" w:themeColor="text1"/>
        </w:rPr>
        <w:t>từng</w:t>
      </w:r>
      <w:r w:rsidR="004603D5" w:rsidRPr="00295FEA">
        <w:rPr>
          <w:rFonts w:ascii="Calibri" w:eastAsia="Calibri" w:hAnsi="Calibri" w:cs="Calibri"/>
          <w:color w:val="000000" w:themeColor="text1"/>
        </w:rPr>
        <w:t xml:space="preserve"> chỉ số kết quả. ODE báo cáo về tiến độ đạt được các chỉ số này hàng năm trong Báo cáo </w:t>
      </w:r>
      <w:r w:rsidR="004603D5">
        <w:rPr>
          <w:rFonts w:ascii="Calibri" w:eastAsia="Calibri" w:hAnsi="Calibri" w:cs="Calibri"/>
          <w:color w:val="000000" w:themeColor="text1"/>
        </w:rPr>
        <w:t>Thực hiện</w:t>
      </w:r>
      <w:r w:rsidR="004603D5" w:rsidRPr="00295FEA">
        <w:rPr>
          <w:rFonts w:ascii="Calibri" w:eastAsia="Calibri" w:hAnsi="Calibri" w:cs="Calibri"/>
          <w:color w:val="000000" w:themeColor="text1"/>
        </w:rPr>
        <w:t xml:space="preserve"> Hàng năm (APR). Cứ sáu năm ODE phải xem xét các mục tiêu kết quả và thu hút các đối tác chính trong việc phát triển các mục tiêu mớ</w:t>
      </w:r>
      <w:r w:rsidR="004603D5">
        <w:rPr>
          <w:rFonts w:ascii="Calibri" w:eastAsia="Calibri" w:hAnsi="Calibri" w:cs="Calibri"/>
          <w:color w:val="000000" w:themeColor="text1"/>
        </w:rPr>
        <w:t>i</w:t>
      </w:r>
      <w:r w:rsidR="004603D5" w:rsidRPr="00295FEA">
        <w:rPr>
          <w:rFonts w:ascii="Calibri" w:eastAsia="Calibri" w:hAnsi="Calibri" w:cs="Calibri"/>
          <w:color w:val="000000" w:themeColor="text1"/>
        </w:rPr>
        <w:t xml:space="preserve">. Vui lòng xem </w:t>
      </w:r>
      <w:r w:rsidR="004603D5" w:rsidRPr="004F28D8">
        <w:rPr>
          <w:rStyle w:val="Hyperlink"/>
        </w:rPr>
        <w:t>Kế hoạch Thực hiện của Tiểu bang ODE và các Báo cáo Hàng năm trên trang web Giáo dục Đặc biệt</w:t>
      </w:r>
      <w:r w:rsidR="004603D5" w:rsidRPr="00295FEA">
        <w:rPr>
          <w:rFonts w:ascii="Calibri" w:eastAsia="Calibri" w:hAnsi="Calibri" w:cs="Calibri"/>
          <w:color w:val="000000" w:themeColor="text1"/>
        </w:rPr>
        <w:t xml:space="preserve"> để biết thêm thông tin và đăng ký </w:t>
      </w:r>
      <w:r w:rsidR="004603D5">
        <w:rPr>
          <w:rFonts w:ascii="Calibri" w:eastAsia="Calibri" w:hAnsi="Calibri" w:cs="Calibri"/>
          <w:color w:val="000000" w:themeColor="text1"/>
        </w:rPr>
        <w:t xml:space="preserve">tham gia </w:t>
      </w:r>
      <w:r w:rsidR="004603D5" w:rsidRPr="00295FEA">
        <w:rPr>
          <w:rFonts w:ascii="Calibri" w:eastAsia="Calibri" w:hAnsi="Calibri" w:cs="Calibri"/>
          <w:color w:val="000000" w:themeColor="text1"/>
        </w:rPr>
        <w:t xml:space="preserve">phiên đóng góp ý kiến ​​công khai. </w:t>
      </w:r>
      <w:r w:rsidR="006A0B2E">
        <w:rPr>
          <w:rFonts w:ascii="Calibri" w:eastAsia="Calibri" w:hAnsi="Calibri" w:cs="Calibri"/>
          <w:color w:val="000000" w:themeColor="text1"/>
        </w:rPr>
        <w:t>Quý vị</w:t>
      </w:r>
      <w:r w:rsidR="004603D5" w:rsidRPr="00295FEA">
        <w:rPr>
          <w:rFonts w:ascii="Calibri" w:eastAsia="Calibri" w:hAnsi="Calibri" w:cs="Calibri"/>
          <w:color w:val="000000" w:themeColor="text1"/>
        </w:rPr>
        <w:t xml:space="preserve"> cũng có thể cung cấp thông tin </w:t>
      </w:r>
      <w:r w:rsidR="004603D5">
        <w:rPr>
          <w:rFonts w:ascii="Calibri" w:eastAsia="Calibri" w:hAnsi="Calibri" w:cs="Calibri"/>
          <w:color w:val="000000" w:themeColor="text1"/>
        </w:rPr>
        <w:t>đóng góp ý kiến</w:t>
      </w:r>
      <w:r w:rsidR="004603D5" w:rsidRPr="00295FEA">
        <w:rPr>
          <w:rFonts w:ascii="Calibri" w:eastAsia="Calibri" w:hAnsi="Calibri" w:cs="Calibri"/>
          <w:color w:val="000000" w:themeColor="text1"/>
        </w:rPr>
        <w:t xml:space="preserve"> mà không cần tham dự phiên họp thông qua </w:t>
      </w:r>
      <w:r w:rsidR="004603D5" w:rsidRPr="004603D5">
        <w:rPr>
          <w:rStyle w:val="Hyperlink"/>
        </w:rPr>
        <w:t>khảo sát này.</w:t>
      </w:r>
    </w:p>
    <w:p w14:paraId="035798CA" w14:textId="5D1D21F5" w:rsidR="00004D4F" w:rsidRPr="00165294" w:rsidRDefault="00A73C78" w:rsidP="00004D4F">
      <w:pPr>
        <w:pStyle w:val="Heading1"/>
        <w:spacing w:before="120" w:line="240" w:lineRule="auto"/>
        <w:rPr>
          <w:rFonts w:asciiTheme="minorHAnsi" w:hAnsiTheme="minorHAnsi" w:cstheme="minorBidi"/>
          <w:b/>
          <w:bCs/>
          <w:color w:val="1B75BC"/>
        </w:rPr>
      </w:pPr>
      <w:r w:rsidRPr="00A73C78">
        <w:rPr>
          <w:rFonts w:asciiTheme="minorHAnsi" w:hAnsiTheme="minorHAnsi" w:cstheme="minorBidi"/>
          <w:b/>
          <w:bCs/>
        </w:rPr>
        <w:t>Chỉ số này đo lường những gì và tại sao nó quan trọng?</w:t>
      </w:r>
    </w:p>
    <w:p w14:paraId="1C92DF4F" w14:textId="6FDA342A" w:rsidR="2C586C10" w:rsidRDefault="00004D4F" w:rsidP="440AB443">
      <w:pPr>
        <w:spacing w:after="0"/>
        <w:rPr>
          <w:rFonts w:eastAsiaTheme="minorEastAsia"/>
          <w:color w:val="000000" w:themeColor="text1"/>
        </w:rPr>
      </w:pPr>
      <w:r w:rsidRPr="00004D4F">
        <w:rPr>
          <w:rFonts w:eastAsiaTheme="minorEastAsia"/>
          <w:color w:val="000000" w:themeColor="text1"/>
        </w:rPr>
        <w:t xml:space="preserve">Chỉ số B6 </w:t>
      </w:r>
      <w:r w:rsidRPr="00782E34">
        <w:t>đề cập đến một nền Giáo dụ</w:t>
      </w:r>
      <w:r>
        <w:t>c Công lập T</w:t>
      </w:r>
      <w:r w:rsidRPr="00782E34">
        <w:t>hích hợp Miễn phí (FAPE) trong Môi Trường Ít Bị Hạn Chế Nhất</w:t>
      </w:r>
      <w:r w:rsidRPr="00004D4F">
        <w:rPr>
          <w:rFonts w:eastAsiaTheme="minorEastAsia"/>
          <w:color w:val="000000" w:themeColor="text1"/>
        </w:rPr>
        <w:t xml:space="preserve"> (LRE) bằng cách đo lường Môi trường Mầm non: Tỷ lệ phần trăm trẻ em từ 3 đến 5 tuổi có Chương trình Giáo dục Cá nhân hóa (IEP) theo học:</w:t>
      </w:r>
    </w:p>
    <w:p w14:paraId="5764F86C" w14:textId="27046461" w:rsidR="2C586C10" w:rsidRDefault="2BCC4040" w:rsidP="00004D4F">
      <w:pPr>
        <w:pStyle w:val="ListParagraph"/>
        <w:numPr>
          <w:ilvl w:val="0"/>
          <w:numId w:val="5"/>
        </w:numPr>
        <w:rPr>
          <w:rFonts w:eastAsiaTheme="minorEastAsia"/>
          <w:color w:val="000000" w:themeColor="text1"/>
        </w:rPr>
      </w:pPr>
      <w:r w:rsidRPr="4D0E0F7D">
        <w:rPr>
          <w:rFonts w:eastAsiaTheme="minorEastAsia"/>
          <w:color w:val="000000" w:themeColor="text1"/>
        </w:rPr>
        <w:t xml:space="preserve">A. </w:t>
      </w:r>
      <w:r w:rsidR="00004D4F" w:rsidRPr="00004D4F">
        <w:rPr>
          <w:rFonts w:eastAsiaTheme="minorEastAsia"/>
          <w:color w:val="000000" w:themeColor="text1"/>
        </w:rPr>
        <w:t>Chương trình mầm non thông thường và nhận phần lớn giáo dục đặc biệt và các dịch vụ liên quan trong chương trình mầm non thông thường.</w:t>
      </w:r>
    </w:p>
    <w:p w14:paraId="135E641E" w14:textId="561382B9" w:rsidR="2C586C10" w:rsidRDefault="5A28C5A5" w:rsidP="00004D4F">
      <w:pPr>
        <w:pStyle w:val="ListParagraph"/>
        <w:numPr>
          <w:ilvl w:val="0"/>
          <w:numId w:val="5"/>
        </w:numPr>
        <w:rPr>
          <w:rFonts w:eastAsiaTheme="minorEastAsia"/>
          <w:color w:val="000000" w:themeColor="text1"/>
        </w:rPr>
      </w:pPr>
      <w:r w:rsidRPr="563487A3">
        <w:rPr>
          <w:rFonts w:eastAsiaTheme="minorEastAsia"/>
          <w:color w:val="000000" w:themeColor="text1"/>
        </w:rPr>
        <w:t xml:space="preserve">B. </w:t>
      </w:r>
      <w:r w:rsidR="00004D4F" w:rsidRPr="00004D4F">
        <w:rPr>
          <w:rFonts w:eastAsiaTheme="minorEastAsia"/>
          <w:color w:val="000000" w:themeColor="text1"/>
        </w:rPr>
        <w:t xml:space="preserve">Lớp giáo dục đặc biệt </w:t>
      </w:r>
      <w:r w:rsidR="00004D4F">
        <w:rPr>
          <w:rFonts w:eastAsiaTheme="minorEastAsia"/>
          <w:color w:val="000000" w:themeColor="text1"/>
        </w:rPr>
        <w:t>tư thục</w:t>
      </w:r>
      <w:r w:rsidR="00004D4F" w:rsidRPr="00004D4F">
        <w:rPr>
          <w:rFonts w:eastAsiaTheme="minorEastAsia"/>
          <w:color w:val="000000" w:themeColor="text1"/>
        </w:rPr>
        <w:t xml:space="preserve">, trường </w:t>
      </w:r>
      <w:r w:rsidR="00004D4F">
        <w:rPr>
          <w:rFonts w:eastAsiaTheme="minorEastAsia"/>
          <w:color w:val="000000" w:themeColor="text1"/>
        </w:rPr>
        <w:t>tư thục</w:t>
      </w:r>
      <w:r w:rsidR="00004D4F" w:rsidRPr="00004D4F">
        <w:rPr>
          <w:rFonts w:eastAsiaTheme="minorEastAsia"/>
          <w:color w:val="000000" w:themeColor="text1"/>
        </w:rPr>
        <w:t xml:space="preserve"> hoặc cơ sở </w:t>
      </w:r>
      <w:r w:rsidR="00004D4F">
        <w:rPr>
          <w:rFonts w:eastAsiaTheme="minorEastAsia"/>
          <w:color w:val="000000" w:themeColor="text1"/>
        </w:rPr>
        <w:t>cư trú</w:t>
      </w:r>
      <w:r w:rsidR="00004D4F" w:rsidRPr="00004D4F">
        <w:rPr>
          <w:rFonts w:eastAsiaTheme="minorEastAsia"/>
          <w:color w:val="000000" w:themeColor="text1"/>
        </w:rPr>
        <w:t>.</w:t>
      </w:r>
    </w:p>
    <w:p w14:paraId="66B5028C" w14:textId="41E86AAA" w:rsidR="2C586C10" w:rsidRDefault="29A74D69" w:rsidP="00004D4F">
      <w:pPr>
        <w:pStyle w:val="ListParagraph"/>
        <w:numPr>
          <w:ilvl w:val="0"/>
          <w:numId w:val="5"/>
        </w:numPr>
        <w:spacing w:after="80"/>
        <w:rPr>
          <w:rFonts w:eastAsiaTheme="minorEastAsia"/>
          <w:color w:val="000000" w:themeColor="text1"/>
        </w:rPr>
      </w:pPr>
      <w:r w:rsidRPr="440AB443">
        <w:rPr>
          <w:rFonts w:eastAsiaTheme="minorEastAsia"/>
        </w:rPr>
        <w:t xml:space="preserve">C. </w:t>
      </w:r>
      <w:r w:rsidR="00004D4F" w:rsidRPr="00004D4F">
        <w:rPr>
          <w:rFonts w:eastAsiaTheme="minorEastAsia"/>
          <w:bCs/>
        </w:rPr>
        <w:t>Nhận giáo dục đặc biệt và các dịch vụ liên quan tại nhà.</w:t>
      </w:r>
      <w:r w:rsidR="00004D4F" w:rsidRPr="00004D4F">
        <w:rPr>
          <w:rFonts w:eastAsiaTheme="minorEastAsia"/>
          <w:b/>
          <w:bCs/>
        </w:rPr>
        <w:t xml:space="preserve"> (Đây là một lĩnh vực thiết lập mục tiêu mới và năm 2020 là </w:t>
      </w:r>
      <w:r w:rsidR="003A1632">
        <w:rPr>
          <w:rFonts w:eastAsiaTheme="minorEastAsia"/>
          <w:b/>
          <w:bCs/>
        </w:rPr>
        <w:t>năm căn bản</w:t>
      </w:r>
      <w:r w:rsidR="00004D4F" w:rsidRPr="00004D4F">
        <w:rPr>
          <w:rFonts w:eastAsiaTheme="minorEastAsia"/>
          <w:b/>
          <w:bCs/>
        </w:rPr>
        <w:t>.)</w:t>
      </w:r>
    </w:p>
    <w:p w14:paraId="113EEBA0" w14:textId="5959D78E" w:rsidR="00004D4F" w:rsidRDefault="00004D4F" w:rsidP="00004D4F">
      <w:pPr>
        <w:spacing w:after="80"/>
        <w:rPr>
          <w:rFonts w:eastAsiaTheme="minorEastAsia"/>
          <w:color w:val="000000" w:themeColor="text1"/>
        </w:rPr>
      </w:pPr>
      <w:r w:rsidRPr="00004D4F">
        <w:rPr>
          <w:rFonts w:eastAsiaTheme="minorEastAsia"/>
          <w:color w:val="000000" w:themeColor="text1"/>
        </w:rPr>
        <w:t xml:space="preserve">Một trong những nguyên lý chính của IDEA là quyền được hưởng </w:t>
      </w:r>
      <w:r w:rsidRPr="00782E34">
        <w:t>một nền Giáo dụ</w:t>
      </w:r>
      <w:r>
        <w:t>c Công lập T</w:t>
      </w:r>
      <w:r w:rsidRPr="00782E34">
        <w:t>hích hợp Miễn phí (FAPE) trong Môi Trường Ít Bị Hạn Chế Nhất</w:t>
      </w:r>
      <w:r w:rsidRPr="00004D4F">
        <w:rPr>
          <w:rFonts w:eastAsiaTheme="minorEastAsia"/>
          <w:color w:val="000000" w:themeColor="text1"/>
        </w:rPr>
        <w:t xml:space="preserve"> (LRE). Hơn ba mươi năm nghiên cứu chỉ ra rằng khi trẻ em khuyết tật được giáo dục trong </w:t>
      </w:r>
      <w:r w:rsidRPr="00782E34">
        <w:t>Môi Trường Ít Bị Hạn Chế Nhất</w:t>
      </w:r>
      <w:r w:rsidRPr="00004D4F">
        <w:rPr>
          <w:rFonts w:eastAsiaTheme="minorEastAsia"/>
          <w:color w:val="000000" w:themeColor="text1"/>
        </w:rPr>
        <w:t xml:space="preserve"> với các </w:t>
      </w:r>
      <w:r w:rsidR="006A0B2E">
        <w:rPr>
          <w:rFonts w:eastAsiaTheme="minorEastAsia"/>
          <w:color w:val="000000" w:themeColor="text1"/>
        </w:rPr>
        <w:t>quý vị</w:t>
      </w:r>
      <w:r w:rsidRPr="00004D4F">
        <w:rPr>
          <w:rFonts w:eastAsiaTheme="minorEastAsia"/>
          <w:color w:val="000000" w:themeColor="text1"/>
        </w:rPr>
        <w:t xml:space="preserve"> cùng lứa tuổi, các kết quả học tập, </w:t>
      </w:r>
      <w:r>
        <w:rPr>
          <w:rFonts w:eastAsiaTheme="minorEastAsia"/>
          <w:color w:val="000000" w:themeColor="text1"/>
        </w:rPr>
        <w:t xml:space="preserve">nhận biết về </w:t>
      </w:r>
      <w:r w:rsidRPr="00004D4F">
        <w:rPr>
          <w:rFonts w:eastAsiaTheme="minorEastAsia"/>
          <w:color w:val="000000" w:themeColor="text1"/>
        </w:rPr>
        <w:t xml:space="preserve">hành vi, xã hội và sức khỏe được cải thiện kéo dài suốt cuộc đời của chúng. Các chương trình, hợp tác với các nhà cung cấp dịch vụ Chăm sóc và Giáo dục Sớm, có thể làm việc cùng nhau để đảm bảo phần lớn các dịch vụ và hỗ trợ được cung cấp trong chương trình mầm non thông thường. Điều này đảm bảo rằng ngay từ khi còn nhỏ, </w:t>
      </w:r>
      <w:r>
        <w:rPr>
          <w:rFonts w:eastAsiaTheme="minorEastAsia"/>
          <w:color w:val="000000" w:themeColor="text1"/>
        </w:rPr>
        <w:t>trẻ em</w:t>
      </w:r>
      <w:r w:rsidRPr="00004D4F">
        <w:rPr>
          <w:rFonts w:eastAsiaTheme="minorEastAsia"/>
          <w:color w:val="000000" w:themeColor="text1"/>
        </w:rPr>
        <w:t xml:space="preserve"> và gia đình xây dựng các mối quan hệ và cảm giác thân thuộc sâu sắc trong cộng đồng của chúng.</w:t>
      </w:r>
    </w:p>
    <w:p w14:paraId="2D310877" w14:textId="7FC9741C" w:rsidR="00004D4F" w:rsidRPr="00165294" w:rsidRDefault="00004D4F" w:rsidP="00004D4F">
      <w:pPr>
        <w:pStyle w:val="Heading1"/>
        <w:spacing w:before="0" w:line="240" w:lineRule="auto"/>
        <w:rPr>
          <w:rFonts w:asciiTheme="minorHAnsi" w:hAnsiTheme="minorHAnsi" w:cstheme="minorBidi"/>
          <w:b/>
          <w:bCs/>
          <w:color w:val="1B75BC"/>
        </w:rPr>
      </w:pPr>
      <w:r w:rsidRPr="00004D4F">
        <w:rPr>
          <w:rFonts w:asciiTheme="minorHAnsi" w:hAnsiTheme="minorHAnsi" w:cstheme="minorBidi"/>
          <w:b/>
          <w:bCs/>
        </w:rPr>
        <w:t>Nguồn dữ liệu là gì?</w:t>
      </w:r>
    </w:p>
    <w:p w14:paraId="54EFF341" w14:textId="5DD17336" w:rsidR="67687AE3" w:rsidRDefault="00004D4F" w:rsidP="440AB443">
      <w:pPr>
        <w:spacing w:after="80"/>
        <w:rPr>
          <w:rFonts w:eastAsiaTheme="minorEastAsia"/>
          <w:color w:val="000000" w:themeColor="text1"/>
        </w:rPr>
      </w:pPr>
      <w:r w:rsidRPr="00004D4F">
        <w:rPr>
          <w:rFonts w:eastAsiaTheme="minorEastAsia"/>
          <w:color w:val="000000" w:themeColor="text1"/>
        </w:rPr>
        <w:t>Dữ liệu tương tự như được sử dụng để báo cáo Bộ theo mục 618 của IDEA, sử dụng các định nghĩa trong đặc tả tệp EDFacts FS089.</w:t>
      </w:r>
    </w:p>
    <w:p w14:paraId="41FC01FA" w14:textId="7E8530BE" w:rsidR="001A2411" w:rsidRPr="00E77AD9" w:rsidRDefault="001A2411" w:rsidP="001A2411">
      <w:pPr>
        <w:pStyle w:val="Heading1"/>
        <w:spacing w:before="120" w:line="240" w:lineRule="auto"/>
        <w:rPr>
          <w:rFonts w:asciiTheme="minorHAnsi" w:hAnsiTheme="minorHAnsi" w:cstheme="minorBidi"/>
          <w:b/>
          <w:bCs/>
          <w:color w:val="1B75BC"/>
        </w:rPr>
      </w:pPr>
      <w:r w:rsidRPr="001A2411">
        <w:rPr>
          <w:rFonts w:asciiTheme="minorHAnsi" w:hAnsiTheme="minorHAnsi" w:cstheme="minorBidi"/>
          <w:b/>
          <w:bCs/>
        </w:rPr>
        <w:t xml:space="preserve">Có cần </w:t>
      </w:r>
      <w:r w:rsidR="00AB2AEF">
        <w:rPr>
          <w:rFonts w:asciiTheme="minorHAnsi" w:hAnsiTheme="minorHAnsi" w:cstheme="minorBidi"/>
          <w:b/>
          <w:bCs/>
        </w:rPr>
        <w:t xml:space="preserve">phải </w:t>
      </w:r>
      <w:r w:rsidRPr="001A2411">
        <w:rPr>
          <w:rFonts w:asciiTheme="minorHAnsi" w:hAnsiTheme="minorHAnsi" w:cstheme="minorBidi"/>
          <w:b/>
          <w:bCs/>
        </w:rPr>
        <w:t xml:space="preserve">thiết lập hoặc thiết lập lại </w:t>
      </w:r>
      <w:r w:rsidR="003A1632">
        <w:rPr>
          <w:rFonts w:asciiTheme="minorHAnsi" w:hAnsiTheme="minorHAnsi" w:cstheme="minorBidi"/>
          <w:b/>
          <w:bCs/>
        </w:rPr>
        <w:t>căn bản</w:t>
      </w:r>
      <w:r w:rsidRPr="001A2411">
        <w:rPr>
          <w:rFonts w:asciiTheme="minorHAnsi" w:hAnsiTheme="minorHAnsi" w:cstheme="minorBidi"/>
          <w:b/>
          <w:bCs/>
        </w:rPr>
        <w:t xml:space="preserve"> cho chỉ số này không?</w:t>
      </w:r>
    </w:p>
    <w:p w14:paraId="2ED74D39" w14:textId="0F529483" w:rsidR="105B6A3F" w:rsidRDefault="001A2411" w:rsidP="001A2411">
      <w:pPr>
        <w:spacing w:after="80"/>
        <w:rPr>
          <w:rFonts w:ascii="Calibri" w:eastAsia="Calibri" w:hAnsi="Calibri" w:cs="Calibri"/>
          <w:color w:val="000000" w:themeColor="text1"/>
        </w:rPr>
      </w:pPr>
      <w:r w:rsidRPr="001A2411">
        <w:rPr>
          <w:rFonts w:ascii="Calibri" w:eastAsia="Calibri" w:hAnsi="Calibri" w:cs="Calibri"/>
          <w:color w:val="000000" w:themeColor="text1"/>
        </w:rPr>
        <w:t xml:space="preserve">Có, với những thay đổi mà trước đây học sinh đã được đưa vào bộ sưu tập dữ liệu này (cho đến năm 2019, học sinh mẫu giáo được đưa vào bộ sưu tập dữ liệu), một </w:t>
      </w:r>
      <w:r w:rsidR="003A1632">
        <w:rPr>
          <w:rFonts w:ascii="Calibri" w:eastAsia="Calibri" w:hAnsi="Calibri" w:cs="Calibri"/>
          <w:color w:val="000000" w:themeColor="text1"/>
        </w:rPr>
        <w:t>căn bản</w:t>
      </w:r>
      <w:r w:rsidRPr="001A2411">
        <w:rPr>
          <w:rFonts w:ascii="Calibri" w:eastAsia="Calibri" w:hAnsi="Calibri" w:cs="Calibri"/>
          <w:color w:val="000000" w:themeColor="text1"/>
        </w:rPr>
        <w:t xml:space="preserve"> mới phải được thiết lập cho Khu vực mục tiêu A và B. </w:t>
      </w:r>
      <w:r w:rsidR="003A1632">
        <w:rPr>
          <w:rFonts w:ascii="Calibri" w:eastAsia="Calibri" w:hAnsi="Calibri" w:cs="Calibri"/>
          <w:color w:val="000000" w:themeColor="text1"/>
        </w:rPr>
        <w:t>Căn bản</w:t>
      </w:r>
      <w:r w:rsidRPr="001A2411">
        <w:rPr>
          <w:rFonts w:ascii="Calibri" w:eastAsia="Calibri" w:hAnsi="Calibri" w:cs="Calibri"/>
          <w:color w:val="000000" w:themeColor="text1"/>
        </w:rPr>
        <w:t xml:space="preserve"> mới này phản ánh số lượng trẻ em </w:t>
      </w:r>
      <w:r>
        <w:rPr>
          <w:rFonts w:ascii="Calibri" w:eastAsia="Calibri" w:hAnsi="Calibri" w:cs="Calibri"/>
          <w:color w:val="000000" w:themeColor="text1"/>
        </w:rPr>
        <w:t xml:space="preserve">mầm non </w:t>
      </w:r>
      <w:r w:rsidRPr="001A2411">
        <w:rPr>
          <w:rFonts w:ascii="Calibri" w:eastAsia="Calibri" w:hAnsi="Calibri" w:cs="Calibri"/>
          <w:color w:val="000000" w:themeColor="text1"/>
        </w:rPr>
        <w:t xml:space="preserve">trong độ tuổi (3-5 tuổi) đang nhận các dịch vụ giáo dục đặc biệt thời thơ ấu trong sự liên tục của các lựa chọn </w:t>
      </w:r>
      <w:r>
        <w:rPr>
          <w:rFonts w:ascii="Calibri" w:eastAsia="Calibri" w:hAnsi="Calibri" w:cs="Calibri"/>
          <w:color w:val="000000" w:themeColor="text1"/>
        </w:rPr>
        <w:t>phân bố</w:t>
      </w:r>
      <w:r w:rsidRPr="001A2411">
        <w:rPr>
          <w:rFonts w:ascii="Calibri" w:eastAsia="Calibri" w:hAnsi="Calibri" w:cs="Calibri"/>
          <w:color w:val="000000" w:themeColor="text1"/>
        </w:rPr>
        <w:t xml:space="preserve"> được nêu ở trên. Hơn nữa, Mục tiêu khu vực C là mới vào năm 2020 và năm 2020 là </w:t>
      </w:r>
      <w:r w:rsidR="003A1632">
        <w:rPr>
          <w:rFonts w:ascii="Calibri" w:eastAsia="Calibri" w:hAnsi="Calibri" w:cs="Calibri"/>
          <w:color w:val="000000" w:themeColor="text1"/>
        </w:rPr>
        <w:t>năm căn bản</w:t>
      </w:r>
      <w:r w:rsidRPr="001A2411">
        <w:rPr>
          <w:rFonts w:ascii="Calibri" w:eastAsia="Calibri" w:hAnsi="Calibri" w:cs="Calibri"/>
          <w:color w:val="000000" w:themeColor="text1"/>
        </w:rPr>
        <w:t>.</w:t>
      </w:r>
    </w:p>
    <w:p w14:paraId="6E181ADD" w14:textId="77777777" w:rsidR="00BF7DE3" w:rsidRPr="00BF7DE3" w:rsidRDefault="00BF7DE3" w:rsidP="00BF7DE3"/>
    <w:p w14:paraId="2961BBA3" w14:textId="3146D2A2" w:rsidR="005B4812" w:rsidRPr="00165294" w:rsidRDefault="005B4812" w:rsidP="005B4812">
      <w:pPr>
        <w:pStyle w:val="Heading1"/>
        <w:spacing w:after="120" w:line="240" w:lineRule="auto"/>
        <w:rPr>
          <w:rFonts w:asciiTheme="minorHAnsi" w:hAnsiTheme="minorHAnsi" w:cstheme="minorBidi"/>
          <w:b/>
          <w:bCs/>
          <w:color w:val="1B75BC"/>
        </w:rPr>
      </w:pPr>
      <w:r w:rsidRPr="005B4812">
        <w:rPr>
          <w:rFonts w:asciiTheme="minorHAnsi" w:hAnsiTheme="minorHAnsi" w:cstheme="minorBidi"/>
          <w:b/>
          <w:bCs/>
        </w:rPr>
        <w:lastRenderedPageBreak/>
        <w:t xml:space="preserve">Oregon đã thực hiện như thế nào </w:t>
      </w:r>
      <w:r w:rsidR="00AB2AEF">
        <w:rPr>
          <w:rFonts w:asciiTheme="minorHAnsi" w:hAnsiTheme="minorHAnsi" w:cstheme="minorBidi"/>
          <w:b/>
          <w:bCs/>
        </w:rPr>
        <w:t>theo</w:t>
      </w:r>
      <w:r w:rsidRPr="005B4812">
        <w:rPr>
          <w:rFonts w:asciiTheme="minorHAnsi" w:hAnsiTheme="minorHAnsi" w:cstheme="minorBidi"/>
          <w:b/>
          <w:bCs/>
        </w:rPr>
        <w:t xml:space="preserve"> </w:t>
      </w:r>
      <w:r w:rsidR="00AB2AEF">
        <w:rPr>
          <w:rFonts w:asciiTheme="minorHAnsi" w:hAnsiTheme="minorHAnsi" w:cstheme="minorBidi"/>
          <w:b/>
          <w:bCs/>
        </w:rPr>
        <w:t xml:space="preserve">thời </w:t>
      </w:r>
      <w:r w:rsidRPr="005B4812">
        <w:rPr>
          <w:rFonts w:asciiTheme="minorHAnsi" w:hAnsiTheme="minorHAnsi" w:cstheme="minorBidi"/>
          <w:b/>
          <w:bCs/>
        </w:rPr>
        <w:t>gian?</w:t>
      </w:r>
    </w:p>
    <w:p w14:paraId="417CE2A8" w14:textId="30C8F31A" w:rsidR="005B4812" w:rsidRPr="005B4812" w:rsidRDefault="005B4812" w:rsidP="005B4812">
      <w:pPr>
        <w:pStyle w:val="ListParagraph"/>
        <w:numPr>
          <w:ilvl w:val="0"/>
          <w:numId w:val="1"/>
        </w:numPr>
        <w:spacing w:after="0"/>
        <w:rPr>
          <w:rFonts w:eastAsiaTheme="minorEastAsia"/>
          <w:color w:val="000000" w:themeColor="text1"/>
        </w:rPr>
      </w:pPr>
      <w:r w:rsidRPr="005B4812">
        <w:rPr>
          <w:rFonts w:eastAsiaTheme="minorEastAsia"/>
          <w:color w:val="000000" w:themeColor="text1"/>
        </w:rPr>
        <w:t>Chương trình mầm non thông thường và nhận phần lớn giáo dục đặc biệt và các dịch vụ liên quan trong chương trình mầm non thông thường.</w:t>
      </w:r>
    </w:p>
    <w:p w14:paraId="1D041A97" w14:textId="77777777" w:rsidR="005B4812" w:rsidRDefault="005B4812" w:rsidP="005B4812">
      <w:pPr>
        <w:pStyle w:val="ListParagraph"/>
        <w:spacing w:after="0"/>
        <w:ind w:left="360"/>
        <w:rPr>
          <w:rFonts w:eastAsiaTheme="minorEastAsia"/>
          <w:color w:val="000000" w:themeColor="text1"/>
        </w:rPr>
      </w:pPr>
    </w:p>
    <w:p w14:paraId="4CABC3F1" w14:textId="19A44DB2" w:rsidR="57AE5FD7" w:rsidRDefault="57AE5FD7" w:rsidP="105B6A3F">
      <w:pPr>
        <w:jc w:val="center"/>
      </w:pPr>
      <w:r>
        <w:rPr>
          <w:noProof/>
          <w:color w:val="2B579A"/>
          <w:shd w:val="clear" w:color="auto" w:fill="E6E6E6"/>
        </w:rPr>
        <w:drawing>
          <wp:inline distT="0" distB="0" distL="0" distR="0" wp14:anchorId="2131EBD8" wp14:editId="4C0DFDBD">
            <wp:extent cx="4697621" cy="3004520"/>
            <wp:effectExtent l="0" t="0" r="0" b="0"/>
            <wp:docPr id="126238950" name="Picture 126238950" descr="Graph showing Oregon's performance on Indicator B6 A from 2014 to 2019." title="Indicator B6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697621" cy="3004520"/>
                    </a:xfrm>
                    <a:prstGeom prst="rect">
                      <a:avLst/>
                    </a:prstGeom>
                  </pic:spPr>
                </pic:pic>
              </a:graphicData>
            </a:graphic>
          </wp:inline>
        </w:drawing>
      </w:r>
    </w:p>
    <w:tbl>
      <w:tblPr>
        <w:tblStyle w:val="TableGrid"/>
        <w:tblW w:w="0" w:type="auto"/>
        <w:jc w:val="center"/>
        <w:tblLook w:val="04A0" w:firstRow="1" w:lastRow="0" w:firstColumn="1" w:lastColumn="0" w:noHBand="0" w:noVBand="1"/>
        <w:tblCaption w:val="Oregon's Indicatior B6 data"/>
      </w:tblPr>
      <w:tblGrid>
        <w:gridCol w:w="1243"/>
        <w:gridCol w:w="1438"/>
        <w:gridCol w:w="1260"/>
        <w:gridCol w:w="1140"/>
        <w:gridCol w:w="1215"/>
        <w:gridCol w:w="1230"/>
        <w:gridCol w:w="1140"/>
        <w:gridCol w:w="1260"/>
      </w:tblGrid>
      <w:tr w:rsidR="105B6A3F" w14:paraId="51AAE5B4" w14:textId="77777777" w:rsidTr="0056491D">
        <w:trPr>
          <w:trHeight w:val="300"/>
          <w:tblHeader/>
          <w:jc w:val="center"/>
        </w:trPr>
        <w:tc>
          <w:tcPr>
            <w:tcW w:w="1245" w:type="dxa"/>
            <w:shd w:val="clear" w:color="auto" w:fill="FFD966" w:themeFill="accent4" w:themeFillTint="99"/>
          </w:tcPr>
          <w:p w14:paraId="192B5EC0" w14:textId="1E8C7C9C" w:rsidR="105B6A3F" w:rsidRDefault="105B6A3F" w:rsidP="105B6A3F">
            <w:pPr>
              <w:spacing w:line="259" w:lineRule="auto"/>
              <w:jc w:val="center"/>
              <w:rPr>
                <w:rFonts w:ascii="Calibri" w:eastAsia="Calibri" w:hAnsi="Calibri" w:cs="Calibri"/>
              </w:rPr>
            </w:pPr>
            <w:r w:rsidRPr="105B6A3F">
              <w:rPr>
                <w:rFonts w:ascii="Calibri" w:eastAsia="Calibri" w:hAnsi="Calibri" w:cs="Calibri"/>
                <w:b/>
                <w:bCs/>
              </w:rPr>
              <w:t>FFY</w:t>
            </w:r>
          </w:p>
        </w:tc>
        <w:tc>
          <w:tcPr>
            <w:tcW w:w="1440" w:type="dxa"/>
            <w:shd w:val="clear" w:color="auto" w:fill="FFD966" w:themeFill="accent4" w:themeFillTint="99"/>
          </w:tcPr>
          <w:p w14:paraId="389FCDF1" w14:textId="3CA85135" w:rsidR="0D66CEB0" w:rsidRDefault="0D66CEB0" w:rsidP="105B6A3F">
            <w:pPr>
              <w:spacing w:line="259" w:lineRule="auto"/>
              <w:jc w:val="center"/>
              <w:rPr>
                <w:rFonts w:ascii="Calibri" w:eastAsia="Calibri" w:hAnsi="Calibri" w:cs="Calibri"/>
                <w:b/>
                <w:bCs/>
              </w:rPr>
            </w:pPr>
            <w:r w:rsidRPr="105B6A3F">
              <w:rPr>
                <w:rFonts w:ascii="Calibri" w:eastAsia="Calibri" w:hAnsi="Calibri" w:cs="Calibri"/>
                <w:b/>
                <w:bCs/>
              </w:rPr>
              <w:t>2011</w:t>
            </w:r>
          </w:p>
        </w:tc>
        <w:tc>
          <w:tcPr>
            <w:tcW w:w="1260" w:type="dxa"/>
            <w:shd w:val="clear" w:color="auto" w:fill="FFD966" w:themeFill="accent4" w:themeFillTint="99"/>
          </w:tcPr>
          <w:p w14:paraId="59D77794" w14:textId="7194A6AA" w:rsidR="105B6A3F" w:rsidRDefault="105B6A3F" w:rsidP="105B6A3F">
            <w:pPr>
              <w:jc w:val="center"/>
              <w:rPr>
                <w:b/>
                <w:bCs/>
              </w:rPr>
            </w:pPr>
            <w:r w:rsidRPr="105B6A3F">
              <w:rPr>
                <w:b/>
                <w:bCs/>
              </w:rPr>
              <w:t>2014</w:t>
            </w:r>
          </w:p>
        </w:tc>
        <w:tc>
          <w:tcPr>
            <w:tcW w:w="1140" w:type="dxa"/>
            <w:shd w:val="clear" w:color="auto" w:fill="FFD966" w:themeFill="accent4" w:themeFillTint="99"/>
          </w:tcPr>
          <w:p w14:paraId="7A9B48FC" w14:textId="660CFA01" w:rsidR="105B6A3F" w:rsidRDefault="105B6A3F" w:rsidP="105B6A3F">
            <w:pPr>
              <w:jc w:val="center"/>
              <w:rPr>
                <w:b/>
                <w:bCs/>
              </w:rPr>
            </w:pPr>
            <w:r w:rsidRPr="105B6A3F">
              <w:rPr>
                <w:b/>
                <w:bCs/>
              </w:rPr>
              <w:t>2015</w:t>
            </w:r>
          </w:p>
        </w:tc>
        <w:tc>
          <w:tcPr>
            <w:tcW w:w="1215" w:type="dxa"/>
            <w:shd w:val="clear" w:color="auto" w:fill="FFD966" w:themeFill="accent4" w:themeFillTint="99"/>
          </w:tcPr>
          <w:p w14:paraId="3B50E969" w14:textId="6B7184C8" w:rsidR="105B6A3F" w:rsidRDefault="105B6A3F" w:rsidP="105B6A3F">
            <w:pPr>
              <w:jc w:val="center"/>
              <w:rPr>
                <w:b/>
                <w:bCs/>
              </w:rPr>
            </w:pPr>
            <w:r w:rsidRPr="105B6A3F">
              <w:rPr>
                <w:b/>
                <w:bCs/>
              </w:rPr>
              <w:t>2016</w:t>
            </w:r>
          </w:p>
        </w:tc>
        <w:tc>
          <w:tcPr>
            <w:tcW w:w="1230" w:type="dxa"/>
            <w:shd w:val="clear" w:color="auto" w:fill="FFD966" w:themeFill="accent4" w:themeFillTint="99"/>
          </w:tcPr>
          <w:p w14:paraId="3A8751AE" w14:textId="0480FBE8" w:rsidR="105B6A3F" w:rsidRDefault="105B6A3F" w:rsidP="105B6A3F">
            <w:pPr>
              <w:jc w:val="center"/>
              <w:rPr>
                <w:b/>
                <w:bCs/>
              </w:rPr>
            </w:pPr>
            <w:r w:rsidRPr="105B6A3F">
              <w:rPr>
                <w:b/>
                <w:bCs/>
              </w:rPr>
              <w:t>2017</w:t>
            </w:r>
          </w:p>
        </w:tc>
        <w:tc>
          <w:tcPr>
            <w:tcW w:w="1140" w:type="dxa"/>
            <w:shd w:val="clear" w:color="auto" w:fill="FFD966" w:themeFill="accent4" w:themeFillTint="99"/>
          </w:tcPr>
          <w:p w14:paraId="31DAC9AE" w14:textId="44980E38" w:rsidR="105B6A3F" w:rsidRDefault="105B6A3F" w:rsidP="105B6A3F">
            <w:pPr>
              <w:jc w:val="center"/>
              <w:rPr>
                <w:b/>
                <w:bCs/>
              </w:rPr>
            </w:pPr>
            <w:r w:rsidRPr="105B6A3F">
              <w:rPr>
                <w:b/>
                <w:bCs/>
              </w:rPr>
              <w:t>2018</w:t>
            </w:r>
          </w:p>
        </w:tc>
        <w:tc>
          <w:tcPr>
            <w:tcW w:w="1260" w:type="dxa"/>
            <w:shd w:val="clear" w:color="auto" w:fill="FFD966" w:themeFill="accent4" w:themeFillTint="99"/>
          </w:tcPr>
          <w:p w14:paraId="0E71ADB1" w14:textId="3D0F1A82" w:rsidR="105B6A3F" w:rsidRDefault="105B6A3F" w:rsidP="105B6A3F">
            <w:pPr>
              <w:jc w:val="center"/>
              <w:rPr>
                <w:b/>
                <w:bCs/>
              </w:rPr>
            </w:pPr>
            <w:r w:rsidRPr="105B6A3F">
              <w:rPr>
                <w:b/>
                <w:bCs/>
              </w:rPr>
              <w:t>2019</w:t>
            </w:r>
          </w:p>
        </w:tc>
      </w:tr>
      <w:tr w:rsidR="105B6A3F" w14:paraId="170B05A3" w14:textId="77777777" w:rsidTr="105B6A3F">
        <w:trPr>
          <w:trHeight w:val="300"/>
          <w:jc w:val="center"/>
        </w:trPr>
        <w:tc>
          <w:tcPr>
            <w:tcW w:w="1245" w:type="dxa"/>
          </w:tcPr>
          <w:p w14:paraId="317DD9DE" w14:textId="13A10D70" w:rsidR="105B6A3F" w:rsidRDefault="005B4812" w:rsidP="105B6A3F">
            <w:pPr>
              <w:spacing w:line="259" w:lineRule="auto"/>
              <w:rPr>
                <w:rFonts w:ascii="Calibri" w:eastAsia="Calibri" w:hAnsi="Calibri" w:cs="Calibri"/>
              </w:rPr>
            </w:pPr>
            <w:r>
              <w:rPr>
                <w:rFonts w:ascii="Calibri" w:eastAsia="Calibri" w:hAnsi="Calibri" w:cs="Calibri"/>
              </w:rPr>
              <w:t>Mục tiêu</w:t>
            </w:r>
            <w:r w:rsidR="105B6A3F" w:rsidRPr="105B6A3F">
              <w:rPr>
                <w:rFonts w:ascii="Calibri" w:eastAsia="Calibri" w:hAnsi="Calibri" w:cs="Calibri"/>
              </w:rPr>
              <w:t xml:space="preserve"> ≥</w:t>
            </w:r>
          </w:p>
        </w:tc>
        <w:tc>
          <w:tcPr>
            <w:tcW w:w="1440" w:type="dxa"/>
          </w:tcPr>
          <w:p w14:paraId="783567D4" w14:textId="22C03733" w:rsidR="29E79F05" w:rsidRDefault="003A1632" w:rsidP="105B6A3F">
            <w:pPr>
              <w:spacing w:line="259" w:lineRule="auto"/>
              <w:jc w:val="center"/>
              <w:rPr>
                <w:rFonts w:ascii="Calibri" w:eastAsia="Calibri" w:hAnsi="Calibri" w:cs="Calibri"/>
                <w:i/>
                <w:iCs/>
              </w:rPr>
            </w:pPr>
            <w:r>
              <w:rPr>
                <w:rFonts w:ascii="Calibri" w:eastAsia="Calibri" w:hAnsi="Calibri" w:cs="Calibri"/>
                <w:i/>
                <w:iCs/>
              </w:rPr>
              <w:t>Căn bản</w:t>
            </w:r>
          </w:p>
        </w:tc>
        <w:tc>
          <w:tcPr>
            <w:tcW w:w="1260" w:type="dxa"/>
          </w:tcPr>
          <w:p w14:paraId="4FFDD61B" w14:textId="7BDC8723" w:rsidR="105B6A3F" w:rsidRDefault="105B6A3F" w:rsidP="105B6A3F">
            <w:pPr>
              <w:jc w:val="center"/>
            </w:pPr>
            <w:r>
              <w:t>35.00%</w:t>
            </w:r>
          </w:p>
        </w:tc>
        <w:tc>
          <w:tcPr>
            <w:tcW w:w="1140" w:type="dxa"/>
          </w:tcPr>
          <w:p w14:paraId="71EB6966" w14:textId="6E455C7A" w:rsidR="105B6A3F" w:rsidRDefault="105B6A3F" w:rsidP="105B6A3F">
            <w:pPr>
              <w:jc w:val="center"/>
            </w:pPr>
            <w:r>
              <w:t>35.50%</w:t>
            </w:r>
          </w:p>
        </w:tc>
        <w:tc>
          <w:tcPr>
            <w:tcW w:w="1215" w:type="dxa"/>
          </w:tcPr>
          <w:p w14:paraId="4ADDF17A" w14:textId="783DDE49" w:rsidR="105B6A3F" w:rsidRDefault="105B6A3F" w:rsidP="105B6A3F">
            <w:pPr>
              <w:jc w:val="center"/>
            </w:pPr>
            <w:r>
              <w:t>35.50%</w:t>
            </w:r>
          </w:p>
        </w:tc>
        <w:tc>
          <w:tcPr>
            <w:tcW w:w="1230" w:type="dxa"/>
          </w:tcPr>
          <w:p w14:paraId="1E3524D1" w14:textId="7AF5AF9A" w:rsidR="105B6A3F" w:rsidRDefault="105B6A3F" w:rsidP="105B6A3F">
            <w:pPr>
              <w:jc w:val="center"/>
            </w:pPr>
            <w:r>
              <w:t>36.00%</w:t>
            </w:r>
          </w:p>
        </w:tc>
        <w:tc>
          <w:tcPr>
            <w:tcW w:w="1140" w:type="dxa"/>
          </w:tcPr>
          <w:p w14:paraId="27172C8D" w14:textId="36AA96D3" w:rsidR="105B6A3F" w:rsidRDefault="105B6A3F" w:rsidP="105B6A3F">
            <w:pPr>
              <w:jc w:val="center"/>
            </w:pPr>
            <w:r>
              <w:t>36.00%</w:t>
            </w:r>
          </w:p>
        </w:tc>
        <w:tc>
          <w:tcPr>
            <w:tcW w:w="1260" w:type="dxa"/>
          </w:tcPr>
          <w:p w14:paraId="198DE43A" w14:textId="63A099B1" w:rsidR="105B6A3F" w:rsidRDefault="105B6A3F" w:rsidP="105B6A3F">
            <w:pPr>
              <w:jc w:val="center"/>
            </w:pPr>
            <w:r>
              <w:t>36.00%</w:t>
            </w:r>
          </w:p>
        </w:tc>
      </w:tr>
      <w:tr w:rsidR="105B6A3F" w14:paraId="3539D9EF" w14:textId="77777777" w:rsidTr="105B6A3F">
        <w:trPr>
          <w:trHeight w:val="300"/>
          <w:jc w:val="center"/>
        </w:trPr>
        <w:tc>
          <w:tcPr>
            <w:tcW w:w="1245" w:type="dxa"/>
          </w:tcPr>
          <w:p w14:paraId="3829584D" w14:textId="60471D10" w:rsidR="51AC50F4" w:rsidRDefault="005B4812" w:rsidP="105B6A3F">
            <w:pPr>
              <w:spacing w:line="259" w:lineRule="auto"/>
              <w:rPr>
                <w:rFonts w:ascii="Calibri" w:eastAsia="Calibri" w:hAnsi="Calibri" w:cs="Calibri"/>
              </w:rPr>
            </w:pPr>
            <w:r>
              <w:rPr>
                <w:rFonts w:ascii="Calibri" w:eastAsia="Calibri" w:hAnsi="Calibri" w:cs="Calibri"/>
              </w:rPr>
              <w:t>Dữ liệu</w:t>
            </w:r>
          </w:p>
        </w:tc>
        <w:tc>
          <w:tcPr>
            <w:tcW w:w="1440" w:type="dxa"/>
          </w:tcPr>
          <w:p w14:paraId="1FB44D3F" w14:textId="4A99B48E" w:rsidR="39F2FD07" w:rsidRDefault="39F2FD07" w:rsidP="105B6A3F">
            <w:pPr>
              <w:jc w:val="center"/>
              <w:rPr>
                <w:b/>
                <w:bCs/>
                <w:color w:val="FF0000"/>
              </w:rPr>
            </w:pPr>
            <w:r w:rsidRPr="105B6A3F">
              <w:rPr>
                <w:b/>
                <w:bCs/>
                <w:color w:val="FF0000"/>
              </w:rPr>
              <w:t>32.70%</w:t>
            </w:r>
          </w:p>
        </w:tc>
        <w:tc>
          <w:tcPr>
            <w:tcW w:w="1260" w:type="dxa"/>
          </w:tcPr>
          <w:p w14:paraId="6619D1FD" w14:textId="691ADFA9" w:rsidR="105B6A3F" w:rsidRDefault="105B6A3F" w:rsidP="105B6A3F">
            <w:pPr>
              <w:jc w:val="center"/>
            </w:pPr>
            <w:r>
              <w:t>37.00%</w:t>
            </w:r>
          </w:p>
        </w:tc>
        <w:tc>
          <w:tcPr>
            <w:tcW w:w="1140" w:type="dxa"/>
          </w:tcPr>
          <w:p w14:paraId="3E274CE9" w14:textId="71BCDF81" w:rsidR="105B6A3F" w:rsidRDefault="105B6A3F" w:rsidP="105B6A3F">
            <w:pPr>
              <w:jc w:val="center"/>
            </w:pPr>
            <w:r>
              <w:t>39.91%</w:t>
            </w:r>
          </w:p>
        </w:tc>
        <w:tc>
          <w:tcPr>
            <w:tcW w:w="1215" w:type="dxa"/>
          </w:tcPr>
          <w:p w14:paraId="47A883A9" w14:textId="685BAB6F" w:rsidR="105B6A3F" w:rsidRDefault="105B6A3F" w:rsidP="105B6A3F">
            <w:pPr>
              <w:jc w:val="center"/>
            </w:pPr>
            <w:r>
              <w:t>45.25%</w:t>
            </w:r>
          </w:p>
        </w:tc>
        <w:tc>
          <w:tcPr>
            <w:tcW w:w="1230" w:type="dxa"/>
          </w:tcPr>
          <w:p w14:paraId="5D7C18C8" w14:textId="53684A3B" w:rsidR="105B6A3F" w:rsidRDefault="105B6A3F" w:rsidP="105B6A3F">
            <w:pPr>
              <w:jc w:val="center"/>
            </w:pPr>
            <w:r>
              <w:t>45.05%</w:t>
            </w:r>
          </w:p>
        </w:tc>
        <w:tc>
          <w:tcPr>
            <w:tcW w:w="1140" w:type="dxa"/>
          </w:tcPr>
          <w:p w14:paraId="21A609E7" w14:textId="7FC7EC7E" w:rsidR="105B6A3F" w:rsidRDefault="105B6A3F" w:rsidP="105B6A3F">
            <w:pPr>
              <w:jc w:val="center"/>
            </w:pPr>
            <w:r>
              <w:t>44.57%</w:t>
            </w:r>
          </w:p>
        </w:tc>
        <w:tc>
          <w:tcPr>
            <w:tcW w:w="1260" w:type="dxa"/>
          </w:tcPr>
          <w:p w14:paraId="4F5DCE9A" w14:textId="14FA4A6C" w:rsidR="105B6A3F" w:rsidRDefault="105B6A3F" w:rsidP="105B6A3F">
            <w:pPr>
              <w:jc w:val="center"/>
            </w:pPr>
            <w:r>
              <w:t>48.16%</w:t>
            </w:r>
          </w:p>
        </w:tc>
      </w:tr>
    </w:tbl>
    <w:p w14:paraId="00AB44E9" w14:textId="7B7AD35E" w:rsidR="005B4812" w:rsidRPr="005B4812" w:rsidRDefault="005B4812" w:rsidP="005B4812">
      <w:pPr>
        <w:pStyle w:val="ListParagraph"/>
        <w:numPr>
          <w:ilvl w:val="0"/>
          <w:numId w:val="1"/>
        </w:numPr>
        <w:spacing w:before="240" w:after="0"/>
        <w:rPr>
          <w:rFonts w:eastAsiaTheme="minorEastAsia"/>
        </w:rPr>
      </w:pPr>
      <w:r w:rsidRPr="005B4812">
        <w:rPr>
          <w:rFonts w:eastAsiaTheme="minorEastAsia"/>
          <w:color w:val="000000" w:themeColor="text1"/>
        </w:rPr>
        <w:t>Phần trăm tham dự lớp giáo dục đặc biệt tư thục, trường tư thục hoặc cơ sở cư trú.</w:t>
      </w:r>
    </w:p>
    <w:p w14:paraId="7126B8D4" w14:textId="7AB91EF9" w:rsidR="183F3469" w:rsidRDefault="183F3469" w:rsidP="105B6A3F">
      <w:pPr>
        <w:spacing w:after="0"/>
        <w:jc w:val="center"/>
      </w:pPr>
      <w:r>
        <w:rPr>
          <w:noProof/>
          <w:color w:val="2B579A"/>
          <w:shd w:val="clear" w:color="auto" w:fill="E6E6E6"/>
        </w:rPr>
        <w:drawing>
          <wp:inline distT="0" distB="0" distL="0" distR="0" wp14:anchorId="65094C98" wp14:editId="3972E8F5">
            <wp:extent cx="4703650" cy="3008376"/>
            <wp:effectExtent l="0" t="0" r="1905" b="1905"/>
            <wp:docPr id="352252036" name="Picture 352252036" title="Oregon's Indicator B6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703650" cy="3008376"/>
                    </a:xfrm>
                    <a:prstGeom prst="rect">
                      <a:avLst/>
                    </a:prstGeom>
                  </pic:spPr>
                </pic:pic>
              </a:graphicData>
            </a:graphic>
          </wp:inline>
        </w:drawing>
      </w:r>
    </w:p>
    <w:tbl>
      <w:tblPr>
        <w:tblStyle w:val="TableGrid"/>
        <w:tblW w:w="0" w:type="auto"/>
        <w:jc w:val="center"/>
        <w:tblLook w:val="04A0" w:firstRow="1" w:lastRow="0" w:firstColumn="1" w:lastColumn="0" w:noHBand="0" w:noVBand="1"/>
        <w:tblCaption w:val="Oregon's Indicator B6 Data"/>
      </w:tblPr>
      <w:tblGrid>
        <w:gridCol w:w="1243"/>
        <w:gridCol w:w="1438"/>
        <w:gridCol w:w="1260"/>
        <w:gridCol w:w="1140"/>
        <w:gridCol w:w="1215"/>
        <w:gridCol w:w="1230"/>
        <w:gridCol w:w="1140"/>
        <w:gridCol w:w="1260"/>
      </w:tblGrid>
      <w:tr w:rsidR="105B6A3F" w14:paraId="32877098" w14:textId="77777777" w:rsidTr="0056491D">
        <w:trPr>
          <w:trHeight w:val="300"/>
          <w:tblHeader/>
          <w:jc w:val="center"/>
        </w:trPr>
        <w:tc>
          <w:tcPr>
            <w:tcW w:w="1245" w:type="dxa"/>
            <w:shd w:val="clear" w:color="auto" w:fill="9CC2E5" w:themeFill="accent5" w:themeFillTint="99"/>
          </w:tcPr>
          <w:p w14:paraId="3BDFEB4E" w14:textId="1E8C7C9C" w:rsidR="105B6A3F" w:rsidRDefault="105B6A3F" w:rsidP="105B6A3F">
            <w:pPr>
              <w:spacing w:line="259" w:lineRule="auto"/>
              <w:jc w:val="center"/>
              <w:rPr>
                <w:rFonts w:ascii="Calibri" w:eastAsia="Calibri" w:hAnsi="Calibri" w:cs="Calibri"/>
              </w:rPr>
            </w:pPr>
            <w:r w:rsidRPr="105B6A3F">
              <w:rPr>
                <w:rFonts w:ascii="Calibri" w:eastAsia="Calibri" w:hAnsi="Calibri" w:cs="Calibri"/>
                <w:b/>
                <w:bCs/>
              </w:rPr>
              <w:t>FFY</w:t>
            </w:r>
          </w:p>
        </w:tc>
        <w:tc>
          <w:tcPr>
            <w:tcW w:w="1440" w:type="dxa"/>
            <w:shd w:val="clear" w:color="auto" w:fill="9CC2E5" w:themeFill="accent5" w:themeFillTint="99"/>
          </w:tcPr>
          <w:p w14:paraId="5E4B1BB7" w14:textId="3CA85135" w:rsidR="105B6A3F" w:rsidRDefault="105B6A3F" w:rsidP="105B6A3F">
            <w:pPr>
              <w:spacing w:line="259" w:lineRule="auto"/>
              <w:jc w:val="center"/>
              <w:rPr>
                <w:rFonts w:ascii="Calibri" w:eastAsia="Calibri" w:hAnsi="Calibri" w:cs="Calibri"/>
                <w:b/>
                <w:bCs/>
              </w:rPr>
            </w:pPr>
            <w:r w:rsidRPr="105B6A3F">
              <w:rPr>
                <w:rFonts w:ascii="Calibri" w:eastAsia="Calibri" w:hAnsi="Calibri" w:cs="Calibri"/>
                <w:b/>
                <w:bCs/>
              </w:rPr>
              <w:t>2011</w:t>
            </w:r>
          </w:p>
        </w:tc>
        <w:tc>
          <w:tcPr>
            <w:tcW w:w="1260" w:type="dxa"/>
            <w:shd w:val="clear" w:color="auto" w:fill="9CC2E5" w:themeFill="accent5" w:themeFillTint="99"/>
          </w:tcPr>
          <w:p w14:paraId="6529AE7D" w14:textId="7194A6AA" w:rsidR="105B6A3F" w:rsidRDefault="105B6A3F" w:rsidP="105B6A3F">
            <w:pPr>
              <w:jc w:val="center"/>
              <w:rPr>
                <w:b/>
                <w:bCs/>
              </w:rPr>
            </w:pPr>
            <w:r w:rsidRPr="105B6A3F">
              <w:rPr>
                <w:b/>
                <w:bCs/>
              </w:rPr>
              <w:t>2014</w:t>
            </w:r>
          </w:p>
        </w:tc>
        <w:tc>
          <w:tcPr>
            <w:tcW w:w="1140" w:type="dxa"/>
            <w:shd w:val="clear" w:color="auto" w:fill="9CC2E5" w:themeFill="accent5" w:themeFillTint="99"/>
          </w:tcPr>
          <w:p w14:paraId="223D32A4" w14:textId="660CFA01" w:rsidR="105B6A3F" w:rsidRDefault="105B6A3F" w:rsidP="105B6A3F">
            <w:pPr>
              <w:jc w:val="center"/>
              <w:rPr>
                <w:b/>
                <w:bCs/>
              </w:rPr>
            </w:pPr>
            <w:r w:rsidRPr="105B6A3F">
              <w:rPr>
                <w:b/>
                <w:bCs/>
              </w:rPr>
              <w:t>2015</w:t>
            </w:r>
          </w:p>
        </w:tc>
        <w:tc>
          <w:tcPr>
            <w:tcW w:w="1215" w:type="dxa"/>
            <w:shd w:val="clear" w:color="auto" w:fill="9CC2E5" w:themeFill="accent5" w:themeFillTint="99"/>
          </w:tcPr>
          <w:p w14:paraId="75D68033" w14:textId="6B7184C8" w:rsidR="105B6A3F" w:rsidRDefault="105B6A3F" w:rsidP="105B6A3F">
            <w:pPr>
              <w:jc w:val="center"/>
              <w:rPr>
                <w:b/>
                <w:bCs/>
              </w:rPr>
            </w:pPr>
            <w:r w:rsidRPr="105B6A3F">
              <w:rPr>
                <w:b/>
                <w:bCs/>
              </w:rPr>
              <w:t>2016</w:t>
            </w:r>
          </w:p>
        </w:tc>
        <w:tc>
          <w:tcPr>
            <w:tcW w:w="1230" w:type="dxa"/>
            <w:shd w:val="clear" w:color="auto" w:fill="9CC2E5" w:themeFill="accent5" w:themeFillTint="99"/>
          </w:tcPr>
          <w:p w14:paraId="24EBA6FF" w14:textId="0480FBE8" w:rsidR="105B6A3F" w:rsidRDefault="105B6A3F" w:rsidP="105B6A3F">
            <w:pPr>
              <w:jc w:val="center"/>
              <w:rPr>
                <w:b/>
                <w:bCs/>
              </w:rPr>
            </w:pPr>
            <w:r w:rsidRPr="105B6A3F">
              <w:rPr>
                <w:b/>
                <w:bCs/>
              </w:rPr>
              <w:t>2017</w:t>
            </w:r>
          </w:p>
        </w:tc>
        <w:tc>
          <w:tcPr>
            <w:tcW w:w="1140" w:type="dxa"/>
            <w:shd w:val="clear" w:color="auto" w:fill="9CC2E5" w:themeFill="accent5" w:themeFillTint="99"/>
          </w:tcPr>
          <w:p w14:paraId="04578C93" w14:textId="44980E38" w:rsidR="105B6A3F" w:rsidRDefault="105B6A3F" w:rsidP="105B6A3F">
            <w:pPr>
              <w:jc w:val="center"/>
              <w:rPr>
                <w:b/>
                <w:bCs/>
              </w:rPr>
            </w:pPr>
            <w:r w:rsidRPr="105B6A3F">
              <w:rPr>
                <w:b/>
                <w:bCs/>
              </w:rPr>
              <w:t>2018</w:t>
            </w:r>
          </w:p>
        </w:tc>
        <w:tc>
          <w:tcPr>
            <w:tcW w:w="1260" w:type="dxa"/>
            <w:shd w:val="clear" w:color="auto" w:fill="9CC2E5" w:themeFill="accent5" w:themeFillTint="99"/>
          </w:tcPr>
          <w:p w14:paraId="673B445E" w14:textId="3D0F1A82" w:rsidR="105B6A3F" w:rsidRDefault="105B6A3F" w:rsidP="105B6A3F">
            <w:pPr>
              <w:jc w:val="center"/>
              <w:rPr>
                <w:b/>
                <w:bCs/>
              </w:rPr>
            </w:pPr>
            <w:r w:rsidRPr="105B6A3F">
              <w:rPr>
                <w:b/>
                <w:bCs/>
              </w:rPr>
              <w:t>2019</w:t>
            </w:r>
          </w:p>
        </w:tc>
      </w:tr>
      <w:tr w:rsidR="105B6A3F" w14:paraId="6B866DF9" w14:textId="77777777" w:rsidTr="105B6A3F">
        <w:trPr>
          <w:trHeight w:val="300"/>
          <w:jc w:val="center"/>
        </w:trPr>
        <w:tc>
          <w:tcPr>
            <w:tcW w:w="1245" w:type="dxa"/>
          </w:tcPr>
          <w:p w14:paraId="1D6E5412" w14:textId="7345B74E" w:rsidR="105B6A3F" w:rsidRDefault="005B4812" w:rsidP="105B6A3F">
            <w:pPr>
              <w:spacing w:line="259" w:lineRule="auto"/>
              <w:rPr>
                <w:rFonts w:ascii="Calibri" w:eastAsia="Calibri" w:hAnsi="Calibri" w:cs="Calibri"/>
              </w:rPr>
            </w:pPr>
            <w:r>
              <w:rPr>
                <w:rFonts w:ascii="Calibri" w:eastAsia="Calibri" w:hAnsi="Calibri" w:cs="Calibri"/>
              </w:rPr>
              <w:t>Muc tiêu</w:t>
            </w:r>
            <w:r w:rsidR="105B6A3F" w:rsidRPr="105B6A3F">
              <w:rPr>
                <w:rFonts w:ascii="Calibri" w:eastAsia="Calibri" w:hAnsi="Calibri" w:cs="Calibri"/>
              </w:rPr>
              <w:t xml:space="preserve"> ≥</w:t>
            </w:r>
          </w:p>
        </w:tc>
        <w:tc>
          <w:tcPr>
            <w:tcW w:w="1440" w:type="dxa"/>
          </w:tcPr>
          <w:p w14:paraId="24FA09E5" w14:textId="321552E1" w:rsidR="105B6A3F" w:rsidRDefault="003A1632" w:rsidP="105B6A3F">
            <w:pPr>
              <w:spacing w:line="259" w:lineRule="auto"/>
              <w:jc w:val="center"/>
              <w:rPr>
                <w:rFonts w:ascii="Calibri" w:eastAsia="Calibri" w:hAnsi="Calibri" w:cs="Calibri"/>
                <w:i/>
                <w:iCs/>
              </w:rPr>
            </w:pPr>
            <w:r>
              <w:rPr>
                <w:rFonts w:ascii="Calibri" w:eastAsia="Calibri" w:hAnsi="Calibri" w:cs="Calibri"/>
                <w:i/>
                <w:iCs/>
              </w:rPr>
              <w:t>Căn bản</w:t>
            </w:r>
          </w:p>
        </w:tc>
        <w:tc>
          <w:tcPr>
            <w:tcW w:w="1260" w:type="dxa"/>
          </w:tcPr>
          <w:p w14:paraId="4AB2822A" w14:textId="37D5D269" w:rsidR="105B6A3F" w:rsidRDefault="105B6A3F" w:rsidP="105B6A3F">
            <w:pPr>
              <w:jc w:val="center"/>
            </w:pPr>
            <w:r>
              <w:t>24.60%</w:t>
            </w:r>
          </w:p>
        </w:tc>
        <w:tc>
          <w:tcPr>
            <w:tcW w:w="1140" w:type="dxa"/>
          </w:tcPr>
          <w:p w14:paraId="29635960" w14:textId="226E6016" w:rsidR="105B6A3F" w:rsidRDefault="105B6A3F" w:rsidP="105B6A3F">
            <w:pPr>
              <w:jc w:val="center"/>
            </w:pPr>
            <w:r>
              <w:t>24.00%</w:t>
            </w:r>
          </w:p>
        </w:tc>
        <w:tc>
          <w:tcPr>
            <w:tcW w:w="1215" w:type="dxa"/>
          </w:tcPr>
          <w:p w14:paraId="534EB3FF" w14:textId="17000279" w:rsidR="105B6A3F" w:rsidRDefault="105B6A3F" w:rsidP="105B6A3F">
            <w:pPr>
              <w:jc w:val="center"/>
            </w:pPr>
            <w:r>
              <w:t>24.00%</w:t>
            </w:r>
          </w:p>
        </w:tc>
        <w:tc>
          <w:tcPr>
            <w:tcW w:w="1230" w:type="dxa"/>
          </w:tcPr>
          <w:p w14:paraId="7B933F0E" w14:textId="369D0462" w:rsidR="105B6A3F" w:rsidRDefault="105B6A3F" w:rsidP="105B6A3F">
            <w:pPr>
              <w:jc w:val="center"/>
            </w:pPr>
            <w:r>
              <w:t>23.50%</w:t>
            </w:r>
          </w:p>
        </w:tc>
        <w:tc>
          <w:tcPr>
            <w:tcW w:w="1140" w:type="dxa"/>
          </w:tcPr>
          <w:p w14:paraId="19E5C64D" w14:textId="282FAE95" w:rsidR="105B6A3F" w:rsidRDefault="105B6A3F" w:rsidP="105B6A3F">
            <w:pPr>
              <w:jc w:val="center"/>
            </w:pPr>
            <w:r>
              <w:t>23.50%</w:t>
            </w:r>
          </w:p>
        </w:tc>
        <w:tc>
          <w:tcPr>
            <w:tcW w:w="1260" w:type="dxa"/>
          </w:tcPr>
          <w:p w14:paraId="31C34836" w14:textId="1FED79DB" w:rsidR="105B6A3F" w:rsidRDefault="105B6A3F" w:rsidP="105B6A3F">
            <w:pPr>
              <w:jc w:val="center"/>
            </w:pPr>
            <w:r>
              <w:t>23.50%</w:t>
            </w:r>
          </w:p>
        </w:tc>
      </w:tr>
      <w:tr w:rsidR="105B6A3F" w14:paraId="2DA32B89" w14:textId="77777777" w:rsidTr="105B6A3F">
        <w:trPr>
          <w:trHeight w:val="300"/>
          <w:jc w:val="center"/>
        </w:trPr>
        <w:tc>
          <w:tcPr>
            <w:tcW w:w="1245" w:type="dxa"/>
          </w:tcPr>
          <w:p w14:paraId="5894A800" w14:textId="16CCD8E1" w:rsidR="105B6A3F" w:rsidRDefault="005B4812" w:rsidP="105B6A3F">
            <w:pPr>
              <w:spacing w:line="259" w:lineRule="auto"/>
              <w:rPr>
                <w:rFonts w:ascii="Calibri" w:eastAsia="Calibri" w:hAnsi="Calibri" w:cs="Calibri"/>
              </w:rPr>
            </w:pPr>
            <w:r>
              <w:rPr>
                <w:rFonts w:ascii="Calibri" w:eastAsia="Calibri" w:hAnsi="Calibri" w:cs="Calibri"/>
              </w:rPr>
              <w:t>Dữ liệu</w:t>
            </w:r>
          </w:p>
        </w:tc>
        <w:tc>
          <w:tcPr>
            <w:tcW w:w="1440" w:type="dxa"/>
          </w:tcPr>
          <w:p w14:paraId="38A1F49F" w14:textId="054435D1" w:rsidR="0973F848" w:rsidRDefault="0973F848" w:rsidP="105B6A3F">
            <w:pPr>
              <w:spacing w:line="259" w:lineRule="auto"/>
              <w:jc w:val="center"/>
              <w:rPr>
                <w:b/>
                <w:bCs/>
                <w:color w:val="FF0000"/>
              </w:rPr>
            </w:pPr>
            <w:r w:rsidRPr="105B6A3F">
              <w:rPr>
                <w:b/>
                <w:bCs/>
                <w:color w:val="FF0000"/>
              </w:rPr>
              <w:t>25.56%</w:t>
            </w:r>
          </w:p>
        </w:tc>
        <w:tc>
          <w:tcPr>
            <w:tcW w:w="1260" w:type="dxa"/>
          </w:tcPr>
          <w:p w14:paraId="50DF630D" w14:textId="24671E2C" w:rsidR="105B6A3F" w:rsidRDefault="105B6A3F" w:rsidP="105B6A3F">
            <w:pPr>
              <w:jc w:val="center"/>
            </w:pPr>
            <w:r>
              <w:t>22.93%</w:t>
            </w:r>
          </w:p>
        </w:tc>
        <w:tc>
          <w:tcPr>
            <w:tcW w:w="1140" w:type="dxa"/>
          </w:tcPr>
          <w:p w14:paraId="04A0BE0D" w14:textId="42F78481" w:rsidR="105B6A3F" w:rsidRDefault="105B6A3F" w:rsidP="105B6A3F">
            <w:pPr>
              <w:jc w:val="center"/>
            </w:pPr>
            <w:r>
              <w:t>23.30%</w:t>
            </w:r>
          </w:p>
        </w:tc>
        <w:tc>
          <w:tcPr>
            <w:tcW w:w="1215" w:type="dxa"/>
          </w:tcPr>
          <w:p w14:paraId="1770568B" w14:textId="3666BE7B" w:rsidR="105B6A3F" w:rsidRDefault="105B6A3F" w:rsidP="105B6A3F">
            <w:pPr>
              <w:jc w:val="center"/>
            </w:pPr>
            <w:r>
              <w:t>19.80%</w:t>
            </w:r>
          </w:p>
        </w:tc>
        <w:tc>
          <w:tcPr>
            <w:tcW w:w="1230" w:type="dxa"/>
          </w:tcPr>
          <w:p w14:paraId="0CDDAF70" w14:textId="22720EEE" w:rsidR="105B6A3F" w:rsidRDefault="105B6A3F" w:rsidP="105B6A3F">
            <w:pPr>
              <w:jc w:val="center"/>
            </w:pPr>
            <w:r>
              <w:t>19.03%</w:t>
            </w:r>
          </w:p>
        </w:tc>
        <w:tc>
          <w:tcPr>
            <w:tcW w:w="1140" w:type="dxa"/>
          </w:tcPr>
          <w:p w14:paraId="4D0F2FC1" w14:textId="173FB98F" w:rsidR="105B6A3F" w:rsidRDefault="105B6A3F" w:rsidP="105B6A3F">
            <w:pPr>
              <w:jc w:val="center"/>
            </w:pPr>
            <w:r>
              <w:t>19.17%</w:t>
            </w:r>
          </w:p>
        </w:tc>
        <w:tc>
          <w:tcPr>
            <w:tcW w:w="1260" w:type="dxa"/>
          </w:tcPr>
          <w:p w14:paraId="3E53F812" w14:textId="738E34FB" w:rsidR="105B6A3F" w:rsidRDefault="105B6A3F" w:rsidP="105B6A3F">
            <w:pPr>
              <w:jc w:val="center"/>
            </w:pPr>
            <w:r>
              <w:t>24.52%</w:t>
            </w:r>
          </w:p>
        </w:tc>
      </w:tr>
    </w:tbl>
    <w:p w14:paraId="6E803FF7" w14:textId="5D5B1793" w:rsidR="105B6A3F" w:rsidRDefault="105B6A3F" w:rsidP="105B6A3F">
      <w:pPr>
        <w:spacing w:after="0"/>
        <w:rPr>
          <w:rFonts w:eastAsiaTheme="minorEastAsia"/>
          <w:color w:val="000000" w:themeColor="text1"/>
        </w:rPr>
      </w:pPr>
    </w:p>
    <w:p w14:paraId="33F32983" w14:textId="67732E8A" w:rsidR="105B6A3F" w:rsidRDefault="105B6A3F">
      <w:r>
        <w:br w:type="page"/>
      </w:r>
    </w:p>
    <w:p w14:paraId="317FC718" w14:textId="69CE0B54" w:rsidR="00C507FE" w:rsidRPr="00C507FE" w:rsidRDefault="00AB2AEF" w:rsidP="00C507FE">
      <w:pPr>
        <w:spacing w:before="240" w:after="0" w:line="240" w:lineRule="auto"/>
        <w:rPr>
          <w:rFonts w:ascii="Calibri" w:eastAsia="Calibri" w:hAnsi="Calibri" w:cs="Calibri"/>
          <w:b/>
          <w:bCs/>
          <w:color w:val="2F5496" w:themeColor="accent1" w:themeShade="BF"/>
          <w:sz w:val="32"/>
          <w:szCs w:val="32"/>
        </w:rPr>
      </w:pPr>
      <w:r>
        <w:rPr>
          <w:rFonts w:ascii="Calibri" w:eastAsia="Calibri" w:hAnsi="Calibri" w:cs="Calibri"/>
          <w:b/>
          <w:bCs/>
          <w:color w:val="2F5496" w:themeColor="accent1" w:themeShade="BF"/>
          <w:sz w:val="32"/>
          <w:szCs w:val="32"/>
        </w:rPr>
        <w:lastRenderedPageBreak/>
        <w:t>M</w:t>
      </w:r>
      <w:r w:rsidR="00C507FE" w:rsidRPr="00C507FE">
        <w:rPr>
          <w:rFonts w:ascii="Calibri" w:eastAsia="Calibri" w:hAnsi="Calibri" w:cs="Calibri"/>
          <w:b/>
          <w:bCs/>
          <w:color w:val="2F5496" w:themeColor="accent1" w:themeShade="BF"/>
          <w:sz w:val="32"/>
          <w:szCs w:val="32"/>
        </w:rPr>
        <w:t>ục tiêu mới là gì?</w:t>
      </w:r>
    </w:p>
    <w:p w14:paraId="050B1D5E" w14:textId="16725626" w:rsidR="00C507FE" w:rsidRDefault="00C507FE" w:rsidP="00C507FE">
      <w:pPr>
        <w:spacing w:after="0" w:line="240" w:lineRule="auto"/>
        <w:rPr>
          <w:rFonts w:ascii="Calibri" w:eastAsia="Calibri" w:hAnsi="Calibri" w:cs="Calibri"/>
          <w:color w:val="000000" w:themeColor="text1"/>
        </w:rPr>
      </w:pPr>
      <w:r w:rsidRPr="00396AD0">
        <w:rPr>
          <w:rFonts w:ascii="Calibri" w:eastAsia="Calibri" w:hAnsi="Calibri" w:cs="Calibri"/>
          <w:color w:val="000000" w:themeColor="text1"/>
        </w:rPr>
        <w:t>ODE sẽ không đặt ra các mục tiêu mới cho đến khi chúng tôi nhận được phản hồi từ các đối tác của mình. Có một số cách để đặt mục tiêu mới. Đó có thể là tỷ lệ phần trăm tăng, bắt đầu với trò chơi kết thúc hoặc kiểm tra xu hướng theo thời gian và đưa ra dự đoán dựa trên xu hướng. Một số thông tin hữu ích về việc đặt mục tiêu:</w:t>
      </w:r>
    </w:p>
    <w:p w14:paraId="4E6F37C9" w14:textId="28F61EDF" w:rsidR="00C507FE" w:rsidRDefault="00C507FE" w:rsidP="105B6A3F">
      <w:pPr>
        <w:spacing w:after="0"/>
        <w:rPr>
          <w:rFonts w:ascii="Calibri" w:eastAsia="Calibri" w:hAnsi="Calibri" w:cs="Calibri"/>
          <w:color w:val="000000" w:themeColor="text1"/>
        </w:rPr>
      </w:pPr>
    </w:p>
    <w:p w14:paraId="4C99B9AC" w14:textId="36B617EB" w:rsidR="00AA3D16" w:rsidRPr="00AA3D16" w:rsidRDefault="00AA3D16" w:rsidP="00AA3D16">
      <w:pPr>
        <w:pStyle w:val="ListParagraph"/>
        <w:numPr>
          <w:ilvl w:val="0"/>
          <w:numId w:val="4"/>
        </w:numPr>
        <w:rPr>
          <w:rFonts w:ascii="Calibri" w:eastAsia="Calibri" w:hAnsi="Calibri" w:cs="Calibri"/>
          <w:color w:val="000000" w:themeColor="text1"/>
          <w:sz w:val="24"/>
          <w:szCs w:val="24"/>
        </w:rPr>
      </w:pPr>
      <w:r w:rsidRPr="00AA3D16">
        <w:rPr>
          <w:rFonts w:ascii="Calibri" w:eastAsia="Calibri" w:hAnsi="Calibri" w:cs="Calibri"/>
          <w:color w:val="000000" w:themeColor="text1"/>
          <w:sz w:val="24"/>
          <w:szCs w:val="24"/>
        </w:rPr>
        <w:t>Các mục tiêu nhằm hỗ trợ cải thiện kết quả và thành tích cho trẻ em và gia đình. Chúng phải nằm trong khả năng nhưng vẫn cho thấy sự phát triển.</w:t>
      </w:r>
    </w:p>
    <w:p w14:paraId="72A33322" w14:textId="268382AC" w:rsidR="00AA3D16" w:rsidRPr="00AA3D16" w:rsidRDefault="00AA3D16" w:rsidP="00AA3D16">
      <w:pPr>
        <w:pStyle w:val="ListParagraph"/>
        <w:numPr>
          <w:ilvl w:val="0"/>
          <w:numId w:val="4"/>
        </w:numPr>
        <w:spacing w:line="240" w:lineRule="auto"/>
        <w:rPr>
          <w:rFonts w:ascii="Calibri" w:eastAsia="Calibri" w:hAnsi="Calibri" w:cs="Calibri"/>
          <w:color w:val="000000" w:themeColor="text1"/>
          <w:sz w:val="24"/>
          <w:szCs w:val="24"/>
        </w:rPr>
      </w:pPr>
      <w:r w:rsidRPr="00AA3D16">
        <w:rPr>
          <w:rFonts w:ascii="Calibri" w:eastAsia="Calibri" w:hAnsi="Calibri" w:cs="Calibri"/>
          <w:color w:val="000000" w:themeColor="text1"/>
          <w:sz w:val="24"/>
          <w:szCs w:val="24"/>
        </w:rPr>
        <w:t>Thay đổi cần có thời gian. Mục tiêu có thể được tạo ra với sự hiểu biết trong tâm trí. Ví dụ: các mục tiêu có thể giữ nguyên trong vài năm liên tiếp và sau đó sẽ cải thiện dần trong năm mục tiêu cuối cùng (FFY 2025). Ngoài ra, các mục tiêu có thể được cải thiện dần dần qua các năm.</w:t>
      </w:r>
    </w:p>
    <w:p w14:paraId="5A1D5AA0" w14:textId="5C257E4D" w:rsidR="00AA3D16" w:rsidRPr="00AA3D16" w:rsidRDefault="00AA3D16" w:rsidP="00AA3D16">
      <w:pPr>
        <w:pStyle w:val="ListParagraph"/>
        <w:numPr>
          <w:ilvl w:val="0"/>
          <w:numId w:val="4"/>
        </w:numPr>
        <w:rPr>
          <w:rFonts w:eastAsiaTheme="minorEastAsia"/>
          <w:color w:val="000000" w:themeColor="text1"/>
          <w:sz w:val="24"/>
          <w:szCs w:val="24"/>
        </w:rPr>
      </w:pPr>
      <w:r w:rsidRPr="00AA3D16">
        <w:rPr>
          <w:rFonts w:eastAsiaTheme="minorEastAsia"/>
          <w:color w:val="000000" w:themeColor="text1"/>
          <w:sz w:val="24"/>
          <w:szCs w:val="24"/>
        </w:rPr>
        <w:t xml:space="preserve">Mục tiêu của chỉ số này là đạt hoặc cao hơn mục tiêu cho khu vực </w:t>
      </w:r>
      <w:r w:rsidRPr="00AA3D16">
        <w:rPr>
          <w:rFonts w:eastAsiaTheme="minorEastAsia"/>
          <w:b/>
          <w:color w:val="000000" w:themeColor="text1"/>
          <w:sz w:val="24"/>
          <w:szCs w:val="24"/>
        </w:rPr>
        <w:t>A</w:t>
      </w:r>
      <w:r w:rsidRPr="00AA3D16">
        <w:rPr>
          <w:rFonts w:eastAsiaTheme="minorEastAsia"/>
          <w:color w:val="000000" w:themeColor="text1"/>
          <w:sz w:val="24"/>
          <w:szCs w:val="24"/>
        </w:rPr>
        <w:t xml:space="preserve"> và bằng hoặc thấp hơn mục tiêu cho khu vực </w:t>
      </w:r>
      <w:r w:rsidRPr="00AA3D16">
        <w:rPr>
          <w:rFonts w:eastAsiaTheme="minorEastAsia"/>
          <w:b/>
          <w:color w:val="000000" w:themeColor="text1"/>
          <w:sz w:val="24"/>
          <w:szCs w:val="24"/>
        </w:rPr>
        <w:t>B</w:t>
      </w:r>
      <w:r w:rsidRPr="00AA3D16">
        <w:rPr>
          <w:rFonts w:eastAsiaTheme="minorEastAsia"/>
          <w:color w:val="000000" w:themeColor="text1"/>
          <w:sz w:val="24"/>
          <w:szCs w:val="24"/>
        </w:rPr>
        <w:t xml:space="preserve"> và </w:t>
      </w:r>
      <w:r w:rsidRPr="00AA3D16">
        <w:rPr>
          <w:rFonts w:eastAsiaTheme="minorEastAsia"/>
          <w:b/>
          <w:color w:val="000000" w:themeColor="text1"/>
          <w:sz w:val="24"/>
          <w:szCs w:val="24"/>
        </w:rPr>
        <w:t>C</w:t>
      </w:r>
      <w:r w:rsidRPr="00AA3D16">
        <w:rPr>
          <w:rFonts w:eastAsiaTheme="minorEastAsia"/>
          <w:color w:val="000000" w:themeColor="text1"/>
          <w:sz w:val="24"/>
          <w:szCs w:val="24"/>
        </w:rPr>
        <w:t>.</w:t>
      </w:r>
    </w:p>
    <w:p w14:paraId="1E38D5FB" w14:textId="4132EF91" w:rsidR="00AA3D16" w:rsidRDefault="00AA3D16" w:rsidP="00AA3D16">
      <w:pPr>
        <w:pStyle w:val="ListParagraph"/>
        <w:numPr>
          <w:ilvl w:val="0"/>
          <w:numId w:val="4"/>
        </w:numPr>
        <w:rPr>
          <w:rFonts w:eastAsiaTheme="minorEastAsia"/>
          <w:color w:val="000000" w:themeColor="text1"/>
          <w:sz w:val="24"/>
          <w:szCs w:val="24"/>
        </w:rPr>
      </w:pPr>
      <w:r w:rsidRPr="00AA3D16">
        <w:rPr>
          <w:rFonts w:eastAsiaTheme="minorEastAsia"/>
          <w:color w:val="000000" w:themeColor="text1"/>
          <w:sz w:val="24"/>
          <w:szCs w:val="24"/>
        </w:rPr>
        <w:t xml:space="preserve">Hiện tại, tỷ lệ </w:t>
      </w:r>
      <w:r>
        <w:rPr>
          <w:rFonts w:eastAsiaTheme="minorEastAsia"/>
          <w:color w:val="000000" w:themeColor="text1"/>
          <w:sz w:val="24"/>
          <w:szCs w:val="24"/>
        </w:rPr>
        <w:t xml:space="preserve">phân </w:t>
      </w:r>
      <w:r w:rsidRPr="00AA3D16">
        <w:rPr>
          <w:rFonts w:eastAsiaTheme="minorEastAsia"/>
          <w:color w:val="000000" w:themeColor="text1"/>
          <w:sz w:val="24"/>
          <w:szCs w:val="24"/>
        </w:rPr>
        <w:t>bố tại nhà để cung cấp các dịch vụ giáo dục đặc biệ</w:t>
      </w:r>
      <w:r>
        <w:rPr>
          <w:rFonts w:eastAsiaTheme="minorEastAsia"/>
          <w:color w:val="000000" w:themeColor="text1"/>
          <w:sz w:val="24"/>
          <w:szCs w:val="24"/>
        </w:rPr>
        <w:t>t là 10.</w:t>
      </w:r>
      <w:r w:rsidRPr="00AA3D16">
        <w:rPr>
          <w:rFonts w:eastAsiaTheme="minorEastAsia"/>
          <w:color w:val="000000" w:themeColor="text1"/>
          <w:sz w:val="24"/>
          <w:szCs w:val="24"/>
        </w:rPr>
        <w:t>25%. Các mục tiêu cho tương lai phải bằng hoặc thấp hơn mức này.</w:t>
      </w:r>
    </w:p>
    <w:p w14:paraId="256B3A00" w14:textId="1B387E7C" w:rsidR="00AA3D16" w:rsidRDefault="00AA3D16" w:rsidP="00AA3D16">
      <w:pPr>
        <w:pStyle w:val="ListParagraph"/>
        <w:numPr>
          <w:ilvl w:val="0"/>
          <w:numId w:val="4"/>
        </w:numPr>
        <w:rPr>
          <w:color w:val="000000" w:themeColor="text1"/>
          <w:sz w:val="24"/>
          <w:szCs w:val="24"/>
        </w:rPr>
      </w:pPr>
      <w:r w:rsidRPr="00AA3D16">
        <w:rPr>
          <w:color w:val="000000" w:themeColor="text1"/>
          <w:sz w:val="24"/>
          <w:szCs w:val="24"/>
        </w:rPr>
        <w:t xml:space="preserve">Chỉ </w:t>
      </w:r>
      <w:r>
        <w:rPr>
          <w:color w:val="000000" w:themeColor="text1"/>
          <w:sz w:val="24"/>
          <w:szCs w:val="24"/>
        </w:rPr>
        <w:t>số</w:t>
      </w:r>
      <w:r w:rsidRPr="00AA3D16">
        <w:rPr>
          <w:color w:val="000000" w:themeColor="text1"/>
          <w:sz w:val="24"/>
          <w:szCs w:val="24"/>
        </w:rPr>
        <w:t xml:space="preserve"> này đã bị ảnh hưởng bởi các hạn chế </w:t>
      </w:r>
      <w:r>
        <w:rPr>
          <w:color w:val="000000" w:themeColor="text1"/>
          <w:sz w:val="24"/>
          <w:szCs w:val="24"/>
        </w:rPr>
        <w:t xml:space="preserve">do </w:t>
      </w:r>
      <w:r w:rsidRPr="00AA3D16">
        <w:rPr>
          <w:color w:val="000000" w:themeColor="text1"/>
          <w:sz w:val="24"/>
          <w:szCs w:val="24"/>
        </w:rPr>
        <w:t xml:space="preserve">COVID-19 và đã giảm </w:t>
      </w:r>
      <w:r>
        <w:rPr>
          <w:color w:val="000000" w:themeColor="text1"/>
          <w:sz w:val="24"/>
          <w:szCs w:val="24"/>
        </w:rPr>
        <w:t>tỷ lệ phân bố</w:t>
      </w:r>
      <w:r w:rsidRPr="00AA3D16">
        <w:rPr>
          <w:color w:val="000000" w:themeColor="text1"/>
          <w:sz w:val="24"/>
          <w:szCs w:val="24"/>
        </w:rPr>
        <w:t xml:space="preserve"> </w:t>
      </w:r>
      <w:r>
        <w:rPr>
          <w:color w:val="000000" w:themeColor="text1"/>
          <w:sz w:val="24"/>
          <w:szCs w:val="24"/>
        </w:rPr>
        <w:t>ở</w:t>
      </w:r>
      <w:r w:rsidRPr="00AA3D16">
        <w:rPr>
          <w:color w:val="000000" w:themeColor="text1"/>
          <w:sz w:val="24"/>
          <w:szCs w:val="24"/>
        </w:rPr>
        <w:t xml:space="preserve"> các </w:t>
      </w:r>
      <w:r>
        <w:rPr>
          <w:color w:val="000000" w:themeColor="text1"/>
          <w:sz w:val="24"/>
          <w:szCs w:val="24"/>
        </w:rPr>
        <w:t>địa điểm</w:t>
      </w:r>
      <w:r w:rsidRPr="00AA3D16">
        <w:rPr>
          <w:color w:val="000000" w:themeColor="text1"/>
          <w:sz w:val="24"/>
          <w:szCs w:val="24"/>
        </w:rPr>
        <w:t xml:space="preserve"> cộng đồng và tăng </w:t>
      </w:r>
      <w:r>
        <w:rPr>
          <w:color w:val="000000" w:themeColor="text1"/>
          <w:sz w:val="24"/>
          <w:szCs w:val="24"/>
        </w:rPr>
        <w:t>tỷ lệ phân bố</w:t>
      </w:r>
      <w:r w:rsidRPr="00AA3D16">
        <w:rPr>
          <w:color w:val="000000" w:themeColor="text1"/>
          <w:sz w:val="24"/>
          <w:szCs w:val="24"/>
        </w:rPr>
        <w:t xml:space="preserve"> </w:t>
      </w:r>
      <w:r>
        <w:rPr>
          <w:color w:val="000000" w:themeColor="text1"/>
          <w:sz w:val="24"/>
          <w:szCs w:val="24"/>
        </w:rPr>
        <w:t>ở các địa điểm</w:t>
      </w:r>
      <w:r w:rsidRPr="00AA3D16">
        <w:rPr>
          <w:color w:val="000000" w:themeColor="text1"/>
          <w:sz w:val="24"/>
          <w:szCs w:val="24"/>
        </w:rPr>
        <w:t xml:space="preserve"> khác trong năm qua.</w:t>
      </w:r>
    </w:p>
    <w:p w14:paraId="74CA71EE" w14:textId="4CAA76F8" w:rsidR="0E6BE1FC" w:rsidRDefault="00AA3D16" w:rsidP="440AB443">
      <w:pPr>
        <w:spacing w:after="0"/>
        <w:rPr>
          <w:rFonts w:ascii="Calibri" w:eastAsia="Calibri" w:hAnsi="Calibri" w:cs="Calibri"/>
          <w:color w:val="408740"/>
          <w:sz w:val="24"/>
          <w:szCs w:val="24"/>
        </w:rPr>
      </w:pPr>
      <w:r>
        <w:rPr>
          <w:rFonts w:ascii="Calibri" w:eastAsia="Calibri" w:hAnsi="Calibri" w:cs="Calibri"/>
          <w:b/>
          <w:bCs/>
          <w:color w:val="408740"/>
          <w:sz w:val="24"/>
          <w:szCs w:val="24"/>
        </w:rPr>
        <w:t xml:space="preserve">Ví dụ </w:t>
      </w:r>
      <w:r w:rsidR="0E6BE1FC" w:rsidRPr="440AB443">
        <w:rPr>
          <w:rFonts w:ascii="Calibri" w:eastAsia="Calibri" w:hAnsi="Calibri" w:cs="Calibri"/>
          <w:b/>
          <w:bCs/>
          <w:color w:val="408740"/>
          <w:sz w:val="24"/>
          <w:szCs w:val="24"/>
        </w:rPr>
        <w:t>A</w:t>
      </w:r>
    </w:p>
    <w:tbl>
      <w:tblPr>
        <w:tblStyle w:val="TableGrid"/>
        <w:tblW w:w="0" w:type="auto"/>
        <w:tblLayout w:type="fixed"/>
        <w:tblLook w:val="04A0" w:firstRow="1" w:lastRow="0" w:firstColumn="1" w:lastColumn="0" w:noHBand="0" w:noVBand="1"/>
        <w:tblCaption w:val="Ví dụ A"/>
      </w:tblPr>
      <w:tblGrid>
        <w:gridCol w:w="2220"/>
        <w:gridCol w:w="1275"/>
        <w:gridCol w:w="1275"/>
        <w:gridCol w:w="1275"/>
        <w:gridCol w:w="1275"/>
        <w:gridCol w:w="1275"/>
        <w:gridCol w:w="1275"/>
      </w:tblGrid>
      <w:tr w:rsidR="4D0E0F7D" w14:paraId="3DEB0825" w14:textId="77777777" w:rsidTr="0056491D">
        <w:trPr>
          <w:tblHeader/>
        </w:trPr>
        <w:tc>
          <w:tcPr>
            <w:tcW w:w="2220" w:type="dxa"/>
            <w:shd w:val="clear" w:color="auto" w:fill="FFD966" w:themeFill="accent4" w:themeFillTint="99"/>
          </w:tcPr>
          <w:p w14:paraId="34DFB917" w14:textId="1E8C7C9C"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FFY</w:t>
            </w:r>
          </w:p>
        </w:tc>
        <w:tc>
          <w:tcPr>
            <w:tcW w:w="1275" w:type="dxa"/>
            <w:shd w:val="clear" w:color="auto" w:fill="FFD966" w:themeFill="accent4" w:themeFillTint="99"/>
          </w:tcPr>
          <w:p w14:paraId="37E8E5E5" w14:textId="246A30BD"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2020</w:t>
            </w:r>
          </w:p>
        </w:tc>
        <w:tc>
          <w:tcPr>
            <w:tcW w:w="1275" w:type="dxa"/>
            <w:shd w:val="clear" w:color="auto" w:fill="FFD966" w:themeFill="accent4" w:themeFillTint="99"/>
          </w:tcPr>
          <w:p w14:paraId="61EDA470" w14:textId="3421E923"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2021</w:t>
            </w:r>
          </w:p>
        </w:tc>
        <w:tc>
          <w:tcPr>
            <w:tcW w:w="1275" w:type="dxa"/>
            <w:shd w:val="clear" w:color="auto" w:fill="FFD966" w:themeFill="accent4" w:themeFillTint="99"/>
          </w:tcPr>
          <w:p w14:paraId="02B49ED1" w14:textId="1FE62FD4"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2022</w:t>
            </w:r>
          </w:p>
        </w:tc>
        <w:tc>
          <w:tcPr>
            <w:tcW w:w="1275" w:type="dxa"/>
            <w:shd w:val="clear" w:color="auto" w:fill="FFD966" w:themeFill="accent4" w:themeFillTint="99"/>
          </w:tcPr>
          <w:p w14:paraId="5BFEAA9C" w14:textId="3481E9B6"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2023</w:t>
            </w:r>
          </w:p>
        </w:tc>
        <w:tc>
          <w:tcPr>
            <w:tcW w:w="1275" w:type="dxa"/>
            <w:shd w:val="clear" w:color="auto" w:fill="FFD966" w:themeFill="accent4" w:themeFillTint="99"/>
          </w:tcPr>
          <w:p w14:paraId="47A82655" w14:textId="0331CC3A"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2024</w:t>
            </w:r>
          </w:p>
        </w:tc>
        <w:tc>
          <w:tcPr>
            <w:tcW w:w="1275" w:type="dxa"/>
            <w:shd w:val="clear" w:color="auto" w:fill="FFD966" w:themeFill="accent4" w:themeFillTint="99"/>
          </w:tcPr>
          <w:p w14:paraId="3BB163EC" w14:textId="40D67193"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2025</w:t>
            </w:r>
          </w:p>
        </w:tc>
      </w:tr>
      <w:tr w:rsidR="4D0E0F7D" w14:paraId="2633055E" w14:textId="77777777" w:rsidTr="77603532">
        <w:tc>
          <w:tcPr>
            <w:tcW w:w="2220" w:type="dxa"/>
          </w:tcPr>
          <w:p w14:paraId="6DA72857" w14:textId="6B9D9FDB" w:rsidR="4D0E0F7D" w:rsidRDefault="1F4311E1" w:rsidP="00AA3D16">
            <w:pPr>
              <w:spacing w:line="259" w:lineRule="auto"/>
              <w:rPr>
                <w:rFonts w:ascii="Calibri" w:eastAsia="Calibri" w:hAnsi="Calibri" w:cs="Calibri"/>
              </w:rPr>
            </w:pPr>
            <w:r w:rsidRPr="563487A3">
              <w:rPr>
                <w:rFonts w:ascii="Calibri" w:eastAsia="Calibri" w:hAnsi="Calibri" w:cs="Calibri"/>
              </w:rPr>
              <w:t xml:space="preserve">A: </w:t>
            </w:r>
            <w:r w:rsidR="00AA3D16">
              <w:rPr>
                <w:rFonts w:ascii="Calibri" w:eastAsia="Calibri" w:hAnsi="Calibri" w:cs="Calibri"/>
              </w:rPr>
              <w:t>Mục tiêu</w:t>
            </w:r>
            <w:r w:rsidR="4D0E0F7D" w:rsidRPr="563487A3">
              <w:rPr>
                <w:rFonts w:ascii="Calibri" w:eastAsia="Calibri" w:hAnsi="Calibri" w:cs="Calibri"/>
              </w:rPr>
              <w:t xml:space="preserve"> ≥</w:t>
            </w:r>
          </w:p>
        </w:tc>
        <w:tc>
          <w:tcPr>
            <w:tcW w:w="1275" w:type="dxa"/>
          </w:tcPr>
          <w:p w14:paraId="0DF61BF0" w14:textId="223A15AF" w:rsidR="4D0E0F7D" w:rsidRDefault="003A1632" w:rsidP="2C436F9F">
            <w:pPr>
              <w:spacing w:line="259" w:lineRule="auto"/>
              <w:jc w:val="center"/>
              <w:rPr>
                <w:rFonts w:ascii="Calibri" w:eastAsia="Calibri" w:hAnsi="Calibri" w:cs="Calibri"/>
              </w:rPr>
            </w:pPr>
            <w:r>
              <w:rPr>
                <w:rFonts w:ascii="Calibri" w:eastAsia="Calibri" w:hAnsi="Calibri" w:cs="Calibri"/>
              </w:rPr>
              <w:t>Căn bản</w:t>
            </w:r>
            <w:r w:rsidR="1826E863" w:rsidRPr="2C436F9F">
              <w:rPr>
                <w:rFonts w:ascii="Calibri" w:eastAsia="Calibri" w:hAnsi="Calibri" w:cs="Calibri"/>
              </w:rPr>
              <w:t xml:space="preserve">: </w:t>
            </w:r>
            <w:r w:rsidR="7AA0F911" w:rsidRPr="2C436F9F">
              <w:rPr>
                <w:rFonts w:ascii="Calibri" w:eastAsia="Calibri" w:hAnsi="Calibri" w:cs="Calibri"/>
              </w:rPr>
              <w:t>48.16</w:t>
            </w:r>
            <w:r w:rsidR="0C4CB667" w:rsidRPr="2C436F9F">
              <w:rPr>
                <w:rFonts w:ascii="Calibri" w:eastAsia="Calibri" w:hAnsi="Calibri" w:cs="Calibri"/>
              </w:rPr>
              <w:t>%</w:t>
            </w:r>
          </w:p>
        </w:tc>
        <w:tc>
          <w:tcPr>
            <w:tcW w:w="1275" w:type="dxa"/>
          </w:tcPr>
          <w:p w14:paraId="71CFA088" w14:textId="513A4123" w:rsidR="4D0E0F7D" w:rsidRDefault="7AA0F911" w:rsidP="2C436F9F">
            <w:pPr>
              <w:spacing w:line="259" w:lineRule="auto"/>
              <w:jc w:val="center"/>
              <w:rPr>
                <w:rFonts w:ascii="Calibri" w:eastAsia="Calibri" w:hAnsi="Calibri" w:cs="Calibri"/>
              </w:rPr>
            </w:pPr>
            <w:r w:rsidRPr="2C436F9F">
              <w:rPr>
                <w:rFonts w:ascii="Calibri" w:eastAsia="Calibri" w:hAnsi="Calibri" w:cs="Calibri"/>
              </w:rPr>
              <w:t>48.16</w:t>
            </w:r>
            <w:r w:rsidR="161A5538" w:rsidRPr="2C436F9F">
              <w:rPr>
                <w:rFonts w:ascii="Calibri" w:eastAsia="Calibri" w:hAnsi="Calibri" w:cs="Calibri"/>
              </w:rPr>
              <w:t>%</w:t>
            </w:r>
          </w:p>
        </w:tc>
        <w:tc>
          <w:tcPr>
            <w:tcW w:w="1275" w:type="dxa"/>
          </w:tcPr>
          <w:p w14:paraId="70A84EB4" w14:textId="69837454" w:rsidR="4D0E0F7D" w:rsidRDefault="7AA0F911" w:rsidP="2C436F9F">
            <w:pPr>
              <w:spacing w:line="259" w:lineRule="auto"/>
              <w:jc w:val="center"/>
              <w:rPr>
                <w:rFonts w:ascii="Calibri" w:eastAsia="Calibri" w:hAnsi="Calibri" w:cs="Calibri"/>
              </w:rPr>
            </w:pPr>
            <w:r w:rsidRPr="2C436F9F">
              <w:rPr>
                <w:rFonts w:ascii="Calibri" w:eastAsia="Calibri" w:hAnsi="Calibri" w:cs="Calibri"/>
              </w:rPr>
              <w:t>48.16</w:t>
            </w:r>
            <w:r w:rsidR="0334E29D" w:rsidRPr="2C436F9F">
              <w:rPr>
                <w:rFonts w:ascii="Calibri" w:eastAsia="Calibri" w:hAnsi="Calibri" w:cs="Calibri"/>
              </w:rPr>
              <w:t>%</w:t>
            </w:r>
          </w:p>
        </w:tc>
        <w:tc>
          <w:tcPr>
            <w:tcW w:w="1275" w:type="dxa"/>
          </w:tcPr>
          <w:p w14:paraId="2BA54887" w14:textId="360DDE9E" w:rsidR="4D0E0F7D" w:rsidRDefault="7AA0F911" w:rsidP="2C436F9F">
            <w:pPr>
              <w:spacing w:line="259" w:lineRule="auto"/>
              <w:jc w:val="center"/>
              <w:rPr>
                <w:rFonts w:ascii="Calibri" w:eastAsia="Calibri" w:hAnsi="Calibri" w:cs="Calibri"/>
              </w:rPr>
            </w:pPr>
            <w:r w:rsidRPr="2C436F9F">
              <w:rPr>
                <w:rFonts w:ascii="Calibri" w:eastAsia="Calibri" w:hAnsi="Calibri" w:cs="Calibri"/>
              </w:rPr>
              <w:t>48.50</w:t>
            </w:r>
            <w:r w:rsidR="5B1063F4" w:rsidRPr="2C436F9F">
              <w:rPr>
                <w:rFonts w:ascii="Calibri" w:eastAsia="Calibri" w:hAnsi="Calibri" w:cs="Calibri"/>
              </w:rPr>
              <w:t>%</w:t>
            </w:r>
          </w:p>
        </w:tc>
        <w:tc>
          <w:tcPr>
            <w:tcW w:w="1275" w:type="dxa"/>
          </w:tcPr>
          <w:p w14:paraId="273F7B53" w14:textId="1A0401FE" w:rsidR="4D0E0F7D" w:rsidRDefault="7AA0F911" w:rsidP="2C436F9F">
            <w:pPr>
              <w:spacing w:line="259" w:lineRule="auto"/>
              <w:jc w:val="center"/>
              <w:rPr>
                <w:rFonts w:ascii="Calibri" w:eastAsia="Calibri" w:hAnsi="Calibri" w:cs="Calibri"/>
              </w:rPr>
            </w:pPr>
            <w:r w:rsidRPr="2C436F9F">
              <w:rPr>
                <w:rFonts w:ascii="Calibri" w:eastAsia="Calibri" w:hAnsi="Calibri" w:cs="Calibri"/>
              </w:rPr>
              <w:t>48.50</w:t>
            </w:r>
            <w:r w:rsidR="1253CF87" w:rsidRPr="2C436F9F">
              <w:rPr>
                <w:rFonts w:ascii="Calibri" w:eastAsia="Calibri" w:hAnsi="Calibri" w:cs="Calibri"/>
              </w:rPr>
              <w:t>%</w:t>
            </w:r>
          </w:p>
        </w:tc>
        <w:tc>
          <w:tcPr>
            <w:tcW w:w="1275" w:type="dxa"/>
          </w:tcPr>
          <w:p w14:paraId="636B64B3" w14:textId="50A01A3C" w:rsidR="4D0E0F7D" w:rsidRDefault="7AA0F911" w:rsidP="2C436F9F">
            <w:pPr>
              <w:spacing w:line="259" w:lineRule="auto"/>
              <w:jc w:val="center"/>
              <w:rPr>
                <w:rFonts w:ascii="Calibri" w:eastAsia="Calibri" w:hAnsi="Calibri" w:cs="Calibri"/>
              </w:rPr>
            </w:pPr>
            <w:r w:rsidRPr="2C436F9F">
              <w:rPr>
                <w:rFonts w:ascii="Calibri" w:eastAsia="Calibri" w:hAnsi="Calibri" w:cs="Calibri"/>
              </w:rPr>
              <w:t>49.00</w:t>
            </w:r>
            <w:r w:rsidR="5BB940B7" w:rsidRPr="2C436F9F">
              <w:rPr>
                <w:rFonts w:ascii="Calibri" w:eastAsia="Calibri" w:hAnsi="Calibri" w:cs="Calibri"/>
              </w:rPr>
              <w:t>%</w:t>
            </w:r>
          </w:p>
        </w:tc>
      </w:tr>
      <w:tr w:rsidR="563487A3" w14:paraId="1C2A89E1" w14:textId="77777777" w:rsidTr="77603532">
        <w:trPr>
          <w:trHeight w:val="300"/>
        </w:trPr>
        <w:tc>
          <w:tcPr>
            <w:tcW w:w="2220" w:type="dxa"/>
          </w:tcPr>
          <w:p w14:paraId="0C87EC69" w14:textId="23491C4E" w:rsidR="0C876602" w:rsidRDefault="0C876602" w:rsidP="2C436F9F">
            <w:pPr>
              <w:spacing w:line="259" w:lineRule="auto"/>
              <w:rPr>
                <w:rFonts w:ascii="Calibri" w:eastAsia="Calibri" w:hAnsi="Calibri" w:cs="Calibri"/>
              </w:rPr>
            </w:pPr>
            <w:r w:rsidRPr="2C436F9F">
              <w:rPr>
                <w:rFonts w:ascii="Calibri" w:eastAsia="Calibri" w:hAnsi="Calibri" w:cs="Calibri"/>
              </w:rPr>
              <w:t xml:space="preserve">B: </w:t>
            </w:r>
            <w:r w:rsidR="00AA3D16">
              <w:rPr>
                <w:rFonts w:ascii="Calibri" w:eastAsia="Calibri" w:hAnsi="Calibri" w:cs="Calibri"/>
              </w:rPr>
              <w:t>Mục tiêu</w:t>
            </w:r>
            <w:r w:rsidRPr="2C436F9F">
              <w:rPr>
                <w:rFonts w:ascii="Calibri" w:eastAsia="Calibri" w:hAnsi="Calibri" w:cs="Calibri"/>
              </w:rPr>
              <w:t xml:space="preserve"> </w:t>
            </w:r>
            <w:r w:rsidR="666E2AC5" w:rsidRPr="2C436F9F">
              <w:rPr>
                <w:rFonts w:ascii="Calibri" w:eastAsia="Calibri" w:hAnsi="Calibri" w:cs="Calibri"/>
              </w:rPr>
              <w:t>≤</w:t>
            </w:r>
          </w:p>
        </w:tc>
        <w:tc>
          <w:tcPr>
            <w:tcW w:w="1275" w:type="dxa"/>
          </w:tcPr>
          <w:p w14:paraId="2E6F675F" w14:textId="2B87D9E1" w:rsidR="10BB1120" w:rsidRDefault="003A1632" w:rsidP="2C436F9F">
            <w:pPr>
              <w:spacing w:line="259" w:lineRule="auto"/>
              <w:jc w:val="center"/>
              <w:rPr>
                <w:rFonts w:ascii="Calibri" w:eastAsia="Calibri" w:hAnsi="Calibri" w:cs="Calibri"/>
              </w:rPr>
            </w:pPr>
            <w:r>
              <w:rPr>
                <w:rFonts w:ascii="Calibri" w:eastAsia="Calibri" w:hAnsi="Calibri" w:cs="Calibri"/>
              </w:rPr>
              <w:t>Căn bản</w:t>
            </w:r>
            <w:r w:rsidR="1F250579" w:rsidRPr="77603532">
              <w:rPr>
                <w:rFonts w:ascii="Calibri" w:eastAsia="Calibri" w:hAnsi="Calibri" w:cs="Calibri"/>
              </w:rPr>
              <w:t xml:space="preserve">: </w:t>
            </w:r>
            <w:r w:rsidR="6FAA0BD6" w:rsidRPr="77603532">
              <w:rPr>
                <w:rFonts w:ascii="Calibri" w:eastAsia="Calibri" w:hAnsi="Calibri" w:cs="Calibri"/>
              </w:rPr>
              <w:t>23.50</w:t>
            </w:r>
            <w:r w:rsidR="29418584" w:rsidRPr="77603532">
              <w:rPr>
                <w:rFonts w:ascii="Calibri" w:eastAsia="Calibri" w:hAnsi="Calibri" w:cs="Calibri"/>
              </w:rPr>
              <w:t>%</w:t>
            </w:r>
          </w:p>
        </w:tc>
        <w:tc>
          <w:tcPr>
            <w:tcW w:w="1275" w:type="dxa"/>
          </w:tcPr>
          <w:p w14:paraId="05693603" w14:textId="65F1CB10" w:rsidR="10BB1120" w:rsidRDefault="10BB1120" w:rsidP="2C436F9F">
            <w:pPr>
              <w:spacing w:line="259" w:lineRule="auto"/>
              <w:jc w:val="center"/>
              <w:rPr>
                <w:rFonts w:ascii="Calibri" w:eastAsia="Calibri" w:hAnsi="Calibri" w:cs="Calibri"/>
              </w:rPr>
            </w:pPr>
            <w:r w:rsidRPr="2C436F9F">
              <w:rPr>
                <w:rFonts w:ascii="Calibri" w:eastAsia="Calibri" w:hAnsi="Calibri" w:cs="Calibri"/>
              </w:rPr>
              <w:t>23.50</w:t>
            </w:r>
            <w:r w:rsidR="50BDD47B" w:rsidRPr="2C436F9F">
              <w:rPr>
                <w:rFonts w:ascii="Calibri" w:eastAsia="Calibri" w:hAnsi="Calibri" w:cs="Calibri"/>
              </w:rPr>
              <w:t>%</w:t>
            </w:r>
          </w:p>
        </w:tc>
        <w:tc>
          <w:tcPr>
            <w:tcW w:w="1275" w:type="dxa"/>
          </w:tcPr>
          <w:p w14:paraId="65BFC708" w14:textId="693D50BD" w:rsidR="10BB1120" w:rsidRDefault="10BB1120" w:rsidP="2C436F9F">
            <w:pPr>
              <w:spacing w:line="259" w:lineRule="auto"/>
              <w:jc w:val="center"/>
              <w:rPr>
                <w:rFonts w:ascii="Calibri" w:eastAsia="Calibri" w:hAnsi="Calibri" w:cs="Calibri"/>
              </w:rPr>
            </w:pPr>
            <w:r w:rsidRPr="2C436F9F">
              <w:rPr>
                <w:rFonts w:ascii="Calibri" w:eastAsia="Calibri" w:hAnsi="Calibri" w:cs="Calibri"/>
              </w:rPr>
              <w:t>23.50</w:t>
            </w:r>
            <w:r w:rsidR="772ECE21" w:rsidRPr="2C436F9F">
              <w:rPr>
                <w:rFonts w:ascii="Calibri" w:eastAsia="Calibri" w:hAnsi="Calibri" w:cs="Calibri"/>
              </w:rPr>
              <w:t>%</w:t>
            </w:r>
          </w:p>
        </w:tc>
        <w:tc>
          <w:tcPr>
            <w:tcW w:w="1275" w:type="dxa"/>
          </w:tcPr>
          <w:p w14:paraId="3476696D" w14:textId="00B0521D" w:rsidR="10BB1120" w:rsidRDefault="10BB1120" w:rsidP="2C436F9F">
            <w:pPr>
              <w:spacing w:line="259" w:lineRule="auto"/>
              <w:jc w:val="center"/>
              <w:rPr>
                <w:rFonts w:ascii="Calibri" w:eastAsia="Calibri" w:hAnsi="Calibri" w:cs="Calibri"/>
              </w:rPr>
            </w:pPr>
            <w:r w:rsidRPr="2C436F9F">
              <w:rPr>
                <w:rFonts w:ascii="Calibri" w:eastAsia="Calibri" w:hAnsi="Calibri" w:cs="Calibri"/>
              </w:rPr>
              <w:t>23.00</w:t>
            </w:r>
            <w:r w:rsidR="1242DBDC" w:rsidRPr="2C436F9F">
              <w:rPr>
                <w:rFonts w:ascii="Calibri" w:eastAsia="Calibri" w:hAnsi="Calibri" w:cs="Calibri"/>
              </w:rPr>
              <w:t>%</w:t>
            </w:r>
          </w:p>
        </w:tc>
        <w:tc>
          <w:tcPr>
            <w:tcW w:w="1275" w:type="dxa"/>
          </w:tcPr>
          <w:p w14:paraId="63E0E9DC" w14:textId="1923848F" w:rsidR="10BB1120" w:rsidRDefault="10BB1120" w:rsidP="2C436F9F">
            <w:pPr>
              <w:spacing w:line="259" w:lineRule="auto"/>
              <w:jc w:val="center"/>
              <w:rPr>
                <w:rFonts w:ascii="Calibri" w:eastAsia="Calibri" w:hAnsi="Calibri" w:cs="Calibri"/>
              </w:rPr>
            </w:pPr>
            <w:r w:rsidRPr="2C436F9F">
              <w:rPr>
                <w:rFonts w:ascii="Calibri" w:eastAsia="Calibri" w:hAnsi="Calibri" w:cs="Calibri"/>
              </w:rPr>
              <w:t>23.00</w:t>
            </w:r>
            <w:r w:rsidR="5A166F1E" w:rsidRPr="2C436F9F">
              <w:rPr>
                <w:rFonts w:ascii="Calibri" w:eastAsia="Calibri" w:hAnsi="Calibri" w:cs="Calibri"/>
              </w:rPr>
              <w:t>%</w:t>
            </w:r>
          </w:p>
        </w:tc>
        <w:tc>
          <w:tcPr>
            <w:tcW w:w="1275" w:type="dxa"/>
          </w:tcPr>
          <w:p w14:paraId="469E9451" w14:textId="4717CD16" w:rsidR="10BB1120" w:rsidRDefault="10BB1120" w:rsidP="2C436F9F">
            <w:pPr>
              <w:spacing w:line="259" w:lineRule="auto"/>
              <w:jc w:val="center"/>
              <w:rPr>
                <w:rFonts w:ascii="Calibri" w:eastAsia="Calibri" w:hAnsi="Calibri" w:cs="Calibri"/>
              </w:rPr>
            </w:pPr>
            <w:r w:rsidRPr="2C436F9F">
              <w:rPr>
                <w:rFonts w:ascii="Calibri" w:eastAsia="Calibri" w:hAnsi="Calibri" w:cs="Calibri"/>
              </w:rPr>
              <w:t>22.50</w:t>
            </w:r>
            <w:r w:rsidR="5AE3C6A7" w:rsidRPr="2C436F9F">
              <w:rPr>
                <w:rFonts w:ascii="Calibri" w:eastAsia="Calibri" w:hAnsi="Calibri" w:cs="Calibri"/>
              </w:rPr>
              <w:t>%</w:t>
            </w:r>
          </w:p>
        </w:tc>
      </w:tr>
      <w:tr w:rsidR="563487A3" w14:paraId="09F5C738" w14:textId="77777777" w:rsidTr="77603532">
        <w:tc>
          <w:tcPr>
            <w:tcW w:w="2220" w:type="dxa"/>
          </w:tcPr>
          <w:p w14:paraId="20AB3F5A" w14:textId="27C3A296" w:rsidR="40C215C7" w:rsidRDefault="40C215C7" w:rsidP="563487A3">
            <w:pPr>
              <w:spacing w:line="259" w:lineRule="auto"/>
              <w:rPr>
                <w:rFonts w:ascii="Arial" w:eastAsia="Arial" w:hAnsi="Arial" w:cs="Arial"/>
                <w:sz w:val="16"/>
                <w:szCs w:val="16"/>
              </w:rPr>
            </w:pPr>
            <w:r w:rsidRPr="2C436F9F">
              <w:rPr>
                <w:rFonts w:ascii="Calibri" w:eastAsia="Calibri" w:hAnsi="Calibri" w:cs="Calibri"/>
              </w:rPr>
              <w:t xml:space="preserve">C: </w:t>
            </w:r>
            <w:r w:rsidR="00AA3D16">
              <w:rPr>
                <w:rFonts w:ascii="Calibri" w:eastAsia="Calibri" w:hAnsi="Calibri" w:cs="Calibri"/>
              </w:rPr>
              <w:t>Mục tiêu</w:t>
            </w:r>
            <w:r w:rsidR="2D2EA812" w:rsidRPr="2C436F9F">
              <w:rPr>
                <w:rFonts w:ascii="Calibri" w:eastAsia="Calibri" w:hAnsi="Calibri" w:cs="Calibri"/>
              </w:rPr>
              <w:t xml:space="preserve"> ≤</w:t>
            </w:r>
          </w:p>
        </w:tc>
        <w:tc>
          <w:tcPr>
            <w:tcW w:w="1275" w:type="dxa"/>
          </w:tcPr>
          <w:p w14:paraId="134C4CCF" w14:textId="37A0B16A" w:rsidR="3D9D1780" w:rsidRDefault="003A1632" w:rsidP="105B6A3F">
            <w:pPr>
              <w:spacing w:line="259" w:lineRule="auto"/>
              <w:jc w:val="center"/>
              <w:rPr>
                <w:rFonts w:ascii="Calibri" w:eastAsia="Calibri" w:hAnsi="Calibri" w:cs="Calibri"/>
              </w:rPr>
            </w:pPr>
            <w:r>
              <w:rPr>
                <w:rFonts w:ascii="Calibri" w:eastAsia="Calibri" w:hAnsi="Calibri" w:cs="Calibri"/>
              </w:rPr>
              <w:t>Căn bản</w:t>
            </w:r>
            <w:r w:rsidR="00AA3D16">
              <w:rPr>
                <w:rFonts w:ascii="Calibri" w:eastAsia="Calibri" w:hAnsi="Calibri" w:cs="Calibri"/>
              </w:rPr>
              <w:t>:</w:t>
            </w:r>
            <w:r w:rsidR="79DC1EF6" w:rsidRPr="105B6A3F">
              <w:rPr>
                <w:rFonts w:ascii="Calibri" w:eastAsia="Calibri" w:hAnsi="Calibri" w:cs="Calibri"/>
              </w:rPr>
              <w:t xml:space="preserve"> 10.25%</w:t>
            </w:r>
          </w:p>
        </w:tc>
        <w:tc>
          <w:tcPr>
            <w:tcW w:w="1275" w:type="dxa"/>
          </w:tcPr>
          <w:p w14:paraId="7935ED3B" w14:textId="10E60B33" w:rsidR="76CB5D30" w:rsidRDefault="76CB5D30" w:rsidP="2C436F9F">
            <w:pPr>
              <w:spacing w:line="259" w:lineRule="auto"/>
              <w:jc w:val="center"/>
              <w:rPr>
                <w:rFonts w:ascii="Calibri" w:eastAsia="Calibri" w:hAnsi="Calibri" w:cs="Calibri"/>
              </w:rPr>
            </w:pPr>
            <w:r w:rsidRPr="2C436F9F">
              <w:rPr>
                <w:rFonts w:ascii="Calibri" w:eastAsia="Calibri" w:hAnsi="Calibri" w:cs="Calibri"/>
              </w:rPr>
              <w:t>10.25</w:t>
            </w:r>
            <w:r w:rsidR="339734B7" w:rsidRPr="2C436F9F">
              <w:rPr>
                <w:rFonts w:ascii="Calibri" w:eastAsia="Calibri" w:hAnsi="Calibri" w:cs="Calibri"/>
              </w:rPr>
              <w:t>%</w:t>
            </w:r>
          </w:p>
        </w:tc>
        <w:tc>
          <w:tcPr>
            <w:tcW w:w="1275" w:type="dxa"/>
          </w:tcPr>
          <w:p w14:paraId="701AC79A" w14:textId="1A7274E0" w:rsidR="76CB5D30" w:rsidRDefault="76CB5D30" w:rsidP="2C436F9F">
            <w:pPr>
              <w:spacing w:line="259" w:lineRule="auto"/>
              <w:jc w:val="center"/>
              <w:rPr>
                <w:rFonts w:ascii="Calibri" w:eastAsia="Calibri" w:hAnsi="Calibri" w:cs="Calibri"/>
              </w:rPr>
            </w:pPr>
            <w:r w:rsidRPr="2C436F9F">
              <w:rPr>
                <w:rFonts w:ascii="Calibri" w:eastAsia="Calibri" w:hAnsi="Calibri" w:cs="Calibri"/>
              </w:rPr>
              <w:t>10.25</w:t>
            </w:r>
            <w:r w:rsidR="53FB2DBF" w:rsidRPr="2C436F9F">
              <w:rPr>
                <w:rFonts w:ascii="Calibri" w:eastAsia="Calibri" w:hAnsi="Calibri" w:cs="Calibri"/>
              </w:rPr>
              <w:t>%</w:t>
            </w:r>
          </w:p>
        </w:tc>
        <w:tc>
          <w:tcPr>
            <w:tcW w:w="1275" w:type="dxa"/>
          </w:tcPr>
          <w:p w14:paraId="6EED264C" w14:textId="34051E1B" w:rsidR="76CB5D30" w:rsidRDefault="76CB5D30" w:rsidP="2C436F9F">
            <w:pPr>
              <w:spacing w:line="259" w:lineRule="auto"/>
              <w:jc w:val="center"/>
              <w:rPr>
                <w:rFonts w:ascii="Calibri" w:eastAsia="Calibri" w:hAnsi="Calibri" w:cs="Calibri"/>
              </w:rPr>
            </w:pPr>
            <w:r w:rsidRPr="2C436F9F">
              <w:rPr>
                <w:rFonts w:ascii="Calibri" w:eastAsia="Calibri" w:hAnsi="Calibri" w:cs="Calibri"/>
              </w:rPr>
              <w:t>10.00</w:t>
            </w:r>
            <w:r w:rsidR="48D07565" w:rsidRPr="2C436F9F">
              <w:rPr>
                <w:rFonts w:ascii="Calibri" w:eastAsia="Calibri" w:hAnsi="Calibri" w:cs="Calibri"/>
              </w:rPr>
              <w:t>%</w:t>
            </w:r>
          </w:p>
        </w:tc>
        <w:tc>
          <w:tcPr>
            <w:tcW w:w="1275" w:type="dxa"/>
          </w:tcPr>
          <w:p w14:paraId="6AD646D6" w14:textId="65F81EB2" w:rsidR="76CB5D30" w:rsidRDefault="76CB5D30" w:rsidP="2C436F9F">
            <w:pPr>
              <w:spacing w:line="259" w:lineRule="auto"/>
              <w:jc w:val="center"/>
              <w:rPr>
                <w:rFonts w:ascii="Calibri" w:eastAsia="Calibri" w:hAnsi="Calibri" w:cs="Calibri"/>
              </w:rPr>
            </w:pPr>
            <w:r w:rsidRPr="2C436F9F">
              <w:rPr>
                <w:rFonts w:ascii="Calibri" w:eastAsia="Calibri" w:hAnsi="Calibri" w:cs="Calibri"/>
              </w:rPr>
              <w:t>10.00</w:t>
            </w:r>
            <w:r w:rsidR="3CB72B11" w:rsidRPr="2C436F9F">
              <w:rPr>
                <w:rFonts w:ascii="Calibri" w:eastAsia="Calibri" w:hAnsi="Calibri" w:cs="Calibri"/>
              </w:rPr>
              <w:t>%</w:t>
            </w:r>
          </w:p>
        </w:tc>
        <w:tc>
          <w:tcPr>
            <w:tcW w:w="1275" w:type="dxa"/>
          </w:tcPr>
          <w:p w14:paraId="0C919CD9" w14:textId="67FF0C51" w:rsidR="76CB5D30" w:rsidRDefault="76CB5D30" w:rsidP="2C436F9F">
            <w:pPr>
              <w:spacing w:line="259" w:lineRule="auto"/>
              <w:jc w:val="center"/>
              <w:rPr>
                <w:rFonts w:ascii="Calibri" w:eastAsia="Calibri" w:hAnsi="Calibri" w:cs="Calibri"/>
              </w:rPr>
            </w:pPr>
            <w:r w:rsidRPr="2C436F9F">
              <w:rPr>
                <w:rFonts w:ascii="Calibri" w:eastAsia="Calibri" w:hAnsi="Calibri" w:cs="Calibri"/>
              </w:rPr>
              <w:t>9.75</w:t>
            </w:r>
            <w:r w:rsidR="62B34E12" w:rsidRPr="2C436F9F">
              <w:rPr>
                <w:rFonts w:ascii="Calibri" w:eastAsia="Calibri" w:hAnsi="Calibri" w:cs="Calibri"/>
              </w:rPr>
              <w:t>%</w:t>
            </w:r>
          </w:p>
        </w:tc>
      </w:tr>
    </w:tbl>
    <w:p w14:paraId="518172A2" w14:textId="69ED98FC" w:rsidR="617D639D" w:rsidRPr="00AA3D16" w:rsidRDefault="00AA3D16" w:rsidP="00AA3D16">
      <w:pPr>
        <w:spacing w:before="120" w:after="0" w:line="240" w:lineRule="auto"/>
        <w:rPr>
          <w:sz w:val="24"/>
          <w:szCs w:val="24"/>
        </w:rPr>
      </w:pPr>
      <w:r w:rsidRPr="00AA3D16">
        <w:rPr>
          <w:rFonts w:ascii="Calibri" w:eastAsia="Calibri" w:hAnsi="Calibri" w:cs="Calibri"/>
          <w:color w:val="000000" w:themeColor="text1"/>
        </w:rPr>
        <w:t xml:space="preserve">Ví dụ A cho thấy sự </w:t>
      </w:r>
      <w:r w:rsidR="00CA7BE0">
        <w:rPr>
          <w:rFonts w:ascii="Calibri" w:eastAsia="Calibri" w:hAnsi="Calibri" w:cs="Calibri"/>
          <w:color w:val="000000" w:themeColor="text1"/>
        </w:rPr>
        <w:t>t</w:t>
      </w:r>
      <w:r w:rsidR="003A1632">
        <w:rPr>
          <w:rFonts w:ascii="Calibri" w:eastAsia="Calibri" w:hAnsi="Calibri" w:cs="Calibri"/>
          <w:color w:val="000000" w:themeColor="text1"/>
        </w:rPr>
        <w:t>ă</w:t>
      </w:r>
      <w:r w:rsidR="00CA7BE0">
        <w:rPr>
          <w:rFonts w:ascii="Calibri" w:eastAsia="Calibri" w:hAnsi="Calibri" w:cs="Calibri"/>
          <w:color w:val="000000" w:themeColor="text1"/>
        </w:rPr>
        <w:t>ng trưởng</w:t>
      </w:r>
      <w:r w:rsidRPr="00AA3D16">
        <w:rPr>
          <w:rFonts w:ascii="Calibri" w:eastAsia="Calibri" w:hAnsi="Calibri" w:cs="Calibri"/>
          <w:color w:val="000000" w:themeColor="text1"/>
        </w:rPr>
        <w:t xml:space="preserve"> dần dần.</w:t>
      </w:r>
    </w:p>
    <w:p w14:paraId="418E8CF8" w14:textId="39F89331" w:rsidR="617D639D" w:rsidRDefault="00AA3D16" w:rsidP="440AB443">
      <w:pPr>
        <w:spacing w:after="0"/>
        <w:rPr>
          <w:rFonts w:ascii="Calibri" w:eastAsia="Calibri" w:hAnsi="Calibri" w:cs="Calibri"/>
          <w:color w:val="408740"/>
          <w:sz w:val="24"/>
          <w:szCs w:val="24"/>
        </w:rPr>
      </w:pPr>
      <w:r>
        <w:rPr>
          <w:rFonts w:ascii="Calibri" w:eastAsia="Calibri" w:hAnsi="Calibri" w:cs="Calibri"/>
          <w:b/>
          <w:bCs/>
          <w:color w:val="408740"/>
          <w:sz w:val="24"/>
          <w:szCs w:val="24"/>
        </w:rPr>
        <w:t>Ví dụ</w:t>
      </w:r>
      <w:r w:rsidR="617D639D" w:rsidRPr="440AB443">
        <w:rPr>
          <w:rFonts w:ascii="Calibri" w:eastAsia="Calibri" w:hAnsi="Calibri" w:cs="Calibri"/>
          <w:b/>
          <w:bCs/>
          <w:color w:val="408740"/>
          <w:sz w:val="24"/>
          <w:szCs w:val="24"/>
        </w:rPr>
        <w:t xml:space="preserve"> B</w:t>
      </w:r>
    </w:p>
    <w:tbl>
      <w:tblPr>
        <w:tblStyle w:val="TableGrid"/>
        <w:tblW w:w="0" w:type="auto"/>
        <w:tblLayout w:type="fixed"/>
        <w:tblLook w:val="04A0" w:firstRow="1" w:lastRow="0" w:firstColumn="1" w:lastColumn="0" w:noHBand="0" w:noVBand="1"/>
        <w:tblCaption w:val="Ví dụ B"/>
      </w:tblPr>
      <w:tblGrid>
        <w:gridCol w:w="2220"/>
        <w:gridCol w:w="1275"/>
        <w:gridCol w:w="1275"/>
        <w:gridCol w:w="1275"/>
        <w:gridCol w:w="1275"/>
        <w:gridCol w:w="1275"/>
        <w:gridCol w:w="1275"/>
      </w:tblGrid>
      <w:tr w:rsidR="4D0E0F7D" w14:paraId="5BF5BE6E" w14:textId="77777777" w:rsidTr="0056491D">
        <w:trPr>
          <w:tblHeader/>
        </w:trPr>
        <w:tc>
          <w:tcPr>
            <w:tcW w:w="2220" w:type="dxa"/>
            <w:shd w:val="clear" w:color="auto" w:fill="8496B0" w:themeFill="text2" w:themeFillTint="99"/>
          </w:tcPr>
          <w:p w14:paraId="36F59048" w14:textId="46664171" w:rsidR="4D0E0F7D" w:rsidRDefault="4D0E0F7D" w:rsidP="4D0E0F7D">
            <w:pPr>
              <w:spacing w:line="259" w:lineRule="auto"/>
              <w:jc w:val="center"/>
              <w:rPr>
                <w:rFonts w:ascii="Calibri" w:eastAsia="Calibri" w:hAnsi="Calibri" w:cs="Calibri"/>
              </w:rPr>
            </w:pPr>
            <w:bookmarkStart w:id="1" w:name="_GoBack" w:colFirst="0" w:colLast="7"/>
            <w:r w:rsidRPr="4D0E0F7D">
              <w:rPr>
                <w:rFonts w:ascii="Calibri" w:eastAsia="Calibri" w:hAnsi="Calibri" w:cs="Calibri"/>
                <w:b/>
                <w:bCs/>
              </w:rPr>
              <w:t>FFY</w:t>
            </w:r>
          </w:p>
        </w:tc>
        <w:tc>
          <w:tcPr>
            <w:tcW w:w="1275" w:type="dxa"/>
            <w:shd w:val="clear" w:color="auto" w:fill="8496B0" w:themeFill="text2" w:themeFillTint="99"/>
          </w:tcPr>
          <w:p w14:paraId="1F6337A3" w14:textId="02A84C5E"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2020</w:t>
            </w:r>
          </w:p>
        </w:tc>
        <w:tc>
          <w:tcPr>
            <w:tcW w:w="1275" w:type="dxa"/>
            <w:shd w:val="clear" w:color="auto" w:fill="8496B0" w:themeFill="text2" w:themeFillTint="99"/>
          </w:tcPr>
          <w:p w14:paraId="333819BF" w14:textId="2A195DEB"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2021</w:t>
            </w:r>
          </w:p>
        </w:tc>
        <w:tc>
          <w:tcPr>
            <w:tcW w:w="1275" w:type="dxa"/>
            <w:shd w:val="clear" w:color="auto" w:fill="8496B0" w:themeFill="text2" w:themeFillTint="99"/>
          </w:tcPr>
          <w:p w14:paraId="11F33FF2" w14:textId="5AB82B68"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2022</w:t>
            </w:r>
          </w:p>
        </w:tc>
        <w:tc>
          <w:tcPr>
            <w:tcW w:w="1275" w:type="dxa"/>
            <w:shd w:val="clear" w:color="auto" w:fill="8496B0" w:themeFill="text2" w:themeFillTint="99"/>
          </w:tcPr>
          <w:p w14:paraId="7EAB2695" w14:textId="6AABBC4C"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2023</w:t>
            </w:r>
          </w:p>
        </w:tc>
        <w:tc>
          <w:tcPr>
            <w:tcW w:w="1275" w:type="dxa"/>
            <w:shd w:val="clear" w:color="auto" w:fill="8496B0" w:themeFill="text2" w:themeFillTint="99"/>
          </w:tcPr>
          <w:p w14:paraId="36A2A0C2" w14:textId="00278846"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2024</w:t>
            </w:r>
          </w:p>
        </w:tc>
        <w:tc>
          <w:tcPr>
            <w:tcW w:w="1275" w:type="dxa"/>
            <w:shd w:val="clear" w:color="auto" w:fill="8496B0" w:themeFill="text2" w:themeFillTint="99"/>
          </w:tcPr>
          <w:p w14:paraId="60713094" w14:textId="1598A251" w:rsidR="4D0E0F7D" w:rsidRDefault="4D0E0F7D" w:rsidP="4D0E0F7D">
            <w:pPr>
              <w:spacing w:line="259" w:lineRule="auto"/>
              <w:jc w:val="center"/>
              <w:rPr>
                <w:rFonts w:ascii="Calibri" w:eastAsia="Calibri" w:hAnsi="Calibri" w:cs="Calibri"/>
              </w:rPr>
            </w:pPr>
            <w:r w:rsidRPr="4D0E0F7D">
              <w:rPr>
                <w:rFonts w:ascii="Calibri" w:eastAsia="Calibri" w:hAnsi="Calibri" w:cs="Calibri"/>
                <w:b/>
                <w:bCs/>
              </w:rPr>
              <w:t>2025</w:t>
            </w:r>
          </w:p>
        </w:tc>
      </w:tr>
      <w:bookmarkEnd w:id="1"/>
      <w:tr w:rsidR="4D0E0F7D" w14:paraId="1DA51015" w14:textId="77777777" w:rsidTr="2C436F9F">
        <w:tc>
          <w:tcPr>
            <w:tcW w:w="2220" w:type="dxa"/>
          </w:tcPr>
          <w:p w14:paraId="24EDBB91" w14:textId="3B7E22F8" w:rsidR="4D0E0F7D" w:rsidRDefault="4961E004" w:rsidP="563487A3">
            <w:pPr>
              <w:spacing w:line="259" w:lineRule="auto"/>
              <w:rPr>
                <w:rFonts w:ascii="Calibri" w:eastAsia="Calibri" w:hAnsi="Calibri" w:cs="Calibri"/>
              </w:rPr>
            </w:pPr>
            <w:r w:rsidRPr="563487A3">
              <w:rPr>
                <w:rFonts w:ascii="Calibri" w:eastAsia="Calibri" w:hAnsi="Calibri" w:cs="Calibri"/>
              </w:rPr>
              <w:t xml:space="preserve">A: </w:t>
            </w:r>
            <w:r w:rsidR="00AA3D16">
              <w:rPr>
                <w:rFonts w:ascii="Calibri" w:eastAsia="Calibri" w:hAnsi="Calibri" w:cs="Calibri"/>
              </w:rPr>
              <w:t>Mục tiêu</w:t>
            </w:r>
            <w:r w:rsidR="4D0E0F7D" w:rsidRPr="563487A3">
              <w:rPr>
                <w:rFonts w:ascii="Calibri" w:eastAsia="Calibri" w:hAnsi="Calibri" w:cs="Calibri"/>
              </w:rPr>
              <w:t xml:space="preserve"> ≥</w:t>
            </w:r>
          </w:p>
        </w:tc>
        <w:tc>
          <w:tcPr>
            <w:tcW w:w="1275" w:type="dxa"/>
          </w:tcPr>
          <w:p w14:paraId="0B8F77F6" w14:textId="150B86DF" w:rsidR="4D0E0F7D" w:rsidRDefault="003A1632" w:rsidP="2C436F9F">
            <w:pPr>
              <w:spacing w:line="259" w:lineRule="auto"/>
              <w:jc w:val="center"/>
              <w:rPr>
                <w:rFonts w:ascii="Calibri" w:eastAsia="Calibri" w:hAnsi="Calibri" w:cs="Calibri"/>
              </w:rPr>
            </w:pPr>
            <w:r>
              <w:rPr>
                <w:rFonts w:ascii="Calibri" w:eastAsia="Calibri" w:hAnsi="Calibri" w:cs="Calibri"/>
              </w:rPr>
              <w:t>Căn bản</w:t>
            </w:r>
            <w:r w:rsidR="171C7E67" w:rsidRPr="2C436F9F">
              <w:rPr>
                <w:rFonts w:ascii="Calibri" w:eastAsia="Calibri" w:hAnsi="Calibri" w:cs="Calibri"/>
              </w:rPr>
              <w:t xml:space="preserve">: </w:t>
            </w:r>
            <w:r w:rsidR="618B5539" w:rsidRPr="2C436F9F">
              <w:rPr>
                <w:rFonts w:ascii="Calibri" w:eastAsia="Calibri" w:hAnsi="Calibri" w:cs="Calibri"/>
              </w:rPr>
              <w:t>48.16</w:t>
            </w:r>
            <w:r w:rsidR="41B75A4E" w:rsidRPr="2C436F9F">
              <w:rPr>
                <w:rFonts w:ascii="Calibri" w:eastAsia="Calibri" w:hAnsi="Calibri" w:cs="Calibri"/>
              </w:rPr>
              <w:t>%</w:t>
            </w:r>
          </w:p>
        </w:tc>
        <w:tc>
          <w:tcPr>
            <w:tcW w:w="1275" w:type="dxa"/>
          </w:tcPr>
          <w:p w14:paraId="32C063F0" w14:textId="63C8EA6B" w:rsidR="4D0E0F7D" w:rsidRDefault="7C007190" w:rsidP="2C436F9F">
            <w:pPr>
              <w:spacing w:line="259" w:lineRule="auto"/>
              <w:jc w:val="center"/>
              <w:rPr>
                <w:rFonts w:ascii="Calibri" w:eastAsia="Calibri" w:hAnsi="Calibri" w:cs="Calibri"/>
              </w:rPr>
            </w:pPr>
            <w:r w:rsidRPr="2C436F9F">
              <w:rPr>
                <w:rFonts w:ascii="Calibri" w:eastAsia="Calibri" w:hAnsi="Calibri" w:cs="Calibri"/>
              </w:rPr>
              <w:t>48.16</w:t>
            </w:r>
            <w:r w:rsidR="3787D464" w:rsidRPr="2C436F9F">
              <w:rPr>
                <w:rFonts w:ascii="Calibri" w:eastAsia="Calibri" w:hAnsi="Calibri" w:cs="Calibri"/>
              </w:rPr>
              <w:t>%</w:t>
            </w:r>
          </w:p>
        </w:tc>
        <w:tc>
          <w:tcPr>
            <w:tcW w:w="1275" w:type="dxa"/>
          </w:tcPr>
          <w:p w14:paraId="252A4181" w14:textId="35F2C20E" w:rsidR="4D0E0F7D" w:rsidRDefault="0B477588" w:rsidP="2C436F9F">
            <w:pPr>
              <w:spacing w:line="259" w:lineRule="auto"/>
              <w:jc w:val="center"/>
              <w:rPr>
                <w:rFonts w:ascii="Calibri" w:eastAsia="Calibri" w:hAnsi="Calibri" w:cs="Calibri"/>
              </w:rPr>
            </w:pPr>
            <w:r w:rsidRPr="2C436F9F">
              <w:rPr>
                <w:rFonts w:ascii="Calibri" w:eastAsia="Calibri" w:hAnsi="Calibri" w:cs="Calibri"/>
              </w:rPr>
              <w:t>48.00</w:t>
            </w:r>
            <w:r w:rsidR="773AA1FC" w:rsidRPr="2C436F9F">
              <w:rPr>
                <w:rFonts w:ascii="Calibri" w:eastAsia="Calibri" w:hAnsi="Calibri" w:cs="Calibri"/>
              </w:rPr>
              <w:t xml:space="preserve"> </w:t>
            </w:r>
            <w:r w:rsidR="10F23686" w:rsidRPr="2C436F9F">
              <w:rPr>
                <w:rFonts w:ascii="Calibri" w:eastAsia="Calibri" w:hAnsi="Calibri" w:cs="Calibri"/>
              </w:rPr>
              <w:t>%</w:t>
            </w:r>
          </w:p>
        </w:tc>
        <w:tc>
          <w:tcPr>
            <w:tcW w:w="1275" w:type="dxa"/>
          </w:tcPr>
          <w:p w14:paraId="15B8CD89" w14:textId="592FB55F" w:rsidR="4D0E0F7D" w:rsidRDefault="18BC89EC" w:rsidP="2C436F9F">
            <w:pPr>
              <w:spacing w:line="259" w:lineRule="auto"/>
              <w:jc w:val="center"/>
              <w:rPr>
                <w:rFonts w:ascii="Calibri" w:eastAsia="Calibri" w:hAnsi="Calibri" w:cs="Calibri"/>
              </w:rPr>
            </w:pPr>
            <w:r w:rsidRPr="2C436F9F">
              <w:rPr>
                <w:rFonts w:ascii="Calibri" w:eastAsia="Calibri" w:hAnsi="Calibri" w:cs="Calibri"/>
              </w:rPr>
              <w:t>48.00</w:t>
            </w:r>
            <w:r w:rsidR="638390E4" w:rsidRPr="2C436F9F">
              <w:rPr>
                <w:rFonts w:ascii="Calibri" w:eastAsia="Calibri" w:hAnsi="Calibri" w:cs="Calibri"/>
              </w:rPr>
              <w:t>%</w:t>
            </w:r>
          </w:p>
        </w:tc>
        <w:tc>
          <w:tcPr>
            <w:tcW w:w="1275" w:type="dxa"/>
          </w:tcPr>
          <w:p w14:paraId="01BE5110" w14:textId="16E44723" w:rsidR="4D0E0F7D" w:rsidRDefault="55C68CB5" w:rsidP="2C436F9F">
            <w:pPr>
              <w:spacing w:line="259" w:lineRule="auto"/>
              <w:jc w:val="center"/>
              <w:rPr>
                <w:rFonts w:ascii="Calibri" w:eastAsia="Calibri" w:hAnsi="Calibri" w:cs="Calibri"/>
              </w:rPr>
            </w:pPr>
            <w:r w:rsidRPr="2C436F9F">
              <w:rPr>
                <w:rFonts w:ascii="Calibri" w:eastAsia="Calibri" w:hAnsi="Calibri" w:cs="Calibri"/>
              </w:rPr>
              <w:t>49.00</w:t>
            </w:r>
            <w:r w:rsidR="464B4694" w:rsidRPr="2C436F9F">
              <w:rPr>
                <w:rFonts w:ascii="Calibri" w:eastAsia="Calibri" w:hAnsi="Calibri" w:cs="Calibri"/>
              </w:rPr>
              <w:t>%</w:t>
            </w:r>
          </w:p>
        </w:tc>
        <w:tc>
          <w:tcPr>
            <w:tcW w:w="1275" w:type="dxa"/>
          </w:tcPr>
          <w:p w14:paraId="72168331" w14:textId="679F75DE" w:rsidR="4D0E0F7D" w:rsidRDefault="26CCFC22" w:rsidP="2C436F9F">
            <w:pPr>
              <w:spacing w:line="259" w:lineRule="auto"/>
              <w:jc w:val="center"/>
              <w:rPr>
                <w:rFonts w:ascii="Calibri" w:eastAsia="Calibri" w:hAnsi="Calibri" w:cs="Calibri"/>
              </w:rPr>
            </w:pPr>
            <w:r w:rsidRPr="2C436F9F">
              <w:rPr>
                <w:rFonts w:ascii="Calibri" w:eastAsia="Calibri" w:hAnsi="Calibri" w:cs="Calibri"/>
              </w:rPr>
              <w:t>50.00</w:t>
            </w:r>
            <w:r w:rsidR="58B2E977" w:rsidRPr="2C436F9F">
              <w:rPr>
                <w:rFonts w:ascii="Calibri" w:eastAsia="Calibri" w:hAnsi="Calibri" w:cs="Calibri"/>
              </w:rPr>
              <w:t>%</w:t>
            </w:r>
          </w:p>
        </w:tc>
      </w:tr>
      <w:tr w:rsidR="563487A3" w14:paraId="01BE53AD" w14:textId="77777777" w:rsidTr="2C436F9F">
        <w:tc>
          <w:tcPr>
            <w:tcW w:w="2220" w:type="dxa"/>
          </w:tcPr>
          <w:p w14:paraId="02321D79" w14:textId="1CA86339" w:rsidR="2FF0482B" w:rsidRDefault="2FF0482B" w:rsidP="563487A3">
            <w:pPr>
              <w:spacing w:line="259" w:lineRule="auto"/>
              <w:rPr>
                <w:rFonts w:ascii="Arial" w:eastAsia="Arial" w:hAnsi="Arial" w:cs="Arial"/>
                <w:sz w:val="16"/>
                <w:szCs w:val="16"/>
              </w:rPr>
            </w:pPr>
            <w:r w:rsidRPr="2C436F9F">
              <w:rPr>
                <w:rFonts w:ascii="Calibri" w:eastAsia="Calibri" w:hAnsi="Calibri" w:cs="Calibri"/>
              </w:rPr>
              <w:t xml:space="preserve">B: </w:t>
            </w:r>
            <w:r w:rsidR="00AA3D16">
              <w:rPr>
                <w:rFonts w:ascii="Calibri" w:eastAsia="Calibri" w:hAnsi="Calibri" w:cs="Calibri"/>
              </w:rPr>
              <w:t>Mục tiêu</w:t>
            </w:r>
            <w:r w:rsidRPr="2C436F9F">
              <w:rPr>
                <w:rFonts w:ascii="Arial" w:eastAsia="Arial" w:hAnsi="Arial" w:cs="Arial"/>
                <w:sz w:val="16"/>
                <w:szCs w:val="16"/>
              </w:rPr>
              <w:t xml:space="preserve"> </w:t>
            </w:r>
            <w:r w:rsidR="2F6F3A32" w:rsidRPr="2C436F9F">
              <w:rPr>
                <w:rFonts w:ascii="Arial" w:eastAsia="Arial" w:hAnsi="Arial" w:cs="Arial"/>
                <w:sz w:val="16"/>
                <w:szCs w:val="16"/>
              </w:rPr>
              <w:t>≤</w:t>
            </w:r>
          </w:p>
        </w:tc>
        <w:tc>
          <w:tcPr>
            <w:tcW w:w="1275" w:type="dxa"/>
          </w:tcPr>
          <w:p w14:paraId="762DC97D" w14:textId="580649C9" w:rsidR="77E32A3D" w:rsidRDefault="003A1632" w:rsidP="2C436F9F">
            <w:pPr>
              <w:spacing w:line="259" w:lineRule="auto"/>
              <w:jc w:val="center"/>
              <w:rPr>
                <w:rFonts w:ascii="Calibri" w:eastAsia="Calibri" w:hAnsi="Calibri" w:cs="Calibri"/>
              </w:rPr>
            </w:pPr>
            <w:r>
              <w:rPr>
                <w:rFonts w:ascii="Calibri" w:eastAsia="Calibri" w:hAnsi="Calibri" w:cs="Calibri"/>
              </w:rPr>
              <w:t>Căn bản</w:t>
            </w:r>
            <w:r w:rsidR="338609A0" w:rsidRPr="2C436F9F">
              <w:rPr>
                <w:rFonts w:ascii="Calibri" w:eastAsia="Calibri" w:hAnsi="Calibri" w:cs="Calibri"/>
              </w:rPr>
              <w:t xml:space="preserve">: </w:t>
            </w:r>
            <w:r w:rsidR="77E32A3D" w:rsidRPr="2C436F9F">
              <w:rPr>
                <w:rFonts w:ascii="Calibri" w:eastAsia="Calibri" w:hAnsi="Calibri" w:cs="Calibri"/>
              </w:rPr>
              <w:t>23.50</w:t>
            </w:r>
            <w:r w:rsidR="233A587D" w:rsidRPr="2C436F9F">
              <w:rPr>
                <w:rFonts w:ascii="Calibri" w:eastAsia="Calibri" w:hAnsi="Calibri" w:cs="Calibri"/>
              </w:rPr>
              <w:t>%</w:t>
            </w:r>
          </w:p>
        </w:tc>
        <w:tc>
          <w:tcPr>
            <w:tcW w:w="1275" w:type="dxa"/>
          </w:tcPr>
          <w:p w14:paraId="67ECB9E7" w14:textId="68D65438" w:rsidR="5BD65965" w:rsidRDefault="5BD65965" w:rsidP="2C436F9F">
            <w:pPr>
              <w:spacing w:line="259" w:lineRule="auto"/>
              <w:jc w:val="center"/>
              <w:rPr>
                <w:rFonts w:ascii="Calibri" w:eastAsia="Calibri" w:hAnsi="Calibri" w:cs="Calibri"/>
              </w:rPr>
            </w:pPr>
            <w:r w:rsidRPr="2C436F9F">
              <w:rPr>
                <w:rFonts w:ascii="Calibri" w:eastAsia="Calibri" w:hAnsi="Calibri" w:cs="Calibri"/>
              </w:rPr>
              <w:t>23.50</w:t>
            </w:r>
            <w:r w:rsidR="268A7AF2" w:rsidRPr="2C436F9F">
              <w:rPr>
                <w:rFonts w:ascii="Calibri" w:eastAsia="Calibri" w:hAnsi="Calibri" w:cs="Calibri"/>
              </w:rPr>
              <w:t>%</w:t>
            </w:r>
          </w:p>
        </w:tc>
        <w:tc>
          <w:tcPr>
            <w:tcW w:w="1275" w:type="dxa"/>
          </w:tcPr>
          <w:p w14:paraId="22458CF2" w14:textId="06F32078" w:rsidR="155F6890" w:rsidRDefault="155F6890" w:rsidP="2C436F9F">
            <w:pPr>
              <w:spacing w:line="259" w:lineRule="auto"/>
              <w:jc w:val="center"/>
              <w:rPr>
                <w:rFonts w:ascii="Calibri" w:eastAsia="Calibri" w:hAnsi="Calibri" w:cs="Calibri"/>
              </w:rPr>
            </w:pPr>
            <w:r w:rsidRPr="2C436F9F">
              <w:rPr>
                <w:rFonts w:ascii="Calibri" w:eastAsia="Calibri" w:hAnsi="Calibri" w:cs="Calibri"/>
              </w:rPr>
              <w:t>23.00</w:t>
            </w:r>
            <w:r w:rsidR="76BB8001" w:rsidRPr="2C436F9F">
              <w:rPr>
                <w:rFonts w:ascii="Calibri" w:eastAsia="Calibri" w:hAnsi="Calibri" w:cs="Calibri"/>
              </w:rPr>
              <w:t>%</w:t>
            </w:r>
          </w:p>
        </w:tc>
        <w:tc>
          <w:tcPr>
            <w:tcW w:w="1275" w:type="dxa"/>
          </w:tcPr>
          <w:p w14:paraId="2CD924EA" w14:textId="741814AB" w:rsidR="3AA8473B" w:rsidRDefault="3AA8473B" w:rsidP="2C436F9F">
            <w:pPr>
              <w:spacing w:line="259" w:lineRule="auto"/>
              <w:jc w:val="center"/>
              <w:rPr>
                <w:rFonts w:ascii="Calibri" w:eastAsia="Calibri" w:hAnsi="Calibri" w:cs="Calibri"/>
              </w:rPr>
            </w:pPr>
            <w:r w:rsidRPr="2C436F9F">
              <w:rPr>
                <w:rFonts w:ascii="Calibri" w:eastAsia="Calibri" w:hAnsi="Calibri" w:cs="Calibri"/>
              </w:rPr>
              <w:t>23.00</w:t>
            </w:r>
            <w:r w:rsidR="4807B1A1" w:rsidRPr="2C436F9F">
              <w:rPr>
                <w:rFonts w:ascii="Calibri" w:eastAsia="Calibri" w:hAnsi="Calibri" w:cs="Calibri"/>
              </w:rPr>
              <w:t>%</w:t>
            </w:r>
          </w:p>
        </w:tc>
        <w:tc>
          <w:tcPr>
            <w:tcW w:w="1275" w:type="dxa"/>
          </w:tcPr>
          <w:p w14:paraId="660D3401" w14:textId="0FB00572" w:rsidR="2759E963" w:rsidRDefault="2759E963" w:rsidP="2C436F9F">
            <w:pPr>
              <w:spacing w:line="259" w:lineRule="auto"/>
              <w:jc w:val="center"/>
              <w:rPr>
                <w:rFonts w:ascii="Calibri" w:eastAsia="Calibri" w:hAnsi="Calibri" w:cs="Calibri"/>
              </w:rPr>
            </w:pPr>
            <w:r w:rsidRPr="2C436F9F">
              <w:rPr>
                <w:rFonts w:ascii="Calibri" w:eastAsia="Calibri" w:hAnsi="Calibri" w:cs="Calibri"/>
              </w:rPr>
              <w:t>22.00</w:t>
            </w:r>
            <w:r w:rsidR="131EED53" w:rsidRPr="2C436F9F">
              <w:rPr>
                <w:rFonts w:ascii="Calibri" w:eastAsia="Calibri" w:hAnsi="Calibri" w:cs="Calibri"/>
              </w:rPr>
              <w:t>%</w:t>
            </w:r>
          </w:p>
        </w:tc>
        <w:tc>
          <w:tcPr>
            <w:tcW w:w="1275" w:type="dxa"/>
          </w:tcPr>
          <w:p w14:paraId="6B249D38" w14:textId="0526E3E9" w:rsidR="2F213194" w:rsidRDefault="2F213194" w:rsidP="2C436F9F">
            <w:pPr>
              <w:spacing w:line="259" w:lineRule="auto"/>
              <w:jc w:val="center"/>
              <w:rPr>
                <w:rFonts w:ascii="Calibri" w:eastAsia="Calibri" w:hAnsi="Calibri" w:cs="Calibri"/>
              </w:rPr>
            </w:pPr>
            <w:r w:rsidRPr="2C436F9F">
              <w:rPr>
                <w:rFonts w:ascii="Calibri" w:eastAsia="Calibri" w:hAnsi="Calibri" w:cs="Calibri"/>
              </w:rPr>
              <w:t>21.00</w:t>
            </w:r>
            <w:r w:rsidR="0415BC1A" w:rsidRPr="2C436F9F">
              <w:rPr>
                <w:rFonts w:ascii="Calibri" w:eastAsia="Calibri" w:hAnsi="Calibri" w:cs="Calibri"/>
              </w:rPr>
              <w:t>%</w:t>
            </w:r>
          </w:p>
        </w:tc>
      </w:tr>
      <w:tr w:rsidR="563487A3" w14:paraId="6E31753F" w14:textId="77777777" w:rsidTr="2C436F9F">
        <w:tc>
          <w:tcPr>
            <w:tcW w:w="2220" w:type="dxa"/>
          </w:tcPr>
          <w:p w14:paraId="3E813D08" w14:textId="47F895FD" w:rsidR="2FF0482B" w:rsidRDefault="2FF0482B" w:rsidP="563487A3">
            <w:pPr>
              <w:spacing w:line="259" w:lineRule="auto"/>
              <w:rPr>
                <w:rFonts w:ascii="Arial" w:eastAsia="Arial" w:hAnsi="Arial" w:cs="Arial"/>
                <w:sz w:val="16"/>
                <w:szCs w:val="16"/>
              </w:rPr>
            </w:pPr>
            <w:r w:rsidRPr="2C436F9F">
              <w:rPr>
                <w:rFonts w:ascii="Calibri" w:eastAsia="Calibri" w:hAnsi="Calibri" w:cs="Calibri"/>
              </w:rPr>
              <w:t xml:space="preserve">C: </w:t>
            </w:r>
            <w:r w:rsidR="00AA3D16">
              <w:rPr>
                <w:rFonts w:ascii="Calibri" w:eastAsia="Calibri" w:hAnsi="Calibri" w:cs="Calibri"/>
              </w:rPr>
              <w:t>Mục tiêu</w:t>
            </w:r>
            <w:r w:rsidR="00AA3D16" w:rsidRPr="563487A3">
              <w:rPr>
                <w:rFonts w:ascii="Calibri" w:eastAsia="Calibri" w:hAnsi="Calibri" w:cs="Calibri"/>
              </w:rPr>
              <w:t xml:space="preserve"> </w:t>
            </w:r>
            <w:r w:rsidRPr="2C436F9F">
              <w:rPr>
                <w:rFonts w:ascii="Calibri" w:eastAsia="Calibri" w:hAnsi="Calibri" w:cs="Calibri"/>
              </w:rPr>
              <w:t>t</w:t>
            </w:r>
            <w:r w:rsidRPr="2C436F9F">
              <w:rPr>
                <w:rFonts w:ascii="Arial" w:eastAsia="Arial" w:hAnsi="Arial" w:cs="Arial"/>
                <w:sz w:val="16"/>
                <w:szCs w:val="16"/>
              </w:rPr>
              <w:t xml:space="preserve"> </w:t>
            </w:r>
            <w:r w:rsidR="01D9C08D" w:rsidRPr="2C436F9F">
              <w:rPr>
                <w:rFonts w:ascii="Arial" w:eastAsia="Arial" w:hAnsi="Arial" w:cs="Arial"/>
                <w:sz w:val="16"/>
                <w:szCs w:val="16"/>
              </w:rPr>
              <w:t>≤</w:t>
            </w:r>
          </w:p>
        </w:tc>
        <w:tc>
          <w:tcPr>
            <w:tcW w:w="1275" w:type="dxa"/>
          </w:tcPr>
          <w:p w14:paraId="1604C1CB" w14:textId="1262B31D" w:rsidR="2FF0482B" w:rsidRDefault="003A1632" w:rsidP="563487A3">
            <w:pPr>
              <w:spacing w:line="259" w:lineRule="auto"/>
              <w:jc w:val="center"/>
              <w:rPr>
                <w:rFonts w:ascii="Calibri" w:eastAsia="Calibri" w:hAnsi="Calibri" w:cs="Calibri"/>
              </w:rPr>
            </w:pPr>
            <w:r>
              <w:rPr>
                <w:rFonts w:ascii="Calibri" w:eastAsia="Calibri" w:hAnsi="Calibri" w:cs="Calibri"/>
              </w:rPr>
              <w:t>Căn bản</w:t>
            </w:r>
            <w:r w:rsidR="2FF0482B" w:rsidRPr="563487A3">
              <w:rPr>
                <w:rFonts w:ascii="Calibri" w:eastAsia="Calibri" w:hAnsi="Calibri" w:cs="Calibri"/>
              </w:rPr>
              <w:t>: 10.25</w:t>
            </w:r>
            <w:r w:rsidR="5ABCD2B6" w:rsidRPr="563487A3">
              <w:rPr>
                <w:rFonts w:ascii="Calibri" w:eastAsia="Calibri" w:hAnsi="Calibri" w:cs="Calibri"/>
              </w:rPr>
              <w:t>%</w:t>
            </w:r>
          </w:p>
        </w:tc>
        <w:tc>
          <w:tcPr>
            <w:tcW w:w="1275" w:type="dxa"/>
          </w:tcPr>
          <w:p w14:paraId="1F281EBC" w14:textId="4CEE5747" w:rsidR="2F602488" w:rsidRDefault="2F602488" w:rsidP="2C436F9F">
            <w:pPr>
              <w:spacing w:line="259" w:lineRule="auto"/>
              <w:jc w:val="center"/>
              <w:rPr>
                <w:rFonts w:ascii="Calibri" w:eastAsia="Calibri" w:hAnsi="Calibri" w:cs="Calibri"/>
              </w:rPr>
            </w:pPr>
            <w:r w:rsidRPr="2C436F9F">
              <w:rPr>
                <w:rFonts w:ascii="Calibri" w:eastAsia="Calibri" w:hAnsi="Calibri" w:cs="Calibri"/>
              </w:rPr>
              <w:t>10.25</w:t>
            </w:r>
            <w:r w:rsidR="0E292C28" w:rsidRPr="2C436F9F">
              <w:rPr>
                <w:rFonts w:ascii="Calibri" w:eastAsia="Calibri" w:hAnsi="Calibri" w:cs="Calibri"/>
              </w:rPr>
              <w:t>%</w:t>
            </w:r>
          </w:p>
        </w:tc>
        <w:tc>
          <w:tcPr>
            <w:tcW w:w="1275" w:type="dxa"/>
          </w:tcPr>
          <w:p w14:paraId="7875F5F4" w14:textId="651FE532" w:rsidR="4C763C71" w:rsidRDefault="4C763C71" w:rsidP="2C436F9F">
            <w:pPr>
              <w:spacing w:line="259" w:lineRule="auto"/>
              <w:jc w:val="center"/>
              <w:rPr>
                <w:rFonts w:ascii="Calibri" w:eastAsia="Calibri" w:hAnsi="Calibri" w:cs="Calibri"/>
              </w:rPr>
            </w:pPr>
            <w:r w:rsidRPr="2C436F9F">
              <w:rPr>
                <w:rFonts w:ascii="Calibri" w:eastAsia="Calibri" w:hAnsi="Calibri" w:cs="Calibri"/>
              </w:rPr>
              <w:t>10.00</w:t>
            </w:r>
            <w:r w:rsidR="16E87F14" w:rsidRPr="2C436F9F">
              <w:rPr>
                <w:rFonts w:ascii="Calibri" w:eastAsia="Calibri" w:hAnsi="Calibri" w:cs="Calibri"/>
              </w:rPr>
              <w:t>%</w:t>
            </w:r>
          </w:p>
        </w:tc>
        <w:tc>
          <w:tcPr>
            <w:tcW w:w="1275" w:type="dxa"/>
          </w:tcPr>
          <w:p w14:paraId="79ADB44B" w14:textId="1210E798" w:rsidR="2AB6DDDC" w:rsidRDefault="2AB6DDDC" w:rsidP="2C436F9F">
            <w:pPr>
              <w:spacing w:line="259" w:lineRule="auto"/>
              <w:jc w:val="center"/>
              <w:rPr>
                <w:rFonts w:ascii="Calibri" w:eastAsia="Calibri" w:hAnsi="Calibri" w:cs="Calibri"/>
              </w:rPr>
            </w:pPr>
            <w:r w:rsidRPr="2C436F9F">
              <w:rPr>
                <w:rFonts w:ascii="Calibri" w:eastAsia="Calibri" w:hAnsi="Calibri" w:cs="Calibri"/>
              </w:rPr>
              <w:t>10.00</w:t>
            </w:r>
            <w:r w:rsidR="5191CA9E" w:rsidRPr="2C436F9F">
              <w:rPr>
                <w:rFonts w:ascii="Calibri" w:eastAsia="Calibri" w:hAnsi="Calibri" w:cs="Calibri"/>
              </w:rPr>
              <w:t>%</w:t>
            </w:r>
          </w:p>
        </w:tc>
        <w:tc>
          <w:tcPr>
            <w:tcW w:w="1275" w:type="dxa"/>
          </w:tcPr>
          <w:p w14:paraId="5C6B4C84" w14:textId="449DF700" w:rsidR="5BCEB4D2" w:rsidRDefault="5BCEB4D2" w:rsidP="2C436F9F">
            <w:pPr>
              <w:spacing w:line="259" w:lineRule="auto"/>
              <w:jc w:val="center"/>
              <w:rPr>
                <w:rFonts w:ascii="Calibri" w:eastAsia="Calibri" w:hAnsi="Calibri" w:cs="Calibri"/>
              </w:rPr>
            </w:pPr>
            <w:r w:rsidRPr="2C436F9F">
              <w:rPr>
                <w:rFonts w:ascii="Calibri" w:eastAsia="Calibri" w:hAnsi="Calibri" w:cs="Calibri"/>
              </w:rPr>
              <w:t>9.50</w:t>
            </w:r>
            <w:r w:rsidR="70D4D6A4" w:rsidRPr="2C436F9F">
              <w:rPr>
                <w:rFonts w:ascii="Calibri" w:eastAsia="Calibri" w:hAnsi="Calibri" w:cs="Calibri"/>
              </w:rPr>
              <w:t>%</w:t>
            </w:r>
          </w:p>
        </w:tc>
        <w:tc>
          <w:tcPr>
            <w:tcW w:w="1275" w:type="dxa"/>
          </w:tcPr>
          <w:p w14:paraId="66E8393A" w14:textId="143C5E92" w:rsidR="0ADEE78D" w:rsidRDefault="0ADEE78D" w:rsidP="2C436F9F">
            <w:pPr>
              <w:spacing w:line="259" w:lineRule="auto"/>
              <w:jc w:val="center"/>
              <w:rPr>
                <w:rFonts w:ascii="Calibri" w:eastAsia="Calibri" w:hAnsi="Calibri" w:cs="Calibri"/>
              </w:rPr>
            </w:pPr>
            <w:r w:rsidRPr="2C436F9F">
              <w:rPr>
                <w:rFonts w:ascii="Calibri" w:eastAsia="Calibri" w:hAnsi="Calibri" w:cs="Calibri"/>
              </w:rPr>
              <w:t>9.00</w:t>
            </w:r>
            <w:r w:rsidR="218F8DD2" w:rsidRPr="2C436F9F">
              <w:rPr>
                <w:rFonts w:ascii="Calibri" w:eastAsia="Calibri" w:hAnsi="Calibri" w:cs="Calibri"/>
              </w:rPr>
              <w:t>%</w:t>
            </w:r>
          </w:p>
        </w:tc>
      </w:tr>
    </w:tbl>
    <w:p w14:paraId="3968D211" w14:textId="1BA54627" w:rsidR="00CA7BE0" w:rsidRDefault="00CA7BE0" w:rsidP="00CA7BE0">
      <w:pPr>
        <w:spacing w:after="0" w:line="240" w:lineRule="auto"/>
        <w:jc w:val="both"/>
        <w:rPr>
          <w:rFonts w:ascii="Calibri" w:eastAsia="Calibri" w:hAnsi="Calibri" w:cs="Calibri"/>
          <w:color w:val="000000" w:themeColor="text1"/>
        </w:rPr>
      </w:pPr>
      <w:r w:rsidRPr="00CA7BE0">
        <w:rPr>
          <w:rFonts w:ascii="Calibri" w:eastAsia="Calibri" w:hAnsi="Calibri" w:cs="Calibri"/>
          <w:color w:val="000000" w:themeColor="text1"/>
        </w:rPr>
        <w:t>Ví dụ B cho thấy mục tiêu mạnh mẽ hơn.</w:t>
      </w:r>
    </w:p>
    <w:p w14:paraId="2EFF470C" w14:textId="6C91090D" w:rsidR="00AA3D16" w:rsidRDefault="00AA3D16" w:rsidP="00AA3D16">
      <w:pPr>
        <w:spacing w:after="0" w:line="240" w:lineRule="auto"/>
        <w:jc w:val="center"/>
        <w:rPr>
          <w:rFonts w:ascii="Calibri" w:eastAsia="Calibri" w:hAnsi="Calibri" w:cs="Calibri"/>
          <w:b/>
          <w:color w:val="407641"/>
        </w:rPr>
      </w:pPr>
      <w:r w:rsidRPr="009479A9">
        <w:rPr>
          <w:rFonts w:ascii="Calibri" w:eastAsia="Calibri" w:hAnsi="Calibri" w:cs="Calibri"/>
          <w:b/>
          <w:color w:val="407641"/>
        </w:rPr>
        <w:t xml:space="preserve">Nếu </w:t>
      </w:r>
      <w:r w:rsidR="006A0B2E">
        <w:rPr>
          <w:rFonts w:ascii="Calibri" w:eastAsia="Calibri" w:hAnsi="Calibri" w:cs="Calibri"/>
          <w:b/>
          <w:color w:val="407641"/>
        </w:rPr>
        <w:t>quý vị</w:t>
      </w:r>
      <w:r w:rsidRPr="009479A9">
        <w:rPr>
          <w:rFonts w:ascii="Calibri" w:eastAsia="Calibri" w:hAnsi="Calibri" w:cs="Calibri"/>
          <w:b/>
          <w:color w:val="407641"/>
        </w:rPr>
        <w:t xml:space="preserve"> cần thêm thông tin để </w:t>
      </w:r>
      <w:r>
        <w:rPr>
          <w:rFonts w:ascii="Calibri" w:eastAsia="Calibri" w:hAnsi="Calibri" w:cs="Calibri"/>
          <w:b/>
          <w:color w:val="407641"/>
        </w:rPr>
        <w:t>đóng góp ý kiến</w:t>
      </w:r>
      <w:r w:rsidRPr="009479A9">
        <w:rPr>
          <w:rFonts w:ascii="Calibri" w:eastAsia="Calibri" w:hAnsi="Calibri" w:cs="Calibri"/>
          <w:b/>
          <w:color w:val="407641"/>
        </w:rPr>
        <w:t>, vui lòng liên hệ:</w:t>
      </w:r>
    </w:p>
    <w:p w14:paraId="5D989595" w14:textId="22B87B68" w:rsidR="617D639D" w:rsidRDefault="4EF629B4" w:rsidP="440AB443">
      <w:pPr>
        <w:spacing w:after="0"/>
        <w:jc w:val="center"/>
        <w:rPr>
          <w:rFonts w:ascii="Calibri" w:eastAsia="Calibri" w:hAnsi="Calibri" w:cs="Calibri"/>
          <w:b/>
          <w:bCs/>
        </w:rPr>
      </w:pPr>
      <w:r w:rsidRPr="440AB443">
        <w:rPr>
          <w:rFonts w:ascii="Calibri" w:eastAsia="Calibri" w:hAnsi="Calibri" w:cs="Calibri"/>
          <w:b/>
          <w:bCs/>
          <w:color w:val="538135" w:themeColor="accent6" w:themeShade="BF"/>
        </w:rPr>
        <w:t xml:space="preserve">Meredith Villines </w:t>
      </w:r>
      <w:r w:rsidR="00AA3D16">
        <w:rPr>
          <w:rFonts w:ascii="Calibri" w:eastAsia="Calibri" w:hAnsi="Calibri" w:cs="Calibri"/>
          <w:b/>
          <w:bCs/>
          <w:color w:val="407641"/>
        </w:rPr>
        <w:t>theo địa chỉ</w:t>
      </w:r>
      <w:r w:rsidR="00AA3D16" w:rsidRPr="6DA97DB0">
        <w:rPr>
          <w:b/>
          <w:bCs/>
        </w:rPr>
        <w:t xml:space="preserve"> </w:t>
      </w:r>
      <w:hyperlink r:id="rId13">
        <w:r w:rsidRPr="440AB443">
          <w:rPr>
            <w:rStyle w:val="Hyperlink"/>
            <w:rFonts w:ascii="Calibri" w:eastAsia="Calibri" w:hAnsi="Calibri" w:cs="Calibri"/>
            <w:b/>
            <w:bCs/>
          </w:rPr>
          <w:t>meredith.villines@state.or.us</w:t>
        </w:r>
      </w:hyperlink>
      <w:r w:rsidRPr="440AB443">
        <w:rPr>
          <w:rFonts w:ascii="Calibri" w:eastAsia="Calibri" w:hAnsi="Calibri" w:cs="Calibri"/>
          <w:b/>
          <w:bCs/>
        </w:rPr>
        <w:t xml:space="preserve">. </w:t>
      </w:r>
    </w:p>
    <w:p w14:paraId="723EA37E" w14:textId="68F8B4EE" w:rsidR="617D639D" w:rsidRDefault="617D639D" w:rsidP="600DFCD9">
      <w:pPr>
        <w:rPr>
          <w:rFonts w:ascii="Calibri" w:eastAsia="Calibri" w:hAnsi="Calibri" w:cs="Calibri"/>
          <w:color w:val="000000" w:themeColor="text1"/>
          <w:sz w:val="24"/>
          <w:szCs w:val="24"/>
        </w:rPr>
      </w:pPr>
    </w:p>
    <w:sectPr w:rsidR="617D639D">
      <w:foot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933B4" w14:textId="77777777" w:rsidR="0086004D" w:rsidRDefault="0086004D" w:rsidP="00A015AF">
      <w:pPr>
        <w:spacing w:after="0" w:line="240" w:lineRule="auto"/>
      </w:pPr>
      <w:r>
        <w:separator/>
      </w:r>
    </w:p>
  </w:endnote>
  <w:endnote w:type="continuationSeparator" w:id="0">
    <w:p w14:paraId="6E8870F1" w14:textId="77777777" w:rsidR="0086004D" w:rsidRDefault="0086004D" w:rsidP="00A015AF">
      <w:pPr>
        <w:spacing w:after="0" w:line="240" w:lineRule="auto"/>
      </w:pPr>
      <w:r>
        <w:continuationSeparator/>
      </w:r>
    </w:p>
  </w:endnote>
  <w:endnote w:type="continuationNotice" w:id="1">
    <w:p w14:paraId="59F138EE" w14:textId="77777777" w:rsidR="0086004D" w:rsidRDefault="00860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41BD" w14:textId="26F51484" w:rsidR="4D0E0F7D" w:rsidRDefault="00653283" w:rsidP="4D0E0F7D">
    <w:pPr>
      <w:pStyle w:val="Footer"/>
    </w:pPr>
    <w:r>
      <w:t xml:space="preserve">Tờ </w:t>
    </w:r>
    <w:r w:rsidR="00BF7DE3">
      <w:t>d</w:t>
    </w:r>
    <w:r>
      <w:t xml:space="preserve">ữ kiện Kế hoạch thực hiện của Tiểu bang </w:t>
    </w:r>
    <w:r w:rsidR="001A2411">
      <w:t xml:space="preserve">– Chỉ số </w:t>
    </w:r>
    <w:r w:rsidR="00506A1E">
      <w:t>B6</w:t>
    </w:r>
    <w:r w:rsidR="00506A1E">
      <w:tab/>
    </w:r>
    <w:r w:rsidR="00506A1E">
      <w:fldChar w:fldCharType="begin"/>
    </w:r>
    <w:r w:rsidR="00506A1E">
      <w:instrText xml:space="preserve"> PAGE   \* MERGEFORMAT </w:instrText>
    </w:r>
    <w:r w:rsidR="00506A1E">
      <w:fldChar w:fldCharType="separate"/>
    </w:r>
    <w:r w:rsidR="0056491D">
      <w:rPr>
        <w:noProof/>
      </w:rPr>
      <w:t>3</w:t>
    </w:r>
    <w:r w:rsidR="00506A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427B9" w14:textId="77777777" w:rsidR="0086004D" w:rsidRDefault="0086004D" w:rsidP="00A015AF">
      <w:pPr>
        <w:spacing w:after="0" w:line="240" w:lineRule="auto"/>
      </w:pPr>
      <w:r>
        <w:separator/>
      </w:r>
    </w:p>
  </w:footnote>
  <w:footnote w:type="continuationSeparator" w:id="0">
    <w:p w14:paraId="11BAF5BA" w14:textId="77777777" w:rsidR="0086004D" w:rsidRDefault="0086004D" w:rsidP="00A015AF">
      <w:pPr>
        <w:spacing w:after="0" w:line="240" w:lineRule="auto"/>
      </w:pPr>
      <w:r>
        <w:continuationSeparator/>
      </w:r>
    </w:p>
  </w:footnote>
  <w:footnote w:type="continuationNotice" w:id="1">
    <w:p w14:paraId="3D63155C" w14:textId="77777777" w:rsidR="0086004D" w:rsidRDefault="0086004D">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1881050260" textId="1983654492" start="361" length="15" invalidationStart="361" invalidationLength="15" id="0+ZBpOud"/>
  </int:Manifest>
  <int:Observations>
    <int:Content id="0+ZBpOu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22211355"/>
    <w:multiLevelType w:val="hybridMultilevel"/>
    <w:tmpl w:val="95DED630"/>
    <w:lvl w:ilvl="0" w:tplc="A7281954">
      <w:start w:val="1"/>
      <w:numFmt w:val="upperLetter"/>
      <w:lvlText w:val="%1."/>
      <w:lvlJc w:val="left"/>
      <w:pPr>
        <w:ind w:left="720" w:hanging="360"/>
      </w:pPr>
    </w:lvl>
    <w:lvl w:ilvl="1" w:tplc="0450C28A">
      <w:start w:val="1"/>
      <w:numFmt w:val="lowerLetter"/>
      <w:lvlText w:val="%2."/>
      <w:lvlJc w:val="left"/>
      <w:pPr>
        <w:ind w:left="1440" w:hanging="360"/>
      </w:pPr>
    </w:lvl>
    <w:lvl w:ilvl="2" w:tplc="CF86C4E0">
      <w:start w:val="1"/>
      <w:numFmt w:val="lowerRoman"/>
      <w:lvlText w:val="%3."/>
      <w:lvlJc w:val="right"/>
      <w:pPr>
        <w:ind w:left="2160" w:hanging="180"/>
      </w:pPr>
    </w:lvl>
    <w:lvl w:ilvl="3" w:tplc="3A68188E">
      <w:start w:val="1"/>
      <w:numFmt w:val="decimal"/>
      <w:lvlText w:val="%4."/>
      <w:lvlJc w:val="left"/>
      <w:pPr>
        <w:ind w:left="2880" w:hanging="360"/>
      </w:pPr>
    </w:lvl>
    <w:lvl w:ilvl="4" w:tplc="679A0C84">
      <w:start w:val="1"/>
      <w:numFmt w:val="lowerLetter"/>
      <w:lvlText w:val="%5."/>
      <w:lvlJc w:val="left"/>
      <w:pPr>
        <w:ind w:left="3600" w:hanging="360"/>
      </w:pPr>
    </w:lvl>
    <w:lvl w:ilvl="5" w:tplc="6E16A1CC">
      <w:start w:val="1"/>
      <w:numFmt w:val="lowerRoman"/>
      <w:lvlText w:val="%6."/>
      <w:lvlJc w:val="right"/>
      <w:pPr>
        <w:ind w:left="4320" w:hanging="180"/>
      </w:pPr>
    </w:lvl>
    <w:lvl w:ilvl="6" w:tplc="8FD436B6">
      <w:start w:val="1"/>
      <w:numFmt w:val="decimal"/>
      <w:lvlText w:val="%7."/>
      <w:lvlJc w:val="left"/>
      <w:pPr>
        <w:ind w:left="5040" w:hanging="360"/>
      </w:pPr>
    </w:lvl>
    <w:lvl w:ilvl="7" w:tplc="40766C3E">
      <w:start w:val="1"/>
      <w:numFmt w:val="lowerLetter"/>
      <w:lvlText w:val="%8."/>
      <w:lvlJc w:val="left"/>
      <w:pPr>
        <w:ind w:left="5760" w:hanging="360"/>
      </w:pPr>
    </w:lvl>
    <w:lvl w:ilvl="8" w:tplc="E3EEBF00">
      <w:start w:val="1"/>
      <w:numFmt w:val="lowerRoman"/>
      <w:lvlText w:val="%9."/>
      <w:lvlJc w:val="right"/>
      <w:pPr>
        <w:ind w:left="6480" w:hanging="180"/>
      </w:pPr>
    </w:lvl>
  </w:abstractNum>
  <w:abstractNum w:abstractNumId="5" w15:restartNumberingAfterBreak="0">
    <w:nsid w:val="2F255602"/>
    <w:multiLevelType w:val="hybridMultilevel"/>
    <w:tmpl w:val="C7D86026"/>
    <w:lvl w:ilvl="0" w:tplc="F6C46696">
      <w:start w:val="1"/>
      <w:numFmt w:val="bullet"/>
      <w:lvlText w:val=""/>
      <w:lvlJc w:val="left"/>
      <w:pPr>
        <w:ind w:left="720" w:hanging="360"/>
      </w:pPr>
      <w:rPr>
        <w:rFonts w:ascii="Symbol" w:hAnsi="Symbol" w:hint="default"/>
      </w:rPr>
    </w:lvl>
    <w:lvl w:ilvl="1" w:tplc="0B4810A0">
      <w:start w:val="1"/>
      <w:numFmt w:val="bullet"/>
      <w:lvlText w:val="o"/>
      <w:lvlJc w:val="left"/>
      <w:pPr>
        <w:ind w:left="1440" w:hanging="360"/>
      </w:pPr>
      <w:rPr>
        <w:rFonts w:ascii="Courier New" w:hAnsi="Courier New" w:hint="default"/>
      </w:rPr>
    </w:lvl>
    <w:lvl w:ilvl="2" w:tplc="4198DDCE">
      <w:start w:val="1"/>
      <w:numFmt w:val="bullet"/>
      <w:lvlText w:val=""/>
      <w:lvlJc w:val="left"/>
      <w:pPr>
        <w:ind w:left="2160" w:hanging="360"/>
      </w:pPr>
      <w:rPr>
        <w:rFonts w:ascii="Wingdings" w:hAnsi="Wingdings" w:hint="default"/>
      </w:rPr>
    </w:lvl>
    <w:lvl w:ilvl="3" w:tplc="CC8CB4AE">
      <w:start w:val="1"/>
      <w:numFmt w:val="bullet"/>
      <w:lvlText w:val=""/>
      <w:lvlJc w:val="left"/>
      <w:pPr>
        <w:ind w:left="2880" w:hanging="360"/>
      </w:pPr>
      <w:rPr>
        <w:rFonts w:ascii="Symbol" w:hAnsi="Symbol" w:hint="default"/>
      </w:rPr>
    </w:lvl>
    <w:lvl w:ilvl="4" w:tplc="04A20AA2">
      <w:start w:val="1"/>
      <w:numFmt w:val="bullet"/>
      <w:lvlText w:val="o"/>
      <w:lvlJc w:val="left"/>
      <w:pPr>
        <w:ind w:left="3600" w:hanging="360"/>
      </w:pPr>
      <w:rPr>
        <w:rFonts w:ascii="Courier New" w:hAnsi="Courier New" w:hint="default"/>
      </w:rPr>
    </w:lvl>
    <w:lvl w:ilvl="5" w:tplc="2F1A60A2">
      <w:start w:val="1"/>
      <w:numFmt w:val="bullet"/>
      <w:lvlText w:val=""/>
      <w:lvlJc w:val="left"/>
      <w:pPr>
        <w:ind w:left="4320" w:hanging="360"/>
      </w:pPr>
      <w:rPr>
        <w:rFonts w:ascii="Wingdings" w:hAnsi="Wingdings" w:hint="default"/>
      </w:rPr>
    </w:lvl>
    <w:lvl w:ilvl="6" w:tplc="C21A1B94">
      <w:start w:val="1"/>
      <w:numFmt w:val="bullet"/>
      <w:lvlText w:val=""/>
      <w:lvlJc w:val="left"/>
      <w:pPr>
        <w:ind w:left="5040" w:hanging="360"/>
      </w:pPr>
      <w:rPr>
        <w:rFonts w:ascii="Symbol" w:hAnsi="Symbol" w:hint="default"/>
      </w:rPr>
    </w:lvl>
    <w:lvl w:ilvl="7" w:tplc="4BB60368">
      <w:start w:val="1"/>
      <w:numFmt w:val="bullet"/>
      <w:lvlText w:val="o"/>
      <w:lvlJc w:val="left"/>
      <w:pPr>
        <w:ind w:left="5760" w:hanging="360"/>
      </w:pPr>
      <w:rPr>
        <w:rFonts w:ascii="Courier New" w:hAnsi="Courier New" w:hint="default"/>
      </w:rPr>
    </w:lvl>
    <w:lvl w:ilvl="8" w:tplc="F2228AC4">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29D8"/>
    <w:multiLevelType w:val="hybridMultilevel"/>
    <w:tmpl w:val="192C18D6"/>
    <w:lvl w:ilvl="0" w:tplc="4246D578">
      <w:start w:val="1"/>
      <w:numFmt w:val="bullet"/>
      <w:lvlText w:val=""/>
      <w:lvlJc w:val="left"/>
      <w:pPr>
        <w:ind w:left="720" w:hanging="360"/>
      </w:pPr>
      <w:rPr>
        <w:rFonts w:ascii="Symbol" w:hAnsi="Symbol" w:hint="default"/>
      </w:rPr>
    </w:lvl>
    <w:lvl w:ilvl="1" w:tplc="02061538">
      <w:start w:val="1"/>
      <w:numFmt w:val="bullet"/>
      <w:lvlText w:val="o"/>
      <w:lvlJc w:val="left"/>
      <w:pPr>
        <w:ind w:left="1440" w:hanging="360"/>
      </w:pPr>
      <w:rPr>
        <w:rFonts w:ascii="Courier New" w:hAnsi="Courier New" w:hint="default"/>
      </w:rPr>
    </w:lvl>
    <w:lvl w:ilvl="2" w:tplc="59440E2E">
      <w:start w:val="1"/>
      <w:numFmt w:val="bullet"/>
      <w:lvlText w:val=""/>
      <w:lvlJc w:val="left"/>
      <w:pPr>
        <w:ind w:left="2160" w:hanging="360"/>
      </w:pPr>
      <w:rPr>
        <w:rFonts w:ascii="Wingdings" w:hAnsi="Wingdings" w:hint="default"/>
      </w:rPr>
    </w:lvl>
    <w:lvl w:ilvl="3" w:tplc="351497B8">
      <w:start w:val="1"/>
      <w:numFmt w:val="bullet"/>
      <w:lvlText w:val=""/>
      <w:lvlJc w:val="left"/>
      <w:pPr>
        <w:ind w:left="2880" w:hanging="360"/>
      </w:pPr>
      <w:rPr>
        <w:rFonts w:ascii="Symbol" w:hAnsi="Symbol" w:hint="default"/>
      </w:rPr>
    </w:lvl>
    <w:lvl w:ilvl="4" w:tplc="D6505276">
      <w:start w:val="1"/>
      <w:numFmt w:val="bullet"/>
      <w:lvlText w:val="o"/>
      <w:lvlJc w:val="left"/>
      <w:pPr>
        <w:ind w:left="3600" w:hanging="360"/>
      </w:pPr>
      <w:rPr>
        <w:rFonts w:ascii="Courier New" w:hAnsi="Courier New" w:hint="default"/>
      </w:rPr>
    </w:lvl>
    <w:lvl w:ilvl="5" w:tplc="CB52A2F4">
      <w:start w:val="1"/>
      <w:numFmt w:val="bullet"/>
      <w:lvlText w:val=""/>
      <w:lvlJc w:val="left"/>
      <w:pPr>
        <w:ind w:left="4320" w:hanging="360"/>
      </w:pPr>
      <w:rPr>
        <w:rFonts w:ascii="Wingdings" w:hAnsi="Wingdings" w:hint="default"/>
      </w:rPr>
    </w:lvl>
    <w:lvl w:ilvl="6" w:tplc="D8584C76">
      <w:start w:val="1"/>
      <w:numFmt w:val="bullet"/>
      <w:lvlText w:val=""/>
      <w:lvlJc w:val="left"/>
      <w:pPr>
        <w:ind w:left="5040" w:hanging="360"/>
      </w:pPr>
      <w:rPr>
        <w:rFonts w:ascii="Symbol" w:hAnsi="Symbol" w:hint="default"/>
      </w:rPr>
    </w:lvl>
    <w:lvl w:ilvl="7" w:tplc="CB725720">
      <w:start w:val="1"/>
      <w:numFmt w:val="bullet"/>
      <w:lvlText w:val="o"/>
      <w:lvlJc w:val="left"/>
      <w:pPr>
        <w:ind w:left="5760" w:hanging="360"/>
      </w:pPr>
      <w:rPr>
        <w:rFonts w:ascii="Courier New" w:hAnsi="Courier New" w:hint="default"/>
      </w:rPr>
    </w:lvl>
    <w:lvl w:ilvl="8" w:tplc="C1402832">
      <w:start w:val="1"/>
      <w:numFmt w:val="bullet"/>
      <w:lvlText w:val=""/>
      <w:lvlJc w:val="left"/>
      <w:pPr>
        <w:ind w:left="6480" w:hanging="360"/>
      </w:pPr>
      <w:rPr>
        <w:rFonts w:ascii="Wingdings" w:hAnsi="Wingdings" w:hint="default"/>
      </w:rPr>
    </w:lvl>
  </w:abstractNum>
  <w:abstractNum w:abstractNumId="8"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E5068"/>
    <w:multiLevelType w:val="hybridMultilevel"/>
    <w:tmpl w:val="C2A4976E"/>
    <w:lvl w:ilvl="0" w:tplc="BD10B714">
      <w:start w:val="1"/>
      <w:numFmt w:val="upperLetter"/>
      <w:lvlText w:val="%1."/>
      <w:lvlJc w:val="left"/>
      <w:pPr>
        <w:ind w:left="720" w:hanging="360"/>
      </w:pPr>
    </w:lvl>
    <w:lvl w:ilvl="1" w:tplc="1284C638">
      <w:start w:val="1"/>
      <w:numFmt w:val="lowerLetter"/>
      <w:lvlText w:val="%2."/>
      <w:lvlJc w:val="left"/>
      <w:pPr>
        <w:ind w:left="1440" w:hanging="360"/>
      </w:pPr>
    </w:lvl>
    <w:lvl w:ilvl="2" w:tplc="D7DCA596">
      <w:start w:val="1"/>
      <w:numFmt w:val="lowerRoman"/>
      <w:lvlText w:val="%3."/>
      <w:lvlJc w:val="right"/>
      <w:pPr>
        <w:ind w:left="2160" w:hanging="180"/>
      </w:pPr>
    </w:lvl>
    <w:lvl w:ilvl="3" w:tplc="F13C1592">
      <w:start w:val="1"/>
      <w:numFmt w:val="decimal"/>
      <w:lvlText w:val="%4."/>
      <w:lvlJc w:val="left"/>
      <w:pPr>
        <w:ind w:left="2880" w:hanging="360"/>
      </w:pPr>
    </w:lvl>
    <w:lvl w:ilvl="4" w:tplc="FE162DF2">
      <w:start w:val="1"/>
      <w:numFmt w:val="lowerLetter"/>
      <w:lvlText w:val="%5."/>
      <w:lvlJc w:val="left"/>
      <w:pPr>
        <w:ind w:left="3600" w:hanging="360"/>
      </w:pPr>
    </w:lvl>
    <w:lvl w:ilvl="5" w:tplc="1EA02860">
      <w:start w:val="1"/>
      <w:numFmt w:val="lowerRoman"/>
      <w:lvlText w:val="%6."/>
      <w:lvlJc w:val="right"/>
      <w:pPr>
        <w:ind w:left="4320" w:hanging="180"/>
      </w:pPr>
    </w:lvl>
    <w:lvl w:ilvl="6" w:tplc="6F5EEAFC">
      <w:start w:val="1"/>
      <w:numFmt w:val="decimal"/>
      <w:lvlText w:val="%7."/>
      <w:lvlJc w:val="left"/>
      <w:pPr>
        <w:ind w:left="5040" w:hanging="360"/>
      </w:pPr>
    </w:lvl>
    <w:lvl w:ilvl="7" w:tplc="4A109E88">
      <w:start w:val="1"/>
      <w:numFmt w:val="lowerLetter"/>
      <w:lvlText w:val="%8."/>
      <w:lvlJc w:val="left"/>
      <w:pPr>
        <w:ind w:left="5760" w:hanging="360"/>
      </w:pPr>
    </w:lvl>
    <w:lvl w:ilvl="8" w:tplc="7584C2C4">
      <w:start w:val="1"/>
      <w:numFmt w:val="lowerRoman"/>
      <w:lvlText w:val="%9."/>
      <w:lvlJc w:val="right"/>
      <w:pPr>
        <w:ind w:left="6480" w:hanging="180"/>
      </w:pPr>
    </w:lvl>
  </w:abstractNum>
  <w:abstractNum w:abstractNumId="13" w15:restartNumberingAfterBreak="0">
    <w:nsid w:val="77A6643B"/>
    <w:multiLevelType w:val="hybridMultilevel"/>
    <w:tmpl w:val="EE6AF998"/>
    <w:lvl w:ilvl="0" w:tplc="EE54AF6C">
      <w:start w:val="1"/>
      <w:numFmt w:val="upperLetter"/>
      <w:lvlText w:val="%1."/>
      <w:lvlJc w:val="left"/>
      <w:pPr>
        <w:ind w:left="360" w:hanging="360"/>
      </w:pPr>
    </w:lvl>
    <w:lvl w:ilvl="1" w:tplc="4096413A">
      <w:start w:val="1"/>
      <w:numFmt w:val="lowerLetter"/>
      <w:lvlText w:val="%2."/>
      <w:lvlJc w:val="left"/>
      <w:pPr>
        <w:ind w:left="1080" w:hanging="360"/>
      </w:pPr>
    </w:lvl>
    <w:lvl w:ilvl="2" w:tplc="9ABEFFAA">
      <w:start w:val="1"/>
      <w:numFmt w:val="lowerRoman"/>
      <w:lvlText w:val="%3."/>
      <w:lvlJc w:val="right"/>
      <w:pPr>
        <w:ind w:left="1800" w:hanging="180"/>
      </w:pPr>
    </w:lvl>
    <w:lvl w:ilvl="3" w:tplc="B952FAF8">
      <w:start w:val="1"/>
      <w:numFmt w:val="decimal"/>
      <w:lvlText w:val="%4."/>
      <w:lvlJc w:val="left"/>
      <w:pPr>
        <w:ind w:left="2520" w:hanging="360"/>
      </w:pPr>
    </w:lvl>
    <w:lvl w:ilvl="4" w:tplc="AD8EAFA8">
      <w:start w:val="1"/>
      <w:numFmt w:val="lowerLetter"/>
      <w:lvlText w:val="%5."/>
      <w:lvlJc w:val="left"/>
      <w:pPr>
        <w:ind w:left="3240" w:hanging="360"/>
      </w:pPr>
    </w:lvl>
    <w:lvl w:ilvl="5" w:tplc="57A2542A">
      <w:start w:val="1"/>
      <w:numFmt w:val="lowerRoman"/>
      <w:lvlText w:val="%6."/>
      <w:lvlJc w:val="right"/>
      <w:pPr>
        <w:ind w:left="3960" w:hanging="180"/>
      </w:pPr>
    </w:lvl>
    <w:lvl w:ilvl="6" w:tplc="28CA1C06">
      <w:start w:val="1"/>
      <w:numFmt w:val="decimal"/>
      <w:lvlText w:val="%7."/>
      <w:lvlJc w:val="left"/>
      <w:pPr>
        <w:ind w:left="4680" w:hanging="360"/>
      </w:pPr>
    </w:lvl>
    <w:lvl w:ilvl="7" w:tplc="989ACB48">
      <w:start w:val="1"/>
      <w:numFmt w:val="lowerLetter"/>
      <w:lvlText w:val="%8."/>
      <w:lvlJc w:val="left"/>
      <w:pPr>
        <w:ind w:left="5400" w:hanging="360"/>
      </w:pPr>
    </w:lvl>
    <w:lvl w:ilvl="8" w:tplc="1624BA08">
      <w:start w:val="1"/>
      <w:numFmt w:val="lowerRoman"/>
      <w:lvlText w:val="%9."/>
      <w:lvlJc w:val="right"/>
      <w:pPr>
        <w:ind w:left="6120" w:hanging="180"/>
      </w:pPr>
    </w:lvl>
  </w:abstractNum>
  <w:abstractNum w:abstractNumId="14"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7"/>
  </w:num>
  <w:num w:numId="5">
    <w:abstractNumId w:val="5"/>
  </w:num>
  <w:num w:numId="6">
    <w:abstractNumId w:val="3"/>
  </w:num>
  <w:num w:numId="7">
    <w:abstractNumId w:val="2"/>
  </w:num>
  <w:num w:numId="8">
    <w:abstractNumId w:val="0"/>
  </w:num>
  <w:num w:numId="9">
    <w:abstractNumId w:val="1"/>
  </w:num>
  <w:num w:numId="10">
    <w:abstractNumId w:val="9"/>
  </w:num>
  <w:num w:numId="11">
    <w:abstractNumId w:val="10"/>
  </w:num>
  <w:num w:numId="12">
    <w:abstractNumId w:val="6"/>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04D4F"/>
    <w:rsid w:val="00055C48"/>
    <w:rsid w:val="000B7B51"/>
    <w:rsid w:val="000E4FA0"/>
    <w:rsid w:val="00102F4E"/>
    <w:rsid w:val="001A2411"/>
    <w:rsid w:val="001B52CA"/>
    <w:rsid w:val="0026797A"/>
    <w:rsid w:val="0027587A"/>
    <w:rsid w:val="002A100A"/>
    <w:rsid w:val="002D66CC"/>
    <w:rsid w:val="00300812"/>
    <w:rsid w:val="00300F93"/>
    <w:rsid w:val="00310CA0"/>
    <w:rsid w:val="00327EB0"/>
    <w:rsid w:val="00356BE5"/>
    <w:rsid w:val="00373050"/>
    <w:rsid w:val="003A1632"/>
    <w:rsid w:val="003F60AA"/>
    <w:rsid w:val="004603D5"/>
    <w:rsid w:val="00472F13"/>
    <w:rsid w:val="00496DD9"/>
    <w:rsid w:val="00506A1E"/>
    <w:rsid w:val="00506FC3"/>
    <w:rsid w:val="00551272"/>
    <w:rsid w:val="00557650"/>
    <w:rsid w:val="0056491D"/>
    <w:rsid w:val="005B4812"/>
    <w:rsid w:val="005B741F"/>
    <w:rsid w:val="005D6523"/>
    <w:rsid w:val="0060460F"/>
    <w:rsid w:val="006231FB"/>
    <w:rsid w:val="00653283"/>
    <w:rsid w:val="00665A1E"/>
    <w:rsid w:val="00686AA4"/>
    <w:rsid w:val="006A0B2E"/>
    <w:rsid w:val="006B3525"/>
    <w:rsid w:val="00735DAE"/>
    <w:rsid w:val="00770DA0"/>
    <w:rsid w:val="007911BE"/>
    <w:rsid w:val="007E2D80"/>
    <w:rsid w:val="007E66CA"/>
    <w:rsid w:val="00800077"/>
    <w:rsid w:val="00827B7A"/>
    <w:rsid w:val="0085558C"/>
    <w:rsid w:val="0086004D"/>
    <w:rsid w:val="008707C4"/>
    <w:rsid w:val="00872B58"/>
    <w:rsid w:val="00872BA4"/>
    <w:rsid w:val="008C4B4B"/>
    <w:rsid w:val="008F727F"/>
    <w:rsid w:val="00936D0A"/>
    <w:rsid w:val="00963CE4"/>
    <w:rsid w:val="00976EA9"/>
    <w:rsid w:val="00980D00"/>
    <w:rsid w:val="009A23AC"/>
    <w:rsid w:val="009C5702"/>
    <w:rsid w:val="009F7F5F"/>
    <w:rsid w:val="00A015AF"/>
    <w:rsid w:val="00A106D4"/>
    <w:rsid w:val="00A42905"/>
    <w:rsid w:val="00A73C78"/>
    <w:rsid w:val="00A769E5"/>
    <w:rsid w:val="00AA3D16"/>
    <w:rsid w:val="00AB2AEF"/>
    <w:rsid w:val="00AD794D"/>
    <w:rsid w:val="00B51C91"/>
    <w:rsid w:val="00B542E4"/>
    <w:rsid w:val="00B65620"/>
    <w:rsid w:val="00B6AA41"/>
    <w:rsid w:val="00B77D28"/>
    <w:rsid w:val="00B87EF5"/>
    <w:rsid w:val="00B9167F"/>
    <w:rsid w:val="00BB0B34"/>
    <w:rsid w:val="00BF7DE3"/>
    <w:rsid w:val="00C06C4E"/>
    <w:rsid w:val="00C41661"/>
    <w:rsid w:val="00C43BD2"/>
    <w:rsid w:val="00C507FE"/>
    <w:rsid w:val="00C53B82"/>
    <w:rsid w:val="00CA2F56"/>
    <w:rsid w:val="00CA3BE5"/>
    <w:rsid w:val="00CA7BE0"/>
    <w:rsid w:val="00CD2C98"/>
    <w:rsid w:val="00D330A6"/>
    <w:rsid w:val="00DB37A5"/>
    <w:rsid w:val="00DC5156"/>
    <w:rsid w:val="00DF63E6"/>
    <w:rsid w:val="00E441BE"/>
    <w:rsid w:val="00E56E85"/>
    <w:rsid w:val="00EA76B0"/>
    <w:rsid w:val="00EC75DD"/>
    <w:rsid w:val="00F2602E"/>
    <w:rsid w:val="00FB5DC0"/>
    <w:rsid w:val="00FC0AA2"/>
    <w:rsid w:val="013E38D2"/>
    <w:rsid w:val="01C00528"/>
    <w:rsid w:val="01D9C08D"/>
    <w:rsid w:val="0236344E"/>
    <w:rsid w:val="02521B69"/>
    <w:rsid w:val="027CE19B"/>
    <w:rsid w:val="0334E29D"/>
    <w:rsid w:val="034E5C47"/>
    <w:rsid w:val="0368B5D8"/>
    <w:rsid w:val="0415BC1A"/>
    <w:rsid w:val="04DCAA4E"/>
    <w:rsid w:val="05C8BF47"/>
    <w:rsid w:val="05DE649B"/>
    <w:rsid w:val="0677A7E3"/>
    <w:rsid w:val="0681E39F"/>
    <w:rsid w:val="079B96CC"/>
    <w:rsid w:val="07F10B19"/>
    <w:rsid w:val="0895ACEF"/>
    <w:rsid w:val="08D23D5E"/>
    <w:rsid w:val="0900F060"/>
    <w:rsid w:val="09335D90"/>
    <w:rsid w:val="0936389D"/>
    <w:rsid w:val="0973F848"/>
    <w:rsid w:val="0992BD33"/>
    <w:rsid w:val="09EBC414"/>
    <w:rsid w:val="0A003D7F"/>
    <w:rsid w:val="0AB1D5BE"/>
    <w:rsid w:val="0ACAFE1B"/>
    <w:rsid w:val="0ADEE78D"/>
    <w:rsid w:val="0B477588"/>
    <w:rsid w:val="0B773283"/>
    <w:rsid w:val="0B8E293D"/>
    <w:rsid w:val="0BA7A292"/>
    <w:rsid w:val="0C13C3E4"/>
    <w:rsid w:val="0C445A63"/>
    <w:rsid w:val="0C4CB667"/>
    <w:rsid w:val="0C6E5840"/>
    <w:rsid w:val="0C876602"/>
    <w:rsid w:val="0CD70CBB"/>
    <w:rsid w:val="0D009F98"/>
    <w:rsid w:val="0D66CEB0"/>
    <w:rsid w:val="0E029EDD"/>
    <w:rsid w:val="0E292C28"/>
    <w:rsid w:val="0E6BE1FC"/>
    <w:rsid w:val="0EA60CDA"/>
    <w:rsid w:val="0ECBA6C1"/>
    <w:rsid w:val="0F6C1EE0"/>
    <w:rsid w:val="0FE17031"/>
    <w:rsid w:val="103541D5"/>
    <w:rsid w:val="105B6A3F"/>
    <w:rsid w:val="10923231"/>
    <w:rsid w:val="10BB1120"/>
    <w:rsid w:val="10F23686"/>
    <w:rsid w:val="11211742"/>
    <w:rsid w:val="118102CB"/>
    <w:rsid w:val="11E5CCF8"/>
    <w:rsid w:val="120CC5A0"/>
    <w:rsid w:val="122EBFF6"/>
    <w:rsid w:val="12428368"/>
    <w:rsid w:val="1242DBDC"/>
    <w:rsid w:val="1253CF87"/>
    <w:rsid w:val="1281EACB"/>
    <w:rsid w:val="128DA890"/>
    <w:rsid w:val="12DEBAEA"/>
    <w:rsid w:val="13007DAD"/>
    <w:rsid w:val="1304DF78"/>
    <w:rsid w:val="131CE1BB"/>
    <w:rsid w:val="131EED53"/>
    <w:rsid w:val="13A8CD5C"/>
    <w:rsid w:val="141A4C6A"/>
    <w:rsid w:val="147A8B4B"/>
    <w:rsid w:val="1492E0DA"/>
    <w:rsid w:val="1494F3FA"/>
    <w:rsid w:val="14E04DCA"/>
    <w:rsid w:val="155F6890"/>
    <w:rsid w:val="161A5538"/>
    <w:rsid w:val="16B84A94"/>
    <w:rsid w:val="16DA4DCD"/>
    <w:rsid w:val="16E87F14"/>
    <w:rsid w:val="171C7E67"/>
    <w:rsid w:val="177730C5"/>
    <w:rsid w:val="17A5E4AE"/>
    <w:rsid w:val="17D25999"/>
    <w:rsid w:val="181788A2"/>
    <w:rsid w:val="1826E863"/>
    <w:rsid w:val="183F3469"/>
    <w:rsid w:val="184AF6E2"/>
    <w:rsid w:val="18A919CC"/>
    <w:rsid w:val="18BC89EC"/>
    <w:rsid w:val="195D5F44"/>
    <w:rsid w:val="1A0A96F3"/>
    <w:rsid w:val="1A2344BD"/>
    <w:rsid w:val="1A72F6B2"/>
    <w:rsid w:val="1A8B323F"/>
    <w:rsid w:val="1AE64CE4"/>
    <w:rsid w:val="1B24E9E4"/>
    <w:rsid w:val="1B2F8D0C"/>
    <w:rsid w:val="1B6E82BF"/>
    <w:rsid w:val="1BB8F9F4"/>
    <w:rsid w:val="1C63C9E9"/>
    <w:rsid w:val="1C6B81FD"/>
    <w:rsid w:val="1CD8C805"/>
    <w:rsid w:val="1D27B694"/>
    <w:rsid w:val="1DCF596D"/>
    <w:rsid w:val="1DDE5E58"/>
    <w:rsid w:val="1E1E7585"/>
    <w:rsid w:val="1E2A045C"/>
    <w:rsid w:val="1E419B1D"/>
    <w:rsid w:val="1F250579"/>
    <w:rsid w:val="1F3F7D58"/>
    <w:rsid w:val="1F4311E1"/>
    <w:rsid w:val="1F596FC6"/>
    <w:rsid w:val="20F6DFA2"/>
    <w:rsid w:val="210EB38A"/>
    <w:rsid w:val="21601382"/>
    <w:rsid w:val="218F8DD2"/>
    <w:rsid w:val="21966300"/>
    <w:rsid w:val="21C5E5CD"/>
    <w:rsid w:val="21E6E152"/>
    <w:rsid w:val="220A26C3"/>
    <w:rsid w:val="226187FF"/>
    <w:rsid w:val="232BB6B3"/>
    <w:rsid w:val="233A587D"/>
    <w:rsid w:val="23F62630"/>
    <w:rsid w:val="2480A233"/>
    <w:rsid w:val="24C5DB00"/>
    <w:rsid w:val="250D9BEB"/>
    <w:rsid w:val="25F20B0E"/>
    <w:rsid w:val="260FF05A"/>
    <w:rsid w:val="2622B9EF"/>
    <w:rsid w:val="26578C73"/>
    <w:rsid w:val="266CE5AA"/>
    <w:rsid w:val="26885939"/>
    <w:rsid w:val="268A7AF2"/>
    <w:rsid w:val="26CCFC22"/>
    <w:rsid w:val="272E3804"/>
    <w:rsid w:val="2759E963"/>
    <w:rsid w:val="2822FAC6"/>
    <w:rsid w:val="288B9F29"/>
    <w:rsid w:val="28ED2473"/>
    <w:rsid w:val="29418584"/>
    <w:rsid w:val="29A74D69"/>
    <w:rsid w:val="29E79F05"/>
    <w:rsid w:val="2A040E4A"/>
    <w:rsid w:val="2AB6DDDC"/>
    <w:rsid w:val="2BCC4040"/>
    <w:rsid w:val="2BF57658"/>
    <w:rsid w:val="2C10AA31"/>
    <w:rsid w:val="2C27E6DF"/>
    <w:rsid w:val="2C436F9F"/>
    <w:rsid w:val="2C531686"/>
    <w:rsid w:val="2C586C10"/>
    <w:rsid w:val="2C68B2DC"/>
    <w:rsid w:val="2D0FF1AB"/>
    <w:rsid w:val="2D2EA812"/>
    <w:rsid w:val="2DC7F2CE"/>
    <w:rsid w:val="2DEB5B3C"/>
    <w:rsid w:val="2E743CC3"/>
    <w:rsid w:val="2F213194"/>
    <w:rsid w:val="2F602488"/>
    <w:rsid w:val="2F6F3A32"/>
    <w:rsid w:val="2FF0482B"/>
    <w:rsid w:val="3083DCD5"/>
    <w:rsid w:val="30DA790D"/>
    <w:rsid w:val="31C2E584"/>
    <w:rsid w:val="31D2F696"/>
    <w:rsid w:val="3232E577"/>
    <w:rsid w:val="32464CC8"/>
    <w:rsid w:val="328E971D"/>
    <w:rsid w:val="32B1B4D3"/>
    <w:rsid w:val="338609A0"/>
    <w:rsid w:val="339734B7"/>
    <w:rsid w:val="33F99A72"/>
    <w:rsid w:val="34255B1A"/>
    <w:rsid w:val="350F209D"/>
    <w:rsid w:val="35C4A063"/>
    <w:rsid w:val="3623058C"/>
    <w:rsid w:val="362D2AE8"/>
    <w:rsid w:val="36965A6E"/>
    <w:rsid w:val="36A07196"/>
    <w:rsid w:val="36CD08D9"/>
    <w:rsid w:val="3761E591"/>
    <w:rsid w:val="3787D464"/>
    <w:rsid w:val="3787DB34"/>
    <w:rsid w:val="37B35309"/>
    <w:rsid w:val="38171751"/>
    <w:rsid w:val="39F2FD07"/>
    <w:rsid w:val="3A3BB63B"/>
    <w:rsid w:val="3A4CA002"/>
    <w:rsid w:val="3A542134"/>
    <w:rsid w:val="3A8B71C8"/>
    <w:rsid w:val="3A9101F4"/>
    <w:rsid w:val="3AA8473B"/>
    <w:rsid w:val="3AC2DCC6"/>
    <w:rsid w:val="3B120262"/>
    <w:rsid w:val="3B25DF22"/>
    <w:rsid w:val="3BB70ECA"/>
    <w:rsid w:val="3BCC21B1"/>
    <w:rsid w:val="3BE6E972"/>
    <w:rsid w:val="3BF9C9C7"/>
    <w:rsid w:val="3C57B6EF"/>
    <w:rsid w:val="3C9550CF"/>
    <w:rsid w:val="3C97490D"/>
    <w:rsid w:val="3CB72B11"/>
    <w:rsid w:val="3D9D1780"/>
    <w:rsid w:val="3DC4EE3B"/>
    <w:rsid w:val="3E64F3E0"/>
    <w:rsid w:val="3EA8BBDF"/>
    <w:rsid w:val="3FBE2F7C"/>
    <w:rsid w:val="402C0641"/>
    <w:rsid w:val="40AA3A5B"/>
    <w:rsid w:val="40C215C7"/>
    <w:rsid w:val="4157F2C3"/>
    <w:rsid w:val="4159FFDD"/>
    <w:rsid w:val="41B75A4E"/>
    <w:rsid w:val="422CE2BB"/>
    <w:rsid w:val="428E0291"/>
    <w:rsid w:val="42EC6A3F"/>
    <w:rsid w:val="43081C4A"/>
    <w:rsid w:val="433DFD85"/>
    <w:rsid w:val="43FCA528"/>
    <w:rsid w:val="440AB443"/>
    <w:rsid w:val="441625AB"/>
    <w:rsid w:val="44DA367C"/>
    <w:rsid w:val="45AF07F7"/>
    <w:rsid w:val="46133743"/>
    <w:rsid w:val="464B4694"/>
    <w:rsid w:val="46E77A5D"/>
    <w:rsid w:val="470053DE"/>
    <w:rsid w:val="476173B4"/>
    <w:rsid w:val="47DCBF47"/>
    <w:rsid w:val="47EB34E2"/>
    <w:rsid w:val="4807B1A1"/>
    <w:rsid w:val="480A7C4B"/>
    <w:rsid w:val="486CE4D0"/>
    <w:rsid w:val="487069A4"/>
    <w:rsid w:val="48A41169"/>
    <w:rsid w:val="48C9D52C"/>
    <w:rsid w:val="48CEF0CD"/>
    <w:rsid w:val="48D07565"/>
    <w:rsid w:val="48FAAA62"/>
    <w:rsid w:val="4912FA00"/>
    <w:rsid w:val="4961E004"/>
    <w:rsid w:val="4989E6D9"/>
    <w:rsid w:val="4994E597"/>
    <w:rsid w:val="4A08B531"/>
    <w:rsid w:val="4A3EEEDD"/>
    <w:rsid w:val="4A3FE1CA"/>
    <w:rsid w:val="4A7BBC9F"/>
    <w:rsid w:val="4A9B697A"/>
    <w:rsid w:val="4AB86F41"/>
    <w:rsid w:val="4B40CCE0"/>
    <w:rsid w:val="4B479536"/>
    <w:rsid w:val="4BC4FF02"/>
    <w:rsid w:val="4C548086"/>
    <w:rsid w:val="4C763C71"/>
    <w:rsid w:val="4C79CDA7"/>
    <w:rsid w:val="4D0E0F7D"/>
    <w:rsid w:val="4D88B7EF"/>
    <w:rsid w:val="4DC759FD"/>
    <w:rsid w:val="4DCD42C6"/>
    <w:rsid w:val="4DDBC7FB"/>
    <w:rsid w:val="4DFDC92C"/>
    <w:rsid w:val="4E7D3DBA"/>
    <w:rsid w:val="4EF629B4"/>
    <w:rsid w:val="4EFA4815"/>
    <w:rsid w:val="4F26D5B4"/>
    <w:rsid w:val="4F6855C3"/>
    <w:rsid w:val="4F691327"/>
    <w:rsid w:val="4F754D6F"/>
    <w:rsid w:val="4FFB7BFB"/>
    <w:rsid w:val="50BDD47B"/>
    <w:rsid w:val="50F5A1B3"/>
    <w:rsid w:val="5104E388"/>
    <w:rsid w:val="5191CA9E"/>
    <w:rsid w:val="51A316D9"/>
    <w:rsid w:val="51AC50F4"/>
    <w:rsid w:val="52AA99AD"/>
    <w:rsid w:val="52BF22C0"/>
    <w:rsid w:val="53060CB8"/>
    <w:rsid w:val="530CE6DE"/>
    <w:rsid w:val="5378CB0F"/>
    <w:rsid w:val="53A2A7FD"/>
    <w:rsid w:val="53B7B6D3"/>
    <w:rsid w:val="53FB2DBF"/>
    <w:rsid w:val="55A0CD84"/>
    <w:rsid w:val="55BCA7BE"/>
    <w:rsid w:val="55C68CB5"/>
    <w:rsid w:val="5620D3B2"/>
    <w:rsid w:val="56277CA2"/>
    <w:rsid w:val="563487A3"/>
    <w:rsid w:val="569A3F58"/>
    <w:rsid w:val="572B0038"/>
    <w:rsid w:val="57784FAA"/>
    <w:rsid w:val="57A00BE4"/>
    <w:rsid w:val="57AE5FD7"/>
    <w:rsid w:val="57D15E4B"/>
    <w:rsid w:val="5826183E"/>
    <w:rsid w:val="586BDAE5"/>
    <w:rsid w:val="58B2E977"/>
    <w:rsid w:val="59405C85"/>
    <w:rsid w:val="5A166F1E"/>
    <w:rsid w:val="5A28C5A5"/>
    <w:rsid w:val="5A2DE042"/>
    <w:rsid w:val="5AB3B354"/>
    <w:rsid w:val="5ABCD2B6"/>
    <w:rsid w:val="5ADC2CE6"/>
    <w:rsid w:val="5AE3C6A7"/>
    <w:rsid w:val="5B1063F4"/>
    <w:rsid w:val="5B1620C2"/>
    <w:rsid w:val="5B3D9753"/>
    <w:rsid w:val="5BB66BB1"/>
    <w:rsid w:val="5BB940B7"/>
    <w:rsid w:val="5BCEB4D2"/>
    <w:rsid w:val="5BD65965"/>
    <w:rsid w:val="5C9F3FC8"/>
    <w:rsid w:val="5CA1F360"/>
    <w:rsid w:val="5CB1F123"/>
    <w:rsid w:val="5CD1A602"/>
    <w:rsid w:val="5D05AD78"/>
    <w:rsid w:val="5D405C7A"/>
    <w:rsid w:val="5E132CBB"/>
    <w:rsid w:val="5E137048"/>
    <w:rsid w:val="5E4C9A5B"/>
    <w:rsid w:val="5F104EB6"/>
    <w:rsid w:val="6002AB7F"/>
    <w:rsid w:val="600DFCD9"/>
    <w:rsid w:val="6010CC80"/>
    <w:rsid w:val="602A0FDF"/>
    <w:rsid w:val="60D43FE7"/>
    <w:rsid w:val="6101E47F"/>
    <w:rsid w:val="617D639D"/>
    <w:rsid w:val="618B5539"/>
    <w:rsid w:val="61EF5EB0"/>
    <w:rsid w:val="6272B19D"/>
    <w:rsid w:val="6289F09F"/>
    <w:rsid w:val="62A59CDC"/>
    <w:rsid w:val="62B34E12"/>
    <w:rsid w:val="630D6884"/>
    <w:rsid w:val="6354DA6C"/>
    <w:rsid w:val="638390E4"/>
    <w:rsid w:val="6444DFAF"/>
    <w:rsid w:val="64DF137A"/>
    <w:rsid w:val="6551DB58"/>
    <w:rsid w:val="656667DD"/>
    <w:rsid w:val="65874EC4"/>
    <w:rsid w:val="65943897"/>
    <w:rsid w:val="65DFD2A5"/>
    <w:rsid w:val="65E9D2E5"/>
    <w:rsid w:val="666E2AC5"/>
    <w:rsid w:val="668DD04F"/>
    <w:rsid w:val="66B7971A"/>
    <w:rsid w:val="66D2F3C1"/>
    <w:rsid w:val="67687AE3"/>
    <w:rsid w:val="67A7E7A3"/>
    <w:rsid w:val="67BF8BC8"/>
    <w:rsid w:val="684CD858"/>
    <w:rsid w:val="68866319"/>
    <w:rsid w:val="68E9EEDA"/>
    <w:rsid w:val="68F5F2D3"/>
    <w:rsid w:val="69BBED1D"/>
    <w:rsid w:val="6A2A55A5"/>
    <w:rsid w:val="6A324D13"/>
    <w:rsid w:val="6A6E3592"/>
    <w:rsid w:val="6A74D448"/>
    <w:rsid w:val="6AB0AEC1"/>
    <w:rsid w:val="6ACAD255"/>
    <w:rsid w:val="6B1C6255"/>
    <w:rsid w:val="6B46C3F4"/>
    <w:rsid w:val="6B5ECC4A"/>
    <w:rsid w:val="6B7F27EE"/>
    <w:rsid w:val="6B80D741"/>
    <w:rsid w:val="6C0FB1D3"/>
    <w:rsid w:val="6C32EACA"/>
    <w:rsid w:val="6CBDC2CC"/>
    <w:rsid w:val="6D1B4991"/>
    <w:rsid w:val="6D9E122D"/>
    <w:rsid w:val="6DBAC4CD"/>
    <w:rsid w:val="6E7E6512"/>
    <w:rsid w:val="6E9C33F2"/>
    <w:rsid w:val="6F5160E6"/>
    <w:rsid w:val="6F61E8F1"/>
    <w:rsid w:val="6F9F392A"/>
    <w:rsid w:val="6FAA0BD6"/>
    <w:rsid w:val="6FE1F2A0"/>
    <w:rsid w:val="70622CEC"/>
    <w:rsid w:val="7077AFB4"/>
    <w:rsid w:val="70D4D6A4"/>
    <w:rsid w:val="717A2B49"/>
    <w:rsid w:val="71C625B2"/>
    <w:rsid w:val="72074A04"/>
    <w:rsid w:val="720B084E"/>
    <w:rsid w:val="72B90B04"/>
    <w:rsid w:val="73B2F60B"/>
    <w:rsid w:val="743BE41A"/>
    <w:rsid w:val="76BB8001"/>
    <w:rsid w:val="76CB5D30"/>
    <w:rsid w:val="772ECE21"/>
    <w:rsid w:val="773AA1FC"/>
    <w:rsid w:val="77603532"/>
    <w:rsid w:val="77E32A3D"/>
    <w:rsid w:val="785D2F3A"/>
    <w:rsid w:val="78AEC438"/>
    <w:rsid w:val="79526F60"/>
    <w:rsid w:val="79955D1E"/>
    <w:rsid w:val="79DC1EF6"/>
    <w:rsid w:val="79FA0895"/>
    <w:rsid w:val="7AA0F911"/>
    <w:rsid w:val="7BA71CC5"/>
    <w:rsid w:val="7BF0D022"/>
    <w:rsid w:val="7C007190"/>
    <w:rsid w:val="7C92ACA4"/>
    <w:rsid w:val="7CA5AD87"/>
    <w:rsid w:val="7CB050AF"/>
    <w:rsid w:val="7D114904"/>
    <w:rsid w:val="7D5128D7"/>
    <w:rsid w:val="7D7C76F4"/>
    <w:rsid w:val="7DF0AAE8"/>
    <w:rsid w:val="7E0D6602"/>
    <w:rsid w:val="7E6222C8"/>
    <w:rsid w:val="7EAC9640"/>
    <w:rsid w:val="7EB568F1"/>
    <w:rsid w:val="7EFC1C04"/>
    <w:rsid w:val="7F204854"/>
    <w:rsid w:val="7FCA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redith.villines@state.o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1d16fd1e5eda418e"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2021-12-17T00:31:57+00:00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C21F9-4EE9-4382-8358-CB255CA6644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http://purl.org/dc/terms/"/>
    <ds:schemaRef ds:uri="http://schemas.openxmlformats.org/package/2006/metadata/core-properties"/>
    <ds:schemaRef ds:uri="7f305cf4-7e8c-42e6-816c-ef6b646f0adc"/>
    <ds:schemaRef ds:uri="http://www.w3.org/XML/1998/namespace"/>
  </ds:schemaRefs>
</ds:datastoreItem>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18EF09DB-09F9-4CE9-93B5-E4E564879465}"/>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2021-12-15T22:26:00Z</dcterms:created>
  <dcterms:modified xsi:type="dcterms:W3CDTF">2021-12-15T22:26:00Z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