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72" w:rsidRDefault="00F849CF" w:rsidP="001D2E17">
      <w:pPr>
        <w:pStyle w:val="Heading2"/>
      </w:pPr>
      <w:r>
        <w:t>C</w:t>
      </w:r>
      <w:r w:rsidR="00FB141F">
        <w:t>alculation of the</w:t>
      </w:r>
      <w:r w:rsidR="005E4172">
        <w:t xml:space="preserve"> Proportion</w:t>
      </w:r>
      <w:r w:rsidR="00F4030B">
        <w:t>a</w:t>
      </w:r>
      <w:r w:rsidR="00FB141F">
        <w:t>l</w:t>
      </w:r>
      <w:r w:rsidR="005E4172">
        <w:t xml:space="preserve"> Share</w:t>
      </w:r>
      <w:r w:rsidR="00C57150">
        <w:t xml:space="preserve"> for Title I</w:t>
      </w:r>
      <w:r w:rsidR="00FB141F">
        <w:t>-A</w:t>
      </w:r>
    </w:p>
    <w:p w:rsidR="00FB141F" w:rsidRDefault="00FB141F" w:rsidP="00E41B7D">
      <w:pPr>
        <w:spacing w:line="240" w:lineRule="auto"/>
      </w:pPr>
      <w:r>
        <w:t xml:space="preserve">Under the Every Student Succeeds Act (ESSA), a district must determine the amount of funds available for providing equitable services </w:t>
      </w:r>
      <w:r w:rsidRPr="00FB141F">
        <w:t>prior</w:t>
      </w:r>
      <w:r>
        <w:t xml:space="preserve"> to any expenditures or transfers of funds.  This includes all reservations previously taken “off the top” of district’s Title I-A allocation, including reservations for administration, parental involvement, and district-wide initiatives.</w:t>
      </w:r>
    </w:p>
    <w:p w:rsidR="00074BD5" w:rsidRDefault="00FF09A1" w:rsidP="00074BD5">
      <w:pPr>
        <w:spacing w:line="240" w:lineRule="auto"/>
      </w:pPr>
      <w:r>
        <w:t xml:space="preserve">A private school’s allocation is based on </w:t>
      </w:r>
      <w:r w:rsidRPr="00FF09A1">
        <w:rPr>
          <w:b/>
          <w:u w:val="single"/>
        </w:rPr>
        <w:t>POVERTY and RESIDENCE</w:t>
      </w:r>
      <w:r>
        <w:t xml:space="preserve">.  </w:t>
      </w:r>
      <w:r w:rsidR="00FB141F">
        <w:t xml:space="preserve">Once a district has established the participating public school attendance areas (see B-1 and B-2 of the </w:t>
      </w:r>
      <w:r w:rsidR="00FB141F" w:rsidRPr="00FB141F">
        <w:rPr>
          <w:i/>
        </w:rPr>
        <w:t>Title I</w:t>
      </w:r>
      <w:r w:rsidR="00FB141F">
        <w:rPr>
          <w:i/>
        </w:rPr>
        <w:t xml:space="preserve"> Services to Eligible Private S</w:t>
      </w:r>
      <w:r>
        <w:rPr>
          <w:i/>
        </w:rPr>
        <w:t>chool Children</w:t>
      </w:r>
      <w:r w:rsidR="00FB141F">
        <w:t xml:space="preserve">), it </w:t>
      </w:r>
      <w:r w:rsidR="008C03E0">
        <w:rPr>
          <w:b/>
          <w:u w:val="single"/>
        </w:rPr>
        <w:t xml:space="preserve">would </w:t>
      </w:r>
      <w:r w:rsidR="00FB141F" w:rsidRPr="00FF09A1">
        <w:rPr>
          <w:b/>
          <w:u w:val="single"/>
        </w:rPr>
        <w:t xml:space="preserve"> determine the number of children from low-income families residing in each participating public school attendance area</w:t>
      </w:r>
      <w:r w:rsidR="00FB141F">
        <w:t xml:space="preserve"> who attend </w:t>
      </w:r>
      <w:r w:rsidR="00D26AFC">
        <w:t xml:space="preserve">public schools and private schools. </w:t>
      </w:r>
      <w:r>
        <w:t xml:space="preserve"> There are four methods for determining poverty:  Free and Reduced lunch, income survey, proportionality and tuition/scholarship information.  The method for determining poverty is</w:t>
      </w:r>
      <w:r w:rsidR="008C03E0">
        <w:t xml:space="preserve"> </w:t>
      </w:r>
      <w:r>
        <w:t>a</w:t>
      </w:r>
      <w:r w:rsidR="00074BD5">
        <w:t>greed upon during consultation.</w:t>
      </w:r>
      <w:bookmarkStart w:id="0" w:name="_GoBack"/>
      <w:bookmarkEnd w:id="0"/>
    </w:p>
    <w:p w:rsidR="00FB141F" w:rsidRDefault="00D26AFC" w:rsidP="00FB141F">
      <w:pPr>
        <w:spacing w:after="0" w:line="240" w:lineRule="auto"/>
      </w:pPr>
      <w:r>
        <w:t>The district determine</w:t>
      </w:r>
      <w:r w:rsidR="00FF09A1">
        <w:t>s</w:t>
      </w:r>
      <w:r>
        <w:t xml:space="preserve"> the overall proportion of children from low-income families who reside in participating public school attendance areas who attend public schools and private schools.  Using the proportion of children from low-income families who attend private schools, the district would determine the amount of funds available for equitable services based on the proportionate share of the district’s total Title I-A allocation.  For example, a district with four Title I public school attendance areas and a total</w:t>
      </w:r>
      <w:r w:rsidR="003454A6">
        <w:t xml:space="preserve"> Title I-A allocation of $1,000,000 would determine the total amount for all Title I-A equitable service activities (proportionate share) as follows:</w:t>
      </w:r>
    </w:p>
    <w:p w:rsidR="00FB141F" w:rsidRDefault="00FB141F" w:rsidP="00FB141F">
      <w:pPr>
        <w:spacing w:after="0" w:line="240" w:lineRule="auto"/>
      </w:pPr>
    </w:p>
    <w:tbl>
      <w:tblPr>
        <w:tblStyle w:val="TableGrid"/>
        <w:tblW w:w="0" w:type="auto"/>
        <w:tblLook w:val="04A0" w:firstRow="1" w:lastRow="0" w:firstColumn="1" w:lastColumn="0" w:noHBand="0" w:noVBand="1"/>
        <w:tblCaption w:val="Example of Determining the Amount of Title I Funds for Equitable Services Table"/>
        <w:tblDescription w:val="Example of Determining the Amount of Title I Funds for Equitable Services"/>
      </w:tblPr>
      <w:tblGrid>
        <w:gridCol w:w="2364"/>
        <w:gridCol w:w="2330"/>
        <w:gridCol w:w="2330"/>
        <w:gridCol w:w="2326"/>
      </w:tblGrid>
      <w:tr w:rsidR="00B640A9" w:rsidTr="00E45330">
        <w:trPr>
          <w:tblHeader/>
        </w:trPr>
        <w:tc>
          <w:tcPr>
            <w:tcW w:w="9576" w:type="dxa"/>
            <w:gridSpan w:val="4"/>
          </w:tcPr>
          <w:p w:rsidR="00B640A9" w:rsidRPr="00B640A9" w:rsidRDefault="00B640A9" w:rsidP="00B640A9">
            <w:pPr>
              <w:jc w:val="center"/>
              <w:rPr>
                <w:b/>
              </w:rPr>
            </w:pPr>
            <w:r>
              <w:rPr>
                <w:b/>
              </w:rPr>
              <w:t>Example of Determining the Amount of Title I Funds for Equitable Services</w:t>
            </w:r>
          </w:p>
        </w:tc>
      </w:tr>
      <w:tr w:rsidR="00B640A9" w:rsidRPr="00056696" w:rsidTr="00B640A9">
        <w:tc>
          <w:tcPr>
            <w:tcW w:w="2394" w:type="dxa"/>
          </w:tcPr>
          <w:p w:rsidR="00B640A9" w:rsidRPr="00056696" w:rsidRDefault="00B640A9" w:rsidP="005E4172">
            <w:r w:rsidRPr="00056696">
              <w:t>Public School Attendance Area</w:t>
            </w:r>
          </w:p>
        </w:tc>
        <w:tc>
          <w:tcPr>
            <w:tcW w:w="2394" w:type="dxa"/>
          </w:tcPr>
          <w:p w:rsidR="00B640A9" w:rsidRPr="00056696" w:rsidRDefault="00B640A9" w:rsidP="005E4172">
            <w:r w:rsidRPr="00056696">
              <w:t>Number of Public School Low-Income Children</w:t>
            </w:r>
          </w:p>
        </w:tc>
        <w:tc>
          <w:tcPr>
            <w:tcW w:w="2394" w:type="dxa"/>
          </w:tcPr>
          <w:p w:rsidR="00B640A9" w:rsidRPr="00056696" w:rsidRDefault="00B640A9" w:rsidP="005E4172">
            <w:r w:rsidRPr="00056696">
              <w:t xml:space="preserve">Number of Private School </w:t>
            </w:r>
            <w:r w:rsidRPr="008C03E0">
              <w:rPr>
                <w:b/>
                <w:u w:val="single"/>
              </w:rPr>
              <w:t>Low-Income</w:t>
            </w:r>
            <w:r w:rsidRPr="00056696">
              <w:t xml:space="preserve"> Children</w:t>
            </w:r>
          </w:p>
        </w:tc>
        <w:tc>
          <w:tcPr>
            <w:tcW w:w="2394" w:type="dxa"/>
          </w:tcPr>
          <w:p w:rsidR="00B640A9" w:rsidRPr="00056696" w:rsidRDefault="00B640A9" w:rsidP="005E4172">
            <w:r w:rsidRPr="00056696">
              <w:t>Total Number of Low-Income Children</w:t>
            </w:r>
          </w:p>
        </w:tc>
      </w:tr>
      <w:tr w:rsidR="00B640A9" w:rsidTr="00B640A9">
        <w:tc>
          <w:tcPr>
            <w:tcW w:w="2394" w:type="dxa"/>
          </w:tcPr>
          <w:p w:rsidR="00B640A9" w:rsidRDefault="00B640A9" w:rsidP="005E4172">
            <w:r>
              <w:t>School A</w:t>
            </w:r>
          </w:p>
        </w:tc>
        <w:tc>
          <w:tcPr>
            <w:tcW w:w="2394" w:type="dxa"/>
          </w:tcPr>
          <w:p w:rsidR="00B640A9" w:rsidRDefault="00B640A9" w:rsidP="00B640A9">
            <w:pPr>
              <w:jc w:val="center"/>
            </w:pPr>
            <w:r>
              <w:t>500</w:t>
            </w:r>
          </w:p>
        </w:tc>
        <w:tc>
          <w:tcPr>
            <w:tcW w:w="2394" w:type="dxa"/>
          </w:tcPr>
          <w:p w:rsidR="00B640A9" w:rsidRDefault="00B640A9" w:rsidP="00B640A9">
            <w:pPr>
              <w:jc w:val="center"/>
            </w:pPr>
            <w:r>
              <w:t>120</w:t>
            </w:r>
          </w:p>
        </w:tc>
        <w:tc>
          <w:tcPr>
            <w:tcW w:w="2394" w:type="dxa"/>
          </w:tcPr>
          <w:p w:rsidR="00B640A9" w:rsidRDefault="00B640A9" w:rsidP="00B640A9">
            <w:pPr>
              <w:jc w:val="center"/>
            </w:pPr>
            <w:r>
              <w:t>620</w:t>
            </w:r>
          </w:p>
        </w:tc>
      </w:tr>
      <w:tr w:rsidR="00B640A9" w:rsidTr="00B640A9">
        <w:tc>
          <w:tcPr>
            <w:tcW w:w="2394" w:type="dxa"/>
          </w:tcPr>
          <w:p w:rsidR="00B640A9" w:rsidRDefault="00B640A9" w:rsidP="005E4172">
            <w:r>
              <w:t>School B</w:t>
            </w:r>
          </w:p>
        </w:tc>
        <w:tc>
          <w:tcPr>
            <w:tcW w:w="2394" w:type="dxa"/>
          </w:tcPr>
          <w:p w:rsidR="00B640A9" w:rsidRDefault="00B640A9" w:rsidP="00B640A9">
            <w:pPr>
              <w:jc w:val="center"/>
            </w:pPr>
            <w:r>
              <w:t>300</w:t>
            </w:r>
          </w:p>
        </w:tc>
        <w:tc>
          <w:tcPr>
            <w:tcW w:w="2394" w:type="dxa"/>
          </w:tcPr>
          <w:p w:rsidR="00B640A9" w:rsidRDefault="00B640A9" w:rsidP="00B640A9">
            <w:pPr>
              <w:jc w:val="center"/>
            </w:pPr>
            <w:r>
              <w:t>9</w:t>
            </w:r>
          </w:p>
        </w:tc>
        <w:tc>
          <w:tcPr>
            <w:tcW w:w="2394" w:type="dxa"/>
          </w:tcPr>
          <w:p w:rsidR="00B640A9" w:rsidRDefault="00B640A9" w:rsidP="00B640A9">
            <w:pPr>
              <w:jc w:val="center"/>
            </w:pPr>
            <w:r>
              <w:t>309</w:t>
            </w:r>
          </w:p>
        </w:tc>
      </w:tr>
      <w:tr w:rsidR="00B640A9" w:rsidTr="00B640A9">
        <w:tc>
          <w:tcPr>
            <w:tcW w:w="2394" w:type="dxa"/>
          </w:tcPr>
          <w:p w:rsidR="00B640A9" w:rsidRDefault="00B640A9" w:rsidP="005E4172">
            <w:r>
              <w:t>School C</w:t>
            </w:r>
          </w:p>
        </w:tc>
        <w:tc>
          <w:tcPr>
            <w:tcW w:w="2394" w:type="dxa"/>
          </w:tcPr>
          <w:p w:rsidR="00B640A9" w:rsidRDefault="00B640A9" w:rsidP="00B640A9">
            <w:pPr>
              <w:jc w:val="center"/>
            </w:pPr>
            <w:r>
              <w:t>200</w:t>
            </w:r>
          </w:p>
        </w:tc>
        <w:tc>
          <w:tcPr>
            <w:tcW w:w="2394" w:type="dxa"/>
          </w:tcPr>
          <w:p w:rsidR="00B640A9" w:rsidRDefault="00B640A9" w:rsidP="00B640A9">
            <w:pPr>
              <w:jc w:val="center"/>
            </w:pPr>
            <w:r>
              <w:t>6</w:t>
            </w:r>
          </w:p>
        </w:tc>
        <w:tc>
          <w:tcPr>
            <w:tcW w:w="2394" w:type="dxa"/>
          </w:tcPr>
          <w:p w:rsidR="00B640A9" w:rsidRDefault="00B640A9" w:rsidP="00B640A9">
            <w:pPr>
              <w:jc w:val="center"/>
            </w:pPr>
            <w:r>
              <w:t>206</w:t>
            </w:r>
          </w:p>
        </w:tc>
      </w:tr>
      <w:tr w:rsidR="00B640A9" w:rsidTr="00B640A9">
        <w:tc>
          <w:tcPr>
            <w:tcW w:w="2394" w:type="dxa"/>
          </w:tcPr>
          <w:p w:rsidR="00B640A9" w:rsidRDefault="00B640A9" w:rsidP="005E4172">
            <w:r>
              <w:t>School D</w:t>
            </w:r>
          </w:p>
        </w:tc>
        <w:tc>
          <w:tcPr>
            <w:tcW w:w="2394" w:type="dxa"/>
          </w:tcPr>
          <w:p w:rsidR="00B640A9" w:rsidRDefault="00B640A9" w:rsidP="00B640A9">
            <w:pPr>
              <w:jc w:val="center"/>
            </w:pPr>
            <w:r>
              <w:t>350</w:t>
            </w:r>
          </w:p>
        </w:tc>
        <w:tc>
          <w:tcPr>
            <w:tcW w:w="2394" w:type="dxa"/>
          </w:tcPr>
          <w:p w:rsidR="00B640A9" w:rsidRDefault="00B640A9" w:rsidP="00B640A9">
            <w:pPr>
              <w:jc w:val="center"/>
            </w:pPr>
            <w:r>
              <w:t>15</w:t>
            </w:r>
          </w:p>
        </w:tc>
        <w:tc>
          <w:tcPr>
            <w:tcW w:w="2394" w:type="dxa"/>
          </w:tcPr>
          <w:p w:rsidR="00B640A9" w:rsidRDefault="00B640A9" w:rsidP="00B640A9">
            <w:pPr>
              <w:jc w:val="center"/>
            </w:pPr>
            <w:r>
              <w:t>265</w:t>
            </w:r>
          </w:p>
        </w:tc>
      </w:tr>
      <w:tr w:rsidR="00B640A9" w:rsidTr="00B640A9">
        <w:tc>
          <w:tcPr>
            <w:tcW w:w="2394" w:type="dxa"/>
          </w:tcPr>
          <w:p w:rsidR="00B640A9" w:rsidRPr="00B640A9" w:rsidRDefault="00B640A9" w:rsidP="005E4172">
            <w:pPr>
              <w:rPr>
                <w:b/>
              </w:rPr>
            </w:pPr>
            <w:r>
              <w:rPr>
                <w:b/>
              </w:rPr>
              <w:t>Total</w:t>
            </w:r>
          </w:p>
        </w:tc>
        <w:tc>
          <w:tcPr>
            <w:tcW w:w="2394" w:type="dxa"/>
          </w:tcPr>
          <w:p w:rsidR="00B640A9" w:rsidRPr="00B640A9" w:rsidRDefault="00B640A9" w:rsidP="00B640A9">
            <w:pPr>
              <w:jc w:val="center"/>
              <w:rPr>
                <w:b/>
              </w:rPr>
            </w:pPr>
            <w:r w:rsidRPr="00B640A9">
              <w:rPr>
                <w:b/>
              </w:rPr>
              <w:t>1350</w:t>
            </w:r>
          </w:p>
        </w:tc>
        <w:tc>
          <w:tcPr>
            <w:tcW w:w="2394" w:type="dxa"/>
          </w:tcPr>
          <w:p w:rsidR="00B640A9" w:rsidRPr="00B640A9" w:rsidRDefault="00B640A9" w:rsidP="00B640A9">
            <w:pPr>
              <w:jc w:val="center"/>
              <w:rPr>
                <w:b/>
              </w:rPr>
            </w:pPr>
            <w:r w:rsidRPr="00B640A9">
              <w:rPr>
                <w:b/>
              </w:rPr>
              <w:t>150</w:t>
            </w:r>
          </w:p>
        </w:tc>
        <w:tc>
          <w:tcPr>
            <w:tcW w:w="2394" w:type="dxa"/>
          </w:tcPr>
          <w:p w:rsidR="00B640A9" w:rsidRPr="00B640A9" w:rsidRDefault="00B640A9" w:rsidP="00B640A9">
            <w:pPr>
              <w:jc w:val="center"/>
              <w:rPr>
                <w:b/>
              </w:rPr>
            </w:pPr>
            <w:r w:rsidRPr="00B640A9">
              <w:rPr>
                <w:b/>
              </w:rPr>
              <w:t>1500</w:t>
            </w:r>
          </w:p>
        </w:tc>
      </w:tr>
      <w:tr w:rsidR="00B640A9" w:rsidTr="00B640A9">
        <w:tc>
          <w:tcPr>
            <w:tcW w:w="2394" w:type="dxa"/>
            <w:vMerge w:val="restart"/>
            <w:vAlign w:val="center"/>
          </w:tcPr>
          <w:p w:rsidR="00B640A9" w:rsidRDefault="00B640A9" w:rsidP="00B640A9">
            <w:r>
              <w:t>PROPORTIONATE</w:t>
            </w:r>
          </w:p>
          <w:p w:rsidR="00B640A9" w:rsidRDefault="00B640A9" w:rsidP="00B640A9">
            <w:r>
              <w:t>SHARE</w:t>
            </w:r>
          </w:p>
        </w:tc>
        <w:tc>
          <w:tcPr>
            <w:tcW w:w="2394" w:type="dxa"/>
          </w:tcPr>
          <w:p w:rsidR="00B640A9" w:rsidRDefault="00B640A9" w:rsidP="00B640A9">
            <w:pPr>
              <w:jc w:val="center"/>
            </w:pPr>
            <w:r>
              <w:t>90%</w:t>
            </w:r>
          </w:p>
        </w:tc>
        <w:tc>
          <w:tcPr>
            <w:tcW w:w="2394" w:type="dxa"/>
          </w:tcPr>
          <w:p w:rsidR="00B640A9" w:rsidRDefault="00B640A9" w:rsidP="00B640A9">
            <w:pPr>
              <w:jc w:val="center"/>
            </w:pPr>
            <w:r>
              <w:t>10%</w:t>
            </w:r>
          </w:p>
        </w:tc>
        <w:tc>
          <w:tcPr>
            <w:tcW w:w="2394" w:type="dxa"/>
            <w:shd w:val="clear" w:color="auto" w:fill="000000" w:themeFill="text1"/>
          </w:tcPr>
          <w:p w:rsidR="00B640A9" w:rsidRPr="00B640A9" w:rsidRDefault="00B640A9" w:rsidP="00B640A9">
            <w:pPr>
              <w:jc w:val="center"/>
            </w:pPr>
          </w:p>
        </w:tc>
      </w:tr>
      <w:tr w:rsidR="00B640A9" w:rsidTr="00B640A9">
        <w:tc>
          <w:tcPr>
            <w:tcW w:w="2394" w:type="dxa"/>
            <w:vMerge/>
          </w:tcPr>
          <w:p w:rsidR="00B640A9" w:rsidRDefault="00B640A9" w:rsidP="005E4172"/>
        </w:tc>
        <w:tc>
          <w:tcPr>
            <w:tcW w:w="2394" w:type="dxa"/>
          </w:tcPr>
          <w:p w:rsidR="00B640A9" w:rsidRDefault="00B640A9" w:rsidP="00B640A9">
            <w:pPr>
              <w:jc w:val="center"/>
            </w:pPr>
            <w:r>
              <w:t>$900,000</w:t>
            </w:r>
          </w:p>
        </w:tc>
        <w:tc>
          <w:tcPr>
            <w:tcW w:w="2394" w:type="dxa"/>
          </w:tcPr>
          <w:p w:rsidR="00B640A9" w:rsidRDefault="00B640A9" w:rsidP="00B640A9">
            <w:pPr>
              <w:jc w:val="center"/>
            </w:pPr>
            <w:r>
              <w:t>$100,000</w:t>
            </w:r>
          </w:p>
        </w:tc>
        <w:tc>
          <w:tcPr>
            <w:tcW w:w="2394" w:type="dxa"/>
            <w:shd w:val="clear" w:color="auto" w:fill="000000" w:themeFill="text1"/>
          </w:tcPr>
          <w:p w:rsidR="00B640A9" w:rsidRPr="00B640A9" w:rsidRDefault="00B640A9" w:rsidP="00B640A9">
            <w:pPr>
              <w:jc w:val="center"/>
            </w:pPr>
          </w:p>
        </w:tc>
      </w:tr>
    </w:tbl>
    <w:p w:rsidR="00E41B7D" w:rsidRPr="00E41B7D" w:rsidRDefault="00E41B7D" w:rsidP="00E41B7D"/>
    <w:p w:rsidR="00F4030B" w:rsidRDefault="00F4030B" w:rsidP="0053143F">
      <w:pPr>
        <w:pStyle w:val="Heading2"/>
        <w:spacing w:line="240" w:lineRule="auto"/>
      </w:pPr>
      <w:r>
        <w:lastRenderedPageBreak/>
        <w:t>District Administrative Costs for Managing the Private School Program</w:t>
      </w:r>
    </w:p>
    <w:p w:rsidR="00C57150" w:rsidRDefault="003454A6" w:rsidP="0053143F">
      <w:pPr>
        <w:spacing w:after="0"/>
      </w:pPr>
      <w:r>
        <w:t>Districts may</w:t>
      </w:r>
      <w:r w:rsidR="00F4030B">
        <w:t xml:space="preserve"> </w:t>
      </w:r>
      <w:r>
        <w:t>reserve</w:t>
      </w:r>
      <w:r w:rsidR="00F4030B">
        <w:t xml:space="preserve"> a </w:t>
      </w:r>
      <w:r w:rsidR="00F4030B">
        <w:rPr>
          <w:b/>
          <w:u w:val="single"/>
        </w:rPr>
        <w:t>reasonable amount</w:t>
      </w:r>
      <w:r w:rsidR="00F4030B">
        <w:t xml:space="preserve"> of the private school proportionate share to administer the private school program</w:t>
      </w:r>
      <w:r>
        <w:t xml:space="preserve"> at the district level; however, this amount should never exceed the district’s negotiated indirect rate in order to ensure the maximum amount is put toward the private schools.</w:t>
      </w:r>
      <w:r w:rsidR="00F4030B">
        <w:t xml:space="preserve"> </w:t>
      </w:r>
    </w:p>
    <w:p w:rsidR="00F4030B" w:rsidRPr="003C10BF" w:rsidRDefault="003C10BF" w:rsidP="0053143F">
      <w:pPr>
        <w:pStyle w:val="Heading2"/>
        <w:spacing w:line="240" w:lineRule="auto"/>
      </w:pPr>
      <w:r>
        <w:t>Calculation of the Proportional Share for Title II-A</w:t>
      </w:r>
    </w:p>
    <w:p w:rsidR="003C10BF" w:rsidRDefault="003C10BF" w:rsidP="0053143F">
      <w:pPr>
        <w:spacing w:after="0"/>
        <w:rPr>
          <w:sz w:val="23"/>
          <w:szCs w:val="23"/>
        </w:rPr>
      </w:pPr>
      <w:r>
        <w:rPr>
          <w:sz w:val="23"/>
          <w:szCs w:val="23"/>
        </w:rPr>
        <w:t>The amount an LEA must reserve to provide equitable services for private school teachers and other educational personnel for Title II, Part A services is based on the LEA’s total Title II, Part A allocation, less administrative costs. The LEA determines the amount of funds available for Title II, Part A equitable services for private school teachers and other educational personnel by calculating, on a per-pupil basis, the amount available for all public and private school students enrolled in participating private elementary and secondary schools in areas served by the LEA (regardless of a student’s residency), taking into consideration the number and needs of the children, their teachers and other educational personnel to be served.</w:t>
      </w:r>
    </w:p>
    <w:p w:rsidR="00E41B7D" w:rsidRDefault="00E41B7D" w:rsidP="0053143F">
      <w:pPr>
        <w:spacing w:after="0"/>
        <w:rPr>
          <w:sz w:val="23"/>
          <w:szCs w:val="23"/>
        </w:rPr>
      </w:pPr>
    </w:p>
    <w:tbl>
      <w:tblPr>
        <w:tblStyle w:val="TableGrid"/>
        <w:tblW w:w="0" w:type="auto"/>
        <w:tblLook w:val="04A0" w:firstRow="1" w:lastRow="0" w:firstColumn="1" w:lastColumn="0" w:noHBand="0" w:noVBand="1"/>
        <w:tblCaption w:val="Example of Formula to Determine Amount for title II, Part A Equitable Expenditures Table"/>
        <w:tblDescription w:val="Example of Formula to Determine Amount for title II, Part A Equitable Expenditures"/>
      </w:tblPr>
      <w:tblGrid>
        <w:gridCol w:w="4680"/>
        <w:gridCol w:w="4670"/>
      </w:tblGrid>
      <w:tr w:rsidR="003C10BF" w:rsidTr="00E45330">
        <w:trPr>
          <w:tblHeader/>
        </w:trPr>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3C10BF" w:rsidRPr="0053143F">
              <w:trPr>
                <w:trHeight w:val="332"/>
              </w:trPr>
              <w:tc>
                <w:tcPr>
                  <w:tcW w:w="0" w:type="auto"/>
                </w:tcPr>
                <w:p w:rsidR="003C10BF" w:rsidRPr="0053143F" w:rsidRDefault="003C10BF">
                  <w:pPr>
                    <w:pStyle w:val="Default"/>
                    <w:rPr>
                      <w:rFonts w:asciiTheme="minorHAnsi" w:hAnsiTheme="minorHAnsi"/>
                      <w:sz w:val="22"/>
                      <w:szCs w:val="22"/>
                    </w:rPr>
                  </w:pPr>
                  <w:r w:rsidRPr="0053143F">
                    <w:rPr>
                      <w:rFonts w:asciiTheme="minorHAnsi" w:hAnsiTheme="minorHAnsi"/>
                      <w:b/>
                      <w:bCs/>
                      <w:sz w:val="22"/>
                      <w:szCs w:val="22"/>
                    </w:rPr>
                    <w:t xml:space="preserve">EXAMPLE OF FORMULA TO DETERMINE AMOUNT FOR TITLE II, PART A EQUITABLE EXPENDITURES </w:t>
                  </w:r>
                </w:p>
              </w:tc>
            </w:tr>
            <w:tr w:rsidR="003C10BF" w:rsidRPr="0053143F">
              <w:trPr>
                <w:trHeight w:val="168"/>
              </w:trPr>
              <w:tc>
                <w:tcPr>
                  <w:tcW w:w="0" w:type="auto"/>
                </w:tcPr>
                <w:p w:rsidR="003C10BF" w:rsidRPr="0053143F" w:rsidRDefault="003C10BF">
                  <w:pPr>
                    <w:pStyle w:val="Default"/>
                    <w:rPr>
                      <w:rFonts w:asciiTheme="minorHAnsi" w:hAnsiTheme="minorHAnsi"/>
                      <w:sz w:val="22"/>
                      <w:szCs w:val="22"/>
                    </w:rPr>
                  </w:pPr>
                  <w:r w:rsidRPr="0053143F">
                    <w:rPr>
                      <w:rFonts w:asciiTheme="minorHAnsi" w:hAnsiTheme="minorHAnsi"/>
                      <w:b/>
                      <w:bCs/>
                      <w:sz w:val="22"/>
                      <w:szCs w:val="22"/>
                    </w:rPr>
                    <w:t xml:space="preserve">A. Number of Students </w:t>
                  </w:r>
                </w:p>
              </w:tc>
            </w:tr>
          </w:tbl>
          <w:p w:rsidR="003C10BF" w:rsidRPr="0053143F" w:rsidRDefault="003C10BF" w:rsidP="003C10BF">
            <w:pPr>
              <w:rPr>
                <w:b/>
                <w:i/>
                <w:color w:val="0070C0"/>
              </w:rPr>
            </w:pPr>
          </w:p>
        </w:tc>
      </w:tr>
      <w:tr w:rsidR="003C10BF" w:rsidTr="003C10BF">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A1: LEA Enrollment </w:t>
            </w:r>
          </w:p>
        </w:tc>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900 </w:t>
            </w:r>
          </w:p>
        </w:tc>
      </w:tr>
      <w:tr w:rsidR="003C10BF" w:rsidTr="003C10BF">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A2: Participating Private Schools Enrollment </w:t>
            </w:r>
          </w:p>
        </w:tc>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100 </w:t>
            </w:r>
          </w:p>
        </w:tc>
      </w:tr>
      <w:tr w:rsidR="003C10BF" w:rsidTr="003C10BF">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A3: Total Enrollment = A1 + A2 </w:t>
            </w:r>
          </w:p>
        </w:tc>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1,000 </w:t>
            </w:r>
          </w:p>
        </w:tc>
      </w:tr>
      <w:tr w:rsidR="003C10BF" w:rsidTr="00972EBE">
        <w:tc>
          <w:tcPr>
            <w:tcW w:w="9576" w:type="dxa"/>
            <w:gridSpan w:val="2"/>
          </w:tcPr>
          <w:p w:rsidR="003C10BF" w:rsidRPr="0053143F" w:rsidRDefault="003C10BF" w:rsidP="003C10BF">
            <w:pPr>
              <w:pStyle w:val="Default"/>
              <w:rPr>
                <w:rFonts w:asciiTheme="minorHAnsi" w:hAnsiTheme="minorHAnsi"/>
                <w:sz w:val="22"/>
                <w:szCs w:val="22"/>
              </w:rPr>
            </w:pPr>
            <w:r w:rsidRPr="0053143F">
              <w:rPr>
                <w:rFonts w:asciiTheme="minorHAnsi" w:hAnsiTheme="minorHAnsi"/>
                <w:b/>
                <w:bCs/>
                <w:sz w:val="22"/>
                <w:szCs w:val="22"/>
              </w:rPr>
              <w:t xml:space="preserve">B. Title II, Part A Allocation </w:t>
            </w:r>
          </w:p>
        </w:tc>
      </w:tr>
      <w:tr w:rsidR="003C10BF" w:rsidTr="003C10BF">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B1: Total LEA Allocation </w:t>
            </w:r>
          </w:p>
        </w:tc>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$1,000,000 </w:t>
            </w:r>
          </w:p>
        </w:tc>
      </w:tr>
      <w:tr w:rsidR="003C10BF" w:rsidTr="009E53DF">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B2: Administrative Costs (for public and private school programs) </w:t>
            </w:r>
          </w:p>
        </w:tc>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$50,000 </w:t>
            </w:r>
          </w:p>
        </w:tc>
      </w:tr>
      <w:tr w:rsidR="003C10BF" w:rsidTr="009E53DF">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B3: LEA Allocation Minus Admin Costs = B1-B2 </w:t>
            </w:r>
          </w:p>
        </w:tc>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$950,000 </w:t>
            </w:r>
          </w:p>
        </w:tc>
      </w:tr>
      <w:tr w:rsidR="003C10BF" w:rsidTr="007138E1">
        <w:tc>
          <w:tcPr>
            <w:tcW w:w="9576" w:type="dxa"/>
            <w:gridSpan w:val="2"/>
          </w:tcPr>
          <w:p w:rsidR="003C10BF" w:rsidRPr="0053143F" w:rsidRDefault="003C10BF" w:rsidP="003C10BF">
            <w:pPr>
              <w:pStyle w:val="Default"/>
              <w:rPr>
                <w:rFonts w:asciiTheme="minorHAnsi" w:hAnsiTheme="minorHAnsi"/>
                <w:sz w:val="22"/>
                <w:szCs w:val="22"/>
              </w:rPr>
            </w:pPr>
            <w:r w:rsidRPr="0053143F">
              <w:rPr>
                <w:rFonts w:asciiTheme="minorHAnsi" w:hAnsiTheme="minorHAnsi"/>
                <w:b/>
                <w:bCs/>
                <w:sz w:val="22"/>
                <w:szCs w:val="22"/>
              </w:rPr>
              <w:t xml:space="preserve">C. Per Pupil Rate </w:t>
            </w:r>
          </w:p>
        </w:tc>
      </w:tr>
      <w:tr w:rsidR="003C10BF" w:rsidTr="009E53DF">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C1: B3 divided by A3 </w:t>
            </w:r>
          </w:p>
        </w:tc>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$950 </w:t>
            </w:r>
          </w:p>
        </w:tc>
      </w:tr>
      <w:tr w:rsidR="003C10BF" w:rsidTr="00053A69">
        <w:tc>
          <w:tcPr>
            <w:tcW w:w="9576" w:type="dxa"/>
            <w:gridSpan w:val="2"/>
          </w:tcPr>
          <w:p w:rsidR="003C10BF" w:rsidRPr="0053143F" w:rsidRDefault="003C10BF" w:rsidP="003C10BF">
            <w:pPr>
              <w:pStyle w:val="Default"/>
              <w:rPr>
                <w:rFonts w:asciiTheme="minorHAnsi" w:hAnsiTheme="minorHAnsi"/>
                <w:sz w:val="22"/>
                <w:szCs w:val="22"/>
              </w:rPr>
            </w:pPr>
            <w:r w:rsidRPr="0053143F">
              <w:rPr>
                <w:rFonts w:asciiTheme="minorHAnsi" w:hAnsiTheme="minorHAnsi"/>
                <w:b/>
                <w:bCs/>
                <w:sz w:val="22"/>
                <w:szCs w:val="22"/>
              </w:rPr>
              <w:t xml:space="preserve">D. Equitable Services </w:t>
            </w:r>
          </w:p>
        </w:tc>
      </w:tr>
      <w:tr w:rsidR="003C10BF" w:rsidTr="003C10BF">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 xml:space="preserve">Amount LEA must reserve for equitable services for private school teachers and other educational personnel = A2 x C1 </w:t>
            </w:r>
          </w:p>
        </w:tc>
        <w:tc>
          <w:tcPr>
            <w:tcW w:w="4788" w:type="dxa"/>
          </w:tcPr>
          <w:p w:rsidR="003C10BF" w:rsidRPr="0053143F" w:rsidRDefault="003C10BF">
            <w:pPr>
              <w:pStyle w:val="Default"/>
              <w:rPr>
                <w:rFonts w:asciiTheme="minorHAnsi" w:hAnsiTheme="minorHAnsi"/>
                <w:sz w:val="22"/>
                <w:szCs w:val="22"/>
              </w:rPr>
            </w:pPr>
            <w:r w:rsidRPr="0053143F">
              <w:rPr>
                <w:rFonts w:asciiTheme="minorHAnsi" w:hAnsiTheme="minorHAnsi"/>
                <w:sz w:val="22"/>
                <w:szCs w:val="22"/>
              </w:rPr>
              <w:t>$95,000</w:t>
            </w:r>
          </w:p>
        </w:tc>
      </w:tr>
    </w:tbl>
    <w:p w:rsidR="00E41B7D" w:rsidRDefault="00E41B7D" w:rsidP="003C10BF">
      <w:pPr>
        <w:pStyle w:val="Default"/>
        <w:rPr>
          <w:rFonts w:asciiTheme="minorHAnsi" w:hAnsiTheme="minorHAnsi" w:cstheme="minorBidi"/>
          <w:color w:val="auto"/>
          <w:sz w:val="23"/>
          <w:szCs w:val="23"/>
        </w:rPr>
      </w:pPr>
    </w:p>
    <w:p w:rsidR="003C10BF" w:rsidRPr="003C10BF" w:rsidRDefault="003C10BF" w:rsidP="003C10BF">
      <w:pPr>
        <w:pStyle w:val="Default"/>
        <w:rPr>
          <w:rFonts w:asciiTheme="minorHAnsi" w:hAnsiTheme="minorHAnsi" w:cstheme="minorBidi"/>
          <w:color w:val="auto"/>
          <w:sz w:val="23"/>
          <w:szCs w:val="23"/>
        </w:rPr>
      </w:pPr>
      <w:r w:rsidRPr="003C10BF">
        <w:rPr>
          <w:rFonts w:asciiTheme="minorHAnsi" w:hAnsiTheme="minorHAnsi" w:cstheme="minorBidi"/>
          <w:color w:val="auto"/>
          <w:sz w:val="23"/>
          <w:szCs w:val="23"/>
        </w:rPr>
        <w:t xml:space="preserve">An LEA may continue to use Title II, Part A funds to provide professional development activities for teachers, principals, and other school leaders to address the specific needs of their students. Additionally, there may be other permissible uses of Title II, Part A funds for the benefit of private school participants. Any use of Title II, Part A funds for the benefit of private school participants must: </w:t>
      </w:r>
    </w:p>
    <w:p w:rsidR="0053143F" w:rsidRDefault="003C10BF" w:rsidP="0053143F">
      <w:pPr>
        <w:pStyle w:val="Default"/>
        <w:numPr>
          <w:ilvl w:val="0"/>
          <w:numId w:val="7"/>
        </w:numPr>
        <w:rPr>
          <w:rFonts w:asciiTheme="minorHAnsi" w:hAnsiTheme="minorHAnsi" w:cstheme="minorBidi"/>
          <w:color w:val="auto"/>
          <w:sz w:val="22"/>
          <w:szCs w:val="22"/>
        </w:rPr>
      </w:pPr>
      <w:r w:rsidRPr="0053143F">
        <w:rPr>
          <w:rFonts w:asciiTheme="minorHAnsi" w:hAnsiTheme="minorHAnsi" w:cstheme="minorBidi"/>
          <w:color w:val="auto"/>
          <w:sz w:val="22"/>
          <w:szCs w:val="22"/>
        </w:rPr>
        <w:lastRenderedPageBreak/>
        <w:t xml:space="preserve">Be an allowable local use of Title II, Part A funds under the authorizing statute. (ESEA section 2103(b)(3).) </w:t>
      </w:r>
    </w:p>
    <w:p w:rsidR="0053143F" w:rsidRDefault="003C10BF" w:rsidP="0053143F">
      <w:pPr>
        <w:pStyle w:val="Default"/>
        <w:numPr>
          <w:ilvl w:val="0"/>
          <w:numId w:val="7"/>
        </w:numPr>
        <w:rPr>
          <w:rFonts w:asciiTheme="minorHAnsi" w:hAnsiTheme="minorHAnsi" w:cstheme="minorBidi"/>
          <w:color w:val="auto"/>
          <w:sz w:val="22"/>
          <w:szCs w:val="22"/>
        </w:rPr>
      </w:pPr>
      <w:r w:rsidRPr="0053143F">
        <w:rPr>
          <w:rFonts w:asciiTheme="minorHAnsi" w:hAnsiTheme="minorHAnsi" w:cstheme="minorBidi"/>
          <w:color w:val="auto"/>
          <w:sz w:val="22"/>
          <w:szCs w:val="22"/>
        </w:rPr>
        <w:t xml:space="preserve">Meet the specific needs of students enrolled in a private school, and not the school itself. Title II, Part A funds may not be used to meet the needs of a private school or the general needs of the students enrolled in the private school. In some instances, however, a program or activity that primarily benefits a private school’s students (because it addresses specific, rather than general, needs of the students) will also incidentally benefit the school. (34 CFR 76.658.) </w:t>
      </w:r>
    </w:p>
    <w:p w:rsidR="003C10BF" w:rsidRPr="0053143F" w:rsidRDefault="003C10BF" w:rsidP="0053143F">
      <w:pPr>
        <w:pStyle w:val="Default"/>
        <w:numPr>
          <w:ilvl w:val="0"/>
          <w:numId w:val="7"/>
        </w:numPr>
        <w:rPr>
          <w:rFonts w:asciiTheme="minorHAnsi" w:hAnsiTheme="minorHAnsi" w:cstheme="minorBidi"/>
          <w:color w:val="auto"/>
          <w:sz w:val="22"/>
          <w:szCs w:val="22"/>
        </w:rPr>
      </w:pPr>
      <w:r w:rsidRPr="0053143F">
        <w:rPr>
          <w:rFonts w:asciiTheme="minorHAnsi" w:hAnsiTheme="minorHAnsi" w:cstheme="minorBidi"/>
          <w:color w:val="auto"/>
          <w:sz w:val="22"/>
          <w:szCs w:val="22"/>
        </w:rPr>
        <w:t>Ensure that the public agency (e.g., an LEA) responsible for providing equitable services retains control of the funds used to provide such services. In addition, equitable services</w:t>
      </w:r>
      <w:r w:rsidRPr="0053143F">
        <w:rPr>
          <w:rFonts w:asciiTheme="minorHAnsi" w:hAnsiTheme="minorHAnsi" w:cstheme="minorBidi"/>
          <w:color w:val="auto"/>
          <w:sz w:val="23"/>
          <w:szCs w:val="23"/>
        </w:rPr>
        <w:t xml:space="preserve"> must be provided by either an employee of the public agency or through a contract by the public agency with an individual, association, agency, or organization. These employees, individuals, associations, agencies, or organizations providing the services must be independent of the private school and any religious organization and the employment or contract must be under the control and supervision of the public agency. (ESEA section 8501(d).) </w:t>
      </w:r>
    </w:p>
    <w:p w:rsidR="003C10BF" w:rsidRDefault="00E41B7D" w:rsidP="003C10BF">
      <w:pPr>
        <w:rPr>
          <w:sz w:val="23"/>
          <w:szCs w:val="23"/>
        </w:rPr>
      </w:pPr>
      <w:r>
        <w:rPr>
          <w:sz w:val="23"/>
          <w:szCs w:val="23"/>
        </w:rPr>
        <w:br/>
      </w:r>
      <w:r w:rsidR="003C10BF">
        <w:rPr>
          <w:sz w:val="23"/>
          <w:szCs w:val="23"/>
        </w:rPr>
        <w:t>Equitable services under Title II, Part A may not be used for class-size reduction (ESEA section 2103(b)(3)(D)) in a private school because contracts for private school teachers and staff would be inconsistent with the requirements in ESEA section 8501(d) regarding public control of funds and the supervision and control of employees or contractors.</w:t>
      </w:r>
    </w:p>
    <w:p w:rsidR="00765748" w:rsidRDefault="00765748" w:rsidP="0053143F">
      <w:pPr>
        <w:pStyle w:val="Heading2"/>
        <w:spacing w:line="240" w:lineRule="auto"/>
      </w:pPr>
      <w:r w:rsidRPr="00DE511B">
        <w:t>Title III</w:t>
      </w:r>
    </w:p>
    <w:p w:rsidR="00765748" w:rsidRDefault="00765748" w:rsidP="00425EBA">
      <w:pPr>
        <w:spacing w:after="0"/>
      </w:pPr>
      <w:r>
        <w:t xml:space="preserve">Title III’s proportional share for private schools </w:t>
      </w:r>
      <w:r w:rsidR="0053143F">
        <w:t xml:space="preserve">begins </w:t>
      </w:r>
      <w:r>
        <w:t>with the annual district count of all English Learners (ELs) enrolled in participating private schools.  This count is collected each spring for the following school year Title III allocations.  All ELs included in this count are added to the district’s EL count for a per student Title III allocation.  Private schools participating in Title III having identified English learners are entitled to the Title III per student allocation less the allowable Title III administrative/indirect rate of no more than 2% districts may choose to keep.</w:t>
      </w:r>
    </w:p>
    <w:p w:rsidR="001F102D" w:rsidRPr="001F102D" w:rsidRDefault="001F102D" w:rsidP="001F102D">
      <w:pPr>
        <w:pStyle w:val="Heading2"/>
      </w:pPr>
      <w:r>
        <w:t>Important Note</w:t>
      </w:r>
    </w:p>
    <w:p w:rsidR="003C10BF" w:rsidRPr="001D2E17" w:rsidRDefault="001F102D" w:rsidP="00E41B7D">
      <w:pPr>
        <w:jc w:val="both"/>
        <w:rPr>
          <w:rFonts w:cstheme="minorHAnsi"/>
        </w:rPr>
      </w:pPr>
      <w:r>
        <w:rPr>
          <w:rFonts w:cstheme="minorHAnsi"/>
          <w:b/>
          <w:u w:val="single"/>
        </w:rPr>
        <w:t xml:space="preserve">Federal </w:t>
      </w:r>
      <w:r w:rsidRPr="002C0D2A">
        <w:rPr>
          <w:rFonts w:cstheme="minorHAnsi"/>
          <w:b/>
          <w:u w:val="single"/>
        </w:rPr>
        <w:t>funds are never provided directly to the private school.</w:t>
      </w:r>
      <w:r w:rsidRPr="006B5843">
        <w:rPr>
          <w:rFonts w:cstheme="minorHAnsi"/>
        </w:rPr>
        <w:t xml:space="preserve"> Rather the district serves as the fiscal agent for the private school, reimbursing providers for their services.</w:t>
      </w:r>
    </w:p>
    <w:sectPr w:rsidR="003C10BF" w:rsidRPr="001D2E17" w:rsidSect="00FE2821">
      <w:headerReference w:type="default" r:id="rId11"/>
      <w:footerReference w:type="default" r:id="rId12"/>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pPr>
        <w:spacing w:after="0" w:line="240" w:lineRule="auto"/>
      </w:pPr>
      <w:r>
        <w:separator/>
      </w:r>
    </w:p>
  </w:endnote>
  <w:endnote w:type="continuationSeparator" w:id="0">
    <w:p w:rsidR="008B63C0" w:rsidRDefault="008B63C0" w:rsidP="008B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Default="009E79C5">
    <w:pPr>
      <w:pStyle w:val="Footer"/>
    </w:pPr>
    <w:r>
      <w:rPr>
        <w:noProof/>
      </w:rPr>
      <mc:AlternateContent>
        <mc:Choice Requires="wps">
          <w:drawing>
            <wp:anchor distT="45720" distB="45720" distL="114300" distR="114300" simplePos="0" relativeHeight="251660288" behindDoc="0" locked="1" layoutInCell="1" allowOverlap="1" wp14:anchorId="0AFE1F98" wp14:editId="520EB97F">
              <wp:simplePos x="0" y="0"/>
              <wp:positionH relativeFrom="column">
                <wp:posOffset>38100</wp:posOffset>
              </wp:positionH>
              <wp:positionV relativeFrom="page">
                <wp:posOffset>9077325</wp:posOffset>
              </wp:positionV>
              <wp:extent cx="6189980" cy="56197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61975"/>
                      </a:xfrm>
                      <a:prstGeom prst="rect">
                        <a:avLst/>
                      </a:prstGeom>
                      <a:noFill/>
                      <a:ln w="9525">
                        <a:noFill/>
                        <a:miter lim="800000"/>
                        <a:headEnd/>
                        <a:tailEnd/>
                      </a:ln>
                    </wps:spPr>
                    <wps:txbx>
                      <w:txbxContent>
                        <w:p w:rsidR="009E79C5" w:rsidRDefault="009E79C5" w:rsidP="009E79C5">
                          <w:pPr>
                            <w:pStyle w:val="Header"/>
                            <w:jc w:val="center"/>
                          </w:pPr>
                          <w:r>
                            <w:t>255 Capitol St NE, Salem, OR 97310  |  Voice: 503-947-5600  | Fax: 503-378-5156  |  www.oregon.gov/ode</w:t>
                          </w:r>
                        </w:p>
                        <w:p w:rsidR="009E79C5" w:rsidRDefault="009E79C5" w:rsidP="009E79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E1F98" id="_x0000_t202" coordsize="21600,21600" o:spt="202" path="m,l,21600r21600,l21600,xe">
              <v:stroke joinstyle="miter"/>
              <v:path gradientshapeok="t" o:connecttype="rect"/>
            </v:shapetype>
            <v:shape id="Text Box 2" o:spid="_x0000_s1026" type="#_x0000_t202" style="position:absolute;margin-left:3pt;margin-top:714.75pt;width:487.4pt;height:4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" filled="f" stroked="f">
              <v:textbox>
                <w:txbxContent>
                  <w:p w:rsidR="009E79C5" w:rsidRDefault="009E79C5" w:rsidP="009E79C5">
                    <w:pPr>
                      <w:pStyle w:val="Header"/>
                      <w:jc w:val="center"/>
                    </w:pPr>
                    <w:r>
                      <w:t>255 Capitol St NE, Salem, OR 97310  |  Voice: 503-947-5600  | Fax: 503-378-5156  |  www.oregon.gov/ode</w:t>
                    </w:r>
                  </w:p>
                  <w:p w:rsidR="009E79C5" w:rsidRDefault="009E79C5" w:rsidP="009E79C5">
                    <w:pPr>
                      <w:jc w:val="center"/>
                    </w:pPr>
                  </w:p>
                </w:txbxContent>
              </v:textbox>
              <w10:wrap type="square" anchory="page"/>
              <w10:anchorlock/>
            </v:shape>
          </w:pict>
        </mc:Fallback>
      </mc:AlternateContent>
    </w:r>
    <w:r w:rsidR="00003251">
      <w:t>Revised 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pPr>
        <w:spacing w:after="0" w:line="240" w:lineRule="auto"/>
      </w:pPr>
      <w:r>
        <w:separator/>
      </w:r>
    </w:p>
  </w:footnote>
  <w:footnote w:type="continuationSeparator" w:id="0">
    <w:p w:rsidR="008B63C0" w:rsidRDefault="008B63C0" w:rsidP="008B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88" w:rsidRDefault="00B17A20" w:rsidP="00246D88">
    <w:r>
      <w:rPr>
        <w:noProof/>
      </w:rPr>
      <w:drawing>
        <wp:anchor distT="0" distB="0" distL="114300" distR="114300" simplePos="0" relativeHeight="251658240" behindDoc="0" locked="0" layoutInCell="1" allowOverlap="1" wp14:anchorId="09FCC139" wp14:editId="408D623A">
          <wp:simplePos x="0" y="0"/>
          <wp:positionH relativeFrom="column">
            <wp:posOffset>-180975</wp:posOffset>
          </wp:positionH>
          <wp:positionV relativeFrom="paragraph">
            <wp:posOffset>173355</wp:posOffset>
          </wp:positionV>
          <wp:extent cx="2395220" cy="1188720"/>
          <wp:effectExtent l="0" t="0" r="5080" b="0"/>
          <wp:wrapThrough wrapText="bothSides">
            <wp:wrapPolygon edited="0">
              <wp:start x="0" y="0"/>
              <wp:lineTo x="0" y="21115"/>
              <wp:lineTo x="21474" y="21115"/>
              <wp:lineTo x="21474" y="0"/>
              <wp:lineTo x="0" y="0"/>
            </wp:wrapPolygon>
          </wp:wrapThrough>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41F" w:rsidRDefault="00B17A20" w:rsidP="001D2E17">
    <w:pPr>
      <w:pStyle w:val="Heading1"/>
      <w:spacing w:before="0" w:line="240" w:lineRule="auto"/>
      <w:jc w:val="right"/>
    </w:pPr>
    <w:r>
      <w:t>Equitable Services to Private Schools</w:t>
    </w:r>
  </w:p>
  <w:p w:rsidR="00FB141F" w:rsidRDefault="00FB141F" w:rsidP="001D2E17">
    <w:pPr>
      <w:pStyle w:val="Heading2"/>
      <w:spacing w:line="240" w:lineRule="auto"/>
      <w:jc w:val="right"/>
    </w:pPr>
    <w:r>
      <w:t>Every Student Succeeds Act</w:t>
    </w:r>
  </w:p>
  <w:p w:rsidR="00B17A20" w:rsidRDefault="00FB141F" w:rsidP="001D2E17">
    <w:pPr>
      <w:pStyle w:val="Heading2"/>
      <w:spacing w:line="240" w:lineRule="auto"/>
      <w:jc w:val="right"/>
      <w:rPr>
        <w:i/>
      </w:rPr>
    </w:pPr>
    <w:r w:rsidRPr="00FB141F">
      <w:rPr>
        <w:i/>
      </w:rPr>
      <w:t>Calculating the Proportional Share</w:t>
    </w:r>
  </w:p>
  <w:p w:rsidR="001D2E17" w:rsidRDefault="001D2E17" w:rsidP="001D2E17"/>
  <w:p w:rsidR="00E41B7D" w:rsidRDefault="00E41B7D" w:rsidP="001D2E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AF2"/>
    <w:multiLevelType w:val="hybridMultilevel"/>
    <w:tmpl w:val="FE7C7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5"/>
  </w:num>
  <w:num w:numId="3">
    <w:abstractNumId w:val="4"/>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3251"/>
    <w:rsid w:val="00040263"/>
    <w:rsid w:val="00056696"/>
    <w:rsid w:val="00074BD5"/>
    <w:rsid w:val="0012373D"/>
    <w:rsid w:val="001627ED"/>
    <w:rsid w:val="001D2E17"/>
    <w:rsid w:val="001F102D"/>
    <w:rsid w:val="00246D88"/>
    <w:rsid w:val="003454A6"/>
    <w:rsid w:val="003C10BF"/>
    <w:rsid w:val="00425EBA"/>
    <w:rsid w:val="004576D6"/>
    <w:rsid w:val="0053143F"/>
    <w:rsid w:val="00581D17"/>
    <w:rsid w:val="005E4172"/>
    <w:rsid w:val="00691D12"/>
    <w:rsid w:val="00730B9E"/>
    <w:rsid w:val="00765748"/>
    <w:rsid w:val="00811495"/>
    <w:rsid w:val="00854C35"/>
    <w:rsid w:val="008B63C0"/>
    <w:rsid w:val="008C03E0"/>
    <w:rsid w:val="008D7C51"/>
    <w:rsid w:val="00907163"/>
    <w:rsid w:val="009E79C5"/>
    <w:rsid w:val="00B17A20"/>
    <w:rsid w:val="00B640A9"/>
    <w:rsid w:val="00C57150"/>
    <w:rsid w:val="00CA0810"/>
    <w:rsid w:val="00D26AFC"/>
    <w:rsid w:val="00E41B7D"/>
    <w:rsid w:val="00E45330"/>
    <w:rsid w:val="00F4030B"/>
    <w:rsid w:val="00F7553C"/>
    <w:rsid w:val="00F849CF"/>
    <w:rsid w:val="00FB141F"/>
    <w:rsid w:val="00FE2821"/>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2F71B4"/>
  <w15:docId w15:val="{1B00C6EC-6E3B-494E-AF16-BE565FAA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D5"/>
    <w:pPr>
      <w:spacing w:after="120"/>
    </w:pPr>
  </w:style>
  <w:style w:type="paragraph" w:styleId="Heading1">
    <w:name w:val="heading 1"/>
    <w:basedOn w:val="Normal"/>
    <w:next w:val="Normal"/>
    <w:link w:val="Heading1Char"/>
    <w:uiPriority w:val="9"/>
    <w:qFormat/>
    <w:rsid w:val="00B1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B7D"/>
    <w:pPr>
      <w:keepNext/>
      <w:keepLines/>
      <w:spacing w:before="60" w:after="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iPriority w:val="99"/>
    <w:unhideWhenUsed/>
    <w:rsid w:val="008B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1B7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 w:type="paragraph" w:customStyle="1" w:styleId="Default">
    <w:name w:val="Default"/>
    <w:rsid w:val="003C10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03B7-2317-4A41-89C3-99EBEEDA17C0}"/>
</file>

<file path=customXml/itemProps2.xml><?xml version="1.0" encoding="utf-8"?>
<ds:datastoreItem xmlns:ds="http://schemas.openxmlformats.org/officeDocument/2006/customXml" ds:itemID="{CA4BC830-1474-4BD9-8058-863160B85F7B}">
  <ds:schemaRefs>
    <ds:schemaRef ds:uri="http://schemas.microsoft.com/sharepoint/v3/contenttype/forms"/>
  </ds:schemaRefs>
</ds:datastoreItem>
</file>

<file path=customXml/itemProps3.xml><?xml version="1.0" encoding="utf-8"?>
<ds:datastoreItem xmlns:ds="http://schemas.openxmlformats.org/officeDocument/2006/customXml" ds:itemID="{4FB65BA5-026C-42C1-B945-4514CEB53D01}">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552495e2-bad0-484d-8f0a-09360b86a8c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46C871-F240-4673-9957-0F8F091B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ODE ESSA Private School Guidance - Calculating the Proportionate Share</vt:lpstr>
    </vt:vector>
  </TitlesOfParts>
  <Company>Oregon Department of Education</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ESSA Private School Guidance - Calculating the Proportionate Share</dc:title>
  <dc:creator>SWEET Russ - ODE</dc:creator>
  <cp:lastModifiedBy>SWOPE Emily - ODE</cp:lastModifiedBy>
  <cp:revision>3</cp:revision>
  <cp:lastPrinted>2018-11-18T18:18:00Z</cp:lastPrinted>
  <dcterms:created xsi:type="dcterms:W3CDTF">2018-11-20T17:38:00Z</dcterms:created>
  <dcterms:modified xsi:type="dcterms:W3CDTF">2018-11-20T18:13:00Z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