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13" w:rsidRPr="00D36B34" w:rsidRDefault="00994B55" w:rsidP="00614013">
      <w:pPr>
        <w:rPr>
          <w:szCs w:val="24"/>
        </w:rPr>
      </w:pPr>
      <w:bookmarkStart w:id="0" w:name="_GoBack"/>
      <w:bookmarkEnd w:id="0"/>
      <w:proofErr w:type="gramStart"/>
      <w:r>
        <w:rPr>
          <w:szCs w:val="24"/>
        </w:rPr>
        <w:t>July  28</w:t>
      </w:r>
      <w:proofErr w:type="gramEnd"/>
      <w:r w:rsidR="00614013">
        <w:rPr>
          <w:szCs w:val="24"/>
        </w:rPr>
        <w:t>, 2017</w:t>
      </w:r>
    </w:p>
    <w:p w:rsidR="00614013" w:rsidRPr="00FC63CE" w:rsidRDefault="00614013" w:rsidP="00614013">
      <w:pPr>
        <w:rPr>
          <w:sz w:val="23"/>
          <w:szCs w:val="23"/>
        </w:rPr>
      </w:pPr>
    </w:p>
    <w:p w:rsidR="00614013" w:rsidRPr="00D36B34" w:rsidRDefault="00614013" w:rsidP="00614013">
      <w:pPr>
        <w:ind w:left="720" w:hanging="720"/>
        <w:rPr>
          <w:rFonts w:cs="Arial"/>
          <w:szCs w:val="24"/>
        </w:rPr>
      </w:pPr>
      <w:r w:rsidRPr="00D36B34">
        <w:rPr>
          <w:rFonts w:cs="Arial"/>
          <w:szCs w:val="24"/>
        </w:rPr>
        <w:t>TO:</w:t>
      </w:r>
      <w:r w:rsidRPr="00D36B34">
        <w:rPr>
          <w:rFonts w:cs="Arial"/>
          <w:szCs w:val="24"/>
        </w:rPr>
        <w:tab/>
        <w:t>Child Care Centers, Adult Day Care, Head Start, At Risk, Homeless and Outside School Hours Programs participating in the Child and Adult Care Food Program</w:t>
      </w:r>
    </w:p>
    <w:p w:rsidR="00614013" w:rsidRPr="00D36B34" w:rsidRDefault="00614013" w:rsidP="00614013">
      <w:pPr>
        <w:rPr>
          <w:sz w:val="18"/>
          <w:szCs w:val="18"/>
        </w:rPr>
      </w:pPr>
    </w:p>
    <w:p w:rsidR="00614013" w:rsidRPr="00D36B34" w:rsidRDefault="00614013" w:rsidP="00614013">
      <w:pPr>
        <w:rPr>
          <w:rFonts w:cs="Arial"/>
          <w:szCs w:val="24"/>
        </w:rPr>
      </w:pPr>
      <w:r w:rsidRPr="00D36B34">
        <w:rPr>
          <w:rFonts w:cs="Arial"/>
          <w:szCs w:val="24"/>
        </w:rPr>
        <w:t>RE:</w:t>
      </w:r>
      <w:r w:rsidRPr="00D36B34">
        <w:rPr>
          <w:rFonts w:cs="Arial"/>
          <w:szCs w:val="24"/>
        </w:rPr>
        <w:tab/>
        <w:t>CACFP</w:t>
      </w:r>
      <w:r>
        <w:rPr>
          <w:rFonts w:cs="Arial"/>
          <w:szCs w:val="24"/>
        </w:rPr>
        <w:t xml:space="preserve"> Reimbursement Rates for FY 2017-2018</w:t>
      </w:r>
    </w:p>
    <w:p w:rsidR="00614013" w:rsidRPr="00D36B34" w:rsidRDefault="00614013" w:rsidP="00614013">
      <w:pPr>
        <w:rPr>
          <w:rFonts w:cs="Arial"/>
          <w:szCs w:val="24"/>
        </w:rPr>
      </w:pPr>
      <w:r>
        <w:rPr>
          <w:rFonts w:cs="Arial"/>
          <w:szCs w:val="24"/>
        </w:rPr>
        <w:tab/>
        <w:t>Effective July 1, 2017</w:t>
      </w:r>
      <w:r w:rsidRPr="00D36B34">
        <w:rPr>
          <w:rFonts w:cs="Arial"/>
          <w:szCs w:val="24"/>
        </w:rPr>
        <w:t xml:space="preserve"> – June 30,</w:t>
      </w:r>
      <w:r>
        <w:rPr>
          <w:rFonts w:cs="Arial"/>
          <w:szCs w:val="24"/>
        </w:rPr>
        <w:t xml:space="preserve"> 2018</w:t>
      </w:r>
    </w:p>
    <w:p w:rsidR="00614013" w:rsidRPr="00E205DF" w:rsidRDefault="00614013" w:rsidP="00614013">
      <w:pPr>
        <w:rPr>
          <w:rFonts w:cs="Arial"/>
          <w:sz w:val="20"/>
        </w:rPr>
      </w:pPr>
    </w:p>
    <w:p w:rsidR="00614013" w:rsidRPr="00D36B34" w:rsidRDefault="00614013" w:rsidP="00614013">
      <w:pPr>
        <w:ind w:right="-576"/>
        <w:jc w:val="both"/>
        <w:rPr>
          <w:rFonts w:cs="Arial"/>
          <w:szCs w:val="24"/>
        </w:rPr>
      </w:pPr>
      <w:r w:rsidRPr="00D36B34">
        <w:rPr>
          <w:rFonts w:cs="Arial"/>
          <w:szCs w:val="24"/>
        </w:rPr>
        <w:t>The Oregon Department of Education Child Nutrition Programs (ODE CNP) announces the annual adjustment to the national average payment rates plus cash-in-lieu of commodities for meals served in child</w:t>
      </w:r>
      <w:r>
        <w:rPr>
          <w:rFonts w:cs="Arial"/>
          <w:szCs w:val="24"/>
        </w:rPr>
        <w:t xml:space="preserve"> care centers, adult day care, Head S</w:t>
      </w:r>
      <w:r w:rsidRPr="00D36B34">
        <w:rPr>
          <w:rFonts w:cs="Arial"/>
          <w:szCs w:val="24"/>
        </w:rPr>
        <w:t xml:space="preserve">tart, at-risk, homeless and outside school hours </w:t>
      </w:r>
      <w:r>
        <w:rPr>
          <w:rFonts w:cs="Arial"/>
          <w:szCs w:val="24"/>
        </w:rPr>
        <w:t>programs, effective July 1, 2017, through June 30, 2018</w:t>
      </w:r>
      <w:r w:rsidRPr="00D36B34">
        <w:rPr>
          <w:rFonts w:cs="Arial"/>
          <w:szCs w:val="24"/>
        </w:rPr>
        <w:t>.</w:t>
      </w:r>
    </w:p>
    <w:p w:rsidR="00614013" w:rsidRPr="00FC63CE" w:rsidRDefault="00614013" w:rsidP="00614013">
      <w:pPr>
        <w:tabs>
          <w:tab w:val="left" w:pos="5040"/>
        </w:tabs>
        <w:ind w:left="2160"/>
        <w:rPr>
          <w:rFonts w:cs="Arial"/>
          <w:sz w:val="1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440"/>
      </w:tblGrid>
      <w:tr w:rsidR="00614013" w:rsidRPr="00E205DF" w:rsidTr="002B147E">
        <w:tc>
          <w:tcPr>
            <w:tcW w:w="3228" w:type="dxa"/>
            <w:tcBorders>
              <w:top w:val="nil"/>
              <w:left w:val="nil"/>
              <w:right w:val="nil"/>
            </w:tcBorders>
          </w:tcPr>
          <w:p w:rsidR="00614013" w:rsidRPr="00E205DF" w:rsidRDefault="00614013" w:rsidP="002B147E">
            <w:pPr>
              <w:jc w:val="center"/>
              <w:rPr>
                <w:rFonts w:cs="Arial"/>
                <w:szCs w:val="24"/>
                <w:highlight w:val="yellow"/>
              </w:rPr>
            </w:pPr>
            <w:r w:rsidRPr="00E0575C">
              <w:rPr>
                <w:rFonts w:cs="Arial"/>
                <w:szCs w:val="24"/>
              </w:rPr>
              <w:t>Breakfast</w:t>
            </w:r>
          </w:p>
        </w:tc>
        <w:tc>
          <w:tcPr>
            <w:tcW w:w="1440" w:type="dxa"/>
            <w:tcBorders>
              <w:top w:val="nil"/>
              <w:left w:val="nil"/>
              <w:right w:val="nil"/>
            </w:tcBorders>
          </w:tcPr>
          <w:p w:rsidR="00614013" w:rsidRPr="00E205DF" w:rsidRDefault="00614013" w:rsidP="002B147E">
            <w:pPr>
              <w:jc w:val="center"/>
              <w:rPr>
                <w:rFonts w:cs="Arial"/>
                <w:szCs w:val="24"/>
                <w:highlight w:val="yellow"/>
              </w:rPr>
            </w:pPr>
            <w:r w:rsidRPr="00E0575C">
              <w:rPr>
                <w:rFonts w:cs="Arial"/>
                <w:szCs w:val="24"/>
              </w:rPr>
              <w:t>Rate</w:t>
            </w:r>
          </w:p>
        </w:tc>
      </w:tr>
      <w:tr w:rsidR="00614013" w:rsidRPr="00E0575C" w:rsidTr="002B147E">
        <w:trPr>
          <w:trHeight w:val="287"/>
        </w:trPr>
        <w:tc>
          <w:tcPr>
            <w:tcW w:w="3228" w:type="dxa"/>
          </w:tcPr>
          <w:p w:rsidR="00614013" w:rsidRPr="00E0575C" w:rsidRDefault="00614013" w:rsidP="002B147E">
            <w:pPr>
              <w:rPr>
                <w:rFonts w:cs="Arial"/>
                <w:szCs w:val="24"/>
              </w:rPr>
            </w:pPr>
            <w:r w:rsidRPr="00E0575C">
              <w:rPr>
                <w:rFonts w:cs="Arial"/>
                <w:szCs w:val="24"/>
              </w:rPr>
              <w:t xml:space="preserve">Free . . . . . . . . . . . . . . . . . . </w:t>
            </w:r>
          </w:p>
        </w:tc>
        <w:tc>
          <w:tcPr>
            <w:tcW w:w="1440" w:type="dxa"/>
          </w:tcPr>
          <w:p w:rsidR="00614013" w:rsidRPr="00E0575C" w:rsidRDefault="00994B55" w:rsidP="002B147E">
            <w:pPr>
              <w:rPr>
                <w:rFonts w:cs="Arial"/>
                <w:szCs w:val="24"/>
              </w:rPr>
            </w:pPr>
            <w:r w:rsidRPr="00E0575C">
              <w:rPr>
                <w:rFonts w:cs="Arial"/>
                <w:szCs w:val="24"/>
              </w:rPr>
              <w:t>$ 1.75</w:t>
            </w:r>
          </w:p>
        </w:tc>
      </w:tr>
      <w:tr w:rsidR="00614013" w:rsidRPr="00E0575C" w:rsidTr="002B147E">
        <w:tc>
          <w:tcPr>
            <w:tcW w:w="3228" w:type="dxa"/>
          </w:tcPr>
          <w:p w:rsidR="00614013" w:rsidRPr="00E0575C" w:rsidRDefault="00614013" w:rsidP="002B147E">
            <w:pPr>
              <w:rPr>
                <w:rFonts w:cs="Arial"/>
                <w:szCs w:val="24"/>
              </w:rPr>
            </w:pPr>
            <w:r w:rsidRPr="00E0575C">
              <w:rPr>
                <w:rFonts w:cs="Arial"/>
                <w:szCs w:val="24"/>
              </w:rPr>
              <w:t xml:space="preserve">Reduced Price . . . . . . . . . . </w:t>
            </w:r>
          </w:p>
        </w:tc>
        <w:tc>
          <w:tcPr>
            <w:tcW w:w="1440" w:type="dxa"/>
          </w:tcPr>
          <w:p w:rsidR="00614013" w:rsidRPr="00E0575C" w:rsidRDefault="00994B55" w:rsidP="002B147E">
            <w:pPr>
              <w:rPr>
                <w:rFonts w:cs="Arial"/>
                <w:szCs w:val="24"/>
              </w:rPr>
            </w:pPr>
            <w:r w:rsidRPr="00E0575C">
              <w:rPr>
                <w:rFonts w:cs="Arial"/>
                <w:szCs w:val="24"/>
              </w:rPr>
              <w:t>$ 1.45</w:t>
            </w:r>
          </w:p>
        </w:tc>
      </w:tr>
      <w:tr w:rsidR="00614013" w:rsidRPr="00E0575C" w:rsidTr="002B147E">
        <w:tc>
          <w:tcPr>
            <w:tcW w:w="3228" w:type="dxa"/>
          </w:tcPr>
          <w:p w:rsidR="00614013" w:rsidRPr="00E0575C" w:rsidRDefault="00614013" w:rsidP="002B147E">
            <w:pPr>
              <w:rPr>
                <w:rFonts w:cs="Arial"/>
                <w:szCs w:val="24"/>
              </w:rPr>
            </w:pPr>
            <w:r w:rsidRPr="00E0575C">
              <w:rPr>
                <w:rFonts w:cs="Arial"/>
                <w:szCs w:val="24"/>
              </w:rPr>
              <w:t xml:space="preserve">Above Scale. . . . . . . . . . . . </w:t>
            </w:r>
          </w:p>
        </w:tc>
        <w:tc>
          <w:tcPr>
            <w:tcW w:w="1440" w:type="dxa"/>
          </w:tcPr>
          <w:p w:rsidR="00614013" w:rsidRPr="00E0575C" w:rsidRDefault="00994B55" w:rsidP="002B147E">
            <w:pPr>
              <w:rPr>
                <w:rFonts w:cs="Arial"/>
                <w:szCs w:val="24"/>
              </w:rPr>
            </w:pPr>
            <w:r w:rsidRPr="00E0575C">
              <w:rPr>
                <w:rFonts w:cs="Arial"/>
                <w:szCs w:val="24"/>
              </w:rPr>
              <w:t xml:space="preserve">   0.30</w:t>
            </w:r>
            <w:r w:rsidR="00614013" w:rsidRPr="00E0575C">
              <w:rPr>
                <w:rFonts w:cs="Arial"/>
                <w:szCs w:val="24"/>
              </w:rPr>
              <w:t xml:space="preserve"> </w:t>
            </w:r>
            <w:r w:rsidR="00614013" w:rsidRPr="00E0575C">
              <w:rPr>
                <w:rFonts w:eastAsia="Arial Unicode MS" w:cs="Arial"/>
                <w:szCs w:val="24"/>
              </w:rPr>
              <w:t>¢</w:t>
            </w:r>
          </w:p>
        </w:tc>
      </w:tr>
    </w:tbl>
    <w:p w:rsidR="00614013" w:rsidRPr="00E0575C" w:rsidRDefault="00614013" w:rsidP="00614013">
      <w:pPr>
        <w:rPr>
          <w:rFonts w:cs="Arial"/>
          <w:sz w:val="16"/>
          <w:szCs w:val="1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440"/>
        <w:gridCol w:w="1800"/>
        <w:gridCol w:w="1560"/>
      </w:tblGrid>
      <w:tr w:rsidR="00614013" w:rsidRPr="00E0575C" w:rsidTr="002B147E">
        <w:tc>
          <w:tcPr>
            <w:tcW w:w="3228" w:type="dxa"/>
            <w:tcBorders>
              <w:top w:val="nil"/>
              <w:left w:val="nil"/>
              <w:right w:val="nil"/>
            </w:tcBorders>
          </w:tcPr>
          <w:p w:rsidR="00614013" w:rsidRPr="00E0575C" w:rsidRDefault="00614013" w:rsidP="002B147E">
            <w:pPr>
              <w:ind w:left="720"/>
              <w:rPr>
                <w:rFonts w:cs="Arial"/>
                <w:szCs w:val="24"/>
              </w:rPr>
            </w:pPr>
            <w:r w:rsidRPr="00E0575C">
              <w:rPr>
                <w:rFonts w:cs="Arial"/>
                <w:szCs w:val="24"/>
              </w:rPr>
              <w:t>Lunch-Supper</w:t>
            </w:r>
          </w:p>
        </w:tc>
        <w:tc>
          <w:tcPr>
            <w:tcW w:w="1440" w:type="dxa"/>
            <w:tcBorders>
              <w:top w:val="nil"/>
              <w:left w:val="nil"/>
              <w:right w:val="nil"/>
            </w:tcBorders>
          </w:tcPr>
          <w:p w:rsidR="00614013" w:rsidRPr="00E0575C" w:rsidRDefault="00614013" w:rsidP="002B147E">
            <w:pPr>
              <w:jc w:val="center"/>
              <w:rPr>
                <w:rFonts w:cs="Arial"/>
                <w:szCs w:val="24"/>
              </w:rPr>
            </w:pPr>
            <w:r w:rsidRPr="00E0575C">
              <w:rPr>
                <w:rFonts w:cs="Arial"/>
                <w:szCs w:val="24"/>
              </w:rPr>
              <w:t>Rate</w:t>
            </w:r>
          </w:p>
        </w:tc>
        <w:tc>
          <w:tcPr>
            <w:tcW w:w="1800" w:type="dxa"/>
            <w:tcBorders>
              <w:top w:val="nil"/>
              <w:left w:val="nil"/>
              <w:right w:val="nil"/>
            </w:tcBorders>
          </w:tcPr>
          <w:p w:rsidR="00614013" w:rsidRPr="00E0575C" w:rsidRDefault="00614013" w:rsidP="002B147E">
            <w:pPr>
              <w:jc w:val="center"/>
              <w:rPr>
                <w:rFonts w:cs="Arial"/>
                <w:szCs w:val="24"/>
              </w:rPr>
            </w:pPr>
            <w:r w:rsidRPr="00E0575C">
              <w:rPr>
                <w:rFonts w:cs="Arial"/>
                <w:szCs w:val="24"/>
              </w:rPr>
              <w:t>Cash-in-lieu</w:t>
            </w:r>
          </w:p>
        </w:tc>
        <w:tc>
          <w:tcPr>
            <w:tcW w:w="1560" w:type="dxa"/>
            <w:tcBorders>
              <w:top w:val="nil"/>
              <w:left w:val="nil"/>
              <w:right w:val="nil"/>
            </w:tcBorders>
          </w:tcPr>
          <w:p w:rsidR="00614013" w:rsidRPr="00E0575C" w:rsidRDefault="00614013" w:rsidP="002B147E">
            <w:pPr>
              <w:jc w:val="center"/>
              <w:rPr>
                <w:rFonts w:cs="Arial"/>
                <w:szCs w:val="24"/>
              </w:rPr>
            </w:pPr>
            <w:r w:rsidRPr="00E0575C">
              <w:rPr>
                <w:rFonts w:cs="Arial"/>
                <w:szCs w:val="24"/>
              </w:rPr>
              <w:t>Total</w:t>
            </w:r>
          </w:p>
        </w:tc>
      </w:tr>
      <w:tr w:rsidR="00614013" w:rsidRPr="00E0575C" w:rsidTr="002B147E">
        <w:tc>
          <w:tcPr>
            <w:tcW w:w="3228" w:type="dxa"/>
          </w:tcPr>
          <w:p w:rsidR="00614013" w:rsidRPr="00E0575C" w:rsidRDefault="00614013" w:rsidP="002B147E">
            <w:pPr>
              <w:rPr>
                <w:rFonts w:cs="Arial"/>
                <w:szCs w:val="24"/>
              </w:rPr>
            </w:pPr>
            <w:r w:rsidRPr="00E0575C">
              <w:rPr>
                <w:rFonts w:cs="Arial"/>
                <w:szCs w:val="24"/>
              </w:rPr>
              <w:t xml:space="preserve">Free . . . . . . . . . . . . . . . . . . </w:t>
            </w:r>
          </w:p>
        </w:tc>
        <w:tc>
          <w:tcPr>
            <w:tcW w:w="1440" w:type="dxa"/>
          </w:tcPr>
          <w:p w:rsidR="00614013" w:rsidRPr="00E0575C" w:rsidRDefault="00994B55" w:rsidP="002B147E">
            <w:pPr>
              <w:rPr>
                <w:rFonts w:cs="Arial"/>
                <w:szCs w:val="24"/>
              </w:rPr>
            </w:pPr>
            <w:r w:rsidRPr="00E0575C">
              <w:rPr>
                <w:rFonts w:cs="Arial"/>
                <w:szCs w:val="24"/>
              </w:rPr>
              <w:t>$ 3.23</w:t>
            </w:r>
          </w:p>
        </w:tc>
        <w:tc>
          <w:tcPr>
            <w:tcW w:w="1800" w:type="dxa"/>
          </w:tcPr>
          <w:p w:rsidR="00614013" w:rsidRPr="00E0575C" w:rsidRDefault="00614013" w:rsidP="002B147E">
            <w:pPr>
              <w:jc w:val="center"/>
              <w:rPr>
                <w:rFonts w:cs="Arial"/>
                <w:szCs w:val="24"/>
              </w:rPr>
            </w:pPr>
            <w:r w:rsidRPr="00E0575C">
              <w:rPr>
                <w:rFonts w:cs="Arial"/>
                <w:szCs w:val="24"/>
              </w:rPr>
              <w:t>+ 0</w:t>
            </w:r>
            <w:r w:rsidR="00994B55" w:rsidRPr="00E0575C">
              <w:rPr>
                <w:rFonts w:cs="Arial"/>
                <w:bCs/>
                <w:szCs w:val="24"/>
              </w:rPr>
              <w:t>.2325</w:t>
            </w:r>
            <w:r w:rsidRPr="00E0575C">
              <w:rPr>
                <w:rFonts w:eastAsia="Arial Unicode MS" w:cs="Arial"/>
                <w:szCs w:val="24"/>
              </w:rPr>
              <w:t xml:space="preserve"> ¢</w:t>
            </w:r>
            <w:r w:rsidRPr="00E0575C">
              <w:rPr>
                <w:rFonts w:cs="Arial"/>
                <w:szCs w:val="24"/>
              </w:rPr>
              <w:t xml:space="preserve">  =</w:t>
            </w:r>
          </w:p>
        </w:tc>
        <w:tc>
          <w:tcPr>
            <w:tcW w:w="1560" w:type="dxa"/>
          </w:tcPr>
          <w:p w:rsidR="00614013" w:rsidRPr="00E0575C" w:rsidRDefault="00915BC6" w:rsidP="002B147E">
            <w:pPr>
              <w:jc w:val="center"/>
              <w:rPr>
                <w:rFonts w:cs="Arial"/>
                <w:szCs w:val="24"/>
              </w:rPr>
            </w:pPr>
            <w:r w:rsidRPr="00E0575C">
              <w:rPr>
                <w:rFonts w:cs="Arial"/>
                <w:szCs w:val="24"/>
              </w:rPr>
              <w:t>$ 3.46</w:t>
            </w:r>
            <w:r w:rsidR="006A02E8" w:rsidRPr="00E0575C">
              <w:rPr>
                <w:rFonts w:cs="Arial"/>
                <w:szCs w:val="24"/>
              </w:rPr>
              <w:t>25</w:t>
            </w:r>
          </w:p>
        </w:tc>
      </w:tr>
      <w:tr w:rsidR="00614013" w:rsidRPr="00E0575C" w:rsidTr="002B147E">
        <w:tc>
          <w:tcPr>
            <w:tcW w:w="3228" w:type="dxa"/>
          </w:tcPr>
          <w:p w:rsidR="00614013" w:rsidRPr="00E0575C" w:rsidRDefault="00614013" w:rsidP="002B147E">
            <w:pPr>
              <w:rPr>
                <w:rFonts w:cs="Arial"/>
                <w:szCs w:val="24"/>
              </w:rPr>
            </w:pPr>
            <w:r w:rsidRPr="00E0575C">
              <w:rPr>
                <w:rFonts w:cs="Arial"/>
                <w:szCs w:val="24"/>
              </w:rPr>
              <w:t xml:space="preserve">Reduced Price . . . . . . . . . . </w:t>
            </w:r>
          </w:p>
        </w:tc>
        <w:tc>
          <w:tcPr>
            <w:tcW w:w="1440" w:type="dxa"/>
          </w:tcPr>
          <w:p w:rsidR="00614013" w:rsidRPr="00E0575C" w:rsidRDefault="00994B55" w:rsidP="002B147E">
            <w:pPr>
              <w:rPr>
                <w:rFonts w:cs="Arial"/>
                <w:szCs w:val="24"/>
              </w:rPr>
            </w:pPr>
            <w:r w:rsidRPr="00E0575C">
              <w:rPr>
                <w:rFonts w:cs="Arial"/>
                <w:szCs w:val="24"/>
              </w:rPr>
              <w:t>$ 2. 83</w:t>
            </w:r>
          </w:p>
        </w:tc>
        <w:tc>
          <w:tcPr>
            <w:tcW w:w="1800" w:type="dxa"/>
          </w:tcPr>
          <w:p w:rsidR="00614013" w:rsidRPr="00E0575C" w:rsidRDefault="00994B55" w:rsidP="002B147E">
            <w:pPr>
              <w:jc w:val="center"/>
              <w:rPr>
                <w:rFonts w:cs="Arial"/>
                <w:szCs w:val="24"/>
              </w:rPr>
            </w:pPr>
            <w:r w:rsidRPr="00E0575C">
              <w:rPr>
                <w:rFonts w:cs="Arial"/>
                <w:szCs w:val="24"/>
              </w:rPr>
              <w:t>+ 0.2325</w:t>
            </w:r>
            <w:r w:rsidR="00614013" w:rsidRPr="00E0575C">
              <w:rPr>
                <w:rFonts w:eastAsia="Arial Unicode MS" w:cs="Arial"/>
                <w:szCs w:val="24"/>
              </w:rPr>
              <w:t xml:space="preserve"> ¢</w:t>
            </w:r>
            <w:r w:rsidR="00614013" w:rsidRPr="00E0575C">
              <w:rPr>
                <w:rFonts w:cs="Arial"/>
                <w:szCs w:val="24"/>
              </w:rPr>
              <w:t xml:space="preserve">  =</w:t>
            </w:r>
          </w:p>
        </w:tc>
        <w:tc>
          <w:tcPr>
            <w:tcW w:w="1560" w:type="dxa"/>
          </w:tcPr>
          <w:p w:rsidR="00614013" w:rsidRPr="00E0575C" w:rsidRDefault="00915BC6" w:rsidP="002B147E">
            <w:pPr>
              <w:jc w:val="center"/>
              <w:rPr>
                <w:rFonts w:cs="Arial"/>
                <w:szCs w:val="24"/>
              </w:rPr>
            </w:pPr>
            <w:r w:rsidRPr="00E0575C">
              <w:rPr>
                <w:rFonts w:cs="Arial"/>
                <w:szCs w:val="24"/>
              </w:rPr>
              <w:t>$ 3.06</w:t>
            </w:r>
            <w:r w:rsidR="006A02E8" w:rsidRPr="00E0575C">
              <w:rPr>
                <w:rFonts w:cs="Arial"/>
                <w:szCs w:val="24"/>
              </w:rPr>
              <w:t>25</w:t>
            </w:r>
          </w:p>
        </w:tc>
      </w:tr>
      <w:tr w:rsidR="00614013" w:rsidRPr="00E0575C" w:rsidTr="002B147E">
        <w:tc>
          <w:tcPr>
            <w:tcW w:w="3228" w:type="dxa"/>
          </w:tcPr>
          <w:p w:rsidR="00614013" w:rsidRPr="00E0575C" w:rsidRDefault="00614013" w:rsidP="002B147E">
            <w:pPr>
              <w:rPr>
                <w:rFonts w:cs="Arial"/>
                <w:szCs w:val="24"/>
              </w:rPr>
            </w:pPr>
            <w:r w:rsidRPr="00E0575C">
              <w:rPr>
                <w:rFonts w:cs="Arial"/>
                <w:szCs w:val="24"/>
              </w:rPr>
              <w:t xml:space="preserve">Above Scale. . . . . . . . . . . . </w:t>
            </w:r>
          </w:p>
        </w:tc>
        <w:tc>
          <w:tcPr>
            <w:tcW w:w="1440" w:type="dxa"/>
          </w:tcPr>
          <w:p w:rsidR="00614013" w:rsidRPr="00E0575C" w:rsidRDefault="00994B55" w:rsidP="002B147E">
            <w:pPr>
              <w:rPr>
                <w:rFonts w:cs="Arial"/>
                <w:szCs w:val="24"/>
              </w:rPr>
            </w:pPr>
            <w:r w:rsidRPr="00E0575C">
              <w:rPr>
                <w:rFonts w:cs="Arial"/>
                <w:szCs w:val="24"/>
              </w:rPr>
              <w:t xml:space="preserve">   0.31</w:t>
            </w:r>
            <w:r w:rsidR="00614013" w:rsidRPr="00E0575C">
              <w:rPr>
                <w:rFonts w:cs="Arial"/>
                <w:szCs w:val="24"/>
              </w:rPr>
              <w:t xml:space="preserve"> </w:t>
            </w:r>
            <w:r w:rsidR="00614013" w:rsidRPr="00E0575C">
              <w:rPr>
                <w:rFonts w:eastAsia="Arial Unicode MS" w:cs="Arial"/>
                <w:szCs w:val="24"/>
              </w:rPr>
              <w:t>¢</w:t>
            </w:r>
          </w:p>
        </w:tc>
        <w:tc>
          <w:tcPr>
            <w:tcW w:w="1800" w:type="dxa"/>
          </w:tcPr>
          <w:p w:rsidR="00614013" w:rsidRPr="00E0575C" w:rsidRDefault="00994B55" w:rsidP="002B147E">
            <w:pPr>
              <w:jc w:val="center"/>
              <w:rPr>
                <w:rFonts w:cs="Arial"/>
                <w:szCs w:val="24"/>
              </w:rPr>
            </w:pPr>
            <w:r w:rsidRPr="00E0575C">
              <w:rPr>
                <w:rFonts w:cs="Arial"/>
                <w:szCs w:val="24"/>
              </w:rPr>
              <w:t>+ 0.2325</w:t>
            </w:r>
            <w:r w:rsidR="00614013" w:rsidRPr="00E0575C">
              <w:rPr>
                <w:rFonts w:eastAsia="Arial Unicode MS" w:cs="Arial"/>
                <w:szCs w:val="24"/>
              </w:rPr>
              <w:t xml:space="preserve"> ¢</w:t>
            </w:r>
            <w:r w:rsidR="00614013" w:rsidRPr="00E0575C">
              <w:rPr>
                <w:rFonts w:cs="Arial"/>
                <w:szCs w:val="24"/>
              </w:rPr>
              <w:t xml:space="preserve">  =</w:t>
            </w:r>
          </w:p>
        </w:tc>
        <w:tc>
          <w:tcPr>
            <w:tcW w:w="1560" w:type="dxa"/>
          </w:tcPr>
          <w:p w:rsidR="00614013" w:rsidRPr="00E0575C" w:rsidRDefault="00915BC6" w:rsidP="002B147E">
            <w:pPr>
              <w:jc w:val="center"/>
              <w:rPr>
                <w:rFonts w:cs="Arial"/>
                <w:szCs w:val="24"/>
              </w:rPr>
            </w:pPr>
            <w:r w:rsidRPr="00E0575C">
              <w:rPr>
                <w:rFonts w:cs="Arial"/>
                <w:bCs/>
                <w:szCs w:val="24"/>
              </w:rPr>
              <w:t xml:space="preserve">        .54</w:t>
            </w:r>
            <w:r w:rsidR="006A02E8" w:rsidRPr="00E0575C">
              <w:rPr>
                <w:rFonts w:cs="Arial"/>
                <w:bCs/>
                <w:szCs w:val="24"/>
              </w:rPr>
              <w:t>25</w:t>
            </w:r>
            <w:r w:rsidR="00614013" w:rsidRPr="00E0575C">
              <w:rPr>
                <w:rFonts w:eastAsia="Arial Unicode MS" w:cs="Arial"/>
                <w:szCs w:val="24"/>
              </w:rPr>
              <w:t xml:space="preserve"> ¢</w:t>
            </w:r>
          </w:p>
        </w:tc>
      </w:tr>
    </w:tbl>
    <w:p w:rsidR="00614013" w:rsidRPr="00E0575C" w:rsidRDefault="00614013" w:rsidP="00614013">
      <w:pPr>
        <w:rPr>
          <w:rFonts w:cs="Arial"/>
          <w:sz w:val="16"/>
          <w:szCs w:val="1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440"/>
        <w:gridCol w:w="3240"/>
      </w:tblGrid>
      <w:tr w:rsidR="00614013" w:rsidRPr="00E0575C" w:rsidTr="002B147E">
        <w:trPr>
          <w:cantSplit/>
        </w:trPr>
        <w:tc>
          <w:tcPr>
            <w:tcW w:w="3228" w:type="dxa"/>
            <w:tcBorders>
              <w:top w:val="nil"/>
              <w:left w:val="nil"/>
              <w:right w:val="nil"/>
            </w:tcBorders>
          </w:tcPr>
          <w:p w:rsidR="00614013" w:rsidRPr="00E0575C" w:rsidRDefault="00614013" w:rsidP="002B147E">
            <w:pPr>
              <w:jc w:val="center"/>
              <w:rPr>
                <w:rFonts w:cs="Arial"/>
                <w:szCs w:val="24"/>
              </w:rPr>
            </w:pPr>
            <w:r w:rsidRPr="00E0575C">
              <w:rPr>
                <w:rFonts w:cs="Arial"/>
                <w:szCs w:val="24"/>
              </w:rPr>
              <w:t>Supplement (Snacks)</w:t>
            </w:r>
          </w:p>
        </w:tc>
        <w:tc>
          <w:tcPr>
            <w:tcW w:w="1440" w:type="dxa"/>
            <w:tcBorders>
              <w:top w:val="nil"/>
              <w:left w:val="nil"/>
              <w:bottom w:val="single" w:sz="4" w:space="0" w:color="auto"/>
              <w:right w:val="nil"/>
            </w:tcBorders>
          </w:tcPr>
          <w:p w:rsidR="00614013" w:rsidRPr="00E0575C" w:rsidRDefault="00614013" w:rsidP="002B147E">
            <w:pPr>
              <w:jc w:val="center"/>
              <w:rPr>
                <w:rFonts w:cs="Arial"/>
                <w:szCs w:val="24"/>
              </w:rPr>
            </w:pPr>
            <w:r w:rsidRPr="00E0575C">
              <w:rPr>
                <w:rFonts w:cs="Arial"/>
                <w:szCs w:val="24"/>
              </w:rPr>
              <w:t>Rate</w:t>
            </w:r>
          </w:p>
        </w:tc>
        <w:tc>
          <w:tcPr>
            <w:tcW w:w="3240" w:type="dxa"/>
            <w:vMerge w:val="restart"/>
            <w:tcBorders>
              <w:top w:val="nil"/>
              <w:left w:val="nil"/>
              <w:right w:val="nil"/>
            </w:tcBorders>
          </w:tcPr>
          <w:p w:rsidR="00614013" w:rsidRPr="00E0575C" w:rsidRDefault="00614013" w:rsidP="002B147E">
            <w:pPr>
              <w:jc w:val="center"/>
              <w:rPr>
                <w:rFonts w:cs="Arial"/>
                <w:sz w:val="8"/>
                <w:szCs w:val="8"/>
              </w:rPr>
            </w:pPr>
          </w:p>
          <w:p w:rsidR="00614013" w:rsidRPr="00E0575C" w:rsidRDefault="00614013" w:rsidP="002B147E">
            <w:pPr>
              <w:jc w:val="center"/>
              <w:rPr>
                <w:rFonts w:cs="Arial"/>
                <w:i/>
                <w:iCs/>
                <w:szCs w:val="24"/>
              </w:rPr>
            </w:pPr>
            <w:r w:rsidRPr="00E0575C">
              <w:rPr>
                <w:rFonts w:cs="Arial"/>
                <w:i/>
                <w:iCs/>
                <w:szCs w:val="24"/>
              </w:rPr>
              <w:t xml:space="preserve">Reimbursement Rates: </w:t>
            </w:r>
          </w:p>
          <w:p w:rsidR="00614013" w:rsidRPr="00E0575C" w:rsidRDefault="00614013" w:rsidP="002B147E">
            <w:pPr>
              <w:jc w:val="center"/>
              <w:rPr>
                <w:rFonts w:cs="Arial"/>
                <w:szCs w:val="24"/>
              </w:rPr>
            </w:pPr>
            <w:r w:rsidRPr="00E0575C">
              <w:rPr>
                <w:rFonts w:cs="Arial"/>
                <w:szCs w:val="24"/>
              </w:rPr>
              <w:t>(All amounts are expressed in dollars or fractions of dollars)</w:t>
            </w:r>
          </w:p>
        </w:tc>
      </w:tr>
      <w:tr w:rsidR="00614013" w:rsidRPr="00E0575C" w:rsidTr="002B147E">
        <w:trPr>
          <w:cantSplit/>
        </w:trPr>
        <w:tc>
          <w:tcPr>
            <w:tcW w:w="3228" w:type="dxa"/>
          </w:tcPr>
          <w:p w:rsidR="00614013" w:rsidRPr="00E0575C" w:rsidRDefault="00614013" w:rsidP="002B147E">
            <w:pPr>
              <w:rPr>
                <w:rFonts w:cs="Arial"/>
                <w:szCs w:val="24"/>
              </w:rPr>
            </w:pPr>
            <w:r w:rsidRPr="00E0575C">
              <w:rPr>
                <w:rFonts w:cs="Arial"/>
                <w:szCs w:val="24"/>
              </w:rPr>
              <w:t xml:space="preserve">Free . . . . . . . . . . . . . . . . . . </w:t>
            </w:r>
          </w:p>
        </w:tc>
        <w:tc>
          <w:tcPr>
            <w:tcW w:w="1440" w:type="dxa"/>
            <w:tcBorders>
              <w:top w:val="single" w:sz="4" w:space="0" w:color="auto"/>
              <w:right w:val="single" w:sz="4" w:space="0" w:color="auto"/>
            </w:tcBorders>
          </w:tcPr>
          <w:p w:rsidR="00614013" w:rsidRPr="00E0575C" w:rsidRDefault="00614013" w:rsidP="002B147E">
            <w:pPr>
              <w:rPr>
                <w:rFonts w:cs="Arial"/>
                <w:szCs w:val="24"/>
              </w:rPr>
            </w:pPr>
            <w:r w:rsidRPr="00E0575C">
              <w:rPr>
                <w:rFonts w:cs="Arial"/>
                <w:szCs w:val="24"/>
              </w:rPr>
              <w:t xml:space="preserve">   0</w:t>
            </w:r>
            <w:r w:rsidR="00994B55" w:rsidRPr="00E0575C">
              <w:rPr>
                <w:rFonts w:cs="Arial"/>
                <w:bCs/>
                <w:szCs w:val="24"/>
              </w:rPr>
              <w:t>.88</w:t>
            </w:r>
            <w:r w:rsidRPr="00E0575C">
              <w:rPr>
                <w:rFonts w:eastAsia="Arial Unicode MS" w:cs="Arial"/>
                <w:szCs w:val="24"/>
              </w:rPr>
              <w:t xml:space="preserve"> ¢</w:t>
            </w:r>
          </w:p>
        </w:tc>
        <w:tc>
          <w:tcPr>
            <w:tcW w:w="3240" w:type="dxa"/>
            <w:vMerge/>
            <w:tcBorders>
              <w:left w:val="single" w:sz="4" w:space="0" w:color="auto"/>
              <w:right w:val="nil"/>
            </w:tcBorders>
          </w:tcPr>
          <w:p w:rsidR="00614013" w:rsidRPr="00E0575C" w:rsidRDefault="00614013" w:rsidP="002B147E">
            <w:pPr>
              <w:rPr>
                <w:rFonts w:cs="Arial"/>
                <w:szCs w:val="24"/>
              </w:rPr>
            </w:pPr>
          </w:p>
        </w:tc>
      </w:tr>
      <w:tr w:rsidR="00614013" w:rsidRPr="00E0575C" w:rsidTr="002B147E">
        <w:trPr>
          <w:cantSplit/>
        </w:trPr>
        <w:tc>
          <w:tcPr>
            <w:tcW w:w="3228" w:type="dxa"/>
          </w:tcPr>
          <w:p w:rsidR="00614013" w:rsidRPr="00E0575C" w:rsidRDefault="00614013" w:rsidP="002B147E">
            <w:pPr>
              <w:rPr>
                <w:rFonts w:cs="Arial"/>
                <w:szCs w:val="24"/>
              </w:rPr>
            </w:pPr>
            <w:r w:rsidRPr="00E0575C">
              <w:rPr>
                <w:rFonts w:cs="Arial"/>
                <w:szCs w:val="24"/>
              </w:rPr>
              <w:t xml:space="preserve">Reduced Price . . . . . . . . . . </w:t>
            </w:r>
          </w:p>
        </w:tc>
        <w:tc>
          <w:tcPr>
            <w:tcW w:w="1440" w:type="dxa"/>
            <w:tcBorders>
              <w:right w:val="single" w:sz="4" w:space="0" w:color="auto"/>
            </w:tcBorders>
          </w:tcPr>
          <w:p w:rsidR="00614013" w:rsidRPr="00E0575C" w:rsidRDefault="00614013" w:rsidP="002B147E">
            <w:pPr>
              <w:rPr>
                <w:rFonts w:cs="Arial"/>
                <w:szCs w:val="24"/>
              </w:rPr>
            </w:pPr>
            <w:r w:rsidRPr="00E0575C">
              <w:rPr>
                <w:rFonts w:cs="Arial"/>
                <w:szCs w:val="24"/>
              </w:rPr>
              <w:t xml:space="preserve">   0</w:t>
            </w:r>
            <w:r w:rsidR="00994B55" w:rsidRPr="00E0575C">
              <w:rPr>
                <w:rFonts w:cs="Arial"/>
                <w:bCs/>
                <w:szCs w:val="24"/>
              </w:rPr>
              <w:t>.44</w:t>
            </w:r>
            <w:r w:rsidRPr="00E0575C">
              <w:rPr>
                <w:rFonts w:cs="Arial"/>
                <w:bCs/>
                <w:szCs w:val="24"/>
              </w:rPr>
              <w:t xml:space="preserve">  </w:t>
            </w:r>
            <w:r w:rsidRPr="00E0575C">
              <w:rPr>
                <w:rFonts w:eastAsia="Arial Unicode MS" w:cs="Arial"/>
                <w:szCs w:val="24"/>
              </w:rPr>
              <w:t>¢</w:t>
            </w:r>
          </w:p>
        </w:tc>
        <w:tc>
          <w:tcPr>
            <w:tcW w:w="3240" w:type="dxa"/>
            <w:vMerge/>
            <w:tcBorders>
              <w:left w:val="single" w:sz="4" w:space="0" w:color="auto"/>
              <w:right w:val="nil"/>
            </w:tcBorders>
          </w:tcPr>
          <w:p w:rsidR="00614013" w:rsidRPr="00E0575C" w:rsidRDefault="00614013" w:rsidP="002B147E">
            <w:pPr>
              <w:rPr>
                <w:rFonts w:cs="Arial"/>
                <w:szCs w:val="24"/>
              </w:rPr>
            </w:pPr>
          </w:p>
        </w:tc>
      </w:tr>
      <w:tr w:rsidR="00614013" w:rsidRPr="00D36B34" w:rsidTr="002B147E">
        <w:trPr>
          <w:cantSplit/>
        </w:trPr>
        <w:tc>
          <w:tcPr>
            <w:tcW w:w="3228" w:type="dxa"/>
          </w:tcPr>
          <w:p w:rsidR="00614013" w:rsidRPr="00E0575C" w:rsidRDefault="00614013" w:rsidP="002B147E">
            <w:pPr>
              <w:rPr>
                <w:rFonts w:cs="Arial"/>
                <w:szCs w:val="24"/>
              </w:rPr>
            </w:pPr>
            <w:r w:rsidRPr="00E0575C">
              <w:rPr>
                <w:rFonts w:cs="Arial"/>
                <w:szCs w:val="24"/>
              </w:rPr>
              <w:t xml:space="preserve">Above Scale. . . . . . . . . . . . </w:t>
            </w:r>
          </w:p>
        </w:tc>
        <w:tc>
          <w:tcPr>
            <w:tcW w:w="1440" w:type="dxa"/>
            <w:tcBorders>
              <w:right w:val="single" w:sz="4" w:space="0" w:color="auto"/>
            </w:tcBorders>
          </w:tcPr>
          <w:p w:rsidR="00614013" w:rsidRPr="00D36B34" w:rsidRDefault="00614013" w:rsidP="002B147E">
            <w:pPr>
              <w:rPr>
                <w:rFonts w:cs="Arial"/>
                <w:szCs w:val="24"/>
              </w:rPr>
            </w:pPr>
            <w:r w:rsidRPr="00E0575C">
              <w:rPr>
                <w:rFonts w:cs="Arial"/>
                <w:szCs w:val="24"/>
              </w:rPr>
              <w:t xml:space="preserve">   0</w:t>
            </w:r>
            <w:r w:rsidR="00994B55" w:rsidRPr="00E0575C">
              <w:rPr>
                <w:rFonts w:cs="Arial"/>
                <w:bCs/>
                <w:szCs w:val="24"/>
              </w:rPr>
              <w:t>.08</w:t>
            </w:r>
            <w:r w:rsidRPr="00E0575C">
              <w:rPr>
                <w:rFonts w:eastAsia="Arial Unicode MS" w:cs="Arial"/>
                <w:szCs w:val="24"/>
              </w:rPr>
              <w:t xml:space="preserve"> ¢</w:t>
            </w:r>
          </w:p>
        </w:tc>
        <w:tc>
          <w:tcPr>
            <w:tcW w:w="3240" w:type="dxa"/>
            <w:vMerge/>
            <w:tcBorders>
              <w:left w:val="single" w:sz="4" w:space="0" w:color="auto"/>
              <w:bottom w:val="nil"/>
              <w:right w:val="nil"/>
            </w:tcBorders>
          </w:tcPr>
          <w:p w:rsidR="00614013" w:rsidRPr="00D36B34" w:rsidRDefault="00614013" w:rsidP="002B147E">
            <w:pPr>
              <w:rPr>
                <w:rFonts w:cs="Arial"/>
                <w:szCs w:val="24"/>
              </w:rPr>
            </w:pPr>
          </w:p>
        </w:tc>
      </w:tr>
    </w:tbl>
    <w:p w:rsidR="00614013" w:rsidRPr="00FC63CE" w:rsidRDefault="00614013" w:rsidP="00614013">
      <w:pPr>
        <w:rPr>
          <w:rFonts w:cs="Arial"/>
          <w:sz w:val="16"/>
          <w:szCs w:val="16"/>
        </w:rPr>
      </w:pPr>
    </w:p>
    <w:p w:rsidR="00614013" w:rsidRPr="00D36B34" w:rsidRDefault="00614013" w:rsidP="00614013">
      <w:pPr>
        <w:rPr>
          <w:rFonts w:cs="Arial"/>
          <w:szCs w:val="24"/>
        </w:rPr>
      </w:pPr>
      <w:r w:rsidRPr="00D36B34">
        <w:rPr>
          <w:rFonts w:cs="Arial"/>
          <w:szCs w:val="24"/>
        </w:rPr>
        <w:t>If you have questions concerning the reimbursement rates, please contact your assigned Child Nutrition Specialist.</w:t>
      </w:r>
    </w:p>
    <w:p w:rsidR="00614013" w:rsidRPr="00D36B34" w:rsidRDefault="00614013" w:rsidP="00614013">
      <w:pPr>
        <w:rPr>
          <w:rFonts w:cs="Arial"/>
          <w:sz w:val="16"/>
          <w:szCs w:val="16"/>
        </w:rPr>
      </w:pPr>
    </w:p>
    <w:p w:rsidR="00614013" w:rsidRPr="00D36B34" w:rsidRDefault="00614013" w:rsidP="00614013">
      <w:pPr>
        <w:rPr>
          <w:rFonts w:cs="Arial"/>
          <w:szCs w:val="24"/>
        </w:rPr>
      </w:pPr>
      <w:r w:rsidRPr="00D36B34">
        <w:rPr>
          <w:rFonts w:cs="Arial"/>
          <w:szCs w:val="24"/>
        </w:rPr>
        <w:t>Sincerely,</w:t>
      </w:r>
    </w:p>
    <w:p w:rsidR="00614013" w:rsidRPr="00FC63CE" w:rsidRDefault="00614013" w:rsidP="00614013">
      <w:pPr>
        <w:rPr>
          <w:rFonts w:cs="Arial"/>
        </w:rPr>
      </w:pPr>
      <w:r>
        <w:rPr>
          <w:rFonts w:cs="Arial"/>
          <w:noProof/>
        </w:rPr>
        <w:drawing>
          <wp:inline distT="0" distB="0" distL="0" distR="0">
            <wp:extent cx="2362200" cy="723900"/>
            <wp:effectExtent l="0" t="0" r="0" b="0"/>
            <wp:docPr id="1" name="Picture 1" descr="_Reinoso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Reinoso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inline>
        </w:drawing>
      </w:r>
    </w:p>
    <w:p w:rsidR="00614013" w:rsidRPr="00D36B34" w:rsidRDefault="00614013" w:rsidP="00614013">
      <w:pPr>
        <w:rPr>
          <w:rFonts w:cs="Arial"/>
          <w:szCs w:val="24"/>
        </w:rPr>
      </w:pPr>
      <w:r w:rsidRPr="00D36B34">
        <w:rPr>
          <w:rFonts w:cs="Arial"/>
          <w:szCs w:val="24"/>
        </w:rPr>
        <w:t xml:space="preserve">Lynne </w:t>
      </w:r>
      <w:proofErr w:type="spellStart"/>
      <w:r w:rsidRPr="00D36B34">
        <w:rPr>
          <w:rFonts w:cs="Arial"/>
          <w:szCs w:val="24"/>
        </w:rPr>
        <w:t>Reinoso</w:t>
      </w:r>
      <w:proofErr w:type="spellEnd"/>
      <w:r w:rsidR="00E205DF">
        <w:rPr>
          <w:rFonts w:cs="Arial"/>
          <w:szCs w:val="24"/>
        </w:rPr>
        <w:t xml:space="preserve">, </w:t>
      </w:r>
      <w:r w:rsidRPr="00D36B34">
        <w:rPr>
          <w:rFonts w:cs="Arial"/>
          <w:szCs w:val="24"/>
        </w:rPr>
        <w:t>Manager, Community Nutrition</w:t>
      </w:r>
    </w:p>
    <w:p w:rsidR="00614013" w:rsidRPr="00D36B34" w:rsidRDefault="00614013" w:rsidP="00614013">
      <w:pPr>
        <w:rPr>
          <w:rFonts w:cs="Arial"/>
          <w:szCs w:val="24"/>
        </w:rPr>
      </w:pPr>
      <w:r w:rsidRPr="00D36B34">
        <w:rPr>
          <w:rFonts w:cs="Arial"/>
          <w:szCs w:val="24"/>
        </w:rPr>
        <w:t>Child Nutrition Programs</w:t>
      </w:r>
    </w:p>
    <w:p w:rsidR="00614013" w:rsidRPr="00D36B34" w:rsidRDefault="00614013" w:rsidP="00614013">
      <w:pPr>
        <w:rPr>
          <w:rFonts w:cs="Arial"/>
          <w:szCs w:val="24"/>
        </w:rPr>
      </w:pPr>
      <w:r w:rsidRPr="00D36B34">
        <w:rPr>
          <w:rFonts w:cs="Arial"/>
          <w:szCs w:val="24"/>
        </w:rPr>
        <w:t xml:space="preserve">Office of </w:t>
      </w:r>
      <w:r>
        <w:rPr>
          <w:rFonts w:cs="Arial"/>
          <w:szCs w:val="24"/>
        </w:rPr>
        <w:t>Student Services</w:t>
      </w:r>
    </w:p>
    <w:p w:rsidR="00614013" w:rsidRPr="00361EDC" w:rsidRDefault="00614013" w:rsidP="00614013">
      <w:pPr>
        <w:tabs>
          <w:tab w:val="left" w:pos="4320"/>
        </w:tabs>
        <w:rPr>
          <w:sz w:val="18"/>
          <w:szCs w:val="18"/>
        </w:rPr>
      </w:pPr>
    </w:p>
    <w:p w:rsidR="00CE5FB6" w:rsidRPr="00614013" w:rsidRDefault="00614013" w:rsidP="006008DC">
      <w:pPr>
        <w:rPr>
          <w:rStyle w:val="Strong"/>
          <w:rFonts w:ascii="Arial Narrow" w:hAnsi="Arial Narrow"/>
          <w:b w:val="0"/>
          <w:bCs w:val="0"/>
          <w:sz w:val="18"/>
          <w:szCs w:val="18"/>
        </w:rPr>
        <w:sectPr w:rsidR="00CE5FB6" w:rsidRPr="00614013" w:rsidSect="005E6AAD">
          <w:headerReference w:type="even" r:id="rId9"/>
          <w:headerReference w:type="default" r:id="rId10"/>
          <w:footerReference w:type="default" r:id="rId11"/>
          <w:headerReference w:type="first" r:id="rId12"/>
          <w:footerReference w:type="first" r:id="rId13"/>
          <w:pgSz w:w="12240" w:h="15840"/>
          <w:pgMar w:top="3168" w:right="1440" w:bottom="1354" w:left="1440" w:header="2160" w:footer="720" w:gutter="0"/>
          <w:cols w:space="720"/>
          <w:titlePg/>
          <w:docGrid w:linePitch="360"/>
        </w:sectPr>
      </w:pPr>
      <w:r w:rsidRPr="00614013">
        <w:rPr>
          <w:rFonts w:ascii="Arial Narrow" w:hAnsi="Arial Narrow"/>
          <w:snapToGrid w:val="0"/>
          <w:sz w:val="18"/>
          <w:szCs w:val="18"/>
        </w:rPr>
        <w:fldChar w:fldCharType="begin"/>
      </w:r>
      <w:r w:rsidRPr="00614013">
        <w:rPr>
          <w:rFonts w:ascii="Arial Narrow" w:hAnsi="Arial Narrow"/>
          <w:snapToGrid w:val="0"/>
          <w:sz w:val="18"/>
          <w:szCs w:val="18"/>
        </w:rPr>
        <w:instrText xml:space="preserve"> FILENAME \p </w:instrText>
      </w:r>
      <w:r w:rsidRPr="00614013">
        <w:rPr>
          <w:rFonts w:ascii="Arial Narrow" w:hAnsi="Arial Narrow"/>
          <w:snapToGrid w:val="0"/>
          <w:sz w:val="18"/>
          <w:szCs w:val="18"/>
        </w:rPr>
        <w:fldChar w:fldCharType="separate"/>
      </w:r>
      <w:r w:rsidR="008C7729">
        <w:rPr>
          <w:rFonts w:ascii="Arial Narrow" w:hAnsi="Arial Narrow"/>
          <w:noProof/>
          <w:snapToGrid w:val="0"/>
          <w:sz w:val="18"/>
          <w:szCs w:val="18"/>
        </w:rPr>
        <w:t>K:\~Memos\_CACFP Memos-Unnumbered\2017-18\Adult\Reimbursement Rates\Memo 7-28-17.docx</w:t>
      </w:r>
      <w:r w:rsidRPr="00614013">
        <w:rPr>
          <w:rFonts w:ascii="Arial Narrow" w:hAnsi="Arial Narrow"/>
          <w:snapToGrid w:val="0"/>
          <w:sz w:val="18"/>
          <w:szCs w:val="18"/>
        </w:rPr>
        <w:fldChar w:fldCharType="end"/>
      </w:r>
    </w:p>
    <w:p w:rsidR="003A767B" w:rsidRPr="00CE5FB6" w:rsidRDefault="003A767B" w:rsidP="0007028A">
      <w:pPr>
        <w:rPr>
          <w:sz w:val="2"/>
          <w:szCs w:val="2"/>
        </w:rPr>
      </w:pPr>
    </w:p>
    <w:sectPr w:rsidR="003A767B" w:rsidRPr="00CE5FB6" w:rsidSect="002E4AB9">
      <w:headerReference w:type="default" r:id="rId14"/>
      <w:footerReference w:type="default" r:id="rId15"/>
      <w:headerReference w:type="first" r:id="rId16"/>
      <w:footerReference w:type="first" r:id="rId17"/>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2F" w:rsidRDefault="0038112F" w:rsidP="00CE459D">
      <w:r>
        <w:separator/>
      </w:r>
    </w:p>
  </w:endnote>
  <w:endnote w:type="continuationSeparator" w:id="0">
    <w:p w:rsidR="0038112F" w:rsidRDefault="0038112F" w:rsidP="00C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B1D00FD" wp14:editId="42BBA8A0">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74BEFD78" wp14:editId="5E0EE2B2">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2309BA38" wp14:editId="4739BEB9">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0D56AAE2" wp14:editId="50E65440">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2F" w:rsidRDefault="0038112F" w:rsidP="00CE459D">
      <w:r>
        <w:separator/>
      </w:r>
    </w:p>
  </w:footnote>
  <w:footnote w:type="continuationSeparator" w:id="0">
    <w:p w:rsidR="0038112F" w:rsidRDefault="0038112F" w:rsidP="00CE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1" w:rsidRDefault="00DD1181">
    <w:pPr>
      <w:pStyle w:val="Header"/>
    </w:pPr>
  </w:p>
  <w:p w:rsidR="000732FA" w:rsidRDefault="0007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1" w:rsidRDefault="00684FCC" w:rsidP="00B321D1">
    <w:pPr>
      <w:pStyle w:val="Header"/>
      <w:jc w:val="right"/>
    </w:pPr>
    <w:r>
      <w:fldChar w:fldCharType="begin"/>
    </w:r>
    <w:r>
      <w:instrText xml:space="preserve"> PAGE   \* MERGEFORMAT </w:instrText>
    </w:r>
    <w:r>
      <w:fldChar w:fldCharType="separate"/>
    </w:r>
    <w:r w:rsidR="00614013">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p w:rsidR="000732FA" w:rsidRDefault="000732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5C" w:rsidRPr="0054305C" w:rsidRDefault="00860BA1" w:rsidP="0054305C">
    <w:pPr>
      <w:tabs>
        <w:tab w:val="center" w:pos="4680"/>
        <w:tab w:val="right" w:pos="9360"/>
      </w:tabs>
      <w:rPr>
        <w:sz w:val="22"/>
        <w:szCs w:val="22"/>
      </w:rPr>
    </w:pPr>
    <w:r>
      <w:rPr>
        <w:noProof/>
      </w:rPr>
      <mc:AlternateContent>
        <mc:Choice Requires="wpg">
          <w:drawing>
            <wp:anchor distT="0" distB="0" distL="114300" distR="114300" simplePos="0" relativeHeight="251654144" behindDoc="1" locked="0" layoutInCell="1" allowOverlap="1" wp14:anchorId="3440DD3D" wp14:editId="37744234">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021CA4F4" wp14:editId="1FF0D2E0">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1028"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74D6919F" wp14:editId="669D8515">
              <wp:simplePos x="0" y="0"/>
              <wp:positionH relativeFrom="column">
                <wp:posOffset>3514090</wp:posOffset>
              </wp:positionH>
              <wp:positionV relativeFrom="page">
                <wp:posOffset>1478280</wp:posOffset>
              </wp:positionV>
              <wp:extent cx="2973705"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32435"/>
                      </a:xfrm>
                      <a:prstGeom prst="rect">
                        <a:avLst/>
                      </a:prstGeom>
                      <a:solidFill>
                        <a:srgbClr val="FFFFFF"/>
                      </a:solidFill>
                      <a:ln w="9525">
                        <a:noFill/>
                        <a:miter lim="800000"/>
                        <a:headEnd/>
                        <a:tailEnd/>
                      </a:ln>
                    </wps:spPr>
                    <wps:txbx>
                      <w:txbxContent>
                        <w:p w:rsidR="0054305C" w:rsidRPr="001910E5" w:rsidRDefault="0054305C" w:rsidP="00394A58">
                          <w:pPr>
                            <w:jc w:val="right"/>
                            <w:rPr>
                              <w:rFonts w:cs="Calibri"/>
                              <w:b/>
                              <w:sz w:val="22"/>
                              <w:szCs w:val="22"/>
                            </w:rPr>
                          </w:pPr>
                          <w:r w:rsidRPr="001910E5">
                            <w:rPr>
                              <w:rFonts w:cs="Calibri"/>
                              <w:b/>
                              <w:sz w:val="22"/>
                              <w:szCs w:val="22"/>
                            </w:rPr>
                            <w:t>Salam A. Noor, Ph.D.</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6.7pt;margin-top:116.4pt;width:234.15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" stroked="f">
              <v:textbox style="mso-fit-shape-to-text:t">
                <w:txbxContent>
                  <w:p w:rsidR="0054305C" w:rsidRPr="001910E5" w:rsidRDefault="0054305C" w:rsidP="00394A58">
                    <w:pPr>
                      <w:jc w:val="right"/>
                      <w:rPr>
                        <w:rFonts w:cs="Calibri"/>
                        <w:b/>
                        <w:sz w:val="22"/>
                        <w:szCs w:val="22"/>
                      </w:rPr>
                    </w:pPr>
                    <w:r w:rsidRPr="001910E5">
                      <w:rPr>
                        <w:rFonts w:cs="Calibri"/>
                        <w:b/>
                        <w:sz w:val="22"/>
                        <w:szCs w:val="22"/>
                      </w:rPr>
                      <w:t>Salam A. Noor, Ph.D.</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44076E4A" wp14:editId="6C1EE9CB">
          <wp:simplePos x="0" y="0"/>
          <wp:positionH relativeFrom="page">
            <wp:posOffset>457200</wp:posOffset>
          </wp:positionH>
          <wp:positionV relativeFrom="page">
            <wp:posOffset>375920</wp:posOffset>
          </wp:positionV>
          <wp:extent cx="2524760" cy="796925"/>
          <wp:effectExtent l="0" t="0" r="8890" b="3175"/>
          <wp:wrapNone/>
          <wp:docPr id="227"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78FBF393" wp14:editId="74BC3EB8">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B6E30"/>
    <w:multiLevelType w:val="hybridMultilevel"/>
    <w:tmpl w:val="CDCC8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C"/>
    <w:rsid w:val="0007028A"/>
    <w:rsid w:val="000732FA"/>
    <w:rsid w:val="000C5F65"/>
    <w:rsid w:val="000D3C77"/>
    <w:rsid w:val="000E1ACF"/>
    <w:rsid w:val="000F3F2E"/>
    <w:rsid w:val="000F5433"/>
    <w:rsid w:val="00156BA9"/>
    <w:rsid w:val="001910E5"/>
    <w:rsid w:val="001A7726"/>
    <w:rsid w:val="00246BF6"/>
    <w:rsid w:val="0026344F"/>
    <w:rsid w:val="00277DA1"/>
    <w:rsid w:val="00280989"/>
    <w:rsid w:val="002E4AB9"/>
    <w:rsid w:val="00354E85"/>
    <w:rsid w:val="0038112F"/>
    <w:rsid w:val="00394A58"/>
    <w:rsid w:val="003A767B"/>
    <w:rsid w:val="00443549"/>
    <w:rsid w:val="00456699"/>
    <w:rsid w:val="004946DD"/>
    <w:rsid w:val="004E1F19"/>
    <w:rsid w:val="00532EC4"/>
    <w:rsid w:val="0054305C"/>
    <w:rsid w:val="005845E5"/>
    <w:rsid w:val="005A4CC9"/>
    <w:rsid w:val="005B6F2B"/>
    <w:rsid w:val="005E6AAD"/>
    <w:rsid w:val="005F2534"/>
    <w:rsid w:val="006008DC"/>
    <w:rsid w:val="00605B79"/>
    <w:rsid w:val="00614013"/>
    <w:rsid w:val="00651E2C"/>
    <w:rsid w:val="00655A8A"/>
    <w:rsid w:val="00684FCC"/>
    <w:rsid w:val="006912EC"/>
    <w:rsid w:val="006A02E8"/>
    <w:rsid w:val="00860BA1"/>
    <w:rsid w:val="008A6892"/>
    <w:rsid w:val="008C7729"/>
    <w:rsid w:val="008D5A2F"/>
    <w:rsid w:val="008D7961"/>
    <w:rsid w:val="00915BC6"/>
    <w:rsid w:val="00943448"/>
    <w:rsid w:val="00965306"/>
    <w:rsid w:val="00994B55"/>
    <w:rsid w:val="009F7FBE"/>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CE5FB6"/>
    <w:rsid w:val="00D76049"/>
    <w:rsid w:val="00DA52CE"/>
    <w:rsid w:val="00DC7D58"/>
    <w:rsid w:val="00DD1181"/>
    <w:rsid w:val="00E0575C"/>
    <w:rsid w:val="00E16D03"/>
    <w:rsid w:val="00E205DF"/>
    <w:rsid w:val="00E33509"/>
    <w:rsid w:val="00E774B6"/>
    <w:rsid w:val="00EA1437"/>
    <w:rsid w:val="00EC4BF6"/>
    <w:rsid w:val="00F00A00"/>
    <w:rsid w:val="00F01A54"/>
    <w:rsid w:val="00F1504C"/>
    <w:rsid w:val="00F419A0"/>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13"/>
    <w:rPr>
      <w:rFonts w:ascii="Arial" w:eastAsia="Times New Roman" w:hAnsi="Arial"/>
      <w:sz w:val="24"/>
    </w:rPr>
  </w:style>
  <w:style w:type="paragraph" w:styleId="Heading1">
    <w:name w:val="heading 1"/>
    <w:basedOn w:val="Normal"/>
    <w:next w:val="Normal"/>
    <w:link w:val="Heading1Char"/>
    <w:uiPriority w:val="9"/>
    <w:qFormat/>
    <w:rsid w:val="000E1ACF"/>
    <w:pPr>
      <w:keepNext/>
      <w:keepLines/>
      <w:spacing w:before="240"/>
      <w:outlineLvl w:val="0"/>
    </w:pPr>
    <w:rPr>
      <w:rFonts w:ascii="Calibri Light"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outlineLvl w:val="1"/>
    </w:pPr>
    <w:rPr>
      <w:rFonts w:ascii="Calibri Light"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contextualSpacing/>
    </w:pPr>
    <w:rPr>
      <w:rFonts w:ascii="Calibri Light"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spacing w:after="100"/>
      <w:ind w:left="720"/>
      <w:contextualSpacing/>
    </w:pPr>
    <w:rPr>
      <w:rFonts w:ascii="Calibri" w:eastAsia="Calibri" w:hAnsi="Calibri"/>
      <w:sz w:val="21"/>
      <w:szCs w:val="21"/>
    </w:rPr>
  </w:style>
  <w:style w:type="paragraph" w:styleId="ListBullet">
    <w:name w:val="List Bullet"/>
    <w:basedOn w:val="Normal"/>
    <w:uiPriority w:val="99"/>
    <w:unhideWhenUsed/>
    <w:qFormat/>
    <w:rsid w:val="000E1ACF"/>
    <w:pPr>
      <w:numPr>
        <w:numId w:val="2"/>
      </w:numPr>
      <w:spacing w:after="100"/>
      <w:contextualSpacing/>
    </w:pPr>
    <w:rPr>
      <w:rFonts w:ascii="Calibri" w:eastAsia="Calibri" w:hAnsi="Calibri"/>
      <w:sz w:val="21"/>
      <w:szCs w:val="21"/>
    </w:rPr>
  </w:style>
  <w:style w:type="paragraph" w:styleId="ListBullet2">
    <w:name w:val="List Bullet 2"/>
    <w:basedOn w:val="Normal"/>
    <w:uiPriority w:val="99"/>
    <w:unhideWhenUsed/>
    <w:qFormat/>
    <w:rsid w:val="000E1ACF"/>
    <w:pPr>
      <w:numPr>
        <w:numId w:val="3"/>
      </w:numPr>
      <w:spacing w:after="100"/>
      <w:contextualSpacing/>
    </w:pPr>
    <w:rPr>
      <w:rFonts w:ascii="Calibri" w:eastAsia="Calibri" w:hAnsi="Calibri"/>
      <w:sz w:val="21"/>
      <w:szCs w:val="21"/>
    </w:rPr>
  </w:style>
  <w:style w:type="paragraph" w:styleId="List">
    <w:name w:val="List"/>
    <w:basedOn w:val="Normal"/>
    <w:uiPriority w:val="99"/>
    <w:semiHidden/>
    <w:unhideWhenUsed/>
    <w:rsid w:val="000E1ACF"/>
    <w:pPr>
      <w:spacing w:after="100"/>
      <w:ind w:left="360" w:hanging="360"/>
      <w:contextualSpacing/>
    </w:pPr>
    <w:rPr>
      <w:rFonts w:ascii="Calibri" w:eastAsia="Calibri" w:hAnsi="Calibri"/>
      <w:sz w:val="21"/>
      <w:szCs w:val="21"/>
    </w:rPr>
  </w:style>
  <w:style w:type="paragraph" w:styleId="Header">
    <w:name w:val="header"/>
    <w:basedOn w:val="Normal"/>
    <w:link w:val="HeaderChar"/>
    <w:uiPriority w:val="99"/>
    <w:unhideWhenUsed/>
    <w:rsid w:val="00CE459D"/>
    <w:pPr>
      <w:tabs>
        <w:tab w:val="center" w:pos="4680"/>
        <w:tab w:val="right" w:pos="9360"/>
      </w:tabs>
    </w:pPr>
    <w:rPr>
      <w:rFonts w:ascii="Calibri" w:eastAsia="Calibri" w:hAnsi="Calibri"/>
      <w:sz w:val="21"/>
      <w:szCs w:val="21"/>
    </w:r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nhideWhenUsed/>
    <w:rsid w:val="00CE459D"/>
    <w:pPr>
      <w:tabs>
        <w:tab w:val="center" w:pos="4680"/>
        <w:tab w:val="right" w:pos="9360"/>
      </w:tabs>
    </w:pPr>
    <w:rPr>
      <w:rFonts w:ascii="Calibri" w:eastAsia="Calibri" w:hAnsi="Calibri"/>
      <w:sz w:val="21"/>
      <w:szCs w:val="21"/>
    </w:rPr>
  </w:style>
  <w:style w:type="character" w:customStyle="1" w:styleId="FooterChar">
    <w:name w:val="Footer Char"/>
    <w:basedOn w:val="DefaultParagraphFont"/>
    <w:link w:val="Footer"/>
    <w:uiPriority w:val="99"/>
    <w:rsid w:val="00CE459D"/>
  </w:style>
  <w:style w:type="character" w:styleId="Strong">
    <w:name w:val="Strong"/>
    <w:uiPriority w:val="99"/>
    <w:qFormat/>
    <w:rsid w:val="00277DA1"/>
    <w:rPr>
      <w:b/>
      <w:bCs/>
    </w:rPr>
  </w:style>
  <w:style w:type="paragraph" w:customStyle="1" w:styleId="Body">
    <w:name w:val="Body"/>
    <w:basedOn w:val="Normal"/>
    <w:uiPriority w:val="99"/>
    <w:rsid w:val="0054305C"/>
    <w:pPr>
      <w:jc w:val="right"/>
    </w:pPr>
    <w:rPr>
      <w:rFonts w:ascii="Palatino Linotype" w:eastAsia="Calibri" w:hAnsi="Palatino Linotype"/>
      <w:sz w:val="22"/>
      <w:szCs w:val="22"/>
    </w:rPr>
  </w:style>
  <w:style w:type="paragraph" w:customStyle="1" w:styleId="HeaderName">
    <w:name w:val="Header Name"/>
    <w:basedOn w:val="Normal"/>
    <w:qFormat/>
    <w:rsid w:val="0054305C"/>
    <w:pPr>
      <w:spacing w:after="80"/>
      <w:jc w:val="right"/>
    </w:pPr>
    <w:rPr>
      <w:rFonts w:ascii="Palatino Linotype" w:eastAsia="Calibri"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nhideWhenUsed/>
    <w:rsid w:val="006912EC"/>
    <w:rPr>
      <w:color w:val="0000FF"/>
      <w:u w:val="single"/>
    </w:rPr>
  </w:style>
  <w:style w:type="paragraph" w:styleId="BodyText">
    <w:name w:val="Body Text"/>
    <w:basedOn w:val="Normal"/>
    <w:link w:val="BodyTextChar"/>
    <w:semiHidden/>
    <w:unhideWhenUsed/>
    <w:rsid w:val="006912EC"/>
    <w:pPr>
      <w:tabs>
        <w:tab w:val="left" w:pos="4860"/>
      </w:tabs>
    </w:pPr>
    <w:rPr>
      <w:rFonts w:ascii="Tahoma"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FollowedHyperlink">
    <w:name w:val="FollowedHyperlink"/>
    <w:basedOn w:val="DefaultParagraphFont"/>
    <w:uiPriority w:val="99"/>
    <w:semiHidden/>
    <w:unhideWhenUsed/>
    <w:rsid w:val="00CE5F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13"/>
    <w:rPr>
      <w:rFonts w:ascii="Arial" w:eastAsia="Times New Roman" w:hAnsi="Arial"/>
      <w:sz w:val="24"/>
    </w:rPr>
  </w:style>
  <w:style w:type="paragraph" w:styleId="Heading1">
    <w:name w:val="heading 1"/>
    <w:basedOn w:val="Normal"/>
    <w:next w:val="Normal"/>
    <w:link w:val="Heading1Char"/>
    <w:uiPriority w:val="9"/>
    <w:qFormat/>
    <w:rsid w:val="000E1ACF"/>
    <w:pPr>
      <w:keepNext/>
      <w:keepLines/>
      <w:spacing w:before="240"/>
      <w:outlineLvl w:val="0"/>
    </w:pPr>
    <w:rPr>
      <w:rFonts w:ascii="Calibri Light"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outlineLvl w:val="1"/>
    </w:pPr>
    <w:rPr>
      <w:rFonts w:ascii="Calibri Light"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contextualSpacing/>
    </w:pPr>
    <w:rPr>
      <w:rFonts w:ascii="Calibri Light"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spacing w:after="100"/>
      <w:ind w:left="720"/>
      <w:contextualSpacing/>
    </w:pPr>
    <w:rPr>
      <w:rFonts w:ascii="Calibri" w:eastAsia="Calibri" w:hAnsi="Calibri"/>
      <w:sz w:val="21"/>
      <w:szCs w:val="21"/>
    </w:rPr>
  </w:style>
  <w:style w:type="paragraph" w:styleId="ListBullet">
    <w:name w:val="List Bullet"/>
    <w:basedOn w:val="Normal"/>
    <w:uiPriority w:val="99"/>
    <w:unhideWhenUsed/>
    <w:qFormat/>
    <w:rsid w:val="000E1ACF"/>
    <w:pPr>
      <w:numPr>
        <w:numId w:val="2"/>
      </w:numPr>
      <w:spacing w:after="100"/>
      <w:contextualSpacing/>
    </w:pPr>
    <w:rPr>
      <w:rFonts w:ascii="Calibri" w:eastAsia="Calibri" w:hAnsi="Calibri"/>
      <w:sz w:val="21"/>
      <w:szCs w:val="21"/>
    </w:rPr>
  </w:style>
  <w:style w:type="paragraph" w:styleId="ListBullet2">
    <w:name w:val="List Bullet 2"/>
    <w:basedOn w:val="Normal"/>
    <w:uiPriority w:val="99"/>
    <w:unhideWhenUsed/>
    <w:qFormat/>
    <w:rsid w:val="000E1ACF"/>
    <w:pPr>
      <w:numPr>
        <w:numId w:val="3"/>
      </w:numPr>
      <w:spacing w:after="100"/>
      <w:contextualSpacing/>
    </w:pPr>
    <w:rPr>
      <w:rFonts w:ascii="Calibri" w:eastAsia="Calibri" w:hAnsi="Calibri"/>
      <w:sz w:val="21"/>
      <w:szCs w:val="21"/>
    </w:rPr>
  </w:style>
  <w:style w:type="paragraph" w:styleId="List">
    <w:name w:val="List"/>
    <w:basedOn w:val="Normal"/>
    <w:uiPriority w:val="99"/>
    <w:semiHidden/>
    <w:unhideWhenUsed/>
    <w:rsid w:val="000E1ACF"/>
    <w:pPr>
      <w:spacing w:after="100"/>
      <w:ind w:left="360" w:hanging="360"/>
      <w:contextualSpacing/>
    </w:pPr>
    <w:rPr>
      <w:rFonts w:ascii="Calibri" w:eastAsia="Calibri" w:hAnsi="Calibri"/>
      <w:sz w:val="21"/>
      <w:szCs w:val="21"/>
    </w:rPr>
  </w:style>
  <w:style w:type="paragraph" w:styleId="Header">
    <w:name w:val="header"/>
    <w:basedOn w:val="Normal"/>
    <w:link w:val="HeaderChar"/>
    <w:uiPriority w:val="99"/>
    <w:unhideWhenUsed/>
    <w:rsid w:val="00CE459D"/>
    <w:pPr>
      <w:tabs>
        <w:tab w:val="center" w:pos="4680"/>
        <w:tab w:val="right" w:pos="9360"/>
      </w:tabs>
    </w:pPr>
    <w:rPr>
      <w:rFonts w:ascii="Calibri" w:eastAsia="Calibri" w:hAnsi="Calibri"/>
      <w:sz w:val="21"/>
      <w:szCs w:val="21"/>
    </w:r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nhideWhenUsed/>
    <w:rsid w:val="00CE459D"/>
    <w:pPr>
      <w:tabs>
        <w:tab w:val="center" w:pos="4680"/>
        <w:tab w:val="right" w:pos="9360"/>
      </w:tabs>
    </w:pPr>
    <w:rPr>
      <w:rFonts w:ascii="Calibri" w:eastAsia="Calibri" w:hAnsi="Calibri"/>
      <w:sz w:val="21"/>
      <w:szCs w:val="21"/>
    </w:rPr>
  </w:style>
  <w:style w:type="character" w:customStyle="1" w:styleId="FooterChar">
    <w:name w:val="Footer Char"/>
    <w:basedOn w:val="DefaultParagraphFont"/>
    <w:link w:val="Footer"/>
    <w:uiPriority w:val="99"/>
    <w:rsid w:val="00CE459D"/>
  </w:style>
  <w:style w:type="character" w:styleId="Strong">
    <w:name w:val="Strong"/>
    <w:uiPriority w:val="99"/>
    <w:qFormat/>
    <w:rsid w:val="00277DA1"/>
    <w:rPr>
      <w:b/>
      <w:bCs/>
    </w:rPr>
  </w:style>
  <w:style w:type="paragraph" w:customStyle="1" w:styleId="Body">
    <w:name w:val="Body"/>
    <w:basedOn w:val="Normal"/>
    <w:uiPriority w:val="99"/>
    <w:rsid w:val="0054305C"/>
    <w:pPr>
      <w:jc w:val="right"/>
    </w:pPr>
    <w:rPr>
      <w:rFonts w:ascii="Palatino Linotype" w:eastAsia="Calibri" w:hAnsi="Palatino Linotype"/>
      <w:sz w:val="22"/>
      <w:szCs w:val="22"/>
    </w:rPr>
  </w:style>
  <w:style w:type="paragraph" w:customStyle="1" w:styleId="HeaderName">
    <w:name w:val="Header Name"/>
    <w:basedOn w:val="Normal"/>
    <w:qFormat/>
    <w:rsid w:val="0054305C"/>
    <w:pPr>
      <w:spacing w:after="80"/>
      <w:jc w:val="right"/>
    </w:pPr>
    <w:rPr>
      <w:rFonts w:ascii="Palatino Linotype" w:eastAsia="Calibri"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nhideWhenUsed/>
    <w:rsid w:val="006912EC"/>
    <w:rPr>
      <w:color w:val="0000FF"/>
      <w:u w:val="single"/>
    </w:rPr>
  </w:style>
  <w:style w:type="paragraph" w:styleId="BodyText">
    <w:name w:val="Body Text"/>
    <w:basedOn w:val="Normal"/>
    <w:link w:val="BodyTextChar"/>
    <w:semiHidden/>
    <w:unhideWhenUsed/>
    <w:rsid w:val="006912EC"/>
    <w:pPr>
      <w:tabs>
        <w:tab w:val="left" w:pos="4860"/>
      </w:tabs>
    </w:pPr>
    <w:rPr>
      <w:rFonts w:ascii="Tahoma"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FollowedHyperlink">
    <w:name w:val="FollowedHyperlink"/>
    <w:basedOn w:val="DefaultParagraphFont"/>
    <w:uiPriority w:val="99"/>
    <w:semiHidden/>
    <w:unhideWhenUsed/>
    <w:rsid w:val="00CE5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T\_ODE%20OFFICI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o_x0020_Number xmlns="f7609531-e3a5-4948-b047-4e31032b7a7f" xsi:nil="true"/>
    <Remediation_x0020_Date xmlns="f7609531-e3a5-4948-b047-4e31032b7a7f">2017-07-28T07:00:00+00:00</Remediation_x0020_Date>
    <Estimated_x0020_Creation_x0020_Date xmlns="f7609531-e3a5-4948-b047-4e31032b7a7f" xsi:nil="true"/>
    <Priority xmlns="f7609531-e3a5-4948-b047-4e31032b7a7f">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63B74-9AB7-4A92-86F3-8636A92435B0}"/>
</file>

<file path=customXml/itemProps2.xml><?xml version="1.0" encoding="utf-8"?>
<ds:datastoreItem xmlns:ds="http://schemas.openxmlformats.org/officeDocument/2006/customXml" ds:itemID="{551DCC32-C789-4B73-A192-3A56B24BAEBF}"/>
</file>

<file path=customXml/itemProps3.xml><?xml version="1.0" encoding="utf-8"?>
<ds:datastoreItem xmlns:ds="http://schemas.openxmlformats.org/officeDocument/2006/customXml" ds:itemID="{C367CAAB-31D1-491A-98E7-3C4CB2E894AD}"/>
</file>

<file path=docProps/app.xml><?xml version="1.0" encoding="utf-8"?>
<Properties xmlns="http://schemas.openxmlformats.org/officeDocument/2006/extended-properties" xmlns:vt="http://schemas.openxmlformats.org/officeDocument/2006/docPropsVTypes">
  <Template>_ODE OFFICIAL LETTERHEAD</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Debbie - ODE</dc:creator>
  <cp:lastModifiedBy>WILLIAMS Karen L - ODE</cp:lastModifiedBy>
  <cp:revision>2</cp:revision>
  <cp:lastPrinted>2017-07-28T20:06:00Z</cp:lastPrinted>
  <dcterms:created xsi:type="dcterms:W3CDTF">2017-07-31T14:04:00Z</dcterms:created>
  <dcterms:modified xsi:type="dcterms:W3CDTF">2017-07-31T14:04:00Z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