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920" w:rsidRDefault="00544393" w:rsidP="00544393">
      <w:pPr>
        <w:jc w:val="center"/>
        <w:rPr>
          <w:rStyle w:val="A2"/>
          <w:rFonts w:cstheme="minorHAnsi"/>
          <w:b/>
          <w:sz w:val="32"/>
          <w:szCs w:val="32"/>
        </w:rPr>
      </w:pPr>
      <w:r w:rsidRPr="009A0920">
        <w:rPr>
          <w:rStyle w:val="A2"/>
          <w:rFonts w:cstheme="minorHAnsi"/>
          <w:b/>
          <w:sz w:val="32"/>
          <w:szCs w:val="32"/>
        </w:rPr>
        <w:t xml:space="preserve">Tobacco Dependence Treatment and </w:t>
      </w:r>
    </w:p>
    <w:p w:rsidR="00544393" w:rsidRPr="009A0920" w:rsidRDefault="00544393" w:rsidP="009A0920">
      <w:pPr>
        <w:jc w:val="center"/>
        <w:rPr>
          <w:rStyle w:val="A2"/>
          <w:rFonts w:cstheme="minorHAnsi"/>
          <w:b/>
          <w:sz w:val="32"/>
          <w:szCs w:val="32"/>
        </w:rPr>
      </w:pPr>
      <w:r w:rsidRPr="009A0920">
        <w:rPr>
          <w:rStyle w:val="A2"/>
          <w:rFonts w:cstheme="minorHAnsi"/>
          <w:b/>
          <w:sz w:val="32"/>
          <w:szCs w:val="32"/>
        </w:rPr>
        <w:t xml:space="preserve">Comprehensive </w:t>
      </w:r>
      <w:r w:rsidR="009A0920">
        <w:rPr>
          <w:rStyle w:val="A2"/>
          <w:rFonts w:cstheme="minorHAnsi"/>
          <w:b/>
          <w:sz w:val="32"/>
          <w:szCs w:val="32"/>
        </w:rPr>
        <w:t xml:space="preserve">Cessation Benefits: </w:t>
      </w:r>
      <w:r w:rsidR="009A0920" w:rsidRPr="009A0920">
        <w:rPr>
          <w:rStyle w:val="A2"/>
          <w:rFonts w:cstheme="minorHAnsi"/>
          <w:b/>
          <w:sz w:val="32"/>
          <w:szCs w:val="32"/>
        </w:rPr>
        <w:t>Best Practices</w:t>
      </w:r>
      <w:r w:rsidRPr="009A0920">
        <w:rPr>
          <w:rStyle w:val="A2"/>
          <w:rFonts w:cstheme="minorHAnsi"/>
          <w:b/>
          <w:sz w:val="32"/>
          <w:szCs w:val="32"/>
        </w:rPr>
        <w:t xml:space="preserve"> </w:t>
      </w:r>
    </w:p>
    <w:p w:rsidR="00544393" w:rsidRPr="009035CA" w:rsidRDefault="00544393" w:rsidP="00544393">
      <w:pPr>
        <w:jc w:val="center"/>
        <w:rPr>
          <w:rStyle w:val="A2"/>
          <w:rFonts w:cstheme="minorHAnsi"/>
          <w:b/>
          <w:sz w:val="10"/>
          <w:szCs w:val="10"/>
        </w:rPr>
      </w:pPr>
    </w:p>
    <w:p w:rsidR="00544393" w:rsidRPr="00D41E52" w:rsidRDefault="00194217" w:rsidP="00A92DCC">
      <w:pPr>
        <w:rPr>
          <w:sz w:val="24"/>
          <w:szCs w:val="24"/>
        </w:rPr>
      </w:pPr>
      <w:r w:rsidRPr="00194217">
        <w:rPr>
          <w:rStyle w:val="A2"/>
          <w:rFonts w:cstheme="minorHAnsi"/>
          <w:b/>
          <w:sz w:val="24"/>
          <w:szCs w:val="24"/>
        </w:rPr>
        <w:t xml:space="preserve">Tobacco dependence treatment is both effective and cost effective. </w:t>
      </w:r>
      <w:r w:rsidRPr="00194217">
        <w:rPr>
          <w:rFonts w:cstheme="minorHAnsi"/>
          <w:sz w:val="24"/>
          <w:szCs w:val="24"/>
        </w:rPr>
        <w:t>Approximately $400 million is saved in medical costs every time Oregon’s smoking rate is reduced by one percent.</w:t>
      </w:r>
      <w:r w:rsidRPr="00194217">
        <w:rPr>
          <w:rStyle w:val="EndnoteReference"/>
          <w:rFonts w:cstheme="minorHAnsi"/>
          <w:sz w:val="24"/>
          <w:szCs w:val="24"/>
        </w:rPr>
        <w:endnoteReference w:id="1"/>
      </w:r>
      <w:r w:rsidRPr="00194217">
        <w:rPr>
          <w:rFonts w:cstheme="minorHAnsi"/>
          <w:sz w:val="24"/>
          <w:szCs w:val="24"/>
        </w:rPr>
        <w:t xml:space="preserve"> Tobacco users are most likely to quit when they are</w:t>
      </w:r>
      <w:r w:rsidRPr="00194217">
        <w:rPr>
          <w:sz w:val="24"/>
          <w:szCs w:val="24"/>
        </w:rPr>
        <w:t xml:space="preserve"> screened for tobacco use, advised on the dangers of tobacco and have access to </w:t>
      </w:r>
      <w:r w:rsidRPr="00194217">
        <w:rPr>
          <w:bCs/>
          <w:sz w:val="24"/>
          <w:szCs w:val="24"/>
        </w:rPr>
        <w:t xml:space="preserve">comprehensive cessation benefits, which include full benefit coverage for all seven FDA approved cessation medications and counseling with no barriers to access. </w:t>
      </w:r>
      <w:r w:rsidRPr="00194217">
        <w:rPr>
          <w:sz w:val="24"/>
          <w:szCs w:val="24"/>
        </w:rPr>
        <w:t xml:space="preserve">Each of these medications and counseling types have proven effective based on scientific evidence. </w:t>
      </w:r>
      <w:r w:rsidRPr="00194217">
        <w:rPr>
          <w:bCs/>
          <w:sz w:val="24"/>
          <w:szCs w:val="24"/>
        </w:rPr>
        <w:t>In addition, tobacco-free policies at clinic sites assist members and employees in staying quit and change social norms about tobacco use.</w:t>
      </w:r>
      <w:r w:rsidRPr="00194217">
        <w:rPr>
          <w:sz w:val="24"/>
          <w:szCs w:val="24"/>
        </w:rPr>
        <w:t xml:space="preserve"> </w:t>
      </w:r>
    </w:p>
    <w:p w:rsidR="00544393" w:rsidRPr="00D41E52" w:rsidRDefault="00544393" w:rsidP="0098503D">
      <w:pPr>
        <w:pStyle w:val="Default"/>
        <w:rPr>
          <w:rFonts w:asciiTheme="minorHAnsi" w:eastAsia="Times New Roman" w:hAnsiTheme="minorHAnsi" w:cstheme="minorHAnsi"/>
          <w:b/>
          <w:bCs/>
          <w:color w:val="auto"/>
        </w:rPr>
      </w:pPr>
    </w:p>
    <w:p w:rsidR="00B16CCA" w:rsidRDefault="00194217">
      <w:pPr>
        <w:pStyle w:val="Default"/>
        <w:numPr>
          <w:ilvl w:val="0"/>
          <w:numId w:val="1"/>
        </w:numPr>
        <w:ind w:left="360"/>
        <w:rPr>
          <w:rFonts w:asciiTheme="minorHAnsi" w:hAnsiTheme="minorHAnsi" w:cstheme="minorHAnsi"/>
          <w:color w:val="auto"/>
        </w:rPr>
      </w:pPr>
      <w:r w:rsidRPr="00194217">
        <w:rPr>
          <w:rFonts w:asciiTheme="minorHAnsi" w:eastAsia="Times New Roman" w:hAnsiTheme="minorHAnsi" w:cstheme="minorHAnsi"/>
          <w:b/>
          <w:bCs/>
          <w:color w:val="auto"/>
        </w:rPr>
        <w:t>Many different types of providers—physicians, nurses, medical assistants, pharmacists, traditional health workers –</w:t>
      </w:r>
      <w:r w:rsidRPr="00194217">
        <w:rPr>
          <w:rFonts w:asciiTheme="minorHAnsi" w:hAnsiTheme="minorHAnsi" w:cstheme="minorHAnsi"/>
          <w:color w:val="auto"/>
        </w:rPr>
        <w:t xml:space="preserve"> </w:t>
      </w:r>
      <w:r w:rsidRPr="00194217">
        <w:rPr>
          <w:rFonts w:asciiTheme="minorHAnsi" w:eastAsia="Times New Roman" w:hAnsiTheme="minorHAnsi" w:cstheme="minorHAnsi"/>
          <w:b/>
          <w:bCs/>
          <w:color w:val="auto"/>
        </w:rPr>
        <w:t xml:space="preserve">serve as </w:t>
      </w:r>
      <w:r w:rsidRPr="00194217">
        <w:rPr>
          <w:rFonts w:asciiTheme="minorHAnsi" w:hAnsiTheme="minorHAnsi" w:cstheme="minorHAnsi"/>
          <w:b/>
          <w:color w:val="auto"/>
        </w:rPr>
        <w:t>important motivators for tobacco users wishing to quit.</w:t>
      </w:r>
      <w:r w:rsidRPr="00194217">
        <w:rPr>
          <w:rFonts w:asciiTheme="minorHAnsi" w:hAnsiTheme="minorHAnsi" w:cstheme="minorHAnsi"/>
          <w:color w:val="333333"/>
        </w:rPr>
        <w:t xml:space="preserve"> </w:t>
      </w:r>
      <w:r w:rsidRPr="00194217">
        <w:rPr>
          <w:rFonts w:asciiTheme="minorHAnsi" w:hAnsiTheme="minorHAnsi" w:cstheme="minorHAnsi"/>
          <w:color w:val="auto"/>
        </w:rPr>
        <w:t xml:space="preserve">During every visit, staff can provide a brief clinical intervention (Ask, Advise, </w:t>
      </w:r>
      <w:proofErr w:type="gramStart"/>
      <w:r w:rsidRPr="00194217">
        <w:rPr>
          <w:rFonts w:asciiTheme="minorHAnsi" w:hAnsiTheme="minorHAnsi" w:cstheme="minorHAnsi"/>
          <w:color w:val="auto"/>
        </w:rPr>
        <w:t>Refer</w:t>
      </w:r>
      <w:proofErr w:type="gramEnd"/>
      <w:r w:rsidRPr="00194217">
        <w:rPr>
          <w:rFonts w:asciiTheme="minorHAnsi" w:hAnsiTheme="minorHAnsi" w:cstheme="minorHAnsi"/>
          <w:color w:val="auto"/>
        </w:rPr>
        <w:t>) to members who use tobacco AND are ready to quit.</w:t>
      </w:r>
      <w:r w:rsidRPr="00194217">
        <w:rPr>
          <w:rStyle w:val="EndnoteReference"/>
          <w:rFonts w:asciiTheme="minorHAnsi" w:hAnsiTheme="minorHAnsi" w:cstheme="minorHAnsi"/>
          <w:color w:val="auto"/>
        </w:rPr>
        <w:endnoteReference w:id="2"/>
      </w:r>
      <w:r w:rsidRPr="00194217">
        <w:rPr>
          <w:rFonts w:asciiTheme="minorHAnsi" w:hAnsiTheme="minorHAnsi" w:cstheme="minorHAnsi"/>
          <w:color w:val="auto"/>
        </w:rPr>
        <w:t xml:space="preserve"> Provider advice to quit is the number one reason most tobacco users make a quit attempt.</w:t>
      </w:r>
    </w:p>
    <w:p w:rsidR="00544393" w:rsidRPr="00D41E52" w:rsidRDefault="00544393" w:rsidP="0070210F">
      <w:pPr>
        <w:pStyle w:val="Default"/>
        <w:rPr>
          <w:b/>
        </w:rPr>
      </w:pPr>
    </w:p>
    <w:p w:rsidR="00544393" w:rsidRPr="00D41E52" w:rsidRDefault="00194217" w:rsidP="0070210F">
      <w:pPr>
        <w:pStyle w:val="Default"/>
        <w:numPr>
          <w:ilvl w:val="0"/>
          <w:numId w:val="1"/>
        </w:numPr>
        <w:ind w:left="360"/>
      </w:pPr>
      <w:r w:rsidRPr="00194217">
        <w:rPr>
          <w:b/>
        </w:rPr>
        <w:t>Coverage for the seven FDA approved cessation medications are an important component of a comprehensive cessation benefit.</w:t>
      </w:r>
      <w:r w:rsidRPr="00194217">
        <w:t xml:space="preserve"> The seven FDA approved medications include options for over-the-counter (gum, patch, lozenge, inhaler) and prescription (nasal spray, </w:t>
      </w:r>
      <w:proofErr w:type="spellStart"/>
      <w:r w:rsidRPr="00194217">
        <w:rPr>
          <w:bCs/>
        </w:rPr>
        <w:t>bupropion</w:t>
      </w:r>
      <w:proofErr w:type="spellEnd"/>
      <w:r w:rsidR="00CD6AF2">
        <w:rPr>
          <w:bCs/>
        </w:rPr>
        <w:t xml:space="preserve"> </w:t>
      </w:r>
      <w:r w:rsidRPr="00194217">
        <w:t xml:space="preserve">and </w:t>
      </w:r>
      <w:proofErr w:type="spellStart"/>
      <w:r w:rsidRPr="00194217">
        <w:rPr>
          <w:bCs/>
        </w:rPr>
        <w:t>varenicline</w:t>
      </w:r>
      <w:proofErr w:type="spellEnd"/>
      <w:r w:rsidRPr="00194217">
        <w:t xml:space="preserve">). </w:t>
      </w:r>
    </w:p>
    <w:p w:rsidR="00194217" w:rsidRPr="00194217" w:rsidRDefault="00194217" w:rsidP="00194217">
      <w:pPr>
        <w:pStyle w:val="Default"/>
        <w:ind w:left="360"/>
      </w:pPr>
    </w:p>
    <w:p w:rsidR="00544393" w:rsidRPr="00D41E52" w:rsidRDefault="00253A6F" w:rsidP="0070210F">
      <w:pPr>
        <w:pStyle w:val="Default"/>
        <w:numPr>
          <w:ilvl w:val="0"/>
          <w:numId w:val="1"/>
        </w:numPr>
        <w:ind w:left="360"/>
      </w:pPr>
      <w:r>
        <w:rPr>
          <w:b/>
          <w:bCs/>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602615</wp:posOffset>
            </wp:positionV>
            <wp:extent cx="2368550" cy="23431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68550" cy="2343150"/>
                    </a:xfrm>
                    <a:prstGeom prst="rect">
                      <a:avLst/>
                    </a:prstGeom>
                    <a:noFill/>
                    <a:ln w="9525">
                      <a:noFill/>
                      <a:miter lim="800000"/>
                      <a:headEnd/>
                      <a:tailEnd/>
                    </a:ln>
                  </pic:spPr>
                </pic:pic>
              </a:graphicData>
            </a:graphic>
          </wp:anchor>
        </w:drawing>
      </w:r>
      <w:r w:rsidR="00194217" w:rsidRPr="00194217">
        <w:rPr>
          <w:b/>
          <w:bCs/>
        </w:rPr>
        <w:t>Individual</w:t>
      </w:r>
      <w:r w:rsidR="00194217" w:rsidRPr="00194217">
        <w:rPr>
          <w:b/>
        </w:rPr>
        <w:t xml:space="preserve">, </w:t>
      </w:r>
      <w:r w:rsidR="00194217" w:rsidRPr="00194217">
        <w:rPr>
          <w:b/>
          <w:bCs/>
        </w:rPr>
        <w:t xml:space="preserve">group </w:t>
      </w:r>
      <w:r w:rsidR="00194217" w:rsidRPr="00194217">
        <w:rPr>
          <w:b/>
        </w:rPr>
        <w:t xml:space="preserve">and </w:t>
      </w:r>
      <w:r w:rsidR="00194217" w:rsidRPr="00194217">
        <w:rPr>
          <w:b/>
          <w:bCs/>
        </w:rPr>
        <w:t>phone counseling</w:t>
      </w:r>
      <w:r w:rsidR="00194217" w:rsidRPr="00194217">
        <w:rPr>
          <w:b/>
        </w:rPr>
        <w:t xml:space="preserve"> are also proven methods that can help tobacco users quit.</w:t>
      </w:r>
      <w:r w:rsidR="00194217" w:rsidRPr="00194217">
        <w:t xml:space="preserve"> CCOs can contract with the Quit Line to connect their members to telephonic cessation services and medications. CCOs can use traditional health workers or health coaches, or can contract with local entities to provide in-person cessation counseling. </w:t>
      </w:r>
    </w:p>
    <w:p w:rsidR="009035CA" w:rsidRPr="00D41E52" w:rsidRDefault="009035CA" w:rsidP="0098503D">
      <w:pPr>
        <w:pStyle w:val="Default"/>
      </w:pPr>
    </w:p>
    <w:p w:rsidR="00544393" w:rsidRPr="00D41E52" w:rsidRDefault="00194217" w:rsidP="0098503D">
      <w:pPr>
        <w:pStyle w:val="Default"/>
      </w:pPr>
      <w:r w:rsidRPr="00194217">
        <w:t>Although each treatment works on its own, tobacco users have a higher chance at quitting if they use a course of treatment that includes both medications and counseling.</w:t>
      </w:r>
    </w:p>
    <w:p w:rsidR="00544393" w:rsidRPr="00D41E52" w:rsidRDefault="00544393" w:rsidP="0098503D">
      <w:pPr>
        <w:pStyle w:val="Default"/>
      </w:pPr>
    </w:p>
    <w:p w:rsidR="00544393" w:rsidRPr="00D41E52" w:rsidRDefault="00253A6F" w:rsidP="009035CA">
      <w:pPr>
        <w:pStyle w:val="Default"/>
        <w:numPr>
          <w:ilvl w:val="0"/>
          <w:numId w:val="1"/>
        </w:numPr>
      </w:pPr>
      <w:r>
        <w:rPr>
          <w:b/>
          <w:bCs/>
          <w:noProof/>
        </w:rPr>
        <w:drawing>
          <wp:anchor distT="0" distB="0" distL="114300" distR="114300" simplePos="0" relativeHeight="251662336" behindDoc="0" locked="0" layoutInCell="1" allowOverlap="1">
            <wp:simplePos x="0" y="0"/>
            <wp:positionH relativeFrom="column">
              <wp:posOffset>-2482850</wp:posOffset>
            </wp:positionH>
            <wp:positionV relativeFrom="paragraph">
              <wp:posOffset>1199515</wp:posOffset>
            </wp:positionV>
            <wp:extent cx="2371725" cy="186690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371725" cy="1866900"/>
                    </a:xfrm>
                    <a:prstGeom prst="rect">
                      <a:avLst/>
                    </a:prstGeom>
                    <a:noFill/>
                    <a:ln w="9525">
                      <a:noFill/>
                      <a:miter lim="800000"/>
                      <a:headEnd/>
                      <a:tailEnd/>
                    </a:ln>
                  </pic:spPr>
                </pic:pic>
              </a:graphicData>
            </a:graphic>
          </wp:anchor>
        </w:drawing>
      </w:r>
      <w:r w:rsidR="00194217" w:rsidRPr="00194217">
        <w:rPr>
          <w:b/>
          <w:bCs/>
        </w:rPr>
        <w:t xml:space="preserve">It is important to increase access and remove barriers that would make it harder for members to get cessation treatment or to try different treatments. </w:t>
      </w:r>
      <w:r w:rsidR="00194217" w:rsidRPr="00194217">
        <w:t xml:space="preserve">The most effective cessation coverage is easily accessible. Barriers that deny or limit treatment include requiring co-pays; limiting the length, frequency or amount spent on treatments; requiring prior authorization; requiring quit attempts for one medication before trying another; requiring counseling to be paired with medication; requiring intent to quit letters; and required enrollment in “cessation plans.” Such policies can actually </w:t>
      </w:r>
      <w:r w:rsidR="00194217" w:rsidRPr="00194217">
        <w:rPr>
          <w:i/>
          <w:iCs/>
        </w:rPr>
        <w:t xml:space="preserve">reduce </w:t>
      </w:r>
      <w:r w:rsidR="00194217" w:rsidRPr="00194217">
        <w:t>the number of members who try to quit.</w:t>
      </w:r>
      <w:r w:rsidR="00194217" w:rsidRPr="00194217">
        <w:rPr>
          <w:rStyle w:val="EndnoteReference"/>
        </w:rPr>
        <w:endnoteReference w:id="3"/>
      </w:r>
    </w:p>
    <w:p w:rsidR="00040F5B" w:rsidRPr="00D41E52" w:rsidRDefault="00040F5B" w:rsidP="00040F5B">
      <w:pPr>
        <w:pStyle w:val="Default"/>
        <w:ind w:left="720"/>
      </w:pPr>
    </w:p>
    <w:p w:rsidR="00544393" w:rsidRPr="00D41E52" w:rsidRDefault="00194217" w:rsidP="00544393">
      <w:pPr>
        <w:pStyle w:val="Default"/>
        <w:numPr>
          <w:ilvl w:val="0"/>
          <w:numId w:val="1"/>
        </w:numPr>
      </w:pPr>
      <w:r w:rsidRPr="00194217">
        <w:rPr>
          <w:b/>
        </w:rPr>
        <w:t>Other recommendations include:</w:t>
      </w:r>
      <w:r w:rsidRPr="00194217">
        <w:t xml:space="preserve"> reimbursing providers to provide the delivery of tobacco use treatment services; conducting ongoing measurement of utilization and outcomes together with quality improvement processes; and designing interventions for special populations (youth, pregnant women, communities of color, etc).</w:t>
      </w:r>
      <w:proofErr w:type="spellStart"/>
      <w:r w:rsidRPr="00194217">
        <w:rPr>
          <w:rStyle w:val="EndnoteReference"/>
        </w:rPr>
        <w:endnoteReference w:customMarkFollows="1" w:id="4"/>
        <w:t>i</w:t>
      </w:r>
      <w:proofErr w:type="spellEnd"/>
      <w:r w:rsidRPr="00194217">
        <w:t xml:space="preserve"> </w:t>
      </w:r>
    </w:p>
    <w:p w:rsidR="000F3AF3" w:rsidRDefault="000F3AF3" w:rsidP="009A0920">
      <w:pPr>
        <w:pStyle w:val="Default"/>
        <w:jc w:val="center"/>
        <w:rPr>
          <w:b/>
          <w:sz w:val="28"/>
          <w:szCs w:val="28"/>
        </w:rPr>
      </w:pPr>
    </w:p>
    <w:p w:rsidR="009035CA" w:rsidRDefault="009035CA" w:rsidP="009A0920">
      <w:pPr>
        <w:pStyle w:val="Default"/>
        <w:jc w:val="center"/>
        <w:rPr>
          <w:b/>
          <w:sz w:val="28"/>
          <w:szCs w:val="28"/>
        </w:rPr>
      </w:pPr>
    </w:p>
    <w:p w:rsidR="00544393" w:rsidRPr="00544393" w:rsidRDefault="00544393" w:rsidP="009A0920">
      <w:pPr>
        <w:pStyle w:val="Default"/>
        <w:jc w:val="center"/>
        <w:rPr>
          <w:b/>
          <w:sz w:val="28"/>
          <w:szCs w:val="28"/>
        </w:rPr>
      </w:pPr>
      <w:r w:rsidRPr="00544393">
        <w:rPr>
          <w:b/>
          <w:sz w:val="28"/>
          <w:szCs w:val="28"/>
        </w:rPr>
        <w:lastRenderedPageBreak/>
        <w:t>References</w:t>
      </w:r>
    </w:p>
    <w:sectPr w:rsidR="00544393" w:rsidRPr="00544393" w:rsidSect="009A0920">
      <w:headerReference w:type="default" r:id="rId10"/>
      <w:footerReference w:type="default" r:id="rId11"/>
      <w:pgSz w:w="12240" w:h="15840"/>
      <w:pgMar w:top="720" w:right="720" w:bottom="720" w:left="720" w:header="288"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8C2" w:rsidRDefault="003668C2" w:rsidP="00A92DCC">
      <w:r>
        <w:separator/>
      </w:r>
    </w:p>
  </w:endnote>
  <w:endnote w:type="continuationSeparator" w:id="0">
    <w:p w:rsidR="003668C2" w:rsidRDefault="003668C2" w:rsidP="00A92DCC">
      <w:r>
        <w:continuationSeparator/>
      </w:r>
    </w:p>
  </w:endnote>
  <w:endnote w:id="1">
    <w:p w:rsidR="00B24F44" w:rsidRPr="00023428" w:rsidRDefault="00194217" w:rsidP="00544393">
      <w:pPr>
        <w:pStyle w:val="Default"/>
      </w:pPr>
      <w:r w:rsidRPr="00023428">
        <w:rPr>
          <w:rStyle w:val="EndnoteReference"/>
        </w:rPr>
        <w:endnoteRef/>
      </w:r>
      <w:r w:rsidRPr="00023428">
        <w:t xml:space="preserve"> Helping Benefit Oregon Smokers: Health Plan Benefit Recommendations to Help Oregon Smokers Quit, </w:t>
      </w:r>
      <w:hyperlink r:id="rId1" w:history="1">
        <w:r w:rsidRPr="00023428">
          <w:rPr>
            <w:rStyle w:val="Hyperlink"/>
          </w:rPr>
          <w:t>http://smokefreeoregon.com/wp-content/uploads/2010/11/HBOS-brochure-web.pdf</w:t>
        </w:r>
      </w:hyperlink>
    </w:p>
    <w:p w:rsidR="00B24F44" w:rsidRPr="00023428" w:rsidRDefault="00B24F44">
      <w:pPr>
        <w:pStyle w:val="EndnoteText"/>
        <w:rPr>
          <w:sz w:val="24"/>
          <w:szCs w:val="24"/>
        </w:rPr>
      </w:pPr>
    </w:p>
  </w:endnote>
  <w:endnote w:id="2">
    <w:p w:rsidR="00B24F44" w:rsidRPr="00023428" w:rsidRDefault="00194217">
      <w:pPr>
        <w:pStyle w:val="EndnoteText"/>
        <w:rPr>
          <w:sz w:val="24"/>
          <w:szCs w:val="24"/>
        </w:rPr>
      </w:pPr>
      <w:r w:rsidRPr="00023428">
        <w:rPr>
          <w:rStyle w:val="EndnoteReference"/>
          <w:sz w:val="24"/>
          <w:szCs w:val="24"/>
        </w:rPr>
        <w:endnoteRef/>
      </w:r>
      <w:r w:rsidRPr="00023428">
        <w:rPr>
          <w:sz w:val="24"/>
          <w:szCs w:val="24"/>
        </w:rPr>
        <w:t xml:space="preserve"> </w:t>
      </w:r>
      <w:r w:rsidRPr="00023428">
        <w:rPr>
          <w:i/>
          <w:iCs/>
          <w:sz w:val="24"/>
          <w:szCs w:val="24"/>
        </w:rPr>
        <w:t xml:space="preserve">Treating Tobacco Use and Dependence: 2008 Update </w:t>
      </w:r>
      <w:r w:rsidRPr="00023428">
        <w:rPr>
          <w:sz w:val="24"/>
          <w:szCs w:val="24"/>
        </w:rPr>
        <w:t xml:space="preserve">Clinical Practice Guideline. </w:t>
      </w:r>
      <w:proofErr w:type="gramStart"/>
      <w:r w:rsidRPr="00023428">
        <w:rPr>
          <w:sz w:val="24"/>
          <w:szCs w:val="24"/>
        </w:rPr>
        <w:t>U.S. Department of Health and Human Services.</w:t>
      </w:r>
      <w:proofErr w:type="gramEnd"/>
      <w:r w:rsidRPr="00023428">
        <w:rPr>
          <w:sz w:val="24"/>
          <w:szCs w:val="24"/>
        </w:rPr>
        <w:t xml:space="preserve"> Public Health Service, </w:t>
      </w:r>
      <w:hyperlink r:id="rId2" w:history="1">
        <w:r w:rsidRPr="00023428">
          <w:rPr>
            <w:rStyle w:val="Hyperlink"/>
            <w:sz w:val="24"/>
            <w:szCs w:val="24"/>
          </w:rPr>
          <w:t>www.surgeongeneral.gov/tobacco</w:t>
        </w:r>
      </w:hyperlink>
    </w:p>
    <w:p w:rsidR="00B24F44" w:rsidRPr="00023428" w:rsidRDefault="00B24F44">
      <w:pPr>
        <w:pStyle w:val="EndnoteText"/>
        <w:rPr>
          <w:sz w:val="24"/>
          <w:szCs w:val="24"/>
        </w:rPr>
      </w:pPr>
    </w:p>
  </w:endnote>
  <w:endnote w:id="3">
    <w:p w:rsidR="00B24F44" w:rsidRPr="00023428" w:rsidRDefault="00194217">
      <w:pPr>
        <w:pStyle w:val="EndnoteText"/>
        <w:rPr>
          <w:sz w:val="24"/>
          <w:szCs w:val="24"/>
        </w:rPr>
      </w:pPr>
      <w:r w:rsidRPr="00023428">
        <w:rPr>
          <w:rStyle w:val="EndnoteReference"/>
          <w:sz w:val="24"/>
          <w:szCs w:val="24"/>
        </w:rPr>
        <w:endnoteRef/>
      </w:r>
      <w:r w:rsidRPr="00023428">
        <w:rPr>
          <w:sz w:val="24"/>
          <w:szCs w:val="24"/>
        </w:rPr>
        <w:t xml:space="preserve">  Save Lives and Money: Help People on Medicaid Quit Tobacco 2012, American Lung Association, Partnership for Prevention, </w:t>
      </w:r>
      <w:hyperlink r:id="rId3" w:history="1">
        <w:r w:rsidRPr="00023428">
          <w:rPr>
            <w:rStyle w:val="Hyperlink"/>
            <w:sz w:val="24"/>
            <w:szCs w:val="24"/>
          </w:rPr>
          <w:t>http://www.lung.org/assets/documents/publications/other-reports/medicaid-cessation-report.pdf</w:t>
        </w:r>
      </w:hyperlink>
    </w:p>
    <w:p w:rsidR="00B24F44" w:rsidRDefault="00B24F44">
      <w:pPr>
        <w:pStyle w:val="EndnoteText"/>
      </w:pPr>
    </w:p>
  </w:endnote>
  <w:endnote w:id="4">
    <w:p w:rsidR="00B24F44" w:rsidRDefault="00B24F44">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33985"/>
      <w:docPartObj>
        <w:docPartGallery w:val="Page Numbers (Bottom of Page)"/>
        <w:docPartUnique/>
      </w:docPartObj>
    </w:sdtPr>
    <w:sdtContent>
      <w:p w:rsidR="00B24F44" w:rsidRDefault="00361E19">
        <w:pPr>
          <w:pStyle w:val="Footer"/>
          <w:jc w:val="right"/>
        </w:pPr>
        <w:r>
          <w:fldChar w:fldCharType="begin"/>
        </w:r>
        <w:r>
          <w:instrText xml:space="preserve"> PAGE   \* MERGEFORMAT </w:instrText>
        </w:r>
        <w:r>
          <w:fldChar w:fldCharType="separate"/>
        </w:r>
        <w:r w:rsidR="00925B7B">
          <w:rPr>
            <w:noProof/>
          </w:rPr>
          <w:t>1</w:t>
        </w:r>
        <w:r>
          <w:fldChar w:fldCharType="end"/>
        </w:r>
      </w:p>
    </w:sdtContent>
  </w:sdt>
  <w:p w:rsidR="00B24F44" w:rsidRDefault="00B24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8C2" w:rsidRDefault="003668C2" w:rsidP="00A92DCC">
      <w:r>
        <w:separator/>
      </w:r>
    </w:p>
  </w:footnote>
  <w:footnote w:type="continuationSeparator" w:id="0">
    <w:p w:rsidR="003668C2" w:rsidRDefault="003668C2" w:rsidP="00A92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44" w:rsidRPr="009A0920" w:rsidRDefault="00B24F44" w:rsidP="009A0920">
    <w:pPr>
      <w:pStyle w:val="Header"/>
      <w:jc w:val="center"/>
      <w:rPr>
        <w:sz w:val="20"/>
        <w:szCs w:val="20"/>
      </w:rPr>
    </w:pPr>
    <w:r w:rsidRPr="009A0920">
      <w:rPr>
        <w:sz w:val="20"/>
        <w:szCs w:val="20"/>
      </w:rPr>
      <w:t xml:space="preserve">Oregon </w:t>
    </w:r>
    <w:r w:rsidR="003A28BB">
      <w:rPr>
        <w:sz w:val="20"/>
        <w:szCs w:val="20"/>
      </w:rPr>
      <w:t>Public Health Division</w:t>
    </w:r>
    <w:r w:rsidRPr="009A0920">
      <w:rPr>
        <w:sz w:val="20"/>
        <w:szCs w:val="20"/>
      </w:rPr>
      <w:t>, November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89C"/>
    <w:multiLevelType w:val="hybridMultilevel"/>
    <w:tmpl w:val="57248FAC"/>
    <w:lvl w:ilvl="0" w:tplc="0AA245B4">
      <w:start w:val="1"/>
      <w:numFmt w:val="decimal"/>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910EF"/>
    <w:multiLevelType w:val="hybridMultilevel"/>
    <w:tmpl w:val="6C9AF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1C3820"/>
    <w:multiLevelType w:val="hybridMultilevel"/>
    <w:tmpl w:val="A3CEC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98503D"/>
    <w:rsid w:val="00023428"/>
    <w:rsid w:val="00040F5B"/>
    <w:rsid w:val="000F3AF3"/>
    <w:rsid w:val="00112920"/>
    <w:rsid w:val="00194217"/>
    <w:rsid w:val="00253A6F"/>
    <w:rsid w:val="002809AE"/>
    <w:rsid w:val="00361E19"/>
    <w:rsid w:val="003668C2"/>
    <w:rsid w:val="00397734"/>
    <w:rsid w:val="003A28BB"/>
    <w:rsid w:val="003D265E"/>
    <w:rsid w:val="003F352E"/>
    <w:rsid w:val="00441EAD"/>
    <w:rsid w:val="004815EC"/>
    <w:rsid w:val="004F56D1"/>
    <w:rsid w:val="00505E60"/>
    <w:rsid w:val="00516C7B"/>
    <w:rsid w:val="00524CFF"/>
    <w:rsid w:val="00544393"/>
    <w:rsid w:val="0057311F"/>
    <w:rsid w:val="00592E80"/>
    <w:rsid w:val="00647412"/>
    <w:rsid w:val="006B0AF8"/>
    <w:rsid w:val="006B6AF0"/>
    <w:rsid w:val="0070210F"/>
    <w:rsid w:val="00706D94"/>
    <w:rsid w:val="00725C37"/>
    <w:rsid w:val="007A4E5F"/>
    <w:rsid w:val="007F701E"/>
    <w:rsid w:val="00822852"/>
    <w:rsid w:val="008778BC"/>
    <w:rsid w:val="00892CCF"/>
    <w:rsid w:val="008C68F0"/>
    <w:rsid w:val="008E7189"/>
    <w:rsid w:val="009035CA"/>
    <w:rsid w:val="00925B7B"/>
    <w:rsid w:val="00972AED"/>
    <w:rsid w:val="0098503D"/>
    <w:rsid w:val="009A0920"/>
    <w:rsid w:val="00A86C90"/>
    <w:rsid w:val="00A92DCC"/>
    <w:rsid w:val="00AA450C"/>
    <w:rsid w:val="00AF2323"/>
    <w:rsid w:val="00B11E22"/>
    <w:rsid w:val="00B16CCA"/>
    <w:rsid w:val="00B24F44"/>
    <w:rsid w:val="00B74CB2"/>
    <w:rsid w:val="00C11524"/>
    <w:rsid w:val="00C44D92"/>
    <w:rsid w:val="00CB3A76"/>
    <w:rsid w:val="00CD6AF2"/>
    <w:rsid w:val="00CF0B42"/>
    <w:rsid w:val="00CF5702"/>
    <w:rsid w:val="00CF77D1"/>
    <w:rsid w:val="00D01F8D"/>
    <w:rsid w:val="00D41E52"/>
    <w:rsid w:val="00D45D87"/>
    <w:rsid w:val="00E214ED"/>
    <w:rsid w:val="00E97159"/>
    <w:rsid w:val="00EE0BB1"/>
    <w:rsid w:val="00F57D1C"/>
    <w:rsid w:val="00F735DB"/>
    <w:rsid w:val="00FD3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D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503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8503D"/>
    <w:rPr>
      <w:rFonts w:ascii="Tahoma" w:hAnsi="Tahoma" w:cs="Tahoma"/>
      <w:sz w:val="16"/>
      <w:szCs w:val="16"/>
    </w:rPr>
  </w:style>
  <w:style w:type="character" w:customStyle="1" w:styleId="BalloonTextChar">
    <w:name w:val="Balloon Text Char"/>
    <w:basedOn w:val="DefaultParagraphFont"/>
    <w:link w:val="BalloonText"/>
    <w:uiPriority w:val="99"/>
    <w:semiHidden/>
    <w:rsid w:val="0098503D"/>
    <w:rPr>
      <w:rFonts w:ascii="Tahoma" w:hAnsi="Tahoma" w:cs="Tahoma"/>
      <w:sz w:val="16"/>
      <w:szCs w:val="16"/>
    </w:rPr>
  </w:style>
  <w:style w:type="character" w:styleId="Hyperlink">
    <w:name w:val="Hyperlink"/>
    <w:basedOn w:val="DefaultParagraphFont"/>
    <w:uiPriority w:val="99"/>
    <w:unhideWhenUsed/>
    <w:rsid w:val="00A92DCC"/>
    <w:rPr>
      <w:color w:val="0000FF" w:themeColor="hyperlink"/>
      <w:u w:val="single"/>
    </w:rPr>
  </w:style>
  <w:style w:type="paragraph" w:styleId="FootnoteText">
    <w:name w:val="footnote text"/>
    <w:basedOn w:val="Normal"/>
    <w:link w:val="FootnoteTextChar"/>
    <w:uiPriority w:val="99"/>
    <w:semiHidden/>
    <w:unhideWhenUsed/>
    <w:rsid w:val="00A92DCC"/>
    <w:rPr>
      <w:sz w:val="20"/>
      <w:szCs w:val="20"/>
    </w:rPr>
  </w:style>
  <w:style w:type="character" w:customStyle="1" w:styleId="FootnoteTextChar">
    <w:name w:val="Footnote Text Char"/>
    <w:basedOn w:val="DefaultParagraphFont"/>
    <w:link w:val="FootnoteText"/>
    <w:uiPriority w:val="99"/>
    <w:semiHidden/>
    <w:rsid w:val="00A92DCC"/>
    <w:rPr>
      <w:sz w:val="20"/>
      <w:szCs w:val="20"/>
    </w:rPr>
  </w:style>
  <w:style w:type="character" w:styleId="FootnoteReference">
    <w:name w:val="footnote reference"/>
    <w:basedOn w:val="DefaultParagraphFont"/>
    <w:uiPriority w:val="99"/>
    <w:semiHidden/>
    <w:unhideWhenUsed/>
    <w:rsid w:val="00A92DCC"/>
    <w:rPr>
      <w:vertAlign w:val="superscript"/>
    </w:rPr>
  </w:style>
  <w:style w:type="character" w:customStyle="1" w:styleId="A2">
    <w:name w:val="A2"/>
    <w:uiPriority w:val="99"/>
    <w:rsid w:val="00A92DCC"/>
    <w:rPr>
      <w:rFonts w:cs="GillSans"/>
      <w:color w:val="000000"/>
      <w:sz w:val="22"/>
      <w:szCs w:val="22"/>
    </w:rPr>
  </w:style>
  <w:style w:type="paragraph" w:styleId="PlainText">
    <w:name w:val="Plain Text"/>
    <w:basedOn w:val="Normal"/>
    <w:link w:val="PlainTextChar"/>
    <w:uiPriority w:val="99"/>
    <w:semiHidden/>
    <w:unhideWhenUsed/>
    <w:rsid w:val="00040F5B"/>
    <w:rPr>
      <w:rFonts w:ascii="Calibri" w:hAnsi="Calibri"/>
      <w:szCs w:val="21"/>
    </w:rPr>
  </w:style>
  <w:style w:type="character" w:customStyle="1" w:styleId="PlainTextChar">
    <w:name w:val="Plain Text Char"/>
    <w:basedOn w:val="DefaultParagraphFont"/>
    <w:link w:val="PlainText"/>
    <w:uiPriority w:val="99"/>
    <w:semiHidden/>
    <w:rsid w:val="00040F5B"/>
    <w:rPr>
      <w:rFonts w:ascii="Calibri" w:hAnsi="Calibri"/>
      <w:szCs w:val="21"/>
    </w:rPr>
  </w:style>
  <w:style w:type="paragraph" w:styleId="ListParagraph">
    <w:name w:val="List Paragraph"/>
    <w:basedOn w:val="Normal"/>
    <w:uiPriority w:val="34"/>
    <w:qFormat/>
    <w:rsid w:val="00544393"/>
    <w:pPr>
      <w:ind w:left="720"/>
      <w:contextualSpacing/>
    </w:pPr>
  </w:style>
  <w:style w:type="paragraph" w:styleId="EndnoteText">
    <w:name w:val="endnote text"/>
    <w:basedOn w:val="Normal"/>
    <w:link w:val="EndnoteTextChar"/>
    <w:uiPriority w:val="99"/>
    <w:semiHidden/>
    <w:unhideWhenUsed/>
    <w:rsid w:val="00544393"/>
    <w:rPr>
      <w:sz w:val="20"/>
      <w:szCs w:val="20"/>
    </w:rPr>
  </w:style>
  <w:style w:type="character" w:customStyle="1" w:styleId="EndnoteTextChar">
    <w:name w:val="Endnote Text Char"/>
    <w:basedOn w:val="DefaultParagraphFont"/>
    <w:link w:val="EndnoteText"/>
    <w:uiPriority w:val="99"/>
    <w:semiHidden/>
    <w:rsid w:val="00544393"/>
    <w:rPr>
      <w:sz w:val="20"/>
      <w:szCs w:val="20"/>
    </w:rPr>
  </w:style>
  <w:style w:type="character" w:styleId="EndnoteReference">
    <w:name w:val="endnote reference"/>
    <w:basedOn w:val="DefaultParagraphFont"/>
    <w:uiPriority w:val="99"/>
    <w:semiHidden/>
    <w:unhideWhenUsed/>
    <w:rsid w:val="00544393"/>
    <w:rPr>
      <w:vertAlign w:val="superscript"/>
    </w:rPr>
  </w:style>
  <w:style w:type="paragraph" w:styleId="Header">
    <w:name w:val="header"/>
    <w:basedOn w:val="Normal"/>
    <w:link w:val="HeaderChar"/>
    <w:uiPriority w:val="99"/>
    <w:semiHidden/>
    <w:unhideWhenUsed/>
    <w:rsid w:val="009A0920"/>
    <w:pPr>
      <w:tabs>
        <w:tab w:val="center" w:pos="4680"/>
        <w:tab w:val="right" w:pos="9360"/>
      </w:tabs>
    </w:pPr>
  </w:style>
  <w:style w:type="character" w:customStyle="1" w:styleId="HeaderChar">
    <w:name w:val="Header Char"/>
    <w:basedOn w:val="DefaultParagraphFont"/>
    <w:link w:val="Header"/>
    <w:uiPriority w:val="99"/>
    <w:semiHidden/>
    <w:rsid w:val="009A0920"/>
  </w:style>
  <w:style w:type="paragraph" w:styleId="Footer">
    <w:name w:val="footer"/>
    <w:basedOn w:val="Normal"/>
    <w:link w:val="FooterChar"/>
    <w:uiPriority w:val="99"/>
    <w:unhideWhenUsed/>
    <w:rsid w:val="009A0920"/>
    <w:pPr>
      <w:tabs>
        <w:tab w:val="center" w:pos="4680"/>
        <w:tab w:val="right" w:pos="9360"/>
      </w:tabs>
    </w:pPr>
  </w:style>
  <w:style w:type="character" w:customStyle="1" w:styleId="FooterChar">
    <w:name w:val="Footer Char"/>
    <w:basedOn w:val="DefaultParagraphFont"/>
    <w:link w:val="Footer"/>
    <w:uiPriority w:val="99"/>
    <w:rsid w:val="009A0920"/>
  </w:style>
  <w:style w:type="character" w:styleId="CommentReference">
    <w:name w:val="annotation reference"/>
    <w:basedOn w:val="DefaultParagraphFont"/>
    <w:uiPriority w:val="99"/>
    <w:semiHidden/>
    <w:unhideWhenUsed/>
    <w:rsid w:val="00EE0BB1"/>
    <w:rPr>
      <w:sz w:val="16"/>
      <w:szCs w:val="16"/>
    </w:rPr>
  </w:style>
  <w:style w:type="paragraph" w:styleId="CommentText">
    <w:name w:val="annotation text"/>
    <w:basedOn w:val="Normal"/>
    <w:link w:val="CommentTextChar"/>
    <w:uiPriority w:val="99"/>
    <w:semiHidden/>
    <w:unhideWhenUsed/>
    <w:rsid w:val="00EE0BB1"/>
    <w:rPr>
      <w:sz w:val="20"/>
      <w:szCs w:val="20"/>
    </w:rPr>
  </w:style>
  <w:style w:type="character" w:customStyle="1" w:styleId="CommentTextChar">
    <w:name w:val="Comment Text Char"/>
    <w:basedOn w:val="DefaultParagraphFont"/>
    <w:link w:val="CommentText"/>
    <w:uiPriority w:val="99"/>
    <w:semiHidden/>
    <w:rsid w:val="00EE0BB1"/>
    <w:rPr>
      <w:sz w:val="20"/>
      <w:szCs w:val="20"/>
    </w:rPr>
  </w:style>
  <w:style w:type="paragraph" w:styleId="CommentSubject">
    <w:name w:val="annotation subject"/>
    <w:basedOn w:val="CommentText"/>
    <w:next w:val="CommentText"/>
    <w:link w:val="CommentSubjectChar"/>
    <w:uiPriority w:val="99"/>
    <w:semiHidden/>
    <w:unhideWhenUsed/>
    <w:rsid w:val="00EE0BB1"/>
    <w:rPr>
      <w:b/>
      <w:bCs/>
    </w:rPr>
  </w:style>
  <w:style w:type="character" w:customStyle="1" w:styleId="CommentSubjectChar">
    <w:name w:val="Comment Subject Char"/>
    <w:basedOn w:val="CommentTextChar"/>
    <w:link w:val="CommentSubject"/>
    <w:uiPriority w:val="99"/>
    <w:semiHidden/>
    <w:rsid w:val="00EE0BB1"/>
    <w:rPr>
      <w:b/>
      <w:bCs/>
    </w:rPr>
  </w:style>
  <w:style w:type="paragraph" w:styleId="Revision">
    <w:name w:val="Revision"/>
    <w:hidden/>
    <w:uiPriority w:val="99"/>
    <w:semiHidden/>
    <w:rsid w:val="003D265E"/>
    <w:pPr>
      <w:spacing w:after="0" w:line="240" w:lineRule="auto"/>
    </w:pPr>
  </w:style>
</w:styles>
</file>

<file path=word/webSettings.xml><?xml version="1.0" encoding="utf-8"?>
<w:webSettings xmlns:r="http://schemas.openxmlformats.org/officeDocument/2006/relationships" xmlns:w="http://schemas.openxmlformats.org/wordprocessingml/2006/main">
  <w:divs>
    <w:div w:id="57936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www.lung.org/assets/documents/publications/other-reports/medicaid-cessation-report.pdf" TargetMode="External"/><Relationship Id="rId2" Type="http://schemas.openxmlformats.org/officeDocument/2006/relationships/hyperlink" Target="file:///C:/Users/Nielsen/Documents/Marilyn's%20Folder/www.surgeongeneral.gov/tobacco" TargetMode="External"/><Relationship Id="rId1" Type="http://schemas.openxmlformats.org/officeDocument/2006/relationships/hyperlink" Target="http://smokefreeoregon.com/wp-content/uploads/2010/11/HBOS-brochure-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395B538AD92B4FABB1FC4415A447BD" ma:contentTypeVersion="18" ma:contentTypeDescription="Create a new document." ma:contentTypeScope="" ma:versionID="b84dc135989921bd01d2454c9ac7c7bb">
  <xsd:schema xmlns:xsd="http://www.w3.org/2001/XMLSchema" xmlns:xs="http://www.w3.org/2001/XMLSchema" xmlns:p="http://schemas.microsoft.com/office/2006/metadata/properties" xmlns:ns1="http://schemas.microsoft.com/sharepoint/v3" xmlns:ns2="59da1016-2a1b-4f8a-9768-d7a4932f6f16" xmlns:ns3="1ddbd726-ea76-4689-acac-c9d231ce2ded" targetNamespace="http://schemas.microsoft.com/office/2006/metadata/properties" ma:root="true" ma:fieldsID="22275a5d4f48a1eb851d2e8d15aed2d6" ns1:_="" ns2:_="" ns3:_="">
    <xsd:import namespace="http://schemas.microsoft.com/sharepoint/v3"/>
    <xsd:import namespace="59da1016-2a1b-4f8a-9768-d7a4932f6f16"/>
    <xsd:import namespace="1ddbd726-ea76-4689-acac-c9d231ce2ded"/>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ddbd726-ea76-4689-acac-c9d231ce2ded"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https://www.oregon.gov/oha/PH/DISEASESCONDITIONS/CHRONICDISEASE/HPCDPCONNECTION/SELFMANAGEMENT/Documents/QL/comprehensive_cessation_coverage_one_pager.docx</Url>
      <Description>Tobacco Dependence Treatment and</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Meta_x0020_Description xmlns="1ddbd726-ea76-4689-acac-c9d231ce2ded" xsi:nil="true"/>
    <DocumentExpirationDate xmlns="59da1016-2a1b-4f8a-9768-d7a4932f6f16">2050-12-31T08:00:00+00:00</DocumentExpirationDate>
    <Meta_x0020_Keywords xmlns="1ddbd726-ea76-4689-acac-c9d231ce2ded" xsi:nil="true"/>
    <IATopic xmlns="59da1016-2a1b-4f8a-9768-d7a4932f6f16">Public Health - Prevention</IATopic>
  </documentManagement>
</p:properties>
</file>

<file path=customXml/itemProps1.xml><?xml version="1.0" encoding="utf-8"?>
<ds:datastoreItem xmlns:ds="http://schemas.openxmlformats.org/officeDocument/2006/customXml" ds:itemID="{17366B93-5917-4179-9FD4-693388BF9EE9}"/>
</file>

<file path=customXml/itemProps2.xml><?xml version="1.0" encoding="utf-8"?>
<ds:datastoreItem xmlns:ds="http://schemas.openxmlformats.org/officeDocument/2006/customXml" ds:itemID="{B4B63116-00FF-4BD6-A849-3423A3886A0B}"/>
</file>

<file path=customXml/itemProps3.xml><?xml version="1.0" encoding="utf-8"?>
<ds:datastoreItem xmlns:ds="http://schemas.openxmlformats.org/officeDocument/2006/customXml" ds:itemID="{DFB64734-2437-4C46-99D2-441042AF2E64}"/>
</file>

<file path=customXml/itemProps4.xml><?xml version="1.0" encoding="utf-8"?>
<ds:datastoreItem xmlns:ds="http://schemas.openxmlformats.org/officeDocument/2006/customXml" ds:itemID="{D88F272E-4875-4296-9EC6-3407F3213CE3}"/>
</file>

<file path=docProps/app.xml><?xml version="1.0" encoding="utf-8"?>
<Properties xmlns="http://schemas.openxmlformats.org/officeDocument/2006/extended-properties" xmlns:vt="http://schemas.openxmlformats.org/officeDocument/2006/docPropsVTypes">
  <Template>Normal.dotm</Template>
  <TotalTime>3</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Dependence Treatment and</dc:title>
  <dc:subject/>
  <dc:creator>DHS-OIS-NDS</dc:creator>
  <cp:keywords/>
  <dc:description/>
  <cp:lastModifiedBy>DHS-OIS-NDS</cp:lastModifiedBy>
  <cp:revision>6</cp:revision>
  <cp:lastPrinted>2013-11-13T22:18:00Z</cp:lastPrinted>
  <dcterms:created xsi:type="dcterms:W3CDTF">2013-11-13T22:18:00Z</dcterms:created>
  <dcterms:modified xsi:type="dcterms:W3CDTF">2013-12-31T20:57:00Z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0x010100B7395B538AD92B4FABB1FC4415A447BD</vt:lpwstr>
  </property>
  <property fmtid="{D5CDD505-2E9C-101B-9397-08002B2CF9AE}" pid="3" name="WorkflowChangePath">
    <vt:lpwstr>44a1ed68-4b71-48f8-830e-d4851646788f,2;44a1ed68-4b71-48f8-830e-d4851646788f,4;44a1ed68-4b71-48f8-830e-d4851646788f,7;</vt:lpwstr>
  </property>
  <property fmtid="{D5CDD505-2E9C-101B-9397-08002B2CF9AE}" pid="4" name="Order">
    <vt:r8>6100</vt:r8>
  </property>
</Properties>
</file>