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B422" w14:textId="26466099" w:rsidR="00FA2698" w:rsidRPr="00EE6703" w:rsidRDefault="00A7666F" w:rsidP="29620C8A">
      <w:pPr>
        <w:pStyle w:val="BodyText"/>
        <w:spacing w:before="80"/>
        <w:ind w:left="960" w:right="5026"/>
        <w:rPr>
          <w:rFonts w:ascii="Arial" w:hAnsi="Arial" w:cs="Arial"/>
          <w:b w:val="0"/>
          <w:bCs w:val="0"/>
          <w:spacing w:val="-5"/>
        </w:rPr>
      </w:pPr>
      <w:r w:rsidRPr="29620C8A">
        <w:rPr>
          <w:rFonts w:ascii="Arial" w:hAnsi="Arial" w:cs="Arial"/>
          <w:b w:val="0"/>
          <w:bCs w:val="0"/>
        </w:rPr>
        <w:t>Status</w:t>
      </w:r>
      <w:r w:rsidRPr="00EE6703">
        <w:rPr>
          <w:rFonts w:ascii="Arial" w:hAnsi="Arial" w:cs="Arial"/>
          <w:b w:val="0"/>
          <w:bCs w:val="0"/>
          <w:spacing w:val="-5"/>
        </w:rPr>
        <w:t xml:space="preserve"> </w:t>
      </w:r>
      <w:r w:rsidRPr="29620C8A">
        <w:rPr>
          <w:rFonts w:ascii="Arial" w:hAnsi="Arial" w:cs="Arial"/>
          <w:b w:val="0"/>
          <w:bCs w:val="0"/>
        </w:rPr>
        <w:t>of</w:t>
      </w:r>
      <w:r w:rsidRPr="00EE6703">
        <w:rPr>
          <w:rFonts w:ascii="Arial" w:hAnsi="Arial" w:cs="Arial"/>
          <w:b w:val="0"/>
          <w:bCs w:val="0"/>
          <w:spacing w:val="-5"/>
        </w:rPr>
        <w:t xml:space="preserve"> </w:t>
      </w:r>
      <w:r w:rsidR="00A82C2E">
        <w:rPr>
          <w:rFonts w:ascii="Arial" w:hAnsi="Arial" w:cs="Arial"/>
          <w:b w:val="0"/>
          <w:bCs w:val="0"/>
        </w:rPr>
        <w:t>HMPXV</w:t>
      </w:r>
      <w:r w:rsidRPr="00EE6703">
        <w:rPr>
          <w:rFonts w:ascii="Arial" w:hAnsi="Arial" w:cs="Arial"/>
          <w:b w:val="0"/>
          <w:bCs w:val="0"/>
          <w:spacing w:val="-5"/>
        </w:rPr>
        <w:t xml:space="preserve"> </w:t>
      </w:r>
      <w:r w:rsidR="00813FA3" w:rsidRPr="00EE6703">
        <w:rPr>
          <w:rFonts w:ascii="Arial" w:hAnsi="Arial" w:cs="Arial"/>
          <w:b w:val="0"/>
          <w:bCs w:val="0"/>
          <w:spacing w:val="-5"/>
        </w:rPr>
        <w:t xml:space="preserve">Response Authorities </w:t>
      </w:r>
    </w:p>
    <w:p w14:paraId="65878940" w14:textId="1D1D5087" w:rsidR="00813FA3" w:rsidRPr="005F55EF" w:rsidRDefault="00813FA3" w:rsidP="29620C8A">
      <w:pPr>
        <w:pStyle w:val="BodyText"/>
        <w:spacing w:before="80"/>
        <w:ind w:left="960" w:right="5026"/>
        <w:rPr>
          <w:rFonts w:ascii="Arial" w:hAnsi="Arial" w:cs="Arial"/>
          <w:b w:val="0"/>
          <w:bCs w:val="0"/>
        </w:rPr>
      </w:pPr>
      <w:r w:rsidRPr="00EE6703">
        <w:rPr>
          <w:rFonts w:ascii="Arial" w:hAnsi="Arial" w:cs="Arial"/>
          <w:b w:val="0"/>
          <w:bCs w:val="0"/>
          <w:spacing w:val="-5"/>
        </w:rPr>
        <w:t>Update</w:t>
      </w:r>
      <w:r w:rsidR="00994DFD">
        <w:rPr>
          <w:rFonts w:ascii="Arial" w:hAnsi="Arial" w:cs="Arial"/>
          <w:b w:val="0"/>
          <w:bCs w:val="0"/>
          <w:spacing w:val="-5"/>
        </w:rPr>
        <w:t xml:space="preserve"> October 5, </w:t>
      </w:r>
      <w:r w:rsidRPr="00EE6703">
        <w:rPr>
          <w:rFonts w:ascii="Arial" w:hAnsi="Arial" w:cs="Arial"/>
          <w:b w:val="0"/>
          <w:bCs w:val="0"/>
          <w:spacing w:val="-5"/>
        </w:rPr>
        <w:t>2022</w:t>
      </w:r>
    </w:p>
    <w:p w14:paraId="58342F00" w14:textId="77777777" w:rsidR="00FA2698" w:rsidRPr="005F55EF" w:rsidRDefault="00FA2698" w:rsidP="000F7AE7">
      <w:pPr>
        <w:rPr>
          <w:rFonts w:ascii="Arial" w:hAnsi="Arial" w:cs="Arial"/>
          <w:sz w:val="24"/>
          <w:szCs w:val="24"/>
        </w:rPr>
      </w:pPr>
    </w:p>
    <w:p w14:paraId="64FC0B1C" w14:textId="77777777" w:rsidR="00FA2698" w:rsidRPr="00EE6703" w:rsidRDefault="00FA2698" w:rsidP="29620C8A">
      <w:pPr>
        <w:spacing w:before="11"/>
        <w:rPr>
          <w:rFonts w:ascii="Arial" w:hAnsi="Arial" w:cs="Arial"/>
          <w:sz w:val="24"/>
          <w:szCs w:val="24"/>
        </w:rPr>
      </w:pPr>
    </w:p>
    <w:tbl>
      <w:tblPr>
        <w:tblW w:w="1305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90"/>
        <w:gridCol w:w="2880"/>
        <w:gridCol w:w="8280"/>
      </w:tblGrid>
      <w:tr w:rsidR="00674B0C" w:rsidRPr="005F55EF" w14:paraId="127F0C4D" w14:textId="77777777" w:rsidTr="00A52031">
        <w:trPr>
          <w:cantSplit/>
          <w:trHeight w:val="419"/>
          <w:tblHeader/>
        </w:trPr>
        <w:tc>
          <w:tcPr>
            <w:tcW w:w="1890" w:type="dxa"/>
            <w:shd w:val="clear" w:color="auto" w:fill="DBE5F1" w:themeFill="accent1" w:themeFillTint="33"/>
          </w:tcPr>
          <w:p w14:paraId="34431188" w14:textId="77777777" w:rsidR="00FA2698" w:rsidRPr="005F55EF" w:rsidRDefault="00A7666F" w:rsidP="003D1243">
            <w:pPr>
              <w:pStyle w:val="TableParagraph"/>
              <w:spacing w:line="269" w:lineRule="exact"/>
              <w:ind w:left="96"/>
              <w:rPr>
                <w:rFonts w:ascii="Arial" w:hAnsi="Arial" w:cs="Arial"/>
                <w:sz w:val="24"/>
                <w:szCs w:val="24"/>
              </w:rPr>
            </w:pPr>
            <w:r w:rsidRPr="005F55EF">
              <w:rPr>
                <w:rFonts w:ascii="Arial" w:hAnsi="Arial" w:cs="Arial"/>
                <w:spacing w:val="-2"/>
                <w:sz w:val="24"/>
                <w:szCs w:val="24"/>
              </w:rPr>
              <w:t>Issue/activity</w:t>
            </w:r>
          </w:p>
        </w:tc>
        <w:tc>
          <w:tcPr>
            <w:tcW w:w="2880" w:type="dxa"/>
            <w:shd w:val="clear" w:color="auto" w:fill="DBE5F1" w:themeFill="accent1" w:themeFillTint="33"/>
          </w:tcPr>
          <w:p w14:paraId="0C045884" w14:textId="77777777" w:rsidR="00FA2698" w:rsidRPr="005F55EF" w:rsidRDefault="00A7666F" w:rsidP="00632171">
            <w:pPr>
              <w:pStyle w:val="TableParagraph"/>
              <w:spacing w:line="269" w:lineRule="exact"/>
              <w:ind w:left="87"/>
              <w:rPr>
                <w:rFonts w:ascii="Arial" w:hAnsi="Arial" w:cs="Arial"/>
                <w:sz w:val="24"/>
                <w:szCs w:val="24"/>
              </w:rPr>
            </w:pPr>
            <w:r w:rsidRPr="005F55EF">
              <w:rPr>
                <w:rFonts w:ascii="Arial" w:hAnsi="Arial" w:cs="Arial"/>
                <w:spacing w:val="-2"/>
                <w:sz w:val="24"/>
                <w:szCs w:val="24"/>
              </w:rPr>
              <w:t>Declaration/Authority</w:t>
            </w:r>
          </w:p>
        </w:tc>
        <w:tc>
          <w:tcPr>
            <w:tcW w:w="8280" w:type="dxa"/>
            <w:shd w:val="clear" w:color="auto" w:fill="DBE5F1" w:themeFill="accent1" w:themeFillTint="33"/>
          </w:tcPr>
          <w:p w14:paraId="1DC465B8" w14:textId="77777777" w:rsidR="00FA2698" w:rsidRPr="005F55EF" w:rsidRDefault="00A7666F" w:rsidP="00632171">
            <w:pPr>
              <w:pStyle w:val="TableParagraph"/>
              <w:spacing w:line="269" w:lineRule="exact"/>
              <w:ind w:left="99"/>
              <w:rPr>
                <w:rFonts w:ascii="Arial" w:hAnsi="Arial" w:cs="Arial"/>
                <w:sz w:val="24"/>
                <w:szCs w:val="24"/>
              </w:rPr>
            </w:pPr>
            <w:r w:rsidRPr="005F55EF">
              <w:rPr>
                <w:rFonts w:ascii="Arial" w:hAnsi="Arial" w:cs="Arial"/>
                <w:sz w:val="24"/>
                <w:szCs w:val="24"/>
              </w:rPr>
              <w:t>Coverage/Termination</w:t>
            </w:r>
            <w:r w:rsidRPr="005F55EF">
              <w:rPr>
                <w:rFonts w:ascii="Arial" w:hAnsi="Arial" w:cs="Arial"/>
                <w:spacing w:val="-4"/>
                <w:sz w:val="24"/>
                <w:szCs w:val="24"/>
              </w:rPr>
              <w:t xml:space="preserve"> Date</w:t>
            </w:r>
          </w:p>
        </w:tc>
      </w:tr>
      <w:tr w:rsidR="00906687" w:rsidRPr="005F55EF" w14:paraId="25156C0E" w14:textId="77777777" w:rsidTr="0044135D">
        <w:trPr>
          <w:cantSplit/>
          <w:trHeight w:val="901"/>
        </w:trPr>
        <w:tc>
          <w:tcPr>
            <w:tcW w:w="1890" w:type="dxa"/>
            <w:tcBorders>
              <w:bottom w:val="single" w:sz="4" w:space="0" w:color="auto"/>
            </w:tcBorders>
          </w:tcPr>
          <w:p w14:paraId="1E78E0C2" w14:textId="0E26BA20" w:rsidR="001C4E84" w:rsidRPr="00A52031" w:rsidRDefault="001C4E84" w:rsidP="001C4E84">
            <w:pPr>
              <w:rPr>
                <w:rFonts w:ascii="Arial" w:eastAsia="Arial" w:hAnsi="Arial" w:cs="Arial"/>
                <w:sz w:val="24"/>
                <w:szCs w:val="24"/>
              </w:rPr>
            </w:pPr>
            <w:r w:rsidRPr="00A52031">
              <w:rPr>
                <w:rFonts w:ascii="Arial" w:eastAsia="Arial" w:hAnsi="Arial" w:cs="Arial"/>
                <w:sz w:val="24"/>
                <w:szCs w:val="24"/>
              </w:rPr>
              <w:t>Public Readiness &amp; Emergency Preparedness Act (PREP Act)</w:t>
            </w:r>
          </w:p>
          <w:p w14:paraId="066C999C" w14:textId="21B1068C" w:rsidR="005E497E" w:rsidRPr="00EE6703" w:rsidRDefault="005E497E" w:rsidP="29620C8A">
            <w:pPr>
              <w:pStyle w:val="TableParagraph"/>
              <w:spacing w:line="268" w:lineRule="exact"/>
              <w:ind w:left="96"/>
              <w:rPr>
                <w:rFonts w:ascii="Arial" w:eastAsia="Arial" w:hAnsi="Arial" w:cs="Arial"/>
                <w:color w:val="0070C0"/>
                <w:sz w:val="24"/>
                <w:szCs w:val="24"/>
              </w:rPr>
            </w:pPr>
          </w:p>
        </w:tc>
        <w:tc>
          <w:tcPr>
            <w:tcW w:w="2880" w:type="dxa"/>
            <w:tcBorders>
              <w:bottom w:val="single" w:sz="4" w:space="0" w:color="auto"/>
            </w:tcBorders>
          </w:tcPr>
          <w:p w14:paraId="0F4DA4CE" w14:textId="33F99B3D" w:rsidR="005E497E" w:rsidRPr="002B28B5" w:rsidRDefault="00C37A77" w:rsidP="29620C8A">
            <w:pPr>
              <w:pStyle w:val="TableParagraph"/>
              <w:ind w:left="87" w:right="87"/>
              <w:rPr>
                <w:rFonts w:ascii="Arial" w:eastAsia="Arial" w:hAnsi="Arial" w:cs="Arial"/>
                <w:color w:val="0070C0"/>
                <w:sz w:val="24"/>
                <w:szCs w:val="24"/>
              </w:rPr>
            </w:pPr>
            <w:hyperlink r:id="rId10" w:history="1">
              <w:r w:rsidR="00CD7258" w:rsidRPr="00806949">
                <w:rPr>
                  <w:rStyle w:val="Hyperlink"/>
                  <w:rFonts w:ascii="Arial" w:hAnsi="Arial" w:cs="Arial"/>
                  <w:sz w:val="24"/>
                  <w:szCs w:val="24"/>
                </w:rPr>
                <w:t>The January 2016 amendment to the PREP Act Declaration for Smallpox Countermeasures</w:t>
              </w:r>
            </w:hyperlink>
            <w:r w:rsidR="00CD7258" w:rsidRPr="002B28B5">
              <w:rPr>
                <w:rFonts w:ascii="Arial" w:hAnsi="Arial" w:cs="Arial"/>
                <w:sz w:val="24"/>
                <w:szCs w:val="24"/>
              </w:rPr>
              <w:t xml:space="preserve"> </w:t>
            </w:r>
          </w:p>
        </w:tc>
        <w:tc>
          <w:tcPr>
            <w:tcW w:w="8280" w:type="dxa"/>
            <w:tcBorders>
              <w:bottom w:val="single" w:sz="4" w:space="0" w:color="auto"/>
            </w:tcBorders>
          </w:tcPr>
          <w:p w14:paraId="7A6F253E" w14:textId="6D5734F4" w:rsidR="001C4E84" w:rsidRDefault="00CD7258" w:rsidP="29620C8A">
            <w:pPr>
              <w:ind w:left="99"/>
              <w:rPr>
                <w:rFonts w:ascii="Arial" w:hAnsi="Arial" w:cs="Arial"/>
                <w:sz w:val="24"/>
                <w:szCs w:val="24"/>
              </w:rPr>
            </w:pPr>
            <w:r w:rsidRPr="002B28B5">
              <w:rPr>
                <w:rFonts w:ascii="Arial" w:hAnsi="Arial" w:cs="Arial"/>
                <w:sz w:val="24"/>
                <w:szCs w:val="24"/>
              </w:rPr>
              <w:t>The 2016 PREP Act amendment for smallpox includes liability coverage for “smallpox countermeasures against variola virus or other orthopoxviruses.” The virus causing monkeypox is an orthopoxvirus, and therefore monkeypox countermeasures are covered by the PREP Act Declaration for Smallpox Countermeasures. </w:t>
            </w:r>
            <w:r w:rsidR="008063F2">
              <w:rPr>
                <w:rFonts w:ascii="Arial" w:hAnsi="Arial" w:cs="Arial"/>
                <w:sz w:val="24"/>
                <w:szCs w:val="24"/>
              </w:rPr>
              <w:t xml:space="preserve">Amendment effective September 28, 2022. </w:t>
            </w:r>
            <w:r w:rsidR="001C4E84" w:rsidRPr="002B28B5">
              <w:rPr>
                <w:rFonts w:ascii="Arial" w:hAnsi="Arial" w:cs="Arial"/>
                <w:sz w:val="24"/>
                <w:szCs w:val="24"/>
              </w:rPr>
              <w:t>Expires December 31,</w:t>
            </w:r>
            <w:r w:rsidR="003054A9">
              <w:rPr>
                <w:rFonts w:ascii="Arial" w:hAnsi="Arial" w:cs="Arial"/>
                <w:sz w:val="24"/>
                <w:szCs w:val="24"/>
              </w:rPr>
              <w:t xml:space="preserve"> </w:t>
            </w:r>
            <w:r w:rsidR="001C4E84" w:rsidRPr="002B28B5">
              <w:rPr>
                <w:rFonts w:ascii="Arial" w:hAnsi="Arial" w:cs="Arial"/>
                <w:sz w:val="24"/>
                <w:szCs w:val="24"/>
              </w:rPr>
              <w:t>20</w:t>
            </w:r>
            <w:r w:rsidR="008063F2">
              <w:rPr>
                <w:rFonts w:ascii="Arial" w:hAnsi="Arial" w:cs="Arial"/>
                <w:sz w:val="24"/>
                <w:szCs w:val="24"/>
              </w:rPr>
              <w:t>3</w:t>
            </w:r>
            <w:r w:rsidR="001C4E84" w:rsidRPr="002B28B5">
              <w:rPr>
                <w:rFonts w:ascii="Arial" w:hAnsi="Arial" w:cs="Arial"/>
                <w:sz w:val="24"/>
                <w:szCs w:val="24"/>
              </w:rPr>
              <w:t>2.</w:t>
            </w:r>
          </w:p>
          <w:p w14:paraId="0912DD8D" w14:textId="77777777" w:rsidR="00955C9A" w:rsidRPr="002B28B5" w:rsidRDefault="00955C9A" w:rsidP="29620C8A">
            <w:pPr>
              <w:ind w:left="99"/>
              <w:rPr>
                <w:rFonts w:ascii="Arial" w:hAnsi="Arial" w:cs="Arial"/>
                <w:sz w:val="24"/>
                <w:szCs w:val="24"/>
              </w:rPr>
            </w:pPr>
          </w:p>
          <w:p w14:paraId="30B82FFB" w14:textId="2894771E" w:rsidR="005E497E" w:rsidRPr="002B28B5" w:rsidRDefault="00954C8D" w:rsidP="00955C9A">
            <w:pPr>
              <w:ind w:left="99"/>
              <w:rPr>
                <w:rFonts w:ascii="Arial" w:eastAsia="Arial" w:hAnsi="Arial" w:cs="Arial"/>
                <w:sz w:val="24"/>
                <w:szCs w:val="24"/>
              </w:rPr>
            </w:pPr>
            <w:r w:rsidRPr="002B28B5">
              <w:rPr>
                <w:rFonts w:ascii="Arial" w:hAnsi="Arial" w:cs="Arial"/>
                <w:sz w:val="24"/>
                <w:szCs w:val="24"/>
              </w:rPr>
              <w:t xml:space="preserve">See </w:t>
            </w:r>
            <w:hyperlink r:id="rId11" w:history="1">
              <w:r w:rsidRPr="002B28B5">
                <w:rPr>
                  <w:rStyle w:val="Hyperlink"/>
                  <w:rFonts w:ascii="Arial" w:hAnsi="Arial" w:cs="Arial"/>
                  <w:sz w:val="24"/>
                  <w:szCs w:val="24"/>
                </w:rPr>
                <w:t>FAQs</w:t>
              </w:r>
            </w:hyperlink>
            <w:r w:rsidRPr="002B28B5">
              <w:rPr>
                <w:rFonts w:ascii="Arial" w:hAnsi="Arial" w:cs="Arial"/>
                <w:sz w:val="24"/>
                <w:szCs w:val="24"/>
              </w:rPr>
              <w:t xml:space="preserve"> for additional information and </w:t>
            </w:r>
            <w:r w:rsidR="009935D2" w:rsidRPr="002B28B5">
              <w:rPr>
                <w:rFonts w:ascii="Arial" w:hAnsi="Arial" w:cs="Arial"/>
                <w:sz w:val="24"/>
                <w:szCs w:val="24"/>
              </w:rPr>
              <w:t>who is covered by the declaration</w:t>
            </w:r>
            <w:r w:rsidRPr="002B28B5">
              <w:rPr>
                <w:rFonts w:ascii="Arial" w:hAnsi="Arial" w:cs="Arial"/>
                <w:sz w:val="24"/>
                <w:szCs w:val="24"/>
              </w:rPr>
              <w:t>.</w:t>
            </w:r>
          </w:p>
        </w:tc>
      </w:tr>
      <w:tr w:rsidR="00151DC7" w:rsidRPr="005F55EF" w14:paraId="06426B4B" w14:textId="77777777" w:rsidTr="0044135D">
        <w:trPr>
          <w:cantSplit/>
          <w:trHeight w:val="1028"/>
        </w:trPr>
        <w:tc>
          <w:tcPr>
            <w:tcW w:w="1890" w:type="dxa"/>
            <w:tcBorders>
              <w:top w:val="single" w:sz="4" w:space="0" w:color="auto"/>
              <w:bottom w:val="single" w:sz="4" w:space="0" w:color="auto"/>
            </w:tcBorders>
          </w:tcPr>
          <w:p w14:paraId="4154EFF2" w14:textId="77777777" w:rsidR="00151DC7" w:rsidRPr="00EE6703" w:rsidRDefault="00151DC7" w:rsidP="00151DC7">
            <w:pPr>
              <w:pStyle w:val="TableParagraph"/>
              <w:spacing w:line="268" w:lineRule="exact"/>
              <w:ind w:left="96"/>
              <w:rPr>
                <w:rFonts w:ascii="Arial" w:eastAsia="Arial" w:hAnsi="Arial" w:cs="Arial"/>
                <w:sz w:val="24"/>
                <w:szCs w:val="24"/>
              </w:rPr>
            </w:pPr>
            <w:r w:rsidRPr="00EE6703">
              <w:rPr>
                <w:rFonts w:ascii="Arial" w:eastAsia="Arial" w:hAnsi="Arial" w:cs="Arial"/>
                <w:sz w:val="24"/>
                <w:szCs w:val="24"/>
              </w:rPr>
              <w:t>SERV-OR</w:t>
            </w:r>
          </w:p>
          <w:p w14:paraId="556D9CA0" w14:textId="7285E5F6" w:rsidR="00151DC7" w:rsidRPr="00EE6703" w:rsidRDefault="00151DC7" w:rsidP="00151DC7">
            <w:pPr>
              <w:pStyle w:val="TableParagraph"/>
              <w:spacing w:line="268" w:lineRule="exact"/>
              <w:ind w:left="96"/>
              <w:rPr>
                <w:rFonts w:ascii="Arial" w:eastAsia="Arial" w:hAnsi="Arial" w:cs="Arial"/>
                <w:sz w:val="24"/>
                <w:szCs w:val="24"/>
              </w:rPr>
            </w:pPr>
            <w:r w:rsidRPr="00EE6703">
              <w:rPr>
                <w:rFonts w:ascii="Arial" w:eastAsia="Arial" w:hAnsi="Arial" w:cs="Arial"/>
                <w:sz w:val="24"/>
                <w:szCs w:val="24"/>
              </w:rPr>
              <w:t>resources including the State Managed Volunteer Pool (SMVP) and Medical Reserve Corps (MRC) units</w:t>
            </w:r>
          </w:p>
        </w:tc>
        <w:tc>
          <w:tcPr>
            <w:tcW w:w="2880" w:type="dxa"/>
            <w:tcBorders>
              <w:top w:val="single" w:sz="4" w:space="0" w:color="auto"/>
              <w:bottom w:val="single" w:sz="4" w:space="0" w:color="auto"/>
            </w:tcBorders>
          </w:tcPr>
          <w:p w14:paraId="691E7CE4" w14:textId="76EC8ECD" w:rsidR="00151DC7" w:rsidRPr="00EE6703" w:rsidRDefault="00151DC7" w:rsidP="00151DC7">
            <w:pPr>
              <w:pStyle w:val="TableParagraph"/>
              <w:ind w:left="87" w:right="87"/>
              <w:rPr>
                <w:rFonts w:ascii="Arial" w:eastAsia="Arial" w:hAnsi="Arial" w:cs="Arial"/>
                <w:sz w:val="24"/>
                <w:szCs w:val="24"/>
              </w:rPr>
            </w:pPr>
          </w:p>
        </w:tc>
        <w:tc>
          <w:tcPr>
            <w:tcW w:w="8280" w:type="dxa"/>
            <w:tcBorders>
              <w:top w:val="single" w:sz="4" w:space="0" w:color="auto"/>
              <w:bottom w:val="single" w:sz="4" w:space="0" w:color="auto"/>
            </w:tcBorders>
          </w:tcPr>
          <w:p w14:paraId="70E7AB5A" w14:textId="77777777" w:rsidR="00151DC7" w:rsidRPr="00EE6703" w:rsidRDefault="00151DC7" w:rsidP="00151DC7">
            <w:pPr>
              <w:pStyle w:val="TableParagraph"/>
              <w:spacing w:after="120"/>
              <w:ind w:left="99"/>
              <w:rPr>
                <w:rFonts w:ascii="Arial" w:eastAsia="Arial" w:hAnsi="Arial" w:cs="Arial"/>
                <w:sz w:val="24"/>
                <w:szCs w:val="24"/>
              </w:rPr>
            </w:pPr>
            <w:r w:rsidRPr="00EE6703">
              <w:rPr>
                <w:rFonts w:ascii="Arial" w:eastAsia="Arial" w:hAnsi="Arial" w:cs="Arial"/>
                <w:sz w:val="24"/>
                <w:szCs w:val="24"/>
              </w:rPr>
              <w:t>State Managed Volunteers Deployed by OHA:</w:t>
            </w:r>
          </w:p>
          <w:p w14:paraId="02A59C93" w14:textId="48B8C43C" w:rsidR="00151DC7" w:rsidRPr="00EE6703" w:rsidRDefault="00151DC7" w:rsidP="00151DC7">
            <w:pPr>
              <w:pStyle w:val="TableParagraph"/>
              <w:spacing w:after="120"/>
              <w:ind w:left="99"/>
              <w:rPr>
                <w:rFonts w:ascii="Arial" w:eastAsia="Arial" w:hAnsi="Arial" w:cs="Arial"/>
                <w:sz w:val="24"/>
                <w:szCs w:val="24"/>
              </w:rPr>
            </w:pPr>
            <w:r>
              <w:rPr>
                <w:rFonts w:ascii="Arial" w:eastAsia="Arial" w:hAnsi="Arial" w:cs="Arial"/>
                <w:sz w:val="24"/>
                <w:szCs w:val="24"/>
              </w:rPr>
              <w:t>Currently, in the absence of Oregon Governor Emergency Orders,</w:t>
            </w:r>
            <w:r w:rsidRPr="00EE6703">
              <w:rPr>
                <w:rFonts w:ascii="Arial" w:eastAsia="Arial" w:hAnsi="Arial" w:cs="Arial"/>
                <w:sz w:val="24"/>
                <w:szCs w:val="24"/>
              </w:rPr>
              <w:t xml:space="preserve"> </w:t>
            </w:r>
            <w:r>
              <w:rPr>
                <w:rFonts w:ascii="Arial" w:eastAsia="Arial" w:hAnsi="Arial" w:cs="Arial"/>
                <w:sz w:val="24"/>
                <w:szCs w:val="24"/>
              </w:rPr>
              <w:t>there is no</w:t>
            </w:r>
            <w:r w:rsidRPr="00EE6703">
              <w:rPr>
                <w:rFonts w:ascii="Arial" w:eastAsia="Arial" w:hAnsi="Arial" w:cs="Arial"/>
                <w:sz w:val="24"/>
                <w:szCs w:val="24"/>
              </w:rPr>
              <w:t xml:space="preserve"> coverage for SERV-OR registrants</w:t>
            </w:r>
            <w:r w:rsidR="00582BA7">
              <w:rPr>
                <w:rFonts w:ascii="Arial" w:eastAsia="Arial" w:hAnsi="Arial" w:cs="Arial"/>
                <w:sz w:val="24"/>
                <w:szCs w:val="24"/>
              </w:rPr>
              <w:t xml:space="preserve"> related to hMPXV response</w:t>
            </w:r>
            <w:r>
              <w:rPr>
                <w:rFonts w:ascii="Arial" w:eastAsia="Arial" w:hAnsi="Arial" w:cs="Arial"/>
                <w:sz w:val="24"/>
                <w:szCs w:val="24"/>
              </w:rPr>
              <w:t>. To deploy volunteers in support of hMPXV, the OHA Public Health Director must request authorization from the Governor to activate the state volunteer pool</w:t>
            </w:r>
            <w:r w:rsidRPr="00EE6703">
              <w:rPr>
                <w:rFonts w:ascii="Arial" w:eastAsia="Arial" w:hAnsi="Arial" w:cs="Arial"/>
                <w:sz w:val="24"/>
                <w:szCs w:val="24"/>
              </w:rPr>
              <w:t>.</w:t>
            </w:r>
          </w:p>
          <w:p w14:paraId="5D087B7A" w14:textId="77777777" w:rsidR="00151DC7" w:rsidRPr="00EE6703" w:rsidRDefault="00151DC7" w:rsidP="00151DC7">
            <w:pPr>
              <w:pStyle w:val="TableParagraph"/>
              <w:spacing w:after="120"/>
              <w:ind w:left="99"/>
              <w:rPr>
                <w:rFonts w:ascii="Arial" w:eastAsia="Arial" w:hAnsi="Arial" w:cs="Arial"/>
                <w:sz w:val="24"/>
                <w:szCs w:val="24"/>
              </w:rPr>
            </w:pPr>
            <w:r w:rsidRPr="00EE6703">
              <w:rPr>
                <w:rFonts w:ascii="Arial" w:eastAsia="Arial" w:hAnsi="Arial" w:cs="Arial"/>
                <w:sz w:val="24"/>
                <w:szCs w:val="24"/>
              </w:rPr>
              <w:t>MRC Organizations in SERV-OR:</w:t>
            </w:r>
          </w:p>
          <w:p w14:paraId="2975DFEC" w14:textId="77777777" w:rsidR="00151DC7" w:rsidRPr="00EE6703" w:rsidRDefault="00151DC7" w:rsidP="00151DC7">
            <w:pPr>
              <w:pStyle w:val="TableParagraph"/>
              <w:spacing w:after="120"/>
              <w:ind w:left="99"/>
              <w:rPr>
                <w:rFonts w:ascii="Arial" w:eastAsia="Arial" w:hAnsi="Arial" w:cs="Arial"/>
                <w:sz w:val="24"/>
                <w:szCs w:val="24"/>
              </w:rPr>
            </w:pPr>
            <w:r w:rsidRPr="00EE6703">
              <w:rPr>
                <w:rFonts w:ascii="Arial" w:eastAsia="Arial" w:hAnsi="Arial" w:cs="Arial"/>
                <w:sz w:val="24"/>
                <w:szCs w:val="24"/>
              </w:rPr>
              <w:t xml:space="preserve">Responsibility for volunteer registrants' tort and workers’ compensation protection </w:t>
            </w:r>
            <w:r>
              <w:rPr>
                <w:rFonts w:ascii="Arial" w:eastAsia="Arial" w:hAnsi="Arial" w:cs="Arial"/>
                <w:sz w:val="24"/>
                <w:szCs w:val="24"/>
              </w:rPr>
              <w:t xml:space="preserve">are with the </w:t>
            </w:r>
            <w:r w:rsidRPr="00EE6703">
              <w:rPr>
                <w:rFonts w:ascii="Arial" w:eastAsia="Arial" w:hAnsi="Arial" w:cs="Arial"/>
                <w:sz w:val="24"/>
                <w:szCs w:val="24"/>
              </w:rPr>
              <w:t>Medical Reserve Corps Units</w:t>
            </w:r>
            <w:r>
              <w:rPr>
                <w:rFonts w:ascii="Arial" w:eastAsia="Arial" w:hAnsi="Arial" w:cs="Arial"/>
                <w:sz w:val="24"/>
                <w:szCs w:val="24"/>
              </w:rPr>
              <w:t>’</w:t>
            </w:r>
            <w:r w:rsidRPr="00EE6703">
              <w:rPr>
                <w:rFonts w:ascii="Arial" w:eastAsia="Arial" w:hAnsi="Arial" w:cs="Arial"/>
                <w:sz w:val="24"/>
                <w:szCs w:val="24"/>
              </w:rPr>
              <w:t xml:space="preserve"> local sponsor</w:t>
            </w:r>
            <w:r>
              <w:rPr>
                <w:rFonts w:ascii="Arial" w:eastAsia="Arial" w:hAnsi="Arial" w:cs="Arial"/>
                <w:sz w:val="24"/>
                <w:szCs w:val="24"/>
              </w:rPr>
              <w:t xml:space="preserve"> organization</w:t>
            </w:r>
            <w:r w:rsidRPr="00EE6703">
              <w:rPr>
                <w:rFonts w:ascii="Arial" w:eastAsia="Arial" w:hAnsi="Arial" w:cs="Arial"/>
                <w:sz w:val="24"/>
                <w:szCs w:val="24"/>
              </w:rPr>
              <w:t xml:space="preserve"> </w:t>
            </w:r>
            <w:r>
              <w:rPr>
                <w:rFonts w:ascii="Arial" w:eastAsia="Arial" w:hAnsi="Arial" w:cs="Arial"/>
                <w:sz w:val="24"/>
                <w:szCs w:val="24"/>
              </w:rPr>
              <w:t>for hMPXV</w:t>
            </w:r>
            <w:r w:rsidRPr="00EE6703">
              <w:rPr>
                <w:rFonts w:ascii="Arial" w:eastAsia="Arial" w:hAnsi="Arial" w:cs="Arial"/>
                <w:sz w:val="24"/>
                <w:szCs w:val="24"/>
              </w:rPr>
              <w:t xml:space="preserve"> deployments.</w:t>
            </w:r>
          </w:p>
          <w:p w14:paraId="2A1C2A17" w14:textId="77777777" w:rsidR="00151DC7" w:rsidRPr="00EE6703" w:rsidRDefault="00151DC7" w:rsidP="00151DC7">
            <w:pPr>
              <w:pStyle w:val="TableParagraph"/>
              <w:spacing w:after="120"/>
              <w:ind w:left="99"/>
              <w:rPr>
                <w:rFonts w:ascii="Arial" w:eastAsia="Arial" w:hAnsi="Arial" w:cs="Arial"/>
                <w:sz w:val="24"/>
                <w:szCs w:val="24"/>
              </w:rPr>
            </w:pPr>
            <w:r w:rsidRPr="00EE6703">
              <w:rPr>
                <w:rFonts w:ascii="Arial" w:eastAsia="Arial" w:hAnsi="Arial" w:cs="Arial"/>
                <w:sz w:val="24"/>
                <w:szCs w:val="24"/>
              </w:rPr>
              <w:t xml:space="preserve">Volunteers directed to deploy with </w:t>
            </w:r>
            <w:r>
              <w:rPr>
                <w:rFonts w:ascii="Arial" w:eastAsia="Arial" w:hAnsi="Arial" w:cs="Arial"/>
                <w:sz w:val="24"/>
                <w:szCs w:val="24"/>
              </w:rPr>
              <w:t>non-state sponsored</w:t>
            </w:r>
            <w:r w:rsidRPr="00EE6703">
              <w:rPr>
                <w:rFonts w:ascii="Arial" w:eastAsia="Arial" w:hAnsi="Arial" w:cs="Arial"/>
                <w:sz w:val="24"/>
                <w:szCs w:val="24"/>
              </w:rPr>
              <w:t xml:space="preserve"> SERV-OR organizations, such as a local Medical Reserve Corps Unit, should not volunteer without confirming that their activity is authorized through their local sponsoring organization</w:t>
            </w:r>
            <w:r>
              <w:rPr>
                <w:rFonts w:ascii="Arial" w:eastAsia="Arial" w:hAnsi="Arial" w:cs="Arial"/>
                <w:sz w:val="24"/>
                <w:szCs w:val="24"/>
              </w:rPr>
              <w:t>,</w:t>
            </w:r>
            <w:r w:rsidRPr="00EE6703">
              <w:rPr>
                <w:rFonts w:ascii="Arial" w:eastAsia="Arial" w:hAnsi="Arial" w:cs="Arial"/>
                <w:sz w:val="24"/>
                <w:szCs w:val="24"/>
              </w:rPr>
              <w:t xml:space="preserve"> </w:t>
            </w:r>
            <w:r>
              <w:rPr>
                <w:rFonts w:ascii="Arial" w:eastAsia="Arial" w:hAnsi="Arial" w:cs="Arial"/>
                <w:sz w:val="24"/>
                <w:szCs w:val="24"/>
              </w:rPr>
              <w:t xml:space="preserve">or </w:t>
            </w:r>
            <w:r w:rsidRPr="00EE6703">
              <w:rPr>
                <w:rFonts w:ascii="Arial" w:eastAsia="Arial" w:hAnsi="Arial" w:cs="Arial"/>
                <w:sz w:val="24"/>
                <w:szCs w:val="24"/>
              </w:rPr>
              <w:t>by the Oregon Public Health Director.</w:t>
            </w:r>
          </w:p>
          <w:p w14:paraId="51AA1DB4" w14:textId="15878787" w:rsidR="00151DC7" w:rsidRPr="00EE6703" w:rsidRDefault="00151DC7" w:rsidP="00151DC7">
            <w:pPr>
              <w:pStyle w:val="TableParagraph"/>
              <w:spacing w:after="120"/>
              <w:ind w:left="99"/>
              <w:rPr>
                <w:rFonts w:ascii="Arial" w:eastAsia="Arial" w:hAnsi="Arial" w:cs="Arial"/>
                <w:sz w:val="24"/>
                <w:szCs w:val="24"/>
              </w:rPr>
            </w:pPr>
            <w:r w:rsidRPr="00EE6703">
              <w:rPr>
                <w:rFonts w:ascii="Arial" w:eastAsia="Arial" w:hAnsi="Arial" w:cs="Arial"/>
                <w:sz w:val="24"/>
                <w:szCs w:val="24"/>
              </w:rPr>
              <w:t>When confirming if activity is authorized, volunteers should verify what workers’ compensation and tort protection are in place for them in the event an injury or claim is made against them, related to their volunteer activity.</w:t>
            </w:r>
          </w:p>
        </w:tc>
      </w:tr>
      <w:tr w:rsidR="00151DC7" w:rsidRPr="005F55EF" w14:paraId="33724475" w14:textId="77777777" w:rsidTr="0044135D">
        <w:trPr>
          <w:cantSplit/>
          <w:trHeight w:val="1028"/>
        </w:trPr>
        <w:tc>
          <w:tcPr>
            <w:tcW w:w="1890" w:type="dxa"/>
            <w:tcBorders>
              <w:top w:val="single" w:sz="4" w:space="0" w:color="auto"/>
            </w:tcBorders>
          </w:tcPr>
          <w:p w14:paraId="3B23F1A6" w14:textId="111D7D87" w:rsidR="00151DC7" w:rsidRPr="00EE6703" w:rsidRDefault="00151DC7" w:rsidP="00151DC7">
            <w:pPr>
              <w:pStyle w:val="TableParagraph"/>
              <w:spacing w:line="268" w:lineRule="exact"/>
              <w:ind w:left="96"/>
              <w:rPr>
                <w:rFonts w:ascii="Arial" w:eastAsia="Arial" w:hAnsi="Arial" w:cs="Arial"/>
                <w:sz w:val="24"/>
                <w:szCs w:val="24"/>
              </w:rPr>
            </w:pPr>
            <w:r w:rsidRPr="00EE6703">
              <w:rPr>
                <w:rFonts w:ascii="Arial" w:eastAsia="Arial" w:hAnsi="Arial" w:cs="Arial"/>
                <w:sz w:val="24"/>
                <w:szCs w:val="24"/>
              </w:rPr>
              <w:lastRenderedPageBreak/>
              <w:t>Authority for out of state nurses to practice in Oregon</w:t>
            </w:r>
          </w:p>
        </w:tc>
        <w:tc>
          <w:tcPr>
            <w:tcW w:w="2880" w:type="dxa"/>
            <w:tcBorders>
              <w:top w:val="single" w:sz="4" w:space="0" w:color="auto"/>
            </w:tcBorders>
          </w:tcPr>
          <w:p w14:paraId="0FFEF05E" w14:textId="77777777" w:rsidR="003054A9" w:rsidRDefault="003054A9" w:rsidP="00151DC7">
            <w:pPr>
              <w:pStyle w:val="TableParagraph"/>
              <w:ind w:left="87" w:right="87"/>
              <w:rPr>
                <w:rFonts w:ascii="Arial" w:eastAsia="Arial" w:hAnsi="Arial" w:cs="Arial"/>
                <w:sz w:val="24"/>
                <w:szCs w:val="24"/>
              </w:rPr>
            </w:pPr>
            <w:r w:rsidRPr="003054A9">
              <w:rPr>
                <w:rFonts w:ascii="Arial" w:eastAsia="Arial" w:hAnsi="Arial" w:cs="Arial"/>
                <w:sz w:val="24"/>
                <w:szCs w:val="24"/>
              </w:rPr>
              <w:t xml:space="preserve">HB 4003 (2022): </w:t>
            </w:r>
          </w:p>
          <w:p w14:paraId="46E78014" w14:textId="77777777" w:rsidR="003054A9" w:rsidRDefault="003054A9" w:rsidP="00151DC7">
            <w:pPr>
              <w:pStyle w:val="TableParagraph"/>
              <w:ind w:left="87" w:right="87"/>
              <w:rPr>
                <w:rFonts w:ascii="Arial" w:eastAsia="Arial" w:hAnsi="Arial" w:cs="Arial"/>
                <w:sz w:val="24"/>
                <w:szCs w:val="24"/>
              </w:rPr>
            </w:pPr>
          </w:p>
          <w:p w14:paraId="5E355F06" w14:textId="77777777" w:rsidR="003054A9" w:rsidRDefault="003054A9" w:rsidP="00151DC7">
            <w:pPr>
              <w:pStyle w:val="TableParagraph"/>
              <w:ind w:left="87" w:right="87"/>
              <w:rPr>
                <w:rFonts w:ascii="Arial" w:eastAsia="Arial" w:hAnsi="Arial" w:cs="Arial"/>
                <w:sz w:val="24"/>
                <w:szCs w:val="24"/>
              </w:rPr>
            </w:pPr>
            <w:r w:rsidRPr="003054A9">
              <w:rPr>
                <w:rFonts w:ascii="Arial" w:eastAsia="Arial" w:hAnsi="Arial" w:cs="Arial"/>
                <w:sz w:val="24"/>
                <w:szCs w:val="24"/>
              </w:rPr>
              <w:t xml:space="preserve">OAR 851-062-0020(1) </w:t>
            </w:r>
          </w:p>
          <w:p w14:paraId="3BEFAD76" w14:textId="77777777" w:rsidR="003054A9" w:rsidRDefault="003054A9" w:rsidP="00151DC7">
            <w:pPr>
              <w:pStyle w:val="TableParagraph"/>
              <w:ind w:left="87" w:right="87"/>
              <w:rPr>
                <w:rFonts w:ascii="Arial" w:eastAsia="Arial" w:hAnsi="Arial" w:cs="Arial"/>
                <w:sz w:val="24"/>
                <w:szCs w:val="24"/>
              </w:rPr>
            </w:pPr>
          </w:p>
          <w:p w14:paraId="6E0FC0DD" w14:textId="4B78F8E1" w:rsidR="003054A9" w:rsidRDefault="003054A9" w:rsidP="00151DC7">
            <w:pPr>
              <w:pStyle w:val="TableParagraph"/>
              <w:ind w:left="87" w:right="87"/>
              <w:rPr>
                <w:rFonts w:ascii="Arial" w:eastAsia="Arial" w:hAnsi="Arial" w:cs="Arial"/>
                <w:sz w:val="24"/>
                <w:szCs w:val="24"/>
              </w:rPr>
            </w:pPr>
            <w:r w:rsidRPr="003054A9">
              <w:rPr>
                <w:rFonts w:ascii="Arial" w:eastAsia="Arial" w:hAnsi="Arial" w:cs="Arial"/>
                <w:sz w:val="24"/>
                <w:szCs w:val="24"/>
              </w:rPr>
              <w:t>PREP Act</w:t>
            </w:r>
            <w:r w:rsidR="008063F2">
              <w:rPr>
                <w:rFonts w:ascii="Arial" w:eastAsia="Arial" w:hAnsi="Arial" w:cs="Arial"/>
                <w:sz w:val="24"/>
                <w:szCs w:val="24"/>
              </w:rPr>
              <w:t xml:space="preserve"> (see below)</w:t>
            </w:r>
          </w:p>
          <w:p w14:paraId="6CFA4C50" w14:textId="5C8E6E8F" w:rsidR="00151DC7" w:rsidRPr="00EE6703" w:rsidRDefault="00151DC7" w:rsidP="00151DC7">
            <w:pPr>
              <w:pStyle w:val="TableParagraph"/>
              <w:ind w:left="87" w:right="87"/>
              <w:rPr>
                <w:rFonts w:ascii="Arial" w:eastAsia="Arial" w:hAnsi="Arial" w:cs="Arial"/>
                <w:sz w:val="24"/>
                <w:szCs w:val="24"/>
              </w:rPr>
            </w:pPr>
          </w:p>
        </w:tc>
        <w:tc>
          <w:tcPr>
            <w:tcW w:w="8280" w:type="dxa"/>
            <w:tcBorders>
              <w:top w:val="single" w:sz="4" w:space="0" w:color="auto"/>
            </w:tcBorders>
          </w:tcPr>
          <w:p w14:paraId="79B98575" w14:textId="5A682275" w:rsidR="00806949" w:rsidRDefault="003054A9" w:rsidP="00994DFD">
            <w:pPr>
              <w:pStyle w:val="TableParagraph"/>
              <w:numPr>
                <w:ilvl w:val="0"/>
                <w:numId w:val="5"/>
              </w:numPr>
              <w:spacing w:after="120"/>
              <w:rPr>
                <w:rFonts w:ascii="Arial" w:eastAsia="Arial" w:hAnsi="Arial" w:cs="Arial"/>
                <w:sz w:val="24"/>
                <w:szCs w:val="24"/>
              </w:rPr>
            </w:pPr>
            <w:r w:rsidRPr="003054A9">
              <w:rPr>
                <w:rFonts w:ascii="Arial" w:eastAsia="Arial" w:hAnsi="Arial" w:cs="Arial"/>
                <w:sz w:val="24"/>
                <w:szCs w:val="24"/>
              </w:rPr>
              <w:t>Nonresident nurses may practice in OR for 90-120 days if they work in certain types of settings, submit an endorsement application to the Board, and their employer providers certain notification to the board (see HB 4003).</w:t>
            </w:r>
          </w:p>
          <w:p w14:paraId="7FFF5987" w14:textId="67FED73D" w:rsidR="003054A9" w:rsidRDefault="003054A9" w:rsidP="00806949">
            <w:pPr>
              <w:pStyle w:val="TableParagraph"/>
              <w:numPr>
                <w:ilvl w:val="0"/>
                <w:numId w:val="5"/>
              </w:numPr>
              <w:spacing w:after="120"/>
              <w:rPr>
                <w:rFonts w:ascii="Arial" w:eastAsia="Arial" w:hAnsi="Arial" w:cs="Arial"/>
                <w:sz w:val="24"/>
                <w:szCs w:val="24"/>
              </w:rPr>
            </w:pPr>
            <w:r w:rsidRPr="00806949">
              <w:rPr>
                <w:rFonts w:ascii="Arial" w:eastAsia="Arial" w:hAnsi="Arial" w:cs="Arial"/>
                <w:sz w:val="24"/>
                <w:szCs w:val="24"/>
              </w:rPr>
              <w:t xml:space="preserve">CNAs may work for up to 120 days while waiting on a state-issued certificate to be issued. </w:t>
            </w:r>
          </w:p>
          <w:p w14:paraId="146481BD" w14:textId="0A810DF6" w:rsidR="00806949" w:rsidRPr="00806949" w:rsidRDefault="00806949" w:rsidP="00994DFD">
            <w:pPr>
              <w:pStyle w:val="TableParagraph"/>
              <w:numPr>
                <w:ilvl w:val="0"/>
                <w:numId w:val="5"/>
              </w:numPr>
              <w:spacing w:after="120"/>
              <w:rPr>
                <w:rFonts w:ascii="Arial" w:eastAsia="Arial" w:hAnsi="Arial" w:cs="Arial"/>
                <w:sz w:val="24"/>
                <w:szCs w:val="24"/>
              </w:rPr>
            </w:pPr>
            <w:r>
              <w:rPr>
                <w:rFonts w:ascii="Arial" w:eastAsia="Arial" w:hAnsi="Arial" w:cs="Arial"/>
                <w:sz w:val="24"/>
                <w:szCs w:val="24"/>
              </w:rPr>
              <w:t>Nurses licensed in any state (see below)</w:t>
            </w:r>
          </w:p>
          <w:p w14:paraId="2140B930" w14:textId="3A867D83" w:rsidR="008063F2" w:rsidRDefault="008063F2" w:rsidP="00994DFD">
            <w:pPr>
              <w:pStyle w:val="TableParagraph"/>
              <w:spacing w:after="120"/>
              <w:rPr>
                <w:rFonts w:ascii="Arial" w:eastAsia="Arial" w:hAnsi="Arial" w:cs="Arial"/>
                <w:sz w:val="24"/>
                <w:szCs w:val="24"/>
              </w:rPr>
            </w:pPr>
            <w:r>
              <w:rPr>
                <w:rFonts w:ascii="Arial" w:eastAsia="Arial" w:hAnsi="Arial" w:cs="Arial"/>
                <w:sz w:val="24"/>
                <w:szCs w:val="24"/>
              </w:rPr>
              <w:t>PREP Act Amendment expires December 31, 2032</w:t>
            </w:r>
          </w:p>
          <w:p w14:paraId="140949FA" w14:textId="77777777" w:rsidR="008063F2" w:rsidRDefault="008063F2" w:rsidP="00151DC7">
            <w:pPr>
              <w:pStyle w:val="TableParagraph"/>
              <w:spacing w:after="120"/>
              <w:ind w:left="99"/>
              <w:rPr>
                <w:rFonts w:ascii="Arial" w:eastAsia="Arial" w:hAnsi="Arial" w:cs="Arial"/>
                <w:sz w:val="24"/>
                <w:szCs w:val="24"/>
              </w:rPr>
            </w:pPr>
          </w:p>
          <w:p w14:paraId="2F4AD9E8" w14:textId="77777777" w:rsidR="008063F2" w:rsidRDefault="008063F2" w:rsidP="00151DC7">
            <w:pPr>
              <w:pStyle w:val="TableParagraph"/>
              <w:spacing w:after="120"/>
              <w:ind w:left="99"/>
              <w:rPr>
                <w:rFonts w:ascii="Arial" w:eastAsia="Arial" w:hAnsi="Arial" w:cs="Arial"/>
                <w:sz w:val="24"/>
                <w:szCs w:val="24"/>
              </w:rPr>
            </w:pPr>
          </w:p>
          <w:p w14:paraId="594E7F30" w14:textId="36943F37" w:rsidR="00151DC7" w:rsidRPr="00EE6703" w:rsidRDefault="00151DC7">
            <w:pPr>
              <w:pStyle w:val="TableParagraph"/>
              <w:spacing w:after="120"/>
              <w:ind w:left="99"/>
              <w:rPr>
                <w:rFonts w:ascii="Arial" w:eastAsia="Arial" w:hAnsi="Arial" w:cs="Arial"/>
                <w:sz w:val="24"/>
                <w:szCs w:val="24"/>
              </w:rPr>
            </w:pPr>
          </w:p>
        </w:tc>
      </w:tr>
      <w:tr w:rsidR="00151DC7" w:rsidRPr="005F55EF" w14:paraId="46B35768" w14:textId="77777777" w:rsidTr="0044135D">
        <w:trPr>
          <w:cantSplit/>
          <w:trHeight w:val="1028"/>
        </w:trPr>
        <w:tc>
          <w:tcPr>
            <w:tcW w:w="1890" w:type="dxa"/>
            <w:tcBorders>
              <w:top w:val="single" w:sz="4" w:space="0" w:color="auto"/>
            </w:tcBorders>
          </w:tcPr>
          <w:p w14:paraId="2A11AADA" w14:textId="696BA453" w:rsidR="00151DC7" w:rsidRPr="00EE6703" w:rsidRDefault="00151DC7" w:rsidP="00151DC7">
            <w:pPr>
              <w:pStyle w:val="TableParagraph"/>
              <w:spacing w:line="268" w:lineRule="exact"/>
              <w:ind w:left="96"/>
              <w:rPr>
                <w:rFonts w:ascii="Arial" w:eastAsia="Arial" w:hAnsi="Arial" w:cs="Arial"/>
                <w:sz w:val="24"/>
                <w:szCs w:val="24"/>
              </w:rPr>
            </w:pPr>
            <w:r w:rsidRPr="00EE6703">
              <w:rPr>
                <w:rFonts w:ascii="Arial" w:eastAsia="Arial" w:hAnsi="Arial" w:cs="Arial"/>
                <w:sz w:val="24"/>
                <w:szCs w:val="24"/>
              </w:rPr>
              <w:t>Out of state doctors</w:t>
            </w:r>
          </w:p>
        </w:tc>
        <w:tc>
          <w:tcPr>
            <w:tcW w:w="2880" w:type="dxa"/>
            <w:tcBorders>
              <w:top w:val="single" w:sz="4" w:space="0" w:color="auto"/>
            </w:tcBorders>
          </w:tcPr>
          <w:p w14:paraId="02D439B3" w14:textId="5DD8221C" w:rsidR="00151DC7" w:rsidRPr="00EE6703" w:rsidRDefault="008063F2" w:rsidP="00151DC7">
            <w:pPr>
              <w:pStyle w:val="TableParagraph"/>
              <w:ind w:left="87" w:right="87"/>
              <w:rPr>
                <w:rFonts w:ascii="Arial" w:eastAsia="Arial" w:hAnsi="Arial" w:cs="Arial"/>
                <w:sz w:val="24"/>
                <w:szCs w:val="24"/>
              </w:rPr>
            </w:pPr>
            <w:r>
              <w:rPr>
                <w:rFonts w:ascii="Arial" w:eastAsia="Arial" w:hAnsi="Arial" w:cs="Arial"/>
                <w:sz w:val="24"/>
                <w:szCs w:val="24"/>
              </w:rPr>
              <w:t>PREP Act (see below)</w:t>
            </w:r>
          </w:p>
        </w:tc>
        <w:tc>
          <w:tcPr>
            <w:tcW w:w="8280" w:type="dxa"/>
            <w:tcBorders>
              <w:top w:val="single" w:sz="4" w:space="0" w:color="auto"/>
            </w:tcBorders>
          </w:tcPr>
          <w:p w14:paraId="22B64CF7" w14:textId="47A18016" w:rsidR="00151DC7" w:rsidRPr="00EE6703" w:rsidRDefault="008063F2" w:rsidP="00151DC7">
            <w:pPr>
              <w:pStyle w:val="TableParagraph"/>
              <w:spacing w:after="120"/>
              <w:ind w:left="99"/>
              <w:rPr>
                <w:rFonts w:ascii="Arial" w:eastAsia="Arial" w:hAnsi="Arial" w:cs="Arial"/>
                <w:sz w:val="24"/>
                <w:szCs w:val="24"/>
              </w:rPr>
            </w:pPr>
            <w:r>
              <w:rPr>
                <w:rFonts w:ascii="Arial" w:eastAsia="Arial" w:hAnsi="Arial" w:cs="Arial"/>
                <w:sz w:val="24"/>
                <w:szCs w:val="24"/>
              </w:rPr>
              <w:t>PREP Act Amendment expires December 31, 2032</w:t>
            </w:r>
          </w:p>
        </w:tc>
      </w:tr>
      <w:tr w:rsidR="00151DC7" w:rsidRPr="005F55EF" w14:paraId="7100710E" w14:textId="77777777" w:rsidTr="0044135D">
        <w:trPr>
          <w:cantSplit/>
          <w:trHeight w:val="1028"/>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6A54C987" w14:textId="541C29C5" w:rsidR="00151DC7" w:rsidRPr="00EE6703" w:rsidRDefault="00151DC7" w:rsidP="00151DC7">
            <w:pPr>
              <w:pStyle w:val="TableParagraph"/>
              <w:spacing w:line="268" w:lineRule="exact"/>
              <w:ind w:left="96"/>
              <w:rPr>
                <w:rFonts w:ascii="Arial" w:eastAsia="Arial" w:hAnsi="Arial" w:cs="Arial"/>
                <w:sz w:val="24"/>
                <w:szCs w:val="24"/>
              </w:rPr>
            </w:pPr>
            <w:bookmarkStart w:id="0" w:name="_Hlk115092518"/>
            <w:r w:rsidRPr="00EE6703">
              <w:rPr>
                <w:rFonts w:ascii="Arial" w:eastAsia="Arial" w:hAnsi="Arial" w:cs="Arial"/>
                <w:sz w:val="24"/>
                <w:szCs w:val="24"/>
              </w:rPr>
              <w:t xml:space="preserve">Pharmacist </w:t>
            </w:r>
            <w:r>
              <w:rPr>
                <w:rFonts w:ascii="Arial" w:eastAsia="Arial" w:hAnsi="Arial" w:cs="Arial"/>
                <w:sz w:val="24"/>
                <w:szCs w:val="24"/>
              </w:rPr>
              <w:t>monkeypox vaccinations or therapeutics</w:t>
            </w:r>
            <w:r w:rsidRPr="00EE6703">
              <w:rPr>
                <w:rFonts w:ascii="Arial" w:eastAsia="Arial" w:hAnsi="Arial" w:cs="Arial"/>
                <w:sz w:val="24"/>
                <w:szCs w:val="24"/>
              </w:rPr>
              <w:t xml:space="preserve"> scope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1C43DB2" w14:textId="19BBA5C2" w:rsidR="00151DC7" w:rsidRPr="00EE6703" w:rsidRDefault="008063F2" w:rsidP="00151DC7">
            <w:pPr>
              <w:pStyle w:val="TableParagraph"/>
              <w:ind w:left="87" w:right="87"/>
              <w:rPr>
                <w:rFonts w:ascii="Arial" w:eastAsia="Arial" w:hAnsi="Arial" w:cs="Arial"/>
                <w:sz w:val="24"/>
                <w:szCs w:val="24"/>
              </w:rPr>
            </w:pPr>
            <w:r>
              <w:rPr>
                <w:rFonts w:ascii="Arial" w:eastAsia="Arial" w:hAnsi="Arial" w:cs="Arial"/>
                <w:sz w:val="24"/>
                <w:szCs w:val="24"/>
              </w:rPr>
              <w:t>PREP Act (see below)</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707FC6F4" w14:textId="083C983A" w:rsidR="00151DC7" w:rsidRPr="00EE6703" w:rsidRDefault="008063F2" w:rsidP="00151DC7">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Pr>
                <w:rFonts w:ascii="Arial" w:eastAsia="Arial" w:hAnsi="Arial" w:cs="Arial"/>
                <w:color w:val="222222"/>
                <w:sz w:val="24"/>
                <w:szCs w:val="24"/>
              </w:rPr>
              <w:t>PREP Act Amendment expires December 31, 2032</w:t>
            </w:r>
          </w:p>
        </w:tc>
      </w:tr>
      <w:bookmarkEnd w:id="0"/>
      <w:tr w:rsidR="00151DC7" w:rsidRPr="005F55EF" w14:paraId="57A6B8CA" w14:textId="77777777" w:rsidTr="00994DFD">
        <w:trPr>
          <w:cantSplit/>
          <w:trHeight w:val="1028"/>
        </w:trPr>
        <w:tc>
          <w:tcPr>
            <w:tcW w:w="1890" w:type="dxa"/>
            <w:tcBorders>
              <w:top w:val="single" w:sz="4" w:space="0" w:color="auto"/>
              <w:bottom w:val="single" w:sz="4" w:space="0" w:color="auto"/>
            </w:tcBorders>
          </w:tcPr>
          <w:p w14:paraId="50C67109" w14:textId="585E17F3" w:rsidR="00151DC7" w:rsidRPr="00EE6703" w:rsidRDefault="00151DC7" w:rsidP="00151DC7">
            <w:pPr>
              <w:pStyle w:val="TableParagraph"/>
              <w:spacing w:line="268" w:lineRule="exact"/>
              <w:ind w:left="96"/>
              <w:rPr>
                <w:rFonts w:ascii="Arial" w:eastAsia="Arial" w:hAnsi="Arial" w:cs="Arial"/>
                <w:sz w:val="24"/>
                <w:szCs w:val="24"/>
              </w:rPr>
            </w:pPr>
            <w:r>
              <w:rPr>
                <w:rFonts w:ascii="Arial" w:eastAsia="Arial" w:hAnsi="Arial" w:cs="Arial"/>
                <w:sz w:val="24"/>
                <w:szCs w:val="24"/>
              </w:rPr>
              <w:t>EMS vaccination authority</w:t>
            </w:r>
          </w:p>
        </w:tc>
        <w:tc>
          <w:tcPr>
            <w:tcW w:w="2880" w:type="dxa"/>
            <w:tcBorders>
              <w:top w:val="single" w:sz="4" w:space="0" w:color="auto"/>
              <w:bottom w:val="single" w:sz="4" w:space="0" w:color="auto"/>
            </w:tcBorders>
          </w:tcPr>
          <w:p w14:paraId="7B92FA29" w14:textId="533050DF" w:rsidR="00151DC7" w:rsidRDefault="00151DC7" w:rsidP="00151DC7">
            <w:pPr>
              <w:pStyle w:val="TableParagraph"/>
              <w:ind w:left="87" w:right="87"/>
              <w:rPr>
                <w:rFonts w:ascii="Arial" w:eastAsia="Arial" w:hAnsi="Arial" w:cs="Arial"/>
                <w:sz w:val="24"/>
                <w:szCs w:val="24"/>
              </w:rPr>
            </w:pPr>
            <w:r>
              <w:rPr>
                <w:rFonts w:ascii="Arial" w:eastAsia="Arial" w:hAnsi="Arial" w:cs="Arial"/>
                <w:sz w:val="24"/>
                <w:szCs w:val="24"/>
              </w:rPr>
              <w:t xml:space="preserve">OAR 847-035-0030(9) </w:t>
            </w:r>
          </w:p>
          <w:p w14:paraId="67EB33D1" w14:textId="156162D4" w:rsidR="00151DC7" w:rsidRPr="00EE6703" w:rsidRDefault="00151DC7" w:rsidP="00151DC7">
            <w:pPr>
              <w:pStyle w:val="TableParagraph"/>
              <w:ind w:left="87" w:right="87"/>
              <w:rPr>
                <w:rFonts w:ascii="Arial" w:eastAsia="Arial" w:hAnsi="Arial" w:cs="Arial"/>
                <w:sz w:val="24"/>
                <w:szCs w:val="24"/>
              </w:rPr>
            </w:pPr>
          </w:p>
        </w:tc>
        <w:tc>
          <w:tcPr>
            <w:tcW w:w="8280" w:type="dxa"/>
            <w:tcBorders>
              <w:top w:val="single" w:sz="4" w:space="0" w:color="auto"/>
              <w:bottom w:val="single" w:sz="4" w:space="0" w:color="auto"/>
            </w:tcBorders>
          </w:tcPr>
          <w:p w14:paraId="4BA317FD" w14:textId="24D44D9C" w:rsidR="00186419" w:rsidRDefault="00186419" w:rsidP="00123ED2">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Pr>
                <w:rFonts w:ascii="Arial" w:eastAsia="Arial" w:hAnsi="Arial" w:cs="Arial"/>
                <w:sz w:val="24"/>
                <w:szCs w:val="24"/>
              </w:rPr>
              <w:t>O</w:t>
            </w:r>
            <w:r w:rsidR="003054A9">
              <w:rPr>
                <w:rFonts w:ascii="Arial" w:eastAsia="Arial" w:hAnsi="Arial" w:cs="Arial"/>
                <w:sz w:val="24"/>
                <w:szCs w:val="24"/>
              </w:rPr>
              <w:t xml:space="preserve">regon State Public Health Officer </w:t>
            </w:r>
            <w:r>
              <w:rPr>
                <w:rFonts w:ascii="Arial" w:eastAsia="Arial" w:hAnsi="Arial" w:cs="Arial"/>
                <w:sz w:val="24"/>
                <w:szCs w:val="24"/>
              </w:rPr>
              <w:t>issued outbreak declaration on September 15, 2022 for purposes of permitting EMTs to administer monkeypox vaccinations</w:t>
            </w:r>
          </w:p>
          <w:p w14:paraId="58739144" w14:textId="77777777" w:rsidR="00186419" w:rsidRDefault="00186419" w:rsidP="00123ED2">
            <w:pPr>
              <w:pStyle w:val="ListParagraph"/>
              <w:widowControl/>
              <w:shd w:val="clear" w:color="auto" w:fill="FFFFFF" w:themeFill="background1"/>
              <w:autoSpaceDE/>
              <w:autoSpaceDN/>
              <w:spacing w:after="160" w:line="252" w:lineRule="auto"/>
              <w:contextualSpacing/>
              <w:rPr>
                <w:rFonts w:ascii="Arial" w:hAnsi="Arial" w:cs="Arial"/>
                <w:sz w:val="24"/>
                <w:szCs w:val="24"/>
              </w:rPr>
            </w:pPr>
          </w:p>
          <w:p w14:paraId="452FD90E" w14:textId="1F0CDDBB" w:rsidR="00151DC7" w:rsidRPr="00123ED2" w:rsidRDefault="00123ED2" w:rsidP="00123ED2">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sidRPr="00123ED2">
              <w:rPr>
                <w:rFonts w:ascii="Arial" w:hAnsi="Arial" w:cs="Arial"/>
                <w:sz w:val="24"/>
                <w:szCs w:val="24"/>
              </w:rPr>
              <w:t>This declaration remains in effect until July 1, 2023, unless terminated earlier or extended.</w:t>
            </w:r>
          </w:p>
        </w:tc>
      </w:tr>
      <w:tr w:rsidR="008063F2" w:rsidRPr="005F55EF" w14:paraId="1B5F68FC" w14:textId="77777777" w:rsidTr="0044135D">
        <w:trPr>
          <w:cantSplit/>
          <w:trHeight w:val="1028"/>
        </w:trPr>
        <w:tc>
          <w:tcPr>
            <w:tcW w:w="1890" w:type="dxa"/>
            <w:tcBorders>
              <w:top w:val="single" w:sz="4" w:space="0" w:color="auto"/>
            </w:tcBorders>
          </w:tcPr>
          <w:p w14:paraId="11CF5F7B" w14:textId="6598AE6D" w:rsidR="008063F2" w:rsidRDefault="008063F2" w:rsidP="00151DC7">
            <w:pPr>
              <w:pStyle w:val="TableParagraph"/>
              <w:spacing w:line="268" w:lineRule="exact"/>
              <w:ind w:left="96"/>
              <w:rPr>
                <w:rFonts w:ascii="Arial" w:eastAsia="Arial" w:hAnsi="Arial" w:cs="Arial"/>
                <w:sz w:val="24"/>
                <w:szCs w:val="24"/>
              </w:rPr>
            </w:pPr>
            <w:r>
              <w:rPr>
                <w:rFonts w:ascii="Arial" w:eastAsia="Arial" w:hAnsi="Arial" w:cs="Arial"/>
                <w:sz w:val="24"/>
                <w:szCs w:val="24"/>
              </w:rPr>
              <w:lastRenderedPageBreak/>
              <w:t>Prescribing, dispensing, administering smallpox (variola virus), monkeypox virus, or other orthopoxvirus vaccines or therapeutics</w:t>
            </w:r>
          </w:p>
        </w:tc>
        <w:tc>
          <w:tcPr>
            <w:tcW w:w="2880" w:type="dxa"/>
            <w:tcBorders>
              <w:top w:val="single" w:sz="4" w:space="0" w:color="auto"/>
            </w:tcBorders>
          </w:tcPr>
          <w:p w14:paraId="5B8E9CFE" w14:textId="586042D9" w:rsidR="008063F2" w:rsidRDefault="008063F2" w:rsidP="00151DC7">
            <w:pPr>
              <w:pStyle w:val="TableParagraph"/>
              <w:ind w:left="87" w:right="87"/>
              <w:rPr>
                <w:rFonts w:ascii="Arial" w:eastAsia="Arial" w:hAnsi="Arial" w:cs="Arial"/>
                <w:sz w:val="24"/>
                <w:szCs w:val="24"/>
              </w:rPr>
            </w:pPr>
            <w:r>
              <w:rPr>
                <w:rFonts w:ascii="Arial" w:eastAsia="Arial" w:hAnsi="Arial" w:cs="Arial"/>
                <w:sz w:val="24"/>
                <w:szCs w:val="24"/>
              </w:rPr>
              <w:t>PREP Act (see above)</w:t>
            </w:r>
          </w:p>
        </w:tc>
        <w:tc>
          <w:tcPr>
            <w:tcW w:w="8280" w:type="dxa"/>
            <w:tcBorders>
              <w:top w:val="single" w:sz="4" w:space="0" w:color="auto"/>
            </w:tcBorders>
          </w:tcPr>
          <w:p w14:paraId="68329954" w14:textId="58D33A36" w:rsidR="006418B4" w:rsidRDefault="006418B4" w:rsidP="008063F2">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Pr>
                <w:rFonts w:ascii="Arial" w:eastAsia="Arial" w:hAnsi="Arial" w:cs="Arial"/>
                <w:sz w:val="24"/>
                <w:szCs w:val="24"/>
              </w:rPr>
              <w:t xml:space="preserve">The following are covered persons under the PREP Act, and thus are authorized to prescribe, dispense, and administer monkeypox vaccines and therapeutics that are considered covered countermeasures: </w:t>
            </w:r>
          </w:p>
          <w:p w14:paraId="4D738BB6" w14:textId="51771C57" w:rsidR="008063F2" w:rsidRDefault="006418B4" w:rsidP="00994DFD">
            <w:pPr>
              <w:widowControl/>
              <w:shd w:val="clear" w:color="auto" w:fill="FFFFFF" w:themeFill="background1"/>
              <w:autoSpaceDE/>
              <w:autoSpaceDN/>
              <w:spacing w:after="160" w:line="252" w:lineRule="auto"/>
              <w:contextualSpacing/>
              <w:rPr>
                <w:rFonts w:ascii="Arial" w:eastAsia="Arial" w:hAnsi="Arial" w:cs="Arial"/>
                <w:sz w:val="24"/>
                <w:szCs w:val="24"/>
              </w:rPr>
            </w:pPr>
            <w:r w:rsidRPr="00994DFD">
              <w:rPr>
                <w:rFonts w:ascii="Arial" w:eastAsia="Arial" w:hAnsi="Arial" w:cs="Arial"/>
                <w:sz w:val="24"/>
                <w:szCs w:val="24"/>
              </w:rPr>
              <w:t xml:space="preserve">(1) </w:t>
            </w:r>
            <w:r w:rsidR="008063F2" w:rsidRPr="00994DFD">
              <w:rPr>
                <w:rFonts w:ascii="Arial" w:eastAsia="Arial" w:hAnsi="Arial" w:cs="Arial"/>
                <w:sz w:val="24"/>
                <w:szCs w:val="24"/>
              </w:rPr>
              <w:t>To the extent not already licensed or authorized under state law, any</w:t>
            </w:r>
            <w:r w:rsidRPr="00994DFD">
              <w:rPr>
                <w:rFonts w:ascii="Arial" w:eastAsia="Arial" w:hAnsi="Arial" w:cs="Arial"/>
                <w:sz w:val="24"/>
                <w:szCs w:val="24"/>
              </w:rPr>
              <w:t xml:space="preserve"> </w:t>
            </w:r>
            <w:r w:rsidR="008063F2" w:rsidRPr="00994DFD">
              <w:rPr>
                <w:rFonts w:ascii="Arial" w:eastAsia="Arial" w:hAnsi="Arial" w:cs="Arial"/>
                <w:sz w:val="24"/>
                <w:szCs w:val="24"/>
              </w:rPr>
              <w:t>dentist, advanced or intermediate emergency medical technician, licensed</w:t>
            </w:r>
            <w:r w:rsidRPr="00994DFD">
              <w:rPr>
                <w:rFonts w:ascii="Arial" w:eastAsia="Arial" w:hAnsi="Arial" w:cs="Arial"/>
                <w:sz w:val="24"/>
                <w:szCs w:val="24"/>
              </w:rPr>
              <w:t xml:space="preserve"> </w:t>
            </w:r>
            <w:r w:rsidR="008063F2" w:rsidRPr="00994DFD">
              <w:rPr>
                <w:rFonts w:ascii="Arial" w:eastAsia="Arial" w:hAnsi="Arial" w:cs="Arial"/>
                <w:sz w:val="24"/>
                <w:szCs w:val="24"/>
              </w:rPr>
              <w:t>or certified professional midwife, nurse, advanced practice registered nurse, registered nurse, licensed practical nurse, optometrist, paramedic, pharmacist, pharmacy intern, pharmacy technician, physician, physician</w:t>
            </w:r>
            <w:r>
              <w:rPr>
                <w:rFonts w:ascii="Arial" w:eastAsia="Arial" w:hAnsi="Arial" w:cs="Arial"/>
                <w:sz w:val="24"/>
                <w:szCs w:val="24"/>
              </w:rPr>
              <w:t xml:space="preserve"> </w:t>
            </w:r>
            <w:r w:rsidR="008063F2" w:rsidRPr="008063F2">
              <w:rPr>
                <w:rFonts w:ascii="Arial" w:eastAsia="Arial" w:hAnsi="Arial" w:cs="Arial"/>
                <w:sz w:val="24"/>
                <w:szCs w:val="24"/>
              </w:rPr>
              <w:t>assistant, podiatrist, respiratory</w:t>
            </w:r>
            <w:r w:rsidR="008063F2">
              <w:rPr>
                <w:rFonts w:ascii="Arial" w:eastAsia="Arial" w:hAnsi="Arial" w:cs="Arial"/>
                <w:sz w:val="24"/>
                <w:szCs w:val="24"/>
              </w:rPr>
              <w:t xml:space="preserve"> </w:t>
            </w:r>
            <w:r w:rsidR="008063F2" w:rsidRPr="008063F2">
              <w:rPr>
                <w:rFonts w:ascii="Arial" w:eastAsia="Arial" w:hAnsi="Arial" w:cs="Arial"/>
                <w:sz w:val="24"/>
                <w:szCs w:val="24"/>
              </w:rPr>
              <w:t>therapist, or veterinarian who is</w:t>
            </w:r>
            <w:r>
              <w:rPr>
                <w:rFonts w:ascii="Arial" w:eastAsia="Arial" w:hAnsi="Arial" w:cs="Arial"/>
                <w:sz w:val="24"/>
                <w:szCs w:val="24"/>
              </w:rPr>
              <w:t xml:space="preserve"> </w:t>
            </w:r>
            <w:r w:rsidR="008063F2" w:rsidRPr="008063F2">
              <w:rPr>
                <w:rFonts w:ascii="Arial" w:eastAsia="Arial" w:hAnsi="Arial" w:cs="Arial"/>
                <w:sz w:val="24"/>
                <w:szCs w:val="24"/>
              </w:rPr>
              <w:t>licensed or certified to practice under</w:t>
            </w:r>
            <w:r w:rsidR="008063F2">
              <w:rPr>
                <w:rFonts w:ascii="Arial" w:eastAsia="Arial" w:hAnsi="Arial" w:cs="Arial"/>
                <w:sz w:val="24"/>
                <w:szCs w:val="24"/>
              </w:rPr>
              <w:t xml:space="preserve"> </w:t>
            </w:r>
            <w:r w:rsidR="008063F2" w:rsidRPr="008063F2">
              <w:rPr>
                <w:rFonts w:ascii="Arial" w:eastAsia="Arial" w:hAnsi="Arial" w:cs="Arial"/>
                <w:sz w:val="24"/>
                <w:szCs w:val="24"/>
              </w:rPr>
              <w:t>the law of any state who prescribes,</w:t>
            </w:r>
            <w:r>
              <w:rPr>
                <w:rFonts w:ascii="Arial" w:eastAsia="Arial" w:hAnsi="Arial" w:cs="Arial"/>
                <w:sz w:val="24"/>
                <w:szCs w:val="24"/>
              </w:rPr>
              <w:t xml:space="preserve"> </w:t>
            </w:r>
            <w:r w:rsidR="008063F2" w:rsidRPr="008063F2">
              <w:rPr>
                <w:rFonts w:ascii="Arial" w:eastAsia="Arial" w:hAnsi="Arial" w:cs="Arial"/>
                <w:sz w:val="24"/>
                <w:szCs w:val="24"/>
              </w:rPr>
              <w:t>dispenses, or administers smallpox</w:t>
            </w:r>
            <w:r w:rsidR="008063F2">
              <w:rPr>
                <w:rFonts w:ascii="Arial" w:eastAsia="Arial" w:hAnsi="Arial" w:cs="Arial"/>
                <w:sz w:val="24"/>
                <w:szCs w:val="24"/>
              </w:rPr>
              <w:t xml:space="preserve"> </w:t>
            </w:r>
            <w:r w:rsidR="008063F2" w:rsidRPr="008063F2">
              <w:rPr>
                <w:rFonts w:ascii="Arial" w:eastAsia="Arial" w:hAnsi="Arial" w:cs="Arial"/>
                <w:sz w:val="24"/>
                <w:szCs w:val="24"/>
              </w:rPr>
              <w:t>(variola virus), monkeypox virus, or</w:t>
            </w:r>
            <w:r>
              <w:rPr>
                <w:rFonts w:ascii="Arial" w:eastAsia="Arial" w:hAnsi="Arial" w:cs="Arial"/>
                <w:sz w:val="24"/>
                <w:szCs w:val="24"/>
              </w:rPr>
              <w:t xml:space="preserve"> </w:t>
            </w:r>
            <w:r w:rsidR="008063F2" w:rsidRPr="008063F2">
              <w:rPr>
                <w:rFonts w:ascii="Arial" w:eastAsia="Arial" w:hAnsi="Arial" w:cs="Arial"/>
                <w:sz w:val="24"/>
                <w:szCs w:val="24"/>
              </w:rPr>
              <w:t>other orthopoxvirus vaccines or</w:t>
            </w:r>
            <w:r w:rsidR="008063F2">
              <w:rPr>
                <w:rFonts w:ascii="Arial" w:eastAsia="Arial" w:hAnsi="Arial" w:cs="Arial"/>
                <w:sz w:val="24"/>
                <w:szCs w:val="24"/>
              </w:rPr>
              <w:t xml:space="preserve"> </w:t>
            </w:r>
            <w:r w:rsidR="008063F2" w:rsidRPr="008063F2">
              <w:rPr>
                <w:rFonts w:ascii="Arial" w:eastAsia="Arial" w:hAnsi="Arial" w:cs="Arial"/>
                <w:sz w:val="24"/>
                <w:szCs w:val="24"/>
              </w:rPr>
              <w:t>therapeutics by the route of</w:t>
            </w:r>
            <w:r>
              <w:rPr>
                <w:rFonts w:ascii="Arial" w:eastAsia="Arial" w:hAnsi="Arial" w:cs="Arial"/>
                <w:sz w:val="24"/>
                <w:szCs w:val="24"/>
              </w:rPr>
              <w:t xml:space="preserve"> </w:t>
            </w:r>
            <w:r w:rsidR="008063F2" w:rsidRPr="008063F2">
              <w:rPr>
                <w:rFonts w:ascii="Arial" w:eastAsia="Arial" w:hAnsi="Arial" w:cs="Arial"/>
                <w:sz w:val="24"/>
                <w:szCs w:val="24"/>
              </w:rPr>
              <w:t>administration and to the population</w:t>
            </w:r>
            <w:r w:rsidR="008063F2">
              <w:rPr>
                <w:rFonts w:ascii="Arial" w:eastAsia="Arial" w:hAnsi="Arial" w:cs="Arial"/>
                <w:sz w:val="24"/>
                <w:szCs w:val="24"/>
              </w:rPr>
              <w:t xml:space="preserve"> </w:t>
            </w:r>
            <w:r w:rsidR="008063F2" w:rsidRPr="008063F2">
              <w:rPr>
                <w:rFonts w:ascii="Arial" w:eastAsia="Arial" w:hAnsi="Arial" w:cs="Arial"/>
                <w:sz w:val="24"/>
                <w:szCs w:val="24"/>
              </w:rPr>
              <w:t>specified in the relevant FDA license,</w:t>
            </w:r>
            <w:r>
              <w:rPr>
                <w:rFonts w:ascii="Arial" w:eastAsia="Arial" w:hAnsi="Arial" w:cs="Arial"/>
                <w:sz w:val="24"/>
                <w:szCs w:val="24"/>
              </w:rPr>
              <w:t xml:space="preserve"> </w:t>
            </w:r>
            <w:r w:rsidR="008063F2" w:rsidRPr="008063F2">
              <w:rPr>
                <w:rFonts w:ascii="Arial" w:eastAsia="Arial" w:hAnsi="Arial" w:cs="Arial"/>
                <w:sz w:val="24"/>
                <w:szCs w:val="24"/>
              </w:rPr>
              <w:t>approval, or authorization, including</w:t>
            </w:r>
            <w:r w:rsidR="008063F2">
              <w:rPr>
                <w:rFonts w:ascii="Arial" w:eastAsia="Arial" w:hAnsi="Arial" w:cs="Arial"/>
                <w:sz w:val="24"/>
                <w:szCs w:val="24"/>
              </w:rPr>
              <w:t xml:space="preserve"> </w:t>
            </w:r>
            <w:r w:rsidR="008063F2" w:rsidRPr="008063F2">
              <w:rPr>
                <w:rFonts w:ascii="Arial" w:eastAsia="Arial" w:hAnsi="Arial" w:cs="Arial"/>
                <w:sz w:val="24"/>
                <w:szCs w:val="24"/>
              </w:rPr>
              <w:t>intramuscular, intradermal, or</w:t>
            </w:r>
            <w:r>
              <w:rPr>
                <w:rFonts w:ascii="Arial" w:eastAsia="Arial" w:hAnsi="Arial" w:cs="Arial"/>
                <w:sz w:val="24"/>
                <w:szCs w:val="24"/>
              </w:rPr>
              <w:t xml:space="preserve"> </w:t>
            </w:r>
            <w:r w:rsidR="008063F2" w:rsidRPr="008063F2">
              <w:rPr>
                <w:rFonts w:ascii="Arial" w:eastAsia="Arial" w:hAnsi="Arial" w:cs="Arial"/>
                <w:sz w:val="24"/>
                <w:szCs w:val="24"/>
              </w:rPr>
              <w:t>subcutaneous injection, dermal/percutaneous scarification, intranasal or</w:t>
            </w:r>
            <w:r>
              <w:rPr>
                <w:rFonts w:ascii="Arial" w:eastAsia="Arial" w:hAnsi="Arial" w:cs="Arial"/>
                <w:sz w:val="24"/>
                <w:szCs w:val="24"/>
              </w:rPr>
              <w:t xml:space="preserve"> </w:t>
            </w:r>
            <w:r w:rsidR="008063F2" w:rsidRPr="008063F2">
              <w:rPr>
                <w:rFonts w:ascii="Arial" w:eastAsia="Arial" w:hAnsi="Arial" w:cs="Arial"/>
                <w:sz w:val="24"/>
                <w:szCs w:val="24"/>
              </w:rPr>
              <w:t>oral administration, that are Covered</w:t>
            </w:r>
            <w:r w:rsidR="008063F2">
              <w:rPr>
                <w:rFonts w:ascii="Arial" w:eastAsia="Arial" w:hAnsi="Arial" w:cs="Arial"/>
                <w:sz w:val="24"/>
                <w:szCs w:val="24"/>
              </w:rPr>
              <w:t xml:space="preserve"> </w:t>
            </w:r>
            <w:r w:rsidR="008063F2" w:rsidRPr="008063F2">
              <w:rPr>
                <w:rFonts w:ascii="Arial" w:eastAsia="Arial" w:hAnsi="Arial" w:cs="Arial"/>
                <w:sz w:val="24"/>
                <w:szCs w:val="24"/>
              </w:rPr>
              <w:t>Countermeasures under section VI of</w:t>
            </w:r>
            <w:r>
              <w:rPr>
                <w:rFonts w:ascii="Arial" w:eastAsia="Arial" w:hAnsi="Arial" w:cs="Arial"/>
                <w:sz w:val="24"/>
                <w:szCs w:val="24"/>
              </w:rPr>
              <w:t xml:space="preserve"> </w:t>
            </w:r>
            <w:r w:rsidR="008063F2" w:rsidRPr="008063F2">
              <w:rPr>
                <w:rFonts w:ascii="Arial" w:eastAsia="Arial" w:hAnsi="Arial" w:cs="Arial"/>
                <w:sz w:val="24"/>
                <w:szCs w:val="24"/>
              </w:rPr>
              <w:t>th</w:t>
            </w:r>
            <w:r w:rsidR="008063F2">
              <w:rPr>
                <w:rFonts w:ascii="Arial" w:eastAsia="Arial" w:hAnsi="Arial" w:cs="Arial"/>
                <w:sz w:val="24"/>
                <w:szCs w:val="24"/>
              </w:rPr>
              <w:t>e PREP Act</w:t>
            </w:r>
            <w:r w:rsidR="008063F2" w:rsidRPr="008063F2">
              <w:rPr>
                <w:rFonts w:ascii="Arial" w:eastAsia="Arial" w:hAnsi="Arial" w:cs="Arial"/>
                <w:sz w:val="24"/>
                <w:szCs w:val="24"/>
              </w:rPr>
              <w:t xml:space="preserve"> declaration in any jurisdiction</w:t>
            </w:r>
            <w:r w:rsidR="008063F2">
              <w:rPr>
                <w:rFonts w:ascii="Arial" w:eastAsia="Arial" w:hAnsi="Arial" w:cs="Arial"/>
                <w:sz w:val="24"/>
                <w:szCs w:val="24"/>
              </w:rPr>
              <w:t xml:space="preserve"> </w:t>
            </w:r>
            <w:r w:rsidR="008063F2" w:rsidRPr="008063F2">
              <w:rPr>
                <w:rFonts w:ascii="Arial" w:eastAsia="Arial" w:hAnsi="Arial" w:cs="Arial"/>
                <w:sz w:val="24"/>
                <w:szCs w:val="24"/>
              </w:rPr>
              <w:t>where the PREP Act applies in</w:t>
            </w:r>
            <w:r>
              <w:rPr>
                <w:rFonts w:ascii="Arial" w:eastAsia="Arial" w:hAnsi="Arial" w:cs="Arial"/>
                <w:sz w:val="24"/>
                <w:szCs w:val="24"/>
              </w:rPr>
              <w:t xml:space="preserve"> </w:t>
            </w:r>
            <w:r w:rsidR="008063F2" w:rsidRPr="008063F2">
              <w:rPr>
                <w:rFonts w:ascii="Arial" w:eastAsia="Arial" w:hAnsi="Arial" w:cs="Arial"/>
                <w:sz w:val="24"/>
                <w:szCs w:val="24"/>
              </w:rPr>
              <w:t>association with a smallpox (variola</w:t>
            </w:r>
            <w:r w:rsidR="008063F2">
              <w:rPr>
                <w:rFonts w:ascii="Arial" w:eastAsia="Arial" w:hAnsi="Arial" w:cs="Arial"/>
                <w:sz w:val="24"/>
                <w:szCs w:val="24"/>
              </w:rPr>
              <w:t xml:space="preserve"> </w:t>
            </w:r>
            <w:r w:rsidR="008063F2" w:rsidRPr="008063F2">
              <w:rPr>
                <w:rFonts w:ascii="Arial" w:eastAsia="Arial" w:hAnsi="Arial" w:cs="Arial"/>
                <w:sz w:val="24"/>
                <w:szCs w:val="24"/>
              </w:rPr>
              <w:t>virus), monkeypox virus, or other</w:t>
            </w:r>
            <w:r>
              <w:rPr>
                <w:rFonts w:ascii="Arial" w:eastAsia="Arial" w:hAnsi="Arial" w:cs="Arial"/>
                <w:sz w:val="24"/>
                <w:szCs w:val="24"/>
              </w:rPr>
              <w:t xml:space="preserve"> </w:t>
            </w:r>
            <w:r w:rsidR="008063F2" w:rsidRPr="008063F2">
              <w:rPr>
                <w:rFonts w:ascii="Arial" w:eastAsia="Arial" w:hAnsi="Arial" w:cs="Arial"/>
                <w:sz w:val="24"/>
                <w:szCs w:val="24"/>
              </w:rPr>
              <w:t>orthopoxvirus vaccination or</w:t>
            </w:r>
            <w:r w:rsidR="008063F2">
              <w:rPr>
                <w:rFonts w:ascii="Arial" w:eastAsia="Arial" w:hAnsi="Arial" w:cs="Arial"/>
                <w:sz w:val="24"/>
                <w:szCs w:val="24"/>
              </w:rPr>
              <w:t xml:space="preserve"> </w:t>
            </w:r>
            <w:r w:rsidR="008063F2" w:rsidRPr="008063F2">
              <w:rPr>
                <w:rFonts w:ascii="Arial" w:eastAsia="Arial" w:hAnsi="Arial" w:cs="Arial"/>
                <w:sz w:val="24"/>
                <w:szCs w:val="24"/>
              </w:rPr>
              <w:t>therapeutics effort by a State, local,</w:t>
            </w:r>
            <w:r>
              <w:rPr>
                <w:rFonts w:ascii="Arial" w:eastAsia="Arial" w:hAnsi="Arial" w:cs="Arial"/>
                <w:sz w:val="24"/>
                <w:szCs w:val="24"/>
              </w:rPr>
              <w:t xml:space="preserve"> </w:t>
            </w:r>
            <w:r w:rsidR="008063F2" w:rsidRPr="008063F2">
              <w:rPr>
                <w:rFonts w:ascii="Arial" w:eastAsia="Arial" w:hAnsi="Arial" w:cs="Arial"/>
                <w:sz w:val="24"/>
                <w:szCs w:val="24"/>
              </w:rPr>
              <w:t>Tribal or territorial authority or by an</w:t>
            </w:r>
            <w:r w:rsidR="008063F2">
              <w:rPr>
                <w:rFonts w:ascii="Arial" w:eastAsia="Arial" w:hAnsi="Arial" w:cs="Arial"/>
                <w:sz w:val="24"/>
                <w:szCs w:val="24"/>
              </w:rPr>
              <w:t xml:space="preserve"> </w:t>
            </w:r>
            <w:r w:rsidR="008063F2" w:rsidRPr="008063F2">
              <w:rPr>
                <w:rFonts w:ascii="Arial" w:eastAsia="Arial" w:hAnsi="Arial" w:cs="Arial"/>
                <w:sz w:val="24"/>
                <w:szCs w:val="24"/>
              </w:rPr>
              <w:t>institution in which the smallpox</w:t>
            </w:r>
            <w:r>
              <w:rPr>
                <w:rFonts w:ascii="Arial" w:eastAsia="Arial" w:hAnsi="Arial" w:cs="Arial"/>
                <w:sz w:val="24"/>
                <w:szCs w:val="24"/>
              </w:rPr>
              <w:t xml:space="preserve"> </w:t>
            </w:r>
            <w:r w:rsidR="008063F2" w:rsidRPr="008063F2">
              <w:rPr>
                <w:rFonts w:ascii="Arial" w:eastAsia="Arial" w:hAnsi="Arial" w:cs="Arial"/>
                <w:sz w:val="24"/>
                <w:szCs w:val="24"/>
              </w:rPr>
              <w:t>(variola virus), monkeypox virus, or</w:t>
            </w:r>
            <w:r w:rsidR="008063F2">
              <w:rPr>
                <w:rFonts w:ascii="Arial" w:eastAsia="Arial" w:hAnsi="Arial" w:cs="Arial"/>
                <w:sz w:val="24"/>
                <w:szCs w:val="24"/>
              </w:rPr>
              <w:t xml:space="preserve"> </w:t>
            </w:r>
            <w:r w:rsidR="008063F2" w:rsidRPr="008063F2">
              <w:rPr>
                <w:rFonts w:ascii="Arial" w:eastAsia="Arial" w:hAnsi="Arial" w:cs="Arial"/>
                <w:sz w:val="24"/>
                <w:szCs w:val="24"/>
              </w:rPr>
              <w:t>other orthopoxvirus vaccine or</w:t>
            </w:r>
            <w:r>
              <w:rPr>
                <w:rFonts w:ascii="Arial" w:eastAsia="Arial" w:hAnsi="Arial" w:cs="Arial"/>
                <w:sz w:val="24"/>
                <w:szCs w:val="24"/>
              </w:rPr>
              <w:t xml:space="preserve"> </w:t>
            </w:r>
            <w:r w:rsidR="008063F2" w:rsidRPr="008063F2">
              <w:rPr>
                <w:rFonts w:ascii="Arial" w:eastAsia="Arial" w:hAnsi="Arial" w:cs="Arial"/>
                <w:sz w:val="24"/>
                <w:szCs w:val="24"/>
              </w:rPr>
              <w:t>therapeutic is administered</w:t>
            </w:r>
            <w:r>
              <w:rPr>
                <w:rFonts w:ascii="Arial" w:eastAsia="Arial" w:hAnsi="Arial" w:cs="Arial"/>
                <w:sz w:val="24"/>
                <w:szCs w:val="24"/>
              </w:rPr>
              <w:t>.</w:t>
            </w:r>
          </w:p>
          <w:p w14:paraId="5126DD6C" w14:textId="21250867" w:rsidR="006418B4" w:rsidRPr="006418B4" w:rsidRDefault="006418B4" w:rsidP="006418B4">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Pr>
                <w:rFonts w:ascii="Arial" w:eastAsia="Arial" w:hAnsi="Arial" w:cs="Arial"/>
                <w:sz w:val="24"/>
                <w:szCs w:val="24"/>
              </w:rPr>
              <w:t xml:space="preserve">(2) Previously licensed (within the last 5 years) </w:t>
            </w:r>
            <w:r w:rsidRPr="006418B4">
              <w:rPr>
                <w:rFonts w:ascii="Arial" w:eastAsia="Arial" w:hAnsi="Arial" w:cs="Arial"/>
                <w:sz w:val="24"/>
                <w:szCs w:val="24"/>
              </w:rPr>
              <w:t>dentist, advanced or</w:t>
            </w:r>
            <w:r>
              <w:rPr>
                <w:rFonts w:ascii="Arial" w:eastAsia="Arial" w:hAnsi="Arial" w:cs="Arial"/>
                <w:sz w:val="24"/>
                <w:szCs w:val="24"/>
              </w:rPr>
              <w:t xml:space="preserve"> </w:t>
            </w:r>
            <w:r w:rsidRPr="006418B4">
              <w:rPr>
                <w:rFonts w:ascii="Arial" w:eastAsia="Arial" w:hAnsi="Arial" w:cs="Arial"/>
                <w:sz w:val="24"/>
                <w:szCs w:val="24"/>
              </w:rPr>
              <w:t>intermediate emergency medical</w:t>
            </w:r>
            <w:r>
              <w:rPr>
                <w:rFonts w:ascii="Arial" w:eastAsia="Arial" w:hAnsi="Arial" w:cs="Arial"/>
                <w:sz w:val="24"/>
                <w:szCs w:val="24"/>
              </w:rPr>
              <w:t xml:space="preserve"> </w:t>
            </w:r>
            <w:r w:rsidRPr="006418B4">
              <w:rPr>
                <w:rFonts w:ascii="Arial" w:eastAsia="Arial" w:hAnsi="Arial" w:cs="Arial"/>
                <w:sz w:val="24"/>
                <w:szCs w:val="24"/>
              </w:rPr>
              <w:t>technician, licensed or certified</w:t>
            </w:r>
            <w:r>
              <w:rPr>
                <w:rFonts w:ascii="Arial" w:eastAsia="Arial" w:hAnsi="Arial" w:cs="Arial"/>
                <w:sz w:val="24"/>
                <w:szCs w:val="24"/>
              </w:rPr>
              <w:t xml:space="preserve"> </w:t>
            </w:r>
            <w:r w:rsidRPr="006418B4">
              <w:rPr>
                <w:rFonts w:ascii="Arial" w:eastAsia="Arial" w:hAnsi="Arial" w:cs="Arial"/>
                <w:sz w:val="24"/>
                <w:szCs w:val="24"/>
              </w:rPr>
              <w:t>professional midwife, nurse, advanced</w:t>
            </w:r>
            <w:r>
              <w:rPr>
                <w:rFonts w:ascii="Arial" w:eastAsia="Arial" w:hAnsi="Arial" w:cs="Arial"/>
                <w:sz w:val="24"/>
                <w:szCs w:val="24"/>
              </w:rPr>
              <w:t xml:space="preserve"> </w:t>
            </w:r>
            <w:r w:rsidRPr="006418B4">
              <w:rPr>
                <w:rFonts w:ascii="Arial" w:eastAsia="Arial" w:hAnsi="Arial" w:cs="Arial"/>
                <w:sz w:val="24"/>
                <w:szCs w:val="24"/>
              </w:rPr>
              <w:t>practice registered nurse, registered</w:t>
            </w:r>
            <w:r>
              <w:rPr>
                <w:rFonts w:ascii="Arial" w:eastAsia="Arial" w:hAnsi="Arial" w:cs="Arial"/>
                <w:sz w:val="24"/>
                <w:szCs w:val="24"/>
              </w:rPr>
              <w:t xml:space="preserve"> </w:t>
            </w:r>
            <w:r w:rsidRPr="006418B4">
              <w:rPr>
                <w:rFonts w:ascii="Arial" w:eastAsia="Arial" w:hAnsi="Arial" w:cs="Arial"/>
                <w:sz w:val="24"/>
                <w:szCs w:val="24"/>
              </w:rPr>
              <w:t>nurse, licensed practical nurse,</w:t>
            </w:r>
            <w:r>
              <w:rPr>
                <w:rFonts w:ascii="Arial" w:eastAsia="Arial" w:hAnsi="Arial" w:cs="Arial"/>
                <w:sz w:val="24"/>
                <w:szCs w:val="24"/>
              </w:rPr>
              <w:t xml:space="preserve"> </w:t>
            </w:r>
            <w:r w:rsidRPr="006418B4">
              <w:rPr>
                <w:rFonts w:ascii="Arial" w:eastAsia="Arial" w:hAnsi="Arial" w:cs="Arial"/>
                <w:sz w:val="24"/>
                <w:szCs w:val="24"/>
              </w:rPr>
              <w:t>optometrist, paramedic, pharmacist,</w:t>
            </w:r>
            <w:r>
              <w:rPr>
                <w:rFonts w:ascii="Arial" w:eastAsia="Arial" w:hAnsi="Arial" w:cs="Arial"/>
                <w:sz w:val="24"/>
                <w:szCs w:val="24"/>
              </w:rPr>
              <w:t xml:space="preserve"> </w:t>
            </w:r>
            <w:r w:rsidRPr="006418B4">
              <w:rPr>
                <w:rFonts w:ascii="Arial" w:eastAsia="Arial" w:hAnsi="Arial" w:cs="Arial"/>
                <w:sz w:val="24"/>
                <w:szCs w:val="24"/>
              </w:rPr>
              <w:t>pharmacy intern, physician, physician</w:t>
            </w:r>
            <w:r>
              <w:rPr>
                <w:rFonts w:ascii="Arial" w:eastAsia="Arial" w:hAnsi="Arial" w:cs="Arial"/>
                <w:sz w:val="24"/>
                <w:szCs w:val="24"/>
              </w:rPr>
              <w:t xml:space="preserve"> </w:t>
            </w:r>
            <w:r w:rsidRPr="006418B4">
              <w:rPr>
                <w:rFonts w:ascii="Arial" w:eastAsia="Arial" w:hAnsi="Arial" w:cs="Arial"/>
                <w:sz w:val="24"/>
                <w:szCs w:val="24"/>
              </w:rPr>
              <w:t>assistant, podiatrist, respiratory</w:t>
            </w:r>
            <w:r>
              <w:rPr>
                <w:rFonts w:ascii="Arial" w:eastAsia="Arial" w:hAnsi="Arial" w:cs="Arial"/>
                <w:sz w:val="24"/>
                <w:szCs w:val="24"/>
              </w:rPr>
              <w:t xml:space="preserve"> </w:t>
            </w:r>
            <w:r w:rsidRPr="006418B4">
              <w:rPr>
                <w:rFonts w:ascii="Arial" w:eastAsia="Arial" w:hAnsi="Arial" w:cs="Arial"/>
                <w:sz w:val="24"/>
                <w:szCs w:val="24"/>
              </w:rPr>
              <w:t>therapist, or veterinarian</w:t>
            </w:r>
            <w:r>
              <w:rPr>
                <w:rFonts w:ascii="Arial" w:eastAsia="Arial" w:hAnsi="Arial" w:cs="Arial"/>
                <w:sz w:val="24"/>
                <w:szCs w:val="24"/>
              </w:rPr>
              <w:t xml:space="preserve"> </w:t>
            </w:r>
            <w:r w:rsidRPr="006418B4">
              <w:rPr>
                <w:rFonts w:ascii="Arial" w:eastAsia="Arial" w:hAnsi="Arial" w:cs="Arial"/>
                <w:sz w:val="24"/>
                <w:szCs w:val="24"/>
              </w:rPr>
              <w:t>who prescribes, dispenses, or</w:t>
            </w:r>
            <w:r>
              <w:rPr>
                <w:rFonts w:ascii="Arial" w:eastAsia="Arial" w:hAnsi="Arial" w:cs="Arial"/>
                <w:sz w:val="24"/>
                <w:szCs w:val="24"/>
              </w:rPr>
              <w:t xml:space="preserve"> </w:t>
            </w:r>
            <w:r w:rsidRPr="006418B4">
              <w:rPr>
                <w:rFonts w:ascii="Arial" w:eastAsia="Arial" w:hAnsi="Arial" w:cs="Arial"/>
                <w:sz w:val="24"/>
                <w:szCs w:val="24"/>
              </w:rPr>
              <w:t>administers smallpox (variola virus),</w:t>
            </w:r>
            <w:r>
              <w:rPr>
                <w:rFonts w:ascii="Arial" w:eastAsia="Arial" w:hAnsi="Arial" w:cs="Arial"/>
                <w:sz w:val="24"/>
                <w:szCs w:val="24"/>
              </w:rPr>
              <w:t xml:space="preserve"> </w:t>
            </w:r>
            <w:r w:rsidRPr="006418B4">
              <w:rPr>
                <w:rFonts w:ascii="Arial" w:eastAsia="Arial" w:hAnsi="Arial" w:cs="Arial"/>
                <w:sz w:val="24"/>
                <w:szCs w:val="24"/>
              </w:rPr>
              <w:t>monkeypox virus, or other</w:t>
            </w:r>
            <w:r>
              <w:rPr>
                <w:rFonts w:ascii="Arial" w:eastAsia="Arial" w:hAnsi="Arial" w:cs="Arial"/>
                <w:sz w:val="24"/>
                <w:szCs w:val="24"/>
              </w:rPr>
              <w:t xml:space="preserve"> </w:t>
            </w:r>
            <w:r w:rsidRPr="006418B4">
              <w:rPr>
                <w:rFonts w:ascii="Arial" w:eastAsia="Arial" w:hAnsi="Arial" w:cs="Arial"/>
                <w:sz w:val="24"/>
                <w:szCs w:val="24"/>
              </w:rPr>
              <w:t>orthopoxvirus vaccines or therapeutics</w:t>
            </w:r>
          </w:p>
          <w:p w14:paraId="12E8AEAF" w14:textId="63D7F063" w:rsidR="006418B4" w:rsidRPr="006418B4" w:rsidRDefault="006418B4" w:rsidP="006418B4">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sidRPr="006418B4">
              <w:rPr>
                <w:rFonts w:ascii="Arial" w:eastAsia="Arial" w:hAnsi="Arial" w:cs="Arial"/>
                <w:sz w:val="24"/>
                <w:szCs w:val="24"/>
              </w:rPr>
              <w:t>by the route of administration and to the</w:t>
            </w:r>
            <w:r>
              <w:rPr>
                <w:rFonts w:ascii="Arial" w:eastAsia="Arial" w:hAnsi="Arial" w:cs="Arial"/>
                <w:sz w:val="24"/>
                <w:szCs w:val="24"/>
              </w:rPr>
              <w:t xml:space="preserve"> </w:t>
            </w:r>
            <w:r w:rsidRPr="006418B4">
              <w:rPr>
                <w:rFonts w:ascii="Arial" w:eastAsia="Arial" w:hAnsi="Arial" w:cs="Arial"/>
                <w:sz w:val="24"/>
                <w:szCs w:val="24"/>
              </w:rPr>
              <w:t>population specified in the relevant</w:t>
            </w:r>
          </w:p>
          <w:p w14:paraId="7637782E" w14:textId="7543BDE1" w:rsidR="006418B4" w:rsidRPr="006418B4" w:rsidRDefault="006418B4" w:rsidP="006418B4">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sidRPr="006418B4">
              <w:rPr>
                <w:rFonts w:ascii="Arial" w:eastAsia="Arial" w:hAnsi="Arial" w:cs="Arial"/>
                <w:sz w:val="24"/>
                <w:szCs w:val="24"/>
              </w:rPr>
              <w:t>FDA license, approval or authorization,</w:t>
            </w:r>
            <w:r>
              <w:rPr>
                <w:rFonts w:ascii="Arial" w:eastAsia="Arial" w:hAnsi="Arial" w:cs="Arial"/>
                <w:sz w:val="24"/>
                <w:szCs w:val="24"/>
              </w:rPr>
              <w:t xml:space="preserve"> </w:t>
            </w:r>
            <w:r w:rsidRPr="006418B4">
              <w:rPr>
                <w:rFonts w:ascii="Arial" w:eastAsia="Arial" w:hAnsi="Arial" w:cs="Arial"/>
                <w:sz w:val="24"/>
                <w:szCs w:val="24"/>
              </w:rPr>
              <w:t>including intramuscular, intradermal, or</w:t>
            </w:r>
            <w:r>
              <w:rPr>
                <w:rFonts w:ascii="Arial" w:eastAsia="Arial" w:hAnsi="Arial" w:cs="Arial"/>
                <w:sz w:val="24"/>
                <w:szCs w:val="24"/>
              </w:rPr>
              <w:t xml:space="preserve"> </w:t>
            </w:r>
            <w:r w:rsidRPr="006418B4">
              <w:rPr>
                <w:rFonts w:ascii="Arial" w:eastAsia="Arial" w:hAnsi="Arial" w:cs="Arial"/>
                <w:sz w:val="24"/>
                <w:szCs w:val="24"/>
              </w:rPr>
              <w:t>subcutaneous injection, dermal/percutaneous scarification, intranasal or</w:t>
            </w:r>
          </w:p>
          <w:p w14:paraId="3C676922" w14:textId="490A695B" w:rsidR="006418B4" w:rsidRDefault="006418B4" w:rsidP="006418B4">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sidRPr="006418B4">
              <w:rPr>
                <w:rFonts w:ascii="Arial" w:eastAsia="Arial" w:hAnsi="Arial" w:cs="Arial"/>
                <w:sz w:val="24"/>
                <w:szCs w:val="24"/>
              </w:rPr>
              <w:t>oral administration</w:t>
            </w:r>
            <w:r>
              <w:rPr>
                <w:rFonts w:ascii="Arial" w:eastAsia="Arial" w:hAnsi="Arial" w:cs="Arial"/>
                <w:sz w:val="24"/>
                <w:szCs w:val="24"/>
              </w:rPr>
              <w:t xml:space="preserve"> (</w:t>
            </w:r>
            <w:r w:rsidRPr="00994DFD">
              <w:rPr>
                <w:rFonts w:ascii="Arial" w:eastAsia="Arial" w:hAnsi="Arial" w:cs="Arial"/>
                <w:i/>
                <w:iCs/>
                <w:sz w:val="24"/>
                <w:szCs w:val="24"/>
              </w:rPr>
              <w:t>see declaration for additional requirements</w:t>
            </w:r>
            <w:r>
              <w:rPr>
                <w:rFonts w:ascii="Arial" w:eastAsia="Arial" w:hAnsi="Arial" w:cs="Arial"/>
                <w:sz w:val="24"/>
                <w:szCs w:val="24"/>
              </w:rPr>
              <w:t>).</w:t>
            </w:r>
          </w:p>
          <w:p w14:paraId="65CE55C2" w14:textId="33DB39F8" w:rsidR="006418B4" w:rsidRPr="006418B4" w:rsidRDefault="006418B4" w:rsidP="006418B4">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Pr>
                <w:rFonts w:ascii="Arial" w:eastAsia="Arial" w:hAnsi="Arial" w:cs="Arial"/>
                <w:sz w:val="24"/>
                <w:szCs w:val="24"/>
              </w:rPr>
              <w:lastRenderedPageBreak/>
              <w:t xml:space="preserve">(3) </w:t>
            </w:r>
            <w:r w:rsidRPr="006418B4">
              <w:rPr>
                <w:rFonts w:ascii="Arial" w:eastAsia="Arial" w:hAnsi="Arial" w:cs="Arial"/>
                <w:sz w:val="24"/>
                <w:szCs w:val="24"/>
              </w:rPr>
              <w:t>Any dental, advanced or</w:t>
            </w:r>
            <w:r>
              <w:rPr>
                <w:rFonts w:ascii="Arial" w:eastAsia="Arial" w:hAnsi="Arial" w:cs="Arial"/>
                <w:sz w:val="24"/>
                <w:szCs w:val="24"/>
              </w:rPr>
              <w:t xml:space="preserve"> </w:t>
            </w:r>
            <w:r w:rsidRPr="006418B4">
              <w:rPr>
                <w:rFonts w:ascii="Arial" w:eastAsia="Arial" w:hAnsi="Arial" w:cs="Arial"/>
                <w:sz w:val="24"/>
                <w:szCs w:val="24"/>
              </w:rPr>
              <w:t>intermediate emergency medical</w:t>
            </w:r>
            <w:r>
              <w:rPr>
                <w:rFonts w:ascii="Arial" w:eastAsia="Arial" w:hAnsi="Arial" w:cs="Arial"/>
                <w:sz w:val="24"/>
                <w:szCs w:val="24"/>
              </w:rPr>
              <w:t xml:space="preserve"> </w:t>
            </w:r>
            <w:r w:rsidRPr="006418B4">
              <w:rPr>
                <w:rFonts w:ascii="Arial" w:eastAsia="Arial" w:hAnsi="Arial" w:cs="Arial"/>
                <w:sz w:val="24"/>
                <w:szCs w:val="24"/>
              </w:rPr>
              <w:t>technician, medical, licensed or</w:t>
            </w:r>
            <w:r>
              <w:rPr>
                <w:rFonts w:ascii="Arial" w:eastAsia="Arial" w:hAnsi="Arial" w:cs="Arial"/>
                <w:sz w:val="24"/>
                <w:szCs w:val="24"/>
              </w:rPr>
              <w:t xml:space="preserve"> </w:t>
            </w:r>
            <w:r w:rsidRPr="006418B4">
              <w:rPr>
                <w:rFonts w:ascii="Arial" w:eastAsia="Arial" w:hAnsi="Arial" w:cs="Arial"/>
                <w:sz w:val="24"/>
                <w:szCs w:val="24"/>
              </w:rPr>
              <w:t>certified professional midwife, nursing,</w:t>
            </w:r>
            <w:r>
              <w:rPr>
                <w:rFonts w:ascii="Arial" w:eastAsia="Arial" w:hAnsi="Arial" w:cs="Arial"/>
                <w:sz w:val="24"/>
                <w:szCs w:val="24"/>
              </w:rPr>
              <w:t xml:space="preserve"> </w:t>
            </w:r>
            <w:r w:rsidRPr="006418B4">
              <w:rPr>
                <w:rFonts w:ascii="Arial" w:eastAsia="Arial" w:hAnsi="Arial" w:cs="Arial"/>
                <w:sz w:val="24"/>
                <w:szCs w:val="24"/>
              </w:rPr>
              <w:t>optometry, paramedic, pharmacy,</w:t>
            </w:r>
            <w:r>
              <w:rPr>
                <w:rFonts w:ascii="Arial" w:eastAsia="Arial" w:hAnsi="Arial" w:cs="Arial"/>
                <w:sz w:val="24"/>
                <w:szCs w:val="24"/>
              </w:rPr>
              <w:t xml:space="preserve"> </w:t>
            </w:r>
            <w:r w:rsidRPr="006418B4">
              <w:rPr>
                <w:rFonts w:ascii="Arial" w:eastAsia="Arial" w:hAnsi="Arial" w:cs="Arial"/>
                <w:sz w:val="24"/>
                <w:szCs w:val="24"/>
              </w:rPr>
              <w:t>pharmacy intern, physician assistant,</w:t>
            </w:r>
            <w:r>
              <w:rPr>
                <w:rFonts w:ascii="Arial" w:eastAsia="Arial" w:hAnsi="Arial" w:cs="Arial"/>
                <w:sz w:val="24"/>
                <w:szCs w:val="24"/>
              </w:rPr>
              <w:t xml:space="preserve"> </w:t>
            </w:r>
            <w:r w:rsidRPr="006418B4">
              <w:rPr>
                <w:rFonts w:ascii="Arial" w:eastAsia="Arial" w:hAnsi="Arial" w:cs="Arial"/>
                <w:sz w:val="24"/>
                <w:szCs w:val="24"/>
              </w:rPr>
              <w:t>podiatry, respiratory therapist, or</w:t>
            </w:r>
            <w:r>
              <w:rPr>
                <w:rFonts w:ascii="Arial" w:eastAsia="Arial" w:hAnsi="Arial" w:cs="Arial"/>
                <w:sz w:val="24"/>
                <w:szCs w:val="24"/>
              </w:rPr>
              <w:t xml:space="preserve"> </w:t>
            </w:r>
            <w:r w:rsidRPr="006418B4">
              <w:rPr>
                <w:rFonts w:ascii="Arial" w:eastAsia="Arial" w:hAnsi="Arial" w:cs="Arial"/>
                <w:sz w:val="24"/>
                <w:szCs w:val="24"/>
              </w:rPr>
              <w:t>veterinary student with appropriate</w:t>
            </w:r>
            <w:r>
              <w:rPr>
                <w:rFonts w:ascii="Arial" w:eastAsia="Arial" w:hAnsi="Arial" w:cs="Arial"/>
                <w:sz w:val="24"/>
                <w:szCs w:val="24"/>
              </w:rPr>
              <w:t xml:space="preserve"> </w:t>
            </w:r>
            <w:r w:rsidRPr="006418B4">
              <w:rPr>
                <w:rFonts w:ascii="Arial" w:eastAsia="Arial" w:hAnsi="Arial" w:cs="Arial"/>
                <w:sz w:val="24"/>
                <w:szCs w:val="24"/>
              </w:rPr>
              <w:t>training in administering vaccines or</w:t>
            </w:r>
            <w:r>
              <w:rPr>
                <w:rFonts w:ascii="Arial" w:eastAsia="Arial" w:hAnsi="Arial" w:cs="Arial"/>
                <w:sz w:val="24"/>
                <w:szCs w:val="24"/>
              </w:rPr>
              <w:t xml:space="preserve"> </w:t>
            </w:r>
            <w:r w:rsidRPr="006418B4">
              <w:rPr>
                <w:rFonts w:ascii="Arial" w:eastAsia="Arial" w:hAnsi="Arial" w:cs="Arial"/>
                <w:sz w:val="24"/>
                <w:szCs w:val="24"/>
              </w:rPr>
              <w:t>therapeutics as determined by their</w:t>
            </w:r>
            <w:r>
              <w:rPr>
                <w:rFonts w:ascii="Arial" w:eastAsia="Arial" w:hAnsi="Arial" w:cs="Arial"/>
                <w:sz w:val="24"/>
                <w:szCs w:val="24"/>
              </w:rPr>
              <w:t xml:space="preserve"> </w:t>
            </w:r>
            <w:r w:rsidRPr="006418B4">
              <w:rPr>
                <w:rFonts w:ascii="Arial" w:eastAsia="Arial" w:hAnsi="Arial" w:cs="Arial"/>
                <w:sz w:val="24"/>
                <w:szCs w:val="24"/>
              </w:rPr>
              <w:t>school or training program and</w:t>
            </w:r>
            <w:r>
              <w:rPr>
                <w:rFonts w:ascii="Arial" w:eastAsia="Arial" w:hAnsi="Arial" w:cs="Arial"/>
                <w:sz w:val="24"/>
                <w:szCs w:val="24"/>
              </w:rPr>
              <w:t xml:space="preserve"> </w:t>
            </w:r>
            <w:r w:rsidRPr="006418B4">
              <w:rPr>
                <w:rFonts w:ascii="Arial" w:eastAsia="Arial" w:hAnsi="Arial" w:cs="Arial"/>
                <w:sz w:val="24"/>
                <w:szCs w:val="24"/>
              </w:rPr>
              <w:t>supervision by a currently practicing</w:t>
            </w:r>
            <w:r>
              <w:rPr>
                <w:rFonts w:ascii="Arial" w:eastAsia="Arial" w:hAnsi="Arial" w:cs="Arial"/>
                <w:sz w:val="24"/>
                <w:szCs w:val="24"/>
              </w:rPr>
              <w:t xml:space="preserve"> </w:t>
            </w:r>
            <w:r w:rsidRPr="006418B4">
              <w:rPr>
                <w:rFonts w:ascii="Arial" w:eastAsia="Arial" w:hAnsi="Arial" w:cs="Arial"/>
                <w:sz w:val="24"/>
                <w:szCs w:val="24"/>
              </w:rPr>
              <w:t>healthcare professional, experienced in</w:t>
            </w:r>
            <w:r>
              <w:rPr>
                <w:rFonts w:ascii="Arial" w:eastAsia="Arial" w:hAnsi="Arial" w:cs="Arial"/>
                <w:sz w:val="24"/>
                <w:szCs w:val="24"/>
              </w:rPr>
              <w:t xml:space="preserve"> </w:t>
            </w:r>
            <w:r w:rsidRPr="006418B4">
              <w:rPr>
                <w:rFonts w:ascii="Arial" w:eastAsia="Arial" w:hAnsi="Arial" w:cs="Arial"/>
                <w:sz w:val="24"/>
                <w:szCs w:val="24"/>
              </w:rPr>
              <w:t>the route of administration and to the</w:t>
            </w:r>
          </w:p>
          <w:p w14:paraId="639B9163" w14:textId="20A6DD84" w:rsidR="006418B4" w:rsidRPr="006418B4" w:rsidRDefault="006418B4" w:rsidP="006418B4">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sidRPr="006418B4">
              <w:rPr>
                <w:rFonts w:ascii="Arial" w:eastAsia="Arial" w:hAnsi="Arial" w:cs="Arial"/>
                <w:sz w:val="24"/>
                <w:szCs w:val="24"/>
              </w:rPr>
              <w:t>population specified in the relevant</w:t>
            </w:r>
            <w:r>
              <w:rPr>
                <w:rFonts w:ascii="Arial" w:eastAsia="Arial" w:hAnsi="Arial" w:cs="Arial"/>
                <w:sz w:val="24"/>
                <w:szCs w:val="24"/>
              </w:rPr>
              <w:t xml:space="preserve"> </w:t>
            </w:r>
            <w:r w:rsidRPr="006418B4">
              <w:rPr>
                <w:rFonts w:ascii="Arial" w:eastAsia="Arial" w:hAnsi="Arial" w:cs="Arial"/>
                <w:sz w:val="24"/>
                <w:szCs w:val="24"/>
              </w:rPr>
              <w:t>FDA license, approval, or authorization,</w:t>
            </w:r>
          </w:p>
          <w:p w14:paraId="4F351332" w14:textId="52A63ED8" w:rsidR="006418B4" w:rsidRPr="006418B4" w:rsidRDefault="006418B4" w:rsidP="006418B4">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sidRPr="006418B4">
              <w:rPr>
                <w:rFonts w:ascii="Arial" w:eastAsia="Arial" w:hAnsi="Arial" w:cs="Arial"/>
                <w:sz w:val="24"/>
                <w:szCs w:val="24"/>
              </w:rPr>
              <w:t>who administers smallpox (variola</w:t>
            </w:r>
            <w:r>
              <w:rPr>
                <w:rFonts w:ascii="Arial" w:eastAsia="Arial" w:hAnsi="Arial" w:cs="Arial"/>
                <w:sz w:val="24"/>
                <w:szCs w:val="24"/>
              </w:rPr>
              <w:t xml:space="preserve"> </w:t>
            </w:r>
            <w:r w:rsidRPr="006418B4">
              <w:rPr>
                <w:rFonts w:ascii="Arial" w:eastAsia="Arial" w:hAnsi="Arial" w:cs="Arial"/>
                <w:sz w:val="24"/>
                <w:szCs w:val="24"/>
              </w:rPr>
              <w:t>virus), monkeypox virus, or other</w:t>
            </w:r>
          </w:p>
          <w:p w14:paraId="18C412FF" w14:textId="77777777" w:rsidR="006418B4" w:rsidRDefault="006418B4" w:rsidP="006418B4">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sidRPr="006418B4">
              <w:rPr>
                <w:rFonts w:ascii="Arial" w:eastAsia="Arial" w:hAnsi="Arial" w:cs="Arial"/>
                <w:sz w:val="24"/>
                <w:szCs w:val="24"/>
              </w:rPr>
              <w:t>orthopoxvirus vaccines or therapeutics</w:t>
            </w:r>
            <w:r>
              <w:rPr>
                <w:rFonts w:ascii="Arial" w:eastAsia="Arial" w:hAnsi="Arial" w:cs="Arial"/>
                <w:sz w:val="24"/>
                <w:szCs w:val="24"/>
              </w:rPr>
              <w:t xml:space="preserve"> </w:t>
            </w:r>
            <w:r w:rsidRPr="006418B4">
              <w:rPr>
                <w:rFonts w:ascii="Arial" w:eastAsia="Arial" w:hAnsi="Arial" w:cs="Arial"/>
                <w:sz w:val="24"/>
                <w:szCs w:val="24"/>
              </w:rPr>
              <w:t>by the route of administration and to the</w:t>
            </w:r>
            <w:r>
              <w:rPr>
                <w:rFonts w:ascii="Arial" w:eastAsia="Arial" w:hAnsi="Arial" w:cs="Arial"/>
                <w:sz w:val="24"/>
                <w:szCs w:val="24"/>
              </w:rPr>
              <w:t xml:space="preserve"> </w:t>
            </w:r>
            <w:r w:rsidRPr="006418B4">
              <w:rPr>
                <w:rFonts w:ascii="Arial" w:eastAsia="Arial" w:hAnsi="Arial" w:cs="Arial"/>
                <w:sz w:val="24"/>
                <w:szCs w:val="24"/>
              </w:rPr>
              <w:t>population specified in the relevant</w:t>
            </w:r>
            <w:r>
              <w:rPr>
                <w:rFonts w:ascii="Arial" w:eastAsia="Arial" w:hAnsi="Arial" w:cs="Arial"/>
                <w:sz w:val="24"/>
                <w:szCs w:val="24"/>
              </w:rPr>
              <w:t xml:space="preserve"> </w:t>
            </w:r>
            <w:r w:rsidRPr="006418B4">
              <w:rPr>
                <w:rFonts w:ascii="Arial" w:eastAsia="Arial" w:hAnsi="Arial" w:cs="Arial"/>
                <w:sz w:val="24"/>
                <w:szCs w:val="24"/>
              </w:rPr>
              <w:t>FDA license, approval, or authorization,</w:t>
            </w:r>
            <w:r>
              <w:rPr>
                <w:rFonts w:ascii="Arial" w:eastAsia="Arial" w:hAnsi="Arial" w:cs="Arial"/>
                <w:sz w:val="24"/>
                <w:szCs w:val="24"/>
              </w:rPr>
              <w:t xml:space="preserve"> </w:t>
            </w:r>
            <w:r w:rsidRPr="006418B4">
              <w:rPr>
                <w:rFonts w:ascii="Arial" w:eastAsia="Arial" w:hAnsi="Arial" w:cs="Arial"/>
                <w:sz w:val="24"/>
                <w:szCs w:val="24"/>
              </w:rPr>
              <w:t>including intramuscular, intradermal, or</w:t>
            </w:r>
            <w:r>
              <w:rPr>
                <w:rFonts w:ascii="Arial" w:eastAsia="Arial" w:hAnsi="Arial" w:cs="Arial"/>
                <w:sz w:val="24"/>
                <w:szCs w:val="24"/>
              </w:rPr>
              <w:t xml:space="preserve"> </w:t>
            </w:r>
            <w:r w:rsidRPr="006418B4">
              <w:rPr>
                <w:rFonts w:ascii="Arial" w:eastAsia="Arial" w:hAnsi="Arial" w:cs="Arial"/>
                <w:sz w:val="24"/>
                <w:szCs w:val="24"/>
              </w:rPr>
              <w:t>subcutaneous injection, dermal/percutaneous scarification, intranasal or</w:t>
            </w:r>
            <w:r>
              <w:rPr>
                <w:rFonts w:ascii="Arial" w:eastAsia="Arial" w:hAnsi="Arial" w:cs="Arial"/>
                <w:sz w:val="24"/>
                <w:szCs w:val="24"/>
              </w:rPr>
              <w:t xml:space="preserve"> </w:t>
            </w:r>
            <w:r w:rsidRPr="006418B4">
              <w:rPr>
                <w:rFonts w:ascii="Arial" w:eastAsia="Arial" w:hAnsi="Arial" w:cs="Arial"/>
                <w:sz w:val="24"/>
                <w:szCs w:val="24"/>
              </w:rPr>
              <w:t>oral administration</w:t>
            </w:r>
            <w:r>
              <w:rPr>
                <w:rFonts w:ascii="Arial" w:eastAsia="Arial" w:hAnsi="Arial" w:cs="Arial"/>
                <w:sz w:val="24"/>
                <w:szCs w:val="24"/>
              </w:rPr>
              <w:t>. (</w:t>
            </w:r>
            <w:r w:rsidRPr="00994DFD">
              <w:rPr>
                <w:rFonts w:ascii="Arial" w:eastAsia="Arial" w:hAnsi="Arial" w:cs="Arial"/>
                <w:i/>
                <w:iCs/>
                <w:sz w:val="24"/>
                <w:szCs w:val="24"/>
              </w:rPr>
              <w:t>See declaration for additional requirements</w:t>
            </w:r>
            <w:r>
              <w:rPr>
                <w:rFonts w:ascii="Arial" w:eastAsia="Arial" w:hAnsi="Arial" w:cs="Arial"/>
                <w:sz w:val="24"/>
                <w:szCs w:val="24"/>
              </w:rPr>
              <w:t>)</w:t>
            </w:r>
            <w:r w:rsidR="00806949">
              <w:rPr>
                <w:rFonts w:ascii="Arial" w:eastAsia="Arial" w:hAnsi="Arial" w:cs="Arial"/>
                <w:sz w:val="24"/>
                <w:szCs w:val="24"/>
              </w:rPr>
              <w:t>.</w:t>
            </w:r>
          </w:p>
          <w:p w14:paraId="3C1C1579" w14:textId="2511D9FD" w:rsidR="00806949" w:rsidRPr="00806949" w:rsidRDefault="00806949" w:rsidP="00806949">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Pr>
                <w:rFonts w:ascii="Arial" w:eastAsia="Arial" w:hAnsi="Arial" w:cs="Arial"/>
                <w:sz w:val="24"/>
                <w:szCs w:val="24"/>
              </w:rPr>
              <w:t xml:space="preserve">(4) </w:t>
            </w:r>
            <w:r w:rsidRPr="00806949">
              <w:rPr>
                <w:rFonts w:ascii="Arial" w:eastAsia="Arial" w:hAnsi="Arial" w:cs="Arial"/>
                <w:sz w:val="24"/>
                <w:szCs w:val="24"/>
              </w:rPr>
              <w:t>Any healthcare professional or</w:t>
            </w:r>
            <w:r>
              <w:rPr>
                <w:rFonts w:ascii="Arial" w:eastAsia="Arial" w:hAnsi="Arial" w:cs="Arial"/>
                <w:sz w:val="24"/>
                <w:szCs w:val="24"/>
              </w:rPr>
              <w:t xml:space="preserve"> </w:t>
            </w:r>
            <w:r w:rsidRPr="00806949">
              <w:rPr>
                <w:rFonts w:ascii="Arial" w:eastAsia="Arial" w:hAnsi="Arial" w:cs="Arial"/>
                <w:sz w:val="24"/>
                <w:szCs w:val="24"/>
              </w:rPr>
              <w:t>other individual who holds an active</w:t>
            </w:r>
          </w:p>
          <w:p w14:paraId="238A65CC" w14:textId="545C4029" w:rsidR="00806949" w:rsidRPr="00806949" w:rsidRDefault="00806949" w:rsidP="00806949">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sidRPr="00806949">
              <w:rPr>
                <w:rFonts w:ascii="Arial" w:eastAsia="Arial" w:hAnsi="Arial" w:cs="Arial"/>
                <w:sz w:val="24"/>
                <w:szCs w:val="24"/>
              </w:rPr>
              <w:t>license or certification permitting the</w:t>
            </w:r>
            <w:r>
              <w:rPr>
                <w:rFonts w:ascii="Arial" w:eastAsia="Arial" w:hAnsi="Arial" w:cs="Arial"/>
                <w:sz w:val="24"/>
                <w:szCs w:val="24"/>
              </w:rPr>
              <w:t xml:space="preserve"> </w:t>
            </w:r>
            <w:r w:rsidRPr="00806949">
              <w:rPr>
                <w:rFonts w:ascii="Arial" w:eastAsia="Arial" w:hAnsi="Arial" w:cs="Arial"/>
                <w:sz w:val="24"/>
                <w:szCs w:val="24"/>
              </w:rPr>
              <w:t>person to prescribe, dispense, or</w:t>
            </w:r>
          </w:p>
          <w:p w14:paraId="5605E225" w14:textId="63C48FF9" w:rsidR="00806949" w:rsidRPr="00806949" w:rsidRDefault="00806949" w:rsidP="00806949">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sidRPr="00806949">
              <w:rPr>
                <w:rFonts w:ascii="Arial" w:eastAsia="Arial" w:hAnsi="Arial" w:cs="Arial"/>
                <w:sz w:val="24"/>
                <w:szCs w:val="24"/>
              </w:rPr>
              <w:t>administer vaccines or therapeutics</w:t>
            </w:r>
            <w:r>
              <w:rPr>
                <w:rFonts w:ascii="Arial" w:eastAsia="Arial" w:hAnsi="Arial" w:cs="Arial"/>
                <w:sz w:val="24"/>
                <w:szCs w:val="24"/>
              </w:rPr>
              <w:t xml:space="preserve"> </w:t>
            </w:r>
            <w:r w:rsidRPr="00806949">
              <w:rPr>
                <w:rFonts w:ascii="Arial" w:eastAsia="Arial" w:hAnsi="Arial" w:cs="Arial"/>
                <w:sz w:val="24"/>
                <w:szCs w:val="24"/>
              </w:rPr>
              <w:t>under the law of any State as of the</w:t>
            </w:r>
          </w:p>
          <w:p w14:paraId="2E1FA91A" w14:textId="39712A1E" w:rsidR="00806949" w:rsidRPr="00806949" w:rsidRDefault="00806949" w:rsidP="00806949">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sidRPr="00806949">
              <w:rPr>
                <w:rFonts w:ascii="Arial" w:eastAsia="Arial" w:hAnsi="Arial" w:cs="Arial"/>
                <w:sz w:val="24"/>
                <w:szCs w:val="24"/>
              </w:rPr>
              <w:t>effective date of this amendment, or</w:t>
            </w:r>
            <w:r>
              <w:rPr>
                <w:rFonts w:ascii="Arial" w:eastAsia="Arial" w:hAnsi="Arial" w:cs="Arial"/>
                <w:sz w:val="24"/>
                <w:szCs w:val="24"/>
              </w:rPr>
              <w:t xml:space="preserve"> </w:t>
            </w:r>
            <w:r w:rsidRPr="00806949">
              <w:rPr>
                <w:rFonts w:ascii="Arial" w:eastAsia="Arial" w:hAnsi="Arial" w:cs="Arial"/>
                <w:sz w:val="24"/>
                <w:szCs w:val="24"/>
              </w:rPr>
              <w:t>healthcare professional as authorized</w:t>
            </w:r>
          </w:p>
          <w:p w14:paraId="66291039" w14:textId="21420BA6" w:rsidR="00806949" w:rsidRPr="00806949" w:rsidRDefault="00806949" w:rsidP="00806949">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sidRPr="00806949">
              <w:rPr>
                <w:rFonts w:ascii="Arial" w:eastAsia="Arial" w:hAnsi="Arial" w:cs="Arial"/>
                <w:sz w:val="24"/>
                <w:szCs w:val="24"/>
              </w:rPr>
              <w:t>under the sections V(d)(1) and (2) of th</w:t>
            </w:r>
            <w:r>
              <w:rPr>
                <w:rFonts w:ascii="Arial" w:eastAsia="Arial" w:hAnsi="Arial" w:cs="Arial"/>
                <w:sz w:val="24"/>
                <w:szCs w:val="24"/>
              </w:rPr>
              <w:t xml:space="preserve">e PREP Act </w:t>
            </w:r>
            <w:r w:rsidRPr="00806949">
              <w:rPr>
                <w:rFonts w:ascii="Arial" w:eastAsia="Arial" w:hAnsi="Arial" w:cs="Arial"/>
                <w:sz w:val="24"/>
                <w:szCs w:val="24"/>
              </w:rPr>
              <w:t>declaration, who, following a declared</w:t>
            </w:r>
            <w:r>
              <w:rPr>
                <w:rFonts w:ascii="Arial" w:eastAsia="Arial" w:hAnsi="Arial" w:cs="Arial"/>
                <w:sz w:val="24"/>
                <w:szCs w:val="24"/>
              </w:rPr>
              <w:t xml:space="preserve"> </w:t>
            </w:r>
            <w:r w:rsidRPr="00806949">
              <w:rPr>
                <w:rFonts w:ascii="Arial" w:eastAsia="Arial" w:hAnsi="Arial" w:cs="Arial"/>
                <w:sz w:val="24"/>
                <w:szCs w:val="24"/>
              </w:rPr>
              <w:t>emergency as defined in section VII of</w:t>
            </w:r>
            <w:r>
              <w:rPr>
                <w:rFonts w:ascii="Arial" w:eastAsia="Arial" w:hAnsi="Arial" w:cs="Arial"/>
                <w:sz w:val="24"/>
                <w:szCs w:val="24"/>
              </w:rPr>
              <w:t xml:space="preserve"> the PREP Act </w:t>
            </w:r>
            <w:r w:rsidRPr="00806949">
              <w:rPr>
                <w:rFonts w:ascii="Arial" w:eastAsia="Arial" w:hAnsi="Arial" w:cs="Arial"/>
                <w:sz w:val="24"/>
                <w:szCs w:val="24"/>
              </w:rPr>
              <w:t>declaration, prescribes, dispenses,</w:t>
            </w:r>
            <w:r>
              <w:rPr>
                <w:rFonts w:ascii="Arial" w:eastAsia="Arial" w:hAnsi="Arial" w:cs="Arial"/>
                <w:sz w:val="24"/>
                <w:szCs w:val="24"/>
              </w:rPr>
              <w:t xml:space="preserve"> </w:t>
            </w:r>
            <w:r w:rsidRPr="00806949">
              <w:rPr>
                <w:rFonts w:ascii="Arial" w:eastAsia="Arial" w:hAnsi="Arial" w:cs="Arial"/>
                <w:sz w:val="24"/>
                <w:szCs w:val="24"/>
              </w:rPr>
              <w:t>or administers smallpox (variola virus),</w:t>
            </w:r>
          </w:p>
          <w:p w14:paraId="11F60999" w14:textId="675CA219" w:rsidR="00806949" w:rsidRPr="00806949" w:rsidRDefault="00806949" w:rsidP="00806949">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sidRPr="00806949">
              <w:rPr>
                <w:rFonts w:ascii="Arial" w:eastAsia="Arial" w:hAnsi="Arial" w:cs="Arial"/>
                <w:sz w:val="24"/>
                <w:szCs w:val="24"/>
              </w:rPr>
              <w:t>monkeypox virus, or other</w:t>
            </w:r>
            <w:r>
              <w:rPr>
                <w:rFonts w:ascii="Arial" w:eastAsia="Arial" w:hAnsi="Arial" w:cs="Arial"/>
                <w:sz w:val="24"/>
                <w:szCs w:val="24"/>
              </w:rPr>
              <w:t xml:space="preserve"> </w:t>
            </w:r>
            <w:r w:rsidRPr="00806949">
              <w:rPr>
                <w:rFonts w:ascii="Arial" w:eastAsia="Arial" w:hAnsi="Arial" w:cs="Arial"/>
                <w:sz w:val="24"/>
                <w:szCs w:val="24"/>
              </w:rPr>
              <w:t>orthopoxvirus vaccines or therapeutics</w:t>
            </w:r>
            <w:r>
              <w:rPr>
                <w:rFonts w:ascii="Arial" w:eastAsia="Arial" w:hAnsi="Arial" w:cs="Arial"/>
                <w:sz w:val="24"/>
                <w:szCs w:val="24"/>
              </w:rPr>
              <w:t xml:space="preserve"> </w:t>
            </w:r>
            <w:r w:rsidRPr="00806949">
              <w:rPr>
                <w:rFonts w:ascii="Arial" w:eastAsia="Arial" w:hAnsi="Arial" w:cs="Arial"/>
                <w:sz w:val="24"/>
                <w:szCs w:val="24"/>
              </w:rPr>
              <w:t>by the route of administration and to the</w:t>
            </w:r>
            <w:r>
              <w:rPr>
                <w:rFonts w:ascii="Arial" w:eastAsia="Arial" w:hAnsi="Arial" w:cs="Arial"/>
                <w:sz w:val="24"/>
                <w:szCs w:val="24"/>
              </w:rPr>
              <w:t xml:space="preserve"> </w:t>
            </w:r>
            <w:r w:rsidRPr="00806949">
              <w:rPr>
                <w:rFonts w:ascii="Arial" w:eastAsia="Arial" w:hAnsi="Arial" w:cs="Arial"/>
                <w:sz w:val="24"/>
                <w:szCs w:val="24"/>
              </w:rPr>
              <w:t>population specified in the relevant</w:t>
            </w:r>
            <w:r>
              <w:rPr>
                <w:rFonts w:ascii="Arial" w:eastAsia="Arial" w:hAnsi="Arial" w:cs="Arial"/>
                <w:sz w:val="24"/>
                <w:szCs w:val="24"/>
              </w:rPr>
              <w:t xml:space="preserve"> </w:t>
            </w:r>
            <w:r w:rsidRPr="00806949">
              <w:rPr>
                <w:rFonts w:ascii="Arial" w:eastAsia="Arial" w:hAnsi="Arial" w:cs="Arial"/>
                <w:sz w:val="24"/>
                <w:szCs w:val="24"/>
              </w:rPr>
              <w:t>FDA license, approval, or authorization,</w:t>
            </w:r>
            <w:r>
              <w:rPr>
                <w:rFonts w:ascii="Arial" w:eastAsia="Arial" w:hAnsi="Arial" w:cs="Arial"/>
                <w:sz w:val="24"/>
                <w:szCs w:val="24"/>
              </w:rPr>
              <w:t xml:space="preserve"> </w:t>
            </w:r>
            <w:r w:rsidRPr="00806949">
              <w:rPr>
                <w:rFonts w:ascii="Arial" w:eastAsia="Arial" w:hAnsi="Arial" w:cs="Arial"/>
                <w:sz w:val="24"/>
                <w:szCs w:val="24"/>
              </w:rPr>
              <w:t>including intramuscular, intradermal, or</w:t>
            </w:r>
          </w:p>
          <w:p w14:paraId="369EC049" w14:textId="03531ED2" w:rsidR="00806949" w:rsidRPr="00806949" w:rsidRDefault="00806949" w:rsidP="00806949">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sidRPr="00806949">
              <w:rPr>
                <w:rFonts w:ascii="Arial" w:eastAsia="Arial" w:hAnsi="Arial" w:cs="Arial"/>
                <w:sz w:val="24"/>
                <w:szCs w:val="24"/>
              </w:rPr>
              <w:t>subcutaneous injection, dermal/percutaneous scarification, intranasal or</w:t>
            </w:r>
          </w:p>
          <w:p w14:paraId="7E6D6E3E" w14:textId="77777777" w:rsidR="00806949" w:rsidRDefault="00806949" w:rsidP="00806949">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sidRPr="00806949">
              <w:rPr>
                <w:rFonts w:ascii="Arial" w:eastAsia="Arial" w:hAnsi="Arial" w:cs="Arial"/>
                <w:sz w:val="24"/>
                <w:szCs w:val="24"/>
              </w:rPr>
              <w:t>oral administration</w:t>
            </w:r>
            <w:r>
              <w:rPr>
                <w:rFonts w:ascii="Arial" w:eastAsia="Arial" w:hAnsi="Arial" w:cs="Arial"/>
                <w:sz w:val="24"/>
                <w:szCs w:val="24"/>
              </w:rPr>
              <w:t>.  (</w:t>
            </w:r>
            <w:r w:rsidRPr="00994DFD">
              <w:rPr>
                <w:rFonts w:ascii="Arial" w:eastAsia="Arial" w:hAnsi="Arial" w:cs="Arial"/>
                <w:i/>
                <w:iCs/>
                <w:sz w:val="24"/>
                <w:szCs w:val="24"/>
              </w:rPr>
              <w:t>See declaration for additional requirements</w:t>
            </w:r>
            <w:r>
              <w:rPr>
                <w:rFonts w:ascii="Arial" w:eastAsia="Arial" w:hAnsi="Arial" w:cs="Arial"/>
                <w:sz w:val="24"/>
                <w:szCs w:val="24"/>
              </w:rPr>
              <w:t>)</w:t>
            </w:r>
          </w:p>
          <w:p w14:paraId="092995AB" w14:textId="416CE4A5" w:rsidR="00806949" w:rsidRDefault="00806949" w:rsidP="00806949">
            <w:pPr>
              <w:pStyle w:val="ListParagraph"/>
              <w:widowControl/>
              <w:shd w:val="clear" w:color="auto" w:fill="FFFFFF" w:themeFill="background1"/>
              <w:autoSpaceDE/>
              <w:autoSpaceDN/>
              <w:spacing w:after="160" w:line="252" w:lineRule="auto"/>
              <w:contextualSpacing/>
              <w:rPr>
                <w:rFonts w:ascii="Arial" w:eastAsia="Arial" w:hAnsi="Arial" w:cs="Arial"/>
                <w:sz w:val="24"/>
                <w:szCs w:val="24"/>
              </w:rPr>
            </w:pPr>
            <w:r>
              <w:rPr>
                <w:rFonts w:ascii="Arial" w:eastAsia="Arial" w:hAnsi="Arial" w:cs="Arial"/>
                <w:sz w:val="24"/>
                <w:szCs w:val="24"/>
              </w:rPr>
              <w:t>(5) National Guard.</w:t>
            </w:r>
          </w:p>
        </w:tc>
      </w:tr>
    </w:tbl>
    <w:p w14:paraId="7AA96CC0" w14:textId="77777777" w:rsidR="00A7666F" w:rsidRPr="005F55EF" w:rsidRDefault="00A7666F" w:rsidP="00CD1C77">
      <w:pPr>
        <w:rPr>
          <w:rFonts w:ascii="Arial" w:hAnsi="Arial" w:cs="Arial"/>
          <w:sz w:val="24"/>
          <w:szCs w:val="24"/>
        </w:rPr>
      </w:pPr>
    </w:p>
    <w:sectPr w:rsidR="00A7666F" w:rsidRPr="005F55EF" w:rsidSect="00BD0910">
      <w:headerReference w:type="default" r:id="rId12"/>
      <w:footerReference w:type="default" r:id="rId13"/>
      <w:type w:val="continuous"/>
      <w:pgSz w:w="15840" w:h="12240" w:orient="landscape"/>
      <w:pgMar w:top="1440" w:right="619" w:bottom="547" w:left="475"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362A" w14:textId="77777777" w:rsidR="0023442C" w:rsidRDefault="0023442C">
      <w:r>
        <w:separator/>
      </w:r>
    </w:p>
  </w:endnote>
  <w:endnote w:type="continuationSeparator" w:id="0">
    <w:p w14:paraId="080967F7" w14:textId="77777777" w:rsidR="0023442C" w:rsidRDefault="0023442C">
      <w:r>
        <w:continuationSeparator/>
      </w:r>
    </w:p>
  </w:endnote>
  <w:endnote w:type="continuationNotice" w:id="1">
    <w:p w14:paraId="75B2A8D2" w14:textId="77777777" w:rsidR="0023442C" w:rsidRDefault="00234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B6C8" w14:textId="3AF4C353" w:rsidR="00FA2698" w:rsidRDefault="00FC3444">
    <w:pPr>
      <w:pStyle w:val="BodyText"/>
      <w:spacing w:line="14" w:lineRule="auto"/>
      <w:rPr>
        <w:b w:val="0"/>
        <w:sz w:val="20"/>
      </w:rPr>
    </w:pPr>
    <w:r>
      <w:rPr>
        <w:noProof/>
      </w:rPr>
      <mc:AlternateContent>
        <mc:Choice Requires="wps">
          <w:drawing>
            <wp:anchor distT="0" distB="0" distL="114300" distR="114300" simplePos="0" relativeHeight="251658241" behindDoc="1" locked="0" layoutInCell="1" allowOverlap="1" wp14:anchorId="5AF6159A" wp14:editId="612C4F6D">
              <wp:simplePos x="0" y="0"/>
              <wp:positionH relativeFrom="page">
                <wp:posOffset>9048750</wp:posOffset>
              </wp:positionH>
              <wp:positionV relativeFrom="bottomMargin">
                <wp:align>top</wp:align>
              </wp:positionV>
              <wp:extent cx="165100" cy="194310"/>
              <wp:effectExtent l="0" t="0" r="6350" b="1524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0788" w14:textId="77777777" w:rsidR="00FC3444" w:rsidRDefault="00FC3444" w:rsidP="00FC3444">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6159A" id="_x0000_t202" coordsize="21600,21600" o:spt="202" path="m,l,21600r21600,l21600,xe">
              <v:stroke joinstyle="miter"/>
              <v:path gradientshapeok="t" o:connecttype="rect"/>
            </v:shapetype>
            <v:shape id="docshape1" o:spid="_x0000_s1026" type="#_x0000_t202" style="position:absolute;margin-left:712.5pt;margin-top:0;width:13pt;height:15.3pt;z-index:-251658239;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" filled="f" stroked="f">
              <v:textbox inset="0,0,0,0">
                <w:txbxContent>
                  <w:p w14:paraId="3F730788" w14:textId="77777777" w:rsidR="00FC3444" w:rsidRDefault="00FC3444" w:rsidP="00FC3444">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4E58" w14:textId="77777777" w:rsidR="0023442C" w:rsidRDefault="0023442C">
      <w:r>
        <w:separator/>
      </w:r>
    </w:p>
  </w:footnote>
  <w:footnote w:type="continuationSeparator" w:id="0">
    <w:p w14:paraId="72D58E94" w14:textId="77777777" w:rsidR="0023442C" w:rsidRDefault="0023442C">
      <w:r>
        <w:continuationSeparator/>
      </w:r>
    </w:p>
  </w:footnote>
  <w:footnote w:type="continuationNotice" w:id="1">
    <w:p w14:paraId="716F7DC6" w14:textId="77777777" w:rsidR="0023442C" w:rsidRDefault="00234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2465" w14:textId="77777777" w:rsidR="00C65C59" w:rsidRDefault="00C65C59">
    <w:pPr>
      <w:pStyle w:val="BodyText"/>
      <w:spacing w:line="14" w:lineRule="auto"/>
      <w:rPr>
        <w:b w:val="0"/>
        <w:sz w:val="20"/>
      </w:rPr>
    </w:pPr>
  </w:p>
  <w:p w14:paraId="404A560A" w14:textId="35400A83" w:rsidR="00FA2698" w:rsidRDefault="00A7666F">
    <w:pPr>
      <w:pStyle w:val="BodyText"/>
      <w:spacing w:line="14" w:lineRule="auto"/>
      <w:rPr>
        <w:b w:val="0"/>
        <w:sz w:val="20"/>
      </w:rPr>
    </w:pPr>
    <w:r>
      <w:rPr>
        <w:noProof/>
      </w:rPr>
      <w:drawing>
        <wp:anchor distT="0" distB="0" distL="0" distR="0" simplePos="0" relativeHeight="251658240" behindDoc="1" locked="0" layoutInCell="1" allowOverlap="1" wp14:anchorId="1D561121" wp14:editId="7C665A78">
          <wp:simplePos x="0" y="0"/>
          <wp:positionH relativeFrom="page">
            <wp:posOffset>8282940</wp:posOffset>
          </wp:positionH>
          <wp:positionV relativeFrom="page">
            <wp:posOffset>457200</wp:posOffset>
          </wp:positionV>
          <wp:extent cx="861059" cy="3238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61059" cy="323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8F9"/>
    <w:multiLevelType w:val="hybridMultilevel"/>
    <w:tmpl w:val="C2FE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72D0F"/>
    <w:multiLevelType w:val="hybridMultilevel"/>
    <w:tmpl w:val="C154382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 w15:restartNumberingAfterBreak="0">
    <w:nsid w:val="509D53F4"/>
    <w:multiLevelType w:val="hybridMultilevel"/>
    <w:tmpl w:val="DB866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B51875"/>
    <w:multiLevelType w:val="hybridMultilevel"/>
    <w:tmpl w:val="DAD46FC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6D552D95"/>
    <w:multiLevelType w:val="hybridMultilevel"/>
    <w:tmpl w:val="C07AA1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98"/>
    <w:rsid w:val="0003030E"/>
    <w:rsid w:val="00035AD3"/>
    <w:rsid w:val="00040856"/>
    <w:rsid w:val="00043142"/>
    <w:rsid w:val="0006323A"/>
    <w:rsid w:val="000848EC"/>
    <w:rsid w:val="00085DA5"/>
    <w:rsid w:val="000967A4"/>
    <w:rsid w:val="000C08A8"/>
    <w:rsid w:val="000C1118"/>
    <w:rsid w:val="000D228F"/>
    <w:rsid w:val="000E1C5A"/>
    <w:rsid w:val="000E3286"/>
    <w:rsid w:val="000F2B11"/>
    <w:rsid w:val="000F7AE7"/>
    <w:rsid w:val="00115141"/>
    <w:rsid w:val="001211BE"/>
    <w:rsid w:val="00123ED2"/>
    <w:rsid w:val="00136828"/>
    <w:rsid w:val="0014628E"/>
    <w:rsid w:val="00151DC7"/>
    <w:rsid w:val="00153608"/>
    <w:rsid w:val="00154842"/>
    <w:rsid w:val="00162745"/>
    <w:rsid w:val="00183A91"/>
    <w:rsid w:val="001848F7"/>
    <w:rsid w:val="00186419"/>
    <w:rsid w:val="00190CB9"/>
    <w:rsid w:val="0019394A"/>
    <w:rsid w:val="001A3428"/>
    <w:rsid w:val="001C4E84"/>
    <w:rsid w:val="001C5ABB"/>
    <w:rsid w:val="001C77BF"/>
    <w:rsid w:val="001C7E4C"/>
    <w:rsid w:val="001D6F33"/>
    <w:rsid w:val="0023442C"/>
    <w:rsid w:val="00253260"/>
    <w:rsid w:val="00262301"/>
    <w:rsid w:val="00281BD4"/>
    <w:rsid w:val="002A1B23"/>
    <w:rsid w:val="002B28B5"/>
    <w:rsid w:val="002C6403"/>
    <w:rsid w:val="002D3B33"/>
    <w:rsid w:val="002E10A9"/>
    <w:rsid w:val="002E1CDC"/>
    <w:rsid w:val="002E206C"/>
    <w:rsid w:val="002E66E6"/>
    <w:rsid w:val="002F0E46"/>
    <w:rsid w:val="003054A9"/>
    <w:rsid w:val="003075BF"/>
    <w:rsid w:val="0031376F"/>
    <w:rsid w:val="003203C2"/>
    <w:rsid w:val="00361749"/>
    <w:rsid w:val="00361C38"/>
    <w:rsid w:val="0036507B"/>
    <w:rsid w:val="0037071B"/>
    <w:rsid w:val="00377707"/>
    <w:rsid w:val="00381132"/>
    <w:rsid w:val="00385D33"/>
    <w:rsid w:val="003968E5"/>
    <w:rsid w:val="003A0C44"/>
    <w:rsid w:val="003A5167"/>
    <w:rsid w:val="003C46E6"/>
    <w:rsid w:val="003D1243"/>
    <w:rsid w:val="003E32E4"/>
    <w:rsid w:val="003E3EF0"/>
    <w:rsid w:val="003E6BA9"/>
    <w:rsid w:val="004030B4"/>
    <w:rsid w:val="004067DA"/>
    <w:rsid w:val="00417837"/>
    <w:rsid w:val="00420C9D"/>
    <w:rsid w:val="00433ABB"/>
    <w:rsid w:val="00435BAA"/>
    <w:rsid w:val="0044135D"/>
    <w:rsid w:val="00441A3D"/>
    <w:rsid w:val="0045014B"/>
    <w:rsid w:val="004572DE"/>
    <w:rsid w:val="004617EC"/>
    <w:rsid w:val="004753D3"/>
    <w:rsid w:val="004C77E1"/>
    <w:rsid w:val="004D4FCF"/>
    <w:rsid w:val="004D58C3"/>
    <w:rsid w:val="004E76BF"/>
    <w:rsid w:val="004F52BF"/>
    <w:rsid w:val="005021E8"/>
    <w:rsid w:val="00505705"/>
    <w:rsid w:val="0051282D"/>
    <w:rsid w:val="00514765"/>
    <w:rsid w:val="00542074"/>
    <w:rsid w:val="0054293B"/>
    <w:rsid w:val="00544DAC"/>
    <w:rsid w:val="00547ED9"/>
    <w:rsid w:val="00553D16"/>
    <w:rsid w:val="00571A16"/>
    <w:rsid w:val="00582BA7"/>
    <w:rsid w:val="005B7A94"/>
    <w:rsid w:val="005C35E0"/>
    <w:rsid w:val="005C77B0"/>
    <w:rsid w:val="005D2409"/>
    <w:rsid w:val="005D4265"/>
    <w:rsid w:val="005D769F"/>
    <w:rsid w:val="005E497E"/>
    <w:rsid w:val="005E6025"/>
    <w:rsid w:val="005F0301"/>
    <w:rsid w:val="005F223F"/>
    <w:rsid w:val="005F3ECF"/>
    <w:rsid w:val="005F55EF"/>
    <w:rsid w:val="0060318A"/>
    <w:rsid w:val="00605DA7"/>
    <w:rsid w:val="00632171"/>
    <w:rsid w:val="00640577"/>
    <w:rsid w:val="006418B4"/>
    <w:rsid w:val="00642B0C"/>
    <w:rsid w:val="00654C07"/>
    <w:rsid w:val="006602A9"/>
    <w:rsid w:val="006603B3"/>
    <w:rsid w:val="00671D6D"/>
    <w:rsid w:val="00674B0C"/>
    <w:rsid w:val="00696BBF"/>
    <w:rsid w:val="00697027"/>
    <w:rsid w:val="006B2679"/>
    <w:rsid w:val="006B376D"/>
    <w:rsid w:val="006B7AB0"/>
    <w:rsid w:val="006C6991"/>
    <w:rsid w:val="006F0CC2"/>
    <w:rsid w:val="00707CE6"/>
    <w:rsid w:val="007141C1"/>
    <w:rsid w:val="00742596"/>
    <w:rsid w:val="007429CB"/>
    <w:rsid w:val="00742EB6"/>
    <w:rsid w:val="00745C06"/>
    <w:rsid w:val="00762198"/>
    <w:rsid w:val="00766578"/>
    <w:rsid w:val="00776662"/>
    <w:rsid w:val="00780160"/>
    <w:rsid w:val="00783616"/>
    <w:rsid w:val="007B187B"/>
    <w:rsid w:val="007C3252"/>
    <w:rsid w:val="007E21A9"/>
    <w:rsid w:val="007E460A"/>
    <w:rsid w:val="007E6C07"/>
    <w:rsid w:val="008063F2"/>
    <w:rsid w:val="00806949"/>
    <w:rsid w:val="00807988"/>
    <w:rsid w:val="00812385"/>
    <w:rsid w:val="00813FA3"/>
    <w:rsid w:val="00820050"/>
    <w:rsid w:val="00823FDD"/>
    <w:rsid w:val="0083577A"/>
    <w:rsid w:val="00851E19"/>
    <w:rsid w:val="00867F62"/>
    <w:rsid w:val="0087571C"/>
    <w:rsid w:val="00882D98"/>
    <w:rsid w:val="00893CFE"/>
    <w:rsid w:val="008C60FB"/>
    <w:rsid w:val="008C6673"/>
    <w:rsid w:val="008C69EE"/>
    <w:rsid w:val="008D5D63"/>
    <w:rsid w:val="008E6FEA"/>
    <w:rsid w:val="00906687"/>
    <w:rsid w:val="00907583"/>
    <w:rsid w:val="00910B21"/>
    <w:rsid w:val="00921886"/>
    <w:rsid w:val="00925F19"/>
    <w:rsid w:val="00936E9B"/>
    <w:rsid w:val="0094034A"/>
    <w:rsid w:val="00943C80"/>
    <w:rsid w:val="00946703"/>
    <w:rsid w:val="00954C8D"/>
    <w:rsid w:val="00955269"/>
    <w:rsid w:val="00955C9A"/>
    <w:rsid w:val="00957631"/>
    <w:rsid w:val="00970F5D"/>
    <w:rsid w:val="00973DA6"/>
    <w:rsid w:val="009912EC"/>
    <w:rsid w:val="009935D2"/>
    <w:rsid w:val="00994DFD"/>
    <w:rsid w:val="009969B5"/>
    <w:rsid w:val="009972E2"/>
    <w:rsid w:val="009C0B78"/>
    <w:rsid w:val="009D22A8"/>
    <w:rsid w:val="009D3EA9"/>
    <w:rsid w:val="009E4FCF"/>
    <w:rsid w:val="009E6786"/>
    <w:rsid w:val="009F4780"/>
    <w:rsid w:val="00A263F0"/>
    <w:rsid w:val="00A35EB7"/>
    <w:rsid w:val="00A47703"/>
    <w:rsid w:val="00A52031"/>
    <w:rsid w:val="00A5254B"/>
    <w:rsid w:val="00A666AE"/>
    <w:rsid w:val="00A74F13"/>
    <w:rsid w:val="00A7666F"/>
    <w:rsid w:val="00A82C2E"/>
    <w:rsid w:val="00A83BCD"/>
    <w:rsid w:val="00A86AD7"/>
    <w:rsid w:val="00A94515"/>
    <w:rsid w:val="00AC1A60"/>
    <w:rsid w:val="00AE03F4"/>
    <w:rsid w:val="00AE6278"/>
    <w:rsid w:val="00AF0604"/>
    <w:rsid w:val="00AF21FF"/>
    <w:rsid w:val="00B16C78"/>
    <w:rsid w:val="00B362B8"/>
    <w:rsid w:val="00B536B1"/>
    <w:rsid w:val="00B61F23"/>
    <w:rsid w:val="00B6206D"/>
    <w:rsid w:val="00B64122"/>
    <w:rsid w:val="00B779F2"/>
    <w:rsid w:val="00B90A8F"/>
    <w:rsid w:val="00BB198E"/>
    <w:rsid w:val="00BB4F54"/>
    <w:rsid w:val="00BC42C7"/>
    <w:rsid w:val="00BD0738"/>
    <w:rsid w:val="00BD0910"/>
    <w:rsid w:val="00BD23FF"/>
    <w:rsid w:val="00BE3CFE"/>
    <w:rsid w:val="00BE7587"/>
    <w:rsid w:val="00C247D0"/>
    <w:rsid w:val="00C37A77"/>
    <w:rsid w:val="00C40BFE"/>
    <w:rsid w:val="00C65C59"/>
    <w:rsid w:val="00C7058D"/>
    <w:rsid w:val="00C72240"/>
    <w:rsid w:val="00C72D0C"/>
    <w:rsid w:val="00C820FF"/>
    <w:rsid w:val="00C87F77"/>
    <w:rsid w:val="00CA307F"/>
    <w:rsid w:val="00CD1C77"/>
    <w:rsid w:val="00CD7193"/>
    <w:rsid w:val="00CD7258"/>
    <w:rsid w:val="00CE2C44"/>
    <w:rsid w:val="00CE41DF"/>
    <w:rsid w:val="00CF2067"/>
    <w:rsid w:val="00CF5F6D"/>
    <w:rsid w:val="00D26384"/>
    <w:rsid w:val="00D32176"/>
    <w:rsid w:val="00D43453"/>
    <w:rsid w:val="00D570A0"/>
    <w:rsid w:val="00D6341E"/>
    <w:rsid w:val="00D76273"/>
    <w:rsid w:val="00D842FE"/>
    <w:rsid w:val="00D8551D"/>
    <w:rsid w:val="00D9381E"/>
    <w:rsid w:val="00DC37AF"/>
    <w:rsid w:val="00DC5EDE"/>
    <w:rsid w:val="00DF5679"/>
    <w:rsid w:val="00E03889"/>
    <w:rsid w:val="00E06874"/>
    <w:rsid w:val="00E12533"/>
    <w:rsid w:val="00E14E6C"/>
    <w:rsid w:val="00E20D31"/>
    <w:rsid w:val="00E21A55"/>
    <w:rsid w:val="00E2224E"/>
    <w:rsid w:val="00E24FBC"/>
    <w:rsid w:val="00E445DF"/>
    <w:rsid w:val="00E707DA"/>
    <w:rsid w:val="00E73D0B"/>
    <w:rsid w:val="00E82CB3"/>
    <w:rsid w:val="00E874A7"/>
    <w:rsid w:val="00E917E2"/>
    <w:rsid w:val="00EA0E9C"/>
    <w:rsid w:val="00EC010D"/>
    <w:rsid w:val="00ED07B3"/>
    <w:rsid w:val="00EE4997"/>
    <w:rsid w:val="00EE6703"/>
    <w:rsid w:val="00EF0393"/>
    <w:rsid w:val="00EF48C3"/>
    <w:rsid w:val="00F125E4"/>
    <w:rsid w:val="00F133D6"/>
    <w:rsid w:val="00F17611"/>
    <w:rsid w:val="00F30339"/>
    <w:rsid w:val="00F353A8"/>
    <w:rsid w:val="00F3719A"/>
    <w:rsid w:val="00F41A1A"/>
    <w:rsid w:val="00F847F4"/>
    <w:rsid w:val="00F84AC1"/>
    <w:rsid w:val="00F91E8F"/>
    <w:rsid w:val="00F92082"/>
    <w:rsid w:val="00FA252C"/>
    <w:rsid w:val="00FA2698"/>
    <w:rsid w:val="00FB0233"/>
    <w:rsid w:val="00FB7FEE"/>
    <w:rsid w:val="00FC3444"/>
    <w:rsid w:val="00FC38E7"/>
    <w:rsid w:val="00FC3DB5"/>
    <w:rsid w:val="00FC401B"/>
    <w:rsid w:val="00FC4668"/>
    <w:rsid w:val="00FC531B"/>
    <w:rsid w:val="03C90E34"/>
    <w:rsid w:val="05E1A460"/>
    <w:rsid w:val="061CD765"/>
    <w:rsid w:val="07F6AE49"/>
    <w:rsid w:val="0A7370F0"/>
    <w:rsid w:val="0BD4316A"/>
    <w:rsid w:val="114192F3"/>
    <w:rsid w:val="159C37AA"/>
    <w:rsid w:val="178B44A7"/>
    <w:rsid w:val="19495438"/>
    <w:rsid w:val="1ED3B0BB"/>
    <w:rsid w:val="20AD879F"/>
    <w:rsid w:val="21ABF045"/>
    <w:rsid w:val="239F99FA"/>
    <w:rsid w:val="2462A43A"/>
    <w:rsid w:val="269C6AA7"/>
    <w:rsid w:val="29620C8A"/>
    <w:rsid w:val="2D1A717E"/>
    <w:rsid w:val="2D9F1CDD"/>
    <w:rsid w:val="2DC11E26"/>
    <w:rsid w:val="2EF44862"/>
    <w:rsid w:val="2F13F6A0"/>
    <w:rsid w:val="3017469A"/>
    <w:rsid w:val="309E5F3D"/>
    <w:rsid w:val="32C1C8FB"/>
    <w:rsid w:val="34DD6EA5"/>
    <w:rsid w:val="36B74589"/>
    <w:rsid w:val="3785BB55"/>
    <w:rsid w:val="3B097643"/>
    <w:rsid w:val="3FAE927D"/>
    <w:rsid w:val="416251F1"/>
    <w:rsid w:val="46ECAE74"/>
    <w:rsid w:val="48CB86E5"/>
    <w:rsid w:val="4E0D525E"/>
    <w:rsid w:val="4F695023"/>
    <w:rsid w:val="5187EB25"/>
    <w:rsid w:val="5538A395"/>
    <w:rsid w:val="5599A315"/>
    <w:rsid w:val="575C4024"/>
    <w:rsid w:val="5842AF5D"/>
    <w:rsid w:val="5B14AAD6"/>
    <w:rsid w:val="5BE33274"/>
    <w:rsid w:val="5C114905"/>
    <w:rsid w:val="5E351647"/>
    <w:rsid w:val="60BF1E3B"/>
    <w:rsid w:val="610044E5"/>
    <w:rsid w:val="6182603B"/>
    <w:rsid w:val="63B13096"/>
    <w:rsid w:val="6577DCC9"/>
    <w:rsid w:val="671CF217"/>
    <w:rsid w:val="673420E1"/>
    <w:rsid w:val="6A3EF74C"/>
    <w:rsid w:val="6A43C608"/>
    <w:rsid w:val="6B39C24F"/>
    <w:rsid w:val="6F215E05"/>
    <w:rsid w:val="6F3617A5"/>
    <w:rsid w:val="7013197A"/>
    <w:rsid w:val="71ECF05E"/>
    <w:rsid w:val="7396B8F7"/>
    <w:rsid w:val="779CD156"/>
    <w:rsid w:val="7A349DA6"/>
    <w:rsid w:val="7D5B7197"/>
    <w:rsid w:val="7E369AEC"/>
    <w:rsid w:val="7F8F38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39638"/>
  <w15:docId w15:val="{144DCABE-C656-4BA2-8CD8-4D6133E1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7"/>
    </w:pPr>
  </w:style>
  <w:style w:type="paragraph" w:styleId="Header">
    <w:name w:val="header"/>
    <w:basedOn w:val="Normal"/>
    <w:link w:val="HeaderChar"/>
    <w:uiPriority w:val="99"/>
    <w:unhideWhenUsed/>
    <w:rsid w:val="00DC37AF"/>
    <w:pPr>
      <w:tabs>
        <w:tab w:val="center" w:pos="4680"/>
        <w:tab w:val="right" w:pos="9360"/>
      </w:tabs>
    </w:pPr>
  </w:style>
  <w:style w:type="character" w:customStyle="1" w:styleId="HeaderChar">
    <w:name w:val="Header Char"/>
    <w:basedOn w:val="DefaultParagraphFont"/>
    <w:link w:val="Header"/>
    <w:uiPriority w:val="99"/>
    <w:rsid w:val="00DC37AF"/>
    <w:rPr>
      <w:rFonts w:ascii="Times New Roman" w:eastAsia="Times New Roman" w:hAnsi="Times New Roman" w:cs="Times New Roman"/>
    </w:rPr>
  </w:style>
  <w:style w:type="paragraph" w:styleId="Footer">
    <w:name w:val="footer"/>
    <w:basedOn w:val="Normal"/>
    <w:link w:val="FooterChar"/>
    <w:uiPriority w:val="99"/>
    <w:unhideWhenUsed/>
    <w:rsid w:val="00DC37AF"/>
    <w:pPr>
      <w:tabs>
        <w:tab w:val="center" w:pos="4680"/>
        <w:tab w:val="right" w:pos="9360"/>
      </w:tabs>
    </w:pPr>
  </w:style>
  <w:style w:type="character" w:customStyle="1" w:styleId="FooterChar">
    <w:name w:val="Footer Char"/>
    <w:basedOn w:val="DefaultParagraphFont"/>
    <w:link w:val="Footer"/>
    <w:uiPriority w:val="99"/>
    <w:rsid w:val="00DC37AF"/>
    <w:rPr>
      <w:rFonts w:ascii="Times New Roman" w:eastAsia="Times New Roman" w:hAnsi="Times New Roman" w:cs="Times New Roman"/>
    </w:rPr>
  </w:style>
  <w:style w:type="character" w:styleId="Hyperlink">
    <w:name w:val="Hyperlink"/>
    <w:basedOn w:val="DefaultParagraphFont"/>
    <w:uiPriority w:val="99"/>
    <w:unhideWhenUsed/>
    <w:rsid w:val="004572DE"/>
    <w:rPr>
      <w:color w:val="0000FF" w:themeColor="hyperlink"/>
      <w:u w:val="single"/>
    </w:rPr>
  </w:style>
  <w:style w:type="character" w:styleId="UnresolvedMention">
    <w:name w:val="Unresolved Mention"/>
    <w:basedOn w:val="DefaultParagraphFont"/>
    <w:uiPriority w:val="99"/>
    <w:unhideWhenUsed/>
    <w:rsid w:val="004572DE"/>
    <w:rPr>
      <w:color w:val="605E5C"/>
      <w:shd w:val="clear" w:color="auto" w:fill="E1DFDD"/>
    </w:rPr>
  </w:style>
  <w:style w:type="character" w:styleId="FollowedHyperlink">
    <w:name w:val="FollowedHyperlink"/>
    <w:basedOn w:val="DefaultParagraphFont"/>
    <w:uiPriority w:val="99"/>
    <w:semiHidden/>
    <w:unhideWhenUsed/>
    <w:rsid w:val="00D842FE"/>
    <w:rPr>
      <w:color w:val="800080" w:themeColor="followedHyperlink"/>
      <w:u w:val="single"/>
    </w:rPr>
  </w:style>
  <w:style w:type="character" w:styleId="CommentReference">
    <w:name w:val="annotation reference"/>
    <w:basedOn w:val="DefaultParagraphFont"/>
    <w:uiPriority w:val="99"/>
    <w:semiHidden/>
    <w:unhideWhenUsed/>
    <w:rsid w:val="00CD1C77"/>
    <w:rPr>
      <w:sz w:val="16"/>
      <w:szCs w:val="16"/>
    </w:rPr>
  </w:style>
  <w:style w:type="paragraph" w:styleId="CommentText">
    <w:name w:val="annotation text"/>
    <w:basedOn w:val="Normal"/>
    <w:link w:val="CommentTextChar"/>
    <w:uiPriority w:val="99"/>
    <w:unhideWhenUsed/>
    <w:rsid w:val="00CD1C77"/>
    <w:rPr>
      <w:sz w:val="20"/>
      <w:szCs w:val="20"/>
    </w:rPr>
  </w:style>
  <w:style w:type="character" w:customStyle="1" w:styleId="CommentTextChar">
    <w:name w:val="Comment Text Char"/>
    <w:basedOn w:val="DefaultParagraphFont"/>
    <w:link w:val="CommentText"/>
    <w:uiPriority w:val="99"/>
    <w:rsid w:val="00CD1C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1C77"/>
    <w:rPr>
      <w:b/>
      <w:bCs/>
    </w:rPr>
  </w:style>
  <w:style w:type="character" w:customStyle="1" w:styleId="CommentSubjectChar">
    <w:name w:val="Comment Subject Char"/>
    <w:basedOn w:val="CommentTextChar"/>
    <w:link w:val="CommentSubject"/>
    <w:uiPriority w:val="99"/>
    <w:semiHidden/>
    <w:rsid w:val="00CD1C77"/>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7429CB"/>
    <w:rPr>
      <w:color w:val="2B579A"/>
      <w:shd w:val="clear" w:color="auto" w:fill="E1DFDD"/>
    </w:rPr>
  </w:style>
  <w:style w:type="paragraph" w:styleId="Revision">
    <w:name w:val="Revision"/>
    <w:hidden/>
    <w:uiPriority w:val="99"/>
    <w:semiHidden/>
    <w:rsid w:val="00A82C2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8759">
      <w:bodyDiv w:val="1"/>
      <w:marLeft w:val="0"/>
      <w:marRight w:val="0"/>
      <w:marTop w:val="0"/>
      <w:marBottom w:val="0"/>
      <w:divBdr>
        <w:top w:val="none" w:sz="0" w:space="0" w:color="auto"/>
        <w:left w:val="none" w:sz="0" w:space="0" w:color="auto"/>
        <w:bottom w:val="none" w:sz="0" w:space="0" w:color="auto"/>
        <w:right w:val="none" w:sz="0" w:space="0" w:color="auto"/>
      </w:divBdr>
    </w:div>
    <w:div w:id="582688172">
      <w:bodyDiv w:val="1"/>
      <w:marLeft w:val="0"/>
      <w:marRight w:val="0"/>
      <w:marTop w:val="0"/>
      <w:marBottom w:val="0"/>
      <w:divBdr>
        <w:top w:val="none" w:sz="0" w:space="0" w:color="auto"/>
        <w:left w:val="none" w:sz="0" w:space="0" w:color="auto"/>
        <w:bottom w:val="none" w:sz="0" w:space="0" w:color="auto"/>
        <w:right w:val="none" w:sz="0" w:space="0" w:color="auto"/>
      </w:divBdr>
    </w:div>
    <w:div w:id="212738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pr.hhs.gov/legal/PREPact/Pages/PREP-Act-FAQs-Monkeypox.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info.gov/content/pkg/FR-2022-10-03/pdf/2022-2141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b9e727c9-37af-4452-8534-630d889f6748" xsi:nil="true"/>
    <Meta_x0020_Keywords xmlns="b9e727c9-37af-4452-8534-630d889f674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AF213097129C4E9A3ABBD892EED684" ma:contentTypeVersion="18" ma:contentTypeDescription="Create a new document." ma:contentTypeScope="" ma:versionID="10b48143a768c04ef4637846a9253563">
  <xsd:schema xmlns:xsd="http://www.w3.org/2001/XMLSchema" xmlns:xs="http://www.w3.org/2001/XMLSchema" xmlns:p="http://schemas.microsoft.com/office/2006/metadata/properties" xmlns:ns1="http://schemas.microsoft.com/sharepoint/v3" xmlns:ns2="59da1016-2a1b-4f8a-9768-d7a4932f6f16" xmlns:ns3="b9e727c9-37af-4452-8534-630d889f6748" targetNamespace="http://schemas.microsoft.com/office/2006/metadata/properties" ma:root="true" ma:fieldsID="c13c345baae560816f3505c91f83d303" ns1:_="" ns2:_="" ns3:_="">
    <xsd:import namespace="http://schemas.microsoft.com/sharepoint/v3"/>
    <xsd:import namespace="59da1016-2a1b-4f8a-9768-d7a4932f6f16"/>
    <xsd:import namespace="b9e727c9-37af-4452-8534-630d889f674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e727c9-37af-4452-8534-630d889f674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33AFC-F027-41D0-BE18-D586EEAE0E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0AB52-54B5-46E4-B972-4D1781BF7F41}">
  <ds:schemaRefs>
    <ds:schemaRef ds:uri="http://schemas.microsoft.com/sharepoint/v3/contenttype/forms"/>
  </ds:schemaRefs>
</ds:datastoreItem>
</file>

<file path=customXml/itemProps3.xml><?xml version="1.0" encoding="utf-8"?>
<ds:datastoreItem xmlns:ds="http://schemas.openxmlformats.org/officeDocument/2006/customXml" ds:itemID="{761EB077-5C85-448E-94F8-B7B5E3664EC6}"/>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Funding and declarations grid_3.25.2022_FINAL</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Funding and declarations grid_3.25.2022_FINAL</dc:title>
  <dc:subject/>
  <dc:creator>OR0193082</dc:creator>
  <cp:keywords/>
  <cp:lastModifiedBy>Joey W. Razzano</cp:lastModifiedBy>
  <cp:revision>2</cp:revision>
  <cp:lastPrinted>2022-09-28T15:08:00Z</cp:lastPrinted>
  <dcterms:created xsi:type="dcterms:W3CDTF">2022-10-06T15:31:00Z</dcterms:created>
  <dcterms:modified xsi:type="dcterms:W3CDTF">2022-10-06T15:31:00Z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PScript5.dll Version 5.2.2</vt:lpwstr>
  </property>
  <property fmtid="{D5CDD505-2E9C-101B-9397-08002B2CF9AE}" pid="4" name="LastSaved">
    <vt:filetime>2022-08-12T00:00:00Z</vt:filetime>
  </property>
  <property fmtid="{D5CDD505-2E9C-101B-9397-08002B2CF9AE}" pid="5" name="Producer">
    <vt:lpwstr>Acrobat Distiller 21.0 (Windows)</vt:lpwstr>
  </property>
  <property fmtid="{D5CDD505-2E9C-101B-9397-08002B2CF9AE}" pid="6" name="MSIP_Label_ea60d57e-af5b-4752-ac57-3e4f28ca11dc_Enabled">
    <vt:lpwstr>true</vt:lpwstr>
  </property>
  <property fmtid="{D5CDD505-2E9C-101B-9397-08002B2CF9AE}" pid="7" name="MSIP_Label_ea60d57e-af5b-4752-ac57-3e4f28ca11dc_SetDate">
    <vt:lpwstr>2022-08-12T18:46:36Z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f40fd774-65c3-4b95-b153-44e71c0894d2</vt:lpwstr>
  </property>
  <property fmtid="{D5CDD505-2E9C-101B-9397-08002B2CF9AE}" pid="12" name="MSIP_Label_ea60d57e-af5b-4752-ac57-3e4f28ca11dc_ContentBits">
    <vt:lpwstr>0</vt:lpwstr>
  </property>
  <property fmtid="{D5CDD505-2E9C-101B-9397-08002B2CF9AE}" pid="13" name="ContentTypeId">
    <vt:lpwstr>0x0101005EAF213097129C4E9A3ABBD892EED684</vt:lpwstr>
  </property>
</Properties>
</file>