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E982" w14:textId="75EBDF28" w:rsidR="00283902" w:rsidRPr="0065129A" w:rsidRDefault="00283902">
      <w:pPr>
        <w:rPr>
          <w:sz w:val="32"/>
          <w:szCs w:val="32"/>
        </w:rPr>
      </w:pPr>
      <w:r w:rsidRPr="00283902">
        <w:rPr>
          <w:noProof/>
        </w:rPr>
        <w:drawing>
          <wp:anchor distT="0" distB="0" distL="114300" distR="114300" simplePos="0" relativeHeight="251658240" behindDoc="1" locked="0" layoutInCell="1" allowOverlap="1" wp14:anchorId="2F9A6BA3" wp14:editId="7632D8E4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685925" cy="494538"/>
            <wp:effectExtent l="0" t="0" r="0" b="1270"/>
            <wp:wrapTight wrapText="bothSides">
              <wp:wrapPolygon edited="0">
                <wp:start x="0" y="0"/>
                <wp:lineTo x="0" y="20823"/>
                <wp:lineTo x="21234" y="20823"/>
                <wp:lineTo x="21234" y="0"/>
                <wp:lineTo x="0" y="0"/>
              </wp:wrapPolygon>
            </wp:wrapTight>
            <wp:docPr id="1749409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09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9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29A">
        <w:tab/>
      </w:r>
      <w:r w:rsidR="0065129A">
        <w:tab/>
      </w:r>
      <w:r w:rsidR="0065129A">
        <w:tab/>
      </w:r>
      <w:r w:rsidR="0065129A" w:rsidRPr="0065129A">
        <w:rPr>
          <w:sz w:val="32"/>
          <w:szCs w:val="32"/>
        </w:rPr>
        <w:t>RULES ADVISORY COMMITTEE REPORT</w:t>
      </w:r>
    </w:p>
    <w:p w14:paraId="742EDCF7" w14:textId="49306198" w:rsidR="00283902" w:rsidRDefault="00283902"/>
    <w:p w14:paraId="59F935C2" w14:textId="0EACBC8F" w:rsidR="0012359E" w:rsidRPr="00E86823" w:rsidRDefault="0012359E">
      <w:r w:rsidRPr="00E86823">
        <w:t xml:space="preserve">Date: </w:t>
      </w:r>
      <w:r w:rsidR="00E86823" w:rsidRPr="00E86823">
        <w:t>April 2</w:t>
      </w:r>
      <w:r w:rsidR="00125753">
        <w:t>4</w:t>
      </w:r>
      <w:r w:rsidR="00E86823" w:rsidRPr="00E86823">
        <w:t>, 2026</w:t>
      </w:r>
    </w:p>
    <w:p w14:paraId="31DD1EAA" w14:textId="3911F1CA" w:rsidR="00E270CA" w:rsidRDefault="0012359E">
      <w:r>
        <w:t xml:space="preserve">Subject: </w:t>
      </w:r>
      <w:r w:rsidR="00E270CA">
        <w:t>Summary</w:t>
      </w:r>
      <w:r w:rsidR="009D3F7E">
        <w:t xml:space="preserve"> of recommendations from the Rules Advisory Committee</w:t>
      </w:r>
      <w:r w:rsidR="004B1189">
        <w:t xml:space="preserve"> (RAC)</w:t>
      </w:r>
      <w:r w:rsidR="00E270CA">
        <w:t xml:space="preserve"> on </w:t>
      </w:r>
      <w:r w:rsidR="009173C3">
        <w:t>Oregon Small Business Enterprise</w:t>
      </w:r>
      <w:r w:rsidR="00962506">
        <w:t xml:space="preserve"> (HB 2337)</w:t>
      </w:r>
    </w:p>
    <w:p w14:paraId="010C5A22" w14:textId="5FC74516" w:rsidR="0065129A" w:rsidRDefault="0065129A">
      <w:r>
        <w:t>Meeting Location:</w:t>
      </w:r>
      <w:r w:rsidR="00697297">
        <w:t xml:space="preserve"> Zoom</w:t>
      </w:r>
    </w:p>
    <w:p w14:paraId="6685D2E4" w14:textId="139CED32" w:rsidR="0065129A" w:rsidRDefault="0065129A">
      <w:r w:rsidRPr="00E86823">
        <w:t>DAS Facilitator:</w:t>
      </w:r>
      <w:r w:rsidR="00697297" w:rsidRPr="00E86823">
        <w:t xml:space="preserve"> Alexandria Straub</w:t>
      </w:r>
    </w:p>
    <w:p w14:paraId="49E4BB55" w14:textId="77777777" w:rsidR="0065129A" w:rsidRDefault="0065129A" w:rsidP="0065129A">
      <w:r>
        <w:t>RAC Members:</w:t>
      </w:r>
    </w:p>
    <w:p w14:paraId="1FF5F5C4" w14:textId="20036E06" w:rsidR="009001FC" w:rsidRDefault="009001FC" w:rsidP="00002585">
      <w:pPr>
        <w:pStyle w:val="ListParagraph"/>
        <w:numPr>
          <w:ilvl w:val="0"/>
          <w:numId w:val="1"/>
        </w:numPr>
      </w:pPr>
      <w:r>
        <w:t xml:space="preserve">Damian Crowder, </w:t>
      </w:r>
      <w:r w:rsidR="003A7B8B">
        <w:t>National Association of Minority Contractors (</w:t>
      </w:r>
      <w:r>
        <w:t>NMAC</w:t>
      </w:r>
      <w:r w:rsidR="003A7B8B">
        <w:t>)</w:t>
      </w:r>
    </w:p>
    <w:p w14:paraId="39E213D4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>Danielle Morris, Oregon Pride in Business</w:t>
      </w:r>
    </w:p>
    <w:p w14:paraId="311F8BA0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>Daphne Patrick, TriMet</w:t>
      </w:r>
    </w:p>
    <w:p w14:paraId="223C4A46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>James Alan Parker, Northwest Native Chamber</w:t>
      </w:r>
    </w:p>
    <w:p w14:paraId="572D6BC2" w14:textId="77777777" w:rsidR="00E441FA" w:rsidRDefault="00E441FA" w:rsidP="00002585">
      <w:pPr>
        <w:pStyle w:val="ListParagraph"/>
        <w:numPr>
          <w:ilvl w:val="0"/>
          <w:numId w:val="1"/>
        </w:numPr>
      </w:pPr>
      <w:r>
        <w:t xml:space="preserve">Jesus Reyes, </w:t>
      </w:r>
      <w:proofErr w:type="spellStart"/>
      <w:r>
        <w:t>REYCON</w:t>
      </w:r>
      <w:proofErr w:type="spellEnd"/>
    </w:p>
    <w:p w14:paraId="7DFA2E67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 xml:space="preserve">Khang Tran, </w:t>
      </w:r>
      <w:proofErr w:type="spellStart"/>
      <w:r>
        <w:t>Humanus</w:t>
      </w:r>
      <w:proofErr w:type="spellEnd"/>
      <w:r>
        <w:t xml:space="preserve"> Labs</w:t>
      </w:r>
    </w:p>
    <w:p w14:paraId="01D3107F" w14:textId="3395614C" w:rsidR="009001FC" w:rsidRDefault="009001FC" w:rsidP="00002585">
      <w:pPr>
        <w:pStyle w:val="ListParagraph"/>
        <w:numPr>
          <w:ilvl w:val="0"/>
          <w:numId w:val="1"/>
        </w:numPr>
      </w:pPr>
      <w:r>
        <w:t>Kristin Adams, Associated General Contractors</w:t>
      </w:r>
      <w:r w:rsidR="003A7B8B">
        <w:t xml:space="preserve"> (</w:t>
      </w:r>
      <w:proofErr w:type="spellStart"/>
      <w:r w:rsidR="003A7B8B">
        <w:t>AGC</w:t>
      </w:r>
      <w:proofErr w:type="spellEnd"/>
      <w:r w:rsidR="003A7B8B">
        <w:t>)</w:t>
      </w:r>
    </w:p>
    <w:p w14:paraId="192C7AFB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 xml:space="preserve">Lillian Stevenson, </w:t>
      </w:r>
      <w:proofErr w:type="spellStart"/>
      <w:r>
        <w:t>BCI</w:t>
      </w:r>
      <w:proofErr w:type="spellEnd"/>
      <w:r>
        <w:t xml:space="preserve"> Co.</w:t>
      </w:r>
    </w:p>
    <w:p w14:paraId="5A76B46B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>Marin Arreola, Advanced Economic Solutions, Inc.</w:t>
      </w:r>
    </w:p>
    <w:p w14:paraId="16F4576C" w14:textId="77777777" w:rsidR="009001FC" w:rsidRDefault="009001FC" w:rsidP="00002585">
      <w:pPr>
        <w:pStyle w:val="ListParagraph"/>
        <w:numPr>
          <w:ilvl w:val="0"/>
          <w:numId w:val="1"/>
        </w:numPr>
      </w:pPr>
      <w:r>
        <w:t>Neil Lee, Leeka Architecture &amp; Planning</w:t>
      </w:r>
    </w:p>
    <w:p w14:paraId="230732E8" w14:textId="763CFB9B" w:rsidR="0065129A" w:rsidRDefault="0065129A">
      <w:r>
        <w:t xml:space="preserve">DAS held </w:t>
      </w:r>
      <w:proofErr w:type="gramStart"/>
      <w:r>
        <w:t>a RAC</w:t>
      </w:r>
      <w:proofErr w:type="gramEnd"/>
      <w:r>
        <w:t xml:space="preserve"> meeting on </w:t>
      </w:r>
      <w:r w:rsidR="00BF2CE3">
        <w:t>March 18, 2026</w:t>
      </w:r>
      <w:r>
        <w:t xml:space="preserve">, at </w:t>
      </w:r>
      <w:r w:rsidR="00BF2CE3">
        <w:t>10:30 a.m.</w:t>
      </w:r>
      <w:r>
        <w:t xml:space="preserve"> to develop Oregon Administrative Rule</w:t>
      </w:r>
      <w:r w:rsidR="00CA0471">
        <w:t>s</w:t>
      </w:r>
      <w:r>
        <w:t xml:space="preserve"> about </w:t>
      </w:r>
      <w:r w:rsidR="00BF2CE3">
        <w:t>Oregon Small Business Enterprise procurement preference</w:t>
      </w:r>
      <w:r>
        <w:t>.</w:t>
      </w:r>
      <w:r w:rsidR="00BF131C">
        <w:t xml:space="preserve"> </w:t>
      </w:r>
      <w:r w:rsidR="003E5AA7">
        <w:t xml:space="preserve">In addition to the RAC meeting, DAS made available an opportunity for public comment on the proposed rules from March 18, </w:t>
      </w:r>
      <w:r w:rsidR="00C964D0">
        <w:t>2026,</w:t>
      </w:r>
      <w:r w:rsidR="003E5AA7">
        <w:t xml:space="preserve"> through April 3, 2026</w:t>
      </w:r>
      <w:r w:rsidR="00780A71">
        <w:t>.</w:t>
      </w:r>
    </w:p>
    <w:p w14:paraId="117F6E98" w14:textId="4D13866D" w:rsidR="009D3F7E" w:rsidRDefault="0065129A">
      <w:r>
        <w:t xml:space="preserve">The following </w:t>
      </w:r>
      <w:proofErr w:type="gramStart"/>
      <w:r>
        <w:t>rule</w:t>
      </w:r>
      <w:proofErr w:type="gramEnd"/>
      <w:r>
        <w:t xml:space="preserve">(s) are subject </w:t>
      </w:r>
      <w:proofErr w:type="gramStart"/>
      <w:r>
        <w:t>for</w:t>
      </w:r>
      <w:proofErr w:type="gramEnd"/>
      <w:r>
        <w:t xml:space="preserve"> this report:</w:t>
      </w:r>
      <w:r w:rsidR="00CF795E">
        <w:t xml:space="preserve"> 125-246-0230 and 125-247-0200</w:t>
      </w:r>
    </w:p>
    <w:p w14:paraId="1CD200B4" w14:textId="02D72292" w:rsidR="009D3F7E" w:rsidRDefault="009D3F7E">
      <w:r>
        <w:t>Recommendations:</w:t>
      </w:r>
    </w:p>
    <w:p w14:paraId="039E074C" w14:textId="5D781D30" w:rsidR="009D3F7E" w:rsidRDefault="009D3F7E">
      <w:r>
        <w:t>Rule #</w:t>
      </w:r>
      <w:r w:rsidR="00626682">
        <w:t xml:space="preserve">125-246-0230 </w:t>
      </w:r>
      <w:r>
        <w:t>(</w:t>
      </w:r>
      <w:r w:rsidR="00626682">
        <w:t>Preference for Oregon Small Business Enterprises</w:t>
      </w:r>
      <w:r>
        <w:t>)</w:t>
      </w:r>
    </w:p>
    <w:tbl>
      <w:tblPr>
        <w:tblStyle w:val="ListTable3-Accent1"/>
        <w:tblW w:w="11080" w:type="dxa"/>
        <w:tblLayout w:type="fixed"/>
        <w:tblLook w:val="04A0" w:firstRow="1" w:lastRow="0" w:firstColumn="1" w:lastColumn="0" w:noHBand="0" w:noVBand="1"/>
      </w:tblPr>
      <w:tblGrid>
        <w:gridCol w:w="2317"/>
        <w:gridCol w:w="4068"/>
        <w:gridCol w:w="4695"/>
      </w:tblGrid>
      <w:tr w:rsidR="009D3F7E" w14:paraId="013BBEE5" w14:textId="52D75967" w:rsidTr="00270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7" w:type="dxa"/>
            <w:vAlign w:val="center"/>
          </w:tcPr>
          <w:p w14:paraId="599024EE" w14:textId="52776E5C" w:rsidR="009D3F7E" w:rsidRDefault="009D3F7E" w:rsidP="008119A7">
            <w:pPr>
              <w:jc w:val="center"/>
            </w:pPr>
            <w:r>
              <w:t>RAC Member</w:t>
            </w:r>
          </w:p>
        </w:tc>
        <w:tc>
          <w:tcPr>
            <w:tcW w:w="4068" w:type="dxa"/>
            <w:vAlign w:val="center"/>
          </w:tcPr>
          <w:p w14:paraId="09E5B4B4" w14:textId="04FBF77A" w:rsidR="009D3F7E" w:rsidRDefault="009D3F7E" w:rsidP="00811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Recommendation</w:t>
            </w:r>
          </w:p>
        </w:tc>
        <w:tc>
          <w:tcPr>
            <w:tcW w:w="4695" w:type="dxa"/>
            <w:vAlign w:val="center"/>
          </w:tcPr>
          <w:p w14:paraId="4C5202A1" w14:textId="09076118" w:rsidR="009D3F7E" w:rsidRDefault="009D3F7E" w:rsidP="00811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Agency Response</w:t>
            </w:r>
          </w:p>
        </w:tc>
      </w:tr>
      <w:tr w:rsidR="009D3F7E" w14:paraId="412FF7DE" w14:textId="282E4825" w:rsidTr="0027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4AE69544" w14:textId="6321D4E7" w:rsidR="009D3F7E" w:rsidRDefault="00593D7E">
            <w:r>
              <w:t>James Alan Parker</w:t>
            </w:r>
          </w:p>
        </w:tc>
        <w:tc>
          <w:tcPr>
            <w:tcW w:w="4068" w:type="dxa"/>
          </w:tcPr>
          <w:p w14:paraId="0AF94193" w14:textId="197D27A1" w:rsidR="009D3F7E" w:rsidRDefault="00107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 rationale for 10% preference</w:t>
            </w:r>
            <w:r w:rsidR="00754920">
              <w:t>.</w:t>
            </w:r>
          </w:p>
        </w:tc>
        <w:tc>
          <w:tcPr>
            <w:tcW w:w="4695" w:type="dxa"/>
          </w:tcPr>
          <w:p w14:paraId="17555F26" w14:textId="5BC3EDDD" w:rsidR="009D3F7E" w:rsidRDefault="00223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DAS selected up to 10% as the initial preference amount because it provides a meaningful yet flexible starting point in the absence of complete data about market impact.</w:t>
            </w:r>
            <w:r w:rsidR="006F4362">
              <w:t xml:space="preserve"> Setting the amount as up to 10% allows us to apply the preference in a way that supports</w:t>
            </w:r>
            <w:r w:rsidR="001F7724">
              <w:t xml:space="preserve"> the policy intent without overcommitting to a fixed number before fully understanding the implications.</w:t>
            </w:r>
          </w:p>
        </w:tc>
      </w:tr>
      <w:tr w:rsidR="007A3FFE" w14:paraId="7C4E8D93" w14:textId="77777777" w:rsidTr="002707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243DAD78" w14:textId="4FD59BD4" w:rsidR="007A3FFE" w:rsidRDefault="007A3FFE">
            <w:r>
              <w:lastRenderedPageBreak/>
              <w:t>Jesus Reyes</w:t>
            </w:r>
          </w:p>
        </w:tc>
        <w:tc>
          <w:tcPr>
            <w:tcW w:w="4068" w:type="dxa"/>
          </w:tcPr>
          <w:p w14:paraId="6D34A1C4" w14:textId="48BC5F91" w:rsidR="007A3FFE" w:rsidRDefault="0094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Identify which industries will be impacted immediately by the </w:t>
            </w:r>
            <w:proofErr w:type="spellStart"/>
            <w:r>
              <w:t>OSBE</w:t>
            </w:r>
            <w:proofErr w:type="spellEnd"/>
            <w:r>
              <w:t xml:space="preserve"> preference</w:t>
            </w:r>
            <w:r w:rsidR="0099141D">
              <w:t xml:space="preserve"> so they can prepare.</w:t>
            </w:r>
          </w:p>
        </w:tc>
        <w:tc>
          <w:tcPr>
            <w:tcW w:w="4695" w:type="dxa"/>
          </w:tcPr>
          <w:p w14:paraId="172EDFDB" w14:textId="286E648C" w:rsidR="007A3FFE" w:rsidRDefault="00534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DAS</w:t>
            </w:r>
            <w:r w:rsidR="00AB64D9">
              <w:t xml:space="preserve"> is exploring system enhancements and other opportunities to improve data collection. </w:t>
            </w:r>
            <w:r w:rsidR="00425E0C">
              <w:t xml:space="preserve">Pursing </w:t>
            </w:r>
            <w:proofErr w:type="spellStart"/>
            <w:r w:rsidR="00425E0C">
              <w:t>OSBE</w:t>
            </w:r>
            <w:proofErr w:type="spellEnd"/>
            <w:r w:rsidR="00425E0C">
              <w:t xml:space="preserve"> certification is the best way to prepare.</w:t>
            </w:r>
          </w:p>
        </w:tc>
      </w:tr>
      <w:tr w:rsidR="00401561" w14:paraId="591D4838" w14:textId="77777777" w:rsidTr="0027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4138AC7A" w14:textId="2A0E3A26" w:rsidR="00401561" w:rsidRDefault="00401561">
            <w:r>
              <w:t>Jesus Reyes</w:t>
            </w:r>
          </w:p>
        </w:tc>
        <w:tc>
          <w:tcPr>
            <w:tcW w:w="4068" w:type="dxa"/>
          </w:tcPr>
          <w:p w14:paraId="363D9B50" w14:textId="7272CDEA" w:rsidR="00401561" w:rsidRDefault="00492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Provide visibility </w:t>
            </w:r>
            <w:r w:rsidR="00430D23">
              <w:t xml:space="preserve">about which companies are receiving state contracts so that </w:t>
            </w:r>
            <w:r w:rsidR="003840BF">
              <w:t xml:space="preserve">small businesses </w:t>
            </w:r>
            <w:r w:rsidR="00AF54D7">
              <w:t>understand award patterns.</w:t>
            </w:r>
          </w:p>
        </w:tc>
        <w:tc>
          <w:tcPr>
            <w:tcW w:w="4695" w:type="dxa"/>
          </w:tcPr>
          <w:p w14:paraId="747C217A" w14:textId="5AFCD7C5" w:rsidR="00401561" w:rsidRDefault="00510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Awards made via t</w:t>
            </w:r>
            <w:r w:rsidR="00A55D41">
              <w:t>he state’s eProcurement system</w:t>
            </w:r>
            <w:r>
              <w:t xml:space="preserve"> are visible to the public. </w:t>
            </w:r>
            <w:r w:rsidR="001A65B2">
              <w:t>DAS is reviewing ways to make this system more user friendly.</w:t>
            </w:r>
          </w:p>
        </w:tc>
      </w:tr>
      <w:tr w:rsidR="00834AA0" w14:paraId="7225919D" w14:textId="77777777" w:rsidTr="002707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4BADF695" w14:textId="085899DE" w:rsidR="00834AA0" w:rsidRDefault="00834AA0">
            <w:r>
              <w:t>Jesus Reyes</w:t>
            </w:r>
          </w:p>
        </w:tc>
        <w:tc>
          <w:tcPr>
            <w:tcW w:w="4068" w:type="dxa"/>
          </w:tcPr>
          <w:p w14:paraId="6BD97EEE" w14:textId="108F6689" w:rsidR="00834AA0" w:rsidRDefault="00834AA0" w:rsidP="000E5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</w:t>
            </w:r>
            <w:r w:rsidR="003F2FCD">
              <w:t xml:space="preserve"> mechanisms such as rotation requirements, documentation of solicitation efforts, and public reporting of </w:t>
            </w:r>
            <w:proofErr w:type="spellStart"/>
            <w:r w:rsidR="003F2FCD">
              <w:t>OSBE</w:t>
            </w:r>
            <w:proofErr w:type="spellEnd"/>
            <w:r w:rsidR="003F2FCD">
              <w:t xml:space="preserve"> participation by agency</w:t>
            </w:r>
            <w:r w:rsidR="006B56F2">
              <w:t xml:space="preserve"> to help prevent repeat awards to the same vendors and support broader access.</w:t>
            </w:r>
          </w:p>
        </w:tc>
        <w:tc>
          <w:tcPr>
            <w:tcW w:w="4695" w:type="dxa"/>
          </w:tcPr>
          <w:p w14:paraId="11E75145" w14:textId="3160CDAC" w:rsidR="00834AA0" w:rsidRDefault="001879EA" w:rsidP="000E5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Some price agreements do </w:t>
            </w:r>
            <w:r w:rsidR="00C24CEB">
              <w:t>include</w:t>
            </w:r>
            <w:r w:rsidR="00AC637A">
              <w:t xml:space="preserve"> rotation requirements. </w:t>
            </w:r>
            <w:r w:rsidR="00D37B59">
              <w:t xml:space="preserve">DAS will consider </w:t>
            </w:r>
            <w:r w:rsidR="00CE0512">
              <w:t>using this more broadly</w:t>
            </w:r>
            <w:r w:rsidR="00C24CEB">
              <w:t xml:space="preserve">, especially as it relates to increasing access to </w:t>
            </w:r>
            <w:r w:rsidR="004922F0">
              <w:t xml:space="preserve">price agreements. </w:t>
            </w:r>
            <w:r w:rsidR="008E700B">
              <w:t xml:space="preserve">Solicitation efforts </w:t>
            </w:r>
            <w:r w:rsidR="00F20832">
              <w:t xml:space="preserve">are currently </w:t>
            </w:r>
            <w:r w:rsidR="00064889">
              <w:t xml:space="preserve">documented in agency procurement files. </w:t>
            </w:r>
            <w:r w:rsidR="004845E5">
              <w:t>Public reporting is a</w:t>
            </w:r>
            <w:r w:rsidR="004922F0">
              <w:t xml:space="preserve"> work in progress</w:t>
            </w:r>
            <w:r w:rsidR="00115AA0">
              <w:t xml:space="preserve"> on DAS’ Office of Procurement Equity website</w:t>
            </w:r>
            <w:r w:rsidR="0004385D">
              <w:t xml:space="preserve">. As DAS </w:t>
            </w:r>
            <w:proofErr w:type="gramStart"/>
            <w:r w:rsidR="0004385D">
              <w:t>is able to</w:t>
            </w:r>
            <w:proofErr w:type="gramEnd"/>
            <w:r w:rsidR="0004385D">
              <w:t xml:space="preserve"> collect more data, </w:t>
            </w:r>
            <w:r w:rsidR="00115AA0">
              <w:t>reporting options will increase</w:t>
            </w:r>
            <w:r w:rsidR="00923A8F">
              <w:t>.</w:t>
            </w:r>
          </w:p>
        </w:tc>
      </w:tr>
      <w:tr w:rsidR="00C7330C" w14:paraId="408758B2" w14:textId="77777777" w:rsidTr="0027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79FA4993" w14:textId="4D1E0031" w:rsidR="00C7330C" w:rsidRDefault="00C7330C">
            <w:r>
              <w:t>Jesus Reyes</w:t>
            </w:r>
          </w:p>
        </w:tc>
        <w:tc>
          <w:tcPr>
            <w:tcW w:w="4068" w:type="dxa"/>
          </w:tcPr>
          <w:p w14:paraId="11E5929A" w14:textId="1E6EADDD" w:rsidR="00C7330C" w:rsidRDefault="00C7330C" w:rsidP="000E5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Establish support systems</w:t>
            </w:r>
            <w:r w:rsidR="005F2D4E">
              <w:t xml:space="preserve"> from bidding to project completion</w:t>
            </w:r>
            <w:r>
              <w:t xml:space="preserve"> </w:t>
            </w:r>
            <w:r w:rsidR="002E4BA9">
              <w:t>that include technical assistance, project advocates, clear communication channels, and protections against unfair treatment by larger contractors.</w:t>
            </w:r>
          </w:p>
        </w:tc>
        <w:tc>
          <w:tcPr>
            <w:tcW w:w="4695" w:type="dxa"/>
          </w:tcPr>
          <w:p w14:paraId="22EC59A9" w14:textId="77777777" w:rsidR="00C7330C" w:rsidRDefault="003134CF" w:rsidP="000E5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Business Oregon </w:t>
            </w:r>
            <w:r w:rsidR="00A34C5B">
              <w:t xml:space="preserve">funds </w:t>
            </w:r>
            <w:r w:rsidR="00A41244">
              <w:t>28</w:t>
            </w:r>
            <w:r w:rsidR="00990525">
              <w:t xml:space="preserve"> </w:t>
            </w:r>
            <w:r w:rsidR="00E94809">
              <w:t>technical assistance</w:t>
            </w:r>
            <w:r w:rsidR="00990525">
              <w:t xml:space="preserve"> providers that provide a range of assistance</w:t>
            </w:r>
            <w:r w:rsidR="00E94809">
              <w:t xml:space="preserve"> for underrepresented business program</w:t>
            </w:r>
            <w:r w:rsidR="003C318E">
              <w:t>s (</w:t>
            </w:r>
            <w:hyperlink r:id="rId11" w:history="1">
              <w:r w:rsidR="003C318E">
                <w:rPr>
                  <w:rStyle w:val="Hyperlink"/>
                </w:rPr>
                <w:t>https://www.oregon.gov/biz/programs/technical_assistance_program/pages/default.aspx</w:t>
              </w:r>
            </w:hyperlink>
            <w:r w:rsidR="003C318E">
              <w:t>)</w:t>
            </w:r>
            <w:r w:rsidR="0054363D">
              <w:t>.</w:t>
            </w:r>
          </w:p>
          <w:p w14:paraId="6EB03A18" w14:textId="77777777" w:rsidR="0054363D" w:rsidRDefault="0054363D" w:rsidP="000E5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35DDB6" w14:textId="1E0D6945" w:rsidR="0054363D" w:rsidRDefault="0054363D" w:rsidP="000E5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DAS’ Office of Procurement Equity </w:t>
            </w:r>
            <w:r w:rsidR="001068A4">
              <w:t>also plan</w:t>
            </w:r>
            <w:r w:rsidR="00C121A8">
              <w:t>s</w:t>
            </w:r>
            <w:r w:rsidR="001068A4">
              <w:t xml:space="preserve"> to increase </w:t>
            </w:r>
            <w:r w:rsidR="000A6E8A">
              <w:t>its outreach efforts</w:t>
            </w:r>
            <w:r w:rsidR="00C121A8">
              <w:t xml:space="preserve"> </w:t>
            </w:r>
            <w:r w:rsidR="00A42A0F">
              <w:t xml:space="preserve">over the next year, with a goal of </w:t>
            </w:r>
            <w:r w:rsidR="00494174">
              <w:t xml:space="preserve">helping </w:t>
            </w:r>
            <w:proofErr w:type="spellStart"/>
            <w:r w:rsidR="00494174">
              <w:t>OSBEs</w:t>
            </w:r>
            <w:proofErr w:type="spellEnd"/>
            <w:r w:rsidR="00494174">
              <w:t xml:space="preserve"> ge</w:t>
            </w:r>
            <w:r w:rsidR="000A5DA2">
              <w:t>t contracts and price agreements.</w:t>
            </w:r>
          </w:p>
        </w:tc>
      </w:tr>
      <w:tr w:rsidR="00170F88" w14:paraId="01E49BA5" w14:textId="77777777" w:rsidTr="002707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33103ECA" w14:textId="7E7CFDE5" w:rsidR="00170F88" w:rsidRDefault="00170F88">
            <w:r>
              <w:t>Jesus Reyes</w:t>
            </w:r>
          </w:p>
        </w:tc>
        <w:tc>
          <w:tcPr>
            <w:tcW w:w="4068" w:type="dxa"/>
          </w:tcPr>
          <w:p w14:paraId="1145A11B" w14:textId="36CA4330" w:rsidR="00170F88" w:rsidRDefault="00170F88" w:rsidP="000E5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Establish oversight mechanisms that monitor agency compliance, vendor treatment, and award patter</w:t>
            </w:r>
            <w:r w:rsidR="009B0259">
              <w:t>n</w:t>
            </w:r>
            <w:r>
              <w:t>s.</w:t>
            </w:r>
          </w:p>
        </w:tc>
        <w:tc>
          <w:tcPr>
            <w:tcW w:w="4695" w:type="dxa"/>
          </w:tcPr>
          <w:p w14:paraId="3742347E" w14:textId="4AF3CD82" w:rsidR="00170F88" w:rsidRPr="00DB6EAA" w:rsidRDefault="008858A2" w:rsidP="000E5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EAA">
              <w:t>DA</w:t>
            </w:r>
            <w:r w:rsidR="00342263" w:rsidRPr="00DB6EAA">
              <w:t>S will</w:t>
            </w:r>
            <w:r w:rsidR="00021106" w:rsidRPr="00DB6EAA">
              <w:t xml:space="preserve"> consider this recommendation as it works to establish a procurement compliance program.</w:t>
            </w:r>
          </w:p>
        </w:tc>
      </w:tr>
      <w:tr w:rsidR="00867D8E" w14:paraId="33D1756F" w14:textId="77777777" w:rsidTr="0027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7AFA7A24" w14:textId="46F28975" w:rsidR="00867D8E" w:rsidRDefault="00927405">
            <w:r>
              <w:t>Khang Tran</w:t>
            </w:r>
          </w:p>
        </w:tc>
        <w:tc>
          <w:tcPr>
            <w:tcW w:w="4068" w:type="dxa"/>
          </w:tcPr>
          <w:p w14:paraId="762CA359" w14:textId="39A8F841" w:rsidR="00655C48" w:rsidRDefault="00062BC1" w:rsidP="000E5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Explore why nonprofit companies are ineligible for </w:t>
            </w:r>
            <w:proofErr w:type="spellStart"/>
            <w:r>
              <w:t>OSBE</w:t>
            </w:r>
            <w:proofErr w:type="spellEnd"/>
            <w:r>
              <w:t xml:space="preserve"> preference</w:t>
            </w:r>
            <w:r w:rsidR="00754920">
              <w:t>.</w:t>
            </w:r>
          </w:p>
        </w:tc>
        <w:tc>
          <w:tcPr>
            <w:tcW w:w="4695" w:type="dxa"/>
          </w:tcPr>
          <w:p w14:paraId="2983794E" w14:textId="2C64CC9A" w:rsidR="00A81F04" w:rsidRPr="00DB6EAA" w:rsidRDefault="00787B70" w:rsidP="000E5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EAA">
              <w:t>DAS notified Business Oregon of th</w:t>
            </w:r>
            <w:r w:rsidR="00AC09B9" w:rsidRPr="00DB6EAA">
              <w:t xml:space="preserve">is feedback. </w:t>
            </w:r>
            <w:r w:rsidR="00015706" w:rsidRPr="00DB6EAA">
              <w:t xml:space="preserve">Eligibility </w:t>
            </w:r>
            <w:r w:rsidR="009B1595" w:rsidRPr="00DB6EAA">
              <w:t>is tied to certification requirements</w:t>
            </w:r>
            <w:r w:rsidR="00471AA7" w:rsidRPr="00DB6EAA">
              <w:t xml:space="preserve"> established by Business Oregon</w:t>
            </w:r>
            <w:r w:rsidR="009B5E62" w:rsidRPr="00DB6EAA">
              <w:t>.</w:t>
            </w:r>
          </w:p>
        </w:tc>
      </w:tr>
      <w:tr w:rsidR="000E55AF" w14:paraId="3437B55D" w14:textId="77777777" w:rsidTr="002707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51CBC3FB" w14:textId="17A9BE18" w:rsidR="000E55AF" w:rsidRDefault="000E55AF" w:rsidP="002E3884">
            <w:r>
              <w:t>Khang Tran</w:t>
            </w:r>
          </w:p>
        </w:tc>
        <w:tc>
          <w:tcPr>
            <w:tcW w:w="4068" w:type="dxa"/>
          </w:tcPr>
          <w:p w14:paraId="112A657A" w14:textId="0F25DCEC" w:rsidR="000E55AF" w:rsidRDefault="000E55AF" w:rsidP="002E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toward getting more data, tracked by industry.</w:t>
            </w:r>
          </w:p>
        </w:tc>
        <w:tc>
          <w:tcPr>
            <w:tcW w:w="4695" w:type="dxa"/>
          </w:tcPr>
          <w:p w14:paraId="2283C560" w14:textId="714360E5" w:rsidR="000E55AF" w:rsidRPr="00DB6EAA" w:rsidRDefault="000E55AF" w:rsidP="002E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EAA">
              <w:t>DAS agrees this is a need and is exploring system enhancements and other opportunities to improve data collection.</w:t>
            </w:r>
          </w:p>
        </w:tc>
      </w:tr>
      <w:tr w:rsidR="002E3884" w14:paraId="63FE5E15" w14:textId="77777777" w:rsidTr="0027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4D0FAB55" w14:textId="4649983C" w:rsidR="002E3884" w:rsidRDefault="002E3884" w:rsidP="002E3884">
            <w:r>
              <w:t>Lillian Stevenson</w:t>
            </w:r>
          </w:p>
        </w:tc>
        <w:tc>
          <w:tcPr>
            <w:tcW w:w="4068" w:type="dxa"/>
          </w:tcPr>
          <w:p w14:paraId="6D2CAC59" w14:textId="122FD341" w:rsidR="002E3884" w:rsidRDefault="002E3884" w:rsidP="002E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Increase the number of </w:t>
            </w:r>
            <w:proofErr w:type="spellStart"/>
            <w:r>
              <w:t>OSBE</w:t>
            </w:r>
            <w:proofErr w:type="spellEnd"/>
            <w:r>
              <w:t xml:space="preserve"> quotes from 2 to 3</w:t>
            </w:r>
            <w:r w:rsidR="007C1A67">
              <w:t>.</w:t>
            </w:r>
          </w:p>
        </w:tc>
        <w:tc>
          <w:tcPr>
            <w:tcW w:w="4695" w:type="dxa"/>
          </w:tcPr>
          <w:p w14:paraId="65DCD5AE" w14:textId="7A9C2A18" w:rsidR="002E3884" w:rsidRPr="00DB6EAA" w:rsidRDefault="00FE1FC7" w:rsidP="002E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EAA">
              <w:t xml:space="preserve">DAS </w:t>
            </w:r>
            <w:r w:rsidR="005D0546" w:rsidRPr="00DB6EAA">
              <w:t>a</w:t>
            </w:r>
            <w:r w:rsidR="002E3884" w:rsidRPr="00DB6EAA">
              <w:t>ccept</w:t>
            </w:r>
            <w:r w:rsidR="005D0546" w:rsidRPr="00DB6EAA">
              <w:t>ed this</w:t>
            </w:r>
            <w:r w:rsidR="002E3884" w:rsidRPr="00DB6EAA">
              <w:t xml:space="preserve"> recommendation</w:t>
            </w:r>
            <w:r w:rsidR="00D34FDB" w:rsidRPr="00DB6EAA">
              <w:t xml:space="preserve"> and plans to require</w:t>
            </w:r>
            <w:r w:rsidR="00924327" w:rsidRPr="00DB6EAA">
              <w:t xml:space="preserve"> </w:t>
            </w:r>
            <w:r w:rsidR="00107AA5" w:rsidRPr="00DB6EAA">
              <w:t xml:space="preserve">that </w:t>
            </w:r>
            <w:r w:rsidR="00DB5406">
              <w:t>3</w:t>
            </w:r>
            <w:r w:rsidR="00924327" w:rsidRPr="00DB6EAA">
              <w:t xml:space="preserve"> quotes come from </w:t>
            </w:r>
            <w:proofErr w:type="spellStart"/>
            <w:r w:rsidR="00924327" w:rsidRPr="00DB6EAA">
              <w:t>OSBEs</w:t>
            </w:r>
            <w:proofErr w:type="spellEnd"/>
            <w:r w:rsidR="005D0546" w:rsidRPr="00DB6EAA">
              <w:t>.</w:t>
            </w:r>
          </w:p>
        </w:tc>
      </w:tr>
      <w:tr w:rsidR="002E3884" w14:paraId="4158C6A7" w14:textId="77777777" w:rsidTr="002707C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</w:tcPr>
          <w:p w14:paraId="7976C472" w14:textId="7971F04E" w:rsidR="002E3884" w:rsidRDefault="002E3884" w:rsidP="002E3884">
            <w:r>
              <w:lastRenderedPageBreak/>
              <w:t>Multiple</w:t>
            </w:r>
          </w:p>
        </w:tc>
        <w:tc>
          <w:tcPr>
            <w:tcW w:w="4068" w:type="dxa"/>
          </w:tcPr>
          <w:p w14:paraId="5C5B5395" w14:textId="1FCAC239" w:rsidR="005E529B" w:rsidRDefault="002E3884" w:rsidP="002E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Include public improvement and </w:t>
            </w:r>
            <w:proofErr w:type="spellStart"/>
            <w:r>
              <w:t>A&amp;E</w:t>
            </w:r>
            <w:proofErr w:type="spellEnd"/>
            <w:r>
              <w:t xml:space="preserve"> procurements in the </w:t>
            </w:r>
            <w:proofErr w:type="spellStart"/>
            <w:r>
              <w:t>OSBE</w:t>
            </w:r>
            <w:proofErr w:type="spellEnd"/>
            <w:r>
              <w:t xml:space="preserve"> preference program</w:t>
            </w:r>
            <w:r w:rsidR="007C1A67">
              <w:t>.</w:t>
            </w:r>
          </w:p>
        </w:tc>
        <w:tc>
          <w:tcPr>
            <w:tcW w:w="4695" w:type="dxa"/>
          </w:tcPr>
          <w:p w14:paraId="36A252DF" w14:textId="70C8A039" w:rsidR="002E3884" w:rsidRDefault="00410015" w:rsidP="002E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DAS will be reviewing </w:t>
            </w:r>
            <w:r w:rsidR="00E67C57">
              <w:t>the construction rules in 2027</w:t>
            </w:r>
            <w:r w:rsidR="00595A2F">
              <w:t xml:space="preserve"> and will consider this feedback at that time</w:t>
            </w:r>
            <w:r w:rsidR="00E67C57">
              <w:t>.</w:t>
            </w:r>
          </w:p>
        </w:tc>
      </w:tr>
    </w:tbl>
    <w:p w14:paraId="4071754F" w14:textId="5FF56C99" w:rsidR="00440050" w:rsidRDefault="00440050"/>
    <w:p w14:paraId="41AAD614" w14:textId="605532CB" w:rsidR="009D3F7E" w:rsidRDefault="009D3F7E">
      <w:r>
        <w:t>Rule #</w:t>
      </w:r>
      <w:r w:rsidR="00626682">
        <w:t>125-247-0200 (Buy Decision and Methods of Source Selection)</w:t>
      </w:r>
    </w:p>
    <w:tbl>
      <w:tblPr>
        <w:tblStyle w:val="ListTable3-Accent1"/>
        <w:tblW w:w="11050" w:type="dxa"/>
        <w:tblLayout w:type="fixed"/>
        <w:tblLook w:val="04A0" w:firstRow="1" w:lastRow="0" w:firstColumn="1" w:lastColumn="0" w:noHBand="0" w:noVBand="1"/>
      </w:tblPr>
      <w:tblGrid>
        <w:gridCol w:w="2311"/>
        <w:gridCol w:w="4332"/>
        <w:gridCol w:w="4407"/>
      </w:tblGrid>
      <w:tr w:rsidR="009D3F7E" w14:paraId="036C45EB" w14:textId="77777777" w:rsidTr="0065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1" w:type="dxa"/>
            <w:vAlign w:val="center"/>
          </w:tcPr>
          <w:p w14:paraId="4D3B313D" w14:textId="77777777" w:rsidR="009D3F7E" w:rsidRDefault="009D3F7E" w:rsidP="009B2F88">
            <w:pPr>
              <w:jc w:val="center"/>
            </w:pPr>
            <w:r>
              <w:t>RAC Member</w:t>
            </w:r>
          </w:p>
        </w:tc>
        <w:tc>
          <w:tcPr>
            <w:tcW w:w="4332" w:type="dxa"/>
            <w:vAlign w:val="center"/>
          </w:tcPr>
          <w:p w14:paraId="72DCDF87" w14:textId="77777777" w:rsidR="009D3F7E" w:rsidRDefault="009D3F7E" w:rsidP="009B2F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Recommendation</w:t>
            </w:r>
          </w:p>
        </w:tc>
        <w:tc>
          <w:tcPr>
            <w:tcW w:w="4407" w:type="dxa"/>
            <w:vAlign w:val="center"/>
          </w:tcPr>
          <w:p w14:paraId="1E782D3D" w14:textId="77777777" w:rsidR="009D3F7E" w:rsidRDefault="009D3F7E" w:rsidP="009B2F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Agency Response</w:t>
            </w:r>
          </w:p>
        </w:tc>
      </w:tr>
      <w:tr w:rsidR="009D3F7E" w14:paraId="7B8B656F" w14:textId="77777777" w:rsidTr="00651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</w:tcPr>
          <w:p w14:paraId="6BC30A28" w14:textId="329EE21B" w:rsidR="009D3F7E" w:rsidRDefault="00EC3735" w:rsidP="009B2F88">
            <w:r>
              <w:t>Jesus Reyes</w:t>
            </w:r>
          </w:p>
        </w:tc>
        <w:tc>
          <w:tcPr>
            <w:tcW w:w="4332" w:type="dxa"/>
          </w:tcPr>
          <w:p w14:paraId="34698CCE" w14:textId="21111A49" w:rsidR="009D3F7E" w:rsidRDefault="00EC3735" w:rsidP="009B2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</w:t>
            </w:r>
            <w:r w:rsidR="00010B6F">
              <w:t xml:space="preserve">sition </w:t>
            </w:r>
            <w:proofErr w:type="spellStart"/>
            <w:r w:rsidR="00010B6F">
              <w:t>OSBE</w:t>
            </w:r>
            <w:proofErr w:type="spellEnd"/>
            <w:r w:rsidR="00010B6F">
              <w:t xml:space="preserve"> after price agreements but before the open market</w:t>
            </w:r>
            <w:r w:rsidR="007C662B">
              <w:t xml:space="preserve"> because price agreements are already competitively bid, vetted, and stable</w:t>
            </w:r>
            <w:r w:rsidR="00E4621A">
              <w:t>, and should remain the first option.</w:t>
            </w:r>
          </w:p>
        </w:tc>
        <w:tc>
          <w:tcPr>
            <w:tcW w:w="4407" w:type="dxa"/>
          </w:tcPr>
          <w:p w14:paraId="504B8072" w14:textId="282DA5B9" w:rsidR="009D3F7E" w:rsidRDefault="00595A2F" w:rsidP="009B2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Many agency needs are met</w:t>
            </w:r>
            <w:r w:rsidR="002707C3">
              <w:t xml:space="preserve"> by</w:t>
            </w:r>
            <w:r>
              <w:t xml:space="preserve"> </w:t>
            </w:r>
            <w:r w:rsidR="002707C3">
              <w:t>using</w:t>
            </w:r>
            <w:r w:rsidR="009A228E">
              <w:t xml:space="preserve"> price agreements</w:t>
            </w:r>
            <w:r w:rsidR="001A4D79">
              <w:t xml:space="preserve">, and very few </w:t>
            </w:r>
            <w:proofErr w:type="spellStart"/>
            <w:r w:rsidR="001A4D79">
              <w:t>OSBEs</w:t>
            </w:r>
            <w:proofErr w:type="spellEnd"/>
            <w:r w:rsidR="001A4D79">
              <w:t xml:space="preserve"> have price agreements. </w:t>
            </w:r>
            <w:r w:rsidR="00C34A43">
              <w:t xml:space="preserve">Prioritizing </w:t>
            </w:r>
            <w:proofErr w:type="spellStart"/>
            <w:r w:rsidR="00C34A43">
              <w:t>OSBEs</w:t>
            </w:r>
            <w:proofErr w:type="spellEnd"/>
            <w:r w:rsidR="00C34A43">
              <w:t xml:space="preserve"> ahead of price agreements </w:t>
            </w:r>
            <w:r w:rsidR="004D0A37">
              <w:t xml:space="preserve">for smaller procurements (up to $25,000) </w:t>
            </w:r>
            <w:r w:rsidR="00C34A43">
              <w:t xml:space="preserve">makes this preference </w:t>
            </w:r>
            <w:r w:rsidR="004D0A37">
              <w:t>more meaningful.</w:t>
            </w:r>
          </w:p>
        </w:tc>
      </w:tr>
      <w:tr w:rsidR="00EC3735" w14:paraId="71043884" w14:textId="77777777" w:rsidTr="009B2F8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</w:tcPr>
          <w:p w14:paraId="65FF32CF" w14:textId="77777777" w:rsidR="00EC3735" w:rsidRDefault="00EC3735" w:rsidP="009B2F88">
            <w:r>
              <w:t>Multiple</w:t>
            </w:r>
          </w:p>
        </w:tc>
        <w:tc>
          <w:tcPr>
            <w:tcW w:w="4332" w:type="dxa"/>
          </w:tcPr>
          <w:p w14:paraId="0A4D212B" w14:textId="77777777" w:rsidR="00EC3735" w:rsidRDefault="00EC3735" w:rsidP="009B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Position </w:t>
            </w:r>
            <w:proofErr w:type="spellStart"/>
            <w:r>
              <w:t>OSBEs</w:t>
            </w:r>
            <w:proofErr w:type="spellEnd"/>
            <w:r>
              <w:t xml:space="preserve"> before price agreements in the Buy Decision for procurements in the intermediate threshold ($25,000-$250,000).</w:t>
            </w:r>
          </w:p>
        </w:tc>
        <w:tc>
          <w:tcPr>
            <w:tcW w:w="4407" w:type="dxa"/>
          </w:tcPr>
          <w:p w14:paraId="4BFE2CA9" w14:textId="77777777" w:rsidR="00EC3735" w:rsidRDefault="00EC3735" w:rsidP="009B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DAS is committed to getting </w:t>
            </w:r>
            <w:proofErr w:type="spellStart"/>
            <w:r>
              <w:t>OSBEs</w:t>
            </w:r>
            <w:proofErr w:type="spellEnd"/>
            <w:r>
              <w:t xml:space="preserve"> </w:t>
            </w:r>
            <w:r w:rsidRPr="0019613B">
              <w:rPr>
                <w:u w:val="single"/>
              </w:rPr>
              <w:t>on</w:t>
            </w:r>
            <w:r>
              <w:t xml:space="preserve"> price agreements for a few reasons: 1) having a price agreement significantly increases the chances of being awarded a contract, 2) companies on price agreement do not need to respond to complex solicitations, and 3) state agencies and local governments use price agreements—exposure is high.</w:t>
            </w:r>
          </w:p>
        </w:tc>
      </w:tr>
    </w:tbl>
    <w:p w14:paraId="028A266C" w14:textId="77777777" w:rsidR="009D3F7E" w:rsidRDefault="009D3F7E" w:rsidP="009D3F7E"/>
    <w:p w14:paraId="35E1B841" w14:textId="77777777" w:rsidR="009D3F7E" w:rsidRDefault="009D3F7E"/>
    <w:p w14:paraId="50CE2096" w14:textId="18CDCA2A" w:rsidR="008119A7" w:rsidRDefault="008119A7"/>
    <w:sectPr w:rsidR="008119A7" w:rsidSect="0065129A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2A14" w14:textId="77777777" w:rsidR="005C0A97" w:rsidRDefault="005C0A97" w:rsidP="00D1645B">
      <w:pPr>
        <w:spacing w:after="0" w:line="240" w:lineRule="auto"/>
      </w:pPr>
      <w:r>
        <w:separator/>
      </w:r>
    </w:p>
  </w:endnote>
  <w:endnote w:type="continuationSeparator" w:id="0">
    <w:p w14:paraId="033D7F09" w14:textId="77777777" w:rsidR="005C0A97" w:rsidRDefault="005C0A97" w:rsidP="00D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AC5B" w14:textId="77777777" w:rsidR="009B2F88" w:rsidRDefault="009B2F88" w:rsidP="009B2F88">
    <w:pPr>
      <w:pStyle w:val="Footer"/>
      <w:jc w:val="right"/>
    </w:pPr>
  </w:p>
  <w:sdt>
    <w:sdtPr>
      <w:id w:val="741604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6604D" w14:textId="58B1989D" w:rsidR="009B2F88" w:rsidRDefault="009B2F88" w:rsidP="009B2F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A938" w14:textId="77777777" w:rsidR="005C0A97" w:rsidRDefault="005C0A97" w:rsidP="00D1645B">
      <w:pPr>
        <w:spacing w:after="0" w:line="240" w:lineRule="auto"/>
      </w:pPr>
      <w:r>
        <w:separator/>
      </w:r>
    </w:p>
  </w:footnote>
  <w:footnote w:type="continuationSeparator" w:id="0">
    <w:p w14:paraId="17B866BE" w14:textId="77777777" w:rsidR="005C0A97" w:rsidRDefault="005C0A97" w:rsidP="00D1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E07EA"/>
    <w:multiLevelType w:val="hybridMultilevel"/>
    <w:tmpl w:val="7F92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04"/>
    <w:rsid w:val="00002585"/>
    <w:rsid w:val="00010B6F"/>
    <w:rsid w:val="00015706"/>
    <w:rsid w:val="000172B9"/>
    <w:rsid w:val="00021106"/>
    <w:rsid w:val="0002292D"/>
    <w:rsid w:val="0002330E"/>
    <w:rsid w:val="00035230"/>
    <w:rsid w:val="0003566D"/>
    <w:rsid w:val="0004385D"/>
    <w:rsid w:val="00062BC1"/>
    <w:rsid w:val="00064889"/>
    <w:rsid w:val="00065FCF"/>
    <w:rsid w:val="00084299"/>
    <w:rsid w:val="000859A4"/>
    <w:rsid w:val="000A5DA2"/>
    <w:rsid w:val="000A6E8A"/>
    <w:rsid w:val="000B13DD"/>
    <w:rsid w:val="000B34A6"/>
    <w:rsid w:val="000C2FCE"/>
    <w:rsid w:val="000E3989"/>
    <w:rsid w:val="000E55AF"/>
    <w:rsid w:val="000F3191"/>
    <w:rsid w:val="001006EB"/>
    <w:rsid w:val="00102E8C"/>
    <w:rsid w:val="001068A4"/>
    <w:rsid w:val="00107AA5"/>
    <w:rsid w:val="00107C05"/>
    <w:rsid w:val="00115AA0"/>
    <w:rsid w:val="00121A89"/>
    <w:rsid w:val="0012359E"/>
    <w:rsid w:val="00125753"/>
    <w:rsid w:val="00141560"/>
    <w:rsid w:val="00167CAB"/>
    <w:rsid w:val="00170F88"/>
    <w:rsid w:val="00172580"/>
    <w:rsid w:val="001773A0"/>
    <w:rsid w:val="001848A2"/>
    <w:rsid w:val="00186AA4"/>
    <w:rsid w:val="001879EA"/>
    <w:rsid w:val="00187FEC"/>
    <w:rsid w:val="0019299C"/>
    <w:rsid w:val="00195611"/>
    <w:rsid w:val="0019613B"/>
    <w:rsid w:val="001A4D79"/>
    <w:rsid w:val="001A65B2"/>
    <w:rsid w:val="001B4C5D"/>
    <w:rsid w:val="001B755E"/>
    <w:rsid w:val="001C6BC0"/>
    <w:rsid w:val="001F7724"/>
    <w:rsid w:val="0020092B"/>
    <w:rsid w:val="00207C47"/>
    <w:rsid w:val="002232A2"/>
    <w:rsid w:val="002307A3"/>
    <w:rsid w:val="00235711"/>
    <w:rsid w:val="00244EE8"/>
    <w:rsid w:val="002546FC"/>
    <w:rsid w:val="00257A90"/>
    <w:rsid w:val="002707C3"/>
    <w:rsid w:val="00282CB1"/>
    <w:rsid w:val="00283902"/>
    <w:rsid w:val="0029715C"/>
    <w:rsid w:val="00297A98"/>
    <w:rsid w:val="002A2966"/>
    <w:rsid w:val="002C36C8"/>
    <w:rsid w:val="002C7370"/>
    <w:rsid w:val="002E1F51"/>
    <w:rsid w:val="002E3884"/>
    <w:rsid w:val="002E4BA9"/>
    <w:rsid w:val="002E56FC"/>
    <w:rsid w:val="002F2DBE"/>
    <w:rsid w:val="002F2F55"/>
    <w:rsid w:val="00301244"/>
    <w:rsid w:val="003107DD"/>
    <w:rsid w:val="00311B6C"/>
    <w:rsid w:val="003134CF"/>
    <w:rsid w:val="00313962"/>
    <w:rsid w:val="003168E2"/>
    <w:rsid w:val="00317913"/>
    <w:rsid w:val="003275AF"/>
    <w:rsid w:val="00332B1E"/>
    <w:rsid w:val="00342263"/>
    <w:rsid w:val="003561B1"/>
    <w:rsid w:val="00363D13"/>
    <w:rsid w:val="00373F04"/>
    <w:rsid w:val="003840BF"/>
    <w:rsid w:val="003A7B8B"/>
    <w:rsid w:val="003B629C"/>
    <w:rsid w:val="003C180F"/>
    <w:rsid w:val="003C318E"/>
    <w:rsid w:val="003C399A"/>
    <w:rsid w:val="003D50E4"/>
    <w:rsid w:val="003D6AAB"/>
    <w:rsid w:val="003E5AA7"/>
    <w:rsid w:val="003E7104"/>
    <w:rsid w:val="003F190A"/>
    <w:rsid w:val="003F2FCD"/>
    <w:rsid w:val="0040000A"/>
    <w:rsid w:val="00401161"/>
    <w:rsid w:val="00401561"/>
    <w:rsid w:val="00410015"/>
    <w:rsid w:val="004153CA"/>
    <w:rsid w:val="00425E0C"/>
    <w:rsid w:val="00426645"/>
    <w:rsid w:val="00430D23"/>
    <w:rsid w:val="00432517"/>
    <w:rsid w:val="00435DE2"/>
    <w:rsid w:val="00440050"/>
    <w:rsid w:val="0045780D"/>
    <w:rsid w:val="00463757"/>
    <w:rsid w:val="00465B7F"/>
    <w:rsid w:val="004703BB"/>
    <w:rsid w:val="00471AA7"/>
    <w:rsid w:val="004845E5"/>
    <w:rsid w:val="00487235"/>
    <w:rsid w:val="004922F0"/>
    <w:rsid w:val="00492BBB"/>
    <w:rsid w:val="00494174"/>
    <w:rsid w:val="00495522"/>
    <w:rsid w:val="0049757B"/>
    <w:rsid w:val="004A1090"/>
    <w:rsid w:val="004B0043"/>
    <w:rsid w:val="004B059A"/>
    <w:rsid w:val="004B1189"/>
    <w:rsid w:val="004C06E0"/>
    <w:rsid w:val="004D0A37"/>
    <w:rsid w:val="004E21E1"/>
    <w:rsid w:val="004E4BCE"/>
    <w:rsid w:val="005100FA"/>
    <w:rsid w:val="00522A17"/>
    <w:rsid w:val="00534605"/>
    <w:rsid w:val="0054363D"/>
    <w:rsid w:val="00556833"/>
    <w:rsid w:val="00560E2A"/>
    <w:rsid w:val="00572CC2"/>
    <w:rsid w:val="00576E47"/>
    <w:rsid w:val="005914B6"/>
    <w:rsid w:val="00593D7E"/>
    <w:rsid w:val="00595A2F"/>
    <w:rsid w:val="005C0A97"/>
    <w:rsid w:val="005C707B"/>
    <w:rsid w:val="005D0546"/>
    <w:rsid w:val="005E2064"/>
    <w:rsid w:val="005E529B"/>
    <w:rsid w:val="005F278A"/>
    <w:rsid w:val="005F2D4E"/>
    <w:rsid w:val="005F6115"/>
    <w:rsid w:val="00621E01"/>
    <w:rsid w:val="00626682"/>
    <w:rsid w:val="0063191C"/>
    <w:rsid w:val="0065129A"/>
    <w:rsid w:val="00655C48"/>
    <w:rsid w:val="006763A1"/>
    <w:rsid w:val="006920B7"/>
    <w:rsid w:val="00694BD4"/>
    <w:rsid w:val="0069701F"/>
    <w:rsid w:val="00697297"/>
    <w:rsid w:val="006A2602"/>
    <w:rsid w:val="006B56F2"/>
    <w:rsid w:val="006E6A8F"/>
    <w:rsid w:val="006F4362"/>
    <w:rsid w:val="007003F3"/>
    <w:rsid w:val="007100C7"/>
    <w:rsid w:val="00721507"/>
    <w:rsid w:val="0073595F"/>
    <w:rsid w:val="0073730D"/>
    <w:rsid w:val="00754920"/>
    <w:rsid w:val="00756202"/>
    <w:rsid w:val="00765E23"/>
    <w:rsid w:val="0076684C"/>
    <w:rsid w:val="00780A71"/>
    <w:rsid w:val="00787B70"/>
    <w:rsid w:val="007A3FFE"/>
    <w:rsid w:val="007C1A67"/>
    <w:rsid w:val="007C662B"/>
    <w:rsid w:val="007D5D62"/>
    <w:rsid w:val="00804807"/>
    <w:rsid w:val="008119A7"/>
    <w:rsid w:val="008136D5"/>
    <w:rsid w:val="00817791"/>
    <w:rsid w:val="00820519"/>
    <w:rsid w:val="00830E68"/>
    <w:rsid w:val="00832130"/>
    <w:rsid w:val="00834AA0"/>
    <w:rsid w:val="00861F45"/>
    <w:rsid w:val="00867D8E"/>
    <w:rsid w:val="008858A2"/>
    <w:rsid w:val="00895FFC"/>
    <w:rsid w:val="008D4370"/>
    <w:rsid w:val="008D5E30"/>
    <w:rsid w:val="008E700B"/>
    <w:rsid w:val="008E78A1"/>
    <w:rsid w:val="008F0A8E"/>
    <w:rsid w:val="008F18EB"/>
    <w:rsid w:val="008F77C5"/>
    <w:rsid w:val="009001FC"/>
    <w:rsid w:val="009173C3"/>
    <w:rsid w:val="00917C4E"/>
    <w:rsid w:val="00923A8F"/>
    <w:rsid w:val="00924327"/>
    <w:rsid w:val="00927405"/>
    <w:rsid w:val="0094110D"/>
    <w:rsid w:val="00962506"/>
    <w:rsid w:val="00990525"/>
    <w:rsid w:val="0099141D"/>
    <w:rsid w:val="009A228E"/>
    <w:rsid w:val="009A3CF4"/>
    <w:rsid w:val="009A3F8B"/>
    <w:rsid w:val="009B0259"/>
    <w:rsid w:val="009B1595"/>
    <w:rsid w:val="009B221B"/>
    <w:rsid w:val="009B2F88"/>
    <w:rsid w:val="009B5DAB"/>
    <w:rsid w:val="009B5E62"/>
    <w:rsid w:val="009D3F7E"/>
    <w:rsid w:val="009F6A9F"/>
    <w:rsid w:val="00A16A82"/>
    <w:rsid w:val="00A335DE"/>
    <w:rsid w:val="00A34C5B"/>
    <w:rsid w:val="00A41244"/>
    <w:rsid w:val="00A42A0F"/>
    <w:rsid w:val="00A553DA"/>
    <w:rsid w:val="00A55D41"/>
    <w:rsid w:val="00A81F04"/>
    <w:rsid w:val="00A85111"/>
    <w:rsid w:val="00A8633D"/>
    <w:rsid w:val="00A96770"/>
    <w:rsid w:val="00AA7FB2"/>
    <w:rsid w:val="00AB6226"/>
    <w:rsid w:val="00AB64D9"/>
    <w:rsid w:val="00AC09B9"/>
    <w:rsid w:val="00AC1D20"/>
    <w:rsid w:val="00AC3163"/>
    <w:rsid w:val="00AC4568"/>
    <w:rsid w:val="00AC637A"/>
    <w:rsid w:val="00AE706F"/>
    <w:rsid w:val="00AF3491"/>
    <w:rsid w:val="00AF4B97"/>
    <w:rsid w:val="00AF54D7"/>
    <w:rsid w:val="00AF7A73"/>
    <w:rsid w:val="00B10A52"/>
    <w:rsid w:val="00B20364"/>
    <w:rsid w:val="00B30F23"/>
    <w:rsid w:val="00B4202A"/>
    <w:rsid w:val="00B86B16"/>
    <w:rsid w:val="00B92B0F"/>
    <w:rsid w:val="00BB2F99"/>
    <w:rsid w:val="00BC066F"/>
    <w:rsid w:val="00BC073E"/>
    <w:rsid w:val="00BD0974"/>
    <w:rsid w:val="00BE6E3D"/>
    <w:rsid w:val="00BF131C"/>
    <w:rsid w:val="00BF2CE3"/>
    <w:rsid w:val="00C121A8"/>
    <w:rsid w:val="00C22303"/>
    <w:rsid w:val="00C23ABA"/>
    <w:rsid w:val="00C24CEB"/>
    <w:rsid w:val="00C34A43"/>
    <w:rsid w:val="00C363B3"/>
    <w:rsid w:val="00C638F9"/>
    <w:rsid w:val="00C7330C"/>
    <w:rsid w:val="00C82BF3"/>
    <w:rsid w:val="00C8762E"/>
    <w:rsid w:val="00C95430"/>
    <w:rsid w:val="00C964D0"/>
    <w:rsid w:val="00CA0471"/>
    <w:rsid w:val="00CA304F"/>
    <w:rsid w:val="00CB5057"/>
    <w:rsid w:val="00CB6CDB"/>
    <w:rsid w:val="00CC22BC"/>
    <w:rsid w:val="00CC3CB4"/>
    <w:rsid w:val="00CE041D"/>
    <w:rsid w:val="00CE0512"/>
    <w:rsid w:val="00CE1042"/>
    <w:rsid w:val="00CE5E55"/>
    <w:rsid w:val="00CF19FF"/>
    <w:rsid w:val="00CF795E"/>
    <w:rsid w:val="00D04DFE"/>
    <w:rsid w:val="00D1645B"/>
    <w:rsid w:val="00D33407"/>
    <w:rsid w:val="00D34FDB"/>
    <w:rsid w:val="00D37B59"/>
    <w:rsid w:val="00D500DF"/>
    <w:rsid w:val="00D57A5E"/>
    <w:rsid w:val="00D8213D"/>
    <w:rsid w:val="00DB5406"/>
    <w:rsid w:val="00DB6EAA"/>
    <w:rsid w:val="00DD180E"/>
    <w:rsid w:val="00DE0EAE"/>
    <w:rsid w:val="00DE3638"/>
    <w:rsid w:val="00DF7647"/>
    <w:rsid w:val="00E270CA"/>
    <w:rsid w:val="00E2741D"/>
    <w:rsid w:val="00E441FA"/>
    <w:rsid w:val="00E4621A"/>
    <w:rsid w:val="00E65F33"/>
    <w:rsid w:val="00E67C57"/>
    <w:rsid w:val="00E86823"/>
    <w:rsid w:val="00E93E96"/>
    <w:rsid w:val="00E94809"/>
    <w:rsid w:val="00EA12EE"/>
    <w:rsid w:val="00EC3735"/>
    <w:rsid w:val="00ED7FD1"/>
    <w:rsid w:val="00EE59E7"/>
    <w:rsid w:val="00EF6AA6"/>
    <w:rsid w:val="00F03670"/>
    <w:rsid w:val="00F135B3"/>
    <w:rsid w:val="00F20832"/>
    <w:rsid w:val="00F33AF8"/>
    <w:rsid w:val="00F4103C"/>
    <w:rsid w:val="00F656D0"/>
    <w:rsid w:val="00F6754F"/>
    <w:rsid w:val="00F7197D"/>
    <w:rsid w:val="00FE1FC7"/>
    <w:rsid w:val="00FE6B68"/>
    <w:rsid w:val="1BFF4D80"/>
    <w:rsid w:val="1D793976"/>
    <w:rsid w:val="58DA9B40"/>
    <w:rsid w:val="6E7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B02C"/>
  <w15:chartTrackingRefBased/>
  <w15:docId w15:val="{81F0102E-EC88-4342-AA36-AE736EF5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E270CA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6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B1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2DB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C3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1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5B"/>
  </w:style>
  <w:style w:type="paragraph" w:styleId="Footer">
    <w:name w:val="footer"/>
    <w:basedOn w:val="Normal"/>
    <w:link w:val="FooterChar"/>
    <w:uiPriority w:val="99"/>
    <w:unhideWhenUsed/>
    <w:rsid w:val="00D1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biz/programs/technical_assistance_program/pages/default.asp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>OAR</Topic_x0020_area>
    <Subtopic xmlns="206e90fd-1cdc-403b-9525-8a9baabafd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A7DE9-F73C-4A08-912B-3574B1E20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A6939-B59F-4B05-8A0B-9D7488BB52A6}">
  <ds:schemaRefs>
    <ds:schemaRef ds:uri="http://purl.org/dc/elements/1.1/"/>
    <ds:schemaRef ds:uri="7bf89eec-2334-4f86-90e7-a40c6286526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EB9D3E-44A7-4355-B9A0-DF488436A90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Links>
    <vt:vector size="6" baseType="variant"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https://www.oregon.gov/biz/programs/technical_assistance_program/pages/default.aspx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 Janet * DAS</dc:creator>
  <cp:keywords/>
  <dc:description/>
  <cp:lastModifiedBy>CHAMBERS Janet * DAS</cp:lastModifiedBy>
  <cp:revision>4</cp:revision>
  <dcterms:created xsi:type="dcterms:W3CDTF">2026-04-22T23:44:00Z</dcterms:created>
  <dcterms:modified xsi:type="dcterms:W3CDTF">2026-04-27T23:12:00Z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