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263FD1" w14:textId="77777777" w:rsidR="007460C9" w:rsidRDefault="007460C9" w:rsidP="000721F2">
      <w:pPr>
        <w:rPr>
          <w:rFonts w:cs="Times New Roman"/>
          <w:bCs/>
          <w:sz w:val="22"/>
        </w:rPr>
      </w:pPr>
    </w:p>
    <w:p w14:paraId="7D6B04B9" w14:textId="77777777" w:rsidR="00E45F3D" w:rsidRDefault="00E45F3D" w:rsidP="000721F2">
      <w:pPr>
        <w:rPr>
          <w:rFonts w:cs="Times New Roman"/>
          <w:bCs/>
          <w:sz w:val="22"/>
        </w:rPr>
        <w:sectPr w:rsidR="00E45F3D" w:rsidSect="00F8207B">
          <w:headerReference w:type="default" r:id="rId11"/>
          <w:footerReference w:type="default" r:id="rId12"/>
          <w:headerReference w:type="first" r:id="rId13"/>
          <w:footerReference w:type="first" r:id="rId14"/>
          <w:pgSz w:w="12240" w:h="15840"/>
          <w:pgMar w:top="1440" w:right="0" w:bottom="0" w:left="0" w:header="720" w:footer="0" w:gutter="0"/>
          <w:cols w:space="720"/>
          <w:titlePg/>
          <w:docGrid w:linePitch="360"/>
        </w:sectPr>
      </w:pPr>
    </w:p>
    <w:p w14:paraId="0DA11835" w14:textId="77777777" w:rsidR="007460C9" w:rsidRDefault="007460C9" w:rsidP="000721F2">
      <w:pPr>
        <w:rPr>
          <w:rFonts w:cs="Times New Roman"/>
          <w:bCs/>
          <w:sz w:val="22"/>
        </w:rPr>
      </w:pPr>
    </w:p>
    <w:p w14:paraId="782A6B6A" w14:textId="77777777" w:rsidR="007460C9" w:rsidRDefault="007460C9" w:rsidP="000721F2">
      <w:pPr>
        <w:rPr>
          <w:rFonts w:cs="Times New Roman"/>
          <w:bCs/>
          <w:sz w:val="22"/>
        </w:rPr>
      </w:pPr>
    </w:p>
    <w:p w14:paraId="0E67AA43" w14:textId="77777777" w:rsidR="007460C9" w:rsidRDefault="007460C9" w:rsidP="000721F2">
      <w:pPr>
        <w:rPr>
          <w:rFonts w:cs="Times New Roman"/>
          <w:bCs/>
          <w:sz w:val="22"/>
        </w:rPr>
      </w:pPr>
    </w:p>
    <w:p w14:paraId="39FB7D6B" w14:textId="77777777" w:rsidR="007460C9" w:rsidRDefault="007460C9" w:rsidP="000721F2">
      <w:pPr>
        <w:rPr>
          <w:rFonts w:cs="Times New Roman"/>
          <w:bCs/>
          <w:sz w:val="22"/>
        </w:rPr>
      </w:pPr>
    </w:p>
    <w:p w14:paraId="00074ABE" w14:textId="77777777" w:rsidR="007460C9" w:rsidRDefault="007460C9" w:rsidP="000721F2">
      <w:pPr>
        <w:rPr>
          <w:rFonts w:cs="Times New Roman"/>
          <w:bCs/>
          <w:sz w:val="22"/>
        </w:rPr>
      </w:pPr>
    </w:p>
    <w:p w14:paraId="32CAF879" w14:textId="77777777" w:rsidR="007460C9" w:rsidRDefault="007460C9" w:rsidP="000721F2">
      <w:pPr>
        <w:rPr>
          <w:rFonts w:cs="Times New Roman"/>
          <w:bCs/>
          <w:sz w:val="22"/>
        </w:rPr>
      </w:pPr>
    </w:p>
    <w:p w14:paraId="2FAAFC32" w14:textId="77777777" w:rsidR="007460C9" w:rsidRDefault="007460C9" w:rsidP="000721F2">
      <w:pPr>
        <w:rPr>
          <w:rFonts w:cs="Times New Roman"/>
          <w:bCs/>
          <w:sz w:val="22"/>
        </w:rPr>
      </w:pPr>
    </w:p>
    <w:p w14:paraId="0FCE8FEB" w14:textId="0214104E" w:rsidR="005E4825" w:rsidRPr="005E4825" w:rsidRDefault="00D83EA9" w:rsidP="00E45F3D">
      <w:pPr>
        <w:rPr>
          <w:rFonts w:ascii="Montserrat" w:hAnsi="Montserrat"/>
          <w:b/>
          <w:sz w:val="22"/>
          <w:szCs w:val="22"/>
        </w:rPr>
      </w:pPr>
      <w:r w:rsidRPr="2E12E5CC">
        <w:rPr>
          <w:rFonts w:ascii="Montserrat" w:eastAsiaTheme="majorEastAsia" w:hAnsi="Montserrat" w:cstheme="majorBidi"/>
          <w:b/>
          <w:bCs/>
          <w:caps/>
          <w:color w:val="00579B" w:themeColor="text2"/>
          <w:spacing w:val="-15"/>
          <w:sz w:val="72"/>
          <w:szCs w:val="72"/>
        </w:rPr>
        <w:t>A</w:t>
      </w:r>
      <w:r w:rsidR="480FB887" w:rsidRPr="2E12E5CC">
        <w:rPr>
          <w:rFonts w:ascii="Montserrat" w:eastAsiaTheme="majorEastAsia" w:hAnsi="Montserrat" w:cstheme="majorBidi"/>
          <w:b/>
          <w:bCs/>
          <w:caps/>
          <w:color w:val="00579B" w:themeColor="text2"/>
          <w:spacing w:val="-15"/>
          <w:sz w:val="72"/>
          <w:szCs w:val="72"/>
        </w:rPr>
        <w:t>GENCY REQUEST BUDGET PRICE LIST OF GOODS &amp; SERVICES</w:t>
      </w:r>
    </w:p>
    <w:p w14:paraId="0273E27F" w14:textId="7CDE8E6F" w:rsidR="00100E3D" w:rsidRDefault="00894E23" w:rsidP="00C604A0">
      <w:pPr>
        <w:rPr>
          <w:rFonts w:cs="Times New Roman"/>
          <w:bCs/>
          <w:sz w:val="32"/>
          <w:szCs w:val="28"/>
        </w:rPr>
      </w:pPr>
      <w:r>
        <w:rPr>
          <w:rFonts w:cs="Times New Roman"/>
          <w:bCs/>
          <w:sz w:val="32"/>
          <w:szCs w:val="28"/>
        </w:rPr>
        <w:t xml:space="preserve">Oregon State Government </w:t>
      </w:r>
    </w:p>
    <w:p w14:paraId="1FEE285A" w14:textId="789A3CA9" w:rsidR="001F335D" w:rsidRPr="00F0143A" w:rsidRDefault="00C7212C" w:rsidP="00C604A0">
      <w:pPr>
        <w:rPr>
          <w:rFonts w:cs="Times New Roman"/>
          <w:bCs/>
          <w:sz w:val="32"/>
          <w:szCs w:val="32"/>
        </w:rPr>
      </w:pPr>
      <w:r>
        <w:rPr>
          <w:rFonts w:cs="Times New Roman"/>
          <w:bCs/>
          <w:sz w:val="32"/>
          <w:szCs w:val="32"/>
        </w:rPr>
        <w:t>20</w:t>
      </w:r>
      <w:r w:rsidR="00F0143A" w:rsidRPr="00F0143A">
        <w:rPr>
          <w:rFonts w:cs="Times New Roman"/>
          <w:bCs/>
          <w:sz w:val="32"/>
          <w:szCs w:val="32"/>
        </w:rPr>
        <w:t>27-</w:t>
      </w:r>
      <w:r>
        <w:rPr>
          <w:rFonts w:cs="Times New Roman"/>
          <w:bCs/>
          <w:sz w:val="32"/>
          <w:szCs w:val="32"/>
        </w:rPr>
        <w:t>20</w:t>
      </w:r>
      <w:r w:rsidR="00F0143A" w:rsidRPr="00F0143A">
        <w:rPr>
          <w:rFonts w:cs="Times New Roman"/>
          <w:bCs/>
          <w:sz w:val="32"/>
          <w:szCs w:val="32"/>
        </w:rPr>
        <w:t xml:space="preserve">29 Biennium </w:t>
      </w:r>
    </w:p>
    <w:p w14:paraId="448B967A" w14:textId="05456F60" w:rsidR="00E45F3D" w:rsidRDefault="00784AE5" w:rsidP="00E45F3D">
      <w:pPr>
        <w:tabs>
          <w:tab w:val="left" w:pos="1620"/>
        </w:tabs>
        <w:rPr>
          <w:rFonts w:cs="Times New Roman"/>
          <w:b/>
          <w:sz w:val="32"/>
          <w:szCs w:val="28"/>
        </w:rPr>
      </w:pPr>
      <w:r>
        <w:rPr>
          <w:rFonts w:cs="Times New Roman"/>
          <w:b/>
          <w:sz w:val="32"/>
          <w:szCs w:val="28"/>
        </w:rPr>
        <w:t xml:space="preserve">April </w:t>
      </w:r>
      <w:r w:rsidR="0034731A">
        <w:rPr>
          <w:rFonts w:cs="Times New Roman"/>
          <w:b/>
          <w:sz w:val="32"/>
          <w:szCs w:val="28"/>
        </w:rPr>
        <w:t xml:space="preserve">23, </w:t>
      </w:r>
      <w:r w:rsidR="00E45F3D" w:rsidRPr="00E45F3D">
        <w:rPr>
          <w:rFonts w:cs="Times New Roman"/>
          <w:b/>
          <w:sz w:val="32"/>
          <w:szCs w:val="28"/>
        </w:rPr>
        <w:t>2026</w:t>
      </w:r>
    </w:p>
    <w:p w14:paraId="7301D982" w14:textId="77777777" w:rsidR="006A516A" w:rsidRPr="00FC6030" w:rsidRDefault="006A516A" w:rsidP="00FC6030">
      <w:pPr>
        <w:rPr>
          <w:rFonts w:cs="Times New Roman"/>
          <w:sz w:val="22"/>
        </w:rPr>
      </w:pPr>
    </w:p>
    <w:p w14:paraId="2810FA10" w14:textId="3F5F9998" w:rsidR="00562109" w:rsidRPr="00C746C5" w:rsidRDefault="00562109" w:rsidP="00C746C5">
      <w:pPr>
        <w:rPr>
          <w:szCs w:val="24"/>
        </w:rPr>
      </w:pPr>
      <w:r w:rsidRPr="00C746C5">
        <w:rPr>
          <w:szCs w:val="24"/>
        </w:rPr>
        <w:tab/>
      </w:r>
      <w:r w:rsidRPr="00C746C5">
        <w:rPr>
          <w:szCs w:val="24"/>
        </w:rPr>
        <w:tab/>
      </w:r>
    </w:p>
    <w:sdt>
      <w:sdtPr>
        <w:rPr>
          <w:rFonts w:asciiTheme="minorHAnsi" w:eastAsiaTheme="minorEastAsia" w:hAnsiTheme="minorHAnsi" w:cstheme="minorBidi"/>
          <w:b w:val="0"/>
          <w:sz w:val="24"/>
          <w:szCs w:val="20"/>
        </w:rPr>
        <w:id w:val="862788770"/>
        <w:docPartObj>
          <w:docPartGallery w:val="Table of Contents"/>
          <w:docPartUnique/>
        </w:docPartObj>
      </w:sdtPr>
      <w:sdtEndPr>
        <w:rPr>
          <w:bCs/>
          <w:noProof/>
        </w:rPr>
      </w:sdtEndPr>
      <w:sdtContent>
        <w:p w14:paraId="163893C9" w14:textId="24233F44" w:rsidR="00262FA0" w:rsidRDefault="00262FA0">
          <w:pPr>
            <w:pStyle w:val="TOCHeading"/>
          </w:pPr>
          <w:r>
            <w:t>Table of Contents</w:t>
          </w:r>
        </w:p>
        <w:p w14:paraId="39C6D7DA" w14:textId="1AF0D125" w:rsidR="00CA2F3F" w:rsidRDefault="00262FA0">
          <w:pPr>
            <w:pStyle w:val="TOC2"/>
            <w:rPr>
              <w:rFonts w:cstheme="minorBidi"/>
              <w:noProof/>
              <w:kern w:val="2"/>
              <w:sz w:val="24"/>
              <w:szCs w:val="24"/>
              <w14:ligatures w14:val="standardContextual"/>
            </w:rPr>
          </w:pPr>
          <w:r>
            <w:fldChar w:fldCharType="begin"/>
          </w:r>
          <w:r>
            <w:instrText xml:space="preserve"> TOC \o "1-3" \h \z \u </w:instrText>
          </w:r>
          <w:r>
            <w:fldChar w:fldCharType="separate"/>
          </w:r>
          <w:hyperlink w:anchor="_Toc226981056" w:history="1">
            <w:r w:rsidR="00CA2F3F" w:rsidRPr="00ED3D88">
              <w:rPr>
                <w:rStyle w:val="Hyperlink"/>
                <w:noProof/>
              </w:rPr>
              <w:t>Foreword</w:t>
            </w:r>
            <w:r w:rsidR="00CA2F3F">
              <w:rPr>
                <w:noProof/>
                <w:webHidden/>
              </w:rPr>
              <w:tab/>
            </w:r>
            <w:r w:rsidR="00CA2F3F">
              <w:rPr>
                <w:noProof/>
                <w:webHidden/>
              </w:rPr>
              <w:fldChar w:fldCharType="begin"/>
            </w:r>
            <w:r w:rsidR="00CA2F3F">
              <w:rPr>
                <w:noProof/>
                <w:webHidden/>
              </w:rPr>
              <w:instrText xml:space="preserve"> PAGEREF _Toc226981056 \h </w:instrText>
            </w:r>
            <w:r w:rsidR="00CA2F3F">
              <w:rPr>
                <w:noProof/>
                <w:webHidden/>
              </w:rPr>
            </w:r>
            <w:r w:rsidR="00CA2F3F">
              <w:rPr>
                <w:noProof/>
                <w:webHidden/>
              </w:rPr>
              <w:fldChar w:fldCharType="separate"/>
            </w:r>
            <w:r w:rsidR="00CA2F3F">
              <w:rPr>
                <w:noProof/>
                <w:webHidden/>
              </w:rPr>
              <w:t>3</w:t>
            </w:r>
            <w:r w:rsidR="00CA2F3F">
              <w:rPr>
                <w:noProof/>
                <w:webHidden/>
              </w:rPr>
              <w:fldChar w:fldCharType="end"/>
            </w:r>
          </w:hyperlink>
        </w:p>
        <w:p w14:paraId="1C53A369" w14:textId="09CF80BB" w:rsidR="00CA2F3F" w:rsidRDefault="00CA2F3F">
          <w:pPr>
            <w:pStyle w:val="TOC2"/>
            <w:rPr>
              <w:rFonts w:cstheme="minorBidi"/>
              <w:noProof/>
              <w:kern w:val="2"/>
              <w:sz w:val="24"/>
              <w:szCs w:val="24"/>
              <w14:ligatures w14:val="standardContextual"/>
            </w:rPr>
          </w:pPr>
          <w:hyperlink w:anchor="_Toc226981057" w:history="1">
            <w:r w:rsidRPr="00ED3D88">
              <w:rPr>
                <w:rStyle w:val="Hyperlink"/>
                <w:noProof/>
              </w:rPr>
              <w:t>Department of Administrative Services</w:t>
            </w:r>
            <w:r>
              <w:rPr>
                <w:noProof/>
                <w:webHidden/>
              </w:rPr>
              <w:tab/>
            </w:r>
            <w:r>
              <w:rPr>
                <w:noProof/>
                <w:webHidden/>
              </w:rPr>
              <w:fldChar w:fldCharType="begin"/>
            </w:r>
            <w:r>
              <w:rPr>
                <w:noProof/>
                <w:webHidden/>
              </w:rPr>
              <w:instrText xml:space="preserve"> PAGEREF _Toc226981057 \h </w:instrText>
            </w:r>
            <w:r>
              <w:rPr>
                <w:noProof/>
                <w:webHidden/>
              </w:rPr>
            </w:r>
            <w:r>
              <w:rPr>
                <w:noProof/>
                <w:webHidden/>
              </w:rPr>
              <w:fldChar w:fldCharType="separate"/>
            </w:r>
            <w:r>
              <w:rPr>
                <w:noProof/>
                <w:webHidden/>
              </w:rPr>
              <w:t>4</w:t>
            </w:r>
            <w:r>
              <w:rPr>
                <w:noProof/>
                <w:webHidden/>
              </w:rPr>
              <w:fldChar w:fldCharType="end"/>
            </w:r>
          </w:hyperlink>
        </w:p>
        <w:p w14:paraId="4FB0A51F" w14:textId="6BB1ECD4" w:rsidR="00CA2F3F" w:rsidRDefault="00CA2F3F">
          <w:pPr>
            <w:pStyle w:val="TOC3"/>
            <w:tabs>
              <w:tab w:val="right" w:leader="dot" w:pos="9350"/>
            </w:tabs>
            <w:rPr>
              <w:rFonts w:cstheme="minorBidi"/>
              <w:noProof/>
              <w:kern w:val="2"/>
              <w:sz w:val="24"/>
              <w:szCs w:val="24"/>
              <w14:ligatures w14:val="standardContextual"/>
            </w:rPr>
          </w:pPr>
          <w:hyperlink w:anchor="_Toc226981058" w:history="1">
            <w:r w:rsidRPr="00ED3D88">
              <w:rPr>
                <w:rStyle w:val="Hyperlink"/>
                <w:noProof/>
              </w:rPr>
              <w:t>Chief Operating Office</w:t>
            </w:r>
            <w:r>
              <w:rPr>
                <w:noProof/>
                <w:webHidden/>
              </w:rPr>
              <w:tab/>
            </w:r>
            <w:r>
              <w:rPr>
                <w:noProof/>
                <w:webHidden/>
              </w:rPr>
              <w:fldChar w:fldCharType="begin"/>
            </w:r>
            <w:r>
              <w:rPr>
                <w:noProof/>
                <w:webHidden/>
              </w:rPr>
              <w:instrText xml:space="preserve"> PAGEREF _Toc226981058 \h </w:instrText>
            </w:r>
            <w:r>
              <w:rPr>
                <w:noProof/>
                <w:webHidden/>
              </w:rPr>
            </w:r>
            <w:r>
              <w:rPr>
                <w:noProof/>
                <w:webHidden/>
              </w:rPr>
              <w:fldChar w:fldCharType="separate"/>
            </w:r>
            <w:r>
              <w:rPr>
                <w:noProof/>
                <w:webHidden/>
              </w:rPr>
              <w:t>4</w:t>
            </w:r>
            <w:r>
              <w:rPr>
                <w:noProof/>
                <w:webHidden/>
              </w:rPr>
              <w:fldChar w:fldCharType="end"/>
            </w:r>
          </w:hyperlink>
        </w:p>
        <w:p w14:paraId="46BB7605" w14:textId="1BF2A533" w:rsidR="00CA2F3F" w:rsidRDefault="00CA2F3F">
          <w:pPr>
            <w:pStyle w:val="TOC3"/>
            <w:tabs>
              <w:tab w:val="right" w:leader="dot" w:pos="9350"/>
            </w:tabs>
            <w:rPr>
              <w:rFonts w:cstheme="minorBidi"/>
              <w:noProof/>
              <w:kern w:val="2"/>
              <w:sz w:val="24"/>
              <w:szCs w:val="24"/>
              <w14:ligatures w14:val="standardContextual"/>
            </w:rPr>
          </w:pPr>
          <w:hyperlink w:anchor="_Toc226981059" w:history="1">
            <w:r w:rsidRPr="00ED3D88">
              <w:rPr>
                <w:rStyle w:val="Hyperlink"/>
                <w:noProof/>
              </w:rPr>
              <w:t>DAS Information Technology</w:t>
            </w:r>
            <w:r>
              <w:rPr>
                <w:noProof/>
                <w:webHidden/>
              </w:rPr>
              <w:tab/>
            </w:r>
            <w:r>
              <w:rPr>
                <w:noProof/>
                <w:webHidden/>
              </w:rPr>
              <w:fldChar w:fldCharType="begin"/>
            </w:r>
            <w:r>
              <w:rPr>
                <w:noProof/>
                <w:webHidden/>
              </w:rPr>
              <w:instrText xml:space="preserve"> PAGEREF _Toc226981059 \h </w:instrText>
            </w:r>
            <w:r>
              <w:rPr>
                <w:noProof/>
                <w:webHidden/>
              </w:rPr>
            </w:r>
            <w:r>
              <w:rPr>
                <w:noProof/>
                <w:webHidden/>
              </w:rPr>
              <w:fldChar w:fldCharType="separate"/>
            </w:r>
            <w:r>
              <w:rPr>
                <w:noProof/>
                <w:webHidden/>
              </w:rPr>
              <w:t>4</w:t>
            </w:r>
            <w:r>
              <w:rPr>
                <w:noProof/>
                <w:webHidden/>
              </w:rPr>
              <w:fldChar w:fldCharType="end"/>
            </w:r>
          </w:hyperlink>
        </w:p>
        <w:p w14:paraId="20AB7CE7" w14:textId="28090F33" w:rsidR="00CA2F3F" w:rsidRDefault="00CA2F3F">
          <w:pPr>
            <w:pStyle w:val="TOC3"/>
            <w:tabs>
              <w:tab w:val="right" w:leader="dot" w:pos="9350"/>
            </w:tabs>
            <w:rPr>
              <w:rFonts w:cstheme="minorBidi"/>
              <w:noProof/>
              <w:kern w:val="2"/>
              <w:sz w:val="24"/>
              <w:szCs w:val="24"/>
              <w14:ligatures w14:val="standardContextual"/>
            </w:rPr>
          </w:pPr>
          <w:hyperlink w:anchor="_Toc226981060" w:history="1">
            <w:r w:rsidRPr="00ED3D88">
              <w:rPr>
                <w:rStyle w:val="Hyperlink"/>
                <w:noProof/>
              </w:rPr>
              <w:t>Strategic Initiatives and Enterprise Accountability</w:t>
            </w:r>
            <w:r>
              <w:rPr>
                <w:noProof/>
                <w:webHidden/>
              </w:rPr>
              <w:tab/>
            </w:r>
            <w:r>
              <w:rPr>
                <w:noProof/>
                <w:webHidden/>
              </w:rPr>
              <w:fldChar w:fldCharType="begin"/>
            </w:r>
            <w:r>
              <w:rPr>
                <w:noProof/>
                <w:webHidden/>
              </w:rPr>
              <w:instrText xml:space="preserve"> PAGEREF _Toc226981060 \h </w:instrText>
            </w:r>
            <w:r>
              <w:rPr>
                <w:noProof/>
                <w:webHidden/>
              </w:rPr>
            </w:r>
            <w:r>
              <w:rPr>
                <w:noProof/>
                <w:webHidden/>
              </w:rPr>
              <w:fldChar w:fldCharType="separate"/>
            </w:r>
            <w:r>
              <w:rPr>
                <w:noProof/>
                <w:webHidden/>
              </w:rPr>
              <w:t>5</w:t>
            </w:r>
            <w:r>
              <w:rPr>
                <w:noProof/>
                <w:webHidden/>
              </w:rPr>
              <w:fldChar w:fldCharType="end"/>
            </w:r>
          </w:hyperlink>
        </w:p>
        <w:p w14:paraId="6DE370A6" w14:textId="4987F651" w:rsidR="00CA2F3F" w:rsidRDefault="00CA2F3F">
          <w:pPr>
            <w:pStyle w:val="TOC3"/>
            <w:tabs>
              <w:tab w:val="right" w:leader="dot" w:pos="9350"/>
            </w:tabs>
            <w:rPr>
              <w:rFonts w:cstheme="minorBidi"/>
              <w:noProof/>
              <w:kern w:val="2"/>
              <w:sz w:val="24"/>
              <w:szCs w:val="24"/>
              <w14:ligatures w14:val="standardContextual"/>
            </w:rPr>
          </w:pPr>
          <w:hyperlink w:anchor="_Toc226981061" w:history="1">
            <w:r w:rsidRPr="00ED3D88">
              <w:rPr>
                <w:rStyle w:val="Hyperlink"/>
                <w:noProof/>
              </w:rPr>
              <w:t>Chief Financial Office</w:t>
            </w:r>
            <w:r>
              <w:rPr>
                <w:noProof/>
                <w:webHidden/>
              </w:rPr>
              <w:tab/>
            </w:r>
            <w:r>
              <w:rPr>
                <w:noProof/>
                <w:webHidden/>
              </w:rPr>
              <w:fldChar w:fldCharType="begin"/>
            </w:r>
            <w:r>
              <w:rPr>
                <w:noProof/>
                <w:webHidden/>
              </w:rPr>
              <w:instrText xml:space="preserve"> PAGEREF _Toc226981061 \h </w:instrText>
            </w:r>
            <w:r>
              <w:rPr>
                <w:noProof/>
                <w:webHidden/>
              </w:rPr>
            </w:r>
            <w:r>
              <w:rPr>
                <w:noProof/>
                <w:webHidden/>
              </w:rPr>
              <w:fldChar w:fldCharType="separate"/>
            </w:r>
            <w:r>
              <w:rPr>
                <w:noProof/>
                <w:webHidden/>
              </w:rPr>
              <w:t>6</w:t>
            </w:r>
            <w:r>
              <w:rPr>
                <w:noProof/>
                <w:webHidden/>
              </w:rPr>
              <w:fldChar w:fldCharType="end"/>
            </w:r>
          </w:hyperlink>
        </w:p>
        <w:p w14:paraId="49657C20" w14:textId="4E031DCA" w:rsidR="00CA2F3F" w:rsidRDefault="00CA2F3F">
          <w:pPr>
            <w:pStyle w:val="TOC3"/>
            <w:tabs>
              <w:tab w:val="right" w:leader="dot" w:pos="9350"/>
            </w:tabs>
            <w:rPr>
              <w:rFonts w:cstheme="minorBidi"/>
              <w:noProof/>
              <w:kern w:val="2"/>
              <w:sz w:val="24"/>
              <w:szCs w:val="24"/>
              <w14:ligatures w14:val="standardContextual"/>
            </w:rPr>
          </w:pPr>
          <w:hyperlink w:anchor="_Toc226981062" w:history="1">
            <w:r w:rsidRPr="00ED3D88">
              <w:rPr>
                <w:rStyle w:val="Hyperlink"/>
                <w:noProof/>
              </w:rPr>
              <w:t>Enterprise Information Services (EIS), the State Chief Information Officer</w:t>
            </w:r>
            <w:r>
              <w:rPr>
                <w:noProof/>
                <w:webHidden/>
              </w:rPr>
              <w:tab/>
            </w:r>
            <w:r>
              <w:rPr>
                <w:noProof/>
                <w:webHidden/>
              </w:rPr>
              <w:fldChar w:fldCharType="begin"/>
            </w:r>
            <w:r>
              <w:rPr>
                <w:noProof/>
                <w:webHidden/>
              </w:rPr>
              <w:instrText xml:space="preserve"> PAGEREF _Toc226981062 \h </w:instrText>
            </w:r>
            <w:r>
              <w:rPr>
                <w:noProof/>
                <w:webHidden/>
              </w:rPr>
            </w:r>
            <w:r>
              <w:rPr>
                <w:noProof/>
                <w:webHidden/>
              </w:rPr>
              <w:fldChar w:fldCharType="separate"/>
            </w:r>
            <w:r>
              <w:rPr>
                <w:noProof/>
                <w:webHidden/>
              </w:rPr>
              <w:t>11</w:t>
            </w:r>
            <w:r>
              <w:rPr>
                <w:noProof/>
                <w:webHidden/>
              </w:rPr>
              <w:fldChar w:fldCharType="end"/>
            </w:r>
          </w:hyperlink>
        </w:p>
        <w:p w14:paraId="5557C026" w14:textId="11EF1E54" w:rsidR="00CA2F3F" w:rsidRDefault="00CA2F3F">
          <w:pPr>
            <w:pStyle w:val="TOC3"/>
            <w:tabs>
              <w:tab w:val="right" w:leader="dot" w:pos="9350"/>
            </w:tabs>
            <w:rPr>
              <w:rFonts w:cstheme="minorBidi"/>
              <w:noProof/>
              <w:kern w:val="2"/>
              <w:sz w:val="24"/>
              <w:szCs w:val="24"/>
              <w14:ligatures w14:val="standardContextual"/>
            </w:rPr>
          </w:pPr>
          <w:hyperlink w:anchor="_Toc226981063" w:history="1">
            <w:r w:rsidRPr="00ED3D88">
              <w:rPr>
                <w:rStyle w:val="Hyperlink"/>
                <w:noProof/>
              </w:rPr>
              <w:t>Chief Human Resources Office</w:t>
            </w:r>
            <w:r>
              <w:rPr>
                <w:noProof/>
                <w:webHidden/>
              </w:rPr>
              <w:tab/>
            </w:r>
            <w:r>
              <w:rPr>
                <w:noProof/>
                <w:webHidden/>
              </w:rPr>
              <w:fldChar w:fldCharType="begin"/>
            </w:r>
            <w:r>
              <w:rPr>
                <w:noProof/>
                <w:webHidden/>
              </w:rPr>
              <w:instrText xml:space="preserve"> PAGEREF _Toc226981063 \h </w:instrText>
            </w:r>
            <w:r>
              <w:rPr>
                <w:noProof/>
                <w:webHidden/>
              </w:rPr>
            </w:r>
            <w:r>
              <w:rPr>
                <w:noProof/>
                <w:webHidden/>
              </w:rPr>
              <w:fldChar w:fldCharType="separate"/>
            </w:r>
            <w:r>
              <w:rPr>
                <w:noProof/>
                <w:webHidden/>
              </w:rPr>
              <w:t>20</w:t>
            </w:r>
            <w:r>
              <w:rPr>
                <w:noProof/>
                <w:webHidden/>
              </w:rPr>
              <w:fldChar w:fldCharType="end"/>
            </w:r>
          </w:hyperlink>
        </w:p>
        <w:p w14:paraId="22735A8E" w14:textId="3464D1B7" w:rsidR="00CA2F3F" w:rsidRDefault="00CA2F3F">
          <w:pPr>
            <w:pStyle w:val="TOC3"/>
            <w:tabs>
              <w:tab w:val="right" w:leader="dot" w:pos="9350"/>
            </w:tabs>
            <w:rPr>
              <w:rFonts w:cstheme="minorBidi"/>
              <w:noProof/>
              <w:kern w:val="2"/>
              <w:sz w:val="24"/>
              <w:szCs w:val="24"/>
              <w14:ligatures w14:val="standardContextual"/>
            </w:rPr>
          </w:pPr>
          <w:hyperlink w:anchor="_Toc226981064" w:history="1">
            <w:r w:rsidRPr="00ED3D88">
              <w:rPr>
                <w:rStyle w:val="Hyperlink"/>
                <w:noProof/>
              </w:rPr>
              <w:t>Statewide Business Applications Division (SBA) (formally known as Workday Oregon division)</w:t>
            </w:r>
            <w:r>
              <w:rPr>
                <w:noProof/>
                <w:webHidden/>
              </w:rPr>
              <w:tab/>
            </w:r>
            <w:r>
              <w:rPr>
                <w:noProof/>
                <w:webHidden/>
              </w:rPr>
              <w:fldChar w:fldCharType="begin"/>
            </w:r>
            <w:r>
              <w:rPr>
                <w:noProof/>
                <w:webHidden/>
              </w:rPr>
              <w:instrText xml:space="preserve"> PAGEREF _Toc226981064 \h </w:instrText>
            </w:r>
            <w:r>
              <w:rPr>
                <w:noProof/>
                <w:webHidden/>
              </w:rPr>
            </w:r>
            <w:r>
              <w:rPr>
                <w:noProof/>
                <w:webHidden/>
              </w:rPr>
              <w:fldChar w:fldCharType="separate"/>
            </w:r>
            <w:r>
              <w:rPr>
                <w:noProof/>
                <w:webHidden/>
              </w:rPr>
              <w:t>23</w:t>
            </w:r>
            <w:r>
              <w:rPr>
                <w:noProof/>
                <w:webHidden/>
              </w:rPr>
              <w:fldChar w:fldCharType="end"/>
            </w:r>
          </w:hyperlink>
        </w:p>
        <w:p w14:paraId="3E65D0E1" w14:textId="6F9170A1" w:rsidR="00CA2F3F" w:rsidRDefault="00CA2F3F">
          <w:pPr>
            <w:pStyle w:val="TOC3"/>
            <w:tabs>
              <w:tab w:val="right" w:leader="dot" w:pos="9350"/>
            </w:tabs>
            <w:rPr>
              <w:rFonts w:cstheme="minorBidi"/>
              <w:noProof/>
              <w:kern w:val="2"/>
              <w:sz w:val="24"/>
              <w:szCs w:val="24"/>
              <w14:ligatures w14:val="standardContextual"/>
            </w:rPr>
          </w:pPr>
          <w:hyperlink w:anchor="_Toc226981065" w:history="1">
            <w:r w:rsidRPr="00ED3D88">
              <w:rPr>
                <w:rStyle w:val="Hyperlink"/>
                <w:noProof/>
              </w:rPr>
              <w:t>Enterprise Asset Management</w:t>
            </w:r>
            <w:r>
              <w:rPr>
                <w:noProof/>
                <w:webHidden/>
              </w:rPr>
              <w:tab/>
            </w:r>
            <w:r>
              <w:rPr>
                <w:noProof/>
                <w:webHidden/>
              </w:rPr>
              <w:fldChar w:fldCharType="begin"/>
            </w:r>
            <w:r>
              <w:rPr>
                <w:noProof/>
                <w:webHidden/>
              </w:rPr>
              <w:instrText xml:space="preserve"> PAGEREF _Toc226981065 \h </w:instrText>
            </w:r>
            <w:r>
              <w:rPr>
                <w:noProof/>
                <w:webHidden/>
              </w:rPr>
            </w:r>
            <w:r>
              <w:rPr>
                <w:noProof/>
                <w:webHidden/>
              </w:rPr>
              <w:fldChar w:fldCharType="separate"/>
            </w:r>
            <w:r>
              <w:rPr>
                <w:noProof/>
                <w:webHidden/>
              </w:rPr>
              <w:t>23</w:t>
            </w:r>
            <w:r>
              <w:rPr>
                <w:noProof/>
                <w:webHidden/>
              </w:rPr>
              <w:fldChar w:fldCharType="end"/>
            </w:r>
          </w:hyperlink>
        </w:p>
        <w:p w14:paraId="630B12AA" w14:textId="7F7673CF" w:rsidR="00CA2F3F" w:rsidRDefault="00CA2F3F">
          <w:pPr>
            <w:pStyle w:val="TOC2"/>
            <w:rPr>
              <w:rFonts w:cstheme="minorBidi"/>
              <w:noProof/>
              <w:kern w:val="2"/>
              <w:sz w:val="24"/>
              <w:szCs w:val="24"/>
              <w14:ligatures w14:val="standardContextual"/>
            </w:rPr>
          </w:pPr>
          <w:hyperlink w:anchor="_Toc226981066" w:history="1">
            <w:r w:rsidRPr="00ED3D88">
              <w:rPr>
                <w:rStyle w:val="Hyperlink"/>
                <w:noProof/>
              </w:rPr>
              <w:t>Other Agency Services and Rates</w:t>
            </w:r>
            <w:r>
              <w:rPr>
                <w:noProof/>
                <w:webHidden/>
              </w:rPr>
              <w:tab/>
            </w:r>
            <w:r>
              <w:rPr>
                <w:noProof/>
                <w:webHidden/>
              </w:rPr>
              <w:fldChar w:fldCharType="begin"/>
            </w:r>
            <w:r>
              <w:rPr>
                <w:noProof/>
                <w:webHidden/>
              </w:rPr>
              <w:instrText xml:space="preserve"> PAGEREF _Toc226981066 \h </w:instrText>
            </w:r>
            <w:r>
              <w:rPr>
                <w:noProof/>
                <w:webHidden/>
              </w:rPr>
            </w:r>
            <w:r>
              <w:rPr>
                <w:noProof/>
                <w:webHidden/>
              </w:rPr>
              <w:fldChar w:fldCharType="separate"/>
            </w:r>
            <w:r>
              <w:rPr>
                <w:noProof/>
                <w:webHidden/>
              </w:rPr>
              <w:t>43</w:t>
            </w:r>
            <w:r>
              <w:rPr>
                <w:noProof/>
                <w:webHidden/>
              </w:rPr>
              <w:fldChar w:fldCharType="end"/>
            </w:r>
          </w:hyperlink>
        </w:p>
        <w:p w14:paraId="3AD7F62D" w14:textId="59126278" w:rsidR="00CA2F3F" w:rsidRDefault="00CA2F3F">
          <w:pPr>
            <w:pStyle w:val="TOC3"/>
            <w:tabs>
              <w:tab w:val="right" w:leader="dot" w:pos="9350"/>
            </w:tabs>
            <w:rPr>
              <w:rFonts w:cstheme="minorBidi"/>
              <w:noProof/>
              <w:kern w:val="2"/>
              <w:sz w:val="24"/>
              <w:szCs w:val="24"/>
              <w14:ligatures w14:val="standardContextual"/>
            </w:rPr>
          </w:pPr>
          <w:hyperlink w:anchor="_Toc226981067" w:history="1">
            <w:r w:rsidRPr="00ED3D88">
              <w:rPr>
                <w:rStyle w:val="Hyperlink"/>
                <w:noProof/>
              </w:rPr>
              <w:t>Central Government Service Charge</w:t>
            </w:r>
            <w:r>
              <w:rPr>
                <w:noProof/>
                <w:webHidden/>
              </w:rPr>
              <w:tab/>
            </w:r>
            <w:r>
              <w:rPr>
                <w:noProof/>
                <w:webHidden/>
              </w:rPr>
              <w:fldChar w:fldCharType="begin"/>
            </w:r>
            <w:r>
              <w:rPr>
                <w:noProof/>
                <w:webHidden/>
              </w:rPr>
              <w:instrText xml:space="preserve"> PAGEREF _Toc226981067 \h </w:instrText>
            </w:r>
            <w:r>
              <w:rPr>
                <w:noProof/>
                <w:webHidden/>
              </w:rPr>
            </w:r>
            <w:r>
              <w:rPr>
                <w:noProof/>
                <w:webHidden/>
              </w:rPr>
              <w:fldChar w:fldCharType="separate"/>
            </w:r>
            <w:r>
              <w:rPr>
                <w:noProof/>
                <w:webHidden/>
              </w:rPr>
              <w:t>43</w:t>
            </w:r>
            <w:r>
              <w:rPr>
                <w:noProof/>
                <w:webHidden/>
              </w:rPr>
              <w:fldChar w:fldCharType="end"/>
            </w:r>
          </w:hyperlink>
        </w:p>
        <w:p w14:paraId="0A0BDDD7" w14:textId="29643F3D" w:rsidR="00CA2F3F" w:rsidRDefault="00CA2F3F">
          <w:pPr>
            <w:pStyle w:val="TOC3"/>
            <w:tabs>
              <w:tab w:val="right" w:leader="dot" w:pos="9350"/>
            </w:tabs>
            <w:rPr>
              <w:rFonts w:cstheme="minorBidi"/>
              <w:noProof/>
              <w:kern w:val="2"/>
              <w:sz w:val="24"/>
              <w:szCs w:val="24"/>
              <w14:ligatures w14:val="standardContextual"/>
            </w:rPr>
          </w:pPr>
          <w:hyperlink w:anchor="_Toc226981068" w:history="1">
            <w:r w:rsidRPr="00ED3D88">
              <w:rPr>
                <w:rStyle w:val="Hyperlink"/>
                <w:noProof/>
              </w:rPr>
              <w:t>Office of the Public Records Advocate</w:t>
            </w:r>
            <w:r>
              <w:rPr>
                <w:noProof/>
                <w:webHidden/>
              </w:rPr>
              <w:tab/>
            </w:r>
            <w:r>
              <w:rPr>
                <w:noProof/>
                <w:webHidden/>
              </w:rPr>
              <w:fldChar w:fldCharType="begin"/>
            </w:r>
            <w:r>
              <w:rPr>
                <w:noProof/>
                <w:webHidden/>
              </w:rPr>
              <w:instrText xml:space="preserve"> PAGEREF _Toc226981068 \h </w:instrText>
            </w:r>
            <w:r>
              <w:rPr>
                <w:noProof/>
                <w:webHidden/>
              </w:rPr>
            </w:r>
            <w:r>
              <w:rPr>
                <w:noProof/>
                <w:webHidden/>
              </w:rPr>
              <w:fldChar w:fldCharType="separate"/>
            </w:r>
            <w:r>
              <w:rPr>
                <w:noProof/>
                <w:webHidden/>
              </w:rPr>
              <w:t>43</w:t>
            </w:r>
            <w:r>
              <w:rPr>
                <w:noProof/>
                <w:webHidden/>
              </w:rPr>
              <w:fldChar w:fldCharType="end"/>
            </w:r>
          </w:hyperlink>
        </w:p>
        <w:p w14:paraId="044A2B25" w14:textId="3655ECEF" w:rsidR="00CA2F3F" w:rsidRDefault="00CA2F3F">
          <w:pPr>
            <w:pStyle w:val="TOC3"/>
            <w:tabs>
              <w:tab w:val="right" w:leader="dot" w:pos="9350"/>
            </w:tabs>
            <w:rPr>
              <w:rFonts w:cstheme="minorBidi"/>
              <w:noProof/>
              <w:kern w:val="2"/>
              <w:sz w:val="24"/>
              <w:szCs w:val="24"/>
              <w14:ligatures w14:val="standardContextual"/>
            </w:rPr>
          </w:pPr>
          <w:hyperlink w:anchor="_Toc226981069" w:history="1">
            <w:r w:rsidRPr="00ED3D88">
              <w:rPr>
                <w:rStyle w:val="Hyperlink"/>
                <w:noProof/>
              </w:rPr>
              <w:t>Certification Office for Business Inclusion and Diversity</w:t>
            </w:r>
            <w:r>
              <w:rPr>
                <w:noProof/>
                <w:webHidden/>
              </w:rPr>
              <w:tab/>
            </w:r>
            <w:r>
              <w:rPr>
                <w:noProof/>
                <w:webHidden/>
              </w:rPr>
              <w:fldChar w:fldCharType="begin"/>
            </w:r>
            <w:r>
              <w:rPr>
                <w:noProof/>
                <w:webHidden/>
              </w:rPr>
              <w:instrText xml:space="preserve"> PAGEREF _Toc226981069 \h </w:instrText>
            </w:r>
            <w:r>
              <w:rPr>
                <w:noProof/>
                <w:webHidden/>
              </w:rPr>
            </w:r>
            <w:r>
              <w:rPr>
                <w:noProof/>
                <w:webHidden/>
              </w:rPr>
              <w:fldChar w:fldCharType="separate"/>
            </w:r>
            <w:r>
              <w:rPr>
                <w:noProof/>
                <w:webHidden/>
              </w:rPr>
              <w:t>44</w:t>
            </w:r>
            <w:r>
              <w:rPr>
                <w:noProof/>
                <w:webHidden/>
              </w:rPr>
              <w:fldChar w:fldCharType="end"/>
            </w:r>
          </w:hyperlink>
        </w:p>
        <w:p w14:paraId="2C65DA19" w14:textId="627A5127" w:rsidR="00CA2F3F" w:rsidRDefault="00CA2F3F">
          <w:pPr>
            <w:pStyle w:val="TOC3"/>
            <w:tabs>
              <w:tab w:val="right" w:leader="dot" w:pos="9350"/>
            </w:tabs>
            <w:rPr>
              <w:rFonts w:cstheme="minorBidi"/>
              <w:noProof/>
              <w:kern w:val="2"/>
              <w:sz w:val="24"/>
              <w:szCs w:val="24"/>
              <w14:ligatures w14:val="standardContextual"/>
            </w:rPr>
          </w:pPr>
          <w:hyperlink w:anchor="_Toc226981070" w:history="1">
            <w:r w:rsidRPr="00ED3D88">
              <w:rPr>
                <w:rStyle w:val="Hyperlink"/>
                <w:noProof/>
              </w:rPr>
              <w:t>State Library of Oregon</w:t>
            </w:r>
            <w:r>
              <w:rPr>
                <w:noProof/>
                <w:webHidden/>
              </w:rPr>
              <w:tab/>
            </w:r>
            <w:r>
              <w:rPr>
                <w:noProof/>
                <w:webHidden/>
              </w:rPr>
              <w:fldChar w:fldCharType="begin"/>
            </w:r>
            <w:r>
              <w:rPr>
                <w:noProof/>
                <w:webHidden/>
              </w:rPr>
              <w:instrText xml:space="preserve"> PAGEREF _Toc226981070 \h </w:instrText>
            </w:r>
            <w:r>
              <w:rPr>
                <w:noProof/>
                <w:webHidden/>
              </w:rPr>
            </w:r>
            <w:r>
              <w:rPr>
                <w:noProof/>
                <w:webHidden/>
              </w:rPr>
              <w:fldChar w:fldCharType="separate"/>
            </w:r>
            <w:r>
              <w:rPr>
                <w:noProof/>
                <w:webHidden/>
              </w:rPr>
              <w:t>44</w:t>
            </w:r>
            <w:r>
              <w:rPr>
                <w:noProof/>
                <w:webHidden/>
              </w:rPr>
              <w:fldChar w:fldCharType="end"/>
            </w:r>
          </w:hyperlink>
        </w:p>
        <w:p w14:paraId="5A6CB8A3" w14:textId="46C119E6" w:rsidR="00CA2F3F" w:rsidRDefault="00CA2F3F">
          <w:pPr>
            <w:pStyle w:val="TOC3"/>
            <w:tabs>
              <w:tab w:val="right" w:leader="dot" w:pos="9350"/>
            </w:tabs>
            <w:rPr>
              <w:rFonts w:cstheme="minorBidi"/>
              <w:noProof/>
              <w:kern w:val="2"/>
              <w:sz w:val="24"/>
              <w:szCs w:val="24"/>
              <w14:ligatures w14:val="standardContextual"/>
            </w:rPr>
          </w:pPr>
          <w:hyperlink w:anchor="_Toc226981071" w:history="1">
            <w:r w:rsidRPr="00ED3D88">
              <w:rPr>
                <w:rStyle w:val="Hyperlink"/>
                <w:noProof/>
              </w:rPr>
              <w:t>Judicial Department – Oregon Law Library</w:t>
            </w:r>
            <w:r>
              <w:rPr>
                <w:noProof/>
                <w:webHidden/>
              </w:rPr>
              <w:tab/>
            </w:r>
            <w:r>
              <w:rPr>
                <w:noProof/>
                <w:webHidden/>
              </w:rPr>
              <w:fldChar w:fldCharType="begin"/>
            </w:r>
            <w:r>
              <w:rPr>
                <w:noProof/>
                <w:webHidden/>
              </w:rPr>
              <w:instrText xml:space="preserve"> PAGEREF _Toc226981071 \h </w:instrText>
            </w:r>
            <w:r>
              <w:rPr>
                <w:noProof/>
                <w:webHidden/>
              </w:rPr>
            </w:r>
            <w:r>
              <w:rPr>
                <w:noProof/>
                <w:webHidden/>
              </w:rPr>
              <w:fldChar w:fldCharType="separate"/>
            </w:r>
            <w:r>
              <w:rPr>
                <w:noProof/>
                <w:webHidden/>
              </w:rPr>
              <w:t>45</w:t>
            </w:r>
            <w:r>
              <w:rPr>
                <w:noProof/>
                <w:webHidden/>
              </w:rPr>
              <w:fldChar w:fldCharType="end"/>
            </w:r>
          </w:hyperlink>
        </w:p>
        <w:p w14:paraId="17F430F7" w14:textId="43FF9266" w:rsidR="00CA2F3F" w:rsidRDefault="00CA2F3F">
          <w:pPr>
            <w:pStyle w:val="TOC3"/>
            <w:tabs>
              <w:tab w:val="right" w:leader="dot" w:pos="9350"/>
            </w:tabs>
            <w:rPr>
              <w:rFonts w:cstheme="minorBidi"/>
              <w:noProof/>
              <w:kern w:val="2"/>
              <w:sz w:val="24"/>
              <w:szCs w:val="24"/>
              <w14:ligatures w14:val="standardContextual"/>
            </w:rPr>
          </w:pPr>
          <w:hyperlink w:anchor="_Toc226981072" w:history="1">
            <w:r w:rsidRPr="00ED3D88">
              <w:rPr>
                <w:rStyle w:val="Hyperlink"/>
                <w:noProof/>
              </w:rPr>
              <w:t>Oregon Government Ethics Commission</w:t>
            </w:r>
            <w:r>
              <w:rPr>
                <w:noProof/>
                <w:webHidden/>
              </w:rPr>
              <w:tab/>
            </w:r>
            <w:r>
              <w:rPr>
                <w:noProof/>
                <w:webHidden/>
              </w:rPr>
              <w:fldChar w:fldCharType="begin"/>
            </w:r>
            <w:r>
              <w:rPr>
                <w:noProof/>
                <w:webHidden/>
              </w:rPr>
              <w:instrText xml:space="preserve"> PAGEREF _Toc226981072 \h </w:instrText>
            </w:r>
            <w:r>
              <w:rPr>
                <w:noProof/>
                <w:webHidden/>
              </w:rPr>
            </w:r>
            <w:r>
              <w:rPr>
                <w:noProof/>
                <w:webHidden/>
              </w:rPr>
              <w:fldChar w:fldCharType="separate"/>
            </w:r>
            <w:r>
              <w:rPr>
                <w:noProof/>
                <w:webHidden/>
              </w:rPr>
              <w:t>45</w:t>
            </w:r>
            <w:r>
              <w:rPr>
                <w:noProof/>
                <w:webHidden/>
              </w:rPr>
              <w:fldChar w:fldCharType="end"/>
            </w:r>
          </w:hyperlink>
        </w:p>
        <w:p w14:paraId="0E072EDA" w14:textId="23B30A2C" w:rsidR="00CA2F3F" w:rsidRDefault="00CA2F3F">
          <w:pPr>
            <w:pStyle w:val="TOC3"/>
            <w:tabs>
              <w:tab w:val="right" w:leader="dot" w:pos="9350"/>
            </w:tabs>
            <w:rPr>
              <w:rFonts w:cstheme="minorBidi"/>
              <w:noProof/>
              <w:kern w:val="2"/>
              <w:sz w:val="24"/>
              <w:szCs w:val="24"/>
              <w14:ligatures w14:val="standardContextual"/>
            </w:rPr>
          </w:pPr>
          <w:hyperlink w:anchor="_Toc226981073" w:history="1">
            <w:r w:rsidRPr="00ED3D88">
              <w:rPr>
                <w:rStyle w:val="Hyperlink"/>
                <w:noProof/>
              </w:rPr>
              <w:t>Office of the Secretary of State</w:t>
            </w:r>
            <w:r>
              <w:rPr>
                <w:noProof/>
                <w:webHidden/>
              </w:rPr>
              <w:tab/>
            </w:r>
            <w:r>
              <w:rPr>
                <w:noProof/>
                <w:webHidden/>
              </w:rPr>
              <w:fldChar w:fldCharType="begin"/>
            </w:r>
            <w:r>
              <w:rPr>
                <w:noProof/>
                <w:webHidden/>
              </w:rPr>
              <w:instrText xml:space="preserve"> PAGEREF _Toc226981073 \h </w:instrText>
            </w:r>
            <w:r>
              <w:rPr>
                <w:noProof/>
                <w:webHidden/>
              </w:rPr>
            </w:r>
            <w:r>
              <w:rPr>
                <w:noProof/>
                <w:webHidden/>
              </w:rPr>
              <w:fldChar w:fldCharType="separate"/>
            </w:r>
            <w:r>
              <w:rPr>
                <w:noProof/>
                <w:webHidden/>
              </w:rPr>
              <w:t>46</w:t>
            </w:r>
            <w:r>
              <w:rPr>
                <w:noProof/>
                <w:webHidden/>
              </w:rPr>
              <w:fldChar w:fldCharType="end"/>
            </w:r>
          </w:hyperlink>
        </w:p>
        <w:p w14:paraId="449D20BC" w14:textId="7ED22483" w:rsidR="00CA2F3F" w:rsidRDefault="00CA2F3F">
          <w:pPr>
            <w:pStyle w:val="TOC3"/>
            <w:tabs>
              <w:tab w:val="right" w:leader="dot" w:pos="9350"/>
            </w:tabs>
            <w:rPr>
              <w:rFonts w:cstheme="minorBidi"/>
              <w:noProof/>
              <w:kern w:val="2"/>
              <w:sz w:val="24"/>
              <w:szCs w:val="24"/>
              <w14:ligatures w14:val="standardContextual"/>
            </w:rPr>
          </w:pPr>
          <w:hyperlink w:anchor="_Toc226981074" w:history="1">
            <w:r w:rsidRPr="00ED3D88">
              <w:rPr>
                <w:rStyle w:val="Hyperlink"/>
                <w:noProof/>
              </w:rPr>
              <w:t>Oregon State Treasury</w:t>
            </w:r>
            <w:r>
              <w:rPr>
                <w:noProof/>
                <w:webHidden/>
              </w:rPr>
              <w:tab/>
            </w:r>
            <w:r>
              <w:rPr>
                <w:noProof/>
                <w:webHidden/>
              </w:rPr>
              <w:fldChar w:fldCharType="begin"/>
            </w:r>
            <w:r>
              <w:rPr>
                <w:noProof/>
                <w:webHidden/>
              </w:rPr>
              <w:instrText xml:space="preserve"> PAGEREF _Toc226981074 \h </w:instrText>
            </w:r>
            <w:r>
              <w:rPr>
                <w:noProof/>
                <w:webHidden/>
              </w:rPr>
            </w:r>
            <w:r>
              <w:rPr>
                <w:noProof/>
                <w:webHidden/>
              </w:rPr>
              <w:fldChar w:fldCharType="separate"/>
            </w:r>
            <w:r>
              <w:rPr>
                <w:noProof/>
                <w:webHidden/>
              </w:rPr>
              <w:t>48</w:t>
            </w:r>
            <w:r>
              <w:rPr>
                <w:noProof/>
                <w:webHidden/>
              </w:rPr>
              <w:fldChar w:fldCharType="end"/>
            </w:r>
          </w:hyperlink>
        </w:p>
        <w:p w14:paraId="5AFDA755" w14:textId="612D821D" w:rsidR="00CA2F3F" w:rsidRDefault="00CA2F3F">
          <w:pPr>
            <w:pStyle w:val="TOC3"/>
            <w:tabs>
              <w:tab w:val="right" w:leader="dot" w:pos="9350"/>
            </w:tabs>
            <w:rPr>
              <w:rFonts w:cstheme="minorBidi"/>
              <w:noProof/>
              <w:kern w:val="2"/>
              <w:sz w:val="24"/>
              <w:szCs w:val="24"/>
              <w14:ligatures w14:val="standardContextual"/>
            </w:rPr>
          </w:pPr>
          <w:hyperlink w:anchor="_Toc226981075" w:history="1">
            <w:r w:rsidRPr="00ED3D88">
              <w:rPr>
                <w:rStyle w:val="Hyperlink"/>
                <w:noProof/>
              </w:rPr>
              <w:t>Oregon State Police</w:t>
            </w:r>
            <w:r>
              <w:rPr>
                <w:noProof/>
                <w:webHidden/>
              </w:rPr>
              <w:tab/>
            </w:r>
            <w:r>
              <w:rPr>
                <w:noProof/>
                <w:webHidden/>
              </w:rPr>
              <w:fldChar w:fldCharType="begin"/>
            </w:r>
            <w:r>
              <w:rPr>
                <w:noProof/>
                <w:webHidden/>
              </w:rPr>
              <w:instrText xml:space="preserve"> PAGEREF _Toc226981075 \h </w:instrText>
            </w:r>
            <w:r>
              <w:rPr>
                <w:noProof/>
                <w:webHidden/>
              </w:rPr>
            </w:r>
            <w:r>
              <w:rPr>
                <w:noProof/>
                <w:webHidden/>
              </w:rPr>
              <w:fldChar w:fldCharType="separate"/>
            </w:r>
            <w:r>
              <w:rPr>
                <w:noProof/>
                <w:webHidden/>
              </w:rPr>
              <w:t>52</w:t>
            </w:r>
            <w:r>
              <w:rPr>
                <w:noProof/>
                <w:webHidden/>
              </w:rPr>
              <w:fldChar w:fldCharType="end"/>
            </w:r>
          </w:hyperlink>
        </w:p>
        <w:p w14:paraId="50095C51" w14:textId="628104C7" w:rsidR="00CA2F3F" w:rsidRDefault="00CA2F3F">
          <w:pPr>
            <w:pStyle w:val="TOC3"/>
            <w:tabs>
              <w:tab w:val="right" w:leader="dot" w:pos="9350"/>
            </w:tabs>
            <w:rPr>
              <w:rFonts w:cstheme="minorBidi"/>
              <w:noProof/>
              <w:kern w:val="2"/>
              <w:sz w:val="24"/>
              <w:szCs w:val="24"/>
              <w14:ligatures w14:val="standardContextual"/>
            </w:rPr>
          </w:pPr>
          <w:hyperlink w:anchor="_Toc226981076" w:history="1">
            <w:r w:rsidRPr="00ED3D88">
              <w:rPr>
                <w:rStyle w:val="Hyperlink"/>
                <w:noProof/>
              </w:rPr>
              <w:t>Department of Justice</w:t>
            </w:r>
            <w:r>
              <w:rPr>
                <w:noProof/>
                <w:webHidden/>
              </w:rPr>
              <w:tab/>
            </w:r>
            <w:r>
              <w:rPr>
                <w:noProof/>
                <w:webHidden/>
              </w:rPr>
              <w:fldChar w:fldCharType="begin"/>
            </w:r>
            <w:r>
              <w:rPr>
                <w:noProof/>
                <w:webHidden/>
              </w:rPr>
              <w:instrText xml:space="preserve"> PAGEREF _Toc226981076 \h </w:instrText>
            </w:r>
            <w:r>
              <w:rPr>
                <w:noProof/>
                <w:webHidden/>
              </w:rPr>
            </w:r>
            <w:r>
              <w:rPr>
                <w:noProof/>
                <w:webHidden/>
              </w:rPr>
              <w:fldChar w:fldCharType="separate"/>
            </w:r>
            <w:r>
              <w:rPr>
                <w:noProof/>
                <w:webHidden/>
              </w:rPr>
              <w:t>56</w:t>
            </w:r>
            <w:r>
              <w:rPr>
                <w:noProof/>
                <w:webHidden/>
              </w:rPr>
              <w:fldChar w:fldCharType="end"/>
            </w:r>
          </w:hyperlink>
        </w:p>
        <w:p w14:paraId="1227739C" w14:textId="6393DBED" w:rsidR="00CA2F3F" w:rsidRDefault="00CA2F3F">
          <w:pPr>
            <w:pStyle w:val="TOC3"/>
            <w:tabs>
              <w:tab w:val="right" w:leader="dot" w:pos="9350"/>
            </w:tabs>
            <w:rPr>
              <w:rFonts w:cstheme="minorBidi"/>
              <w:noProof/>
              <w:kern w:val="2"/>
              <w:sz w:val="24"/>
              <w:szCs w:val="24"/>
              <w14:ligatures w14:val="standardContextual"/>
            </w:rPr>
          </w:pPr>
          <w:hyperlink w:anchor="_Toc226981077" w:history="1">
            <w:r w:rsidRPr="00ED3D88">
              <w:rPr>
                <w:rStyle w:val="Hyperlink"/>
                <w:noProof/>
              </w:rPr>
              <w:t>Employment Department</w:t>
            </w:r>
            <w:r>
              <w:rPr>
                <w:noProof/>
                <w:webHidden/>
              </w:rPr>
              <w:tab/>
            </w:r>
            <w:r>
              <w:rPr>
                <w:noProof/>
                <w:webHidden/>
              </w:rPr>
              <w:fldChar w:fldCharType="begin"/>
            </w:r>
            <w:r>
              <w:rPr>
                <w:noProof/>
                <w:webHidden/>
              </w:rPr>
              <w:instrText xml:space="preserve"> PAGEREF _Toc226981077 \h </w:instrText>
            </w:r>
            <w:r>
              <w:rPr>
                <w:noProof/>
                <w:webHidden/>
              </w:rPr>
            </w:r>
            <w:r>
              <w:rPr>
                <w:noProof/>
                <w:webHidden/>
              </w:rPr>
              <w:fldChar w:fldCharType="separate"/>
            </w:r>
            <w:r>
              <w:rPr>
                <w:noProof/>
                <w:webHidden/>
              </w:rPr>
              <w:t>56</w:t>
            </w:r>
            <w:r>
              <w:rPr>
                <w:noProof/>
                <w:webHidden/>
              </w:rPr>
              <w:fldChar w:fldCharType="end"/>
            </w:r>
          </w:hyperlink>
        </w:p>
        <w:p w14:paraId="0E8AD588" w14:textId="67F1925D" w:rsidR="00CA2F3F" w:rsidRDefault="00CA2F3F">
          <w:pPr>
            <w:pStyle w:val="TOC3"/>
            <w:tabs>
              <w:tab w:val="right" w:leader="dot" w:pos="9350"/>
            </w:tabs>
            <w:rPr>
              <w:rFonts w:cstheme="minorBidi"/>
              <w:noProof/>
              <w:kern w:val="2"/>
              <w:sz w:val="24"/>
              <w:szCs w:val="24"/>
              <w14:ligatures w14:val="standardContextual"/>
            </w:rPr>
          </w:pPr>
          <w:hyperlink w:anchor="_Toc226981078" w:history="1">
            <w:r w:rsidRPr="00ED3D88">
              <w:rPr>
                <w:rStyle w:val="Hyperlink"/>
                <w:noProof/>
              </w:rPr>
              <w:t>Oregon Health Authority – Public Employees’ Benefit Board</w:t>
            </w:r>
            <w:r>
              <w:rPr>
                <w:noProof/>
                <w:webHidden/>
              </w:rPr>
              <w:tab/>
            </w:r>
            <w:r>
              <w:rPr>
                <w:noProof/>
                <w:webHidden/>
              </w:rPr>
              <w:fldChar w:fldCharType="begin"/>
            </w:r>
            <w:r>
              <w:rPr>
                <w:noProof/>
                <w:webHidden/>
              </w:rPr>
              <w:instrText xml:space="preserve"> PAGEREF _Toc226981078 \h </w:instrText>
            </w:r>
            <w:r>
              <w:rPr>
                <w:noProof/>
                <w:webHidden/>
              </w:rPr>
            </w:r>
            <w:r>
              <w:rPr>
                <w:noProof/>
                <w:webHidden/>
              </w:rPr>
              <w:fldChar w:fldCharType="separate"/>
            </w:r>
            <w:r>
              <w:rPr>
                <w:noProof/>
                <w:webHidden/>
              </w:rPr>
              <w:t>58</w:t>
            </w:r>
            <w:r>
              <w:rPr>
                <w:noProof/>
                <w:webHidden/>
              </w:rPr>
              <w:fldChar w:fldCharType="end"/>
            </w:r>
          </w:hyperlink>
        </w:p>
        <w:p w14:paraId="7F2E7C2C" w14:textId="54C62948" w:rsidR="00CA2F3F" w:rsidRDefault="00CA2F3F">
          <w:pPr>
            <w:pStyle w:val="TOC3"/>
            <w:tabs>
              <w:tab w:val="right" w:leader="dot" w:pos="9350"/>
            </w:tabs>
            <w:rPr>
              <w:rFonts w:cstheme="minorBidi"/>
              <w:noProof/>
              <w:kern w:val="2"/>
              <w:sz w:val="24"/>
              <w:szCs w:val="24"/>
              <w14:ligatures w14:val="standardContextual"/>
            </w:rPr>
          </w:pPr>
          <w:hyperlink w:anchor="_Toc226981079" w:history="1">
            <w:r w:rsidRPr="00ED3D88">
              <w:rPr>
                <w:rStyle w:val="Hyperlink"/>
                <w:noProof/>
              </w:rPr>
              <w:t>Department of Emergency Management (OEM)</w:t>
            </w:r>
            <w:r>
              <w:rPr>
                <w:noProof/>
                <w:webHidden/>
              </w:rPr>
              <w:tab/>
            </w:r>
            <w:r>
              <w:rPr>
                <w:noProof/>
                <w:webHidden/>
              </w:rPr>
              <w:fldChar w:fldCharType="begin"/>
            </w:r>
            <w:r>
              <w:rPr>
                <w:noProof/>
                <w:webHidden/>
              </w:rPr>
              <w:instrText xml:space="preserve"> PAGEREF _Toc226981079 \h </w:instrText>
            </w:r>
            <w:r>
              <w:rPr>
                <w:noProof/>
                <w:webHidden/>
              </w:rPr>
            </w:r>
            <w:r>
              <w:rPr>
                <w:noProof/>
                <w:webHidden/>
              </w:rPr>
              <w:fldChar w:fldCharType="separate"/>
            </w:r>
            <w:r>
              <w:rPr>
                <w:noProof/>
                <w:webHidden/>
              </w:rPr>
              <w:t>58</w:t>
            </w:r>
            <w:r>
              <w:rPr>
                <w:noProof/>
                <w:webHidden/>
              </w:rPr>
              <w:fldChar w:fldCharType="end"/>
            </w:r>
          </w:hyperlink>
        </w:p>
        <w:p w14:paraId="355EA5E9" w14:textId="6ABEEED0" w:rsidR="00CA2F3F" w:rsidRDefault="00CA2F3F">
          <w:pPr>
            <w:pStyle w:val="TOC2"/>
            <w:rPr>
              <w:rFonts w:cstheme="minorBidi"/>
              <w:noProof/>
              <w:kern w:val="2"/>
              <w:sz w:val="24"/>
              <w:szCs w:val="24"/>
              <w14:ligatures w14:val="standardContextual"/>
            </w:rPr>
          </w:pPr>
          <w:hyperlink w:anchor="_Toc226981080" w:history="1">
            <w:r w:rsidRPr="00ED3D88">
              <w:rPr>
                <w:rStyle w:val="Hyperlink"/>
                <w:noProof/>
              </w:rPr>
              <w:t>Appendices</w:t>
            </w:r>
            <w:r>
              <w:rPr>
                <w:noProof/>
                <w:webHidden/>
              </w:rPr>
              <w:tab/>
            </w:r>
            <w:r>
              <w:rPr>
                <w:noProof/>
                <w:webHidden/>
              </w:rPr>
              <w:fldChar w:fldCharType="begin"/>
            </w:r>
            <w:r>
              <w:rPr>
                <w:noProof/>
                <w:webHidden/>
              </w:rPr>
              <w:instrText xml:space="preserve"> PAGEREF _Toc226981080 \h </w:instrText>
            </w:r>
            <w:r>
              <w:rPr>
                <w:noProof/>
                <w:webHidden/>
              </w:rPr>
            </w:r>
            <w:r>
              <w:rPr>
                <w:noProof/>
                <w:webHidden/>
              </w:rPr>
              <w:fldChar w:fldCharType="separate"/>
            </w:r>
            <w:r>
              <w:rPr>
                <w:noProof/>
                <w:webHidden/>
              </w:rPr>
              <w:t>60</w:t>
            </w:r>
            <w:r>
              <w:rPr>
                <w:noProof/>
                <w:webHidden/>
              </w:rPr>
              <w:fldChar w:fldCharType="end"/>
            </w:r>
          </w:hyperlink>
        </w:p>
        <w:p w14:paraId="0B0FB44A" w14:textId="5B6B4519" w:rsidR="00CA2F3F" w:rsidRDefault="00CA2F3F">
          <w:pPr>
            <w:pStyle w:val="TOC3"/>
            <w:tabs>
              <w:tab w:val="right" w:leader="dot" w:pos="9350"/>
            </w:tabs>
            <w:rPr>
              <w:rFonts w:cstheme="minorBidi"/>
              <w:noProof/>
              <w:kern w:val="2"/>
              <w:sz w:val="24"/>
              <w:szCs w:val="24"/>
              <w14:ligatures w14:val="standardContextual"/>
            </w:rPr>
          </w:pPr>
          <w:hyperlink w:anchor="_Toc226981081" w:history="1">
            <w:r w:rsidRPr="00ED3D88">
              <w:rPr>
                <w:rStyle w:val="Hyperlink"/>
                <w:noProof/>
              </w:rPr>
              <w:t>Appendix A – State Government Service Charges</w:t>
            </w:r>
            <w:r>
              <w:rPr>
                <w:noProof/>
                <w:webHidden/>
              </w:rPr>
              <w:tab/>
            </w:r>
            <w:r>
              <w:rPr>
                <w:noProof/>
                <w:webHidden/>
              </w:rPr>
              <w:fldChar w:fldCharType="begin"/>
            </w:r>
            <w:r>
              <w:rPr>
                <w:noProof/>
                <w:webHidden/>
              </w:rPr>
              <w:instrText xml:space="preserve"> PAGEREF _Toc226981081 \h </w:instrText>
            </w:r>
            <w:r>
              <w:rPr>
                <w:noProof/>
                <w:webHidden/>
              </w:rPr>
            </w:r>
            <w:r>
              <w:rPr>
                <w:noProof/>
                <w:webHidden/>
              </w:rPr>
              <w:fldChar w:fldCharType="separate"/>
            </w:r>
            <w:r>
              <w:rPr>
                <w:noProof/>
                <w:webHidden/>
              </w:rPr>
              <w:t>60</w:t>
            </w:r>
            <w:r>
              <w:rPr>
                <w:noProof/>
                <w:webHidden/>
              </w:rPr>
              <w:fldChar w:fldCharType="end"/>
            </w:r>
          </w:hyperlink>
        </w:p>
        <w:p w14:paraId="748429C9" w14:textId="5A1FBDD9" w:rsidR="00CA2F3F" w:rsidRDefault="00CA2F3F">
          <w:pPr>
            <w:pStyle w:val="TOC3"/>
            <w:tabs>
              <w:tab w:val="right" w:leader="dot" w:pos="9350"/>
            </w:tabs>
            <w:rPr>
              <w:rFonts w:cstheme="minorBidi"/>
              <w:noProof/>
              <w:kern w:val="2"/>
              <w:sz w:val="24"/>
              <w:szCs w:val="24"/>
              <w14:ligatures w14:val="standardContextual"/>
            </w:rPr>
          </w:pPr>
          <w:hyperlink w:anchor="_Toc226981082" w:history="1">
            <w:r w:rsidRPr="00ED3D88">
              <w:rPr>
                <w:rStyle w:val="Hyperlink"/>
                <w:noProof/>
              </w:rPr>
              <w:t>Appendix B – Semi-Independent Boards and Agencies (SIBA) SGSC</w:t>
            </w:r>
            <w:r>
              <w:rPr>
                <w:noProof/>
                <w:webHidden/>
              </w:rPr>
              <w:tab/>
            </w:r>
            <w:r>
              <w:rPr>
                <w:noProof/>
                <w:webHidden/>
              </w:rPr>
              <w:fldChar w:fldCharType="begin"/>
            </w:r>
            <w:r>
              <w:rPr>
                <w:noProof/>
                <w:webHidden/>
              </w:rPr>
              <w:instrText xml:space="preserve"> PAGEREF _Toc226981082 \h </w:instrText>
            </w:r>
            <w:r>
              <w:rPr>
                <w:noProof/>
                <w:webHidden/>
              </w:rPr>
            </w:r>
            <w:r>
              <w:rPr>
                <w:noProof/>
                <w:webHidden/>
              </w:rPr>
              <w:fldChar w:fldCharType="separate"/>
            </w:r>
            <w:r>
              <w:rPr>
                <w:noProof/>
                <w:webHidden/>
              </w:rPr>
              <w:t>63</w:t>
            </w:r>
            <w:r>
              <w:rPr>
                <w:noProof/>
                <w:webHidden/>
              </w:rPr>
              <w:fldChar w:fldCharType="end"/>
            </w:r>
          </w:hyperlink>
        </w:p>
        <w:p w14:paraId="0D43F8FC" w14:textId="6A100E68" w:rsidR="00CA2F3F" w:rsidRDefault="00CA2F3F">
          <w:pPr>
            <w:pStyle w:val="TOC3"/>
            <w:tabs>
              <w:tab w:val="right" w:leader="dot" w:pos="9350"/>
            </w:tabs>
            <w:rPr>
              <w:rFonts w:cstheme="minorBidi"/>
              <w:noProof/>
              <w:kern w:val="2"/>
              <w:sz w:val="24"/>
              <w:szCs w:val="24"/>
              <w14:ligatures w14:val="standardContextual"/>
            </w:rPr>
          </w:pPr>
          <w:hyperlink w:anchor="_Toc226981083" w:history="1">
            <w:r w:rsidRPr="00ED3D88">
              <w:rPr>
                <w:rStyle w:val="Hyperlink"/>
                <w:noProof/>
              </w:rPr>
              <w:t>Appendix C – Data Center Services Estimated Charge for Services</w:t>
            </w:r>
            <w:r>
              <w:rPr>
                <w:noProof/>
                <w:webHidden/>
              </w:rPr>
              <w:tab/>
            </w:r>
            <w:r>
              <w:rPr>
                <w:noProof/>
                <w:webHidden/>
              </w:rPr>
              <w:fldChar w:fldCharType="begin"/>
            </w:r>
            <w:r>
              <w:rPr>
                <w:noProof/>
                <w:webHidden/>
              </w:rPr>
              <w:instrText xml:space="preserve"> PAGEREF _Toc226981083 \h </w:instrText>
            </w:r>
            <w:r>
              <w:rPr>
                <w:noProof/>
                <w:webHidden/>
              </w:rPr>
            </w:r>
            <w:r>
              <w:rPr>
                <w:noProof/>
                <w:webHidden/>
              </w:rPr>
              <w:fldChar w:fldCharType="separate"/>
            </w:r>
            <w:r>
              <w:rPr>
                <w:noProof/>
                <w:webHidden/>
              </w:rPr>
              <w:t>64</w:t>
            </w:r>
            <w:r>
              <w:rPr>
                <w:noProof/>
                <w:webHidden/>
              </w:rPr>
              <w:fldChar w:fldCharType="end"/>
            </w:r>
          </w:hyperlink>
        </w:p>
        <w:p w14:paraId="03B3A3DB" w14:textId="41CF8052" w:rsidR="00CA2F3F" w:rsidRDefault="00CA2F3F">
          <w:pPr>
            <w:pStyle w:val="TOC3"/>
            <w:tabs>
              <w:tab w:val="right" w:leader="dot" w:pos="9350"/>
            </w:tabs>
            <w:rPr>
              <w:rFonts w:cstheme="minorBidi"/>
              <w:noProof/>
              <w:kern w:val="2"/>
              <w:sz w:val="24"/>
              <w:szCs w:val="24"/>
              <w14:ligatures w14:val="standardContextual"/>
            </w:rPr>
          </w:pPr>
          <w:hyperlink w:anchor="_Toc226981084" w:history="1">
            <w:r w:rsidRPr="00ED3D88">
              <w:rPr>
                <w:rStyle w:val="Hyperlink"/>
                <w:noProof/>
              </w:rPr>
              <w:t>Appendix D – Contacts</w:t>
            </w:r>
            <w:r>
              <w:rPr>
                <w:noProof/>
                <w:webHidden/>
              </w:rPr>
              <w:tab/>
            </w:r>
            <w:r>
              <w:rPr>
                <w:noProof/>
                <w:webHidden/>
              </w:rPr>
              <w:fldChar w:fldCharType="begin"/>
            </w:r>
            <w:r>
              <w:rPr>
                <w:noProof/>
                <w:webHidden/>
              </w:rPr>
              <w:instrText xml:space="preserve"> PAGEREF _Toc226981084 \h </w:instrText>
            </w:r>
            <w:r>
              <w:rPr>
                <w:noProof/>
                <w:webHidden/>
              </w:rPr>
            </w:r>
            <w:r>
              <w:rPr>
                <w:noProof/>
                <w:webHidden/>
              </w:rPr>
              <w:fldChar w:fldCharType="separate"/>
            </w:r>
            <w:r>
              <w:rPr>
                <w:noProof/>
                <w:webHidden/>
              </w:rPr>
              <w:t>65</w:t>
            </w:r>
            <w:r>
              <w:rPr>
                <w:noProof/>
                <w:webHidden/>
              </w:rPr>
              <w:fldChar w:fldCharType="end"/>
            </w:r>
          </w:hyperlink>
        </w:p>
        <w:p w14:paraId="5437273E" w14:textId="1DA1C6E7" w:rsidR="00562109" w:rsidRPr="00BD30E2" w:rsidRDefault="00262FA0" w:rsidP="00BD30E2">
          <w:r>
            <w:rPr>
              <w:b/>
              <w:bCs/>
              <w:noProof/>
            </w:rPr>
            <w:fldChar w:fldCharType="end"/>
          </w:r>
        </w:p>
      </w:sdtContent>
    </w:sdt>
    <w:p w14:paraId="1E1B054E" w14:textId="77777777" w:rsidR="00B12F88" w:rsidRPr="00393ADA" w:rsidRDefault="00B12F88" w:rsidP="2E12E5CC">
      <w:pPr>
        <w:pStyle w:val="Heading2"/>
      </w:pPr>
      <w:bookmarkStart w:id="0" w:name="_Toc226108591"/>
      <w:bookmarkStart w:id="1" w:name="_Toc226981056"/>
      <w:r>
        <w:lastRenderedPageBreak/>
        <w:t>Foreword</w:t>
      </w:r>
      <w:bookmarkEnd w:id="0"/>
      <w:bookmarkEnd w:id="1"/>
    </w:p>
    <w:p w14:paraId="0DA741B4" w14:textId="2485B2EE" w:rsidR="00B12F88" w:rsidRPr="00393ADA" w:rsidRDefault="00B12F88" w:rsidP="00B12F88">
      <w:pPr>
        <w:ind w:right="18"/>
      </w:pPr>
      <w:r w:rsidRPr="00393ADA">
        <w:t xml:space="preserve">The </w:t>
      </w:r>
      <w:r w:rsidRPr="18ADA4C4">
        <w:rPr>
          <w:spacing w:val="-1"/>
        </w:rPr>
        <w:t>P</w:t>
      </w:r>
      <w:r w:rsidRPr="18ADA4C4">
        <w:t>ri</w:t>
      </w:r>
      <w:r w:rsidRPr="18ADA4C4">
        <w:rPr>
          <w:spacing w:val="-1"/>
        </w:rPr>
        <w:t>c</w:t>
      </w:r>
      <w:r w:rsidRPr="18ADA4C4">
        <w:t>e</w:t>
      </w:r>
      <w:r w:rsidRPr="18ADA4C4">
        <w:rPr>
          <w:spacing w:val="13"/>
        </w:rPr>
        <w:t xml:space="preserve"> </w:t>
      </w:r>
      <w:r w:rsidRPr="18ADA4C4">
        <w:t>List</w:t>
      </w:r>
      <w:r w:rsidRPr="18ADA4C4">
        <w:rPr>
          <w:spacing w:val="12"/>
        </w:rPr>
        <w:t xml:space="preserve"> </w:t>
      </w:r>
      <w:r w:rsidRPr="18ADA4C4">
        <w:t>of</w:t>
      </w:r>
      <w:r w:rsidRPr="18ADA4C4">
        <w:rPr>
          <w:spacing w:val="12"/>
        </w:rPr>
        <w:t xml:space="preserve"> </w:t>
      </w:r>
      <w:r w:rsidRPr="18ADA4C4">
        <w:rPr>
          <w:spacing w:val="-1"/>
        </w:rPr>
        <w:t>G</w:t>
      </w:r>
      <w:r w:rsidRPr="18ADA4C4">
        <w:t>oods</w:t>
      </w:r>
      <w:r w:rsidRPr="18ADA4C4">
        <w:rPr>
          <w:spacing w:val="12"/>
        </w:rPr>
        <w:t xml:space="preserve"> </w:t>
      </w:r>
      <w:r w:rsidRPr="18ADA4C4">
        <w:t>and</w:t>
      </w:r>
      <w:r w:rsidRPr="18ADA4C4">
        <w:rPr>
          <w:spacing w:val="12"/>
        </w:rPr>
        <w:t xml:space="preserve"> </w:t>
      </w:r>
      <w:r w:rsidRPr="18ADA4C4">
        <w:t>S</w:t>
      </w:r>
      <w:r w:rsidRPr="18ADA4C4">
        <w:rPr>
          <w:spacing w:val="-1"/>
        </w:rPr>
        <w:t>e</w:t>
      </w:r>
      <w:r w:rsidRPr="18ADA4C4">
        <w:t>r</w:t>
      </w:r>
      <w:r w:rsidRPr="18ADA4C4">
        <w:rPr>
          <w:spacing w:val="-1"/>
        </w:rPr>
        <w:t>v</w:t>
      </w:r>
      <w:r w:rsidRPr="18ADA4C4">
        <w:t>i</w:t>
      </w:r>
      <w:r w:rsidRPr="18ADA4C4">
        <w:rPr>
          <w:spacing w:val="1"/>
        </w:rPr>
        <w:t>c</w:t>
      </w:r>
      <w:r w:rsidRPr="18ADA4C4">
        <w:rPr>
          <w:spacing w:val="-1"/>
        </w:rPr>
        <w:t>e</w:t>
      </w:r>
      <w:r w:rsidRPr="18ADA4C4">
        <w:t>s (Price List)</w:t>
      </w:r>
      <w:r w:rsidRPr="7437AB61">
        <w:rPr>
          <w:i/>
          <w:iCs/>
          <w:spacing w:val="12"/>
        </w:rPr>
        <w:t xml:space="preserve"> </w:t>
      </w:r>
      <w:r w:rsidRPr="00393ADA">
        <w:rPr>
          <w:spacing w:val="-1"/>
        </w:rPr>
        <w:t>f</w:t>
      </w:r>
      <w:r w:rsidRPr="00393ADA">
        <w:t>or</w:t>
      </w:r>
      <w:r w:rsidRPr="00393ADA">
        <w:rPr>
          <w:spacing w:val="13"/>
        </w:rPr>
        <w:t xml:space="preserve"> </w:t>
      </w:r>
      <w:r w:rsidRPr="00393ADA">
        <w:t>2027-29</w:t>
      </w:r>
      <w:r w:rsidRPr="00393ADA">
        <w:rPr>
          <w:spacing w:val="12"/>
        </w:rPr>
        <w:t xml:space="preserve"> </w:t>
      </w:r>
      <w:r w:rsidRPr="00393ADA">
        <w:t>p</w:t>
      </w:r>
      <w:r w:rsidRPr="00393ADA">
        <w:rPr>
          <w:spacing w:val="-1"/>
        </w:rPr>
        <w:t>r</w:t>
      </w:r>
      <w:r w:rsidRPr="00393ADA">
        <w:t>ovid</w:t>
      </w:r>
      <w:r w:rsidRPr="00393ADA">
        <w:rPr>
          <w:spacing w:val="-1"/>
        </w:rPr>
        <w:t>e</w:t>
      </w:r>
      <w:r w:rsidRPr="00393ADA">
        <w:t>s</w:t>
      </w:r>
      <w:r w:rsidRPr="00393ADA">
        <w:rPr>
          <w:spacing w:val="12"/>
        </w:rPr>
        <w:t xml:space="preserve"> </w:t>
      </w:r>
      <w:r w:rsidRPr="00393ADA">
        <w:t>a</w:t>
      </w:r>
      <w:r w:rsidRPr="00393ADA">
        <w:rPr>
          <w:spacing w:val="13"/>
        </w:rPr>
        <w:t xml:space="preserve"> </w:t>
      </w:r>
      <w:r w:rsidRPr="00393ADA">
        <w:t>d</w:t>
      </w:r>
      <w:r w:rsidRPr="00393ADA">
        <w:rPr>
          <w:spacing w:val="-1"/>
        </w:rPr>
        <w:t>e</w:t>
      </w:r>
      <w:r w:rsidRPr="00393ADA">
        <w:t>t</w:t>
      </w:r>
      <w:r w:rsidRPr="00393ADA">
        <w:rPr>
          <w:spacing w:val="-1"/>
        </w:rPr>
        <w:t>a</w:t>
      </w:r>
      <w:r w:rsidRPr="00393ADA">
        <w:t>il</w:t>
      </w:r>
      <w:r w:rsidRPr="00393ADA">
        <w:rPr>
          <w:spacing w:val="-1"/>
        </w:rPr>
        <w:t>e</w:t>
      </w:r>
      <w:r w:rsidRPr="00393ADA">
        <w:t>d</w:t>
      </w:r>
      <w:r w:rsidRPr="00393ADA">
        <w:rPr>
          <w:spacing w:val="14"/>
        </w:rPr>
        <w:t xml:space="preserve"> </w:t>
      </w:r>
      <w:r w:rsidRPr="00393ADA">
        <w:t>d</w:t>
      </w:r>
      <w:r w:rsidRPr="00393ADA">
        <w:rPr>
          <w:spacing w:val="-1"/>
        </w:rPr>
        <w:t>e</w:t>
      </w:r>
      <w:r w:rsidRPr="00393ADA">
        <w:t>s</w:t>
      </w:r>
      <w:r w:rsidRPr="00393ADA">
        <w:rPr>
          <w:spacing w:val="-1"/>
        </w:rPr>
        <w:t>cr</w:t>
      </w:r>
      <w:r w:rsidRPr="00393ADA">
        <w:t>iption</w:t>
      </w:r>
      <w:r w:rsidRPr="00393ADA">
        <w:rPr>
          <w:spacing w:val="12"/>
        </w:rPr>
        <w:t xml:space="preserve"> </w:t>
      </w:r>
      <w:r w:rsidRPr="00393ADA">
        <w:t>of</w:t>
      </w:r>
      <w:r w:rsidRPr="00393ADA">
        <w:rPr>
          <w:spacing w:val="11"/>
        </w:rPr>
        <w:t xml:space="preserve"> </w:t>
      </w:r>
      <w:r w:rsidRPr="00393ADA">
        <w:t>the</w:t>
      </w:r>
      <w:r w:rsidRPr="00393ADA">
        <w:rPr>
          <w:spacing w:val="13"/>
        </w:rPr>
        <w:t xml:space="preserve"> </w:t>
      </w:r>
      <w:r w:rsidRPr="00393ADA">
        <w:t>s</w:t>
      </w:r>
      <w:r w:rsidRPr="00393ADA">
        <w:rPr>
          <w:spacing w:val="-1"/>
        </w:rPr>
        <w:t>er</w:t>
      </w:r>
      <w:r w:rsidRPr="00393ADA">
        <w:t>vi</w:t>
      </w:r>
      <w:r w:rsidRPr="00393ADA">
        <w:rPr>
          <w:spacing w:val="1"/>
        </w:rPr>
        <w:t>c</w:t>
      </w:r>
      <w:r w:rsidRPr="00393ADA">
        <w:rPr>
          <w:spacing w:val="-1"/>
        </w:rPr>
        <w:t>e</w:t>
      </w:r>
      <w:r w:rsidRPr="00393ADA">
        <w:t>s</w:t>
      </w:r>
      <w:r w:rsidRPr="00393ADA">
        <w:rPr>
          <w:spacing w:val="12"/>
        </w:rPr>
        <w:t xml:space="preserve"> </w:t>
      </w:r>
      <w:r w:rsidRPr="00393ADA">
        <w:rPr>
          <w:spacing w:val="-1"/>
        </w:rPr>
        <w:t>a</w:t>
      </w:r>
      <w:r w:rsidRPr="00393ADA">
        <w:rPr>
          <w:spacing w:val="2"/>
        </w:rPr>
        <w:t>n</w:t>
      </w:r>
      <w:r w:rsidRPr="00393ADA">
        <w:t xml:space="preserve">d </w:t>
      </w:r>
      <w:r w:rsidRPr="00393ADA">
        <w:rPr>
          <w:spacing w:val="-1"/>
        </w:rPr>
        <w:t>re</w:t>
      </w:r>
      <w:r w:rsidRPr="00393ADA">
        <w:t>l</w:t>
      </w:r>
      <w:r w:rsidRPr="00393ADA">
        <w:rPr>
          <w:spacing w:val="-1"/>
        </w:rPr>
        <w:t>a</w:t>
      </w:r>
      <w:r w:rsidRPr="00393ADA">
        <w:t>t</w:t>
      </w:r>
      <w:r w:rsidRPr="00393ADA">
        <w:rPr>
          <w:spacing w:val="-1"/>
        </w:rPr>
        <w:t>e</w:t>
      </w:r>
      <w:r w:rsidRPr="00393ADA">
        <w:t xml:space="preserve">d </w:t>
      </w:r>
      <w:r w:rsidRPr="00393ADA">
        <w:rPr>
          <w:spacing w:val="-1"/>
        </w:rPr>
        <w:t>c</w:t>
      </w:r>
      <w:r w:rsidRPr="00393ADA">
        <w:t>osts th</w:t>
      </w:r>
      <w:r w:rsidRPr="00393ADA">
        <w:rPr>
          <w:spacing w:val="-1"/>
        </w:rPr>
        <w:t>a</w:t>
      </w:r>
      <w:r w:rsidRPr="00393ADA">
        <w:t>t a state agency should in</w:t>
      </w:r>
      <w:r w:rsidRPr="00393ADA">
        <w:rPr>
          <w:spacing w:val="-1"/>
        </w:rPr>
        <w:t>c</w:t>
      </w:r>
      <w:r w:rsidRPr="00393ADA">
        <w:t>lud</w:t>
      </w:r>
      <w:r w:rsidRPr="00393ADA">
        <w:rPr>
          <w:spacing w:val="-1"/>
        </w:rPr>
        <w:t>e</w:t>
      </w:r>
      <w:r w:rsidRPr="00393ADA">
        <w:t xml:space="preserve"> in its bu</w:t>
      </w:r>
      <w:r w:rsidRPr="00393ADA">
        <w:rPr>
          <w:spacing w:val="2"/>
        </w:rPr>
        <w:t>d</w:t>
      </w:r>
      <w:r w:rsidRPr="00393ADA">
        <w:t>g</w:t>
      </w:r>
      <w:r w:rsidRPr="00393ADA">
        <w:rPr>
          <w:spacing w:val="-1"/>
        </w:rPr>
        <w:t>e</w:t>
      </w:r>
      <w:r w:rsidRPr="00393ADA">
        <w:t xml:space="preserve">t. </w:t>
      </w:r>
      <w:r w:rsidRPr="00393ADA">
        <w:rPr>
          <w:spacing w:val="1"/>
        </w:rPr>
        <w:t>Charges</w:t>
      </w:r>
      <w:r w:rsidRPr="00393ADA">
        <w:rPr>
          <w:spacing w:val="19"/>
        </w:rPr>
        <w:t xml:space="preserve"> </w:t>
      </w:r>
      <w:r w:rsidRPr="00393ADA">
        <w:rPr>
          <w:spacing w:val="-1"/>
        </w:rPr>
        <w:t>a</w:t>
      </w:r>
      <w:r w:rsidRPr="00393ADA">
        <w:t>nd</w:t>
      </w:r>
      <w:r w:rsidRPr="00393ADA">
        <w:rPr>
          <w:spacing w:val="19"/>
        </w:rPr>
        <w:t xml:space="preserve"> </w:t>
      </w:r>
      <w:r w:rsidRPr="00393ADA">
        <w:t>u</w:t>
      </w:r>
      <w:r w:rsidRPr="00393ADA">
        <w:rPr>
          <w:spacing w:val="2"/>
        </w:rPr>
        <w:t>s</w:t>
      </w:r>
      <w:r w:rsidRPr="00393ADA">
        <w:rPr>
          <w:spacing w:val="-1"/>
        </w:rPr>
        <w:t>e</w:t>
      </w:r>
      <w:r w:rsidRPr="00393ADA">
        <w:t>r</w:t>
      </w:r>
      <w:r w:rsidRPr="00393ADA">
        <w:rPr>
          <w:spacing w:val="18"/>
        </w:rPr>
        <w:t xml:space="preserve"> </w:t>
      </w:r>
      <w:r w:rsidRPr="00393ADA">
        <w:rPr>
          <w:spacing w:val="-1"/>
        </w:rPr>
        <w:t>f</w:t>
      </w:r>
      <w:r w:rsidRPr="00393ADA">
        <w:rPr>
          <w:spacing w:val="1"/>
        </w:rPr>
        <w:t>e</w:t>
      </w:r>
      <w:r w:rsidRPr="00393ADA">
        <w:rPr>
          <w:spacing w:val="-1"/>
        </w:rPr>
        <w:t>e</w:t>
      </w:r>
      <w:r w:rsidRPr="00393ADA">
        <w:t>s</w:t>
      </w:r>
      <w:r w:rsidRPr="00393ADA">
        <w:rPr>
          <w:spacing w:val="19"/>
        </w:rPr>
        <w:t xml:space="preserve"> </w:t>
      </w:r>
      <w:r w:rsidRPr="00393ADA">
        <w:t>in</w:t>
      </w:r>
      <w:r w:rsidRPr="00393ADA">
        <w:rPr>
          <w:spacing w:val="-1"/>
        </w:rPr>
        <w:t>c</w:t>
      </w:r>
      <w:r w:rsidRPr="00393ADA">
        <w:rPr>
          <w:spacing w:val="2"/>
        </w:rPr>
        <w:t>l</w:t>
      </w:r>
      <w:r w:rsidRPr="00393ADA">
        <w:t>ud</w:t>
      </w:r>
      <w:r w:rsidRPr="00393ADA">
        <w:rPr>
          <w:spacing w:val="-1"/>
        </w:rPr>
        <w:t>e</w:t>
      </w:r>
      <w:r w:rsidRPr="00393ADA">
        <w:t>d</w:t>
      </w:r>
      <w:r w:rsidRPr="00393ADA">
        <w:rPr>
          <w:spacing w:val="19"/>
        </w:rPr>
        <w:t xml:space="preserve"> </w:t>
      </w:r>
      <w:r w:rsidRPr="00393ADA">
        <w:t>in</w:t>
      </w:r>
      <w:r w:rsidRPr="00393ADA">
        <w:rPr>
          <w:spacing w:val="19"/>
        </w:rPr>
        <w:t xml:space="preserve"> </w:t>
      </w:r>
      <w:r w:rsidRPr="00393ADA">
        <w:t>the</w:t>
      </w:r>
      <w:r w:rsidRPr="00393ADA">
        <w:rPr>
          <w:spacing w:val="18"/>
        </w:rPr>
        <w:t xml:space="preserve"> </w:t>
      </w:r>
      <w:r w:rsidRPr="7437AB61">
        <w:rPr>
          <w:spacing w:val="-1"/>
        </w:rPr>
        <w:t>P</w:t>
      </w:r>
      <w:r w:rsidRPr="7437AB61">
        <w:t>ri</w:t>
      </w:r>
      <w:r w:rsidRPr="7437AB61">
        <w:rPr>
          <w:spacing w:val="-1"/>
        </w:rPr>
        <w:t>c</w:t>
      </w:r>
      <w:r w:rsidRPr="7437AB61">
        <w:t>e</w:t>
      </w:r>
      <w:r w:rsidRPr="7437AB61">
        <w:rPr>
          <w:spacing w:val="18"/>
        </w:rPr>
        <w:t xml:space="preserve"> </w:t>
      </w:r>
      <w:r w:rsidRPr="7437AB61">
        <w:t>List</w:t>
      </w:r>
      <w:r w:rsidRPr="7437AB61">
        <w:rPr>
          <w:spacing w:val="19"/>
        </w:rPr>
        <w:t xml:space="preserve"> </w:t>
      </w:r>
      <w:r w:rsidRPr="00393ADA">
        <w:t>p</w:t>
      </w:r>
      <w:r w:rsidRPr="00393ADA">
        <w:rPr>
          <w:spacing w:val="-1"/>
        </w:rPr>
        <w:t>r</w:t>
      </w:r>
      <w:r w:rsidRPr="00393ADA">
        <w:rPr>
          <w:spacing w:val="2"/>
        </w:rPr>
        <w:t>o</w:t>
      </w:r>
      <w:r w:rsidRPr="00393ADA">
        <w:t>vide st</w:t>
      </w:r>
      <w:r w:rsidRPr="00393ADA">
        <w:rPr>
          <w:spacing w:val="-1"/>
        </w:rPr>
        <w:t>a</w:t>
      </w:r>
      <w:r w:rsidRPr="00393ADA">
        <w:t>te</w:t>
      </w:r>
      <w:r w:rsidRPr="00393ADA">
        <w:rPr>
          <w:spacing w:val="42"/>
        </w:rPr>
        <w:t xml:space="preserve"> </w:t>
      </w:r>
      <w:r w:rsidRPr="00393ADA">
        <w:rPr>
          <w:spacing w:val="-1"/>
        </w:rPr>
        <w:t>a</w:t>
      </w:r>
      <w:r w:rsidRPr="00393ADA">
        <w:t>g</w:t>
      </w:r>
      <w:r w:rsidRPr="00393ADA">
        <w:rPr>
          <w:spacing w:val="-1"/>
        </w:rPr>
        <w:t>e</w:t>
      </w:r>
      <w:r w:rsidRPr="00393ADA">
        <w:t>n</w:t>
      </w:r>
      <w:r w:rsidRPr="00393ADA">
        <w:rPr>
          <w:spacing w:val="-1"/>
        </w:rPr>
        <w:t>c</w:t>
      </w:r>
      <w:r w:rsidRPr="00393ADA">
        <w:t>i</w:t>
      </w:r>
      <w:r w:rsidRPr="00393ADA">
        <w:rPr>
          <w:spacing w:val="-1"/>
        </w:rPr>
        <w:t>e</w:t>
      </w:r>
      <w:r w:rsidRPr="00393ADA">
        <w:t>s</w:t>
      </w:r>
      <w:r w:rsidRPr="00393ADA">
        <w:rPr>
          <w:spacing w:val="43"/>
        </w:rPr>
        <w:t xml:space="preserve"> </w:t>
      </w:r>
      <w:r w:rsidRPr="00393ADA">
        <w:rPr>
          <w:spacing w:val="-1"/>
        </w:rPr>
        <w:t>w</w:t>
      </w:r>
      <w:r w:rsidRPr="00393ADA">
        <w:t>ith</w:t>
      </w:r>
      <w:r w:rsidRPr="00393ADA">
        <w:rPr>
          <w:spacing w:val="43"/>
        </w:rPr>
        <w:t xml:space="preserve"> </w:t>
      </w:r>
      <w:r w:rsidRPr="00393ADA">
        <w:t>a</w:t>
      </w:r>
      <w:r w:rsidRPr="00393ADA">
        <w:rPr>
          <w:spacing w:val="42"/>
        </w:rPr>
        <w:t xml:space="preserve"> </w:t>
      </w:r>
      <w:r w:rsidRPr="00393ADA">
        <w:t>st</w:t>
      </w:r>
      <w:r w:rsidRPr="00393ADA">
        <w:rPr>
          <w:spacing w:val="-1"/>
        </w:rPr>
        <w:t>ar</w:t>
      </w:r>
      <w:r w:rsidRPr="00393ADA">
        <w:t>ting</w:t>
      </w:r>
      <w:r w:rsidRPr="00393ADA">
        <w:rPr>
          <w:spacing w:val="40"/>
        </w:rPr>
        <w:t xml:space="preserve"> </w:t>
      </w:r>
      <w:r w:rsidRPr="00393ADA">
        <w:t>point</w:t>
      </w:r>
      <w:r w:rsidRPr="00393ADA">
        <w:rPr>
          <w:spacing w:val="43"/>
        </w:rPr>
        <w:t xml:space="preserve"> </w:t>
      </w:r>
      <w:r w:rsidRPr="00393ADA">
        <w:rPr>
          <w:spacing w:val="-1"/>
        </w:rPr>
        <w:t>f</w:t>
      </w:r>
      <w:r w:rsidRPr="00393ADA">
        <w:t>or</w:t>
      </w:r>
      <w:r w:rsidRPr="00393ADA">
        <w:rPr>
          <w:spacing w:val="42"/>
        </w:rPr>
        <w:t xml:space="preserve"> </w:t>
      </w:r>
      <w:r w:rsidRPr="00393ADA">
        <w:t>d</w:t>
      </w:r>
      <w:r w:rsidRPr="00393ADA">
        <w:rPr>
          <w:spacing w:val="-1"/>
        </w:rPr>
        <w:t>e</w:t>
      </w:r>
      <w:r w:rsidRPr="00393ADA">
        <w:t>v</w:t>
      </w:r>
      <w:r w:rsidRPr="00393ADA">
        <w:rPr>
          <w:spacing w:val="-1"/>
        </w:rPr>
        <w:t>e</w:t>
      </w:r>
      <w:r w:rsidRPr="00393ADA">
        <w:t>lo</w:t>
      </w:r>
      <w:r w:rsidRPr="00393ADA">
        <w:rPr>
          <w:spacing w:val="2"/>
        </w:rPr>
        <w:t>p</w:t>
      </w:r>
      <w:r w:rsidRPr="00393ADA">
        <w:t>ing</w:t>
      </w:r>
      <w:r w:rsidRPr="00393ADA">
        <w:rPr>
          <w:spacing w:val="40"/>
        </w:rPr>
        <w:t xml:space="preserve"> </w:t>
      </w:r>
      <w:r w:rsidRPr="00393ADA">
        <w:t>2027-29</w:t>
      </w:r>
      <w:r w:rsidRPr="00393ADA">
        <w:rPr>
          <w:spacing w:val="12"/>
        </w:rPr>
        <w:t xml:space="preserve"> </w:t>
      </w:r>
      <w:r w:rsidRPr="00393ADA">
        <w:rPr>
          <w:spacing w:val="1"/>
        </w:rPr>
        <w:t>a</w:t>
      </w:r>
      <w:r w:rsidRPr="00393ADA">
        <w:rPr>
          <w:spacing w:val="-3"/>
        </w:rPr>
        <w:t>g</w:t>
      </w:r>
      <w:r w:rsidRPr="00393ADA">
        <w:rPr>
          <w:spacing w:val="-1"/>
        </w:rPr>
        <w:t>e</w:t>
      </w:r>
      <w:r w:rsidRPr="00393ADA">
        <w:rPr>
          <w:spacing w:val="2"/>
        </w:rPr>
        <w:t>n</w:t>
      </w:r>
      <w:r w:rsidRPr="00393ADA">
        <w:rPr>
          <w:spacing w:val="3"/>
        </w:rPr>
        <w:t>c</w:t>
      </w:r>
      <w:r w:rsidRPr="00393ADA">
        <w:t>y</w:t>
      </w:r>
      <w:r w:rsidRPr="00393ADA">
        <w:rPr>
          <w:spacing w:val="36"/>
        </w:rPr>
        <w:t xml:space="preserve"> </w:t>
      </w:r>
      <w:r w:rsidRPr="00393ADA">
        <w:rPr>
          <w:spacing w:val="2"/>
        </w:rPr>
        <w:t>b</w:t>
      </w:r>
      <w:r w:rsidRPr="00393ADA">
        <w:t>u</w:t>
      </w:r>
      <w:r w:rsidRPr="00393ADA">
        <w:rPr>
          <w:spacing w:val="2"/>
        </w:rPr>
        <w:t>d</w:t>
      </w:r>
      <w:r w:rsidRPr="00393ADA">
        <w:rPr>
          <w:spacing w:val="-3"/>
        </w:rPr>
        <w:t>g</w:t>
      </w:r>
      <w:r w:rsidRPr="00393ADA">
        <w:rPr>
          <w:spacing w:val="-1"/>
        </w:rPr>
        <w:t>e</w:t>
      </w:r>
      <w:r w:rsidRPr="00393ADA">
        <w:t>ts.</w:t>
      </w:r>
      <w:r w:rsidRPr="7437AB61">
        <w:t xml:space="preserve"> Price List</w:t>
      </w:r>
      <w:r w:rsidRPr="7437AB61">
        <w:rPr>
          <w:i/>
          <w:iCs/>
        </w:rPr>
        <w:t xml:space="preserve"> </w:t>
      </w:r>
      <w:r w:rsidRPr="00393ADA">
        <w:t>charges and user fees are subject to change as the budget requests of the Department of Administrative Services (DAS) and other contributing agencies are altered during the development of the Governor’s Budget (GB) and the Legislatively Adopted Budget (LAB).</w:t>
      </w:r>
    </w:p>
    <w:p w14:paraId="64904AFD" w14:textId="77777777" w:rsidR="00B12F88" w:rsidRPr="008F32E6" w:rsidRDefault="00B12F88" w:rsidP="00B12F88">
      <w:pPr>
        <w:ind w:right="18"/>
      </w:pPr>
      <w:r w:rsidRPr="008F32E6">
        <w:t>Please see each program description for more information.</w:t>
      </w:r>
    </w:p>
    <w:p w14:paraId="0E99B962" w14:textId="69073EF0" w:rsidR="00B12F88" w:rsidRPr="008F32E6" w:rsidRDefault="00B12F88" w:rsidP="00B12F88">
      <w:pPr>
        <w:ind w:right="18"/>
      </w:pPr>
      <w:r>
        <w:t xml:space="preserve">The </w:t>
      </w:r>
      <w:r w:rsidRPr="7437AB61">
        <w:t xml:space="preserve">Price List will be e-published in three different versions throughout the budget development cycle: Agency Request Budget, Governor’s Budget, and Legislatively Adopted Budget. A full printable copy of the current version is available </w:t>
      </w:r>
      <w:r w:rsidR="67B61CA0" w:rsidRPr="7437AB61">
        <w:t xml:space="preserve">on the </w:t>
      </w:r>
      <w:hyperlink r:id="rId15">
        <w:r w:rsidR="67B61CA0" w:rsidRPr="7437AB61">
          <w:rPr>
            <w:rStyle w:val="Hyperlink"/>
          </w:rPr>
          <w:t>Price List website</w:t>
        </w:r>
      </w:hyperlink>
      <w:r w:rsidR="67B61CA0" w:rsidRPr="7437AB61">
        <w:t>,</w:t>
      </w:r>
      <w:r>
        <w:t xml:space="preserve"> and the past biennium’s is </w:t>
      </w:r>
      <w:r w:rsidR="253140CC">
        <w:t xml:space="preserve">on the </w:t>
      </w:r>
      <w:hyperlink r:id="rId16">
        <w:r w:rsidR="253140CC" w:rsidRPr="7437AB61">
          <w:rPr>
            <w:rStyle w:val="Hyperlink"/>
          </w:rPr>
          <w:t>Oregon Budget Instructions webpage</w:t>
        </w:r>
      </w:hyperlink>
      <w:r>
        <w:t>.</w:t>
      </w:r>
    </w:p>
    <w:p w14:paraId="3A69A68A" w14:textId="77777777" w:rsidR="00B12F88" w:rsidRDefault="00B12F88" w:rsidP="00B12F88">
      <w:pPr>
        <w:ind w:right="18"/>
      </w:pPr>
    </w:p>
    <w:p w14:paraId="08612760" w14:textId="2DEA1FFE" w:rsidR="005D0AF2" w:rsidRDefault="005D0AF2"/>
    <w:p w14:paraId="13DF024E" w14:textId="77777777" w:rsidR="00BB6AC2" w:rsidRDefault="00BB6AC2"/>
    <w:p w14:paraId="4FE4B3DF" w14:textId="77777777" w:rsidR="00BB6AC2" w:rsidRDefault="00BB6AC2"/>
    <w:p w14:paraId="7744CD74" w14:textId="77777777" w:rsidR="00BB6AC2" w:rsidRDefault="00BB6AC2"/>
    <w:p w14:paraId="58BD6B5B" w14:textId="77777777" w:rsidR="00BB6AC2" w:rsidRDefault="00BB6AC2"/>
    <w:p w14:paraId="3DA62471" w14:textId="77777777" w:rsidR="00BB6AC2" w:rsidRDefault="00BB6AC2"/>
    <w:p w14:paraId="4A2785FC" w14:textId="77777777" w:rsidR="00BB6AC2" w:rsidRDefault="00BB6AC2"/>
    <w:p w14:paraId="23C83DD3" w14:textId="77777777" w:rsidR="00BB6AC2" w:rsidRDefault="00BB6AC2"/>
    <w:p w14:paraId="01D44D6B" w14:textId="77777777" w:rsidR="00BB6AC2" w:rsidRDefault="00BB6AC2"/>
    <w:p w14:paraId="5846A5A5" w14:textId="77777777" w:rsidR="00BB6AC2" w:rsidRDefault="00BB6AC2"/>
    <w:p w14:paraId="1CBDEBE9" w14:textId="77777777" w:rsidR="00BB6AC2" w:rsidRDefault="00BB6AC2"/>
    <w:p w14:paraId="2AF82E38" w14:textId="77777777" w:rsidR="00BB6AC2" w:rsidRDefault="00BB6AC2"/>
    <w:p w14:paraId="5DA150FC" w14:textId="77777777" w:rsidR="00BB6AC2" w:rsidRDefault="00BB6AC2"/>
    <w:p w14:paraId="4BD7DCE3" w14:textId="77777777" w:rsidR="00BB6AC2" w:rsidRDefault="00BB6AC2"/>
    <w:p w14:paraId="7D400C69" w14:textId="77777777" w:rsidR="00BB6AC2" w:rsidRDefault="00BB6AC2"/>
    <w:p w14:paraId="099257B5" w14:textId="77777777" w:rsidR="00F80E94" w:rsidRPr="00FD7993" w:rsidRDefault="00F80E94" w:rsidP="2E12E5CC">
      <w:pPr>
        <w:pStyle w:val="Heading2"/>
      </w:pPr>
      <w:bookmarkStart w:id="2" w:name="_Toc226108592"/>
      <w:bookmarkStart w:id="3" w:name="_Toc226981057"/>
      <w:r>
        <w:lastRenderedPageBreak/>
        <w:t>Department of Administrative Services</w:t>
      </w:r>
      <w:bookmarkEnd w:id="2"/>
      <w:bookmarkEnd w:id="3"/>
    </w:p>
    <w:p w14:paraId="4E3B769F" w14:textId="77777777" w:rsidR="00F80E94" w:rsidRPr="00195D46" w:rsidRDefault="00F80E94" w:rsidP="2E12E5CC">
      <w:pPr>
        <w:pStyle w:val="Heading3"/>
        <w:rPr>
          <w:sz w:val="20"/>
          <w:szCs w:val="20"/>
        </w:rPr>
      </w:pPr>
      <w:bookmarkStart w:id="4" w:name="_Toc226108593"/>
      <w:bookmarkStart w:id="5" w:name="_Toc226981058"/>
      <w:r>
        <w:t>Chief Operating Office</w:t>
      </w:r>
      <w:bookmarkEnd w:id="4"/>
      <w:bookmarkEnd w:id="5"/>
    </w:p>
    <w:p w14:paraId="5A42909F" w14:textId="77777777" w:rsidR="00F80E94" w:rsidRPr="00414088" w:rsidRDefault="00F80E94" w:rsidP="00F80E94">
      <w:pPr>
        <w:pStyle w:val="ListBullet"/>
        <w:numPr>
          <w:ilvl w:val="0"/>
          <w:numId w:val="0"/>
        </w:numPr>
        <w:rPr>
          <w:rFonts w:asciiTheme="minorHAnsi" w:hAnsiTheme="minorHAnsi"/>
          <w:sz w:val="24"/>
          <w:szCs w:val="24"/>
        </w:rPr>
      </w:pPr>
      <w:r w:rsidRPr="00414088" w:rsidDel="00050729">
        <w:rPr>
          <w:rFonts w:asciiTheme="minorHAnsi" w:hAnsiTheme="minorHAnsi"/>
          <w:spacing w:val="-1"/>
          <w:sz w:val="24"/>
          <w:szCs w:val="24"/>
        </w:rPr>
        <w:t>T</w:t>
      </w:r>
      <w:r w:rsidRPr="00414088" w:rsidDel="00050729">
        <w:rPr>
          <w:rFonts w:asciiTheme="minorHAnsi" w:hAnsiTheme="minorHAnsi"/>
          <w:sz w:val="24"/>
          <w:szCs w:val="24"/>
        </w:rPr>
        <w:t>he</w:t>
      </w:r>
      <w:r w:rsidRPr="00414088" w:rsidDel="00050729">
        <w:rPr>
          <w:rFonts w:asciiTheme="minorHAnsi" w:hAnsiTheme="minorHAnsi"/>
          <w:spacing w:val="3"/>
          <w:sz w:val="24"/>
          <w:szCs w:val="24"/>
        </w:rPr>
        <w:t xml:space="preserve"> </w:t>
      </w:r>
      <w:r w:rsidRPr="00414088" w:rsidDel="00050729">
        <w:rPr>
          <w:rFonts w:asciiTheme="minorHAnsi" w:hAnsiTheme="minorHAnsi"/>
          <w:spacing w:val="-1"/>
          <w:sz w:val="24"/>
          <w:szCs w:val="24"/>
        </w:rPr>
        <w:t>Off</w:t>
      </w:r>
      <w:r w:rsidRPr="00414088" w:rsidDel="00050729">
        <w:rPr>
          <w:rFonts w:asciiTheme="minorHAnsi" w:hAnsiTheme="minorHAnsi"/>
          <w:sz w:val="24"/>
          <w:szCs w:val="24"/>
        </w:rPr>
        <w:t>i</w:t>
      </w:r>
      <w:r w:rsidRPr="00414088" w:rsidDel="00050729">
        <w:rPr>
          <w:rFonts w:asciiTheme="minorHAnsi" w:hAnsiTheme="minorHAnsi"/>
          <w:spacing w:val="-1"/>
          <w:sz w:val="24"/>
          <w:szCs w:val="24"/>
        </w:rPr>
        <w:t>c</w:t>
      </w:r>
      <w:r w:rsidRPr="00414088" w:rsidDel="00050729">
        <w:rPr>
          <w:rFonts w:asciiTheme="minorHAnsi" w:hAnsiTheme="minorHAnsi"/>
          <w:sz w:val="24"/>
          <w:szCs w:val="24"/>
        </w:rPr>
        <w:t>e</w:t>
      </w:r>
      <w:r w:rsidRPr="00414088" w:rsidDel="00050729">
        <w:rPr>
          <w:rFonts w:asciiTheme="minorHAnsi" w:hAnsiTheme="minorHAnsi"/>
          <w:spacing w:val="3"/>
          <w:sz w:val="24"/>
          <w:szCs w:val="24"/>
        </w:rPr>
        <w:t xml:space="preserve"> </w:t>
      </w:r>
      <w:r w:rsidRPr="00414088" w:rsidDel="00050729">
        <w:rPr>
          <w:rFonts w:asciiTheme="minorHAnsi" w:hAnsiTheme="minorHAnsi"/>
          <w:sz w:val="24"/>
          <w:szCs w:val="24"/>
        </w:rPr>
        <w:t>of</w:t>
      </w:r>
      <w:r w:rsidRPr="00414088" w:rsidDel="00050729">
        <w:rPr>
          <w:rFonts w:asciiTheme="minorHAnsi" w:hAnsiTheme="minorHAnsi"/>
          <w:spacing w:val="4"/>
          <w:sz w:val="24"/>
          <w:szCs w:val="24"/>
        </w:rPr>
        <w:t xml:space="preserve"> </w:t>
      </w:r>
      <w:r w:rsidRPr="00414088" w:rsidDel="00050729">
        <w:rPr>
          <w:rFonts w:asciiTheme="minorHAnsi" w:hAnsiTheme="minorHAnsi"/>
          <w:sz w:val="24"/>
          <w:szCs w:val="24"/>
        </w:rPr>
        <w:t>the</w:t>
      </w:r>
      <w:r w:rsidRPr="00414088" w:rsidDel="00050729">
        <w:rPr>
          <w:rFonts w:asciiTheme="minorHAnsi" w:hAnsiTheme="minorHAnsi"/>
          <w:spacing w:val="3"/>
          <w:sz w:val="24"/>
          <w:szCs w:val="24"/>
        </w:rPr>
        <w:t xml:space="preserve"> </w:t>
      </w:r>
      <w:r w:rsidRPr="00414088" w:rsidDel="00050729">
        <w:rPr>
          <w:rFonts w:asciiTheme="minorHAnsi" w:hAnsiTheme="minorHAnsi"/>
          <w:sz w:val="24"/>
          <w:szCs w:val="24"/>
        </w:rPr>
        <w:t>Chi</w:t>
      </w:r>
      <w:r w:rsidRPr="00414088" w:rsidDel="00050729">
        <w:rPr>
          <w:rFonts w:asciiTheme="minorHAnsi" w:hAnsiTheme="minorHAnsi"/>
          <w:spacing w:val="-1"/>
          <w:sz w:val="24"/>
          <w:szCs w:val="24"/>
        </w:rPr>
        <w:t>e</w:t>
      </w:r>
      <w:r w:rsidRPr="00414088" w:rsidDel="00050729">
        <w:rPr>
          <w:rFonts w:asciiTheme="minorHAnsi" w:hAnsiTheme="minorHAnsi"/>
          <w:sz w:val="24"/>
          <w:szCs w:val="24"/>
        </w:rPr>
        <w:t>f</w:t>
      </w:r>
      <w:r w:rsidRPr="00414088" w:rsidDel="00050729">
        <w:rPr>
          <w:rFonts w:asciiTheme="minorHAnsi" w:hAnsiTheme="minorHAnsi"/>
          <w:spacing w:val="6"/>
          <w:sz w:val="24"/>
          <w:szCs w:val="24"/>
        </w:rPr>
        <w:t xml:space="preserve"> </w:t>
      </w:r>
      <w:r w:rsidRPr="00414088" w:rsidDel="00050729">
        <w:rPr>
          <w:rFonts w:asciiTheme="minorHAnsi" w:hAnsiTheme="minorHAnsi"/>
          <w:spacing w:val="-1"/>
          <w:sz w:val="24"/>
          <w:szCs w:val="24"/>
        </w:rPr>
        <w:t>O</w:t>
      </w:r>
      <w:r w:rsidRPr="00414088" w:rsidDel="00050729">
        <w:rPr>
          <w:rFonts w:asciiTheme="minorHAnsi" w:hAnsiTheme="minorHAnsi"/>
          <w:sz w:val="24"/>
          <w:szCs w:val="24"/>
        </w:rPr>
        <w:t>p</w:t>
      </w:r>
      <w:r w:rsidRPr="00414088" w:rsidDel="00050729">
        <w:rPr>
          <w:rFonts w:asciiTheme="minorHAnsi" w:hAnsiTheme="minorHAnsi"/>
          <w:spacing w:val="-1"/>
          <w:sz w:val="24"/>
          <w:szCs w:val="24"/>
        </w:rPr>
        <w:t>era</w:t>
      </w:r>
      <w:r w:rsidRPr="00414088" w:rsidDel="00050729">
        <w:rPr>
          <w:rFonts w:asciiTheme="minorHAnsi" w:hAnsiTheme="minorHAnsi"/>
          <w:sz w:val="24"/>
          <w:szCs w:val="24"/>
        </w:rPr>
        <w:t>ti</w:t>
      </w:r>
      <w:r w:rsidRPr="00414088" w:rsidDel="00050729">
        <w:rPr>
          <w:rFonts w:asciiTheme="minorHAnsi" w:hAnsiTheme="minorHAnsi"/>
          <w:spacing w:val="2"/>
          <w:sz w:val="24"/>
          <w:szCs w:val="24"/>
        </w:rPr>
        <w:t>n</w:t>
      </w:r>
      <w:r w:rsidRPr="00414088" w:rsidDel="00050729">
        <w:rPr>
          <w:rFonts w:asciiTheme="minorHAnsi" w:hAnsiTheme="minorHAnsi"/>
          <w:sz w:val="24"/>
          <w:szCs w:val="24"/>
        </w:rPr>
        <w:t>g</w:t>
      </w:r>
      <w:r w:rsidRPr="00414088" w:rsidDel="00050729">
        <w:rPr>
          <w:rFonts w:asciiTheme="minorHAnsi" w:hAnsiTheme="minorHAnsi"/>
          <w:spacing w:val="2"/>
          <w:sz w:val="24"/>
          <w:szCs w:val="24"/>
        </w:rPr>
        <w:t xml:space="preserve"> </w:t>
      </w:r>
      <w:r w:rsidRPr="00414088" w:rsidDel="00050729">
        <w:rPr>
          <w:rFonts w:asciiTheme="minorHAnsi" w:hAnsiTheme="minorHAnsi"/>
          <w:spacing w:val="-1"/>
          <w:sz w:val="24"/>
          <w:szCs w:val="24"/>
        </w:rPr>
        <w:t>Off</w:t>
      </w:r>
      <w:r w:rsidRPr="00414088" w:rsidDel="00050729">
        <w:rPr>
          <w:rFonts w:asciiTheme="minorHAnsi" w:hAnsiTheme="minorHAnsi"/>
          <w:sz w:val="24"/>
          <w:szCs w:val="24"/>
        </w:rPr>
        <w:t>i</w:t>
      </w:r>
      <w:r w:rsidRPr="00414088" w:rsidDel="00050729">
        <w:rPr>
          <w:rFonts w:asciiTheme="minorHAnsi" w:hAnsiTheme="minorHAnsi"/>
          <w:spacing w:val="1"/>
          <w:sz w:val="24"/>
          <w:szCs w:val="24"/>
        </w:rPr>
        <w:t>c</w:t>
      </w:r>
      <w:r w:rsidRPr="00414088" w:rsidDel="00050729">
        <w:rPr>
          <w:rFonts w:asciiTheme="minorHAnsi" w:hAnsiTheme="minorHAnsi"/>
          <w:spacing w:val="-1"/>
          <w:sz w:val="24"/>
          <w:szCs w:val="24"/>
        </w:rPr>
        <w:t>e</w:t>
      </w:r>
      <w:r w:rsidRPr="00414088" w:rsidDel="00050729">
        <w:rPr>
          <w:rFonts w:asciiTheme="minorHAnsi" w:hAnsiTheme="minorHAnsi"/>
          <w:sz w:val="24"/>
          <w:szCs w:val="24"/>
        </w:rPr>
        <w:t>r</w:t>
      </w:r>
      <w:r w:rsidRPr="00414088" w:rsidDel="00050729">
        <w:rPr>
          <w:rFonts w:asciiTheme="minorHAnsi" w:hAnsiTheme="minorHAnsi"/>
          <w:spacing w:val="4"/>
          <w:sz w:val="24"/>
          <w:szCs w:val="24"/>
        </w:rPr>
        <w:t xml:space="preserve"> (COO) </w:t>
      </w:r>
      <w:r w:rsidRPr="00414088" w:rsidDel="00050729">
        <w:rPr>
          <w:rFonts w:asciiTheme="minorHAnsi" w:hAnsiTheme="minorHAnsi"/>
          <w:sz w:val="24"/>
          <w:szCs w:val="24"/>
        </w:rPr>
        <w:t>l</w:t>
      </w:r>
      <w:r w:rsidRPr="00414088" w:rsidDel="00050729">
        <w:rPr>
          <w:rFonts w:asciiTheme="minorHAnsi" w:hAnsiTheme="minorHAnsi"/>
          <w:spacing w:val="-1"/>
          <w:sz w:val="24"/>
          <w:szCs w:val="24"/>
        </w:rPr>
        <w:t>ea</w:t>
      </w:r>
      <w:r w:rsidRPr="00414088" w:rsidDel="00050729">
        <w:rPr>
          <w:rFonts w:asciiTheme="minorHAnsi" w:hAnsiTheme="minorHAnsi"/>
          <w:sz w:val="24"/>
          <w:szCs w:val="24"/>
        </w:rPr>
        <w:t>ds</w:t>
      </w:r>
      <w:r w:rsidRPr="00414088" w:rsidDel="00050729">
        <w:rPr>
          <w:rFonts w:asciiTheme="minorHAnsi" w:hAnsiTheme="minorHAnsi"/>
          <w:spacing w:val="5"/>
          <w:sz w:val="24"/>
          <w:szCs w:val="24"/>
        </w:rPr>
        <w:t xml:space="preserve"> </w:t>
      </w:r>
      <w:r w:rsidRPr="00414088" w:rsidDel="00050729">
        <w:rPr>
          <w:rFonts w:asciiTheme="minorHAnsi" w:hAnsiTheme="minorHAnsi"/>
          <w:spacing w:val="2"/>
          <w:sz w:val="24"/>
          <w:szCs w:val="24"/>
        </w:rPr>
        <w:t>t</w:t>
      </w:r>
      <w:r w:rsidRPr="00414088" w:rsidDel="00050729">
        <w:rPr>
          <w:rFonts w:asciiTheme="minorHAnsi" w:hAnsiTheme="minorHAnsi"/>
          <w:sz w:val="24"/>
          <w:szCs w:val="24"/>
        </w:rPr>
        <w:t>he</w:t>
      </w:r>
      <w:r w:rsidRPr="00414088" w:rsidDel="00050729">
        <w:rPr>
          <w:rFonts w:asciiTheme="minorHAnsi" w:hAnsiTheme="minorHAnsi"/>
          <w:spacing w:val="3"/>
          <w:sz w:val="24"/>
          <w:szCs w:val="24"/>
        </w:rPr>
        <w:t xml:space="preserve"> </w:t>
      </w:r>
      <w:r w:rsidRPr="00414088" w:rsidDel="00050729">
        <w:rPr>
          <w:rFonts w:asciiTheme="minorHAnsi" w:hAnsiTheme="minorHAnsi"/>
          <w:sz w:val="24"/>
          <w:szCs w:val="24"/>
        </w:rPr>
        <w:t>d</w:t>
      </w:r>
      <w:r w:rsidRPr="00414088" w:rsidDel="00050729">
        <w:rPr>
          <w:rFonts w:asciiTheme="minorHAnsi" w:hAnsiTheme="minorHAnsi"/>
          <w:spacing w:val="-1"/>
          <w:sz w:val="24"/>
          <w:szCs w:val="24"/>
        </w:rPr>
        <w:t>e</w:t>
      </w:r>
      <w:r w:rsidRPr="00414088" w:rsidDel="00050729">
        <w:rPr>
          <w:rFonts w:asciiTheme="minorHAnsi" w:hAnsiTheme="minorHAnsi"/>
          <w:sz w:val="24"/>
          <w:szCs w:val="24"/>
        </w:rPr>
        <w:t>v</w:t>
      </w:r>
      <w:r w:rsidRPr="00414088" w:rsidDel="00050729">
        <w:rPr>
          <w:rFonts w:asciiTheme="minorHAnsi" w:hAnsiTheme="minorHAnsi"/>
          <w:spacing w:val="-1"/>
          <w:sz w:val="24"/>
          <w:szCs w:val="24"/>
        </w:rPr>
        <w:t>e</w:t>
      </w:r>
      <w:r w:rsidRPr="00414088" w:rsidDel="00050729">
        <w:rPr>
          <w:rFonts w:asciiTheme="minorHAnsi" w:hAnsiTheme="minorHAnsi"/>
          <w:sz w:val="24"/>
          <w:szCs w:val="24"/>
        </w:rPr>
        <w:t>lopm</w:t>
      </w:r>
      <w:r w:rsidRPr="00414088" w:rsidDel="00050729">
        <w:rPr>
          <w:rFonts w:asciiTheme="minorHAnsi" w:hAnsiTheme="minorHAnsi"/>
          <w:spacing w:val="-1"/>
          <w:sz w:val="24"/>
          <w:szCs w:val="24"/>
        </w:rPr>
        <w:t>e</w:t>
      </w:r>
      <w:r w:rsidRPr="00414088" w:rsidDel="00050729">
        <w:rPr>
          <w:rFonts w:asciiTheme="minorHAnsi" w:hAnsiTheme="minorHAnsi"/>
          <w:sz w:val="24"/>
          <w:szCs w:val="24"/>
        </w:rPr>
        <w:t>nt,</w:t>
      </w:r>
      <w:r w:rsidRPr="00414088" w:rsidDel="00050729">
        <w:rPr>
          <w:rFonts w:asciiTheme="minorHAnsi" w:hAnsiTheme="minorHAnsi"/>
          <w:spacing w:val="4"/>
          <w:sz w:val="24"/>
          <w:szCs w:val="24"/>
        </w:rPr>
        <w:t xml:space="preserve"> </w:t>
      </w:r>
      <w:r w:rsidRPr="00414088" w:rsidDel="00050729">
        <w:rPr>
          <w:rFonts w:asciiTheme="minorHAnsi" w:hAnsiTheme="minorHAnsi"/>
          <w:spacing w:val="-1"/>
          <w:sz w:val="24"/>
          <w:szCs w:val="24"/>
        </w:rPr>
        <w:t>a</w:t>
      </w:r>
      <w:r w:rsidRPr="00414088" w:rsidDel="00050729">
        <w:rPr>
          <w:rFonts w:asciiTheme="minorHAnsi" w:hAnsiTheme="minorHAnsi"/>
          <w:sz w:val="24"/>
          <w:szCs w:val="24"/>
        </w:rPr>
        <w:t>dminist</w:t>
      </w:r>
      <w:r w:rsidRPr="00414088" w:rsidDel="00050729">
        <w:rPr>
          <w:rFonts w:asciiTheme="minorHAnsi" w:hAnsiTheme="minorHAnsi"/>
          <w:spacing w:val="-1"/>
          <w:sz w:val="24"/>
          <w:szCs w:val="24"/>
        </w:rPr>
        <w:t>ra</w:t>
      </w:r>
      <w:r w:rsidRPr="00414088" w:rsidDel="00050729">
        <w:rPr>
          <w:rFonts w:asciiTheme="minorHAnsi" w:hAnsiTheme="minorHAnsi"/>
          <w:sz w:val="24"/>
          <w:szCs w:val="24"/>
        </w:rPr>
        <w:t>tion</w:t>
      </w:r>
      <w:r w:rsidRPr="00414088" w:rsidDel="00050729">
        <w:rPr>
          <w:rFonts w:asciiTheme="minorHAnsi" w:hAnsiTheme="minorHAnsi"/>
          <w:spacing w:val="4"/>
          <w:sz w:val="24"/>
          <w:szCs w:val="24"/>
        </w:rPr>
        <w:t xml:space="preserve"> </w:t>
      </w:r>
      <w:r w:rsidRPr="00414088" w:rsidDel="00050729">
        <w:rPr>
          <w:rFonts w:asciiTheme="minorHAnsi" w:hAnsiTheme="minorHAnsi"/>
          <w:spacing w:val="-1"/>
          <w:sz w:val="24"/>
          <w:szCs w:val="24"/>
        </w:rPr>
        <w:t>a</w:t>
      </w:r>
      <w:r w:rsidRPr="00414088" w:rsidDel="00050729">
        <w:rPr>
          <w:rFonts w:asciiTheme="minorHAnsi" w:hAnsiTheme="minorHAnsi"/>
          <w:sz w:val="24"/>
          <w:szCs w:val="24"/>
        </w:rPr>
        <w:t>nd</w:t>
      </w:r>
      <w:r w:rsidRPr="00414088" w:rsidDel="00050729">
        <w:rPr>
          <w:rFonts w:asciiTheme="minorHAnsi" w:hAnsiTheme="minorHAnsi"/>
          <w:spacing w:val="4"/>
          <w:sz w:val="24"/>
          <w:szCs w:val="24"/>
        </w:rPr>
        <w:t xml:space="preserve"> </w:t>
      </w:r>
      <w:r w:rsidRPr="00414088" w:rsidDel="00050729">
        <w:rPr>
          <w:rFonts w:asciiTheme="minorHAnsi" w:hAnsiTheme="minorHAnsi"/>
          <w:sz w:val="24"/>
          <w:szCs w:val="24"/>
        </w:rPr>
        <w:t>impl</w:t>
      </w:r>
      <w:r w:rsidRPr="00414088" w:rsidDel="00050729">
        <w:rPr>
          <w:rFonts w:asciiTheme="minorHAnsi" w:hAnsiTheme="minorHAnsi"/>
          <w:spacing w:val="-1"/>
          <w:sz w:val="24"/>
          <w:szCs w:val="24"/>
        </w:rPr>
        <w:t>e</w:t>
      </w:r>
      <w:r w:rsidRPr="00414088" w:rsidDel="00050729">
        <w:rPr>
          <w:rFonts w:asciiTheme="minorHAnsi" w:hAnsiTheme="minorHAnsi"/>
          <w:sz w:val="24"/>
          <w:szCs w:val="24"/>
        </w:rPr>
        <w:t>m</w:t>
      </w:r>
      <w:r w:rsidRPr="00414088" w:rsidDel="00050729">
        <w:rPr>
          <w:rFonts w:asciiTheme="minorHAnsi" w:hAnsiTheme="minorHAnsi"/>
          <w:spacing w:val="-1"/>
          <w:sz w:val="24"/>
          <w:szCs w:val="24"/>
        </w:rPr>
        <w:t>e</w:t>
      </w:r>
      <w:r w:rsidRPr="00414088" w:rsidDel="00050729">
        <w:rPr>
          <w:rFonts w:asciiTheme="minorHAnsi" w:hAnsiTheme="minorHAnsi"/>
          <w:sz w:val="24"/>
          <w:szCs w:val="24"/>
        </w:rPr>
        <w:t>nt</w:t>
      </w:r>
      <w:r w:rsidRPr="00414088" w:rsidDel="00050729">
        <w:rPr>
          <w:rFonts w:asciiTheme="minorHAnsi" w:hAnsiTheme="minorHAnsi"/>
          <w:spacing w:val="-1"/>
          <w:sz w:val="24"/>
          <w:szCs w:val="24"/>
        </w:rPr>
        <w:t>a</w:t>
      </w:r>
      <w:r w:rsidRPr="00414088" w:rsidDel="00050729">
        <w:rPr>
          <w:rFonts w:asciiTheme="minorHAnsi" w:hAnsiTheme="minorHAnsi"/>
          <w:sz w:val="24"/>
          <w:szCs w:val="24"/>
        </w:rPr>
        <w:t>t</w:t>
      </w:r>
      <w:r w:rsidRPr="00414088" w:rsidDel="00050729">
        <w:rPr>
          <w:rFonts w:asciiTheme="minorHAnsi" w:hAnsiTheme="minorHAnsi"/>
          <w:spacing w:val="-2"/>
          <w:sz w:val="24"/>
          <w:szCs w:val="24"/>
        </w:rPr>
        <w:t>i</w:t>
      </w:r>
      <w:r w:rsidRPr="00414088" w:rsidDel="00050729">
        <w:rPr>
          <w:rFonts w:asciiTheme="minorHAnsi" w:hAnsiTheme="minorHAnsi"/>
          <w:sz w:val="24"/>
          <w:szCs w:val="24"/>
        </w:rPr>
        <w:t>on</w:t>
      </w:r>
      <w:r w:rsidRPr="00414088" w:rsidDel="00050729">
        <w:rPr>
          <w:rFonts w:asciiTheme="minorHAnsi" w:hAnsiTheme="minorHAnsi"/>
          <w:spacing w:val="4"/>
          <w:sz w:val="24"/>
          <w:szCs w:val="24"/>
        </w:rPr>
        <w:t xml:space="preserve"> </w:t>
      </w:r>
      <w:r w:rsidRPr="00414088" w:rsidDel="00050729">
        <w:rPr>
          <w:rFonts w:asciiTheme="minorHAnsi" w:hAnsiTheme="minorHAnsi"/>
          <w:sz w:val="24"/>
          <w:szCs w:val="24"/>
        </w:rPr>
        <w:t>of st</w:t>
      </w:r>
      <w:r w:rsidRPr="00414088" w:rsidDel="00050729">
        <w:rPr>
          <w:rFonts w:asciiTheme="minorHAnsi" w:hAnsiTheme="minorHAnsi"/>
          <w:spacing w:val="-1"/>
          <w:sz w:val="24"/>
          <w:szCs w:val="24"/>
        </w:rPr>
        <w:t>a</w:t>
      </w:r>
      <w:r w:rsidRPr="00414088" w:rsidDel="00050729">
        <w:rPr>
          <w:rFonts w:asciiTheme="minorHAnsi" w:hAnsiTheme="minorHAnsi"/>
          <w:sz w:val="24"/>
          <w:szCs w:val="24"/>
        </w:rPr>
        <w:t>t</w:t>
      </w:r>
      <w:r w:rsidRPr="00414088" w:rsidDel="00050729">
        <w:rPr>
          <w:rFonts w:asciiTheme="minorHAnsi" w:hAnsiTheme="minorHAnsi"/>
          <w:spacing w:val="-1"/>
          <w:sz w:val="24"/>
          <w:szCs w:val="24"/>
        </w:rPr>
        <w:t>ew</w:t>
      </w:r>
      <w:r w:rsidRPr="00414088" w:rsidDel="00050729">
        <w:rPr>
          <w:rFonts w:asciiTheme="minorHAnsi" w:hAnsiTheme="minorHAnsi"/>
          <w:sz w:val="24"/>
          <w:szCs w:val="24"/>
        </w:rPr>
        <w:t>ide</w:t>
      </w:r>
      <w:r w:rsidRPr="00414088" w:rsidDel="00050729">
        <w:rPr>
          <w:rFonts w:asciiTheme="minorHAnsi" w:hAnsiTheme="minorHAnsi"/>
          <w:spacing w:val="11"/>
          <w:sz w:val="24"/>
          <w:szCs w:val="24"/>
        </w:rPr>
        <w:t xml:space="preserve"> </w:t>
      </w:r>
      <w:r w:rsidRPr="00414088" w:rsidDel="00050729">
        <w:rPr>
          <w:rFonts w:asciiTheme="minorHAnsi" w:hAnsiTheme="minorHAnsi"/>
          <w:sz w:val="24"/>
          <w:szCs w:val="24"/>
        </w:rPr>
        <w:t>poli</w:t>
      </w:r>
      <w:r w:rsidRPr="00414088" w:rsidDel="00050729">
        <w:rPr>
          <w:rFonts w:asciiTheme="minorHAnsi" w:hAnsiTheme="minorHAnsi"/>
          <w:spacing w:val="1"/>
          <w:sz w:val="24"/>
          <w:szCs w:val="24"/>
        </w:rPr>
        <w:t>c</w:t>
      </w:r>
      <w:r w:rsidRPr="00414088" w:rsidDel="00050729">
        <w:rPr>
          <w:rFonts w:asciiTheme="minorHAnsi" w:hAnsiTheme="minorHAnsi"/>
          <w:sz w:val="24"/>
          <w:szCs w:val="24"/>
        </w:rPr>
        <w:t>y</w:t>
      </w:r>
      <w:r w:rsidRPr="00414088" w:rsidDel="00050729">
        <w:rPr>
          <w:rFonts w:asciiTheme="minorHAnsi" w:hAnsiTheme="minorHAnsi"/>
          <w:spacing w:val="9"/>
          <w:sz w:val="24"/>
          <w:szCs w:val="24"/>
        </w:rPr>
        <w:t xml:space="preserve"> </w:t>
      </w:r>
      <w:r w:rsidRPr="00414088" w:rsidDel="00050729">
        <w:rPr>
          <w:rFonts w:asciiTheme="minorHAnsi" w:hAnsiTheme="minorHAnsi"/>
          <w:spacing w:val="-1"/>
          <w:sz w:val="24"/>
          <w:szCs w:val="24"/>
        </w:rPr>
        <w:t>a</w:t>
      </w:r>
      <w:r w:rsidRPr="00414088" w:rsidDel="00050729">
        <w:rPr>
          <w:rFonts w:asciiTheme="minorHAnsi" w:hAnsiTheme="minorHAnsi"/>
          <w:sz w:val="24"/>
          <w:szCs w:val="24"/>
        </w:rPr>
        <w:t>nd</w:t>
      </w:r>
      <w:r w:rsidRPr="00414088" w:rsidDel="00050729">
        <w:rPr>
          <w:rFonts w:asciiTheme="minorHAnsi" w:hAnsiTheme="minorHAnsi"/>
          <w:spacing w:val="12"/>
          <w:sz w:val="24"/>
          <w:szCs w:val="24"/>
        </w:rPr>
        <w:t xml:space="preserve"> </w:t>
      </w:r>
      <w:r w:rsidRPr="00414088" w:rsidDel="00050729">
        <w:rPr>
          <w:rFonts w:asciiTheme="minorHAnsi" w:hAnsiTheme="minorHAnsi"/>
          <w:spacing w:val="-1"/>
          <w:sz w:val="24"/>
          <w:szCs w:val="24"/>
        </w:rPr>
        <w:t>c</w:t>
      </w:r>
      <w:r w:rsidRPr="00414088" w:rsidDel="00050729">
        <w:rPr>
          <w:rFonts w:asciiTheme="minorHAnsi" w:hAnsiTheme="minorHAnsi"/>
          <w:sz w:val="24"/>
          <w:szCs w:val="24"/>
        </w:rPr>
        <w:t>o</w:t>
      </w:r>
      <w:r w:rsidRPr="00414088" w:rsidDel="00050729">
        <w:rPr>
          <w:rFonts w:asciiTheme="minorHAnsi" w:hAnsiTheme="minorHAnsi"/>
          <w:spacing w:val="2"/>
          <w:sz w:val="24"/>
          <w:szCs w:val="24"/>
        </w:rPr>
        <w:t>o</w:t>
      </w:r>
      <w:r w:rsidRPr="00414088" w:rsidDel="00050729">
        <w:rPr>
          <w:rFonts w:asciiTheme="minorHAnsi" w:hAnsiTheme="minorHAnsi"/>
          <w:spacing w:val="-1"/>
          <w:sz w:val="24"/>
          <w:szCs w:val="24"/>
        </w:rPr>
        <w:t>r</w:t>
      </w:r>
      <w:r w:rsidRPr="00414088" w:rsidDel="00050729">
        <w:rPr>
          <w:rFonts w:asciiTheme="minorHAnsi" w:hAnsiTheme="minorHAnsi"/>
          <w:sz w:val="24"/>
          <w:szCs w:val="24"/>
        </w:rPr>
        <w:t>din</w:t>
      </w:r>
      <w:r w:rsidRPr="00414088" w:rsidDel="00050729">
        <w:rPr>
          <w:rFonts w:asciiTheme="minorHAnsi" w:hAnsiTheme="minorHAnsi"/>
          <w:spacing w:val="-1"/>
          <w:sz w:val="24"/>
          <w:szCs w:val="24"/>
        </w:rPr>
        <w:t>a</w:t>
      </w:r>
      <w:r w:rsidRPr="00414088" w:rsidDel="00050729">
        <w:rPr>
          <w:rFonts w:asciiTheme="minorHAnsi" w:hAnsiTheme="minorHAnsi"/>
          <w:sz w:val="24"/>
          <w:szCs w:val="24"/>
        </w:rPr>
        <w:t>t</w:t>
      </w:r>
      <w:r w:rsidRPr="00414088" w:rsidDel="00050729">
        <w:rPr>
          <w:rFonts w:asciiTheme="minorHAnsi" w:hAnsiTheme="minorHAnsi"/>
          <w:spacing w:val="-1"/>
          <w:sz w:val="24"/>
          <w:szCs w:val="24"/>
        </w:rPr>
        <w:t>e</w:t>
      </w:r>
      <w:r w:rsidRPr="00414088" w:rsidDel="00050729">
        <w:rPr>
          <w:rFonts w:asciiTheme="minorHAnsi" w:hAnsiTheme="minorHAnsi"/>
          <w:sz w:val="24"/>
          <w:szCs w:val="24"/>
        </w:rPr>
        <w:t>s</w:t>
      </w:r>
      <w:r w:rsidRPr="00414088" w:rsidDel="00050729">
        <w:rPr>
          <w:rFonts w:asciiTheme="minorHAnsi" w:hAnsiTheme="minorHAnsi"/>
          <w:spacing w:val="12"/>
          <w:sz w:val="24"/>
          <w:szCs w:val="24"/>
        </w:rPr>
        <w:t xml:space="preserve"> </w:t>
      </w:r>
      <w:r w:rsidRPr="00414088" w:rsidDel="00050729">
        <w:rPr>
          <w:rFonts w:asciiTheme="minorHAnsi" w:hAnsiTheme="minorHAnsi"/>
          <w:sz w:val="24"/>
          <w:szCs w:val="24"/>
        </w:rPr>
        <w:t>st</w:t>
      </w:r>
      <w:r w:rsidRPr="00414088" w:rsidDel="00050729">
        <w:rPr>
          <w:rFonts w:asciiTheme="minorHAnsi" w:hAnsiTheme="minorHAnsi"/>
          <w:spacing w:val="-1"/>
          <w:sz w:val="24"/>
          <w:szCs w:val="24"/>
        </w:rPr>
        <w:t>a</w:t>
      </w:r>
      <w:r w:rsidRPr="00414088" w:rsidDel="00050729">
        <w:rPr>
          <w:rFonts w:asciiTheme="minorHAnsi" w:hAnsiTheme="minorHAnsi"/>
          <w:sz w:val="24"/>
          <w:szCs w:val="24"/>
        </w:rPr>
        <w:t>te</w:t>
      </w:r>
      <w:r w:rsidRPr="00414088" w:rsidDel="00050729">
        <w:rPr>
          <w:rFonts w:asciiTheme="minorHAnsi" w:hAnsiTheme="minorHAnsi"/>
          <w:spacing w:val="11"/>
          <w:sz w:val="24"/>
          <w:szCs w:val="24"/>
        </w:rPr>
        <w:t xml:space="preserve"> </w:t>
      </w:r>
      <w:r w:rsidRPr="00414088" w:rsidDel="00050729">
        <w:rPr>
          <w:rFonts w:asciiTheme="minorHAnsi" w:hAnsiTheme="minorHAnsi"/>
          <w:spacing w:val="-3"/>
          <w:sz w:val="24"/>
          <w:szCs w:val="24"/>
        </w:rPr>
        <w:t>g</w:t>
      </w:r>
      <w:r w:rsidRPr="00414088" w:rsidDel="00050729">
        <w:rPr>
          <w:rFonts w:asciiTheme="minorHAnsi" w:hAnsiTheme="minorHAnsi"/>
          <w:sz w:val="24"/>
          <w:szCs w:val="24"/>
        </w:rPr>
        <w:t>o</w:t>
      </w:r>
      <w:r w:rsidRPr="00414088" w:rsidDel="00050729">
        <w:rPr>
          <w:rFonts w:asciiTheme="minorHAnsi" w:hAnsiTheme="minorHAnsi"/>
          <w:spacing w:val="2"/>
          <w:sz w:val="24"/>
          <w:szCs w:val="24"/>
        </w:rPr>
        <w:t>v</w:t>
      </w:r>
      <w:r w:rsidRPr="00414088" w:rsidDel="00050729">
        <w:rPr>
          <w:rFonts w:asciiTheme="minorHAnsi" w:hAnsiTheme="minorHAnsi"/>
          <w:spacing w:val="-1"/>
          <w:sz w:val="24"/>
          <w:szCs w:val="24"/>
        </w:rPr>
        <w:t>er</w:t>
      </w:r>
      <w:r w:rsidRPr="00414088" w:rsidDel="00050729">
        <w:rPr>
          <w:rFonts w:asciiTheme="minorHAnsi" w:hAnsiTheme="minorHAnsi"/>
          <w:sz w:val="24"/>
          <w:szCs w:val="24"/>
        </w:rPr>
        <w:t>nm</w:t>
      </w:r>
      <w:r w:rsidRPr="00414088" w:rsidDel="00050729">
        <w:rPr>
          <w:rFonts w:asciiTheme="minorHAnsi" w:hAnsiTheme="minorHAnsi"/>
          <w:spacing w:val="-1"/>
          <w:sz w:val="24"/>
          <w:szCs w:val="24"/>
        </w:rPr>
        <w:t>e</w:t>
      </w:r>
      <w:r w:rsidRPr="00414088" w:rsidDel="00050729">
        <w:rPr>
          <w:rFonts w:asciiTheme="minorHAnsi" w:hAnsiTheme="minorHAnsi"/>
          <w:spacing w:val="2"/>
          <w:sz w:val="24"/>
          <w:szCs w:val="24"/>
        </w:rPr>
        <w:t>n</w:t>
      </w:r>
      <w:r w:rsidRPr="00414088" w:rsidDel="00050729">
        <w:rPr>
          <w:rFonts w:asciiTheme="minorHAnsi" w:hAnsiTheme="minorHAnsi"/>
          <w:sz w:val="24"/>
          <w:szCs w:val="24"/>
        </w:rPr>
        <w:t>t</w:t>
      </w:r>
      <w:r w:rsidRPr="00414088" w:rsidDel="00050729">
        <w:rPr>
          <w:rFonts w:asciiTheme="minorHAnsi" w:hAnsiTheme="minorHAnsi"/>
          <w:spacing w:val="12"/>
          <w:sz w:val="24"/>
          <w:szCs w:val="24"/>
        </w:rPr>
        <w:t xml:space="preserve"> </w:t>
      </w:r>
      <w:r w:rsidRPr="00414088" w:rsidDel="00050729">
        <w:rPr>
          <w:rFonts w:asciiTheme="minorHAnsi" w:hAnsiTheme="minorHAnsi"/>
          <w:sz w:val="24"/>
          <w:szCs w:val="24"/>
        </w:rPr>
        <w:t>op</w:t>
      </w:r>
      <w:r w:rsidRPr="00414088" w:rsidDel="00050729">
        <w:rPr>
          <w:rFonts w:asciiTheme="minorHAnsi" w:hAnsiTheme="minorHAnsi"/>
          <w:spacing w:val="-1"/>
          <w:sz w:val="24"/>
          <w:szCs w:val="24"/>
        </w:rPr>
        <w:t>era</w:t>
      </w:r>
      <w:r w:rsidRPr="00414088" w:rsidDel="00050729">
        <w:rPr>
          <w:rFonts w:asciiTheme="minorHAnsi" w:hAnsiTheme="minorHAnsi"/>
          <w:sz w:val="24"/>
          <w:szCs w:val="24"/>
        </w:rPr>
        <w:t>tions.</w:t>
      </w:r>
      <w:r w:rsidRPr="00414088" w:rsidDel="00050729">
        <w:rPr>
          <w:rFonts w:asciiTheme="minorHAnsi" w:hAnsiTheme="minorHAnsi"/>
          <w:spacing w:val="24"/>
          <w:sz w:val="24"/>
          <w:szCs w:val="24"/>
        </w:rPr>
        <w:t xml:space="preserve"> </w:t>
      </w:r>
      <w:r w:rsidRPr="00414088">
        <w:rPr>
          <w:rFonts w:asciiTheme="minorHAnsi" w:hAnsiTheme="minorHAnsi"/>
          <w:sz w:val="24"/>
          <w:szCs w:val="24"/>
        </w:rPr>
        <w:t>The office is responsible for setting the strategic direction for DAS, supporting agency performance, and driving enterprise-level initiatives that impact all state agencies.</w:t>
      </w:r>
      <w:r w:rsidRPr="00414088">
        <w:rPr>
          <w:rFonts w:asciiTheme="minorHAnsi" w:hAnsiTheme="minorHAnsi"/>
          <w:sz w:val="24"/>
          <w:szCs w:val="24"/>
        </w:rPr>
        <w:br/>
      </w:r>
      <w:r w:rsidRPr="00414088">
        <w:rPr>
          <w:rFonts w:asciiTheme="minorHAnsi" w:hAnsiTheme="minorHAnsi"/>
          <w:sz w:val="24"/>
          <w:szCs w:val="24"/>
        </w:rPr>
        <w:br/>
        <w:t>Key responsibilities include:</w:t>
      </w:r>
    </w:p>
    <w:p w14:paraId="46B2FBF4" w14:textId="77777777" w:rsidR="00F80E94" w:rsidRPr="00414088" w:rsidRDefault="00F80E94" w:rsidP="00F25900">
      <w:pPr>
        <w:pStyle w:val="ListBullet"/>
        <w:numPr>
          <w:ilvl w:val="0"/>
          <w:numId w:val="15"/>
        </w:numPr>
        <w:rPr>
          <w:rFonts w:asciiTheme="minorHAnsi" w:hAnsiTheme="minorHAnsi"/>
          <w:sz w:val="24"/>
          <w:szCs w:val="24"/>
        </w:rPr>
      </w:pPr>
      <w:r w:rsidRPr="00414088">
        <w:rPr>
          <w:rFonts w:asciiTheme="minorHAnsi" w:hAnsiTheme="minorHAnsi"/>
          <w:sz w:val="24"/>
          <w:szCs w:val="24"/>
        </w:rPr>
        <w:t>Strategic Leadership: Establishing long-term goals and managing organizational performance to align with statewide priorities.</w:t>
      </w:r>
    </w:p>
    <w:p w14:paraId="5B789176" w14:textId="77777777" w:rsidR="00F80E94" w:rsidRPr="00414088" w:rsidRDefault="00F80E94" w:rsidP="00F25900">
      <w:pPr>
        <w:pStyle w:val="ListBullet"/>
        <w:numPr>
          <w:ilvl w:val="0"/>
          <w:numId w:val="15"/>
        </w:numPr>
        <w:rPr>
          <w:rFonts w:asciiTheme="minorHAnsi" w:hAnsiTheme="minorHAnsi"/>
          <w:sz w:val="24"/>
          <w:szCs w:val="24"/>
        </w:rPr>
      </w:pPr>
      <w:r w:rsidRPr="00414088">
        <w:rPr>
          <w:rFonts w:asciiTheme="minorHAnsi" w:hAnsiTheme="minorHAnsi"/>
          <w:sz w:val="24"/>
          <w:szCs w:val="24"/>
        </w:rPr>
        <w:t>Enterprise Initiatives: Implementing policies and programs that span across state government to promote efficiency and consistency.</w:t>
      </w:r>
    </w:p>
    <w:p w14:paraId="3B714332" w14:textId="77777777" w:rsidR="00F80E94" w:rsidRPr="00414088" w:rsidRDefault="00F80E94" w:rsidP="00F25900">
      <w:pPr>
        <w:pStyle w:val="ListBullet"/>
        <w:numPr>
          <w:ilvl w:val="0"/>
          <w:numId w:val="15"/>
        </w:numPr>
        <w:rPr>
          <w:rFonts w:asciiTheme="minorHAnsi" w:hAnsiTheme="minorHAnsi"/>
          <w:sz w:val="24"/>
          <w:szCs w:val="24"/>
        </w:rPr>
      </w:pPr>
      <w:r w:rsidRPr="00414088">
        <w:rPr>
          <w:rFonts w:asciiTheme="minorHAnsi" w:hAnsiTheme="minorHAnsi"/>
          <w:sz w:val="24"/>
          <w:szCs w:val="24"/>
        </w:rPr>
        <w:t>Forecasting &amp; Analysis: Delivering critical economic and prison population forecasts that inform decision-making for legislators, the Governor, local governments, and the public.</w:t>
      </w:r>
    </w:p>
    <w:p w14:paraId="032B9B27" w14:textId="77777777" w:rsidR="00F80E94" w:rsidRPr="00414088" w:rsidRDefault="00F80E94" w:rsidP="00F25900">
      <w:pPr>
        <w:pStyle w:val="ListBullet"/>
        <w:numPr>
          <w:ilvl w:val="0"/>
          <w:numId w:val="15"/>
        </w:numPr>
        <w:rPr>
          <w:rFonts w:asciiTheme="minorHAnsi" w:hAnsiTheme="minorHAnsi"/>
          <w:sz w:val="24"/>
          <w:szCs w:val="24"/>
        </w:rPr>
      </w:pPr>
      <w:r w:rsidRPr="00414088">
        <w:rPr>
          <w:rFonts w:asciiTheme="minorHAnsi" w:hAnsiTheme="minorHAnsi"/>
          <w:sz w:val="24"/>
          <w:szCs w:val="24"/>
        </w:rPr>
        <w:t>Audit Coordination: Coordinate statewide and manage internal audit functions to promote accountability and transparency.</w:t>
      </w:r>
    </w:p>
    <w:p w14:paraId="3AEBCD4F" w14:textId="77777777" w:rsidR="00F80E94" w:rsidRDefault="00F80E94" w:rsidP="00F80E94">
      <w:pPr>
        <w:pStyle w:val="ListBullet"/>
        <w:numPr>
          <w:ilvl w:val="0"/>
          <w:numId w:val="0"/>
        </w:numPr>
        <w:ind w:right="18"/>
        <w:rPr>
          <w:rFonts w:asciiTheme="minorHAnsi" w:hAnsiTheme="minorHAnsi"/>
          <w:sz w:val="24"/>
          <w:szCs w:val="24"/>
        </w:rPr>
      </w:pPr>
      <w:r>
        <w:br/>
      </w:r>
      <w:r w:rsidRPr="00414088">
        <w:rPr>
          <w:rFonts w:asciiTheme="minorHAnsi" w:hAnsiTheme="minorHAnsi"/>
          <w:sz w:val="24"/>
          <w:szCs w:val="24"/>
        </w:rPr>
        <w:t xml:space="preserve">The COO’s office provides leadership and direction to accomplish DAS’ statutory purpose to improve the efficient and effective use of state resources. </w:t>
      </w:r>
    </w:p>
    <w:p w14:paraId="39A600B7" w14:textId="77777777" w:rsidR="00B046BC" w:rsidRPr="00414088" w:rsidRDefault="00B046BC" w:rsidP="00F80E94">
      <w:pPr>
        <w:pStyle w:val="ListBullet"/>
        <w:numPr>
          <w:ilvl w:val="0"/>
          <w:numId w:val="0"/>
        </w:numPr>
        <w:ind w:right="18"/>
        <w:rPr>
          <w:rFonts w:asciiTheme="minorHAnsi" w:hAnsiTheme="minorHAnsi"/>
          <w:sz w:val="24"/>
          <w:szCs w:val="24"/>
        </w:rPr>
      </w:pPr>
    </w:p>
    <w:p w14:paraId="033014A4" w14:textId="77777777" w:rsidR="00F80E94" w:rsidRPr="00414088" w:rsidRDefault="00F80E94" w:rsidP="00F80E94">
      <w:pPr>
        <w:ind w:right="18"/>
        <w:rPr>
          <w:i/>
          <w:iCs/>
        </w:rPr>
      </w:pPr>
      <w:bookmarkStart w:id="6" w:name="OLE_LINK3"/>
      <w:r w:rsidRPr="1784B344">
        <w:t xml:space="preserve">These activities are supported by an assessment that allocates costs to state agencies based on 2025-27 Legislatively Adopted Budget (LAB) </w:t>
      </w:r>
      <w:r w:rsidRPr="1784B344">
        <w:rPr>
          <w:spacing w:val="-2"/>
        </w:rPr>
        <w:t>F</w:t>
      </w:r>
      <w:r w:rsidRPr="1784B344">
        <w:t>ull-</w:t>
      </w:r>
      <w:r w:rsidRPr="1784B344">
        <w:rPr>
          <w:spacing w:val="-1"/>
        </w:rPr>
        <w:t>T</w:t>
      </w:r>
      <w:r w:rsidRPr="1784B344">
        <w:t xml:space="preserve">ime </w:t>
      </w:r>
      <w:r w:rsidRPr="1784B344">
        <w:rPr>
          <w:spacing w:val="-1"/>
        </w:rPr>
        <w:t>E</w:t>
      </w:r>
      <w:r w:rsidRPr="1784B344">
        <w:t>quiv</w:t>
      </w:r>
      <w:r w:rsidRPr="1784B344">
        <w:rPr>
          <w:spacing w:val="-1"/>
        </w:rPr>
        <w:t>a</w:t>
      </w:r>
      <w:r w:rsidRPr="1784B344">
        <w:t>l</w:t>
      </w:r>
      <w:r w:rsidRPr="1784B344">
        <w:rPr>
          <w:spacing w:val="-1"/>
        </w:rPr>
        <w:t>e</w:t>
      </w:r>
      <w:r w:rsidRPr="1784B344">
        <w:t>nt</w:t>
      </w:r>
      <w:r w:rsidRPr="00414088">
        <w:rPr>
          <w:spacing w:val="17"/>
          <w:szCs w:val="24"/>
        </w:rPr>
        <w:t xml:space="preserve"> </w:t>
      </w:r>
      <w:r w:rsidRPr="00414088">
        <w:rPr>
          <w:spacing w:val="-1"/>
          <w:szCs w:val="24"/>
        </w:rPr>
        <w:t>(</w:t>
      </w:r>
      <w:r w:rsidRPr="1784B344">
        <w:rPr>
          <w:spacing w:val="-2"/>
        </w:rPr>
        <w:t>F</w:t>
      </w:r>
      <w:r w:rsidRPr="1784B344">
        <w:rPr>
          <w:spacing w:val="2"/>
        </w:rPr>
        <w:t>T</w:t>
      </w:r>
      <w:r w:rsidRPr="1784B344">
        <w:rPr>
          <w:spacing w:val="-1"/>
        </w:rPr>
        <w:t>E)</w:t>
      </w:r>
      <w:r w:rsidRPr="1784B344">
        <w:t xml:space="preserve"> authority. Reference Chief Operating </w:t>
      </w:r>
      <w:proofErr w:type="spellStart"/>
      <w:r w:rsidRPr="1784B344">
        <w:t>Office</w:t>
      </w:r>
      <w:proofErr w:type="spellEnd"/>
      <w:r w:rsidRPr="1784B344">
        <w:t xml:space="preserve"> (COO) in Appendix A.</w:t>
      </w:r>
    </w:p>
    <w:p w14:paraId="66947FE3" w14:textId="22399BBA" w:rsidR="00F80E94" w:rsidRDefault="00F80E94" w:rsidP="004D754B">
      <w:pPr>
        <w:ind w:right="18"/>
        <w:rPr>
          <w:b/>
        </w:rPr>
      </w:pPr>
      <w:r>
        <w:rPr>
          <w:b/>
          <w:bCs/>
        </w:rPr>
        <w:t>Con</w:t>
      </w:r>
      <w:r>
        <w:rPr>
          <w:b/>
          <w:bCs/>
          <w:spacing w:val="-1"/>
        </w:rPr>
        <w:t>t</w:t>
      </w:r>
      <w:r>
        <w:rPr>
          <w:b/>
          <w:bCs/>
        </w:rPr>
        <w:t>a</w:t>
      </w:r>
      <w:r>
        <w:rPr>
          <w:b/>
          <w:bCs/>
          <w:spacing w:val="-1"/>
        </w:rPr>
        <w:t>c</w:t>
      </w:r>
      <w:r>
        <w:rPr>
          <w:b/>
          <w:bCs/>
        </w:rPr>
        <w:t xml:space="preserve">t for more information: </w:t>
      </w:r>
      <w:r>
        <w:rPr>
          <w:b/>
          <w:spacing w:val="-1"/>
        </w:rPr>
        <w:t>Satish Upadhyay</w:t>
      </w:r>
      <w:r>
        <w:rPr>
          <w:b/>
        </w:rPr>
        <w:t xml:space="preserve"> at</w:t>
      </w:r>
      <w:r>
        <w:rPr>
          <w:b/>
          <w:spacing w:val="-1"/>
        </w:rPr>
        <w:t xml:space="preserve"> </w:t>
      </w:r>
      <w:r>
        <w:rPr>
          <w:b/>
        </w:rPr>
        <w:t>503-508-6764 or</w:t>
      </w:r>
      <w:r w:rsidR="00EE01C5">
        <w:rPr>
          <w:b/>
        </w:rPr>
        <w:t xml:space="preserve"> </w:t>
      </w:r>
      <w:r>
        <w:rPr>
          <w:b/>
          <w:bCs/>
          <w:u w:val="single"/>
        </w:rPr>
        <w:t>satish.upadhyay</w:t>
      </w:r>
      <w:r w:rsidRPr="00D7131A">
        <w:rPr>
          <w:b/>
          <w:bCs/>
          <w:u w:val="single"/>
        </w:rPr>
        <w:t>@das.oregon.gov</w:t>
      </w:r>
      <w:r>
        <w:rPr>
          <w:b/>
        </w:rPr>
        <w:t>.</w:t>
      </w:r>
    </w:p>
    <w:p w14:paraId="69FB1D07" w14:textId="77777777" w:rsidR="00F80E94" w:rsidRPr="00195D46" w:rsidRDefault="00F80E94" w:rsidP="2E12E5CC">
      <w:pPr>
        <w:pStyle w:val="Heading3"/>
        <w:rPr>
          <w:sz w:val="20"/>
          <w:szCs w:val="20"/>
        </w:rPr>
      </w:pPr>
      <w:bookmarkStart w:id="7" w:name="_Toc226108594"/>
      <w:bookmarkStart w:id="8" w:name="_Toc226981059"/>
      <w:bookmarkStart w:id="9" w:name="_Hlk74726907"/>
      <w:bookmarkEnd w:id="6"/>
      <w:r>
        <w:t>DAS Information Technology</w:t>
      </w:r>
      <w:bookmarkEnd w:id="7"/>
      <w:bookmarkEnd w:id="8"/>
    </w:p>
    <w:p w14:paraId="61958629" w14:textId="77777777" w:rsidR="00F80E94" w:rsidRDefault="00F80E94" w:rsidP="00F80E94">
      <w:pPr>
        <w:ind w:right="18"/>
      </w:pPr>
      <w:r>
        <w:t xml:space="preserve">DAS Information Technology (DAS IT) </w:t>
      </w:r>
      <w:r w:rsidRPr="00E852C0">
        <w:t xml:space="preserve">is the service delivery organization charged with providing application </w:t>
      </w:r>
      <w:r>
        <w:t>and desktop support to all DAS d</w:t>
      </w:r>
      <w:r w:rsidRPr="00E852C0">
        <w:t xml:space="preserve">ivisions and </w:t>
      </w:r>
      <w:r>
        <w:t>any a</w:t>
      </w:r>
      <w:r w:rsidRPr="00E852C0">
        <w:t xml:space="preserve">gencies </w:t>
      </w:r>
      <w:r>
        <w:t xml:space="preserve">that request these services. </w:t>
      </w:r>
      <w:r w:rsidRPr="00E852C0">
        <w:t xml:space="preserve">DAS IT is responsible for providing appropriate technology service delivery to support DAS in the </w:t>
      </w:r>
      <w:r>
        <w:t xml:space="preserve">accomplishment of its mission. </w:t>
      </w:r>
    </w:p>
    <w:p w14:paraId="4323FE21" w14:textId="77777777" w:rsidR="00D50672" w:rsidRDefault="00D50672" w:rsidP="00F80E94">
      <w:pPr>
        <w:ind w:right="18"/>
      </w:pPr>
    </w:p>
    <w:p w14:paraId="5E1DFFC0" w14:textId="77777777" w:rsidR="00D50672" w:rsidRDefault="00D50672" w:rsidP="00F80E94">
      <w:pPr>
        <w:ind w:right="18"/>
      </w:pPr>
    </w:p>
    <w:p w14:paraId="4048ACF5" w14:textId="77777777" w:rsidR="00F80E94" w:rsidRPr="00195D46" w:rsidRDefault="00F80E94" w:rsidP="2E12E5CC">
      <w:pPr>
        <w:pStyle w:val="Heading4"/>
        <w:rPr>
          <w:sz w:val="20"/>
          <w:szCs w:val="20"/>
        </w:rPr>
      </w:pPr>
      <w:bookmarkStart w:id="10" w:name="_Toc226108595"/>
      <w:r>
        <w:lastRenderedPageBreak/>
        <w:t>DAS IT Service Desk</w:t>
      </w:r>
      <w:bookmarkEnd w:id="10"/>
    </w:p>
    <w:p w14:paraId="3F201995" w14:textId="77777777" w:rsidR="00F80E94" w:rsidRPr="00751371" w:rsidRDefault="00F80E94" w:rsidP="00F80E94">
      <w:pPr>
        <w:rPr>
          <w:szCs w:val="24"/>
        </w:rPr>
      </w:pPr>
      <w:r w:rsidRPr="00751371">
        <w:rPr>
          <w:szCs w:val="24"/>
        </w:rPr>
        <w:t>The DAS IT Service Desk provides first- and second</w:t>
      </w:r>
      <w:r w:rsidRPr="00751371">
        <w:rPr>
          <w:rFonts w:ascii="Cambria Math" w:hAnsi="Cambria Math" w:cs="Cambria Math"/>
          <w:szCs w:val="24"/>
        </w:rPr>
        <w:t>‐</w:t>
      </w:r>
      <w:r w:rsidRPr="00751371">
        <w:rPr>
          <w:szCs w:val="24"/>
        </w:rPr>
        <w:t>level technical support to all supported users in a professional and informative manner. The DAS IT Service Desk is dedicated to servicing the computer and technology needs of all users by providing detailed resolutions and general system information for common problems.</w:t>
      </w:r>
      <w:r w:rsidRPr="00751371">
        <w:rPr>
          <w:rFonts w:cs="Aptos"/>
          <w:szCs w:val="24"/>
        </w:rPr>
        <w:t> </w:t>
      </w:r>
    </w:p>
    <w:p w14:paraId="4D823628" w14:textId="77777777" w:rsidR="00F80E94" w:rsidRPr="00751371" w:rsidRDefault="00F80E94" w:rsidP="00F80E94">
      <w:pPr>
        <w:rPr>
          <w:szCs w:val="24"/>
        </w:rPr>
      </w:pPr>
      <w:r w:rsidRPr="00751371">
        <w:rPr>
          <w:szCs w:val="24"/>
        </w:rPr>
        <w:t>Desktop support includes providing information, diagnostics, repair, configuration and setup for all desktop hardware and software, including network connections and printing.  </w:t>
      </w:r>
    </w:p>
    <w:p w14:paraId="17646BE2" w14:textId="77777777" w:rsidR="00F80E94" w:rsidRPr="00751371" w:rsidRDefault="00F80E94" w:rsidP="00F80E94">
      <w:pPr>
        <w:rPr>
          <w:szCs w:val="24"/>
        </w:rPr>
      </w:pPr>
      <w:r w:rsidRPr="00751371">
        <w:rPr>
          <w:szCs w:val="24"/>
        </w:rPr>
        <w:t>Services include:</w:t>
      </w:r>
    </w:p>
    <w:p w14:paraId="028B7E4B" w14:textId="77777777" w:rsidR="00F80E94" w:rsidRPr="00751371" w:rsidRDefault="00F80E94" w:rsidP="00F25900">
      <w:pPr>
        <w:pStyle w:val="ListBullet"/>
        <w:numPr>
          <w:ilvl w:val="0"/>
          <w:numId w:val="16"/>
        </w:numPr>
        <w:rPr>
          <w:rFonts w:asciiTheme="minorHAnsi" w:hAnsiTheme="minorHAnsi"/>
          <w:sz w:val="24"/>
          <w:szCs w:val="24"/>
        </w:rPr>
      </w:pPr>
      <w:r w:rsidRPr="00751371">
        <w:rPr>
          <w:rFonts w:asciiTheme="minorHAnsi" w:hAnsiTheme="minorHAnsi"/>
          <w:sz w:val="24"/>
          <w:szCs w:val="24"/>
        </w:rPr>
        <w:t>Device setup: deployment and configuration of new desktop, laptop, tablet, mobile phone, printer.</w:t>
      </w:r>
    </w:p>
    <w:p w14:paraId="3C78B7C5" w14:textId="77777777" w:rsidR="00F80E94" w:rsidRPr="00751371" w:rsidRDefault="00F80E94" w:rsidP="00F25900">
      <w:pPr>
        <w:pStyle w:val="ListBullet"/>
        <w:numPr>
          <w:ilvl w:val="0"/>
          <w:numId w:val="16"/>
        </w:numPr>
        <w:rPr>
          <w:rFonts w:asciiTheme="minorHAnsi" w:hAnsiTheme="minorHAnsi"/>
          <w:sz w:val="24"/>
          <w:szCs w:val="24"/>
        </w:rPr>
      </w:pPr>
      <w:r w:rsidRPr="00751371">
        <w:rPr>
          <w:rFonts w:asciiTheme="minorHAnsi" w:hAnsiTheme="minorHAnsi"/>
          <w:sz w:val="24"/>
          <w:szCs w:val="24"/>
        </w:rPr>
        <w:t>PC asset and life cycle management, workstation moves and transfers.</w:t>
      </w:r>
    </w:p>
    <w:p w14:paraId="7E2EE711" w14:textId="77777777" w:rsidR="00F80E94" w:rsidRPr="00751371" w:rsidRDefault="00F80E94" w:rsidP="00F25900">
      <w:pPr>
        <w:pStyle w:val="ListBullet"/>
        <w:numPr>
          <w:ilvl w:val="0"/>
          <w:numId w:val="16"/>
        </w:numPr>
        <w:rPr>
          <w:rFonts w:asciiTheme="minorHAnsi" w:hAnsiTheme="minorHAnsi"/>
          <w:sz w:val="24"/>
          <w:szCs w:val="24"/>
        </w:rPr>
      </w:pPr>
      <w:r w:rsidRPr="00751371">
        <w:rPr>
          <w:rFonts w:asciiTheme="minorHAnsi" w:hAnsiTheme="minorHAnsi"/>
          <w:sz w:val="24"/>
          <w:szCs w:val="24"/>
        </w:rPr>
        <w:t xml:space="preserve">Staff </w:t>
      </w:r>
      <w:proofErr w:type="gramStart"/>
      <w:r w:rsidRPr="00751371">
        <w:rPr>
          <w:rFonts w:asciiTheme="minorHAnsi" w:hAnsiTheme="minorHAnsi"/>
          <w:sz w:val="24"/>
          <w:szCs w:val="24"/>
        </w:rPr>
        <w:t>onboarding</w:t>
      </w:r>
      <w:proofErr w:type="gramEnd"/>
      <w:r w:rsidRPr="00751371">
        <w:rPr>
          <w:rFonts w:asciiTheme="minorHAnsi" w:hAnsiTheme="minorHAnsi"/>
          <w:sz w:val="24"/>
          <w:szCs w:val="24"/>
        </w:rPr>
        <w:t>, including readying IT devices and resources to enable staff to be productive on their first day of employment.</w:t>
      </w:r>
    </w:p>
    <w:p w14:paraId="68637A99" w14:textId="77777777" w:rsidR="00F80E94" w:rsidRPr="00751371" w:rsidRDefault="00F80E94" w:rsidP="00F25900">
      <w:pPr>
        <w:pStyle w:val="ListBullet"/>
        <w:numPr>
          <w:ilvl w:val="0"/>
          <w:numId w:val="16"/>
        </w:numPr>
        <w:rPr>
          <w:rFonts w:asciiTheme="minorHAnsi" w:hAnsiTheme="minorHAnsi"/>
          <w:sz w:val="24"/>
          <w:szCs w:val="24"/>
        </w:rPr>
      </w:pPr>
      <w:r w:rsidRPr="00751371">
        <w:rPr>
          <w:rFonts w:asciiTheme="minorHAnsi" w:hAnsiTheme="minorHAnsi"/>
          <w:sz w:val="24"/>
          <w:szCs w:val="24"/>
        </w:rPr>
        <w:t>Software and hardware management, including installing and upgrading software applications, patching, and upgrading hardware and accessories. </w:t>
      </w:r>
    </w:p>
    <w:p w14:paraId="4B633080" w14:textId="77777777" w:rsidR="00F80E94" w:rsidRPr="00751371" w:rsidRDefault="00F80E94" w:rsidP="00F25900">
      <w:pPr>
        <w:pStyle w:val="ListBullet"/>
        <w:numPr>
          <w:ilvl w:val="0"/>
          <w:numId w:val="16"/>
        </w:numPr>
        <w:spacing w:before="0"/>
        <w:rPr>
          <w:rFonts w:asciiTheme="minorHAnsi" w:hAnsiTheme="minorHAnsi"/>
          <w:sz w:val="24"/>
          <w:szCs w:val="24"/>
        </w:rPr>
      </w:pPr>
      <w:r w:rsidRPr="00751371">
        <w:rPr>
          <w:rFonts w:asciiTheme="minorHAnsi" w:hAnsiTheme="minorHAnsi"/>
          <w:sz w:val="24"/>
          <w:szCs w:val="24"/>
        </w:rPr>
        <w:t>Microsoft 365 support includes email, Teams, Word, Excel, PowerPoint, etc.</w:t>
      </w:r>
    </w:p>
    <w:p w14:paraId="37486E13" w14:textId="77777777" w:rsidR="00F80E94" w:rsidRPr="00751371" w:rsidRDefault="00F80E94" w:rsidP="00F80E94">
      <w:pPr>
        <w:spacing w:after="0"/>
        <w:rPr>
          <w:szCs w:val="24"/>
        </w:rPr>
      </w:pPr>
    </w:p>
    <w:p w14:paraId="70B3A4FE" w14:textId="77777777" w:rsidR="00F80E94" w:rsidRPr="003C4A9A" w:rsidRDefault="00F80E94" w:rsidP="00F80E94">
      <w:pPr>
        <w:rPr>
          <w:szCs w:val="24"/>
        </w:rPr>
      </w:pPr>
      <w:r w:rsidRPr="003C4A9A">
        <w:rPr>
          <w:szCs w:val="24"/>
        </w:rPr>
        <w:t>Refer to the full list of services on DAS IT’s website.</w:t>
      </w:r>
    </w:p>
    <w:p w14:paraId="36CD992A" w14:textId="77777777" w:rsidR="00F80E94" w:rsidRPr="003C4A9A" w:rsidRDefault="00F80E94" w:rsidP="00F80E94">
      <w:pPr>
        <w:rPr>
          <w:color w:val="000000"/>
          <w:szCs w:val="24"/>
        </w:rPr>
      </w:pPr>
      <w:r w:rsidRPr="003C4A9A">
        <w:rPr>
          <w:szCs w:val="24"/>
        </w:rPr>
        <w:t>What is</w:t>
      </w:r>
      <w:r w:rsidRPr="003C4A9A">
        <w:rPr>
          <w:rFonts w:ascii="Arial" w:hAnsi="Arial" w:cs="Arial"/>
          <w:szCs w:val="24"/>
        </w:rPr>
        <w:t> </w:t>
      </w:r>
      <w:r w:rsidRPr="003C4A9A">
        <w:rPr>
          <w:szCs w:val="24"/>
        </w:rPr>
        <w:t>NOT covered in the</w:t>
      </w:r>
      <w:r w:rsidRPr="003C4A9A">
        <w:rPr>
          <w:rFonts w:ascii="Arial" w:hAnsi="Arial" w:cs="Arial"/>
          <w:szCs w:val="24"/>
        </w:rPr>
        <w:t> </w:t>
      </w:r>
      <w:r w:rsidRPr="003C4A9A">
        <w:rPr>
          <w:szCs w:val="24"/>
        </w:rPr>
        <w:t>DAS IT Client Agency Service Desk rate:</w:t>
      </w:r>
      <w:r w:rsidRPr="003C4A9A">
        <w:rPr>
          <w:rFonts w:ascii="Arial" w:hAnsi="Arial" w:cs="Arial"/>
          <w:szCs w:val="24"/>
        </w:rPr>
        <w:t> </w:t>
      </w:r>
      <w:r w:rsidRPr="003C4A9A">
        <w:rPr>
          <w:szCs w:val="24"/>
        </w:rPr>
        <w:t>PC asset replacement cost such as onboarding PC assets, and PC asset replacement following the DAS IT lifecycle replacement schedule.</w:t>
      </w:r>
      <w:r w:rsidRPr="003C4A9A">
        <w:rPr>
          <w:rFonts w:ascii="Arial" w:hAnsi="Arial" w:cs="Arial"/>
          <w:szCs w:val="24"/>
        </w:rPr>
        <w:t> </w:t>
      </w:r>
      <w:r w:rsidRPr="003C4A9A">
        <w:rPr>
          <w:szCs w:val="24"/>
        </w:rPr>
        <w:t>DAS IT Service</w:t>
      </w:r>
      <w:r w:rsidRPr="003C4A9A">
        <w:rPr>
          <w:rFonts w:ascii="Arial" w:hAnsi="Arial" w:cs="Arial"/>
          <w:szCs w:val="24"/>
        </w:rPr>
        <w:t> </w:t>
      </w:r>
      <w:r w:rsidRPr="003C4A9A">
        <w:rPr>
          <w:szCs w:val="24"/>
        </w:rPr>
        <w:t>Desk</w:t>
      </w:r>
      <w:r w:rsidRPr="003C4A9A">
        <w:rPr>
          <w:rFonts w:ascii="Arial" w:hAnsi="Arial" w:cs="Arial"/>
          <w:szCs w:val="24"/>
        </w:rPr>
        <w:t> </w:t>
      </w:r>
      <w:r w:rsidRPr="003C4A9A">
        <w:rPr>
          <w:szCs w:val="24"/>
        </w:rPr>
        <w:t>will procure, configure,</w:t>
      </w:r>
      <w:r w:rsidRPr="003C4A9A">
        <w:rPr>
          <w:rFonts w:ascii="Arial" w:hAnsi="Arial" w:cs="Arial"/>
          <w:szCs w:val="24"/>
        </w:rPr>
        <w:t> </w:t>
      </w:r>
      <w:r w:rsidRPr="003C4A9A">
        <w:rPr>
          <w:szCs w:val="24"/>
        </w:rPr>
        <w:t>and deploy all new PC assets on behalf of</w:t>
      </w:r>
      <w:r w:rsidRPr="003C4A9A">
        <w:rPr>
          <w:rFonts w:ascii="Arial" w:hAnsi="Arial" w:cs="Arial"/>
          <w:szCs w:val="24"/>
        </w:rPr>
        <w:t> </w:t>
      </w:r>
      <w:r w:rsidRPr="003C4A9A">
        <w:rPr>
          <w:szCs w:val="24"/>
        </w:rPr>
        <w:t>the</w:t>
      </w:r>
      <w:r w:rsidRPr="003C4A9A">
        <w:rPr>
          <w:rFonts w:ascii="Arial" w:hAnsi="Arial" w:cs="Arial"/>
          <w:szCs w:val="24"/>
        </w:rPr>
        <w:t> </w:t>
      </w:r>
      <w:r w:rsidRPr="003C4A9A">
        <w:rPr>
          <w:szCs w:val="24"/>
        </w:rPr>
        <w:t>supported agency, and asset cost will be charged back to the supported agency.</w:t>
      </w:r>
      <w:r w:rsidRPr="003C4A9A">
        <w:rPr>
          <w:rFonts w:ascii="Arial" w:hAnsi="Arial" w:cs="Arial"/>
          <w:szCs w:val="24"/>
        </w:rPr>
        <w:t> </w:t>
      </w:r>
      <w:r w:rsidRPr="003C4A9A">
        <w:rPr>
          <w:szCs w:val="24"/>
        </w:rPr>
        <w:t>The DAS IT lifecycle replacement schedule for new PC assets is four years.</w:t>
      </w: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600"/>
      </w:tblGrid>
      <w:tr w:rsidR="00F80E94" w:rsidRPr="00B253A1" w14:paraId="6EC5A394" w14:textId="77777777" w:rsidTr="00306CF3">
        <w:trPr>
          <w:trHeight w:val="412"/>
          <w:jc w:val="center"/>
        </w:trPr>
        <w:tc>
          <w:tcPr>
            <w:tcW w:w="3325" w:type="dxa"/>
            <w:shd w:val="clear" w:color="auto" w:fill="D9D9D9" w:themeFill="background1" w:themeFillShade="D9"/>
            <w:noWrap/>
            <w:vAlign w:val="center"/>
            <w:hideMark/>
          </w:tcPr>
          <w:p w14:paraId="0879A186" w14:textId="77777777" w:rsidR="00F80E94" w:rsidRPr="00680011" w:rsidRDefault="00F80E94" w:rsidP="00306CF3">
            <w:pPr>
              <w:pStyle w:val="NoSpacing"/>
              <w:ind w:right="18"/>
              <w:jc w:val="center"/>
              <w:rPr>
                <w:b/>
              </w:rPr>
            </w:pPr>
            <w:bookmarkStart w:id="11" w:name="_Hlk97624714"/>
            <w:r w:rsidRPr="00680011">
              <w:rPr>
                <w:b/>
              </w:rPr>
              <w:t>Service</w:t>
            </w:r>
          </w:p>
        </w:tc>
        <w:tc>
          <w:tcPr>
            <w:tcW w:w="3600" w:type="dxa"/>
            <w:shd w:val="clear" w:color="auto" w:fill="D9D9D9" w:themeFill="background1" w:themeFillShade="D9"/>
            <w:noWrap/>
            <w:vAlign w:val="center"/>
            <w:hideMark/>
          </w:tcPr>
          <w:p w14:paraId="3D364D2C" w14:textId="77777777" w:rsidR="00F80E94" w:rsidRPr="00680011" w:rsidRDefault="00F80E94" w:rsidP="00306CF3">
            <w:pPr>
              <w:pStyle w:val="NoSpacing"/>
              <w:ind w:right="18"/>
              <w:jc w:val="center"/>
              <w:rPr>
                <w:b/>
              </w:rPr>
            </w:pPr>
            <w:r w:rsidRPr="00680011">
              <w:rPr>
                <w:b/>
              </w:rPr>
              <w:t>2027-29</w:t>
            </w:r>
          </w:p>
          <w:p w14:paraId="673B735D" w14:textId="77777777" w:rsidR="00F80E94" w:rsidRPr="00B253A1" w:rsidRDefault="00F80E94" w:rsidP="00306CF3">
            <w:pPr>
              <w:pStyle w:val="NoSpacing"/>
              <w:ind w:right="18"/>
              <w:jc w:val="center"/>
              <w:rPr>
                <w:rFonts w:ascii="Roboto" w:hAnsi="Roboto"/>
                <w:b/>
              </w:rPr>
            </w:pPr>
            <w:r w:rsidRPr="00680011">
              <w:rPr>
                <w:b/>
              </w:rPr>
              <w:t>Rate</w:t>
            </w:r>
          </w:p>
        </w:tc>
      </w:tr>
      <w:tr w:rsidR="00F80E94" w:rsidRPr="00680011" w14:paraId="4F5431E5" w14:textId="77777777" w:rsidTr="00306CF3">
        <w:trPr>
          <w:trHeight w:val="270"/>
          <w:jc w:val="center"/>
        </w:trPr>
        <w:tc>
          <w:tcPr>
            <w:tcW w:w="3325" w:type="dxa"/>
            <w:noWrap/>
            <w:hideMark/>
          </w:tcPr>
          <w:p w14:paraId="2F215B14" w14:textId="77777777" w:rsidR="00F80E94" w:rsidRPr="00680011" w:rsidRDefault="00F80E94" w:rsidP="00306CF3">
            <w:pPr>
              <w:pStyle w:val="xmsonormal"/>
              <w:rPr>
                <w:rFonts w:asciiTheme="minorHAnsi" w:hAnsiTheme="minorHAnsi"/>
                <w:sz w:val="24"/>
                <w:szCs w:val="24"/>
              </w:rPr>
            </w:pPr>
            <w:r w:rsidRPr="00680011">
              <w:rPr>
                <w:rFonts w:asciiTheme="minorHAnsi" w:hAnsiTheme="minorHAnsi" w:cs="Times New Roman"/>
                <w:sz w:val="24"/>
                <w:szCs w:val="24"/>
              </w:rPr>
              <w:t>DAS IT Service Desk</w:t>
            </w:r>
          </w:p>
        </w:tc>
        <w:tc>
          <w:tcPr>
            <w:tcW w:w="3600" w:type="dxa"/>
            <w:noWrap/>
            <w:hideMark/>
          </w:tcPr>
          <w:p w14:paraId="2DAFE0EA" w14:textId="77777777" w:rsidR="00F80E94" w:rsidRPr="00680011" w:rsidRDefault="00F80E94" w:rsidP="00306CF3">
            <w:pPr>
              <w:pStyle w:val="NoSpacing"/>
              <w:ind w:right="18"/>
            </w:pPr>
            <w:r w:rsidRPr="00680011">
              <w:t>$181.28/month per position</w:t>
            </w:r>
          </w:p>
        </w:tc>
      </w:tr>
      <w:bookmarkEnd w:id="11"/>
    </w:tbl>
    <w:p w14:paraId="6C0B0391" w14:textId="77777777" w:rsidR="00F80E94" w:rsidRPr="00680011" w:rsidRDefault="00F80E94" w:rsidP="00F80E94">
      <w:pPr>
        <w:spacing w:after="0" w:line="240" w:lineRule="auto"/>
        <w:ind w:right="18"/>
      </w:pPr>
    </w:p>
    <w:p w14:paraId="7D94C8A9" w14:textId="0D5DFD29" w:rsidR="00F80E94" w:rsidRPr="00B253A1" w:rsidRDefault="00F80E94" w:rsidP="00F80E94">
      <w:pPr>
        <w:ind w:right="18"/>
        <w:rPr>
          <w:b/>
        </w:rPr>
      </w:pPr>
      <w:r w:rsidRPr="00B253A1">
        <w:rPr>
          <w:b/>
          <w:bCs/>
        </w:rPr>
        <w:t>Con</w:t>
      </w:r>
      <w:r w:rsidRPr="00B253A1">
        <w:rPr>
          <w:b/>
          <w:bCs/>
          <w:spacing w:val="-1"/>
        </w:rPr>
        <w:t>t</w:t>
      </w:r>
      <w:r w:rsidRPr="00B253A1">
        <w:rPr>
          <w:b/>
          <w:bCs/>
        </w:rPr>
        <w:t>a</w:t>
      </w:r>
      <w:r w:rsidRPr="00B253A1">
        <w:rPr>
          <w:b/>
          <w:bCs/>
          <w:spacing w:val="-1"/>
        </w:rPr>
        <w:t>c</w:t>
      </w:r>
      <w:r w:rsidRPr="00B253A1">
        <w:rPr>
          <w:b/>
          <w:bCs/>
        </w:rPr>
        <w:t xml:space="preserve">t for more information: </w:t>
      </w:r>
      <w:r w:rsidRPr="00B253A1">
        <w:rPr>
          <w:b/>
        </w:rPr>
        <w:t>David Black at 971-304-4835 or</w:t>
      </w:r>
      <w:r w:rsidR="00A7300D">
        <w:rPr>
          <w:b/>
        </w:rPr>
        <w:t xml:space="preserve"> </w:t>
      </w:r>
      <w:hyperlink r:id="rId17" w:history="1">
        <w:r w:rsidR="00596264" w:rsidRPr="00B76FF0">
          <w:rPr>
            <w:rStyle w:val="Hyperlink"/>
            <w:b/>
            <w:bCs/>
          </w:rPr>
          <w:t>david.black@das.oregon.gov</w:t>
        </w:r>
      </w:hyperlink>
      <w:r w:rsidRPr="00B253A1">
        <w:t xml:space="preserve">. </w:t>
      </w:r>
    </w:p>
    <w:p w14:paraId="4FE2E651" w14:textId="77777777" w:rsidR="00F80E94" w:rsidRPr="008D2808" w:rsidRDefault="00F80E94" w:rsidP="2E12E5CC">
      <w:pPr>
        <w:pStyle w:val="Heading3"/>
        <w:rPr>
          <w:sz w:val="20"/>
          <w:szCs w:val="20"/>
        </w:rPr>
      </w:pPr>
      <w:bookmarkStart w:id="12" w:name="_Toc226108596"/>
      <w:bookmarkStart w:id="13" w:name="_Toc226981060"/>
      <w:bookmarkEnd w:id="9"/>
      <w:r>
        <w:t>Strategic Initiatives and Enterprise Accountability</w:t>
      </w:r>
      <w:bookmarkEnd w:id="12"/>
      <w:bookmarkEnd w:id="13"/>
    </w:p>
    <w:p w14:paraId="4EAA930F" w14:textId="77777777" w:rsidR="00F80E94" w:rsidRPr="00E469B5" w:rsidRDefault="00F80E94" w:rsidP="00F80E94">
      <w:r w:rsidRPr="00E469B5">
        <w:t>The</w:t>
      </w:r>
      <w:r w:rsidRPr="00E469B5">
        <w:rPr>
          <w:spacing w:val="3"/>
        </w:rPr>
        <w:t xml:space="preserve"> </w:t>
      </w:r>
      <w:r w:rsidRPr="00E469B5">
        <w:t xml:space="preserve">Office of Strategic Initiatives and Enterprise Accountability (SIEA) </w:t>
      </w:r>
      <w:proofErr w:type="gramStart"/>
      <w:r w:rsidRPr="00E469B5">
        <w:t>supports</w:t>
      </w:r>
      <w:proofErr w:type="gramEnd"/>
      <w:r w:rsidRPr="00E469B5">
        <w:t xml:space="preserve"> statewide efforts to improve operations and accountability in state government, directs internal and external communication, </w:t>
      </w:r>
      <w:r w:rsidRPr="00E469B5">
        <w:rPr>
          <w:spacing w:val="4"/>
        </w:rPr>
        <w:t xml:space="preserve">coordinates legislative activities, and </w:t>
      </w:r>
      <w:r w:rsidRPr="00E469B5">
        <w:t xml:space="preserve">leads enterprise efforts to </w:t>
      </w:r>
      <w:r w:rsidRPr="00E469B5">
        <w:lastRenderedPageBreak/>
        <w:t xml:space="preserve">support </w:t>
      </w:r>
      <w:r w:rsidRPr="00E469B5">
        <w:rPr>
          <w:spacing w:val="4"/>
        </w:rPr>
        <w:t xml:space="preserve">cultural change, including diversity, equity, inclusion and belonging (DEIB). </w:t>
      </w:r>
      <w:r w:rsidRPr="00E469B5">
        <w:t>These include:</w:t>
      </w:r>
    </w:p>
    <w:p w14:paraId="00D873EE" w14:textId="77777777" w:rsidR="00F80E94" w:rsidRPr="00144009" w:rsidRDefault="00F80E94" w:rsidP="00F25900">
      <w:pPr>
        <w:pStyle w:val="ListBullet"/>
        <w:numPr>
          <w:ilvl w:val="0"/>
          <w:numId w:val="17"/>
        </w:numPr>
        <w:ind w:right="18"/>
        <w:rPr>
          <w:rFonts w:asciiTheme="minorHAnsi" w:hAnsiTheme="minorHAnsi"/>
          <w:sz w:val="24"/>
          <w:szCs w:val="24"/>
        </w:rPr>
      </w:pPr>
      <w:r w:rsidRPr="00144009">
        <w:rPr>
          <w:rFonts w:asciiTheme="minorHAnsi" w:hAnsiTheme="minorHAnsi"/>
          <w:spacing w:val="-4"/>
          <w:sz w:val="24"/>
          <w:szCs w:val="24"/>
        </w:rPr>
        <w:t xml:space="preserve">Implementation, consultation, and monitoring of enterprise expectations </w:t>
      </w:r>
      <w:r w:rsidRPr="00144009">
        <w:rPr>
          <w:rFonts w:asciiTheme="minorHAnsi" w:hAnsiTheme="minorHAnsi"/>
          <w:sz w:val="24"/>
          <w:szCs w:val="24"/>
        </w:rPr>
        <w:t xml:space="preserve">for </w:t>
      </w:r>
      <w:r w:rsidRPr="00144009">
        <w:rPr>
          <w:rFonts w:asciiTheme="minorHAnsi" w:hAnsiTheme="minorHAnsi"/>
          <w:spacing w:val="-4"/>
          <w:sz w:val="24"/>
          <w:szCs w:val="24"/>
        </w:rPr>
        <w:t>strategic plans, emergency preparedness, audit accountability, workforce development and sustainability, and employee training and engagement.</w:t>
      </w:r>
    </w:p>
    <w:p w14:paraId="0AE41DE6" w14:textId="77777777" w:rsidR="00F80E94" w:rsidRPr="00144009" w:rsidRDefault="00F80E94" w:rsidP="00F25900">
      <w:pPr>
        <w:pStyle w:val="ListBullet"/>
        <w:numPr>
          <w:ilvl w:val="0"/>
          <w:numId w:val="17"/>
        </w:numPr>
        <w:ind w:right="18"/>
        <w:rPr>
          <w:rFonts w:asciiTheme="minorHAnsi" w:hAnsiTheme="minorHAnsi"/>
          <w:sz w:val="24"/>
          <w:szCs w:val="24"/>
        </w:rPr>
      </w:pPr>
      <w:r w:rsidRPr="00144009">
        <w:rPr>
          <w:rFonts w:asciiTheme="minorHAnsi" w:hAnsiTheme="minorHAnsi"/>
          <w:spacing w:val="-4"/>
          <w:sz w:val="24"/>
          <w:szCs w:val="24"/>
        </w:rPr>
        <w:t>Coordination of statewide communication</w:t>
      </w:r>
      <w:r w:rsidRPr="00144009">
        <w:rPr>
          <w:rFonts w:asciiTheme="minorHAnsi" w:hAnsiTheme="minorHAnsi"/>
          <w:sz w:val="24"/>
          <w:szCs w:val="24"/>
        </w:rPr>
        <w:t xml:space="preserve"> and</w:t>
      </w:r>
      <w:r w:rsidRPr="00144009">
        <w:rPr>
          <w:rFonts w:asciiTheme="minorHAnsi" w:hAnsiTheme="minorHAnsi"/>
          <w:spacing w:val="-4"/>
          <w:sz w:val="24"/>
          <w:szCs w:val="24"/>
        </w:rPr>
        <w:t xml:space="preserve"> legislative activities.</w:t>
      </w:r>
    </w:p>
    <w:p w14:paraId="136FE718" w14:textId="341ECDBD" w:rsidR="00F80E94" w:rsidRDefault="00F80E94" w:rsidP="00596264">
      <w:pPr>
        <w:pStyle w:val="ListBullet"/>
        <w:numPr>
          <w:ilvl w:val="0"/>
          <w:numId w:val="50"/>
        </w:numPr>
        <w:spacing w:before="0"/>
        <w:ind w:right="18"/>
        <w:rPr>
          <w:rFonts w:asciiTheme="minorHAnsi" w:hAnsiTheme="minorHAnsi"/>
          <w:spacing w:val="-4"/>
          <w:sz w:val="24"/>
          <w:szCs w:val="24"/>
        </w:rPr>
      </w:pPr>
      <w:r w:rsidRPr="00144009">
        <w:rPr>
          <w:rFonts w:asciiTheme="minorHAnsi" w:hAnsiTheme="minorHAnsi"/>
          <w:spacing w:val="-4"/>
          <w:sz w:val="24"/>
          <w:szCs w:val="24"/>
        </w:rPr>
        <w:t>Coordination of a real-time legislative bill tracking system</w:t>
      </w:r>
      <w:r w:rsidR="1D2F218C" w:rsidRPr="40B9775C">
        <w:rPr>
          <w:rFonts w:asciiTheme="minorHAnsi" w:hAnsiTheme="minorHAnsi"/>
          <w:spacing w:val="-4"/>
          <w:sz w:val="24"/>
          <w:szCs w:val="24"/>
        </w:rPr>
        <w:t xml:space="preserve">, known as </w:t>
      </w:r>
      <w:proofErr w:type="spellStart"/>
      <w:r w:rsidRPr="00144009">
        <w:rPr>
          <w:rFonts w:asciiTheme="minorHAnsi" w:hAnsiTheme="minorHAnsi"/>
          <w:spacing w:val="-4"/>
          <w:sz w:val="24"/>
          <w:szCs w:val="24"/>
        </w:rPr>
        <w:t>BillTracker</w:t>
      </w:r>
      <w:proofErr w:type="spellEnd"/>
      <w:r w:rsidR="368C2031" w:rsidRPr="65D2BD13">
        <w:rPr>
          <w:rFonts w:asciiTheme="minorHAnsi" w:hAnsiTheme="minorHAnsi"/>
          <w:spacing w:val="-4"/>
          <w:sz w:val="24"/>
          <w:szCs w:val="24"/>
        </w:rPr>
        <w:t>,</w:t>
      </w:r>
      <w:r w:rsidRPr="00144009">
        <w:rPr>
          <w:rFonts w:asciiTheme="minorHAnsi" w:hAnsiTheme="minorHAnsi"/>
          <w:spacing w:val="-4"/>
          <w:sz w:val="24"/>
          <w:szCs w:val="24"/>
        </w:rPr>
        <w:t xml:space="preserve"> that allows state agencies to track bills throughout the legislative process.</w:t>
      </w:r>
    </w:p>
    <w:p w14:paraId="2FCC2C34" w14:textId="77777777" w:rsidR="00596264" w:rsidRPr="00596264" w:rsidRDefault="00596264" w:rsidP="00596264">
      <w:pPr>
        <w:pStyle w:val="ListBullet"/>
        <w:numPr>
          <w:ilvl w:val="0"/>
          <w:numId w:val="0"/>
        </w:numPr>
        <w:spacing w:before="0"/>
        <w:ind w:left="540" w:right="18" w:hanging="360"/>
        <w:rPr>
          <w:rFonts w:asciiTheme="minorHAnsi" w:hAnsiTheme="minorHAnsi"/>
          <w:spacing w:val="-4"/>
          <w:sz w:val="24"/>
          <w:szCs w:val="24"/>
        </w:rPr>
      </w:pPr>
    </w:p>
    <w:p w14:paraId="47013D7D" w14:textId="77777777" w:rsidR="00F80E94" w:rsidRPr="00D608DB" w:rsidRDefault="00F80E94" w:rsidP="00F80E94">
      <w:pPr>
        <w:ind w:right="18"/>
      </w:pPr>
      <w:r>
        <w:t>T</w:t>
      </w:r>
      <w:r w:rsidRPr="00E469B5">
        <w:t>hese activities are supported by an assessment that allocates costs to state agencies based on 202</w:t>
      </w:r>
      <w:r>
        <w:t>5</w:t>
      </w:r>
      <w:r w:rsidRPr="00E469B5">
        <w:t>-2</w:t>
      </w:r>
      <w:r>
        <w:t>7</w:t>
      </w:r>
      <w:r w:rsidRPr="00E469B5">
        <w:t xml:space="preserve"> Legislatively Adopted Budget (LAB) Full-Time Equivalent (FTE) authority. Reference </w:t>
      </w:r>
      <w:r w:rsidRPr="3F4CE4F2">
        <w:t>Strategic Initiatives and Enterprise Accountability (SIEA) in Appendix A.</w:t>
      </w:r>
    </w:p>
    <w:p w14:paraId="15A0BFFA" w14:textId="77777777" w:rsidR="00F80E94" w:rsidRPr="00E469B5" w:rsidRDefault="00F80E94" w:rsidP="00F80E94">
      <w:pPr>
        <w:ind w:right="18"/>
        <w:rPr>
          <w:b/>
          <w:bCs/>
        </w:rPr>
      </w:pPr>
      <w:r w:rsidRPr="00D608DB">
        <w:rPr>
          <w:b/>
          <w:bCs/>
        </w:rPr>
        <w:t xml:space="preserve">Contact for more information: </w:t>
      </w:r>
      <w:r>
        <w:rPr>
          <w:b/>
          <w:bCs/>
        </w:rPr>
        <w:t>Katie Thiel</w:t>
      </w:r>
      <w:r w:rsidRPr="00D608DB">
        <w:rPr>
          <w:b/>
          <w:bCs/>
        </w:rPr>
        <w:t xml:space="preserve"> at 971-</w:t>
      </w:r>
      <w:r>
        <w:rPr>
          <w:b/>
          <w:bCs/>
        </w:rPr>
        <w:t>493-8763</w:t>
      </w:r>
      <w:r w:rsidRPr="00D608DB">
        <w:rPr>
          <w:b/>
          <w:bCs/>
        </w:rPr>
        <w:t xml:space="preserve"> or </w:t>
      </w:r>
      <w:hyperlink r:id="rId18" w:history="1">
        <w:r w:rsidRPr="003C4A9A">
          <w:rPr>
            <w:rStyle w:val="Hyperlink"/>
            <w:b/>
            <w:bCs/>
            <w:color w:val="auto"/>
          </w:rPr>
          <w:t>katie.thiel@das.oregon.gov</w:t>
        </w:r>
      </w:hyperlink>
      <w:r w:rsidRPr="00D608DB">
        <w:rPr>
          <w:b/>
          <w:bCs/>
        </w:rPr>
        <w:t>.</w:t>
      </w:r>
      <w:r>
        <w:rPr>
          <w:b/>
          <w:bCs/>
        </w:rPr>
        <w:t xml:space="preserve"> </w:t>
      </w:r>
    </w:p>
    <w:p w14:paraId="52F18BF2" w14:textId="77777777" w:rsidR="00F80E94" w:rsidRPr="006329FE" w:rsidRDefault="00F80E94" w:rsidP="2E12E5CC">
      <w:pPr>
        <w:pStyle w:val="Heading3"/>
        <w:rPr>
          <w:sz w:val="20"/>
          <w:szCs w:val="20"/>
        </w:rPr>
      </w:pPr>
      <w:bookmarkStart w:id="14" w:name="_Toc226108597"/>
      <w:bookmarkStart w:id="15" w:name="_Toc226981061"/>
      <w:r>
        <w:t>Chief Financial Office</w:t>
      </w:r>
      <w:bookmarkEnd w:id="14"/>
      <w:bookmarkEnd w:id="15"/>
    </w:p>
    <w:p w14:paraId="1792B09D" w14:textId="77777777" w:rsidR="00F80E94" w:rsidRPr="00B9465F" w:rsidRDefault="00F80E94" w:rsidP="00F80E94">
      <w:r w:rsidRPr="00B9465F">
        <w:rPr>
          <w:spacing w:val="-1"/>
        </w:rPr>
        <w:t>T</w:t>
      </w:r>
      <w:r w:rsidRPr="00B9465F">
        <w:t>he</w:t>
      </w:r>
      <w:r w:rsidRPr="00B9465F">
        <w:rPr>
          <w:spacing w:val="20"/>
        </w:rPr>
        <w:t xml:space="preserve"> </w:t>
      </w:r>
      <w:r w:rsidRPr="00B9465F">
        <w:t>Ch</w:t>
      </w:r>
      <w:r w:rsidRPr="00B9465F">
        <w:rPr>
          <w:spacing w:val="2"/>
        </w:rPr>
        <w:t>i</w:t>
      </w:r>
      <w:r w:rsidRPr="00B9465F">
        <w:rPr>
          <w:spacing w:val="-1"/>
        </w:rPr>
        <w:t>e</w:t>
      </w:r>
      <w:r w:rsidRPr="00B9465F">
        <w:t>f</w:t>
      </w:r>
      <w:r w:rsidRPr="00B9465F">
        <w:rPr>
          <w:spacing w:val="20"/>
        </w:rPr>
        <w:t xml:space="preserve"> </w:t>
      </w:r>
      <w:r w:rsidRPr="00B9465F">
        <w:rPr>
          <w:spacing w:val="-2"/>
        </w:rPr>
        <w:t>F</w:t>
      </w:r>
      <w:r w:rsidRPr="00B9465F">
        <w:t>i</w:t>
      </w:r>
      <w:r w:rsidRPr="00B9465F">
        <w:rPr>
          <w:spacing w:val="2"/>
        </w:rPr>
        <w:t>n</w:t>
      </w:r>
      <w:r w:rsidRPr="00B9465F">
        <w:rPr>
          <w:spacing w:val="-1"/>
        </w:rPr>
        <w:t>a</w:t>
      </w:r>
      <w:r w:rsidRPr="00B9465F">
        <w:t>n</w:t>
      </w:r>
      <w:r w:rsidRPr="00B9465F">
        <w:rPr>
          <w:spacing w:val="-1"/>
        </w:rPr>
        <w:t xml:space="preserve">cial </w:t>
      </w:r>
      <w:proofErr w:type="spellStart"/>
      <w:r w:rsidRPr="00B9465F">
        <w:rPr>
          <w:spacing w:val="-1"/>
        </w:rPr>
        <w:t>O</w:t>
      </w:r>
      <w:r w:rsidRPr="00B9465F">
        <w:rPr>
          <w:spacing w:val="1"/>
        </w:rPr>
        <w:t>f</w:t>
      </w:r>
      <w:r w:rsidRPr="00B9465F">
        <w:rPr>
          <w:spacing w:val="-1"/>
        </w:rPr>
        <w:t>f</w:t>
      </w:r>
      <w:r w:rsidRPr="00B9465F">
        <w:t>i</w:t>
      </w:r>
      <w:r w:rsidRPr="00B9465F">
        <w:rPr>
          <w:spacing w:val="-1"/>
        </w:rPr>
        <w:t>c</w:t>
      </w:r>
      <w:r w:rsidRPr="00B9465F">
        <w:rPr>
          <w:spacing w:val="1"/>
        </w:rPr>
        <w:t>e</w:t>
      </w:r>
      <w:proofErr w:type="spellEnd"/>
      <w:r w:rsidRPr="00B9465F">
        <w:rPr>
          <w:spacing w:val="20"/>
        </w:rPr>
        <w:t xml:space="preserve"> </w:t>
      </w:r>
      <w:r w:rsidRPr="00B9465F">
        <w:rPr>
          <w:spacing w:val="1"/>
        </w:rPr>
        <w:t>w</w:t>
      </w:r>
      <w:r w:rsidRPr="00B9465F">
        <w:t>o</w:t>
      </w:r>
      <w:r w:rsidRPr="00B9465F">
        <w:rPr>
          <w:spacing w:val="-1"/>
        </w:rPr>
        <w:t>r</w:t>
      </w:r>
      <w:r w:rsidRPr="00B9465F">
        <w:t>ks</w:t>
      </w:r>
      <w:r w:rsidRPr="00B9465F">
        <w:rPr>
          <w:spacing w:val="21"/>
        </w:rPr>
        <w:t xml:space="preserve"> </w:t>
      </w:r>
      <w:r w:rsidRPr="00B9465F">
        <w:rPr>
          <w:spacing w:val="-1"/>
        </w:rPr>
        <w:t>w</w:t>
      </w:r>
      <w:r w:rsidRPr="00B9465F">
        <w:t>ith</w:t>
      </w:r>
      <w:r w:rsidRPr="00B9465F">
        <w:rPr>
          <w:spacing w:val="21"/>
        </w:rPr>
        <w:t xml:space="preserve"> </w:t>
      </w:r>
      <w:r w:rsidRPr="00B9465F">
        <w:t>st</w:t>
      </w:r>
      <w:r w:rsidRPr="00B9465F">
        <w:rPr>
          <w:spacing w:val="-1"/>
        </w:rPr>
        <w:t>a</w:t>
      </w:r>
      <w:r w:rsidRPr="00B9465F">
        <w:t>te</w:t>
      </w:r>
      <w:r w:rsidRPr="00B9465F">
        <w:rPr>
          <w:spacing w:val="20"/>
        </w:rPr>
        <w:t xml:space="preserve"> </w:t>
      </w:r>
      <w:r w:rsidRPr="00B9465F">
        <w:rPr>
          <w:spacing w:val="1"/>
        </w:rPr>
        <w:t>a</w:t>
      </w:r>
      <w:r w:rsidRPr="00B9465F">
        <w:rPr>
          <w:spacing w:val="-3"/>
        </w:rPr>
        <w:t>g</w:t>
      </w:r>
      <w:r w:rsidRPr="00B9465F">
        <w:rPr>
          <w:spacing w:val="-1"/>
        </w:rPr>
        <w:t>e</w:t>
      </w:r>
      <w:r w:rsidRPr="00B9465F">
        <w:rPr>
          <w:spacing w:val="2"/>
        </w:rPr>
        <w:t>n</w:t>
      </w:r>
      <w:r w:rsidRPr="00B9465F">
        <w:rPr>
          <w:spacing w:val="-1"/>
        </w:rPr>
        <w:t>c</w:t>
      </w:r>
      <w:r w:rsidRPr="00B9465F">
        <w:t>i</w:t>
      </w:r>
      <w:r w:rsidRPr="00B9465F">
        <w:rPr>
          <w:spacing w:val="1"/>
        </w:rPr>
        <w:t>e</w:t>
      </w:r>
      <w:r w:rsidRPr="00B9465F">
        <w:t>s,</w:t>
      </w:r>
      <w:r w:rsidRPr="00B9465F">
        <w:rPr>
          <w:spacing w:val="21"/>
        </w:rPr>
        <w:t xml:space="preserve"> </w:t>
      </w:r>
      <w:r w:rsidRPr="00B9465F">
        <w:t>und</w:t>
      </w:r>
      <w:r w:rsidRPr="00B9465F">
        <w:rPr>
          <w:spacing w:val="-1"/>
        </w:rPr>
        <w:t>e</w:t>
      </w:r>
      <w:r w:rsidRPr="00B9465F">
        <w:t>r</w:t>
      </w:r>
      <w:r w:rsidRPr="00B9465F">
        <w:rPr>
          <w:spacing w:val="20"/>
        </w:rPr>
        <w:t xml:space="preserve"> </w:t>
      </w:r>
      <w:r w:rsidRPr="00B9465F">
        <w:t>the direction</w:t>
      </w:r>
      <w:r>
        <w:rPr>
          <w:spacing w:val="21"/>
        </w:rPr>
        <w:t xml:space="preserve"> </w:t>
      </w:r>
      <w:r w:rsidRPr="00B9465F">
        <w:rPr>
          <w:spacing w:val="-1"/>
        </w:rPr>
        <w:t>fr</w:t>
      </w:r>
      <w:r w:rsidRPr="00B9465F">
        <w:t>om</w:t>
      </w:r>
      <w:r w:rsidRPr="00B9465F">
        <w:rPr>
          <w:spacing w:val="24"/>
        </w:rPr>
        <w:t xml:space="preserve"> </w:t>
      </w:r>
      <w:r w:rsidRPr="00B9465F">
        <w:t xml:space="preserve">the </w:t>
      </w:r>
      <w:r w:rsidRPr="00B9465F">
        <w:rPr>
          <w:spacing w:val="-1"/>
        </w:rPr>
        <w:t>G</w:t>
      </w:r>
      <w:r w:rsidRPr="00B9465F">
        <w:t>ov</w:t>
      </w:r>
      <w:r w:rsidRPr="00B9465F">
        <w:rPr>
          <w:spacing w:val="-1"/>
        </w:rPr>
        <w:t>er</w:t>
      </w:r>
      <w:r w:rsidRPr="00B9465F">
        <w:t>no</w:t>
      </w:r>
      <w:r w:rsidRPr="00B9465F">
        <w:rPr>
          <w:spacing w:val="1"/>
        </w:rPr>
        <w:t>r</w:t>
      </w:r>
      <w:r w:rsidRPr="00B9465F">
        <w:rPr>
          <w:spacing w:val="-1"/>
        </w:rPr>
        <w:t>’</w:t>
      </w:r>
      <w:r w:rsidRPr="00B9465F">
        <w:t>s</w:t>
      </w:r>
      <w:r w:rsidRPr="00B9465F">
        <w:rPr>
          <w:spacing w:val="14"/>
        </w:rPr>
        <w:t xml:space="preserve"> </w:t>
      </w:r>
      <w:r w:rsidRPr="00B9465F">
        <w:t>O</w:t>
      </w:r>
      <w:r w:rsidRPr="00B9465F">
        <w:rPr>
          <w:spacing w:val="-1"/>
        </w:rPr>
        <w:t>ff</w:t>
      </w:r>
      <w:r w:rsidRPr="00B9465F">
        <w:t>i</w:t>
      </w:r>
      <w:r w:rsidRPr="00B9465F">
        <w:rPr>
          <w:spacing w:val="1"/>
        </w:rPr>
        <w:t>c</w:t>
      </w:r>
      <w:r w:rsidRPr="00B9465F">
        <w:rPr>
          <w:spacing w:val="-1"/>
        </w:rPr>
        <w:t>e, to re</w:t>
      </w:r>
      <w:r w:rsidRPr="00B9465F">
        <w:rPr>
          <w:spacing w:val="2"/>
        </w:rPr>
        <w:t>v</w:t>
      </w:r>
      <w:r w:rsidRPr="00B9465F">
        <w:t>i</w:t>
      </w:r>
      <w:r w:rsidRPr="00B9465F">
        <w:rPr>
          <w:spacing w:val="-1"/>
        </w:rPr>
        <w:t>ew</w:t>
      </w:r>
      <w:r w:rsidRPr="00B9465F">
        <w:rPr>
          <w:spacing w:val="14"/>
        </w:rPr>
        <w:t xml:space="preserve"> </w:t>
      </w:r>
      <w:r w:rsidRPr="00B9465F">
        <w:rPr>
          <w:spacing w:val="-1"/>
        </w:rPr>
        <w:t>a</w:t>
      </w:r>
      <w:r w:rsidRPr="00B9465F">
        <w:t>nd</w:t>
      </w:r>
      <w:r w:rsidRPr="00B9465F">
        <w:rPr>
          <w:spacing w:val="14"/>
        </w:rPr>
        <w:t xml:space="preserve"> </w:t>
      </w:r>
      <w:r w:rsidRPr="00B9465F">
        <w:rPr>
          <w:spacing w:val="-1"/>
        </w:rPr>
        <w:t>c</w:t>
      </w:r>
      <w:r w:rsidRPr="00B9465F">
        <w:t>ompil</w:t>
      </w:r>
      <w:r w:rsidRPr="00B9465F">
        <w:rPr>
          <w:spacing w:val="-1"/>
        </w:rPr>
        <w:t>e</w:t>
      </w:r>
      <w:r w:rsidRPr="00B9465F">
        <w:rPr>
          <w:spacing w:val="14"/>
        </w:rPr>
        <w:t xml:space="preserve"> </w:t>
      </w:r>
      <w:r w:rsidRPr="00B9465F">
        <w:t>obj</w:t>
      </w:r>
      <w:r w:rsidRPr="00B9465F">
        <w:rPr>
          <w:spacing w:val="1"/>
        </w:rPr>
        <w:t>ec</w:t>
      </w:r>
      <w:r w:rsidRPr="00B9465F">
        <w:t>tive</w:t>
      </w:r>
      <w:r w:rsidRPr="00B9465F">
        <w:rPr>
          <w:spacing w:val="13"/>
        </w:rPr>
        <w:t xml:space="preserve"> </w:t>
      </w:r>
      <w:r w:rsidRPr="00B9465F">
        <w:rPr>
          <w:spacing w:val="-1"/>
        </w:rPr>
        <w:t>a</w:t>
      </w:r>
      <w:r w:rsidRPr="00B9465F">
        <w:t>nd</w:t>
      </w:r>
      <w:r w:rsidRPr="00B9465F">
        <w:rPr>
          <w:spacing w:val="14"/>
        </w:rPr>
        <w:t xml:space="preserve"> </w:t>
      </w:r>
      <w:r w:rsidRPr="00B9465F">
        <w:rPr>
          <w:spacing w:val="-1"/>
        </w:rPr>
        <w:t>a</w:t>
      </w:r>
      <w:r w:rsidRPr="00B9465F">
        <w:rPr>
          <w:spacing w:val="1"/>
        </w:rPr>
        <w:t>c</w:t>
      </w:r>
      <w:r w:rsidRPr="00B9465F">
        <w:rPr>
          <w:spacing w:val="-1"/>
        </w:rPr>
        <w:t>c</w:t>
      </w:r>
      <w:r w:rsidRPr="00B9465F">
        <w:t>u</w:t>
      </w:r>
      <w:r w:rsidRPr="00B9465F">
        <w:rPr>
          <w:spacing w:val="-1"/>
        </w:rPr>
        <w:t>ra</w:t>
      </w:r>
      <w:r w:rsidRPr="00B9465F">
        <w:rPr>
          <w:spacing w:val="2"/>
        </w:rPr>
        <w:t>t</w:t>
      </w:r>
      <w:r w:rsidRPr="00B9465F">
        <w:t>e</w:t>
      </w:r>
      <w:r w:rsidRPr="00B9465F">
        <w:rPr>
          <w:spacing w:val="13"/>
        </w:rPr>
        <w:t xml:space="preserve"> </w:t>
      </w:r>
      <w:r w:rsidRPr="00B9465F">
        <w:t>in</w:t>
      </w:r>
      <w:r w:rsidRPr="00B9465F">
        <w:rPr>
          <w:spacing w:val="-1"/>
        </w:rPr>
        <w:t>f</w:t>
      </w:r>
      <w:r w:rsidRPr="00B9465F">
        <w:t>o</w:t>
      </w:r>
      <w:r w:rsidRPr="00B9465F">
        <w:rPr>
          <w:spacing w:val="-1"/>
        </w:rPr>
        <w:t>r</w:t>
      </w:r>
      <w:r w:rsidRPr="00B9465F">
        <w:rPr>
          <w:spacing w:val="2"/>
        </w:rPr>
        <w:t>m</w:t>
      </w:r>
      <w:r w:rsidRPr="00B9465F">
        <w:rPr>
          <w:spacing w:val="-1"/>
        </w:rPr>
        <w:t>a</w:t>
      </w:r>
      <w:r w:rsidRPr="00B9465F">
        <w:t>tion to</w:t>
      </w:r>
      <w:r w:rsidRPr="00B9465F">
        <w:rPr>
          <w:spacing w:val="28"/>
        </w:rPr>
        <w:t xml:space="preserve"> </w:t>
      </w:r>
      <w:r w:rsidRPr="00B9465F">
        <w:rPr>
          <w:spacing w:val="-1"/>
        </w:rPr>
        <w:t>a</w:t>
      </w:r>
      <w:r w:rsidRPr="00B9465F">
        <w:t>ssist</w:t>
      </w:r>
      <w:r w:rsidRPr="00B9465F">
        <w:rPr>
          <w:spacing w:val="29"/>
        </w:rPr>
        <w:t xml:space="preserve"> </w:t>
      </w:r>
      <w:r w:rsidRPr="00B9465F">
        <w:rPr>
          <w:spacing w:val="-3"/>
        </w:rPr>
        <w:t>s</w:t>
      </w:r>
      <w:r w:rsidRPr="00B9465F">
        <w:t>t</w:t>
      </w:r>
      <w:r w:rsidRPr="00B9465F">
        <w:rPr>
          <w:spacing w:val="-1"/>
        </w:rPr>
        <w:t>a</w:t>
      </w:r>
      <w:r w:rsidRPr="00B9465F">
        <w:t>te</w:t>
      </w:r>
      <w:r w:rsidRPr="00B9465F">
        <w:rPr>
          <w:spacing w:val="27"/>
        </w:rPr>
        <w:t xml:space="preserve"> </w:t>
      </w:r>
      <w:r w:rsidRPr="00B9465F">
        <w:t>l</w:t>
      </w:r>
      <w:r w:rsidRPr="00B9465F">
        <w:rPr>
          <w:spacing w:val="-1"/>
        </w:rPr>
        <w:t>ea</w:t>
      </w:r>
      <w:r w:rsidRPr="00B9465F">
        <w:t>d</w:t>
      </w:r>
      <w:r w:rsidRPr="00B9465F">
        <w:rPr>
          <w:spacing w:val="-1"/>
        </w:rPr>
        <w:t>er</w:t>
      </w:r>
      <w:r w:rsidRPr="00B9465F">
        <w:t>s</w:t>
      </w:r>
      <w:r w:rsidRPr="00B9465F">
        <w:rPr>
          <w:spacing w:val="29"/>
        </w:rPr>
        <w:t xml:space="preserve"> </w:t>
      </w:r>
      <w:r w:rsidRPr="00B9465F">
        <w:rPr>
          <w:spacing w:val="-1"/>
        </w:rPr>
        <w:t>a</w:t>
      </w:r>
      <w:r w:rsidRPr="00B9465F">
        <w:rPr>
          <w:spacing w:val="2"/>
        </w:rPr>
        <w:t>n</w:t>
      </w:r>
      <w:r w:rsidRPr="00B9465F">
        <w:t>d</w:t>
      </w:r>
      <w:r w:rsidRPr="00B9465F">
        <w:rPr>
          <w:spacing w:val="28"/>
        </w:rPr>
        <w:t xml:space="preserve"> </w:t>
      </w:r>
      <w:r w:rsidRPr="00B9465F">
        <w:t>the</w:t>
      </w:r>
      <w:r w:rsidRPr="00B9465F">
        <w:rPr>
          <w:spacing w:val="27"/>
        </w:rPr>
        <w:t xml:space="preserve"> </w:t>
      </w:r>
      <w:r w:rsidRPr="00B9465F">
        <w:t>public</w:t>
      </w:r>
      <w:r w:rsidRPr="00B9465F">
        <w:rPr>
          <w:spacing w:val="27"/>
        </w:rPr>
        <w:t xml:space="preserve"> </w:t>
      </w:r>
      <w:r>
        <w:t xml:space="preserve">to inform decisions on efficient use of state resources. The office works with </w:t>
      </w:r>
      <w:r w:rsidRPr="00B9465F">
        <w:rPr>
          <w:spacing w:val="-1"/>
        </w:rPr>
        <w:t>a</w:t>
      </w:r>
      <w:r w:rsidRPr="00B9465F">
        <w:t>g</w:t>
      </w:r>
      <w:r w:rsidRPr="00B9465F">
        <w:rPr>
          <w:spacing w:val="-1"/>
        </w:rPr>
        <w:t>e</w:t>
      </w:r>
      <w:r w:rsidRPr="00B9465F">
        <w:t>n</w:t>
      </w:r>
      <w:r w:rsidRPr="00B9465F">
        <w:rPr>
          <w:spacing w:val="-1"/>
        </w:rPr>
        <w:t>c</w:t>
      </w:r>
      <w:r w:rsidRPr="00B9465F">
        <w:t>i</w:t>
      </w:r>
      <w:r w:rsidRPr="00B9465F">
        <w:rPr>
          <w:spacing w:val="-1"/>
        </w:rPr>
        <w:t>e</w:t>
      </w:r>
      <w:r w:rsidRPr="00B9465F">
        <w:t>s</w:t>
      </w:r>
      <w:r w:rsidRPr="00B9465F">
        <w:rPr>
          <w:spacing w:val="33"/>
        </w:rPr>
        <w:t xml:space="preserve"> </w:t>
      </w:r>
      <w:r w:rsidRPr="00B9465F">
        <w:t>to</w:t>
      </w:r>
      <w:r w:rsidRPr="00B9465F">
        <w:rPr>
          <w:spacing w:val="33"/>
        </w:rPr>
        <w:t xml:space="preserve"> </w:t>
      </w:r>
      <w:r w:rsidRPr="00B9465F">
        <w:t>p</w:t>
      </w:r>
      <w:r w:rsidRPr="00B9465F">
        <w:rPr>
          <w:spacing w:val="-1"/>
        </w:rPr>
        <w:t>re</w:t>
      </w:r>
      <w:r w:rsidRPr="00B9465F">
        <w:rPr>
          <w:spacing w:val="2"/>
        </w:rPr>
        <w:t>p</w:t>
      </w:r>
      <w:r w:rsidRPr="00B9465F">
        <w:rPr>
          <w:spacing w:val="-1"/>
        </w:rPr>
        <w:t>ar</w:t>
      </w:r>
      <w:r w:rsidRPr="00B9465F">
        <w:t>e</w:t>
      </w:r>
      <w:r w:rsidRPr="00B9465F">
        <w:rPr>
          <w:spacing w:val="32"/>
        </w:rPr>
        <w:t xml:space="preserve"> </w:t>
      </w:r>
      <w:r w:rsidRPr="00B9465F">
        <w:t>the</w:t>
      </w:r>
      <w:r w:rsidRPr="00B9465F">
        <w:rPr>
          <w:spacing w:val="35"/>
        </w:rPr>
        <w:t xml:space="preserve"> </w:t>
      </w:r>
      <w:r w:rsidRPr="00B9465F">
        <w:rPr>
          <w:spacing w:val="-1"/>
        </w:rPr>
        <w:t>G</w:t>
      </w:r>
      <w:r w:rsidRPr="00B9465F">
        <w:t>ov</w:t>
      </w:r>
      <w:r w:rsidRPr="00B9465F">
        <w:rPr>
          <w:spacing w:val="-1"/>
        </w:rPr>
        <w:t>er</w:t>
      </w:r>
      <w:r w:rsidRPr="00B9465F">
        <w:t>no</w:t>
      </w:r>
      <w:r w:rsidRPr="00B9465F">
        <w:rPr>
          <w:spacing w:val="1"/>
        </w:rPr>
        <w:t>r</w:t>
      </w:r>
      <w:r w:rsidRPr="00B9465F">
        <w:rPr>
          <w:spacing w:val="-1"/>
        </w:rPr>
        <w:t>’</w:t>
      </w:r>
      <w:r w:rsidRPr="00B9465F">
        <w:t>s</w:t>
      </w:r>
      <w:r w:rsidRPr="00B9465F">
        <w:rPr>
          <w:spacing w:val="33"/>
        </w:rPr>
        <w:t xml:space="preserve"> </w:t>
      </w:r>
      <w:r w:rsidRPr="00B9465F">
        <w:rPr>
          <w:spacing w:val="-2"/>
        </w:rPr>
        <w:t>B</w:t>
      </w:r>
      <w:r w:rsidRPr="00B9465F">
        <w:t>u</w:t>
      </w:r>
      <w:r w:rsidRPr="00B9465F">
        <w:rPr>
          <w:spacing w:val="2"/>
        </w:rPr>
        <w:t>d</w:t>
      </w:r>
      <w:r w:rsidRPr="00B9465F">
        <w:rPr>
          <w:spacing w:val="-3"/>
        </w:rPr>
        <w:t>g</w:t>
      </w:r>
      <w:r w:rsidRPr="00B9465F">
        <w:rPr>
          <w:spacing w:val="-1"/>
        </w:rPr>
        <w:t>e</w:t>
      </w:r>
      <w:r w:rsidRPr="00B9465F">
        <w:t>t,</w:t>
      </w:r>
      <w:r w:rsidRPr="00B9465F">
        <w:rPr>
          <w:spacing w:val="33"/>
        </w:rPr>
        <w:t xml:space="preserve"> </w:t>
      </w:r>
      <w:r w:rsidRPr="00B9465F">
        <w:rPr>
          <w:spacing w:val="1"/>
        </w:rPr>
        <w:t>r</w:t>
      </w:r>
      <w:r w:rsidRPr="00B9465F">
        <w:rPr>
          <w:spacing w:val="-1"/>
        </w:rPr>
        <w:t>e</w:t>
      </w:r>
      <w:r w:rsidRPr="00B9465F">
        <w:t>p</w:t>
      </w:r>
      <w:r w:rsidRPr="00B9465F">
        <w:rPr>
          <w:spacing w:val="-1"/>
        </w:rPr>
        <w:t>re</w:t>
      </w:r>
      <w:r w:rsidRPr="00B9465F">
        <w:rPr>
          <w:spacing w:val="2"/>
        </w:rPr>
        <w:t>s</w:t>
      </w:r>
      <w:r w:rsidRPr="00B9465F">
        <w:rPr>
          <w:spacing w:val="-1"/>
        </w:rPr>
        <w:t>e</w:t>
      </w:r>
      <w:r w:rsidRPr="00B9465F">
        <w:t>nts</w:t>
      </w:r>
      <w:r w:rsidRPr="00B9465F">
        <w:rPr>
          <w:spacing w:val="33"/>
        </w:rPr>
        <w:t xml:space="preserve"> </w:t>
      </w:r>
      <w:r w:rsidRPr="00B9465F">
        <w:t>the</w:t>
      </w:r>
      <w:r w:rsidRPr="00B9465F">
        <w:rPr>
          <w:spacing w:val="32"/>
        </w:rPr>
        <w:t xml:space="preserve"> </w:t>
      </w:r>
      <w:r w:rsidRPr="00B9465F">
        <w:rPr>
          <w:spacing w:val="-1"/>
        </w:rPr>
        <w:t>G</w:t>
      </w:r>
      <w:r w:rsidRPr="00B9465F">
        <w:t>ov</w:t>
      </w:r>
      <w:r w:rsidRPr="00B9465F">
        <w:rPr>
          <w:spacing w:val="-1"/>
        </w:rPr>
        <w:t>er</w:t>
      </w:r>
      <w:r w:rsidRPr="00B9465F">
        <w:t>nor</w:t>
      </w:r>
      <w:r>
        <w:t>’s budget</w:t>
      </w:r>
      <w:r w:rsidRPr="00B9465F">
        <w:rPr>
          <w:spacing w:val="32"/>
        </w:rPr>
        <w:t xml:space="preserve"> </w:t>
      </w:r>
      <w:r w:rsidRPr="00B9465F">
        <w:t>in</w:t>
      </w:r>
      <w:r w:rsidRPr="00B9465F">
        <w:rPr>
          <w:spacing w:val="33"/>
        </w:rPr>
        <w:t xml:space="preserve"> </w:t>
      </w:r>
      <w:r w:rsidRPr="00B9465F">
        <w:t>the</w:t>
      </w:r>
      <w:r w:rsidRPr="00B9465F">
        <w:rPr>
          <w:spacing w:val="32"/>
        </w:rPr>
        <w:t xml:space="preserve"> </w:t>
      </w:r>
      <w:r w:rsidRPr="00B9465F">
        <w:t>l</w:t>
      </w:r>
      <w:r w:rsidRPr="00B9465F">
        <w:rPr>
          <w:spacing w:val="1"/>
        </w:rPr>
        <w:t>e</w:t>
      </w:r>
      <w:r w:rsidRPr="00B9465F">
        <w:rPr>
          <w:spacing w:val="-3"/>
        </w:rPr>
        <w:t>g</w:t>
      </w:r>
      <w:r w:rsidRPr="00B9465F">
        <w:t>isl</w:t>
      </w:r>
      <w:r w:rsidRPr="00B9465F">
        <w:rPr>
          <w:spacing w:val="-1"/>
        </w:rPr>
        <w:t>a</w:t>
      </w:r>
      <w:r w:rsidRPr="00B9465F">
        <w:t>tive p</w:t>
      </w:r>
      <w:r w:rsidRPr="00B9465F">
        <w:rPr>
          <w:spacing w:val="-1"/>
        </w:rPr>
        <w:t>r</w:t>
      </w:r>
      <w:r w:rsidRPr="00B9465F">
        <w:t>o</w:t>
      </w:r>
      <w:r w:rsidRPr="00B9465F">
        <w:rPr>
          <w:spacing w:val="-1"/>
        </w:rPr>
        <w:t>ce</w:t>
      </w:r>
      <w:r w:rsidRPr="00B9465F">
        <w:t>ss</w:t>
      </w:r>
      <w:r>
        <w:t>,</w:t>
      </w:r>
      <w:r w:rsidRPr="00B9465F">
        <w:t xml:space="preserve"> </w:t>
      </w:r>
      <w:r w:rsidRPr="00B9465F">
        <w:rPr>
          <w:spacing w:val="-1"/>
        </w:rPr>
        <w:t>a</w:t>
      </w:r>
      <w:r w:rsidRPr="00B9465F">
        <w:t>nd impl</w:t>
      </w:r>
      <w:r w:rsidRPr="00B9465F">
        <w:rPr>
          <w:spacing w:val="-1"/>
        </w:rPr>
        <w:t>e</w:t>
      </w:r>
      <w:r w:rsidRPr="00B9465F">
        <w:t>m</w:t>
      </w:r>
      <w:r w:rsidRPr="00B9465F">
        <w:rPr>
          <w:spacing w:val="-1"/>
        </w:rPr>
        <w:t>e</w:t>
      </w:r>
      <w:r w:rsidRPr="00B9465F">
        <w:t xml:space="preserve">nts </w:t>
      </w:r>
      <w:r w:rsidRPr="00B9465F">
        <w:rPr>
          <w:spacing w:val="2"/>
        </w:rPr>
        <w:t>t</w:t>
      </w:r>
      <w:r w:rsidRPr="00B9465F">
        <w:t>he</w:t>
      </w:r>
      <w:r w:rsidRPr="00B9465F">
        <w:rPr>
          <w:spacing w:val="1"/>
        </w:rPr>
        <w:t xml:space="preserve"> </w:t>
      </w:r>
      <w:r w:rsidRPr="00B9465F">
        <w:rPr>
          <w:spacing w:val="-3"/>
        </w:rPr>
        <w:t>L</w:t>
      </w:r>
      <w:r w:rsidRPr="00B9465F">
        <w:rPr>
          <w:spacing w:val="1"/>
        </w:rPr>
        <w:t>e</w:t>
      </w:r>
      <w:r w:rsidRPr="00B9465F">
        <w:rPr>
          <w:spacing w:val="-3"/>
        </w:rPr>
        <w:t>g</w:t>
      </w:r>
      <w:r w:rsidRPr="00B9465F">
        <w:t>isl</w:t>
      </w:r>
      <w:r w:rsidRPr="00B9465F">
        <w:rPr>
          <w:spacing w:val="-1"/>
        </w:rPr>
        <w:t>a</w:t>
      </w:r>
      <w:r w:rsidRPr="00B9465F">
        <w:t>tiv</w:t>
      </w:r>
      <w:r w:rsidRPr="00B9465F">
        <w:rPr>
          <w:spacing w:val="-1"/>
        </w:rPr>
        <w:t>e</w:t>
      </w:r>
      <w:r w:rsidRPr="00B9465F">
        <w:rPr>
          <w:spacing w:val="5"/>
        </w:rPr>
        <w:t>l</w:t>
      </w:r>
      <w:r w:rsidRPr="00B9465F">
        <w:t>y</w:t>
      </w:r>
      <w:r w:rsidRPr="00B9465F">
        <w:rPr>
          <w:spacing w:val="-5"/>
        </w:rPr>
        <w:t xml:space="preserve"> </w:t>
      </w:r>
      <w:r w:rsidRPr="00B9465F">
        <w:t xml:space="preserve">Adopted </w:t>
      </w:r>
      <w:r w:rsidRPr="00B9465F">
        <w:rPr>
          <w:spacing w:val="-2"/>
        </w:rPr>
        <w:t>B</w:t>
      </w:r>
      <w:r w:rsidRPr="00B9465F">
        <w:t>u</w:t>
      </w:r>
      <w:r w:rsidRPr="00B9465F">
        <w:rPr>
          <w:spacing w:val="2"/>
        </w:rPr>
        <w:t>d</w:t>
      </w:r>
      <w:r w:rsidRPr="00B9465F">
        <w:rPr>
          <w:spacing w:val="-3"/>
        </w:rPr>
        <w:t>g</w:t>
      </w:r>
      <w:r w:rsidRPr="00B9465F">
        <w:rPr>
          <w:spacing w:val="-1"/>
        </w:rPr>
        <w:t>e</w:t>
      </w:r>
      <w:r w:rsidRPr="00B9465F">
        <w:t>t.</w:t>
      </w:r>
      <w:r>
        <w:t xml:space="preserve"> The office is also responsible for preparing the state’s Annual Comprehensive Financial Report (ACFR) and administration of statewide financial management programs. The Chief Financial </w:t>
      </w:r>
      <w:proofErr w:type="spellStart"/>
      <w:r>
        <w:t>Office</w:t>
      </w:r>
      <w:proofErr w:type="spellEnd"/>
      <w:r>
        <w:t xml:space="preserve"> has the following programs.</w:t>
      </w:r>
    </w:p>
    <w:p w14:paraId="718E2783" w14:textId="77777777" w:rsidR="00F80E94" w:rsidRPr="006329FE" w:rsidRDefault="00F80E94" w:rsidP="2E12E5CC">
      <w:pPr>
        <w:pStyle w:val="Heading4"/>
        <w:rPr>
          <w:sz w:val="20"/>
          <w:szCs w:val="20"/>
        </w:rPr>
      </w:pPr>
      <w:bookmarkStart w:id="16" w:name="_Toc226108598"/>
      <w:r>
        <w:t>Budget and Management</w:t>
      </w:r>
      <w:bookmarkEnd w:id="16"/>
    </w:p>
    <w:p w14:paraId="758EBA6F" w14:textId="77777777" w:rsidR="00F80E94" w:rsidRPr="00144009" w:rsidRDefault="00F80E94" w:rsidP="00F25900">
      <w:pPr>
        <w:pStyle w:val="ListBullet"/>
        <w:numPr>
          <w:ilvl w:val="0"/>
          <w:numId w:val="18"/>
        </w:numPr>
        <w:rPr>
          <w:rFonts w:asciiTheme="minorHAnsi" w:hAnsiTheme="minorHAnsi"/>
          <w:sz w:val="24"/>
          <w:szCs w:val="24"/>
        </w:rPr>
      </w:pPr>
      <w:r w:rsidRPr="00144009">
        <w:rPr>
          <w:rFonts w:asciiTheme="minorHAnsi" w:hAnsiTheme="minorHAnsi"/>
          <w:sz w:val="24"/>
          <w:szCs w:val="24"/>
        </w:rPr>
        <w:t>Develop and publish biennial budget development instructions.</w:t>
      </w:r>
    </w:p>
    <w:p w14:paraId="7F931940" w14:textId="77777777" w:rsidR="00F80E94" w:rsidRPr="00144009" w:rsidRDefault="00F80E94" w:rsidP="00F25900">
      <w:pPr>
        <w:pStyle w:val="ListBullet"/>
        <w:numPr>
          <w:ilvl w:val="0"/>
          <w:numId w:val="18"/>
        </w:numPr>
        <w:rPr>
          <w:rFonts w:asciiTheme="minorHAnsi" w:hAnsiTheme="minorHAnsi"/>
          <w:sz w:val="24"/>
          <w:szCs w:val="24"/>
        </w:rPr>
      </w:pPr>
      <w:r w:rsidRPr="00144009">
        <w:rPr>
          <w:rFonts w:asciiTheme="minorHAnsi" w:hAnsiTheme="minorHAnsi"/>
          <w:sz w:val="24"/>
          <w:szCs w:val="24"/>
        </w:rPr>
        <w:t>Directs development of the Agency Request Budget, the Governor’s Budget, and the Legislatively Adopted Budget.</w:t>
      </w:r>
    </w:p>
    <w:p w14:paraId="493C9FDD" w14:textId="77777777" w:rsidR="00F80E94" w:rsidRPr="00144009" w:rsidRDefault="00F80E94" w:rsidP="00F25900">
      <w:pPr>
        <w:pStyle w:val="ListBullet"/>
        <w:numPr>
          <w:ilvl w:val="0"/>
          <w:numId w:val="18"/>
        </w:numPr>
        <w:rPr>
          <w:rFonts w:asciiTheme="minorHAnsi" w:hAnsiTheme="minorHAnsi"/>
          <w:sz w:val="24"/>
          <w:szCs w:val="24"/>
        </w:rPr>
      </w:pPr>
      <w:r w:rsidRPr="00144009">
        <w:rPr>
          <w:rFonts w:asciiTheme="minorHAnsi" w:hAnsiTheme="minorHAnsi"/>
          <w:sz w:val="24"/>
          <w:szCs w:val="24"/>
        </w:rPr>
        <w:t>Monitors state agency budget execution through the quarterly allotment process.</w:t>
      </w:r>
    </w:p>
    <w:p w14:paraId="35CDC59D" w14:textId="77777777" w:rsidR="00F80E94" w:rsidRPr="00144009" w:rsidRDefault="00F80E94" w:rsidP="00F25900">
      <w:pPr>
        <w:pStyle w:val="ListBullet"/>
        <w:numPr>
          <w:ilvl w:val="0"/>
          <w:numId w:val="18"/>
        </w:numPr>
        <w:rPr>
          <w:rFonts w:asciiTheme="minorHAnsi" w:hAnsiTheme="minorHAnsi"/>
          <w:sz w:val="24"/>
          <w:szCs w:val="24"/>
        </w:rPr>
      </w:pPr>
      <w:r w:rsidRPr="00144009">
        <w:rPr>
          <w:rFonts w:asciiTheme="minorHAnsi" w:hAnsiTheme="minorHAnsi"/>
          <w:sz w:val="24"/>
          <w:szCs w:val="24"/>
        </w:rPr>
        <w:t xml:space="preserve">Conducts administrative studies and analyses of government issues and programs as requested by the Governor, Legislature, or </w:t>
      </w:r>
      <w:proofErr w:type="gramStart"/>
      <w:r w:rsidRPr="00144009">
        <w:rPr>
          <w:rFonts w:asciiTheme="minorHAnsi" w:hAnsiTheme="minorHAnsi"/>
          <w:sz w:val="24"/>
          <w:szCs w:val="24"/>
        </w:rPr>
        <w:t>requesting</w:t>
      </w:r>
      <w:proofErr w:type="gramEnd"/>
      <w:r w:rsidRPr="00144009">
        <w:rPr>
          <w:rFonts w:asciiTheme="minorHAnsi" w:hAnsiTheme="minorHAnsi"/>
          <w:sz w:val="24"/>
          <w:szCs w:val="24"/>
        </w:rPr>
        <w:t xml:space="preserve"> agencies.</w:t>
      </w:r>
    </w:p>
    <w:p w14:paraId="3222FA31" w14:textId="77777777" w:rsidR="00F80E94" w:rsidRPr="003C4A9A" w:rsidRDefault="00F80E94" w:rsidP="00F25900">
      <w:pPr>
        <w:pStyle w:val="ListBullet"/>
        <w:numPr>
          <w:ilvl w:val="0"/>
          <w:numId w:val="19"/>
        </w:numPr>
        <w:ind w:right="18"/>
        <w:rPr>
          <w:rFonts w:asciiTheme="minorHAnsi" w:hAnsiTheme="minorHAnsi"/>
          <w:sz w:val="24"/>
          <w:szCs w:val="24"/>
          <w:lang w:eastAsia="en-US"/>
        </w:rPr>
      </w:pPr>
      <w:r w:rsidRPr="00144009">
        <w:rPr>
          <w:rFonts w:asciiTheme="minorHAnsi" w:hAnsiTheme="minorHAnsi"/>
          <w:sz w:val="24"/>
          <w:szCs w:val="24"/>
          <w:lang w:eastAsia="en-US"/>
        </w:rPr>
        <w:t>Audits, reports and archives agency and statewide budget information. The Statewide Audit and Budget Reporting Section (SABRS) stores and maintains this</w:t>
      </w:r>
      <w:r w:rsidRPr="003C4A9A">
        <w:rPr>
          <w:rFonts w:asciiTheme="minorHAnsi" w:hAnsiTheme="minorHAnsi"/>
          <w:sz w:val="24"/>
          <w:szCs w:val="24"/>
          <w:lang w:eastAsia="en-US"/>
        </w:rPr>
        <w:t xml:space="preserve"> information in the Oregon Budget Information Tracking System (ORBITS) and the Oregon Position Information Control</w:t>
      </w:r>
      <w:r w:rsidRPr="003C4A9A">
        <w:rPr>
          <w:rFonts w:asciiTheme="minorHAnsi" w:hAnsiTheme="minorHAnsi"/>
          <w:spacing w:val="-2"/>
          <w:sz w:val="24"/>
          <w:szCs w:val="24"/>
          <w:lang w:eastAsia="en-US"/>
        </w:rPr>
        <w:t xml:space="preserve"> System (ORPICS).</w:t>
      </w:r>
    </w:p>
    <w:p w14:paraId="02E501B2" w14:textId="77777777" w:rsidR="00F80E94" w:rsidRPr="003C4A9A" w:rsidRDefault="00F80E94" w:rsidP="00F25900">
      <w:pPr>
        <w:pStyle w:val="ListBullet"/>
        <w:numPr>
          <w:ilvl w:val="0"/>
          <w:numId w:val="20"/>
        </w:numPr>
        <w:ind w:right="18"/>
        <w:rPr>
          <w:rFonts w:asciiTheme="minorHAnsi" w:hAnsiTheme="minorHAnsi"/>
          <w:sz w:val="24"/>
          <w:szCs w:val="24"/>
          <w:lang w:eastAsia="en-US"/>
        </w:rPr>
      </w:pPr>
      <w:r w:rsidRPr="003C4A9A">
        <w:rPr>
          <w:rFonts w:asciiTheme="minorHAnsi" w:hAnsiTheme="minorHAnsi"/>
          <w:spacing w:val="-2"/>
          <w:sz w:val="24"/>
          <w:szCs w:val="24"/>
          <w:lang w:eastAsia="en-US"/>
        </w:rPr>
        <w:lastRenderedPageBreak/>
        <w:t>Coordinates capital facility budget requests in partnership with Enterprise Asset Management.</w:t>
      </w:r>
    </w:p>
    <w:p w14:paraId="267EBF9D" w14:textId="77777777" w:rsidR="00F80E94" w:rsidRPr="006329FE" w:rsidRDefault="00F80E94" w:rsidP="2E12E5CC">
      <w:pPr>
        <w:pStyle w:val="Heading4"/>
        <w:rPr>
          <w:sz w:val="20"/>
          <w:szCs w:val="20"/>
        </w:rPr>
      </w:pPr>
      <w:bookmarkStart w:id="17" w:name="_Toc226108599"/>
      <w:r>
        <w:t>Capital Finance</w:t>
      </w:r>
      <w:bookmarkEnd w:id="17"/>
    </w:p>
    <w:p w14:paraId="6789BB7C" w14:textId="77777777" w:rsidR="00F80E94" w:rsidRPr="003C4A9A" w:rsidRDefault="00F80E94" w:rsidP="00F25900">
      <w:pPr>
        <w:pStyle w:val="ListBullet"/>
        <w:numPr>
          <w:ilvl w:val="0"/>
          <w:numId w:val="21"/>
        </w:numPr>
        <w:ind w:right="18"/>
        <w:rPr>
          <w:rFonts w:asciiTheme="minorHAnsi" w:hAnsiTheme="minorHAnsi"/>
          <w:sz w:val="24"/>
          <w:szCs w:val="24"/>
        </w:rPr>
      </w:pPr>
      <w:r w:rsidRPr="003C4A9A">
        <w:rPr>
          <w:rFonts w:asciiTheme="minorHAnsi" w:hAnsiTheme="minorHAnsi"/>
          <w:sz w:val="24"/>
          <w:szCs w:val="24"/>
        </w:rPr>
        <w:t xml:space="preserve">Coordinates issuance of debt and post-issuance compliance for multiple general obligation bond programs, the Lottery Revenue bond program, and Tax Anticipation Notes. </w:t>
      </w:r>
    </w:p>
    <w:p w14:paraId="29EA5F89" w14:textId="77777777" w:rsidR="00F80E94" w:rsidRPr="003C4A9A" w:rsidRDefault="00F80E94" w:rsidP="00F25900">
      <w:pPr>
        <w:pStyle w:val="ListBullet"/>
        <w:numPr>
          <w:ilvl w:val="0"/>
          <w:numId w:val="21"/>
        </w:numPr>
        <w:ind w:right="18"/>
        <w:rPr>
          <w:rFonts w:asciiTheme="minorHAnsi" w:hAnsiTheme="minorHAnsi"/>
          <w:sz w:val="24"/>
          <w:szCs w:val="24"/>
        </w:rPr>
      </w:pPr>
      <w:r w:rsidRPr="003C4A9A">
        <w:rPr>
          <w:rFonts w:asciiTheme="minorHAnsi" w:hAnsiTheme="minorHAnsi"/>
          <w:sz w:val="24"/>
          <w:szCs w:val="24"/>
        </w:rPr>
        <w:t>Coordinates budgeting for bond-financed capital projects and debt service on outstanding debt at a statewide level.</w:t>
      </w:r>
    </w:p>
    <w:p w14:paraId="1F5FDC4B" w14:textId="77777777" w:rsidR="00F80E94" w:rsidRPr="003C4A9A" w:rsidRDefault="00F80E94" w:rsidP="00F25900">
      <w:pPr>
        <w:pStyle w:val="ListBullet"/>
        <w:numPr>
          <w:ilvl w:val="0"/>
          <w:numId w:val="21"/>
        </w:numPr>
        <w:ind w:right="18"/>
        <w:rPr>
          <w:rFonts w:asciiTheme="minorHAnsi" w:hAnsiTheme="minorHAnsi"/>
          <w:sz w:val="24"/>
          <w:szCs w:val="24"/>
        </w:rPr>
      </w:pPr>
      <w:r w:rsidRPr="003C4A9A">
        <w:rPr>
          <w:rFonts w:asciiTheme="minorHAnsi" w:hAnsiTheme="minorHAnsi"/>
          <w:sz w:val="24"/>
          <w:szCs w:val="24"/>
        </w:rPr>
        <w:t>Develops the Capital Budgeting portion of the Governor’s Budget and the enabling legislation required for bond issuance and capital construction authorization.</w:t>
      </w:r>
    </w:p>
    <w:p w14:paraId="3B92F4B3" w14:textId="77777777" w:rsidR="00F80E94" w:rsidRPr="006329FE" w:rsidRDefault="00F80E94" w:rsidP="2E12E5CC">
      <w:pPr>
        <w:pStyle w:val="Heading4"/>
        <w:rPr>
          <w:sz w:val="20"/>
          <w:szCs w:val="20"/>
        </w:rPr>
      </w:pPr>
      <w:bookmarkStart w:id="18" w:name="_Toc226108600"/>
      <w:r>
        <w:t>Office of the State Controller</w:t>
      </w:r>
      <w:bookmarkEnd w:id="18"/>
    </w:p>
    <w:p w14:paraId="0FC24D7F" w14:textId="77777777" w:rsidR="00F80E94" w:rsidRDefault="00F80E94" w:rsidP="00F80E94">
      <w:r w:rsidRPr="002D4975">
        <w:t>The Office of the State Controller i</w:t>
      </w:r>
      <w:r>
        <w:t>ncludes</w:t>
      </w:r>
      <w:r w:rsidRPr="002D4975">
        <w:t xml:space="preserve"> the Statewide Accounting and Reporting Section (SARS) and the Financial Business Systems (FBS) programs</w:t>
      </w:r>
      <w:r>
        <w:t>.</w:t>
      </w:r>
      <w:r w:rsidRPr="002D4975">
        <w:t xml:space="preserve"> SARS is responsible for statewide year-end closing coordination, preparation of the Oregon Annual Comprehensive Financial Report and setting statewide accounting policies. The FBS team is responsible for the Statewide Financial Management Application (SFMA), the </w:t>
      </w:r>
      <w:r>
        <w:t>f</w:t>
      </w:r>
      <w:r w:rsidRPr="002D4975">
        <w:t>inancial Datamart, payroll accounting and accurate reporting to PERS on behalf of Oregon state government.</w:t>
      </w:r>
    </w:p>
    <w:p w14:paraId="2C23CC24" w14:textId="77777777" w:rsidR="00F80E94" w:rsidRPr="006329FE" w:rsidRDefault="00F80E94" w:rsidP="2E12E5CC">
      <w:pPr>
        <w:pStyle w:val="Heading4"/>
        <w:rPr>
          <w:sz w:val="20"/>
          <w:szCs w:val="20"/>
        </w:rPr>
      </w:pPr>
      <w:bookmarkStart w:id="19" w:name="_Toc226108601"/>
      <w:r>
        <w:t>Statewide Accounting and Reporting</w:t>
      </w:r>
      <w:bookmarkEnd w:id="19"/>
    </w:p>
    <w:p w14:paraId="745B5419" w14:textId="77777777" w:rsidR="00F80E94" w:rsidRPr="000D1B3C" w:rsidRDefault="00F80E94" w:rsidP="00F25900">
      <w:pPr>
        <w:pStyle w:val="ListBullet"/>
        <w:numPr>
          <w:ilvl w:val="0"/>
          <w:numId w:val="22"/>
        </w:numPr>
        <w:ind w:right="18"/>
        <w:rPr>
          <w:rFonts w:asciiTheme="minorHAnsi" w:hAnsiTheme="minorHAnsi"/>
          <w:sz w:val="24"/>
          <w:szCs w:val="24"/>
        </w:rPr>
      </w:pPr>
      <w:r w:rsidRPr="000D1B3C">
        <w:rPr>
          <w:rFonts w:asciiTheme="minorHAnsi" w:hAnsiTheme="minorHAnsi"/>
          <w:sz w:val="24"/>
          <w:szCs w:val="24"/>
        </w:rPr>
        <w:t>Leads effective statewide accounting and financial reporting services, provides high quality customer consultation, and ensures statewide compliance with state and federal fiscal reporting requirements.</w:t>
      </w:r>
    </w:p>
    <w:p w14:paraId="6EB626CF" w14:textId="77777777" w:rsidR="00F80E94" w:rsidRPr="000D1B3C" w:rsidRDefault="00F80E94" w:rsidP="00F25900">
      <w:pPr>
        <w:pStyle w:val="ListBullet"/>
        <w:numPr>
          <w:ilvl w:val="0"/>
          <w:numId w:val="22"/>
        </w:numPr>
        <w:ind w:right="18"/>
        <w:rPr>
          <w:rFonts w:asciiTheme="minorHAnsi" w:hAnsiTheme="minorHAnsi"/>
          <w:sz w:val="24"/>
          <w:szCs w:val="24"/>
        </w:rPr>
      </w:pPr>
      <w:r w:rsidRPr="000D1B3C">
        <w:rPr>
          <w:rFonts w:asciiTheme="minorHAnsi" w:hAnsiTheme="minorHAnsi"/>
          <w:sz w:val="24"/>
          <w:szCs w:val="24"/>
        </w:rPr>
        <w:t xml:space="preserve">Interprets generally accepted accounting principles and established statewide policy through the Oregon Accounting Manual. Provides professional consultation and training services to agency fiscal staff on accounting and financial reporting. Compiles and publishes the state's audited Annual Comprehensive Financial Report. </w:t>
      </w:r>
    </w:p>
    <w:p w14:paraId="5CFBCA69" w14:textId="77777777" w:rsidR="00F80E94" w:rsidRPr="000D1B3C" w:rsidRDefault="00F80E94" w:rsidP="00F25900">
      <w:pPr>
        <w:pStyle w:val="ListBullet"/>
        <w:numPr>
          <w:ilvl w:val="0"/>
          <w:numId w:val="22"/>
        </w:numPr>
        <w:ind w:right="18"/>
        <w:rPr>
          <w:rFonts w:asciiTheme="minorHAnsi" w:hAnsiTheme="minorHAnsi"/>
          <w:sz w:val="24"/>
          <w:szCs w:val="24"/>
        </w:rPr>
      </w:pPr>
      <w:r w:rsidRPr="000D1B3C">
        <w:rPr>
          <w:rFonts w:asciiTheme="minorHAnsi" w:hAnsiTheme="minorHAnsi"/>
          <w:sz w:val="24"/>
          <w:szCs w:val="24"/>
        </w:rPr>
        <w:t>Provides statewide leadership of accounts receivable management. Develops, implements and monitors processes to improve the state’s debt collection activities. Publishes and submits an annual accounts receivable management report to the Legislature.</w:t>
      </w:r>
    </w:p>
    <w:p w14:paraId="4290F7AF" w14:textId="77777777" w:rsidR="00F80E94" w:rsidRPr="000D1B3C" w:rsidRDefault="00F80E94" w:rsidP="00F25900">
      <w:pPr>
        <w:pStyle w:val="ListBullet"/>
        <w:numPr>
          <w:ilvl w:val="0"/>
          <w:numId w:val="22"/>
        </w:numPr>
        <w:ind w:right="18"/>
        <w:rPr>
          <w:rFonts w:asciiTheme="minorHAnsi" w:hAnsiTheme="minorHAnsi"/>
          <w:sz w:val="24"/>
          <w:szCs w:val="24"/>
        </w:rPr>
      </w:pPr>
      <w:r w:rsidRPr="000D1B3C">
        <w:rPr>
          <w:rFonts w:asciiTheme="minorHAnsi" w:hAnsiTheme="minorHAnsi"/>
          <w:sz w:val="24"/>
          <w:szCs w:val="24"/>
        </w:rPr>
        <w:t xml:space="preserve">Coordinates federally mandated reporting requirements and provides guidance to agencies on various federal compliance issues. </w:t>
      </w:r>
    </w:p>
    <w:p w14:paraId="4E7AD0BC" w14:textId="77777777" w:rsidR="00F80E94" w:rsidRPr="000D1B3C" w:rsidRDefault="00F80E94" w:rsidP="00F25900">
      <w:pPr>
        <w:pStyle w:val="ListBullet"/>
        <w:numPr>
          <w:ilvl w:val="0"/>
          <w:numId w:val="22"/>
        </w:numPr>
        <w:ind w:right="18"/>
        <w:rPr>
          <w:rFonts w:asciiTheme="minorHAnsi" w:hAnsiTheme="minorHAnsi"/>
          <w:sz w:val="24"/>
          <w:szCs w:val="24"/>
        </w:rPr>
      </w:pPr>
      <w:r w:rsidRPr="000D1B3C">
        <w:rPr>
          <w:rFonts w:asciiTheme="minorHAnsi" w:hAnsiTheme="minorHAnsi"/>
          <w:sz w:val="24"/>
          <w:szCs w:val="24"/>
        </w:rPr>
        <w:lastRenderedPageBreak/>
        <w:t>Provides security administration for the state's financial systems as well as administers the statewide travel card program and the statewide travel policy.</w:t>
      </w:r>
    </w:p>
    <w:p w14:paraId="58A6A62B" w14:textId="77777777" w:rsidR="00F80E94" w:rsidRPr="005265E5" w:rsidRDefault="00F80E94" w:rsidP="00F80E94">
      <w:pPr>
        <w:pStyle w:val="ListBullet"/>
        <w:numPr>
          <w:ilvl w:val="0"/>
          <w:numId w:val="0"/>
        </w:numPr>
        <w:spacing w:before="0"/>
        <w:ind w:right="18"/>
      </w:pPr>
    </w:p>
    <w:p w14:paraId="0C41B2B7" w14:textId="77777777" w:rsidR="00F80E94" w:rsidRPr="000D1B3C" w:rsidRDefault="00F80E94" w:rsidP="79D38361">
      <w:pPr>
        <w:pStyle w:val="ListBullet"/>
        <w:numPr>
          <w:ilvl w:val="0"/>
          <w:numId w:val="0"/>
        </w:numPr>
        <w:ind w:right="18"/>
        <w:rPr>
          <w:rFonts w:asciiTheme="minorHAnsi" w:hAnsiTheme="minorHAnsi"/>
          <w:sz w:val="24"/>
          <w:szCs w:val="24"/>
        </w:rPr>
      </w:pPr>
      <w:r w:rsidRPr="79D38361">
        <w:rPr>
          <w:rFonts w:asciiTheme="minorHAnsi" w:hAnsiTheme="minorHAnsi"/>
          <w:sz w:val="24"/>
          <w:szCs w:val="24"/>
        </w:rPr>
        <w:t xml:space="preserve">The total cost for operating the sections above is supported by an assessment and is distributed to all agencies on the following basis. Reference Chief Financial </w:t>
      </w:r>
      <w:proofErr w:type="spellStart"/>
      <w:r w:rsidRPr="79D38361">
        <w:rPr>
          <w:rFonts w:asciiTheme="minorHAnsi" w:hAnsiTheme="minorHAnsi"/>
          <w:sz w:val="24"/>
          <w:szCs w:val="24"/>
        </w:rPr>
        <w:t>Office</w:t>
      </w:r>
      <w:proofErr w:type="spellEnd"/>
      <w:r w:rsidRPr="79D38361">
        <w:rPr>
          <w:rFonts w:asciiTheme="minorHAnsi" w:hAnsiTheme="minorHAnsi"/>
          <w:sz w:val="24"/>
          <w:szCs w:val="24"/>
        </w:rPr>
        <w:t xml:space="preserve"> (CFO) in Appendix A. </w:t>
      </w:r>
    </w:p>
    <w:p w14:paraId="4F71C9F5" w14:textId="77777777" w:rsidR="00F80E94" w:rsidRPr="000D1B3C" w:rsidRDefault="00F80E94" w:rsidP="00F25900">
      <w:pPr>
        <w:pStyle w:val="ListBullet"/>
        <w:numPr>
          <w:ilvl w:val="0"/>
          <w:numId w:val="23"/>
        </w:numPr>
        <w:ind w:right="18"/>
        <w:rPr>
          <w:rFonts w:asciiTheme="minorHAnsi" w:hAnsiTheme="minorHAnsi"/>
          <w:sz w:val="24"/>
          <w:szCs w:val="24"/>
        </w:rPr>
      </w:pPr>
      <w:r w:rsidRPr="000D1B3C">
        <w:rPr>
          <w:rFonts w:asciiTheme="minorHAnsi" w:hAnsiTheme="minorHAnsi"/>
          <w:sz w:val="24"/>
          <w:szCs w:val="24"/>
        </w:rPr>
        <w:t>A minimum assessment of $2,500 is charged to agencies that have 2.00 or less 2025-27 Legislatively Adopted Budget (LAB) Full-Time Equivalent (FTE) authority.</w:t>
      </w:r>
    </w:p>
    <w:p w14:paraId="5B5D8DAD" w14:textId="77777777" w:rsidR="00F80E94" w:rsidRPr="000D1B3C" w:rsidRDefault="00F80E94" w:rsidP="00F25900">
      <w:pPr>
        <w:pStyle w:val="ListBullet"/>
        <w:numPr>
          <w:ilvl w:val="0"/>
          <w:numId w:val="23"/>
        </w:numPr>
        <w:ind w:right="18"/>
        <w:rPr>
          <w:rFonts w:asciiTheme="minorHAnsi" w:hAnsiTheme="minorHAnsi"/>
          <w:sz w:val="24"/>
          <w:szCs w:val="24"/>
        </w:rPr>
      </w:pPr>
      <w:r w:rsidRPr="000D1B3C">
        <w:rPr>
          <w:rFonts w:asciiTheme="minorHAnsi" w:hAnsiTheme="minorHAnsi"/>
          <w:sz w:val="24"/>
          <w:szCs w:val="24"/>
        </w:rPr>
        <w:t xml:space="preserve">A minimum assessment of $5,000 is charged to agencies that have 2.01 to 30.00 2025-27 Legislatively Adopted Budget (LAB) Full-Time Equivalent (FTE) authority, or less than $10 million in the agency’s 2025-27 total funds LAB. </w:t>
      </w:r>
    </w:p>
    <w:p w14:paraId="2F10FF3D" w14:textId="77777777" w:rsidR="00F80E94" w:rsidRPr="000D1B3C" w:rsidRDefault="00F80E94" w:rsidP="00F25900">
      <w:pPr>
        <w:pStyle w:val="ListBullet"/>
        <w:numPr>
          <w:ilvl w:val="0"/>
          <w:numId w:val="23"/>
        </w:numPr>
        <w:ind w:right="18"/>
        <w:rPr>
          <w:rFonts w:asciiTheme="minorHAnsi" w:hAnsiTheme="minorHAnsi"/>
          <w:sz w:val="24"/>
          <w:szCs w:val="24"/>
        </w:rPr>
      </w:pPr>
      <w:r w:rsidRPr="000D1B3C">
        <w:rPr>
          <w:rFonts w:asciiTheme="minorHAnsi" w:hAnsiTheme="minorHAnsi"/>
          <w:sz w:val="24"/>
          <w:szCs w:val="24"/>
        </w:rPr>
        <w:t xml:space="preserve">The remainder of the assessment is split among the rest of the agencies with 50% allocated according to 2025-27 Legislatively Adopted Budget (LAB) Full-Time Equivalent (FTE) authority and the other 50% allocated according to the size of the agency’s 2025-27 total funds LAB. </w:t>
      </w:r>
    </w:p>
    <w:p w14:paraId="3A1C9563" w14:textId="77777777" w:rsidR="00F80E94" w:rsidRPr="00410691" w:rsidRDefault="00F80E94" w:rsidP="00F80E94">
      <w:pPr>
        <w:pStyle w:val="ListBullet"/>
        <w:numPr>
          <w:ilvl w:val="0"/>
          <w:numId w:val="0"/>
        </w:numPr>
        <w:spacing w:before="0"/>
        <w:ind w:left="360" w:right="18"/>
        <w:rPr>
          <w:i/>
        </w:rPr>
      </w:pPr>
    </w:p>
    <w:p w14:paraId="759BC2B7" w14:textId="77777777" w:rsidR="00F80E94" w:rsidRPr="00D369B1" w:rsidRDefault="00F80E94" w:rsidP="00F80E94">
      <w:pPr>
        <w:ind w:right="18"/>
        <w:rPr>
          <w:b/>
        </w:rPr>
      </w:pPr>
      <w:r>
        <w:rPr>
          <w:b/>
          <w:bCs/>
        </w:rPr>
        <w:t>Con</w:t>
      </w:r>
      <w:r>
        <w:rPr>
          <w:b/>
          <w:bCs/>
          <w:spacing w:val="-1"/>
        </w:rPr>
        <w:t>t</w:t>
      </w:r>
      <w:r>
        <w:rPr>
          <w:b/>
          <w:bCs/>
        </w:rPr>
        <w:t>a</w:t>
      </w:r>
      <w:r>
        <w:rPr>
          <w:b/>
          <w:bCs/>
          <w:spacing w:val="-1"/>
        </w:rPr>
        <w:t>c</w:t>
      </w:r>
      <w:r>
        <w:rPr>
          <w:b/>
          <w:bCs/>
        </w:rPr>
        <w:t xml:space="preserve">t for more information: </w:t>
      </w:r>
      <w:hyperlink r:id="rId19" w:history="1">
        <w:r w:rsidRPr="000D1B3C">
          <w:rPr>
            <w:rStyle w:val="Hyperlink"/>
            <w:b/>
            <w:bCs/>
            <w:color w:val="auto"/>
          </w:rPr>
          <w:t>cfo.info@das.oregon.gov</w:t>
        </w:r>
      </w:hyperlink>
      <w:r w:rsidRPr="00D369B1">
        <w:rPr>
          <w:b/>
        </w:rPr>
        <w:t>.</w:t>
      </w:r>
    </w:p>
    <w:p w14:paraId="7389D8D1" w14:textId="77777777" w:rsidR="00F80E94" w:rsidRPr="00FA0A5E" w:rsidRDefault="00F80E94" w:rsidP="2E12E5CC">
      <w:pPr>
        <w:pStyle w:val="Heading4"/>
        <w:rPr>
          <w:sz w:val="20"/>
          <w:szCs w:val="20"/>
        </w:rPr>
      </w:pPr>
      <w:bookmarkStart w:id="20" w:name="_Toc226108602"/>
      <w:r>
        <w:t>Financial Business Systems</w:t>
      </w:r>
      <w:bookmarkEnd w:id="20"/>
    </w:p>
    <w:p w14:paraId="0A4FD153" w14:textId="77777777" w:rsidR="00F80E94" w:rsidRPr="00A00078" w:rsidRDefault="00F80E94" w:rsidP="00F80E94">
      <w:pPr>
        <w:ind w:right="18"/>
      </w:pPr>
      <w:r w:rsidRPr="00A00078">
        <w:rPr>
          <w:spacing w:val="-1"/>
        </w:rPr>
        <w:t>T</w:t>
      </w:r>
      <w:r w:rsidRPr="00A00078">
        <w:rPr>
          <w:spacing w:val="2"/>
        </w:rPr>
        <w:t>h</w:t>
      </w:r>
      <w:r w:rsidRPr="00A00078">
        <w:t>e</w:t>
      </w:r>
      <w:r w:rsidRPr="00A00078">
        <w:rPr>
          <w:spacing w:val="-1"/>
        </w:rPr>
        <w:t xml:space="preserve"> </w:t>
      </w:r>
      <w:r w:rsidRPr="00A00078">
        <w:rPr>
          <w:spacing w:val="-2"/>
        </w:rPr>
        <w:t>F</w:t>
      </w:r>
      <w:r w:rsidRPr="00A00078">
        <w:t>i</w:t>
      </w:r>
      <w:r w:rsidRPr="00A00078">
        <w:rPr>
          <w:spacing w:val="2"/>
        </w:rPr>
        <w:t>n</w:t>
      </w:r>
      <w:r w:rsidRPr="00A00078">
        <w:rPr>
          <w:spacing w:val="-1"/>
        </w:rPr>
        <w:t>a</w:t>
      </w:r>
      <w:r w:rsidRPr="00A00078">
        <w:t>n</w:t>
      </w:r>
      <w:r w:rsidRPr="00A00078">
        <w:rPr>
          <w:spacing w:val="-1"/>
        </w:rPr>
        <w:t>c</w:t>
      </w:r>
      <w:r w:rsidRPr="00A00078">
        <w:t>i</w:t>
      </w:r>
      <w:r w:rsidRPr="00A00078">
        <w:rPr>
          <w:spacing w:val="-1"/>
        </w:rPr>
        <w:t>a</w:t>
      </w:r>
      <w:r w:rsidRPr="00A00078">
        <w:t xml:space="preserve">l </w:t>
      </w:r>
      <w:r w:rsidRPr="00A00078">
        <w:rPr>
          <w:spacing w:val="-2"/>
        </w:rPr>
        <w:t>B</w:t>
      </w:r>
      <w:r w:rsidRPr="00A00078">
        <w:t>usi</w:t>
      </w:r>
      <w:r w:rsidRPr="00A00078">
        <w:rPr>
          <w:spacing w:val="2"/>
        </w:rPr>
        <w:t>n</w:t>
      </w:r>
      <w:r w:rsidRPr="00A00078">
        <w:rPr>
          <w:spacing w:val="-1"/>
        </w:rPr>
        <w:t>e</w:t>
      </w:r>
      <w:r w:rsidRPr="00A00078">
        <w:t xml:space="preserve">ss </w:t>
      </w:r>
      <w:r w:rsidRPr="00A00078">
        <w:rPr>
          <w:spacing w:val="3"/>
        </w:rPr>
        <w:t>S</w:t>
      </w:r>
      <w:r w:rsidRPr="00A00078">
        <w:rPr>
          <w:spacing w:val="-5"/>
        </w:rPr>
        <w:t>y</w:t>
      </w:r>
      <w:r w:rsidRPr="00A00078">
        <w:t>st</w:t>
      </w:r>
      <w:r w:rsidRPr="00A00078">
        <w:rPr>
          <w:spacing w:val="-1"/>
        </w:rPr>
        <w:t>e</w:t>
      </w:r>
      <w:r w:rsidRPr="00A00078">
        <w:t>m</w:t>
      </w:r>
      <w:r w:rsidRPr="00D80F76">
        <w:t>s</w:t>
      </w:r>
      <w:r w:rsidRPr="00A00078">
        <w:t xml:space="preserve"> </w:t>
      </w:r>
      <w:r>
        <w:t xml:space="preserve">section </w:t>
      </w:r>
      <w:r w:rsidRPr="00A00078">
        <w:t>is</w:t>
      </w:r>
      <w:r w:rsidRPr="00A00078">
        <w:rPr>
          <w:spacing w:val="-1"/>
        </w:rPr>
        <w:t xml:space="preserve"> </w:t>
      </w:r>
      <w:r w:rsidRPr="00A00078">
        <w:rPr>
          <w:spacing w:val="1"/>
        </w:rPr>
        <w:t>r</w:t>
      </w:r>
      <w:r w:rsidRPr="00A00078">
        <w:rPr>
          <w:spacing w:val="-1"/>
        </w:rPr>
        <w:t>e</w:t>
      </w:r>
      <w:r w:rsidRPr="00A00078">
        <w:t>sp</w:t>
      </w:r>
      <w:r w:rsidRPr="00A00078">
        <w:rPr>
          <w:spacing w:val="2"/>
        </w:rPr>
        <w:t>o</w:t>
      </w:r>
      <w:r w:rsidRPr="00A00078">
        <w:t>nsible</w:t>
      </w:r>
      <w:r w:rsidRPr="00A00078">
        <w:rPr>
          <w:spacing w:val="-1"/>
        </w:rPr>
        <w:t xml:space="preserve"> f</w:t>
      </w:r>
      <w:r w:rsidRPr="00A00078">
        <w:t>or</w:t>
      </w:r>
      <w:r w:rsidRPr="00A00078">
        <w:rPr>
          <w:spacing w:val="-1"/>
        </w:rPr>
        <w:t xml:space="preserve"> </w:t>
      </w:r>
      <w:r w:rsidRPr="00A00078">
        <w:t>p</w:t>
      </w:r>
      <w:r w:rsidRPr="00A00078">
        <w:rPr>
          <w:spacing w:val="-1"/>
        </w:rPr>
        <w:t>r</w:t>
      </w:r>
      <w:r w:rsidRPr="00A00078">
        <w:t xml:space="preserve">oviding </w:t>
      </w:r>
      <w:r>
        <w:t xml:space="preserve">and supporting </w:t>
      </w:r>
      <w:r>
        <w:rPr>
          <w:spacing w:val="-1"/>
        </w:rPr>
        <w:t>financial</w:t>
      </w:r>
      <w:r w:rsidRPr="00A00078">
        <w:t xml:space="preserve"> </w:t>
      </w:r>
      <w:r w:rsidRPr="00A00078">
        <w:rPr>
          <w:spacing w:val="5"/>
        </w:rPr>
        <w:t>s</w:t>
      </w:r>
      <w:r w:rsidRPr="00A00078">
        <w:rPr>
          <w:spacing w:val="-5"/>
        </w:rPr>
        <w:t>y</w:t>
      </w:r>
      <w:r w:rsidRPr="00A00078">
        <w:t>st</w:t>
      </w:r>
      <w:r w:rsidRPr="00A00078">
        <w:rPr>
          <w:spacing w:val="1"/>
        </w:rPr>
        <w:t>e</w:t>
      </w:r>
      <w:r w:rsidRPr="00A00078">
        <w:t>m</w:t>
      </w:r>
      <w:r>
        <w:t xml:space="preserve">s for statewide use; specifically, </w:t>
      </w:r>
      <w:r w:rsidRPr="00A00078">
        <w:t>the maintenance</w:t>
      </w:r>
      <w:r w:rsidRPr="00A00078">
        <w:rPr>
          <w:spacing w:val="1"/>
        </w:rPr>
        <w:t xml:space="preserve"> </w:t>
      </w:r>
      <w:r w:rsidRPr="00A00078">
        <w:rPr>
          <w:spacing w:val="-1"/>
        </w:rPr>
        <w:t>a</w:t>
      </w:r>
      <w:r w:rsidRPr="00A00078">
        <w:t>nd imp</w:t>
      </w:r>
      <w:r w:rsidRPr="00A00078">
        <w:rPr>
          <w:spacing w:val="-1"/>
        </w:rPr>
        <w:t>r</w:t>
      </w:r>
      <w:r w:rsidRPr="00A00078">
        <w:t>o</w:t>
      </w:r>
      <w:r w:rsidRPr="00A00078">
        <w:rPr>
          <w:spacing w:val="2"/>
        </w:rPr>
        <w:t>v</w:t>
      </w:r>
      <w:r w:rsidRPr="00A00078">
        <w:rPr>
          <w:spacing w:val="-1"/>
        </w:rPr>
        <w:t>e</w:t>
      </w:r>
      <w:r w:rsidRPr="00A00078">
        <w:t>m</w:t>
      </w:r>
      <w:r w:rsidRPr="00A00078">
        <w:rPr>
          <w:spacing w:val="-1"/>
        </w:rPr>
        <w:t>e</w:t>
      </w:r>
      <w:r w:rsidRPr="00A00078">
        <w:t xml:space="preserve">nt </w:t>
      </w:r>
      <w:r>
        <w:rPr>
          <w:spacing w:val="-3"/>
        </w:rPr>
        <w:t xml:space="preserve">of </w:t>
      </w:r>
      <w:r w:rsidRPr="00A00078">
        <w:t>the</w:t>
      </w:r>
      <w:r w:rsidRPr="00A00078">
        <w:rPr>
          <w:spacing w:val="-1"/>
        </w:rPr>
        <w:t xml:space="preserve"> </w:t>
      </w:r>
      <w:r w:rsidRPr="00A00078">
        <w:t>St</w:t>
      </w:r>
      <w:r w:rsidRPr="00A00078">
        <w:rPr>
          <w:spacing w:val="-1"/>
        </w:rPr>
        <w:t>a</w:t>
      </w:r>
      <w:r w:rsidRPr="00A00078">
        <w:t>t</w:t>
      </w:r>
      <w:r w:rsidRPr="00A00078">
        <w:rPr>
          <w:spacing w:val="-1"/>
        </w:rPr>
        <w:t>ew</w:t>
      </w:r>
      <w:r w:rsidRPr="00A00078">
        <w:t>ide</w:t>
      </w:r>
      <w:r w:rsidRPr="00A00078">
        <w:rPr>
          <w:spacing w:val="-1"/>
        </w:rPr>
        <w:t xml:space="preserve"> </w:t>
      </w:r>
      <w:r w:rsidRPr="00A00078">
        <w:rPr>
          <w:spacing w:val="-2"/>
        </w:rPr>
        <w:t>F</w:t>
      </w:r>
      <w:r w:rsidRPr="00A00078">
        <w:t>in</w:t>
      </w:r>
      <w:r w:rsidRPr="00A00078">
        <w:rPr>
          <w:spacing w:val="-1"/>
        </w:rPr>
        <w:t>a</w:t>
      </w:r>
      <w:r w:rsidRPr="00A00078">
        <w:rPr>
          <w:spacing w:val="2"/>
        </w:rPr>
        <w:t>n</w:t>
      </w:r>
      <w:r w:rsidRPr="00A00078">
        <w:rPr>
          <w:spacing w:val="-1"/>
        </w:rPr>
        <w:t>c</w:t>
      </w:r>
      <w:r w:rsidRPr="00A00078">
        <w:t>i</w:t>
      </w:r>
      <w:r w:rsidRPr="00A00078">
        <w:rPr>
          <w:spacing w:val="-1"/>
        </w:rPr>
        <w:t>a</w:t>
      </w:r>
      <w:r w:rsidRPr="00A00078">
        <w:t>l M</w:t>
      </w:r>
      <w:r w:rsidRPr="00A00078">
        <w:rPr>
          <w:spacing w:val="-1"/>
        </w:rPr>
        <w:t>a</w:t>
      </w:r>
      <w:r w:rsidRPr="00A00078">
        <w:t>n</w:t>
      </w:r>
      <w:r w:rsidRPr="00A00078">
        <w:rPr>
          <w:spacing w:val="1"/>
        </w:rPr>
        <w:t>a</w:t>
      </w:r>
      <w:r w:rsidRPr="00A00078">
        <w:rPr>
          <w:spacing w:val="-3"/>
        </w:rPr>
        <w:t>g</w:t>
      </w:r>
      <w:r w:rsidRPr="00A00078">
        <w:rPr>
          <w:spacing w:val="-1"/>
        </w:rPr>
        <w:t>e</w:t>
      </w:r>
      <w:r w:rsidRPr="00A00078">
        <w:rPr>
          <w:spacing w:val="2"/>
        </w:rPr>
        <w:t>m</w:t>
      </w:r>
      <w:r w:rsidRPr="00A00078">
        <w:rPr>
          <w:spacing w:val="-1"/>
        </w:rPr>
        <w:t>e</w:t>
      </w:r>
      <w:r w:rsidRPr="00A00078">
        <w:t xml:space="preserve">nt </w:t>
      </w:r>
      <w:r w:rsidRPr="00A00078">
        <w:rPr>
          <w:spacing w:val="-1"/>
        </w:rPr>
        <w:t>A</w:t>
      </w:r>
      <w:r w:rsidRPr="00A00078">
        <w:t>ppli</w:t>
      </w:r>
      <w:r w:rsidRPr="00A00078">
        <w:rPr>
          <w:spacing w:val="1"/>
        </w:rPr>
        <w:t>c</w:t>
      </w:r>
      <w:r w:rsidRPr="00A00078">
        <w:rPr>
          <w:spacing w:val="-1"/>
        </w:rPr>
        <w:t>a</w:t>
      </w:r>
      <w:r w:rsidRPr="00A00078">
        <w:t xml:space="preserve">tion </w:t>
      </w:r>
      <w:r w:rsidRPr="00A00078">
        <w:rPr>
          <w:spacing w:val="-1"/>
        </w:rPr>
        <w:t>(</w:t>
      </w:r>
      <w:r w:rsidRPr="00A00078">
        <w:t>S</w:t>
      </w:r>
      <w:r w:rsidRPr="00A00078">
        <w:rPr>
          <w:spacing w:val="-2"/>
        </w:rPr>
        <w:t>F</w:t>
      </w:r>
      <w:r w:rsidRPr="00A00078">
        <w:t>M</w:t>
      </w:r>
      <w:r w:rsidRPr="00A00078">
        <w:rPr>
          <w:spacing w:val="-1"/>
        </w:rPr>
        <w:t>A)</w:t>
      </w:r>
      <w:r w:rsidRPr="00A00078">
        <w:t xml:space="preserve"> </w:t>
      </w:r>
      <w:r>
        <w:t xml:space="preserve">and </w:t>
      </w:r>
      <w:r w:rsidRPr="00A00078">
        <w:t>t</w:t>
      </w:r>
      <w:r w:rsidRPr="00A00078">
        <w:rPr>
          <w:spacing w:val="2"/>
        </w:rPr>
        <w:t>h</w:t>
      </w:r>
      <w:r w:rsidRPr="00A00078">
        <w:t xml:space="preserve">e </w:t>
      </w:r>
      <w:r w:rsidRPr="00A00078">
        <w:rPr>
          <w:spacing w:val="-1"/>
        </w:rPr>
        <w:t>Da</w:t>
      </w:r>
      <w:r w:rsidRPr="00A00078">
        <w:t>t</w:t>
      </w:r>
      <w:r w:rsidRPr="00A00078">
        <w:rPr>
          <w:spacing w:val="-1"/>
        </w:rPr>
        <w:t>a</w:t>
      </w:r>
      <w:r w:rsidRPr="00A00078">
        <w:t>m</w:t>
      </w:r>
      <w:r w:rsidRPr="00A00078">
        <w:rPr>
          <w:spacing w:val="-1"/>
        </w:rPr>
        <w:t>ar</w:t>
      </w:r>
      <w:r w:rsidRPr="00A00078">
        <w:t>t</w:t>
      </w:r>
      <w:r>
        <w:t>.</w:t>
      </w:r>
      <w:r w:rsidRPr="00A00078">
        <w:t xml:space="preserve"> </w:t>
      </w:r>
    </w:p>
    <w:p w14:paraId="331E1952" w14:textId="77777777" w:rsidR="00F80E94" w:rsidRPr="000D1B3C" w:rsidRDefault="00F80E94" w:rsidP="00F25900">
      <w:pPr>
        <w:pStyle w:val="ListBullet"/>
        <w:numPr>
          <w:ilvl w:val="0"/>
          <w:numId w:val="24"/>
        </w:numPr>
        <w:ind w:right="18"/>
        <w:rPr>
          <w:rFonts w:asciiTheme="minorHAnsi" w:hAnsiTheme="minorHAnsi"/>
          <w:sz w:val="24"/>
          <w:szCs w:val="24"/>
        </w:rPr>
      </w:pPr>
      <w:r w:rsidRPr="000D1B3C">
        <w:rPr>
          <w:rFonts w:asciiTheme="minorHAnsi" w:hAnsiTheme="minorHAnsi"/>
          <w:b/>
          <w:sz w:val="24"/>
          <w:szCs w:val="24"/>
        </w:rPr>
        <w:t>Statewide Financial Management Services (SFMS):</w:t>
      </w:r>
      <w:r w:rsidRPr="000D1B3C">
        <w:rPr>
          <w:rFonts w:asciiTheme="minorHAnsi" w:hAnsiTheme="minorHAnsi"/>
          <w:sz w:val="24"/>
          <w:szCs w:val="24"/>
        </w:rPr>
        <w:t xml:space="preserve"> Charges for this service include agency support analysts and the accounting and programming staff needed to maintain and improve the functionality of the Statewide Financial Management Application (SFMA). Data Center Services bills the section for the mainframe computer time to update financial information and generate reports. These charges are a substantial portion of this section’s costs. The rate methodology used for charging customers for SFMS services is the projected full biennium SFMS program cost divided by the estimated biennial total number of accounting records to calculate a cost/accounting record rate. An agency’s charges are calculated based on the number of accounting records the agency generated during the prior quarter. The current definition of accounting records includes transactions that affect each line of data on the following tables: Accounting Event, Document Financial, Grant, and Recurring Transaction Index.</w:t>
      </w:r>
    </w:p>
    <w:p w14:paraId="24BE3329" w14:textId="77777777" w:rsidR="00F80E94" w:rsidRPr="000D1B3C" w:rsidRDefault="00F80E94" w:rsidP="00F25900">
      <w:pPr>
        <w:pStyle w:val="ListBullet"/>
        <w:numPr>
          <w:ilvl w:val="0"/>
          <w:numId w:val="24"/>
        </w:numPr>
        <w:ind w:right="18"/>
        <w:rPr>
          <w:rFonts w:asciiTheme="minorHAnsi" w:hAnsiTheme="minorHAnsi"/>
          <w:sz w:val="24"/>
          <w:szCs w:val="24"/>
        </w:rPr>
      </w:pPr>
      <w:r w:rsidRPr="000D1B3C">
        <w:rPr>
          <w:rFonts w:asciiTheme="minorHAnsi" w:hAnsiTheme="minorHAnsi"/>
          <w:b/>
          <w:sz w:val="24"/>
          <w:szCs w:val="24"/>
        </w:rPr>
        <w:lastRenderedPageBreak/>
        <w:t xml:space="preserve">Datamart – Accounting and Payroll: </w:t>
      </w:r>
      <w:r w:rsidRPr="000D1B3C">
        <w:rPr>
          <w:rFonts w:asciiTheme="minorHAnsi" w:hAnsiTheme="minorHAnsi"/>
          <w:sz w:val="24"/>
          <w:szCs w:val="24"/>
        </w:rPr>
        <w:t>Charges for this function include the cost of downloading and storing accounting and payroll data from the mainframe applications to the data warehouse, vendor support, and staff costs associated with agency support, training, system development and consultation. The rate methodology used for charging customers is the projected full biennium Datamart program cost divided by the estimated biennial total number of accounting records to calculate a cost/accounting record rate. An agency’s Datamart charge is based on the number of accounting records the agency generated during the prior quarter.</w:t>
      </w:r>
    </w:p>
    <w:p w14:paraId="2FBD739A" w14:textId="77777777" w:rsidR="00F80E94" w:rsidRPr="000D1B3C" w:rsidRDefault="00F80E94" w:rsidP="00F25900">
      <w:pPr>
        <w:pStyle w:val="ListBullet"/>
        <w:numPr>
          <w:ilvl w:val="0"/>
          <w:numId w:val="24"/>
        </w:numPr>
        <w:ind w:right="18"/>
        <w:rPr>
          <w:rFonts w:asciiTheme="minorHAnsi" w:hAnsiTheme="minorHAnsi"/>
          <w:sz w:val="24"/>
          <w:szCs w:val="24"/>
        </w:rPr>
      </w:pPr>
      <w:r w:rsidRPr="000D1B3C">
        <w:rPr>
          <w:rFonts w:asciiTheme="minorHAnsi" w:hAnsiTheme="minorHAnsi"/>
          <w:b/>
          <w:sz w:val="24"/>
          <w:szCs w:val="24"/>
        </w:rPr>
        <w:t>SFMA Warrants and Return to Agency Warrants:</w:t>
      </w:r>
      <w:r w:rsidRPr="000D1B3C">
        <w:rPr>
          <w:rFonts w:asciiTheme="minorHAnsi" w:hAnsiTheme="minorHAnsi"/>
          <w:sz w:val="24"/>
          <w:szCs w:val="24"/>
        </w:rPr>
        <w:t xml:space="preserve"> The cost for warrants includes the cost for internal controls, warrant reconciliation, distribution of information, maintenance of the vendor file, vendor withholding, 1099 training, filing, printing and mailing. The rate methodology used for charging customers is the projected full biennium Warrant and Return to Agency Warrant program cost for agencies divided by the estimated biennial total number of Warrants and Return to Agency Warrants reported. This calculates a cost per warrant rate.</w:t>
      </w:r>
    </w:p>
    <w:p w14:paraId="1208AE45" w14:textId="77777777" w:rsidR="00F80E94" w:rsidRPr="000D1B3C" w:rsidRDefault="00F80E94" w:rsidP="00F25900">
      <w:pPr>
        <w:pStyle w:val="ListBullet"/>
        <w:numPr>
          <w:ilvl w:val="0"/>
          <w:numId w:val="24"/>
        </w:numPr>
        <w:ind w:right="18"/>
        <w:rPr>
          <w:rFonts w:asciiTheme="minorHAnsi" w:hAnsiTheme="minorHAnsi"/>
          <w:sz w:val="24"/>
          <w:szCs w:val="24"/>
        </w:rPr>
      </w:pPr>
      <w:r w:rsidRPr="000D1B3C">
        <w:rPr>
          <w:rFonts w:asciiTheme="minorHAnsi" w:hAnsiTheme="minorHAnsi"/>
          <w:b/>
          <w:sz w:val="24"/>
          <w:szCs w:val="24"/>
        </w:rPr>
        <w:t>SFMA Automated Clearing House (ACH):</w:t>
      </w:r>
      <w:r w:rsidRPr="000D1B3C">
        <w:rPr>
          <w:rFonts w:asciiTheme="minorHAnsi" w:hAnsiTheme="minorHAnsi"/>
          <w:sz w:val="24"/>
          <w:szCs w:val="24"/>
        </w:rPr>
        <w:t xml:space="preserve"> The cost for ACH services includes the cost for internal controls, reconciliation, distribution of information, maintenance of the vendor file, vendor withholding, 1099 training, filing and Treasury fees. The ACH rate takes into consideration that there is no printing or mailing of vendor payment or back-up information. The rate methodology used for charging customers is the projected full biennium ACH program cost for agencies divided by the estimated biennial total number of ACH records reported. This calculates a cost per ACH record rate. </w:t>
      </w:r>
    </w:p>
    <w:p w14:paraId="72123FF1" w14:textId="77777777" w:rsidR="00F80E94" w:rsidRPr="000D1B3C" w:rsidRDefault="00F80E94" w:rsidP="00F25900">
      <w:pPr>
        <w:pStyle w:val="ListBullet"/>
        <w:numPr>
          <w:ilvl w:val="0"/>
          <w:numId w:val="24"/>
        </w:numPr>
        <w:rPr>
          <w:rFonts w:asciiTheme="minorHAnsi" w:hAnsiTheme="minorHAnsi"/>
          <w:b/>
          <w:sz w:val="24"/>
          <w:szCs w:val="24"/>
        </w:rPr>
      </w:pPr>
      <w:r w:rsidRPr="000D1B3C">
        <w:rPr>
          <w:rFonts w:asciiTheme="minorHAnsi" w:hAnsiTheme="minorHAnsi"/>
          <w:b/>
          <w:sz w:val="24"/>
          <w:szCs w:val="24"/>
        </w:rPr>
        <w:t xml:space="preserve">Non-routine/infrequent activities: </w:t>
      </w:r>
      <w:r w:rsidRPr="000D1B3C">
        <w:rPr>
          <w:rFonts w:asciiTheme="minorHAnsi" w:hAnsiTheme="minorHAnsi"/>
          <w:sz w:val="24"/>
          <w:szCs w:val="24"/>
        </w:rPr>
        <w:t>FBS encounters two non-routine, infrequent activities (listed below) that require charging FBS customers. These typically represent a very marginal source of revenue for FBS. The two activities have the potential of causing FBS to incur significant costs. They are identified here to ensure that customers know that if they request FBS to perform these services there will be a charge.</w:t>
      </w:r>
    </w:p>
    <w:p w14:paraId="412BE734" w14:textId="77777777" w:rsidR="00F80E94" w:rsidRPr="000D1B3C" w:rsidRDefault="00F80E94" w:rsidP="00F25900">
      <w:pPr>
        <w:pStyle w:val="ListBullet"/>
        <w:numPr>
          <w:ilvl w:val="0"/>
          <w:numId w:val="24"/>
        </w:numPr>
        <w:rPr>
          <w:rFonts w:asciiTheme="minorHAnsi" w:hAnsiTheme="minorHAnsi"/>
          <w:sz w:val="24"/>
          <w:szCs w:val="24"/>
        </w:rPr>
      </w:pPr>
      <w:r w:rsidRPr="000D1B3C">
        <w:rPr>
          <w:rFonts w:asciiTheme="minorHAnsi" w:hAnsiTheme="minorHAnsi"/>
          <w:b/>
          <w:sz w:val="24"/>
          <w:szCs w:val="24"/>
        </w:rPr>
        <w:t xml:space="preserve">Extraordinary Service Requirements: </w:t>
      </w:r>
      <w:r w:rsidRPr="000D1B3C">
        <w:rPr>
          <w:rFonts w:asciiTheme="minorHAnsi" w:hAnsiTheme="minorHAnsi"/>
          <w:sz w:val="24"/>
          <w:szCs w:val="24"/>
        </w:rPr>
        <w:t xml:space="preserve">At times agencies have need for a level of service that falls outside of the normal/routine service requirements. These services represent re-work, research, problem resolution and corrective actions at a level of complexity that agencies believe is beyond the ability or authority of </w:t>
      </w:r>
      <w:proofErr w:type="gramStart"/>
      <w:r w:rsidRPr="000D1B3C">
        <w:rPr>
          <w:rFonts w:asciiTheme="minorHAnsi" w:hAnsiTheme="minorHAnsi"/>
          <w:sz w:val="24"/>
          <w:szCs w:val="24"/>
        </w:rPr>
        <w:t>its</w:t>
      </w:r>
      <w:proofErr w:type="gramEnd"/>
      <w:r w:rsidRPr="000D1B3C">
        <w:rPr>
          <w:rFonts w:asciiTheme="minorHAnsi" w:hAnsiTheme="minorHAnsi"/>
          <w:sz w:val="24"/>
          <w:szCs w:val="24"/>
        </w:rPr>
        <w:t xml:space="preserve"> payroll or accounting staff to perform effectively and timely. This level of problem resolution may take several hours to accomplish and may require the services of </w:t>
      </w:r>
      <w:r w:rsidRPr="000D1B3C">
        <w:rPr>
          <w:rFonts w:asciiTheme="minorHAnsi" w:hAnsiTheme="minorHAnsi"/>
          <w:sz w:val="24"/>
          <w:szCs w:val="24"/>
        </w:rPr>
        <w:lastRenderedPageBreak/>
        <w:t xml:space="preserve">technical, accounting and programmer staff to correct the data or allow appropriate system functionality. FBS will seek management approval from the </w:t>
      </w:r>
      <w:proofErr w:type="gramStart"/>
      <w:r w:rsidRPr="000D1B3C">
        <w:rPr>
          <w:rFonts w:asciiTheme="minorHAnsi" w:hAnsiTheme="minorHAnsi"/>
          <w:sz w:val="24"/>
          <w:szCs w:val="24"/>
        </w:rPr>
        <w:t>requesting</w:t>
      </w:r>
      <w:proofErr w:type="gramEnd"/>
      <w:r w:rsidRPr="000D1B3C">
        <w:rPr>
          <w:rFonts w:asciiTheme="minorHAnsi" w:hAnsiTheme="minorHAnsi"/>
          <w:sz w:val="24"/>
          <w:szCs w:val="24"/>
        </w:rPr>
        <w:t xml:space="preserve"> agency for the cost of this work before it is performed. </w:t>
      </w:r>
    </w:p>
    <w:p w14:paraId="4C518A09" w14:textId="77777777" w:rsidR="00F80E94" w:rsidRPr="000D1B3C" w:rsidRDefault="00F80E94" w:rsidP="00F25900">
      <w:pPr>
        <w:pStyle w:val="ListBullet"/>
        <w:numPr>
          <w:ilvl w:val="0"/>
          <w:numId w:val="24"/>
        </w:numPr>
        <w:spacing w:after="240"/>
        <w:rPr>
          <w:rFonts w:asciiTheme="minorHAnsi" w:hAnsiTheme="minorHAnsi"/>
          <w:sz w:val="24"/>
          <w:szCs w:val="24"/>
        </w:rPr>
      </w:pPr>
      <w:r w:rsidRPr="000D1B3C">
        <w:rPr>
          <w:rFonts w:asciiTheme="minorHAnsi" w:hAnsiTheme="minorHAnsi"/>
          <w:b/>
          <w:sz w:val="24"/>
          <w:szCs w:val="24"/>
        </w:rPr>
        <w:t>SFMA Generated Payment File for Vendor Payment Services:</w:t>
      </w:r>
      <w:r w:rsidRPr="000D1B3C">
        <w:rPr>
          <w:rFonts w:asciiTheme="minorHAnsi" w:hAnsiTheme="minorHAnsi"/>
          <w:sz w:val="24"/>
          <w:szCs w:val="24"/>
        </w:rPr>
        <w:t xml:space="preserve"> FBS bills agencies for Vendor Payment Service charges when an agency contracts with a third party to provide payments to vendors and SFMA is responsible for providing vendor information and creating the 1099-MISC filing. The generation of this payment file incorporates many of the services of an ACH file including maintenance of the vendor file, vendor withholding, problem resolution, 1099 training and filing. The cost charged for this service is the same per record cost charged for the ACH process. It does not include fees negotiated between the third-party provider and the initiating agency, which are the responsibility of the initiating agency.</w:t>
      </w:r>
    </w:p>
    <w:tbl>
      <w:tblPr>
        <w:tblW w:w="8760" w:type="dxa"/>
        <w:jc w:val="center"/>
        <w:tblLayout w:type="fixed"/>
        <w:tblCellMar>
          <w:left w:w="0" w:type="dxa"/>
          <w:right w:w="0" w:type="dxa"/>
        </w:tblCellMar>
        <w:tblLook w:val="0000" w:firstRow="0" w:lastRow="0" w:firstColumn="0" w:lastColumn="0" w:noHBand="0" w:noVBand="0"/>
      </w:tblPr>
      <w:tblGrid>
        <w:gridCol w:w="6342"/>
        <w:gridCol w:w="2418"/>
      </w:tblGrid>
      <w:tr w:rsidR="00F80E94" w:rsidRPr="00646D4B" w14:paraId="24E1D332" w14:textId="77777777" w:rsidTr="004C7646">
        <w:trPr>
          <w:trHeight w:hRule="exact" w:val="721"/>
          <w:jc w:val="center"/>
        </w:trPr>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29546F" w14:textId="77777777" w:rsidR="00F80E94" w:rsidRPr="000D1B3C" w:rsidRDefault="00F80E94" w:rsidP="00306CF3">
            <w:pPr>
              <w:pStyle w:val="NoSpacing"/>
              <w:ind w:right="18"/>
              <w:jc w:val="center"/>
              <w:rPr>
                <w:b/>
              </w:rPr>
            </w:pPr>
            <w:r w:rsidRPr="000D1B3C">
              <w:rPr>
                <w:b/>
              </w:rPr>
              <w:t>Services</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990603" w14:textId="77777777" w:rsidR="00F80E94" w:rsidRPr="004C7646" w:rsidRDefault="00F80E94" w:rsidP="00306CF3">
            <w:pPr>
              <w:pStyle w:val="NoSpacing"/>
              <w:ind w:right="18"/>
              <w:jc w:val="center"/>
              <w:rPr>
                <w:b/>
              </w:rPr>
            </w:pPr>
            <w:r w:rsidRPr="004C7646">
              <w:rPr>
                <w:b/>
              </w:rPr>
              <w:t>2027-29</w:t>
            </w:r>
          </w:p>
          <w:p w14:paraId="4C8852EB" w14:textId="77777777" w:rsidR="00F80E94" w:rsidRPr="00751837" w:rsidRDefault="00F80E94" w:rsidP="00306CF3">
            <w:pPr>
              <w:pStyle w:val="NoSpacing"/>
              <w:ind w:right="18"/>
              <w:jc w:val="center"/>
              <w:rPr>
                <w:rFonts w:ascii="Roboto" w:hAnsi="Roboto"/>
                <w:b/>
              </w:rPr>
            </w:pPr>
            <w:r w:rsidRPr="004C7646">
              <w:rPr>
                <w:b/>
              </w:rPr>
              <w:t>Rate</w:t>
            </w:r>
          </w:p>
        </w:tc>
      </w:tr>
      <w:tr w:rsidR="00F80E94" w:rsidRPr="00D1186D" w14:paraId="56752DF5" w14:textId="77777777" w:rsidTr="00306CF3">
        <w:trPr>
          <w:trHeight w:hRule="exact" w:val="310"/>
          <w:jc w:val="center"/>
        </w:trPr>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6FE621" w14:textId="77777777" w:rsidR="00F80E94" w:rsidRPr="004C7646" w:rsidRDefault="00F80E94" w:rsidP="00306CF3">
            <w:pPr>
              <w:pStyle w:val="TableParagraph"/>
              <w:kinsoku w:val="0"/>
              <w:overflowPunct w:val="0"/>
              <w:spacing w:before="15"/>
              <w:ind w:left="102" w:right="18"/>
              <w:rPr>
                <w:rFonts w:asciiTheme="minorHAnsi" w:hAnsiTheme="minorHAnsi"/>
              </w:rPr>
            </w:pPr>
            <w:r w:rsidRPr="004C7646">
              <w:rPr>
                <w:rFonts w:asciiTheme="minorHAnsi" w:hAnsiTheme="minorHAnsi"/>
              </w:rPr>
              <w:t>S</w:t>
            </w:r>
            <w:r w:rsidRPr="004C7646">
              <w:rPr>
                <w:rFonts w:asciiTheme="minorHAnsi" w:hAnsiTheme="minorHAnsi"/>
                <w:spacing w:val="-2"/>
              </w:rPr>
              <w:t>F</w:t>
            </w:r>
            <w:r w:rsidRPr="004C7646">
              <w:rPr>
                <w:rFonts w:asciiTheme="minorHAnsi" w:hAnsiTheme="minorHAnsi"/>
              </w:rPr>
              <w:t xml:space="preserve">MS: Number of </w:t>
            </w:r>
            <w:r w:rsidRPr="004C7646">
              <w:rPr>
                <w:rFonts w:asciiTheme="minorHAnsi" w:hAnsiTheme="minorHAnsi"/>
                <w:spacing w:val="1"/>
              </w:rPr>
              <w:t>a</w:t>
            </w:r>
            <w:r w:rsidRPr="004C7646">
              <w:rPr>
                <w:rFonts w:asciiTheme="minorHAnsi" w:hAnsiTheme="minorHAnsi"/>
                <w:spacing w:val="-1"/>
              </w:rPr>
              <w:t>cc</w:t>
            </w:r>
            <w:r w:rsidRPr="004C7646">
              <w:rPr>
                <w:rFonts w:asciiTheme="minorHAnsi" w:hAnsiTheme="minorHAnsi"/>
              </w:rPr>
              <w:t>ounting</w:t>
            </w:r>
            <w:r w:rsidRPr="004C7646">
              <w:rPr>
                <w:rFonts w:asciiTheme="minorHAnsi" w:hAnsiTheme="minorHAnsi"/>
                <w:spacing w:val="-3"/>
              </w:rPr>
              <w:t xml:space="preserve"> </w:t>
            </w:r>
            <w:r w:rsidRPr="004C7646">
              <w:rPr>
                <w:rFonts w:asciiTheme="minorHAnsi" w:hAnsiTheme="minorHAnsi"/>
              </w:rPr>
              <w:t>r</w:t>
            </w:r>
            <w:r w:rsidRPr="004C7646">
              <w:rPr>
                <w:rFonts w:asciiTheme="minorHAnsi" w:hAnsiTheme="minorHAnsi"/>
                <w:spacing w:val="1"/>
              </w:rPr>
              <w:t>e</w:t>
            </w:r>
            <w:r w:rsidRPr="004C7646">
              <w:rPr>
                <w:rFonts w:asciiTheme="minorHAnsi" w:hAnsiTheme="minorHAnsi"/>
                <w:spacing w:val="-1"/>
              </w:rPr>
              <w:t>c</w:t>
            </w:r>
            <w:r w:rsidRPr="004C7646">
              <w:rPr>
                <w:rFonts w:asciiTheme="minorHAnsi" w:hAnsiTheme="minorHAnsi"/>
              </w:rPr>
              <w:t>o</w:t>
            </w:r>
            <w:r w:rsidRPr="004C7646">
              <w:rPr>
                <w:rFonts w:asciiTheme="minorHAnsi" w:hAnsiTheme="minorHAnsi"/>
                <w:spacing w:val="-1"/>
              </w:rPr>
              <w:t>r</w:t>
            </w:r>
            <w:r w:rsidRPr="004C7646">
              <w:rPr>
                <w:rFonts w:asciiTheme="minorHAnsi" w:hAnsiTheme="minorHAnsi"/>
              </w:rPr>
              <w:t>ds</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C45FA" w14:textId="77777777" w:rsidR="00F80E94" w:rsidRPr="004C7646" w:rsidRDefault="00F80E94" w:rsidP="00306CF3">
            <w:pPr>
              <w:pStyle w:val="TableParagraph"/>
              <w:kinsoku w:val="0"/>
              <w:overflowPunct w:val="0"/>
              <w:spacing w:before="15"/>
              <w:ind w:left="102" w:right="18"/>
              <w:jc w:val="right"/>
              <w:rPr>
                <w:rFonts w:asciiTheme="minorHAnsi" w:hAnsiTheme="minorHAnsi"/>
              </w:rPr>
            </w:pPr>
            <w:r w:rsidRPr="004C7646">
              <w:rPr>
                <w:rFonts w:asciiTheme="minorHAnsi" w:hAnsiTheme="minorHAnsi"/>
              </w:rPr>
              <w:t>$0.014 p</w:t>
            </w:r>
            <w:r w:rsidRPr="004C7646">
              <w:rPr>
                <w:rFonts w:asciiTheme="minorHAnsi" w:hAnsiTheme="minorHAnsi"/>
                <w:spacing w:val="-1"/>
              </w:rPr>
              <w:t>e</w:t>
            </w:r>
            <w:r w:rsidRPr="004C7646">
              <w:rPr>
                <w:rFonts w:asciiTheme="minorHAnsi" w:hAnsiTheme="minorHAnsi"/>
              </w:rPr>
              <w:t>r</w:t>
            </w:r>
            <w:r w:rsidRPr="004C7646">
              <w:rPr>
                <w:rFonts w:asciiTheme="minorHAnsi" w:hAnsiTheme="minorHAnsi"/>
                <w:spacing w:val="-1"/>
              </w:rPr>
              <w:t xml:space="preserve"> r</w:t>
            </w:r>
            <w:r w:rsidRPr="004C7646">
              <w:rPr>
                <w:rFonts w:asciiTheme="minorHAnsi" w:hAnsiTheme="minorHAnsi"/>
                <w:spacing w:val="1"/>
              </w:rPr>
              <w:t>e</w:t>
            </w:r>
            <w:r w:rsidRPr="004C7646">
              <w:rPr>
                <w:rFonts w:asciiTheme="minorHAnsi" w:hAnsiTheme="minorHAnsi"/>
                <w:spacing w:val="-1"/>
              </w:rPr>
              <w:t>c</w:t>
            </w:r>
            <w:r w:rsidRPr="004C7646">
              <w:rPr>
                <w:rFonts w:asciiTheme="minorHAnsi" w:hAnsiTheme="minorHAnsi"/>
              </w:rPr>
              <w:t>o</w:t>
            </w:r>
            <w:r w:rsidRPr="004C7646">
              <w:rPr>
                <w:rFonts w:asciiTheme="minorHAnsi" w:hAnsiTheme="minorHAnsi"/>
                <w:spacing w:val="-1"/>
              </w:rPr>
              <w:t>r</w:t>
            </w:r>
            <w:r w:rsidRPr="004C7646">
              <w:rPr>
                <w:rFonts w:asciiTheme="minorHAnsi" w:hAnsiTheme="minorHAnsi"/>
              </w:rPr>
              <w:t>d</w:t>
            </w:r>
          </w:p>
        </w:tc>
      </w:tr>
      <w:tr w:rsidR="00F80E94" w:rsidRPr="00D1186D" w14:paraId="415EFFFE" w14:textId="77777777" w:rsidTr="00306CF3">
        <w:trPr>
          <w:trHeight w:hRule="exact" w:val="310"/>
          <w:jc w:val="center"/>
        </w:trPr>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70FB4D" w14:textId="77777777" w:rsidR="00F80E94" w:rsidRPr="004C7646" w:rsidRDefault="00F80E94" w:rsidP="00306CF3">
            <w:pPr>
              <w:pStyle w:val="TableParagraph"/>
              <w:kinsoku w:val="0"/>
              <w:overflowPunct w:val="0"/>
              <w:spacing w:before="17"/>
              <w:ind w:left="102" w:right="18"/>
              <w:rPr>
                <w:rFonts w:asciiTheme="minorHAnsi" w:hAnsiTheme="minorHAnsi"/>
              </w:rPr>
            </w:pPr>
            <w:r w:rsidRPr="004C7646">
              <w:rPr>
                <w:rFonts w:asciiTheme="minorHAnsi" w:hAnsiTheme="minorHAnsi"/>
              </w:rPr>
              <w:t>Datamart – Accounting and Payroll:  Number of accounting records</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59702" w14:textId="77777777" w:rsidR="00F80E94" w:rsidRPr="004C7646" w:rsidRDefault="00F80E94" w:rsidP="00306CF3">
            <w:pPr>
              <w:pStyle w:val="TableParagraph"/>
              <w:kinsoku w:val="0"/>
              <w:overflowPunct w:val="0"/>
              <w:spacing w:before="17"/>
              <w:ind w:left="102" w:right="18"/>
              <w:jc w:val="right"/>
              <w:rPr>
                <w:rFonts w:asciiTheme="minorHAnsi" w:hAnsiTheme="minorHAnsi"/>
              </w:rPr>
            </w:pPr>
            <w:r w:rsidRPr="004C7646">
              <w:rPr>
                <w:rFonts w:asciiTheme="minorHAnsi" w:hAnsiTheme="minorHAnsi"/>
              </w:rPr>
              <w:t>$0.003 p</w:t>
            </w:r>
            <w:r w:rsidRPr="004C7646">
              <w:rPr>
                <w:rFonts w:asciiTheme="minorHAnsi" w:hAnsiTheme="minorHAnsi"/>
                <w:spacing w:val="-1"/>
              </w:rPr>
              <w:t>e</w:t>
            </w:r>
            <w:r w:rsidRPr="004C7646">
              <w:rPr>
                <w:rFonts w:asciiTheme="minorHAnsi" w:hAnsiTheme="minorHAnsi"/>
              </w:rPr>
              <w:t>r</w:t>
            </w:r>
            <w:r w:rsidRPr="004C7646">
              <w:rPr>
                <w:rFonts w:asciiTheme="minorHAnsi" w:hAnsiTheme="minorHAnsi"/>
                <w:spacing w:val="-1"/>
              </w:rPr>
              <w:t xml:space="preserve"> r</w:t>
            </w:r>
            <w:r w:rsidRPr="004C7646">
              <w:rPr>
                <w:rFonts w:asciiTheme="minorHAnsi" w:hAnsiTheme="minorHAnsi"/>
                <w:spacing w:val="1"/>
              </w:rPr>
              <w:t>e</w:t>
            </w:r>
            <w:r w:rsidRPr="004C7646">
              <w:rPr>
                <w:rFonts w:asciiTheme="minorHAnsi" w:hAnsiTheme="minorHAnsi"/>
                <w:spacing w:val="-1"/>
              </w:rPr>
              <w:t>c</w:t>
            </w:r>
            <w:r w:rsidRPr="004C7646">
              <w:rPr>
                <w:rFonts w:asciiTheme="minorHAnsi" w:hAnsiTheme="minorHAnsi"/>
              </w:rPr>
              <w:t>o</w:t>
            </w:r>
            <w:r w:rsidRPr="004C7646">
              <w:rPr>
                <w:rFonts w:asciiTheme="minorHAnsi" w:hAnsiTheme="minorHAnsi"/>
                <w:spacing w:val="-1"/>
              </w:rPr>
              <w:t>r</w:t>
            </w:r>
            <w:r w:rsidRPr="004C7646">
              <w:rPr>
                <w:rFonts w:asciiTheme="minorHAnsi" w:hAnsiTheme="minorHAnsi"/>
              </w:rPr>
              <w:t>d</w:t>
            </w:r>
          </w:p>
        </w:tc>
      </w:tr>
      <w:tr w:rsidR="00F80E94" w:rsidRPr="00D1186D" w14:paraId="2781F72D" w14:textId="77777777" w:rsidTr="00306CF3">
        <w:trPr>
          <w:trHeight w:hRule="exact" w:val="310"/>
          <w:jc w:val="center"/>
        </w:trPr>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8F8C10" w14:textId="77777777" w:rsidR="00F80E94" w:rsidRPr="004C7646" w:rsidRDefault="00F80E94" w:rsidP="00306CF3">
            <w:pPr>
              <w:pStyle w:val="TableParagraph"/>
              <w:kinsoku w:val="0"/>
              <w:overflowPunct w:val="0"/>
              <w:spacing w:before="15"/>
              <w:ind w:left="102" w:right="18"/>
              <w:rPr>
                <w:rFonts w:asciiTheme="minorHAnsi" w:hAnsiTheme="minorHAnsi"/>
              </w:rPr>
            </w:pPr>
            <w:r w:rsidRPr="004C7646">
              <w:rPr>
                <w:rFonts w:asciiTheme="minorHAnsi" w:hAnsiTheme="minorHAnsi"/>
                <w:spacing w:val="1"/>
              </w:rPr>
              <w:t>SFMA W</w:t>
            </w:r>
            <w:r w:rsidRPr="004C7646">
              <w:rPr>
                <w:rFonts w:asciiTheme="minorHAnsi" w:hAnsiTheme="minorHAnsi"/>
                <w:spacing w:val="-1"/>
              </w:rPr>
              <w:t>arra</w:t>
            </w:r>
            <w:r w:rsidRPr="004C7646">
              <w:rPr>
                <w:rFonts w:asciiTheme="minorHAnsi" w:hAnsiTheme="minorHAnsi"/>
              </w:rPr>
              <w:t>nts and R</w:t>
            </w:r>
            <w:r w:rsidRPr="004C7646">
              <w:rPr>
                <w:rFonts w:asciiTheme="minorHAnsi" w:hAnsiTheme="minorHAnsi"/>
                <w:spacing w:val="-1"/>
              </w:rPr>
              <w:t>e</w:t>
            </w:r>
            <w:r w:rsidRPr="004C7646">
              <w:rPr>
                <w:rFonts w:asciiTheme="minorHAnsi" w:hAnsiTheme="minorHAnsi"/>
              </w:rPr>
              <w:t>tu</w:t>
            </w:r>
            <w:r w:rsidRPr="004C7646">
              <w:rPr>
                <w:rFonts w:asciiTheme="minorHAnsi" w:hAnsiTheme="minorHAnsi"/>
                <w:spacing w:val="-1"/>
              </w:rPr>
              <w:t>r</w:t>
            </w:r>
            <w:r w:rsidRPr="004C7646">
              <w:rPr>
                <w:rFonts w:asciiTheme="minorHAnsi" w:hAnsiTheme="minorHAnsi"/>
              </w:rPr>
              <w:t>n to Ag</w:t>
            </w:r>
            <w:r w:rsidRPr="004C7646">
              <w:rPr>
                <w:rFonts w:asciiTheme="minorHAnsi" w:hAnsiTheme="minorHAnsi"/>
                <w:spacing w:val="-1"/>
              </w:rPr>
              <w:t>e</w:t>
            </w:r>
            <w:r w:rsidRPr="004C7646">
              <w:rPr>
                <w:rFonts w:asciiTheme="minorHAnsi" w:hAnsiTheme="minorHAnsi"/>
              </w:rPr>
              <w:t>n</w:t>
            </w:r>
            <w:r w:rsidRPr="004C7646">
              <w:rPr>
                <w:rFonts w:asciiTheme="minorHAnsi" w:hAnsiTheme="minorHAnsi"/>
                <w:spacing w:val="3"/>
              </w:rPr>
              <w:t>c</w:t>
            </w:r>
            <w:r w:rsidRPr="004C7646">
              <w:rPr>
                <w:rFonts w:asciiTheme="minorHAnsi" w:hAnsiTheme="minorHAnsi"/>
              </w:rPr>
              <w:t>y</w:t>
            </w:r>
            <w:r w:rsidRPr="004C7646">
              <w:rPr>
                <w:rFonts w:asciiTheme="minorHAnsi" w:hAnsiTheme="minorHAnsi"/>
                <w:spacing w:val="-5"/>
              </w:rPr>
              <w:t xml:space="preserve"> W</w:t>
            </w:r>
            <w:r w:rsidRPr="004C7646">
              <w:rPr>
                <w:rFonts w:asciiTheme="minorHAnsi" w:hAnsiTheme="minorHAnsi"/>
                <w:spacing w:val="-1"/>
              </w:rPr>
              <w:t>ar</w:t>
            </w:r>
            <w:r w:rsidRPr="004C7646">
              <w:rPr>
                <w:rFonts w:asciiTheme="minorHAnsi" w:hAnsiTheme="minorHAnsi"/>
                <w:spacing w:val="1"/>
              </w:rPr>
              <w:t>r</w:t>
            </w:r>
            <w:r w:rsidRPr="004C7646">
              <w:rPr>
                <w:rFonts w:asciiTheme="minorHAnsi" w:hAnsiTheme="minorHAnsi"/>
                <w:spacing w:val="-1"/>
              </w:rPr>
              <w:t>a</w:t>
            </w:r>
            <w:r w:rsidRPr="004C7646">
              <w:rPr>
                <w:rFonts w:asciiTheme="minorHAnsi" w:hAnsiTheme="minorHAnsi"/>
              </w:rPr>
              <w:t>nts: Number of warrants</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FD2505" w14:textId="77777777" w:rsidR="00F80E94" w:rsidRPr="004C7646" w:rsidRDefault="00F80E94" w:rsidP="00306CF3">
            <w:pPr>
              <w:pStyle w:val="TableParagraph"/>
              <w:kinsoku w:val="0"/>
              <w:overflowPunct w:val="0"/>
              <w:spacing w:before="15"/>
              <w:ind w:left="102" w:right="18"/>
              <w:jc w:val="right"/>
              <w:rPr>
                <w:rFonts w:asciiTheme="minorHAnsi" w:hAnsiTheme="minorHAnsi"/>
              </w:rPr>
            </w:pPr>
            <w:r w:rsidRPr="004C7646">
              <w:rPr>
                <w:rFonts w:asciiTheme="minorHAnsi" w:hAnsiTheme="minorHAnsi"/>
              </w:rPr>
              <w:t>$2.11/</w:t>
            </w:r>
            <w:r w:rsidRPr="004C7646">
              <w:rPr>
                <w:rFonts w:asciiTheme="minorHAnsi" w:hAnsiTheme="minorHAnsi"/>
                <w:spacing w:val="-1"/>
              </w:rPr>
              <w:t>eac</w:t>
            </w:r>
            <w:r w:rsidRPr="004C7646">
              <w:rPr>
                <w:rFonts w:asciiTheme="minorHAnsi" w:hAnsiTheme="minorHAnsi"/>
              </w:rPr>
              <w:t>h</w:t>
            </w:r>
          </w:p>
        </w:tc>
      </w:tr>
      <w:tr w:rsidR="00F80E94" w:rsidRPr="00D1186D" w14:paraId="03013C2B" w14:textId="77777777" w:rsidTr="00306CF3">
        <w:trPr>
          <w:trHeight w:hRule="exact" w:val="310"/>
          <w:jc w:val="center"/>
        </w:trPr>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F44254" w14:textId="77777777" w:rsidR="00F80E94" w:rsidRPr="004C7646" w:rsidRDefault="00F80E94" w:rsidP="00306CF3">
            <w:pPr>
              <w:pStyle w:val="TableParagraph"/>
              <w:kinsoku w:val="0"/>
              <w:overflowPunct w:val="0"/>
              <w:spacing w:before="15"/>
              <w:ind w:left="102" w:right="18"/>
              <w:rPr>
                <w:rFonts w:asciiTheme="minorHAnsi" w:hAnsiTheme="minorHAnsi"/>
              </w:rPr>
            </w:pPr>
            <w:r w:rsidRPr="004C7646">
              <w:rPr>
                <w:rFonts w:asciiTheme="minorHAnsi" w:hAnsiTheme="minorHAnsi"/>
              </w:rPr>
              <w:t>SFMA ACH: Number of S</w:t>
            </w:r>
            <w:r w:rsidRPr="004C7646">
              <w:rPr>
                <w:rFonts w:asciiTheme="minorHAnsi" w:hAnsiTheme="minorHAnsi"/>
                <w:spacing w:val="-2"/>
              </w:rPr>
              <w:t>F</w:t>
            </w:r>
            <w:r w:rsidRPr="004C7646">
              <w:rPr>
                <w:rFonts w:asciiTheme="minorHAnsi" w:hAnsiTheme="minorHAnsi"/>
              </w:rPr>
              <w:t>MA</w:t>
            </w:r>
            <w:r w:rsidRPr="004C7646">
              <w:rPr>
                <w:rFonts w:asciiTheme="minorHAnsi" w:hAnsiTheme="minorHAnsi"/>
                <w:spacing w:val="-1"/>
              </w:rPr>
              <w:t xml:space="preserve"> ge</w:t>
            </w:r>
            <w:r w:rsidRPr="004C7646">
              <w:rPr>
                <w:rFonts w:asciiTheme="minorHAnsi" w:hAnsiTheme="minorHAnsi"/>
              </w:rPr>
              <w:t>n</w:t>
            </w:r>
            <w:r w:rsidRPr="004C7646">
              <w:rPr>
                <w:rFonts w:asciiTheme="minorHAnsi" w:hAnsiTheme="minorHAnsi"/>
                <w:spacing w:val="1"/>
              </w:rPr>
              <w:t>e</w:t>
            </w:r>
            <w:r w:rsidRPr="004C7646">
              <w:rPr>
                <w:rFonts w:asciiTheme="minorHAnsi" w:hAnsiTheme="minorHAnsi"/>
                <w:spacing w:val="-1"/>
              </w:rPr>
              <w:t>ra</w:t>
            </w:r>
            <w:r w:rsidRPr="004C7646">
              <w:rPr>
                <w:rFonts w:asciiTheme="minorHAnsi" w:hAnsiTheme="minorHAnsi"/>
              </w:rPr>
              <w:t>t</w:t>
            </w:r>
            <w:r w:rsidRPr="004C7646">
              <w:rPr>
                <w:rFonts w:asciiTheme="minorHAnsi" w:hAnsiTheme="minorHAnsi"/>
                <w:spacing w:val="-1"/>
              </w:rPr>
              <w:t>e</w:t>
            </w:r>
            <w:r w:rsidRPr="004C7646">
              <w:rPr>
                <w:rFonts w:asciiTheme="minorHAnsi" w:hAnsiTheme="minorHAnsi"/>
              </w:rPr>
              <w:t xml:space="preserve">d </w:t>
            </w:r>
            <w:r w:rsidRPr="004C7646">
              <w:rPr>
                <w:rFonts w:asciiTheme="minorHAnsi" w:hAnsiTheme="minorHAnsi"/>
                <w:spacing w:val="-1"/>
              </w:rPr>
              <w:t>A</w:t>
            </w:r>
            <w:r w:rsidRPr="004C7646">
              <w:rPr>
                <w:rFonts w:asciiTheme="minorHAnsi" w:hAnsiTheme="minorHAnsi"/>
              </w:rPr>
              <w:t xml:space="preserve">CH transactions </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A16736" w14:textId="77777777" w:rsidR="00F80E94" w:rsidRPr="004C7646" w:rsidRDefault="00F80E94" w:rsidP="00306CF3">
            <w:pPr>
              <w:pStyle w:val="TableParagraph"/>
              <w:kinsoku w:val="0"/>
              <w:overflowPunct w:val="0"/>
              <w:spacing w:before="15"/>
              <w:ind w:left="102" w:right="18"/>
              <w:jc w:val="right"/>
              <w:rPr>
                <w:rFonts w:asciiTheme="minorHAnsi" w:hAnsiTheme="minorHAnsi"/>
              </w:rPr>
            </w:pPr>
            <w:r w:rsidRPr="004C7646">
              <w:rPr>
                <w:rFonts w:asciiTheme="minorHAnsi" w:hAnsiTheme="minorHAnsi"/>
              </w:rPr>
              <w:t>$2.59/</w:t>
            </w:r>
            <w:r w:rsidRPr="004C7646">
              <w:rPr>
                <w:rFonts w:asciiTheme="minorHAnsi" w:hAnsiTheme="minorHAnsi"/>
                <w:spacing w:val="-1"/>
              </w:rPr>
              <w:t>eac</w:t>
            </w:r>
            <w:r w:rsidRPr="004C7646">
              <w:rPr>
                <w:rFonts w:asciiTheme="minorHAnsi" w:hAnsiTheme="minorHAnsi"/>
              </w:rPr>
              <w:t>h</w:t>
            </w:r>
          </w:p>
        </w:tc>
      </w:tr>
      <w:tr w:rsidR="00F80E94" w:rsidRPr="00D1186D" w14:paraId="18638180" w14:textId="77777777" w:rsidTr="00306CF3">
        <w:trPr>
          <w:trHeight w:hRule="exact" w:val="316"/>
          <w:jc w:val="center"/>
        </w:trPr>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6DDDEA" w14:textId="77777777" w:rsidR="00F80E94" w:rsidRPr="004C7646" w:rsidRDefault="00F80E94" w:rsidP="00306CF3">
            <w:pPr>
              <w:pStyle w:val="TableParagraph"/>
              <w:kinsoku w:val="0"/>
              <w:overflowPunct w:val="0"/>
              <w:spacing w:before="15"/>
              <w:ind w:left="102" w:right="18"/>
              <w:rPr>
                <w:rFonts w:asciiTheme="minorHAnsi" w:hAnsiTheme="minorHAnsi"/>
                <w:b/>
              </w:rPr>
            </w:pPr>
            <w:r w:rsidRPr="004C7646">
              <w:rPr>
                <w:rFonts w:asciiTheme="minorHAnsi" w:hAnsiTheme="minorHAnsi"/>
                <w:b/>
              </w:rPr>
              <w:t>Non-routine/infrequent activities:</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E73EDD" w14:textId="77777777" w:rsidR="00F80E94" w:rsidRPr="004C7646" w:rsidRDefault="00F80E94" w:rsidP="00306CF3">
            <w:pPr>
              <w:pStyle w:val="TableParagraph"/>
              <w:kinsoku w:val="0"/>
              <w:overflowPunct w:val="0"/>
              <w:spacing w:before="15"/>
              <w:ind w:left="102" w:right="18"/>
              <w:jc w:val="right"/>
              <w:rPr>
                <w:rFonts w:asciiTheme="minorHAnsi" w:hAnsiTheme="minorHAnsi"/>
              </w:rPr>
            </w:pPr>
          </w:p>
        </w:tc>
      </w:tr>
      <w:tr w:rsidR="00F80E94" w:rsidRPr="00D1186D" w14:paraId="1371CB5A" w14:textId="77777777" w:rsidTr="00306CF3">
        <w:trPr>
          <w:trHeight w:hRule="exact" w:val="316"/>
          <w:jc w:val="center"/>
        </w:trPr>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6BBD7A" w14:textId="77777777" w:rsidR="00F80E94" w:rsidRPr="004C7646" w:rsidRDefault="00F80E94" w:rsidP="00306CF3">
            <w:pPr>
              <w:pStyle w:val="TableParagraph"/>
              <w:kinsoku w:val="0"/>
              <w:overflowPunct w:val="0"/>
              <w:spacing w:before="15"/>
              <w:ind w:left="102" w:right="18"/>
              <w:rPr>
                <w:rFonts w:asciiTheme="minorHAnsi" w:hAnsiTheme="minorHAnsi"/>
              </w:rPr>
            </w:pPr>
            <w:r w:rsidRPr="004C7646">
              <w:rPr>
                <w:rFonts w:asciiTheme="minorHAnsi" w:hAnsiTheme="minorHAnsi"/>
              </w:rPr>
              <w:t>Extraordinary Service Requirements: Actual per incident charges</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50D115" w14:textId="77777777" w:rsidR="00F80E94" w:rsidRPr="004C7646" w:rsidRDefault="00F80E94" w:rsidP="00306CF3">
            <w:pPr>
              <w:pStyle w:val="TableParagraph"/>
              <w:kinsoku w:val="0"/>
              <w:overflowPunct w:val="0"/>
              <w:spacing w:before="15"/>
              <w:ind w:left="102" w:right="18"/>
              <w:jc w:val="right"/>
              <w:rPr>
                <w:rFonts w:asciiTheme="minorHAnsi" w:hAnsiTheme="minorHAnsi"/>
              </w:rPr>
            </w:pPr>
            <w:r w:rsidRPr="004C7646">
              <w:rPr>
                <w:rFonts w:asciiTheme="minorHAnsi" w:hAnsiTheme="minorHAnsi"/>
              </w:rPr>
              <w:t>Approved incident cost</w:t>
            </w:r>
          </w:p>
        </w:tc>
      </w:tr>
      <w:tr w:rsidR="00F80E94" w:rsidRPr="00D1186D" w14:paraId="0D4A2053" w14:textId="77777777" w:rsidTr="004C7646">
        <w:trPr>
          <w:trHeight w:hRule="exact" w:val="649"/>
          <w:jc w:val="center"/>
        </w:trPr>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93026E" w14:textId="77777777" w:rsidR="00F80E94" w:rsidRPr="004C7646" w:rsidRDefault="00F80E94" w:rsidP="00306CF3">
            <w:pPr>
              <w:pStyle w:val="TableParagraph"/>
              <w:kinsoku w:val="0"/>
              <w:overflowPunct w:val="0"/>
              <w:spacing w:before="15"/>
              <w:ind w:left="102" w:right="18"/>
              <w:rPr>
                <w:rFonts w:asciiTheme="minorHAnsi" w:hAnsiTheme="minorHAnsi"/>
              </w:rPr>
            </w:pPr>
            <w:r w:rsidRPr="004C7646">
              <w:rPr>
                <w:rFonts w:asciiTheme="minorHAnsi" w:hAnsiTheme="minorHAnsi"/>
              </w:rPr>
              <w:t xml:space="preserve">SFMA Generated Pmt. File for Vendor Pmt. </w:t>
            </w:r>
            <w:proofErr w:type="spellStart"/>
            <w:r w:rsidRPr="004C7646">
              <w:rPr>
                <w:rFonts w:asciiTheme="minorHAnsi" w:hAnsiTheme="minorHAnsi"/>
              </w:rPr>
              <w:t>Svcs</w:t>
            </w:r>
            <w:proofErr w:type="spellEnd"/>
            <w:r w:rsidRPr="004C7646">
              <w:rPr>
                <w:rFonts w:asciiTheme="minorHAnsi" w:hAnsiTheme="minorHAnsi"/>
              </w:rPr>
              <w:t>. Number of records</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D0FB6C" w14:textId="77777777" w:rsidR="00F80E94" w:rsidRPr="004C7646" w:rsidRDefault="00F80E94" w:rsidP="00306CF3">
            <w:pPr>
              <w:pStyle w:val="TableParagraph"/>
              <w:kinsoku w:val="0"/>
              <w:overflowPunct w:val="0"/>
              <w:spacing w:before="15"/>
              <w:ind w:left="102" w:right="18"/>
              <w:jc w:val="right"/>
              <w:rPr>
                <w:rFonts w:asciiTheme="minorHAnsi" w:hAnsiTheme="minorHAnsi"/>
              </w:rPr>
            </w:pPr>
            <w:r w:rsidRPr="004C7646">
              <w:rPr>
                <w:rFonts w:asciiTheme="minorHAnsi" w:hAnsiTheme="minorHAnsi"/>
              </w:rPr>
              <w:t>$2.59/</w:t>
            </w:r>
            <w:r w:rsidRPr="004C7646">
              <w:rPr>
                <w:rFonts w:asciiTheme="minorHAnsi" w:hAnsiTheme="minorHAnsi"/>
                <w:spacing w:val="-1"/>
              </w:rPr>
              <w:t>eac</w:t>
            </w:r>
            <w:r w:rsidRPr="004C7646">
              <w:rPr>
                <w:rFonts w:asciiTheme="minorHAnsi" w:hAnsiTheme="minorHAnsi"/>
              </w:rPr>
              <w:t>h</w:t>
            </w:r>
          </w:p>
        </w:tc>
      </w:tr>
    </w:tbl>
    <w:p w14:paraId="6FC6CB91" w14:textId="77777777" w:rsidR="00F80E94" w:rsidRPr="00646D4B" w:rsidRDefault="00F80E94" w:rsidP="00F80E94">
      <w:pPr>
        <w:pStyle w:val="ListNumber"/>
        <w:numPr>
          <w:ilvl w:val="0"/>
          <w:numId w:val="0"/>
        </w:numPr>
        <w:spacing w:before="0" w:after="0"/>
        <w:ind w:left="360" w:right="18"/>
      </w:pPr>
    </w:p>
    <w:p w14:paraId="387C7B74" w14:textId="77777777" w:rsidR="00F80E94" w:rsidRPr="004C7646" w:rsidRDefault="00F80E94" w:rsidP="00F25900">
      <w:pPr>
        <w:pStyle w:val="ListBullet"/>
        <w:numPr>
          <w:ilvl w:val="0"/>
          <w:numId w:val="25"/>
        </w:numPr>
        <w:spacing w:after="240"/>
        <w:ind w:right="18"/>
        <w:rPr>
          <w:rFonts w:asciiTheme="minorHAnsi" w:hAnsiTheme="minorHAnsi"/>
          <w:sz w:val="24"/>
          <w:szCs w:val="24"/>
        </w:rPr>
      </w:pPr>
      <w:r w:rsidRPr="004C7646">
        <w:rPr>
          <w:rFonts w:asciiTheme="minorHAnsi" w:hAnsiTheme="minorHAnsi"/>
          <w:b/>
          <w:sz w:val="24"/>
          <w:szCs w:val="24"/>
        </w:rPr>
        <w:t xml:space="preserve">Oregon Statewide Payroll Services (OSPS): </w:t>
      </w:r>
      <w:r w:rsidRPr="004C7646">
        <w:rPr>
          <w:rFonts w:asciiTheme="minorHAnsi" w:hAnsiTheme="minorHAnsi"/>
          <w:sz w:val="24"/>
          <w:szCs w:val="24"/>
        </w:rPr>
        <w:t xml:space="preserve">This unit supports the state’s payroll process by generating off-cycle payments, vendor payments, and monthly, quarterly, and annual reporting requirements to the various business entities or tax authorities. </w:t>
      </w:r>
    </w:p>
    <w:p w14:paraId="75310B3C" w14:textId="7547811E" w:rsidR="00F80E94" w:rsidRPr="004C7646" w:rsidRDefault="00F80E94" w:rsidP="00F25900">
      <w:pPr>
        <w:pStyle w:val="ListBullet"/>
        <w:numPr>
          <w:ilvl w:val="0"/>
          <w:numId w:val="25"/>
        </w:numPr>
        <w:ind w:right="18"/>
        <w:rPr>
          <w:rFonts w:asciiTheme="minorHAnsi" w:hAnsiTheme="minorHAnsi"/>
          <w:sz w:val="24"/>
          <w:szCs w:val="24"/>
        </w:rPr>
      </w:pPr>
      <w:r w:rsidRPr="004C7646">
        <w:rPr>
          <w:rFonts w:asciiTheme="minorHAnsi" w:hAnsiTheme="minorHAnsi"/>
          <w:b/>
          <w:bCs/>
          <w:sz w:val="24"/>
          <w:szCs w:val="24"/>
        </w:rPr>
        <w:t xml:space="preserve">Public Employees Retirement System (PERS) Reconciliation: </w:t>
      </w:r>
      <w:r w:rsidRPr="004C7646">
        <w:rPr>
          <w:rFonts w:asciiTheme="minorHAnsi" w:hAnsiTheme="minorHAnsi"/>
          <w:sz w:val="24"/>
          <w:szCs w:val="24"/>
        </w:rPr>
        <w:t xml:space="preserve">This unit reconciles all PERS members’ account information. The rate methodology used for charging customers is the projected full biennium PERS Reconciliation program cost for agencies, divided by the estimated biennial total of employees reported. This calculates the cost per employee per month rate. For the 2027-2029 biennium, these costs will be charged on a two-tier basis. Agencies requiring additional work due to the more complex nature of their business (police, fire and/or seasonal employees) will be charged at a higher rate than the rate charged </w:t>
      </w:r>
      <w:r w:rsidRPr="004C7646">
        <w:rPr>
          <w:rFonts w:asciiTheme="minorHAnsi" w:hAnsiTheme="minorHAnsi"/>
          <w:sz w:val="24"/>
          <w:szCs w:val="24"/>
        </w:rPr>
        <w:lastRenderedPageBreak/>
        <w:t>for less complex agencies. Quarterly charges are based on the number of state employees reported (current and retired).</w:t>
      </w:r>
    </w:p>
    <w:p w14:paraId="66F73865" w14:textId="77777777" w:rsidR="004C7646" w:rsidRDefault="004C7646" w:rsidP="00F80E94">
      <w:pPr>
        <w:spacing w:after="0" w:line="240" w:lineRule="auto"/>
        <w:rPr>
          <w:b/>
          <w:szCs w:val="24"/>
        </w:rPr>
      </w:pPr>
    </w:p>
    <w:p w14:paraId="7588F940" w14:textId="3FE8F476" w:rsidR="00F80E94" w:rsidRPr="004C7646" w:rsidRDefault="00F80E94" w:rsidP="00F80E94">
      <w:pPr>
        <w:spacing w:after="0" w:line="240" w:lineRule="auto"/>
        <w:rPr>
          <w:b/>
          <w:szCs w:val="24"/>
        </w:rPr>
      </w:pPr>
      <w:r w:rsidRPr="004C7646">
        <w:rPr>
          <w:b/>
          <w:szCs w:val="24"/>
        </w:rPr>
        <w:t>Assessment Rate Methodology:</w:t>
      </w:r>
    </w:p>
    <w:p w14:paraId="22CF0137" w14:textId="77777777" w:rsidR="00F80E94" w:rsidRPr="004C7646" w:rsidRDefault="00F80E94" w:rsidP="006176F7">
      <w:pPr>
        <w:pStyle w:val="ListNumber"/>
        <w:numPr>
          <w:ilvl w:val="0"/>
          <w:numId w:val="8"/>
        </w:numPr>
        <w:ind w:right="18"/>
        <w:rPr>
          <w:rFonts w:asciiTheme="minorHAnsi" w:hAnsiTheme="minorHAnsi"/>
          <w:sz w:val="24"/>
          <w:szCs w:val="24"/>
        </w:rPr>
      </w:pPr>
      <w:r w:rsidRPr="004C7646">
        <w:rPr>
          <w:rFonts w:asciiTheme="minorHAnsi" w:hAnsiTheme="minorHAnsi"/>
          <w:sz w:val="24"/>
          <w:szCs w:val="24"/>
        </w:rPr>
        <w:t>OSPS</w:t>
      </w:r>
    </w:p>
    <w:p w14:paraId="7A6E6348" w14:textId="77777777" w:rsidR="00F80E94" w:rsidRPr="004C7646" w:rsidRDefault="00F80E94" w:rsidP="006176F7">
      <w:pPr>
        <w:pStyle w:val="ListNumber"/>
        <w:numPr>
          <w:ilvl w:val="0"/>
          <w:numId w:val="8"/>
        </w:numPr>
        <w:ind w:right="18"/>
        <w:rPr>
          <w:rFonts w:asciiTheme="minorHAnsi" w:hAnsiTheme="minorHAnsi"/>
          <w:i/>
          <w:sz w:val="24"/>
          <w:szCs w:val="24"/>
        </w:rPr>
      </w:pPr>
      <w:r w:rsidRPr="004C7646">
        <w:rPr>
          <w:rFonts w:asciiTheme="minorHAnsi" w:hAnsiTheme="minorHAnsi"/>
          <w:sz w:val="24"/>
          <w:szCs w:val="24"/>
        </w:rPr>
        <w:t>PERS Reconciliation</w:t>
      </w:r>
    </w:p>
    <w:p w14:paraId="77E3CC38" w14:textId="77777777" w:rsidR="00F80E94" w:rsidRPr="004C7646" w:rsidRDefault="00F80E94" w:rsidP="00F80E94">
      <w:pPr>
        <w:ind w:right="18"/>
      </w:pPr>
      <w:r w:rsidRPr="79D38361">
        <w:t xml:space="preserve">These activities are supported by an assessment that allocates costs to state agencies based on 2025-27 Legislatively Adopted Budget (LAB) </w:t>
      </w:r>
      <w:r w:rsidRPr="79D38361">
        <w:rPr>
          <w:spacing w:val="-2"/>
        </w:rPr>
        <w:t>F</w:t>
      </w:r>
      <w:r w:rsidRPr="79D38361">
        <w:t>ull-</w:t>
      </w:r>
      <w:r w:rsidRPr="79D38361">
        <w:rPr>
          <w:spacing w:val="-1"/>
        </w:rPr>
        <w:t>T</w:t>
      </w:r>
      <w:r w:rsidRPr="79D38361">
        <w:t xml:space="preserve">ime </w:t>
      </w:r>
      <w:r w:rsidRPr="79D38361">
        <w:rPr>
          <w:spacing w:val="-1"/>
        </w:rPr>
        <w:t>E</w:t>
      </w:r>
      <w:r w:rsidRPr="79D38361">
        <w:t>quiv</w:t>
      </w:r>
      <w:r w:rsidRPr="79D38361">
        <w:rPr>
          <w:spacing w:val="-1"/>
        </w:rPr>
        <w:t>a</w:t>
      </w:r>
      <w:r w:rsidRPr="79D38361">
        <w:t>l</w:t>
      </w:r>
      <w:r w:rsidRPr="79D38361">
        <w:rPr>
          <w:spacing w:val="-1"/>
        </w:rPr>
        <w:t>e</w:t>
      </w:r>
      <w:r w:rsidRPr="79D38361">
        <w:t>nt</w:t>
      </w:r>
      <w:r w:rsidRPr="004C7646">
        <w:rPr>
          <w:spacing w:val="17"/>
          <w:szCs w:val="24"/>
        </w:rPr>
        <w:t xml:space="preserve"> </w:t>
      </w:r>
      <w:r w:rsidRPr="004C7646">
        <w:rPr>
          <w:spacing w:val="-1"/>
          <w:szCs w:val="24"/>
        </w:rPr>
        <w:t>(</w:t>
      </w:r>
      <w:r w:rsidRPr="79D38361">
        <w:rPr>
          <w:spacing w:val="-2"/>
        </w:rPr>
        <w:t>F</w:t>
      </w:r>
      <w:r w:rsidRPr="79D38361">
        <w:rPr>
          <w:spacing w:val="2"/>
        </w:rPr>
        <w:t>T</w:t>
      </w:r>
      <w:r w:rsidRPr="79D38361">
        <w:rPr>
          <w:spacing w:val="-1"/>
        </w:rPr>
        <w:t>E)</w:t>
      </w:r>
      <w:r w:rsidRPr="79D38361">
        <w:t xml:space="preserve"> authority. Reference Workday Payroll System in Appendix A.</w:t>
      </w:r>
    </w:p>
    <w:p w14:paraId="2F151A3D" w14:textId="77777777" w:rsidR="006B408C" w:rsidRDefault="00F80E94" w:rsidP="00434D4A">
      <w:pPr>
        <w:pStyle w:val="ListNumber"/>
        <w:numPr>
          <w:ilvl w:val="0"/>
          <w:numId w:val="0"/>
        </w:numPr>
        <w:ind w:right="18"/>
        <w:rPr>
          <w:b/>
          <w:bCs/>
          <w:color w:val="000000" w:themeColor="text1"/>
        </w:rPr>
      </w:pPr>
      <w:r w:rsidRPr="79D38361">
        <w:rPr>
          <w:rFonts w:asciiTheme="minorHAnsi" w:hAnsiTheme="minorHAnsi"/>
          <w:b/>
          <w:bCs/>
          <w:sz w:val="24"/>
          <w:szCs w:val="24"/>
        </w:rPr>
        <w:t>Con</w:t>
      </w:r>
      <w:r w:rsidRPr="79D38361">
        <w:rPr>
          <w:rFonts w:asciiTheme="minorHAnsi" w:hAnsiTheme="minorHAnsi"/>
          <w:b/>
          <w:bCs/>
          <w:spacing w:val="-1"/>
          <w:sz w:val="24"/>
          <w:szCs w:val="24"/>
        </w:rPr>
        <w:t>t</w:t>
      </w:r>
      <w:r w:rsidRPr="79D38361">
        <w:rPr>
          <w:rFonts w:asciiTheme="minorHAnsi" w:hAnsiTheme="minorHAnsi"/>
          <w:b/>
          <w:bCs/>
          <w:sz w:val="24"/>
          <w:szCs w:val="24"/>
        </w:rPr>
        <w:t>a</w:t>
      </w:r>
      <w:r w:rsidRPr="79D38361">
        <w:rPr>
          <w:rFonts w:asciiTheme="minorHAnsi" w:hAnsiTheme="minorHAnsi"/>
          <w:b/>
          <w:bCs/>
          <w:spacing w:val="-1"/>
          <w:sz w:val="24"/>
          <w:szCs w:val="24"/>
        </w:rPr>
        <w:t>c</w:t>
      </w:r>
      <w:r w:rsidRPr="79D38361">
        <w:rPr>
          <w:rFonts w:asciiTheme="minorHAnsi" w:hAnsiTheme="minorHAnsi"/>
          <w:b/>
          <w:bCs/>
          <w:sz w:val="24"/>
          <w:szCs w:val="24"/>
        </w:rPr>
        <w:t xml:space="preserve">t for more information: Fabiola Flores at 971-900-7635 or </w:t>
      </w:r>
      <w:hyperlink r:id="rId20" w:history="1">
        <w:r w:rsidRPr="79D38361">
          <w:rPr>
            <w:rStyle w:val="Hyperlink"/>
            <w:rFonts w:asciiTheme="minorHAnsi" w:hAnsiTheme="minorHAnsi"/>
            <w:b/>
            <w:bCs/>
            <w:color w:val="000000" w:themeColor="text1"/>
            <w:sz w:val="24"/>
            <w:szCs w:val="24"/>
          </w:rPr>
          <w:t>fabiola.flores@das.oregon.gov</w:t>
        </w:r>
      </w:hyperlink>
      <w:r w:rsidRPr="00F90E09">
        <w:rPr>
          <w:b/>
          <w:bCs/>
          <w:color w:val="000000" w:themeColor="text1"/>
        </w:rPr>
        <w:t>.</w:t>
      </w:r>
      <w:bookmarkStart w:id="21" w:name="_Toc226108603"/>
    </w:p>
    <w:p w14:paraId="26B28AFC" w14:textId="77777777" w:rsidR="006B408C" w:rsidRDefault="006B408C" w:rsidP="00434D4A">
      <w:pPr>
        <w:pStyle w:val="ListNumber"/>
        <w:numPr>
          <w:ilvl w:val="0"/>
          <w:numId w:val="0"/>
        </w:numPr>
        <w:ind w:right="18"/>
        <w:rPr>
          <w:b/>
          <w:bCs/>
          <w:color w:val="000000" w:themeColor="text1"/>
        </w:rPr>
      </w:pPr>
    </w:p>
    <w:p w14:paraId="5232BD23" w14:textId="75CF5979" w:rsidR="00F80E94" w:rsidRPr="00434D4A" w:rsidRDefault="00F80E94" w:rsidP="2E12E5CC">
      <w:pPr>
        <w:pStyle w:val="Heading3"/>
        <w:rPr>
          <w:b w:val="0"/>
          <w:bCs/>
        </w:rPr>
      </w:pPr>
      <w:bookmarkStart w:id="22" w:name="_Toc226981062"/>
      <w:r>
        <w:t>Enterprise Information Services (EIS)</w:t>
      </w:r>
      <w:r w:rsidR="4858973F">
        <w:t>,</w:t>
      </w:r>
      <w:r>
        <w:t xml:space="preserve"> the State Chief Information Officer</w:t>
      </w:r>
      <w:bookmarkEnd w:id="21"/>
      <w:bookmarkEnd w:id="22"/>
    </w:p>
    <w:p w14:paraId="4CF47513" w14:textId="77777777" w:rsidR="00F80E94" w:rsidRPr="008462D9" w:rsidRDefault="00F80E94" w:rsidP="00F80E94">
      <w:pPr>
        <w:ind w:right="18"/>
      </w:pPr>
      <w:bookmarkStart w:id="23" w:name="_Toc487443206"/>
      <w:r w:rsidRPr="008462D9">
        <w:t xml:space="preserve">Oregon’s State Chief Information Officer (State CIO) is an independent official appointed by and responsible to the Governor. The State CIO operates as the Governor’s primary advisor for statewide enterprise technology and telecommunication projects and programs, implementation of the IT governance framework, and establishment of state </w:t>
      </w:r>
      <w:r>
        <w:t>government’s</w:t>
      </w:r>
      <w:r w:rsidRPr="008462D9">
        <w:t xml:space="preserve"> long-term IT strategy (the Enterprise Information Resource Management Strategy). </w:t>
      </w:r>
    </w:p>
    <w:p w14:paraId="593C26B4" w14:textId="77777777" w:rsidR="00F80E94" w:rsidRPr="008462D9" w:rsidRDefault="00F80E94" w:rsidP="00F80E94">
      <w:pPr>
        <w:ind w:right="18"/>
      </w:pPr>
      <w:bookmarkStart w:id="24" w:name="_Hlk163807854"/>
      <w:r>
        <w:t>EIS</w:t>
      </w:r>
      <w:r w:rsidRPr="00F56379">
        <w:t xml:space="preserve"> comprises </w:t>
      </w:r>
      <w:r>
        <w:t>seven</w:t>
      </w:r>
      <w:r w:rsidRPr="00F56379">
        <w:t xml:space="preserve"> </w:t>
      </w:r>
      <w:r>
        <w:t>programs</w:t>
      </w:r>
      <w:r w:rsidRPr="00F56379">
        <w:t>:</w:t>
      </w:r>
      <w:r w:rsidRPr="008462D9">
        <w:t xml:space="preserve"> </w:t>
      </w:r>
      <w:r>
        <w:t>Cyber Security Services</w:t>
      </w:r>
      <w:r w:rsidRPr="008462D9">
        <w:t xml:space="preserve">, </w:t>
      </w:r>
      <w:r>
        <w:t>Project Portfolio Performance,</w:t>
      </w:r>
      <w:r w:rsidRPr="008462D9">
        <w:t xml:space="preserve"> </w:t>
      </w:r>
      <w:r>
        <w:t>Privacy and Artificial Intelligence</w:t>
      </w:r>
      <w:r w:rsidRPr="008462D9">
        <w:t xml:space="preserve">, </w:t>
      </w:r>
      <w:r>
        <w:t>Strategy and Design</w:t>
      </w:r>
      <w:r w:rsidRPr="008462D9">
        <w:t xml:space="preserve">, </w:t>
      </w:r>
      <w:r>
        <w:t>Data Governance and Transparency, Administrative Services, and Data Center Services</w:t>
      </w:r>
      <w:r w:rsidRPr="008462D9">
        <w:t xml:space="preserve">. </w:t>
      </w:r>
      <w:bookmarkEnd w:id="24"/>
      <w:r>
        <w:t>EIS</w:t>
      </w:r>
      <w:r w:rsidRPr="008462D9">
        <w:t xml:space="preserve"> provides statewide IT leadership by ensuring alignment between statewide IT policy and operations, maturing enterprise technology governance, leveraging investments in shared services, ensuring transparency, providing oversight on IT projects </w:t>
      </w:r>
      <w:r>
        <w:t>that meet established criteria</w:t>
      </w:r>
      <w:r w:rsidRPr="008462D9">
        <w:t xml:space="preserve">, and delivering secure and innovative solutions. </w:t>
      </w:r>
      <w:r>
        <w:t>EIS</w:t>
      </w:r>
      <w:r w:rsidRPr="008462D9">
        <w:t xml:space="preserve"> is driven by four core values:</w:t>
      </w:r>
    </w:p>
    <w:p w14:paraId="73A5A832" w14:textId="77777777" w:rsidR="00F80E94" w:rsidRPr="004C7646" w:rsidRDefault="00F80E94" w:rsidP="00F25900">
      <w:pPr>
        <w:numPr>
          <w:ilvl w:val="0"/>
          <w:numId w:val="14"/>
        </w:numPr>
        <w:spacing w:before="40" w:after="160" w:line="288" w:lineRule="auto"/>
        <w:ind w:right="18"/>
      </w:pPr>
      <w:r w:rsidRPr="79D38361">
        <w:rPr>
          <w:b/>
          <w:bCs/>
        </w:rPr>
        <w:t>Accountability.</w:t>
      </w:r>
      <w:r w:rsidRPr="79D38361">
        <w:t> We are responsible for quality outcomes and share information openly and honestly.</w:t>
      </w:r>
    </w:p>
    <w:p w14:paraId="35327A14" w14:textId="77777777" w:rsidR="00F80E94" w:rsidRPr="004C7646" w:rsidRDefault="00F80E94" w:rsidP="00F25900">
      <w:pPr>
        <w:numPr>
          <w:ilvl w:val="0"/>
          <w:numId w:val="14"/>
        </w:numPr>
        <w:spacing w:before="40" w:after="160" w:line="288" w:lineRule="auto"/>
        <w:ind w:right="18"/>
      </w:pPr>
      <w:proofErr w:type="gramStart"/>
      <w:r w:rsidRPr="79D38361">
        <w:rPr>
          <w:b/>
          <w:bCs/>
        </w:rPr>
        <w:t>Customer-Focus</w:t>
      </w:r>
      <w:proofErr w:type="gramEnd"/>
      <w:r w:rsidRPr="79D38361">
        <w:rPr>
          <w:b/>
          <w:bCs/>
        </w:rPr>
        <w:t>.</w:t>
      </w:r>
      <w:r w:rsidRPr="79D38361">
        <w:t> We listen and seek to understand our customers’ needs.</w:t>
      </w:r>
    </w:p>
    <w:p w14:paraId="6C822B1A" w14:textId="77777777" w:rsidR="00F80E94" w:rsidRPr="004C7646" w:rsidRDefault="00F80E94" w:rsidP="00F25900">
      <w:pPr>
        <w:numPr>
          <w:ilvl w:val="0"/>
          <w:numId w:val="14"/>
        </w:numPr>
        <w:spacing w:before="40" w:after="160" w:line="288" w:lineRule="auto"/>
        <w:ind w:right="18"/>
      </w:pPr>
      <w:r w:rsidRPr="79D38361">
        <w:rPr>
          <w:b/>
          <w:bCs/>
        </w:rPr>
        <w:t>Collaboration.</w:t>
      </w:r>
      <w:r w:rsidRPr="79D38361">
        <w:t> We build trust and establish mutual purpose to forge effective partnerships across the enterprise.</w:t>
      </w:r>
    </w:p>
    <w:p w14:paraId="58BC7C7B" w14:textId="77777777" w:rsidR="00F80E94" w:rsidRPr="004C7646" w:rsidRDefault="00F80E94" w:rsidP="00F25900">
      <w:pPr>
        <w:numPr>
          <w:ilvl w:val="0"/>
          <w:numId w:val="14"/>
        </w:numPr>
        <w:spacing w:before="40" w:after="160" w:line="288" w:lineRule="auto"/>
        <w:ind w:right="18"/>
      </w:pPr>
      <w:r w:rsidRPr="79D38361">
        <w:rPr>
          <w:b/>
          <w:bCs/>
        </w:rPr>
        <w:t>Innovation.</w:t>
      </w:r>
      <w:r w:rsidRPr="79D38361">
        <w:t> We simplify complexity, challenge conventional wisdom, and seek creative and useful solutions.</w:t>
      </w:r>
    </w:p>
    <w:p w14:paraId="52005439" w14:textId="77777777" w:rsidR="00F80E94" w:rsidRPr="004C7646" w:rsidRDefault="00F80E94" w:rsidP="00F80E94">
      <w:pPr>
        <w:pStyle w:val="ListBullet"/>
        <w:numPr>
          <w:ilvl w:val="0"/>
          <w:numId w:val="0"/>
        </w:numPr>
        <w:ind w:right="18"/>
        <w:rPr>
          <w:rFonts w:asciiTheme="minorHAnsi" w:hAnsiTheme="minorHAnsi"/>
          <w:sz w:val="24"/>
          <w:szCs w:val="24"/>
        </w:rPr>
      </w:pPr>
      <w:r w:rsidRPr="004C7646">
        <w:rPr>
          <w:rFonts w:asciiTheme="minorHAnsi" w:hAnsiTheme="minorHAnsi"/>
          <w:sz w:val="24"/>
          <w:szCs w:val="24"/>
        </w:rPr>
        <w:lastRenderedPageBreak/>
        <w:t>For the 2027-29 biennium, EIS will use an assessment model plus a rate-based cost allocation methodology for individual service line charges.</w:t>
      </w:r>
    </w:p>
    <w:p w14:paraId="71ABEADE" w14:textId="77777777" w:rsidR="00F80E94" w:rsidRPr="00E63A28" w:rsidRDefault="00F80E94" w:rsidP="2E12E5CC">
      <w:pPr>
        <w:pStyle w:val="Heading4"/>
        <w:rPr>
          <w:sz w:val="20"/>
          <w:szCs w:val="20"/>
        </w:rPr>
      </w:pPr>
      <w:bookmarkStart w:id="25" w:name="_Toc226108604"/>
      <w:r>
        <w:t>Cyber Security Services</w:t>
      </w:r>
      <w:bookmarkEnd w:id="23"/>
      <w:bookmarkEnd w:id="25"/>
    </w:p>
    <w:p w14:paraId="6B5E3085" w14:textId="77777777" w:rsidR="00F80E94" w:rsidRPr="008462D9" w:rsidRDefault="00F80E94" w:rsidP="00F80E94">
      <w:pPr>
        <w:ind w:right="18"/>
      </w:pPr>
      <w:bookmarkStart w:id="26" w:name="_Toc487443207"/>
      <w:r>
        <w:t>The Cyber Security Services program brings together a full suite of enterprise cybersecurity capability – risk governance, policy, procedure and operations – under a single, accountable enterprise organization. This allows for the end-to-end direction setting and execution for enterprise security. The program is comprised of a risk governance, policy and controls section for setting enterprise security policy and the associated controls to ensure compliance, a solutions section driving enterprise security architecture, a services section to deliver day-to-day enterprise security operations provisioning, and a security operations center (SOC) providing dedicated, real-time cybersecurity monitoring and response capability across enterprise operations. Cyber Security Services personnel work collaboratively with Data Center Services domain teams to deliver secure solutions to customers.</w:t>
      </w:r>
    </w:p>
    <w:p w14:paraId="18F71F34" w14:textId="2A8AB4BF" w:rsidR="00F80E94" w:rsidRPr="00A05E05" w:rsidRDefault="00F80E94" w:rsidP="2E12E5CC">
      <w:pPr>
        <w:pStyle w:val="Heading4"/>
        <w:rPr>
          <w:sz w:val="20"/>
          <w:szCs w:val="20"/>
        </w:rPr>
      </w:pPr>
      <w:bookmarkStart w:id="27" w:name="_Toc226108605"/>
      <w:r>
        <w:t>Project Portfolio Performance</w:t>
      </w:r>
      <w:bookmarkEnd w:id="26"/>
      <w:bookmarkEnd w:id="27"/>
    </w:p>
    <w:p w14:paraId="4B80DB32" w14:textId="65B34D15" w:rsidR="00F80E94" w:rsidRPr="00A05E05" w:rsidRDefault="00F80E94" w:rsidP="79D38361">
      <w:pPr>
        <w:rPr>
          <w:sz w:val="20"/>
        </w:rPr>
      </w:pPr>
      <w:bookmarkStart w:id="28" w:name="_Toc487443208"/>
      <w:r>
        <w:t>The Project Portfolio Performance program is key in implementing and using the IT Governance Framework, which includes oversight and portfolio management of all major IT investments. Using a standard framework and statewide policies, the staff work with all state agencies to identify and resolve IT project issues, striking a balance between central delivery and agency flexibility. The staff serve as advisors, making recommendations for agency alignment with enterprise objectives, project management and IT governance maturity and industry best practices. They look for solutions and cost-sharing opportunities across multiple agencies and offer alternate solutions to business problems. This program helps facilitate efficient decision-making, policy and statutory adherence, and provides tools and software training to assist agencies in achieving project success.</w:t>
      </w:r>
    </w:p>
    <w:p w14:paraId="2965E2CF" w14:textId="77777777" w:rsidR="00F80E94" w:rsidRDefault="00F80E94" w:rsidP="2E12E5CC">
      <w:pPr>
        <w:pStyle w:val="Heading5"/>
        <w:rPr>
          <w:b w:val="0"/>
          <w:bCs w:val="0"/>
        </w:rPr>
      </w:pPr>
      <w:r>
        <w:t>Privacy and Artificial Intelligence</w:t>
      </w:r>
    </w:p>
    <w:p w14:paraId="44BAEA47" w14:textId="77777777" w:rsidR="00F80E94" w:rsidRPr="001A4B61" w:rsidRDefault="00F80E94" w:rsidP="00F80E94">
      <w:pPr>
        <w:spacing w:line="278" w:lineRule="auto"/>
      </w:pPr>
      <w:r w:rsidRPr="001A4B61">
        <w:t>The Oregon Privacy and A</w:t>
      </w:r>
      <w:r>
        <w:t>rtificial Intelligence (</w:t>
      </w:r>
      <w:r w:rsidRPr="001A4B61">
        <w:t>AI</w:t>
      </w:r>
      <w:r>
        <w:t>)</w:t>
      </w:r>
      <w:r w:rsidRPr="001A4B61">
        <w:t xml:space="preserve"> Program guides the state’s strategic direction for privacy and </w:t>
      </w:r>
      <w:r>
        <w:t>AI</w:t>
      </w:r>
      <w:r w:rsidRPr="001A4B61">
        <w:t xml:space="preserve"> by advancing ethical governance, operational readiness, and statewide collaboration. This program builds on the work of </w:t>
      </w:r>
      <w:hyperlink r:id="rId21" w:tgtFrame="_blank" w:history="1">
        <w:r w:rsidRPr="001A4B61">
          <w:rPr>
            <w:rStyle w:val="Hyperlink"/>
          </w:rPr>
          <w:t>Oregon’s AI Advisory Council.</w:t>
        </w:r>
      </w:hyperlink>
      <w:r w:rsidRPr="001A4B61">
        <w:t> </w:t>
      </w:r>
    </w:p>
    <w:p w14:paraId="51BA7FC8" w14:textId="77777777" w:rsidR="00F80E94" w:rsidRDefault="00F80E94" w:rsidP="00F80E94">
      <w:r w:rsidRPr="001A4B61">
        <w:t>Working in close partnership with agencies, the program aims to strengthen public trust in the growing, responsible use of AI tools by the state and state employees. We seek to do that by providing increased training opportunities for state employees in the use of AI; establishing or updating privacy protections, responsible AI practices, and human oversight in the use of AI; and consulting with agencies on potential beneficial uses of AI. </w:t>
      </w:r>
    </w:p>
    <w:p w14:paraId="51DFADD1" w14:textId="77777777" w:rsidR="00BF709A" w:rsidRPr="007D4D25" w:rsidRDefault="00BF709A" w:rsidP="00F80E94"/>
    <w:p w14:paraId="7AC4FB43" w14:textId="77777777" w:rsidR="00F80E94" w:rsidRPr="00DA6300" w:rsidRDefault="00F80E94" w:rsidP="2E12E5CC">
      <w:pPr>
        <w:pStyle w:val="Heading4"/>
        <w:rPr>
          <w:sz w:val="20"/>
          <w:szCs w:val="20"/>
        </w:rPr>
      </w:pPr>
      <w:bookmarkStart w:id="29" w:name="_Toc226108606"/>
      <w:bookmarkEnd w:id="28"/>
      <w:r>
        <w:lastRenderedPageBreak/>
        <w:t>Administrative Services</w:t>
      </w:r>
      <w:bookmarkEnd w:id="29"/>
      <w:r>
        <w:t xml:space="preserve"> </w:t>
      </w:r>
    </w:p>
    <w:p w14:paraId="71E830D9" w14:textId="77777777" w:rsidR="00F80E94" w:rsidRDefault="00F80E94" w:rsidP="00F80E94">
      <w:r>
        <w:t xml:space="preserve">Administrative Services leads a full scope of services for EIS which includes the Enterprise Program Management Office, EIS procurements and contracts, billing and accounts payable, executive support, budget. Shared Services also fall under this program, such as Microsoft 365, E-Government, Statewide Quality Assurance, and Telecom Management, to provide a single point of coordination for technology services used statewide and management of long-term strategic vendor relationships (e.g., the state of Oregon’s E-Government partnership with Tyler Technologies). </w:t>
      </w:r>
    </w:p>
    <w:p w14:paraId="73A6EA3E" w14:textId="77777777" w:rsidR="00F80E94" w:rsidRPr="00DA6300" w:rsidRDefault="00F80E94" w:rsidP="2E12E5CC">
      <w:pPr>
        <w:pStyle w:val="Heading5"/>
        <w:rPr>
          <w:sz w:val="20"/>
          <w:szCs w:val="20"/>
        </w:rPr>
      </w:pPr>
      <w:r>
        <w:t>Microsoft 365 (M365)</w:t>
      </w:r>
    </w:p>
    <w:p w14:paraId="65753EA3" w14:textId="77777777" w:rsidR="00F80E94" w:rsidRPr="00895DAA" w:rsidRDefault="00F80E94" w:rsidP="00F80E94">
      <w:r w:rsidRPr="00895DAA">
        <w:t xml:space="preserve">M365 software and services are funded by a combination of assessment and rates. The assessment covers Microsoft 365 (E5) license costs and support staff needed for the enterprise system. The assessment is based on assigned license counts. </w:t>
      </w:r>
      <w:r w:rsidRPr="00895DAA">
        <w:rPr>
          <w:i/>
          <w:iCs/>
        </w:rPr>
        <w:t>Reference M365</w:t>
      </w:r>
      <w:r>
        <w:rPr>
          <w:i/>
          <w:iCs/>
        </w:rPr>
        <w:t xml:space="preserve"> (EIS)</w:t>
      </w:r>
      <w:r w:rsidRPr="00895DAA">
        <w:rPr>
          <w:i/>
          <w:iCs/>
        </w:rPr>
        <w:t xml:space="preserve"> in Appendix A</w:t>
      </w:r>
      <w:r w:rsidRPr="00895DAA">
        <w:t>. Additional licenses beyond budgeted positions can be purchased separately through the state’s M365 enterprise agreement, and associated license costs will be the responsibility of the agency to cover. This assessment also covers contracted vendor support.</w:t>
      </w:r>
    </w:p>
    <w:p w14:paraId="5DF0E5A1" w14:textId="77777777" w:rsidR="00F80E94" w:rsidRDefault="00F80E94" w:rsidP="00F80E94">
      <w:r w:rsidRPr="00895DAA">
        <w:t xml:space="preserve">The below rates provide incident support, operations, administration, and management tasks following the EIS change and incident processes. </w:t>
      </w:r>
    </w:p>
    <w:p w14:paraId="7DA63956" w14:textId="77777777" w:rsidR="00F80E94" w:rsidRDefault="00F80E94" w:rsidP="00F80E94"/>
    <w:tbl>
      <w:tblPr>
        <w:tblW w:w="9100" w:type="dxa"/>
        <w:jc w:val="center"/>
        <w:tblLook w:val="04A0" w:firstRow="1" w:lastRow="0" w:firstColumn="1" w:lastColumn="0" w:noHBand="0" w:noVBand="1"/>
      </w:tblPr>
      <w:tblGrid>
        <w:gridCol w:w="4781"/>
        <w:gridCol w:w="3053"/>
        <w:gridCol w:w="1266"/>
      </w:tblGrid>
      <w:tr w:rsidR="00F80E94" w:rsidRPr="00424DBA" w14:paraId="3064EF75" w14:textId="77777777" w:rsidTr="00306CF3">
        <w:trPr>
          <w:cantSplit/>
          <w:trHeight w:val="451"/>
          <w:jc w:val="center"/>
        </w:trPr>
        <w:tc>
          <w:tcPr>
            <w:tcW w:w="91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F28F00" w14:textId="77777777" w:rsidR="00F80E94" w:rsidRPr="006C218D" w:rsidRDefault="00F80E94" w:rsidP="00306CF3">
            <w:pPr>
              <w:spacing w:after="0" w:line="240" w:lineRule="auto"/>
              <w:ind w:right="18"/>
              <w:jc w:val="center"/>
              <w:rPr>
                <w:rFonts w:eastAsia="Times New Roman"/>
                <w:b/>
                <w:bCs/>
              </w:rPr>
            </w:pPr>
            <w:r w:rsidRPr="006C218D">
              <w:rPr>
                <w:rFonts w:eastAsia="Times New Roman"/>
                <w:b/>
                <w:bCs/>
              </w:rPr>
              <w:t>Enterprise Email</w:t>
            </w:r>
          </w:p>
        </w:tc>
      </w:tr>
      <w:tr w:rsidR="00F80E94" w:rsidRPr="00424DBA" w14:paraId="73A5C381" w14:textId="77777777" w:rsidTr="00306CF3">
        <w:trPr>
          <w:cantSplit/>
          <w:trHeight w:val="295"/>
          <w:jc w:val="center"/>
        </w:trPr>
        <w:tc>
          <w:tcPr>
            <w:tcW w:w="4781" w:type="dxa"/>
            <w:tcBorders>
              <w:top w:val="nil"/>
              <w:left w:val="single" w:sz="4" w:space="0" w:color="auto"/>
              <w:bottom w:val="single" w:sz="4" w:space="0" w:color="auto"/>
              <w:right w:val="single" w:sz="4" w:space="0" w:color="auto"/>
            </w:tcBorders>
            <w:vAlign w:val="center"/>
          </w:tcPr>
          <w:p w14:paraId="2B432A1B" w14:textId="77777777" w:rsidR="00F80E94" w:rsidRPr="00424DBA" w:rsidRDefault="00F80E94" w:rsidP="00306CF3">
            <w:pPr>
              <w:spacing w:after="0" w:line="240" w:lineRule="auto"/>
              <w:ind w:right="18"/>
              <w:rPr>
                <w:rFonts w:eastAsia="Times New Roman"/>
                <w:bCs/>
              </w:rPr>
            </w:pPr>
          </w:p>
        </w:tc>
        <w:tc>
          <w:tcPr>
            <w:tcW w:w="3053" w:type="dxa"/>
            <w:tcBorders>
              <w:top w:val="nil"/>
              <w:left w:val="nil"/>
              <w:bottom w:val="single" w:sz="4" w:space="0" w:color="auto"/>
              <w:right w:val="single" w:sz="4" w:space="0" w:color="auto"/>
            </w:tcBorders>
            <w:shd w:val="clear" w:color="auto" w:fill="D9D9D9" w:themeFill="background1" w:themeFillShade="D9"/>
            <w:vAlign w:val="bottom"/>
          </w:tcPr>
          <w:p w14:paraId="4AB3160A" w14:textId="77777777" w:rsidR="00F80E94" w:rsidRPr="006C218D" w:rsidRDefault="00F80E94" w:rsidP="00306CF3">
            <w:pPr>
              <w:spacing w:after="0" w:line="240" w:lineRule="auto"/>
              <w:ind w:right="18"/>
              <w:jc w:val="center"/>
              <w:rPr>
                <w:rFonts w:eastAsia="Calibri"/>
                <w:b/>
                <w:bCs/>
              </w:rPr>
            </w:pPr>
            <w:r w:rsidRPr="006C218D">
              <w:rPr>
                <w:rFonts w:eastAsia="Calibri"/>
                <w:b/>
                <w:bCs/>
              </w:rPr>
              <w:t>Billable Unit</w:t>
            </w:r>
          </w:p>
          <w:p w14:paraId="53615B5E" w14:textId="77777777" w:rsidR="00F80E94" w:rsidRPr="006C218D" w:rsidRDefault="00F80E94" w:rsidP="00306CF3">
            <w:pPr>
              <w:spacing w:after="0" w:line="240" w:lineRule="auto"/>
              <w:ind w:right="18"/>
              <w:jc w:val="center"/>
              <w:rPr>
                <w:rFonts w:eastAsia="Calibri"/>
                <w:b/>
                <w:bCs/>
              </w:rPr>
            </w:pPr>
            <w:r w:rsidRPr="006C218D">
              <w:rPr>
                <w:rFonts w:eastAsia="Calibri"/>
                <w:b/>
                <w:bCs/>
              </w:rPr>
              <w:t>per Month</w:t>
            </w:r>
          </w:p>
        </w:tc>
        <w:tc>
          <w:tcPr>
            <w:tcW w:w="1266" w:type="dxa"/>
            <w:tcBorders>
              <w:top w:val="nil"/>
              <w:left w:val="nil"/>
              <w:bottom w:val="single" w:sz="4" w:space="0" w:color="auto"/>
              <w:right w:val="single" w:sz="4" w:space="0" w:color="auto"/>
            </w:tcBorders>
            <w:shd w:val="clear" w:color="auto" w:fill="D9D9D9" w:themeFill="background1" w:themeFillShade="D9"/>
            <w:noWrap/>
            <w:vAlign w:val="bottom"/>
          </w:tcPr>
          <w:p w14:paraId="58FB07E7" w14:textId="77777777" w:rsidR="00F80E94" w:rsidRPr="006C218D" w:rsidRDefault="00F80E94" w:rsidP="00306CF3">
            <w:pPr>
              <w:spacing w:after="0" w:line="240" w:lineRule="auto"/>
              <w:ind w:right="18"/>
              <w:jc w:val="center"/>
              <w:rPr>
                <w:rFonts w:eastAsia="Calibri"/>
                <w:b/>
                <w:bCs/>
              </w:rPr>
            </w:pPr>
            <w:r w:rsidRPr="006C218D">
              <w:rPr>
                <w:rFonts w:eastAsia="Calibri"/>
                <w:b/>
                <w:bCs/>
              </w:rPr>
              <w:t>202</w:t>
            </w:r>
            <w:r>
              <w:rPr>
                <w:rFonts w:eastAsia="Calibri"/>
                <w:b/>
                <w:bCs/>
              </w:rPr>
              <w:t>7</w:t>
            </w:r>
            <w:r w:rsidRPr="006C218D">
              <w:rPr>
                <w:rFonts w:eastAsia="Calibri"/>
                <w:b/>
                <w:bCs/>
              </w:rPr>
              <w:t>-2</w:t>
            </w:r>
            <w:r>
              <w:rPr>
                <w:rFonts w:eastAsia="Calibri"/>
                <w:b/>
                <w:bCs/>
              </w:rPr>
              <w:t>9</w:t>
            </w:r>
          </w:p>
          <w:p w14:paraId="316B1232" w14:textId="77777777" w:rsidR="00F80E94" w:rsidRPr="006C218D" w:rsidRDefault="00F80E94" w:rsidP="00306CF3">
            <w:pPr>
              <w:spacing w:after="0" w:line="240" w:lineRule="auto"/>
              <w:ind w:right="18"/>
              <w:jc w:val="center"/>
              <w:rPr>
                <w:rFonts w:eastAsia="Calibri"/>
                <w:b/>
                <w:bCs/>
              </w:rPr>
            </w:pPr>
            <w:r w:rsidRPr="006C218D">
              <w:rPr>
                <w:rFonts w:eastAsia="Calibri"/>
                <w:b/>
                <w:bCs/>
              </w:rPr>
              <w:t>Rate</w:t>
            </w:r>
          </w:p>
        </w:tc>
      </w:tr>
      <w:tr w:rsidR="00F80E94" w:rsidRPr="00FB64C9" w14:paraId="05E03B61" w14:textId="77777777" w:rsidTr="00306CF3">
        <w:trPr>
          <w:cantSplit/>
          <w:trHeight w:val="295"/>
          <w:jc w:val="center"/>
        </w:trPr>
        <w:tc>
          <w:tcPr>
            <w:tcW w:w="4781" w:type="dxa"/>
            <w:tcBorders>
              <w:top w:val="single" w:sz="4" w:space="0" w:color="auto"/>
              <w:left w:val="single" w:sz="4" w:space="0" w:color="auto"/>
              <w:bottom w:val="single" w:sz="4" w:space="0" w:color="auto"/>
              <w:right w:val="single" w:sz="4" w:space="0" w:color="auto"/>
            </w:tcBorders>
            <w:vAlign w:val="center"/>
          </w:tcPr>
          <w:p w14:paraId="394A26AC" w14:textId="77777777" w:rsidR="00F80E94" w:rsidRPr="00BF4DF7" w:rsidRDefault="00F80E94" w:rsidP="00306CF3">
            <w:pPr>
              <w:spacing w:after="0" w:line="240" w:lineRule="auto"/>
              <w:ind w:right="18"/>
              <w:rPr>
                <w:rFonts w:eastAsia="Calibri"/>
                <w:bCs/>
              </w:rPr>
            </w:pPr>
            <w:r w:rsidRPr="00BF4DF7">
              <w:rPr>
                <w:rFonts w:eastAsia="Calibri"/>
                <w:bCs/>
              </w:rPr>
              <w:t>M365 Services (does not include M365 licenses)</w:t>
            </w:r>
          </w:p>
        </w:tc>
        <w:tc>
          <w:tcPr>
            <w:tcW w:w="3053" w:type="dxa"/>
            <w:tcBorders>
              <w:top w:val="single" w:sz="4" w:space="0" w:color="auto"/>
              <w:left w:val="nil"/>
              <w:bottom w:val="single" w:sz="4" w:space="0" w:color="auto"/>
              <w:right w:val="single" w:sz="4" w:space="0" w:color="auto"/>
            </w:tcBorders>
            <w:vAlign w:val="center"/>
          </w:tcPr>
          <w:p w14:paraId="6CBA633B" w14:textId="77777777" w:rsidR="00F80E94" w:rsidRPr="007E6878" w:rsidRDefault="00F80E94" w:rsidP="00306CF3">
            <w:pPr>
              <w:spacing w:after="0" w:line="240" w:lineRule="auto"/>
              <w:ind w:right="18"/>
              <w:rPr>
                <w:rFonts w:eastAsia="Calibri"/>
              </w:rPr>
            </w:pPr>
            <w:r w:rsidRPr="007E6878">
              <w:rPr>
                <w:rFonts w:eastAsia="Calibri"/>
              </w:rPr>
              <w:t>User Object</w:t>
            </w:r>
          </w:p>
        </w:tc>
        <w:tc>
          <w:tcPr>
            <w:tcW w:w="1266" w:type="dxa"/>
            <w:tcBorders>
              <w:top w:val="single" w:sz="4" w:space="0" w:color="auto"/>
              <w:left w:val="nil"/>
              <w:bottom w:val="single" w:sz="4" w:space="0" w:color="auto"/>
              <w:right w:val="single" w:sz="4" w:space="0" w:color="auto"/>
            </w:tcBorders>
            <w:noWrap/>
            <w:vAlign w:val="center"/>
          </w:tcPr>
          <w:p w14:paraId="457DCAF7" w14:textId="77777777" w:rsidR="00F80E94" w:rsidRPr="007E6878" w:rsidRDefault="00F80E94" w:rsidP="00306CF3">
            <w:pPr>
              <w:spacing w:after="0" w:line="240" w:lineRule="auto"/>
              <w:ind w:right="18"/>
              <w:jc w:val="right"/>
              <w:rPr>
                <w:rFonts w:eastAsia="Calibri"/>
              </w:rPr>
            </w:pPr>
            <w:r w:rsidRPr="007E6878">
              <w:rPr>
                <w:rFonts w:eastAsia="Calibri"/>
              </w:rPr>
              <w:t>$3.78</w:t>
            </w:r>
          </w:p>
        </w:tc>
      </w:tr>
      <w:tr w:rsidR="00F80E94" w:rsidRPr="005F7BAF" w14:paraId="2A5C16A2" w14:textId="77777777" w:rsidTr="00306CF3">
        <w:trPr>
          <w:cantSplit/>
          <w:trHeight w:val="295"/>
          <w:jc w:val="center"/>
        </w:trPr>
        <w:tc>
          <w:tcPr>
            <w:tcW w:w="9100" w:type="dxa"/>
            <w:gridSpan w:val="3"/>
            <w:tcBorders>
              <w:top w:val="single" w:sz="4" w:space="0" w:color="auto"/>
              <w:left w:val="single" w:sz="4" w:space="0" w:color="auto"/>
              <w:bottom w:val="single" w:sz="4" w:space="0" w:color="auto"/>
              <w:right w:val="single" w:sz="4" w:space="0" w:color="auto"/>
            </w:tcBorders>
            <w:vAlign w:val="center"/>
          </w:tcPr>
          <w:p w14:paraId="06529CF5" w14:textId="77777777" w:rsidR="00F80E94" w:rsidRPr="00BF4DF7" w:rsidRDefault="00F80E94" w:rsidP="00306CF3">
            <w:pPr>
              <w:spacing w:after="0" w:line="240" w:lineRule="auto"/>
              <w:ind w:right="18"/>
              <w:jc w:val="center"/>
              <w:rPr>
                <w:rFonts w:eastAsia="Calibri"/>
                <w:b/>
                <w:bCs/>
              </w:rPr>
            </w:pPr>
            <w:r>
              <w:rPr>
                <w:rFonts w:eastAsia="Calibri"/>
                <w:b/>
                <w:bCs/>
                <w:i/>
                <w:iCs/>
              </w:rPr>
              <w:t>The</w:t>
            </w:r>
            <w:r w:rsidRPr="00BF4DF7">
              <w:rPr>
                <w:rFonts w:eastAsia="Calibri"/>
                <w:b/>
                <w:bCs/>
                <w:i/>
                <w:iCs/>
              </w:rPr>
              <w:t xml:space="preserve"> user object is a mailbox for a user or resource that can send and receive email and calendaring.</w:t>
            </w:r>
          </w:p>
        </w:tc>
      </w:tr>
    </w:tbl>
    <w:p w14:paraId="29DCFE19" w14:textId="77777777" w:rsidR="00F80E94" w:rsidRDefault="00F80E94" w:rsidP="00F80E94">
      <w:pPr>
        <w:spacing w:after="0" w:line="240" w:lineRule="auto"/>
        <w:ind w:right="18"/>
        <w:rPr>
          <w:b/>
          <w:bCs/>
          <w:iCs/>
          <w:color w:val="525252"/>
          <w:sz w:val="22"/>
          <w:u w:val="single"/>
          <w:lang w:val="x-none" w:eastAsia="x-none"/>
        </w:rPr>
      </w:pPr>
    </w:p>
    <w:p w14:paraId="1E0CD63B" w14:textId="77777777" w:rsidR="00F80E94" w:rsidRPr="00DA6300" w:rsidRDefault="00F80E94" w:rsidP="2E12E5CC">
      <w:pPr>
        <w:pStyle w:val="Heading4"/>
        <w:rPr>
          <w:sz w:val="20"/>
          <w:szCs w:val="20"/>
        </w:rPr>
      </w:pPr>
      <w:bookmarkStart w:id="30" w:name="_Toc226108607"/>
      <w:r>
        <w:t>Strategy and Design</w:t>
      </w:r>
      <w:bookmarkEnd w:id="30"/>
    </w:p>
    <w:p w14:paraId="6D836468" w14:textId="7A9C90F5" w:rsidR="00F80E94" w:rsidRDefault="00F80E94" w:rsidP="00F80E94">
      <w:r>
        <w:t>The Strategy and Design program develops enterprise IT strategies, reference architectures, and roadmaps that deliver shared technology capabilities and services across all agencies. Committed to customer priorities and an improved customer experience, the team leads strategic planning and architecture development for enterprise IT modernization initiatives. Key initiatives for 2026 include implementing an Application Portfolio Management program, establishment of Architecture Guidelines, and advancing the Statewide Cloud Strategy and Brokerage Services</w:t>
      </w:r>
      <w:r w:rsidR="7F54A3D5">
        <w:t>.</w:t>
      </w:r>
      <w:r w:rsidR="00036DE5" w:rsidRPr="00DC403C">
        <w:t xml:space="preserve"> </w:t>
      </w:r>
    </w:p>
    <w:p w14:paraId="1CA39BE6" w14:textId="77777777" w:rsidR="00441446" w:rsidRPr="00DC403C" w:rsidRDefault="00441446" w:rsidP="00F80E94"/>
    <w:p w14:paraId="64AFD4DA" w14:textId="77777777" w:rsidR="00F80E94" w:rsidRPr="00DA6300" w:rsidRDefault="00F80E94" w:rsidP="2E12E5CC">
      <w:pPr>
        <w:pStyle w:val="Heading4"/>
        <w:rPr>
          <w:sz w:val="20"/>
          <w:szCs w:val="20"/>
        </w:rPr>
      </w:pPr>
      <w:bookmarkStart w:id="31" w:name="_Toc226108608"/>
      <w:bookmarkStart w:id="32" w:name="_Hlk163807945"/>
      <w:r>
        <w:lastRenderedPageBreak/>
        <w:t>Data Governance and Transparency</w:t>
      </w:r>
      <w:bookmarkEnd w:id="31"/>
    </w:p>
    <w:p w14:paraId="48859EC3" w14:textId="77777777" w:rsidR="00F80E94" w:rsidRPr="007D03F6" w:rsidRDefault="00F80E94" w:rsidP="00F80E94">
      <w:pPr>
        <w:pStyle w:val="ListBullet"/>
        <w:numPr>
          <w:ilvl w:val="0"/>
          <w:numId w:val="0"/>
        </w:numPr>
        <w:ind w:right="18"/>
        <w:rPr>
          <w:rFonts w:asciiTheme="minorHAnsi" w:hAnsiTheme="minorHAnsi"/>
          <w:sz w:val="24"/>
          <w:szCs w:val="24"/>
        </w:rPr>
      </w:pPr>
      <w:bookmarkStart w:id="33" w:name="_Hlk97623135"/>
      <w:r w:rsidRPr="007D03F6">
        <w:rPr>
          <w:rFonts w:asciiTheme="minorHAnsi" w:hAnsiTheme="minorHAnsi"/>
          <w:sz w:val="24"/>
          <w:szCs w:val="24"/>
        </w:rPr>
        <w:t xml:space="preserve">The Data Governance and Transparency program upholds the strategic priorities of EIS and state executives in alignment with ORS 376a.350-364 and ORS 276a.500-515 by developing enterprise approaches to data sharing, integration, management, publication, and transparency as well as delivering data services to assist agencies. The program provides enterprise geospatial data development and governance, sets Oregon’s vision for data equity and data analytics and research, and provides facilitation and leadership to cross-agency data initiatives. The program also administers enterprise data sharing platforms, Oregon ArcGIS Online, </w:t>
      </w:r>
      <w:proofErr w:type="spellStart"/>
      <w:r w:rsidRPr="007D03F6">
        <w:rPr>
          <w:rFonts w:asciiTheme="minorHAnsi" w:hAnsiTheme="minorHAnsi"/>
          <w:sz w:val="24"/>
          <w:szCs w:val="24"/>
        </w:rPr>
        <w:t>GEOHub</w:t>
      </w:r>
      <w:proofErr w:type="spellEnd"/>
      <w:r w:rsidRPr="007D03F6">
        <w:rPr>
          <w:rFonts w:asciiTheme="minorHAnsi" w:hAnsiTheme="minorHAnsi"/>
          <w:sz w:val="24"/>
          <w:szCs w:val="24"/>
        </w:rPr>
        <w:t xml:space="preserve"> and the Open Data Portal. </w:t>
      </w:r>
      <w:bookmarkEnd w:id="32"/>
    </w:p>
    <w:p w14:paraId="49288A70" w14:textId="77777777" w:rsidR="00F80E94" w:rsidRPr="007D03F6" w:rsidRDefault="00F80E94" w:rsidP="00F80E94">
      <w:pPr>
        <w:pStyle w:val="ListBullet"/>
        <w:numPr>
          <w:ilvl w:val="0"/>
          <w:numId w:val="0"/>
        </w:numPr>
        <w:ind w:right="18"/>
        <w:rPr>
          <w:rFonts w:asciiTheme="minorHAnsi" w:hAnsiTheme="minorHAnsi"/>
          <w:sz w:val="24"/>
          <w:szCs w:val="24"/>
        </w:rPr>
      </w:pPr>
    </w:p>
    <w:p w14:paraId="3353BE3C" w14:textId="77777777" w:rsidR="00F80E94" w:rsidRPr="007D03F6" w:rsidRDefault="00F80E94" w:rsidP="79D38361">
      <w:pPr>
        <w:pStyle w:val="ListBullet"/>
        <w:numPr>
          <w:ilvl w:val="0"/>
          <w:numId w:val="0"/>
        </w:numPr>
        <w:ind w:right="18"/>
        <w:rPr>
          <w:rFonts w:asciiTheme="minorHAnsi" w:hAnsiTheme="minorHAnsi"/>
          <w:sz w:val="24"/>
          <w:szCs w:val="24"/>
        </w:rPr>
      </w:pPr>
      <w:r w:rsidRPr="79D38361">
        <w:rPr>
          <w:rFonts w:asciiTheme="minorHAnsi" w:hAnsiTheme="minorHAnsi"/>
          <w:sz w:val="24"/>
          <w:szCs w:val="24"/>
        </w:rPr>
        <w:t xml:space="preserve">These programs are supported by an assessment distributed to all agencies on the following basis. Reference Enterprise Info. </w:t>
      </w:r>
      <w:proofErr w:type="spellStart"/>
      <w:r w:rsidRPr="79D38361">
        <w:rPr>
          <w:rFonts w:asciiTheme="minorHAnsi" w:hAnsiTheme="minorHAnsi"/>
          <w:sz w:val="24"/>
          <w:szCs w:val="24"/>
        </w:rPr>
        <w:t>Svcs</w:t>
      </w:r>
      <w:proofErr w:type="spellEnd"/>
      <w:r w:rsidRPr="79D38361">
        <w:rPr>
          <w:rFonts w:asciiTheme="minorHAnsi" w:hAnsiTheme="minorHAnsi"/>
          <w:sz w:val="24"/>
          <w:szCs w:val="24"/>
        </w:rPr>
        <w:t>. (EIS) in Appendix A</w:t>
      </w:r>
      <w:r w:rsidRPr="79D38361">
        <w:rPr>
          <w:rFonts w:asciiTheme="minorHAnsi" w:hAnsiTheme="minorHAnsi"/>
          <w:i/>
          <w:iCs/>
          <w:sz w:val="24"/>
          <w:szCs w:val="24"/>
        </w:rPr>
        <w:t xml:space="preserve">.  </w:t>
      </w:r>
    </w:p>
    <w:p w14:paraId="2EB5CB94" w14:textId="77777777" w:rsidR="00F80E94" w:rsidRPr="007D03F6" w:rsidRDefault="00F80E94" w:rsidP="00BF709A">
      <w:pPr>
        <w:pStyle w:val="ListBullet"/>
        <w:numPr>
          <w:ilvl w:val="0"/>
          <w:numId w:val="49"/>
        </w:numPr>
        <w:ind w:right="18"/>
        <w:rPr>
          <w:rFonts w:asciiTheme="minorHAnsi" w:hAnsiTheme="minorHAnsi"/>
          <w:sz w:val="24"/>
          <w:szCs w:val="24"/>
        </w:rPr>
      </w:pPr>
      <w:r w:rsidRPr="007D03F6">
        <w:rPr>
          <w:rFonts w:asciiTheme="minorHAnsi" w:hAnsiTheme="minorHAnsi"/>
          <w:sz w:val="24"/>
          <w:szCs w:val="24"/>
        </w:rPr>
        <w:t>A minimum assessment of $2,500 is charged to agencies that have 2.00 or less 2025-27 Legislatively Adopted Budget (LAB) Full-Time Equivalent (FTE) authority.</w:t>
      </w:r>
    </w:p>
    <w:p w14:paraId="0F4FC70F" w14:textId="77777777" w:rsidR="00F80E94" w:rsidRPr="0011651E" w:rsidRDefault="00F80E94" w:rsidP="00BF709A">
      <w:pPr>
        <w:pStyle w:val="ListBullet"/>
        <w:numPr>
          <w:ilvl w:val="0"/>
          <w:numId w:val="49"/>
        </w:numPr>
        <w:ind w:right="18"/>
        <w:rPr>
          <w:rFonts w:asciiTheme="minorHAnsi" w:hAnsiTheme="minorHAnsi"/>
          <w:sz w:val="24"/>
          <w:szCs w:val="24"/>
        </w:rPr>
      </w:pPr>
      <w:r w:rsidRPr="0011651E">
        <w:rPr>
          <w:rFonts w:asciiTheme="minorHAnsi" w:hAnsiTheme="minorHAnsi"/>
          <w:sz w:val="24"/>
          <w:szCs w:val="24"/>
        </w:rPr>
        <w:t xml:space="preserve">A minimum assessment of $5,000 is </w:t>
      </w:r>
      <w:r w:rsidRPr="0011651E">
        <w:rPr>
          <w:rFonts w:asciiTheme="minorHAnsi" w:eastAsia="Times New Roman" w:hAnsiTheme="minorHAnsi"/>
          <w:sz w:val="24"/>
          <w:szCs w:val="24"/>
          <w:lang w:eastAsia="en-US"/>
        </w:rPr>
        <w:t>charged</w:t>
      </w:r>
      <w:r w:rsidRPr="0011651E">
        <w:rPr>
          <w:rFonts w:asciiTheme="minorHAnsi" w:hAnsiTheme="minorHAnsi"/>
          <w:sz w:val="24"/>
          <w:szCs w:val="24"/>
        </w:rPr>
        <w:t xml:space="preserve"> to agencies that have 2.01 to 30.00 2025-27 Legislatively Adopted Budget (LAB) Full-Time Equivalent (FTE) authority, or less than $10 million in the agency’s 2025-27 total funds LAB. </w:t>
      </w:r>
    </w:p>
    <w:p w14:paraId="0FEE73A8" w14:textId="2E066BC0" w:rsidR="009C3B7A" w:rsidRPr="00B83545" w:rsidRDefault="00F80E94" w:rsidP="00B83545">
      <w:pPr>
        <w:pStyle w:val="ListBullet"/>
        <w:numPr>
          <w:ilvl w:val="0"/>
          <w:numId w:val="49"/>
        </w:numPr>
        <w:ind w:right="18"/>
        <w:rPr>
          <w:rFonts w:asciiTheme="minorHAnsi" w:hAnsiTheme="minorHAnsi"/>
          <w:sz w:val="24"/>
          <w:szCs w:val="24"/>
        </w:rPr>
      </w:pPr>
      <w:r w:rsidRPr="79D38361">
        <w:rPr>
          <w:rFonts w:asciiTheme="minorHAnsi" w:hAnsiTheme="minorHAnsi"/>
          <w:sz w:val="24"/>
          <w:szCs w:val="24"/>
        </w:rPr>
        <w:t>The remainder of the assessment is split among the rest of the agencies with 50% allocated according to 2025-27 Legislatively Adopted Budget (LAB) Full-Time Equivalent (FTE) authority and the other 50% allocated according to the size of the agency’s 2025-27 total funds LAB.</w:t>
      </w:r>
    </w:p>
    <w:p w14:paraId="0A02F374" w14:textId="75396C8C" w:rsidR="00F80E94" w:rsidRDefault="00F80E94" w:rsidP="79D38361">
      <w:pPr>
        <w:spacing w:after="0" w:line="240" w:lineRule="auto"/>
        <w:ind w:right="18"/>
        <w:rPr>
          <w:b/>
          <w:bCs/>
        </w:rPr>
      </w:pPr>
      <w:r w:rsidRPr="79D38361">
        <w:rPr>
          <w:b/>
          <w:bCs/>
        </w:rPr>
        <w:t xml:space="preserve">Contact for more information: Paula Taylor at 971-446-1685 or </w:t>
      </w:r>
      <w:hyperlink r:id="rId22">
        <w:r w:rsidRPr="79D38361">
          <w:rPr>
            <w:rStyle w:val="Hyperlink"/>
            <w:b/>
            <w:bCs/>
            <w:color w:val="000000" w:themeColor="text1"/>
          </w:rPr>
          <w:t>paula.a.taylor@das.oregon.gov</w:t>
        </w:r>
      </w:hyperlink>
      <w:r w:rsidRPr="79D38361">
        <w:rPr>
          <w:b/>
          <w:bCs/>
        </w:rPr>
        <w:t>.</w:t>
      </w:r>
      <w:bookmarkEnd w:id="33"/>
    </w:p>
    <w:p w14:paraId="02CC6580" w14:textId="77777777" w:rsidR="00BF709A" w:rsidRDefault="00BF709A" w:rsidP="79D38361">
      <w:pPr>
        <w:spacing w:after="0" w:line="240" w:lineRule="auto"/>
        <w:ind w:right="18"/>
        <w:rPr>
          <w:b/>
          <w:bCs/>
        </w:rPr>
      </w:pPr>
    </w:p>
    <w:p w14:paraId="2E425460" w14:textId="77777777" w:rsidR="00F80E94" w:rsidRPr="00E47912" w:rsidRDefault="00F80E94" w:rsidP="2E12E5CC">
      <w:pPr>
        <w:pStyle w:val="Heading4"/>
        <w:rPr>
          <w:sz w:val="20"/>
          <w:szCs w:val="20"/>
        </w:rPr>
      </w:pPr>
      <w:bookmarkStart w:id="34" w:name="_Toc226108609"/>
      <w:r>
        <w:t>Data Center Services</w:t>
      </w:r>
      <w:bookmarkEnd w:id="34"/>
    </w:p>
    <w:p w14:paraId="41ABB94C" w14:textId="77777777" w:rsidR="00F80E94" w:rsidRPr="0011651E" w:rsidRDefault="00F80E94" w:rsidP="00F80E94">
      <w:pPr>
        <w:ind w:right="18"/>
        <w:rPr>
          <w:szCs w:val="24"/>
        </w:rPr>
      </w:pPr>
      <w:r w:rsidRPr="0011651E">
        <w:rPr>
          <w:szCs w:val="24"/>
        </w:rPr>
        <w:t xml:space="preserve">Data Center Services (DCS) is </w:t>
      </w:r>
      <w:proofErr w:type="gramStart"/>
      <w:r w:rsidRPr="0011651E">
        <w:rPr>
          <w:szCs w:val="24"/>
        </w:rPr>
        <w:t>the</w:t>
      </w:r>
      <w:proofErr w:type="gramEnd"/>
      <w:r w:rsidRPr="0011651E">
        <w:rPr>
          <w:szCs w:val="24"/>
        </w:rPr>
        <w:t xml:space="preserve"> enterprise service provider for computing infrastructure and platforms, and cloud and network services relied upon by state agencies. DCS’ primary customers are state agency IT organizations that develop innovative solutions to automate business operations that support their constituents.</w:t>
      </w:r>
      <w:r w:rsidRPr="0011651E">
        <w:rPr>
          <w:iCs/>
          <w:szCs w:val="24"/>
        </w:rPr>
        <w:t xml:space="preserve"> </w:t>
      </w:r>
    </w:p>
    <w:p w14:paraId="73F06AF4" w14:textId="77777777" w:rsidR="00F80E94" w:rsidRPr="0011651E" w:rsidRDefault="00F80E94" w:rsidP="00F80E94">
      <w:pPr>
        <w:ind w:right="18"/>
        <w:rPr>
          <w:szCs w:val="24"/>
        </w:rPr>
      </w:pPr>
      <w:r w:rsidRPr="0011651E">
        <w:rPr>
          <w:szCs w:val="24"/>
        </w:rPr>
        <w:t>DCS is funded by a rate methodology for usage-based technology service (reference Appendix C), an assessment methodology for fixed costs related to managing state government’s core infrastructure and services (reference Appendix A), and pass-through.</w:t>
      </w:r>
    </w:p>
    <w:p w14:paraId="69440461" w14:textId="77777777" w:rsidR="00F80E94" w:rsidRPr="0011651E" w:rsidRDefault="00F80E94" w:rsidP="00F80E94">
      <w:pPr>
        <w:ind w:right="18"/>
        <w:rPr>
          <w:szCs w:val="24"/>
        </w:rPr>
      </w:pPr>
      <w:r w:rsidRPr="0011651E">
        <w:rPr>
          <w:szCs w:val="24"/>
        </w:rPr>
        <w:t xml:space="preserve">An administrative overhead assessment covers the costs of the director and deputy director, operation and maintenance of the state’s network core infrastructure, support services provided by DCS staff, and the expenses required to manage architect, engineer, </w:t>
      </w:r>
      <w:r w:rsidRPr="0011651E">
        <w:rPr>
          <w:szCs w:val="24"/>
        </w:rPr>
        <w:lastRenderedPageBreak/>
        <w:t>maintain, secure, and operate the IT functions and supporting technology used by agencies. The services covered by the assessment include:</w:t>
      </w:r>
    </w:p>
    <w:p w14:paraId="7168F33F"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Core DCS and wide area network (WAN) functionality and physical network infrastructure.</w:t>
      </w:r>
    </w:p>
    <w:p w14:paraId="6248BB4F"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Internet and cloud connectivity services.</w:t>
      </w:r>
    </w:p>
    <w:p w14:paraId="1B46B69E"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Business relationship management.</w:t>
      </w:r>
    </w:p>
    <w:p w14:paraId="02D89AFA"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Management staff associated with assessment-based services.</w:t>
      </w:r>
    </w:p>
    <w:p w14:paraId="4ABE188D"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Incident response and change management.</w:t>
      </w:r>
    </w:p>
    <w:p w14:paraId="79C0A7BF"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Data Center building maintenance.</w:t>
      </w:r>
    </w:p>
    <w:p w14:paraId="6EF04903"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24/7 monitoring and observability.</w:t>
      </w:r>
    </w:p>
    <w:p w14:paraId="132DF765"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Disaster recovery solution development and testing.</w:t>
      </w:r>
    </w:p>
    <w:p w14:paraId="6578A88B"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Management of the federally regulated data compliance program.</w:t>
      </w:r>
    </w:p>
    <w:p w14:paraId="60E6C7F1" w14:textId="77777777" w:rsidR="00F80E94" w:rsidRPr="0011651E" w:rsidRDefault="00F80E94" w:rsidP="00F25900">
      <w:pPr>
        <w:pStyle w:val="ListBullet"/>
        <w:numPr>
          <w:ilvl w:val="0"/>
          <w:numId w:val="27"/>
        </w:numPr>
        <w:ind w:right="18"/>
        <w:rPr>
          <w:rFonts w:asciiTheme="minorHAnsi" w:hAnsiTheme="minorHAnsi"/>
          <w:sz w:val="24"/>
          <w:szCs w:val="24"/>
        </w:rPr>
      </w:pPr>
      <w:r w:rsidRPr="0011651E">
        <w:rPr>
          <w:rFonts w:asciiTheme="minorHAnsi" w:hAnsiTheme="minorHAnsi"/>
          <w:sz w:val="24"/>
          <w:szCs w:val="24"/>
        </w:rPr>
        <w:t>Service desk functions, including taking calls from customers, creating service tickets and responding to system alerts.</w:t>
      </w:r>
    </w:p>
    <w:p w14:paraId="10915487" w14:textId="77777777" w:rsidR="00F80E94" w:rsidRPr="0011651E" w:rsidRDefault="00F80E94" w:rsidP="00F25900">
      <w:pPr>
        <w:pStyle w:val="ListBullet"/>
        <w:numPr>
          <w:ilvl w:val="0"/>
          <w:numId w:val="27"/>
        </w:numPr>
        <w:spacing w:before="0"/>
        <w:ind w:right="18"/>
        <w:rPr>
          <w:rFonts w:asciiTheme="minorHAnsi" w:hAnsiTheme="minorHAnsi"/>
          <w:sz w:val="24"/>
          <w:szCs w:val="24"/>
        </w:rPr>
      </w:pPr>
      <w:r w:rsidRPr="0011651E">
        <w:rPr>
          <w:rFonts w:asciiTheme="minorHAnsi" w:hAnsiTheme="minorHAnsi"/>
          <w:sz w:val="24"/>
          <w:szCs w:val="24"/>
        </w:rPr>
        <w:t>Mainframe, iSeries and x86 based batch processing support.</w:t>
      </w:r>
    </w:p>
    <w:p w14:paraId="326468B4" w14:textId="77777777" w:rsidR="00F80E94" w:rsidRPr="00195D46" w:rsidRDefault="00F80E94" w:rsidP="00F80E94">
      <w:pPr>
        <w:spacing w:after="0" w:line="240" w:lineRule="auto"/>
        <w:ind w:right="18"/>
      </w:pPr>
    </w:p>
    <w:p w14:paraId="0A4C4C26" w14:textId="7924E4F8" w:rsidR="79D38361" w:rsidRPr="00E2043D" w:rsidRDefault="00F80E94" w:rsidP="79D38361">
      <w:pPr>
        <w:spacing w:after="0"/>
        <w:ind w:right="18"/>
        <w:rPr>
          <w:b/>
          <w:bCs/>
          <w:i/>
          <w:iCs/>
          <w:u w:val="single"/>
        </w:rPr>
      </w:pPr>
      <w:r w:rsidRPr="79D38361">
        <w:t xml:space="preserve">These activities are supported by an assessment that allocates costs to state agencies based on 2025-27 Legislatively Adopted Budget (LAB) </w:t>
      </w:r>
      <w:r w:rsidRPr="79D38361">
        <w:rPr>
          <w:spacing w:val="-2"/>
        </w:rPr>
        <w:t>F</w:t>
      </w:r>
      <w:r w:rsidRPr="79D38361">
        <w:t>ull-</w:t>
      </w:r>
      <w:r w:rsidRPr="79D38361">
        <w:rPr>
          <w:spacing w:val="-1"/>
        </w:rPr>
        <w:t>T</w:t>
      </w:r>
      <w:r w:rsidRPr="79D38361">
        <w:t xml:space="preserve">ime </w:t>
      </w:r>
      <w:r w:rsidRPr="79D38361">
        <w:rPr>
          <w:spacing w:val="-1"/>
        </w:rPr>
        <w:t>E</w:t>
      </w:r>
      <w:r w:rsidRPr="79D38361">
        <w:t>quiv</w:t>
      </w:r>
      <w:r w:rsidRPr="79D38361">
        <w:rPr>
          <w:spacing w:val="-1"/>
        </w:rPr>
        <w:t>a</w:t>
      </w:r>
      <w:r w:rsidRPr="79D38361">
        <w:t>l</w:t>
      </w:r>
      <w:r w:rsidRPr="79D38361">
        <w:rPr>
          <w:spacing w:val="-1"/>
        </w:rPr>
        <w:t>e</w:t>
      </w:r>
      <w:r w:rsidRPr="79D38361">
        <w:t>nt</w:t>
      </w:r>
      <w:r w:rsidRPr="0011651E">
        <w:rPr>
          <w:spacing w:val="17"/>
          <w:szCs w:val="24"/>
        </w:rPr>
        <w:t xml:space="preserve"> </w:t>
      </w:r>
      <w:r w:rsidRPr="0011651E">
        <w:rPr>
          <w:spacing w:val="-1"/>
          <w:szCs w:val="24"/>
        </w:rPr>
        <w:t>(</w:t>
      </w:r>
      <w:r w:rsidRPr="79D38361">
        <w:rPr>
          <w:spacing w:val="-2"/>
        </w:rPr>
        <w:t>F</w:t>
      </w:r>
      <w:r w:rsidRPr="79D38361">
        <w:rPr>
          <w:spacing w:val="2"/>
        </w:rPr>
        <w:t>T</w:t>
      </w:r>
      <w:r w:rsidRPr="79D38361">
        <w:rPr>
          <w:spacing w:val="-1"/>
        </w:rPr>
        <w:t>E)</w:t>
      </w:r>
      <w:r w:rsidRPr="79D38361">
        <w:t xml:space="preserve"> authority. Reference Data Center Services (DCS) in Appendix A.</w:t>
      </w:r>
    </w:p>
    <w:p w14:paraId="3B2D55A3" w14:textId="28459489" w:rsidR="00F80E94" w:rsidRPr="00195D46" w:rsidRDefault="00F80E94" w:rsidP="2E12E5CC">
      <w:pPr>
        <w:pStyle w:val="Heading5"/>
        <w:rPr>
          <w:u w:val="single"/>
        </w:rPr>
      </w:pPr>
      <w:r>
        <w:t>Pass-Through</w:t>
      </w:r>
    </w:p>
    <w:p w14:paraId="553B1AF1" w14:textId="77777777" w:rsidR="00F80E94" w:rsidRPr="0011651E" w:rsidRDefault="00F80E94" w:rsidP="00F80E94">
      <w:pPr>
        <w:ind w:right="18"/>
        <w:rPr>
          <w:szCs w:val="24"/>
        </w:rPr>
      </w:pPr>
      <w:r w:rsidRPr="0011651E">
        <w:rPr>
          <w:szCs w:val="24"/>
        </w:rPr>
        <w:t>Pass-through is a charge that is incurred by DCS then passed directly to the customer on a dollar-for-dollar basis. Pass-through costs are not included in service rates.</w:t>
      </w:r>
    </w:p>
    <w:p w14:paraId="57856964" w14:textId="77777777" w:rsidR="00F80E94" w:rsidRPr="0011651E" w:rsidRDefault="00F80E94" w:rsidP="006176F7">
      <w:pPr>
        <w:pStyle w:val="ListNumber"/>
        <w:numPr>
          <w:ilvl w:val="0"/>
          <w:numId w:val="9"/>
        </w:numPr>
        <w:ind w:right="18"/>
        <w:rPr>
          <w:rFonts w:asciiTheme="minorHAnsi" w:hAnsiTheme="minorHAnsi"/>
          <w:sz w:val="24"/>
          <w:szCs w:val="24"/>
        </w:rPr>
      </w:pPr>
      <w:r w:rsidRPr="0011651E">
        <w:rPr>
          <w:rFonts w:asciiTheme="minorHAnsi" w:hAnsiTheme="minorHAnsi"/>
          <w:sz w:val="24"/>
          <w:szCs w:val="24"/>
        </w:rPr>
        <w:t xml:space="preserve">Network Pass-Through: This charge is paid for domain registrations and renewals then passed through to the customer. </w:t>
      </w:r>
    </w:p>
    <w:p w14:paraId="3428F300" w14:textId="77777777" w:rsidR="00F80E94" w:rsidRPr="0011651E" w:rsidRDefault="00F80E94" w:rsidP="006176F7">
      <w:pPr>
        <w:pStyle w:val="ListNumber"/>
        <w:numPr>
          <w:ilvl w:val="0"/>
          <w:numId w:val="9"/>
        </w:numPr>
        <w:ind w:right="18"/>
        <w:rPr>
          <w:rFonts w:asciiTheme="minorHAnsi" w:hAnsiTheme="minorHAnsi"/>
          <w:sz w:val="24"/>
          <w:szCs w:val="24"/>
        </w:rPr>
      </w:pPr>
      <w:r w:rsidRPr="0011651E">
        <w:rPr>
          <w:rFonts w:asciiTheme="minorHAnsi" w:hAnsiTheme="minorHAnsi"/>
          <w:sz w:val="24"/>
          <w:szCs w:val="24"/>
        </w:rPr>
        <w:t xml:space="preserve">Software Pass-Through: This charge is paid for Secure Socket Layer (SSL) certificates, server software, scanning software, Windows, iSeries, Linux, mainframe, databases, and other application software purchased by DCS for the benefit of the customer. </w:t>
      </w:r>
    </w:p>
    <w:p w14:paraId="21FF2064" w14:textId="77777777" w:rsidR="00F80E94" w:rsidRPr="0011651E" w:rsidRDefault="00F80E94" w:rsidP="006176F7">
      <w:pPr>
        <w:pStyle w:val="ListNumber"/>
        <w:numPr>
          <w:ilvl w:val="0"/>
          <w:numId w:val="9"/>
        </w:numPr>
        <w:ind w:right="18"/>
        <w:rPr>
          <w:rFonts w:asciiTheme="minorHAnsi" w:hAnsiTheme="minorHAnsi"/>
          <w:sz w:val="24"/>
          <w:szCs w:val="24"/>
        </w:rPr>
      </w:pPr>
      <w:r w:rsidRPr="0011651E">
        <w:rPr>
          <w:rFonts w:asciiTheme="minorHAnsi" w:hAnsiTheme="minorHAnsi"/>
          <w:sz w:val="24"/>
          <w:szCs w:val="24"/>
        </w:rPr>
        <w:t>Colocation keycard access. This is a DAS Facilities charge to provide access to the DCS raised floor for colocation customers.</w:t>
      </w:r>
    </w:p>
    <w:p w14:paraId="538A6A8D" w14:textId="77777777" w:rsidR="00F80E94" w:rsidRPr="00195D46" w:rsidRDefault="00F80E94" w:rsidP="2E12E5CC">
      <w:pPr>
        <w:pStyle w:val="Heading5"/>
        <w:rPr>
          <w:b w:val="0"/>
          <w:u w:val="single"/>
        </w:rPr>
      </w:pPr>
      <w:r>
        <w:t xml:space="preserve">Charge </w:t>
      </w:r>
      <w:proofErr w:type="gramStart"/>
      <w:r>
        <w:t>for</w:t>
      </w:r>
      <w:proofErr w:type="gramEnd"/>
      <w:r>
        <w:t xml:space="preserve"> Services</w:t>
      </w:r>
    </w:p>
    <w:p w14:paraId="00269558" w14:textId="77777777" w:rsidR="00F80E94" w:rsidRPr="0011651E" w:rsidRDefault="00F80E94" w:rsidP="00F80E94">
      <w:pPr>
        <w:ind w:right="18"/>
        <w:rPr>
          <w:szCs w:val="24"/>
        </w:rPr>
      </w:pPr>
      <w:r w:rsidRPr="0011651E">
        <w:rPr>
          <w:szCs w:val="24"/>
        </w:rPr>
        <w:t xml:space="preserve">DCS uses a rate development method that relies on a cost allocation process to determine actual costs to provide a unit of service. Cost allocation incorporates all fixed and variable </w:t>
      </w:r>
      <w:r w:rsidRPr="0011651E">
        <w:rPr>
          <w:szCs w:val="24"/>
        </w:rPr>
        <w:lastRenderedPageBreak/>
        <w:t xml:space="preserve">costs used to determine the total cost for providing a service. Rates are then calculated to recover total actual costs for each service </w:t>
      </w:r>
      <w:proofErr w:type="gramStart"/>
      <w:r w:rsidRPr="0011651E">
        <w:rPr>
          <w:szCs w:val="24"/>
        </w:rPr>
        <w:t>offering</w:t>
      </w:r>
      <w:proofErr w:type="gramEnd"/>
      <w:r w:rsidRPr="0011651E">
        <w:rPr>
          <w:szCs w:val="24"/>
        </w:rPr>
        <w:t>, based on the following objectives:</w:t>
      </w:r>
    </w:p>
    <w:p w14:paraId="633BF695" w14:textId="77777777" w:rsidR="00F80E94" w:rsidRPr="0011651E" w:rsidRDefault="00F80E94" w:rsidP="006176F7">
      <w:pPr>
        <w:pStyle w:val="ListNumber"/>
        <w:numPr>
          <w:ilvl w:val="0"/>
          <w:numId w:val="10"/>
        </w:numPr>
        <w:ind w:right="18"/>
        <w:rPr>
          <w:rFonts w:asciiTheme="minorHAnsi" w:hAnsiTheme="minorHAnsi"/>
          <w:sz w:val="24"/>
          <w:szCs w:val="24"/>
        </w:rPr>
      </w:pPr>
      <w:r w:rsidRPr="0011651E">
        <w:rPr>
          <w:rFonts w:asciiTheme="minorHAnsi" w:hAnsiTheme="minorHAnsi"/>
          <w:sz w:val="24"/>
          <w:szCs w:val="24"/>
        </w:rPr>
        <w:t>Rates represent the true cost of delivering a service.</w:t>
      </w:r>
    </w:p>
    <w:p w14:paraId="0E6F9304" w14:textId="77777777" w:rsidR="00F80E94" w:rsidRPr="0011651E" w:rsidRDefault="00F80E94" w:rsidP="006176F7">
      <w:pPr>
        <w:pStyle w:val="ListNumber"/>
        <w:numPr>
          <w:ilvl w:val="0"/>
          <w:numId w:val="7"/>
        </w:numPr>
        <w:ind w:right="18"/>
        <w:rPr>
          <w:rFonts w:asciiTheme="minorHAnsi" w:hAnsiTheme="minorHAnsi"/>
          <w:sz w:val="24"/>
          <w:szCs w:val="24"/>
        </w:rPr>
      </w:pPr>
      <w:r w:rsidRPr="0011651E">
        <w:rPr>
          <w:rFonts w:asciiTheme="minorHAnsi" w:hAnsiTheme="minorHAnsi"/>
          <w:sz w:val="24"/>
          <w:szCs w:val="24"/>
        </w:rPr>
        <w:t>Each service line is run as a “business within a business.”</w:t>
      </w:r>
    </w:p>
    <w:p w14:paraId="6967BCFE" w14:textId="77777777" w:rsidR="00F80E94" w:rsidRPr="0011651E" w:rsidRDefault="00F80E94" w:rsidP="006176F7">
      <w:pPr>
        <w:pStyle w:val="ListNumber"/>
        <w:numPr>
          <w:ilvl w:val="0"/>
          <w:numId w:val="7"/>
        </w:numPr>
        <w:ind w:right="18"/>
        <w:rPr>
          <w:rFonts w:asciiTheme="minorHAnsi" w:hAnsiTheme="minorHAnsi"/>
          <w:sz w:val="24"/>
          <w:szCs w:val="24"/>
        </w:rPr>
      </w:pPr>
      <w:r w:rsidRPr="0011651E">
        <w:rPr>
          <w:rFonts w:asciiTheme="minorHAnsi" w:hAnsiTheme="minorHAnsi"/>
          <w:sz w:val="24"/>
          <w:szCs w:val="24"/>
        </w:rPr>
        <w:t>The process complies with federal regulations.</w:t>
      </w:r>
    </w:p>
    <w:p w14:paraId="4BCA537C" w14:textId="77777777" w:rsidR="00F80E94" w:rsidRPr="0011651E" w:rsidRDefault="00F80E94" w:rsidP="006176F7">
      <w:pPr>
        <w:pStyle w:val="ListNumber"/>
        <w:numPr>
          <w:ilvl w:val="0"/>
          <w:numId w:val="7"/>
        </w:numPr>
        <w:ind w:right="18"/>
        <w:rPr>
          <w:rFonts w:asciiTheme="minorHAnsi" w:hAnsiTheme="minorHAnsi"/>
          <w:sz w:val="24"/>
          <w:szCs w:val="24"/>
        </w:rPr>
      </w:pPr>
      <w:r w:rsidRPr="0011651E">
        <w:rPr>
          <w:rFonts w:asciiTheme="minorHAnsi" w:hAnsiTheme="minorHAnsi"/>
          <w:sz w:val="24"/>
          <w:szCs w:val="24"/>
        </w:rPr>
        <w:t>Forecasting is based on agency submissions using historical usage and trend data.</w:t>
      </w:r>
    </w:p>
    <w:p w14:paraId="3B003477" w14:textId="2FE99799" w:rsidR="009F2992" w:rsidRDefault="00F80E94" w:rsidP="009F2992">
      <w:pPr>
        <w:pStyle w:val="ListNumber"/>
        <w:numPr>
          <w:ilvl w:val="0"/>
          <w:numId w:val="7"/>
        </w:numPr>
        <w:ind w:right="18"/>
        <w:rPr>
          <w:rFonts w:asciiTheme="minorHAnsi" w:hAnsiTheme="minorHAnsi"/>
          <w:sz w:val="24"/>
          <w:szCs w:val="24"/>
        </w:rPr>
      </w:pPr>
      <w:r w:rsidRPr="0011651E">
        <w:rPr>
          <w:rFonts w:asciiTheme="minorHAnsi" w:hAnsiTheme="minorHAnsi"/>
          <w:sz w:val="24"/>
          <w:szCs w:val="24"/>
        </w:rPr>
        <w:t>Rates are scrutinized internally and externally for transparency.</w:t>
      </w:r>
    </w:p>
    <w:p w14:paraId="7E2AAD36" w14:textId="77777777" w:rsidR="009F2992" w:rsidRPr="009F2992" w:rsidRDefault="009F2992" w:rsidP="009F2992">
      <w:pPr>
        <w:pStyle w:val="ListNumber"/>
        <w:numPr>
          <w:ilvl w:val="0"/>
          <w:numId w:val="0"/>
        </w:numPr>
        <w:ind w:right="18"/>
        <w:rPr>
          <w:rFonts w:asciiTheme="minorHAnsi" w:hAnsiTheme="minorHAnsi"/>
          <w:sz w:val="24"/>
          <w:szCs w:val="24"/>
        </w:rPr>
      </w:pPr>
    </w:p>
    <w:p w14:paraId="6E0197C8" w14:textId="77777777" w:rsidR="00F80E94" w:rsidRPr="005838CB" w:rsidRDefault="00F80E94" w:rsidP="2E12E5CC">
      <w:pPr>
        <w:pStyle w:val="Heading5"/>
        <w:rPr>
          <w:rFonts w:eastAsia="Cambria"/>
          <w:sz w:val="20"/>
          <w:szCs w:val="20"/>
        </w:rPr>
      </w:pPr>
      <w:r>
        <w:t>Mainframe</w:t>
      </w:r>
    </w:p>
    <w:p w14:paraId="4E28C1A7" w14:textId="77777777" w:rsidR="00F80E94" w:rsidRDefault="00F80E94" w:rsidP="00F80E94">
      <w:pPr>
        <w:ind w:right="18"/>
      </w:pPr>
      <w:r w:rsidRPr="009F46ED">
        <w:t>Supports z/OS</w:t>
      </w:r>
      <w:r>
        <w:t xml:space="preserve"> </w:t>
      </w:r>
      <w:r w:rsidRPr="009F46ED">
        <w:t>and z/Linux. Primary function covers the actual mainframe computer systems software (operating systems, networks, DBMS, etc.) which are responsible for the efficient performance of the mainframe and tasks that integrate mainframe vendor software, utilities, databases and communications. This service unit performs engineering, installation, support, and disaster recovery for the mainframe platform and all associated systems and software products.</w:t>
      </w:r>
    </w:p>
    <w:tbl>
      <w:tblPr>
        <w:tblW w:w="8911" w:type="dxa"/>
        <w:jc w:val="center"/>
        <w:tblLook w:val="04A0" w:firstRow="1" w:lastRow="0" w:firstColumn="1" w:lastColumn="0" w:noHBand="0" w:noVBand="1"/>
      </w:tblPr>
      <w:tblGrid>
        <w:gridCol w:w="5515"/>
        <w:gridCol w:w="2070"/>
        <w:gridCol w:w="1326"/>
      </w:tblGrid>
      <w:tr w:rsidR="00F80E94" w:rsidRPr="004147C6" w14:paraId="0899CD2E" w14:textId="77777777" w:rsidTr="00306CF3">
        <w:trPr>
          <w:trHeight w:val="422"/>
          <w:jc w:val="center"/>
        </w:trPr>
        <w:tc>
          <w:tcPr>
            <w:tcW w:w="891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99F006" w14:textId="77777777" w:rsidR="00F80E94" w:rsidRPr="006C218D" w:rsidRDefault="00F80E94" w:rsidP="00306CF3">
            <w:pPr>
              <w:spacing w:after="0" w:line="240" w:lineRule="auto"/>
              <w:ind w:right="18"/>
              <w:jc w:val="center"/>
              <w:rPr>
                <w:rFonts w:eastAsia="Times New Roman"/>
                <w:b/>
                <w:bCs/>
              </w:rPr>
            </w:pPr>
            <w:r w:rsidRPr="006C218D">
              <w:rPr>
                <w:rFonts w:eastAsia="Times New Roman"/>
                <w:b/>
                <w:bCs/>
              </w:rPr>
              <w:t xml:space="preserve">Mainframe </w:t>
            </w:r>
          </w:p>
        </w:tc>
      </w:tr>
      <w:tr w:rsidR="00F80E94" w:rsidRPr="004147C6" w14:paraId="33C780EA" w14:textId="77777777" w:rsidTr="00306CF3">
        <w:trPr>
          <w:trHeight w:val="432"/>
          <w:jc w:val="center"/>
        </w:trPr>
        <w:tc>
          <w:tcPr>
            <w:tcW w:w="5515" w:type="dxa"/>
            <w:tcBorders>
              <w:top w:val="nil"/>
              <w:left w:val="single" w:sz="4" w:space="0" w:color="auto"/>
              <w:bottom w:val="single" w:sz="4" w:space="0" w:color="auto"/>
              <w:right w:val="single" w:sz="4" w:space="0" w:color="auto"/>
            </w:tcBorders>
            <w:vAlign w:val="center"/>
          </w:tcPr>
          <w:p w14:paraId="0F611DA1" w14:textId="77777777" w:rsidR="00F80E94" w:rsidRPr="004147C6" w:rsidRDefault="00F80E94" w:rsidP="00306CF3">
            <w:pPr>
              <w:spacing w:after="0" w:line="240" w:lineRule="auto"/>
              <w:ind w:right="18"/>
              <w:rPr>
                <w:rFonts w:eastAsia="Times New Roman"/>
                <w:bCs/>
              </w:rPr>
            </w:pPr>
          </w:p>
        </w:tc>
        <w:tc>
          <w:tcPr>
            <w:tcW w:w="2070" w:type="dxa"/>
            <w:tcBorders>
              <w:top w:val="nil"/>
              <w:left w:val="nil"/>
              <w:bottom w:val="single" w:sz="4" w:space="0" w:color="auto"/>
              <w:right w:val="single" w:sz="4" w:space="0" w:color="auto"/>
            </w:tcBorders>
            <w:shd w:val="clear" w:color="auto" w:fill="D9D9D9" w:themeFill="background1" w:themeFillShade="D9"/>
            <w:vAlign w:val="center"/>
          </w:tcPr>
          <w:p w14:paraId="1BBA5AA5" w14:textId="77777777" w:rsidR="00F80E94" w:rsidRPr="006C218D" w:rsidRDefault="00F80E94" w:rsidP="00306CF3">
            <w:pPr>
              <w:spacing w:after="0" w:line="240" w:lineRule="auto"/>
              <w:ind w:right="18"/>
              <w:jc w:val="center"/>
              <w:rPr>
                <w:rFonts w:eastAsia="Calibri"/>
                <w:b/>
                <w:bCs/>
              </w:rPr>
            </w:pPr>
            <w:r w:rsidRPr="006C218D">
              <w:rPr>
                <w:rFonts w:eastAsia="Calibri"/>
                <w:b/>
                <w:bCs/>
              </w:rPr>
              <w:t>Billable Unit</w:t>
            </w:r>
          </w:p>
          <w:p w14:paraId="57342569" w14:textId="77777777" w:rsidR="00F80E94" w:rsidRPr="006C218D" w:rsidRDefault="00F80E94" w:rsidP="00306CF3">
            <w:pPr>
              <w:spacing w:after="0" w:line="240" w:lineRule="auto"/>
              <w:ind w:right="18"/>
              <w:jc w:val="center"/>
              <w:rPr>
                <w:rFonts w:eastAsia="Calibri"/>
                <w:b/>
                <w:bCs/>
              </w:rPr>
            </w:pPr>
            <w:r w:rsidRPr="006C218D">
              <w:rPr>
                <w:rFonts w:eastAsia="Calibri"/>
                <w:b/>
                <w:bCs/>
              </w:rPr>
              <w:t>per Month</w:t>
            </w:r>
          </w:p>
        </w:tc>
        <w:tc>
          <w:tcPr>
            <w:tcW w:w="1326" w:type="dxa"/>
            <w:tcBorders>
              <w:top w:val="nil"/>
              <w:left w:val="nil"/>
              <w:bottom w:val="single" w:sz="4" w:space="0" w:color="auto"/>
              <w:right w:val="single" w:sz="4" w:space="0" w:color="auto"/>
            </w:tcBorders>
            <w:shd w:val="clear" w:color="auto" w:fill="D9D9D9" w:themeFill="background1" w:themeFillShade="D9"/>
            <w:noWrap/>
            <w:vAlign w:val="center"/>
          </w:tcPr>
          <w:p w14:paraId="068C1333" w14:textId="77777777" w:rsidR="00F80E94" w:rsidRPr="006C218D" w:rsidRDefault="00F80E94" w:rsidP="00306CF3">
            <w:pPr>
              <w:spacing w:after="0" w:line="240" w:lineRule="auto"/>
              <w:ind w:right="18"/>
              <w:jc w:val="center"/>
              <w:rPr>
                <w:rFonts w:eastAsia="Calibri"/>
                <w:b/>
                <w:bCs/>
              </w:rPr>
            </w:pPr>
            <w:r w:rsidRPr="006C218D">
              <w:rPr>
                <w:rFonts w:eastAsia="Calibri"/>
                <w:b/>
                <w:bCs/>
              </w:rPr>
              <w:t>202</w:t>
            </w:r>
            <w:r>
              <w:rPr>
                <w:rFonts w:eastAsia="Calibri"/>
                <w:b/>
                <w:bCs/>
              </w:rPr>
              <w:t>7</w:t>
            </w:r>
            <w:r w:rsidRPr="006C218D">
              <w:rPr>
                <w:rFonts w:eastAsia="Calibri"/>
                <w:b/>
                <w:bCs/>
              </w:rPr>
              <w:t>-2</w:t>
            </w:r>
            <w:r>
              <w:rPr>
                <w:rFonts w:eastAsia="Calibri"/>
                <w:b/>
                <w:bCs/>
              </w:rPr>
              <w:t>9</w:t>
            </w:r>
          </w:p>
          <w:p w14:paraId="46C94E23" w14:textId="77777777" w:rsidR="00F80E94" w:rsidRPr="006C218D" w:rsidRDefault="00F80E94" w:rsidP="00306CF3">
            <w:pPr>
              <w:spacing w:after="0" w:line="240" w:lineRule="auto"/>
              <w:ind w:right="18"/>
              <w:jc w:val="center"/>
              <w:rPr>
                <w:rFonts w:eastAsia="Calibri"/>
                <w:b/>
                <w:bCs/>
              </w:rPr>
            </w:pPr>
            <w:r w:rsidRPr="006C218D">
              <w:rPr>
                <w:rFonts w:eastAsia="Calibri"/>
                <w:b/>
                <w:bCs/>
              </w:rPr>
              <w:t>Rate</w:t>
            </w:r>
          </w:p>
        </w:tc>
      </w:tr>
      <w:tr w:rsidR="00F80E94" w:rsidRPr="004147C6" w14:paraId="36050833" w14:textId="77777777" w:rsidTr="00306CF3">
        <w:trPr>
          <w:trHeight w:val="287"/>
          <w:jc w:val="center"/>
        </w:trPr>
        <w:tc>
          <w:tcPr>
            <w:tcW w:w="5515" w:type="dxa"/>
            <w:tcBorders>
              <w:top w:val="nil"/>
              <w:left w:val="single" w:sz="4" w:space="0" w:color="auto"/>
              <w:bottom w:val="single" w:sz="4" w:space="0" w:color="auto"/>
              <w:right w:val="single" w:sz="4" w:space="0" w:color="auto"/>
            </w:tcBorders>
            <w:vAlign w:val="center"/>
            <w:hideMark/>
          </w:tcPr>
          <w:p w14:paraId="3E8F9E8B" w14:textId="77777777" w:rsidR="00F80E94" w:rsidRPr="00E07EAE" w:rsidRDefault="00F80E94" w:rsidP="00306CF3">
            <w:pPr>
              <w:spacing w:after="0" w:line="240" w:lineRule="auto"/>
              <w:ind w:right="18"/>
              <w:rPr>
                <w:rFonts w:eastAsia="Times New Roman"/>
                <w:bCs/>
              </w:rPr>
            </w:pPr>
            <w:r w:rsidRPr="00E07EAE">
              <w:rPr>
                <w:rFonts w:eastAsia="Times New Roman"/>
                <w:bCs/>
              </w:rPr>
              <w:t>Batch Processing</w:t>
            </w:r>
          </w:p>
        </w:tc>
        <w:tc>
          <w:tcPr>
            <w:tcW w:w="2070" w:type="dxa"/>
            <w:tcBorders>
              <w:top w:val="nil"/>
              <w:left w:val="nil"/>
              <w:bottom w:val="single" w:sz="4" w:space="0" w:color="auto"/>
              <w:right w:val="single" w:sz="4" w:space="0" w:color="auto"/>
            </w:tcBorders>
            <w:vAlign w:val="center"/>
            <w:hideMark/>
          </w:tcPr>
          <w:p w14:paraId="26C219F5" w14:textId="77777777" w:rsidR="00F80E94" w:rsidRPr="00E07EAE" w:rsidRDefault="00F80E94" w:rsidP="00306CF3">
            <w:pPr>
              <w:spacing w:after="0" w:line="240" w:lineRule="auto"/>
              <w:ind w:right="18"/>
              <w:rPr>
                <w:rFonts w:eastAsia="Times New Roman"/>
              </w:rPr>
            </w:pPr>
            <w:r w:rsidRPr="00E07EAE">
              <w:rPr>
                <w:rFonts w:eastAsia="Times New Roman"/>
              </w:rPr>
              <w:t>CPU Minute</w:t>
            </w:r>
          </w:p>
        </w:tc>
        <w:tc>
          <w:tcPr>
            <w:tcW w:w="1326" w:type="dxa"/>
            <w:tcBorders>
              <w:top w:val="nil"/>
              <w:left w:val="nil"/>
              <w:bottom w:val="single" w:sz="4" w:space="0" w:color="auto"/>
              <w:right w:val="single" w:sz="4" w:space="0" w:color="auto"/>
            </w:tcBorders>
            <w:noWrap/>
            <w:vAlign w:val="center"/>
            <w:hideMark/>
          </w:tcPr>
          <w:p w14:paraId="7F6A8F36" w14:textId="63A9E262" w:rsidR="00F80E94" w:rsidRPr="00E07EAE" w:rsidRDefault="00F80E94" w:rsidP="00306CF3">
            <w:pPr>
              <w:spacing w:after="0" w:line="240" w:lineRule="auto"/>
              <w:ind w:right="18"/>
              <w:jc w:val="right"/>
              <w:rPr>
                <w:rFonts w:eastAsia="Times New Roman"/>
              </w:rPr>
            </w:pPr>
            <w:r w:rsidRPr="00E07EAE">
              <w:rPr>
                <w:rFonts w:eastAsia="Times New Roman"/>
              </w:rPr>
              <w:t>$</w:t>
            </w:r>
            <w:r w:rsidR="006438AF">
              <w:rPr>
                <w:rFonts w:eastAsia="Times New Roman"/>
              </w:rPr>
              <w:t>34.47</w:t>
            </w:r>
          </w:p>
        </w:tc>
      </w:tr>
      <w:tr w:rsidR="00F80E94" w:rsidRPr="004147C6" w14:paraId="4D14EFF8" w14:textId="77777777" w:rsidTr="00306CF3">
        <w:trPr>
          <w:trHeight w:val="288"/>
          <w:jc w:val="center"/>
        </w:trPr>
        <w:tc>
          <w:tcPr>
            <w:tcW w:w="5515" w:type="dxa"/>
            <w:tcBorders>
              <w:top w:val="nil"/>
              <w:left w:val="single" w:sz="4" w:space="0" w:color="auto"/>
              <w:bottom w:val="single" w:sz="4" w:space="0" w:color="auto"/>
              <w:right w:val="single" w:sz="4" w:space="0" w:color="auto"/>
            </w:tcBorders>
            <w:vAlign w:val="center"/>
            <w:hideMark/>
          </w:tcPr>
          <w:p w14:paraId="7A18507C" w14:textId="77777777" w:rsidR="00F80E94" w:rsidRPr="00E07EAE" w:rsidRDefault="00F80E94" w:rsidP="00306CF3">
            <w:pPr>
              <w:spacing w:after="0" w:line="240" w:lineRule="auto"/>
              <w:ind w:right="18"/>
              <w:rPr>
                <w:rFonts w:eastAsia="Times New Roman"/>
                <w:bCs/>
              </w:rPr>
            </w:pPr>
            <w:r w:rsidRPr="00E07EAE">
              <w:rPr>
                <w:rFonts w:eastAsia="Times New Roman"/>
                <w:bCs/>
              </w:rPr>
              <w:t>CICS Processing</w:t>
            </w:r>
          </w:p>
        </w:tc>
        <w:tc>
          <w:tcPr>
            <w:tcW w:w="2070" w:type="dxa"/>
            <w:tcBorders>
              <w:top w:val="nil"/>
              <w:left w:val="nil"/>
              <w:bottom w:val="single" w:sz="4" w:space="0" w:color="auto"/>
              <w:right w:val="single" w:sz="4" w:space="0" w:color="auto"/>
            </w:tcBorders>
            <w:vAlign w:val="center"/>
            <w:hideMark/>
          </w:tcPr>
          <w:p w14:paraId="11D49B96" w14:textId="77777777" w:rsidR="00F80E94" w:rsidRPr="00E07EAE" w:rsidRDefault="00F80E94" w:rsidP="00306CF3">
            <w:pPr>
              <w:spacing w:after="0" w:line="240" w:lineRule="auto"/>
              <w:ind w:right="18"/>
              <w:rPr>
                <w:rFonts w:eastAsia="Times New Roman"/>
              </w:rPr>
            </w:pPr>
            <w:r w:rsidRPr="00E07EAE">
              <w:rPr>
                <w:rFonts w:eastAsia="Times New Roman"/>
              </w:rPr>
              <w:t>CPU Minute</w:t>
            </w:r>
          </w:p>
        </w:tc>
        <w:tc>
          <w:tcPr>
            <w:tcW w:w="1326" w:type="dxa"/>
            <w:tcBorders>
              <w:top w:val="nil"/>
              <w:left w:val="nil"/>
              <w:bottom w:val="single" w:sz="4" w:space="0" w:color="auto"/>
              <w:right w:val="single" w:sz="4" w:space="0" w:color="auto"/>
            </w:tcBorders>
            <w:noWrap/>
            <w:vAlign w:val="center"/>
            <w:hideMark/>
          </w:tcPr>
          <w:p w14:paraId="24618AC2" w14:textId="3840A2EB" w:rsidR="00F80E94" w:rsidRPr="00E07EAE" w:rsidRDefault="00F80E94" w:rsidP="00306CF3">
            <w:pPr>
              <w:spacing w:after="0" w:line="240" w:lineRule="auto"/>
              <w:ind w:right="18"/>
              <w:jc w:val="right"/>
              <w:rPr>
                <w:rFonts w:eastAsia="Times New Roman"/>
              </w:rPr>
            </w:pPr>
            <w:r w:rsidRPr="00E07EAE">
              <w:rPr>
                <w:rFonts w:eastAsia="Times New Roman"/>
              </w:rPr>
              <w:t>$</w:t>
            </w:r>
            <w:r w:rsidR="006438AF">
              <w:rPr>
                <w:rFonts w:eastAsia="Times New Roman"/>
              </w:rPr>
              <w:t>51.52</w:t>
            </w:r>
          </w:p>
        </w:tc>
      </w:tr>
      <w:tr w:rsidR="00F80E94" w:rsidRPr="004147C6" w14:paraId="1572DD63" w14:textId="77777777" w:rsidTr="00306CF3">
        <w:trPr>
          <w:trHeight w:val="288"/>
          <w:jc w:val="center"/>
        </w:trPr>
        <w:tc>
          <w:tcPr>
            <w:tcW w:w="5515" w:type="dxa"/>
            <w:tcBorders>
              <w:top w:val="nil"/>
              <w:left w:val="single" w:sz="4" w:space="0" w:color="auto"/>
              <w:bottom w:val="single" w:sz="4" w:space="0" w:color="auto"/>
              <w:right w:val="single" w:sz="4" w:space="0" w:color="auto"/>
            </w:tcBorders>
            <w:vAlign w:val="center"/>
            <w:hideMark/>
          </w:tcPr>
          <w:p w14:paraId="3746DF7A" w14:textId="77777777" w:rsidR="00F80E94" w:rsidRPr="00E07EAE" w:rsidRDefault="00F80E94" w:rsidP="00306CF3">
            <w:pPr>
              <w:spacing w:after="0" w:line="240" w:lineRule="auto"/>
              <w:ind w:right="18"/>
              <w:rPr>
                <w:rFonts w:eastAsia="Times New Roman"/>
                <w:bCs/>
              </w:rPr>
            </w:pPr>
            <w:r w:rsidRPr="00E07EAE">
              <w:rPr>
                <w:rFonts w:eastAsia="Times New Roman"/>
                <w:bCs/>
              </w:rPr>
              <w:t>DB2 Processing</w:t>
            </w:r>
          </w:p>
        </w:tc>
        <w:tc>
          <w:tcPr>
            <w:tcW w:w="2070" w:type="dxa"/>
            <w:tcBorders>
              <w:top w:val="nil"/>
              <w:left w:val="nil"/>
              <w:bottom w:val="single" w:sz="4" w:space="0" w:color="auto"/>
              <w:right w:val="single" w:sz="4" w:space="0" w:color="auto"/>
            </w:tcBorders>
            <w:vAlign w:val="center"/>
            <w:hideMark/>
          </w:tcPr>
          <w:p w14:paraId="34F811C1" w14:textId="77777777" w:rsidR="00F80E94" w:rsidRPr="00E07EAE" w:rsidRDefault="00F80E94" w:rsidP="00306CF3">
            <w:pPr>
              <w:spacing w:after="0" w:line="240" w:lineRule="auto"/>
              <w:ind w:right="18"/>
              <w:rPr>
                <w:rFonts w:eastAsia="Times New Roman"/>
              </w:rPr>
            </w:pPr>
            <w:r w:rsidRPr="00E07EAE">
              <w:rPr>
                <w:rFonts w:eastAsia="Times New Roman"/>
              </w:rPr>
              <w:t>CPU Minute</w:t>
            </w:r>
          </w:p>
        </w:tc>
        <w:tc>
          <w:tcPr>
            <w:tcW w:w="1326" w:type="dxa"/>
            <w:tcBorders>
              <w:top w:val="nil"/>
              <w:left w:val="nil"/>
              <w:bottom w:val="single" w:sz="4" w:space="0" w:color="auto"/>
              <w:right w:val="single" w:sz="4" w:space="0" w:color="auto"/>
            </w:tcBorders>
            <w:noWrap/>
            <w:vAlign w:val="center"/>
            <w:hideMark/>
          </w:tcPr>
          <w:p w14:paraId="2BCDE910" w14:textId="04FDBF79" w:rsidR="00F80E94" w:rsidRPr="00E07EAE" w:rsidRDefault="00F80E94" w:rsidP="00306CF3">
            <w:pPr>
              <w:spacing w:after="0" w:line="240" w:lineRule="auto"/>
              <w:ind w:right="18"/>
              <w:jc w:val="right"/>
              <w:rPr>
                <w:rFonts w:eastAsia="Times New Roman"/>
              </w:rPr>
            </w:pPr>
            <w:r w:rsidRPr="00E07EAE">
              <w:rPr>
                <w:rFonts w:eastAsia="Times New Roman"/>
              </w:rPr>
              <w:t>$</w:t>
            </w:r>
            <w:r w:rsidR="006438AF">
              <w:rPr>
                <w:rFonts w:eastAsia="Times New Roman"/>
              </w:rPr>
              <w:t>46.35</w:t>
            </w:r>
          </w:p>
        </w:tc>
      </w:tr>
      <w:tr w:rsidR="00F80E94" w:rsidRPr="004147C6" w14:paraId="6A8E913E" w14:textId="77777777" w:rsidTr="00306CF3">
        <w:trPr>
          <w:trHeight w:val="288"/>
          <w:jc w:val="center"/>
        </w:trPr>
        <w:tc>
          <w:tcPr>
            <w:tcW w:w="5515" w:type="dxa"/>
            <w:tcBorders>
              <w:top w:val="nil"/>
              <w:left w:val="single" w:sz="4" w:space="0" w:color="auto"/>
              <w:bottom w:val="single" w:sz="4" w:space="0" w:color="auto"/>
              <w:right w:val="single" w:sz="4" w:space="0" w:color="auto"/>
            </w:tcBorders>
            <w:vAlign w:val="center"/>
            <w:hideMark/>
          </w:tcPr>
          <w:p w14:paraId="72A3D8E2" w14:textId="77777777" w:rsidR="00F80E94" w:rsidRPr="00E07EAE" w:rsidRDefault="00F80E94" w:rsidP="00306CF3">
            <w:pPr>
              <w:spacing w:after="0" w:line="240" w:lineRule="auto"/>
              <w:ind w:right="18"/>
              <w:rPr>
                <w:rFonts w:eastAsia="Times New Roman"/>
                <w:bCs/>
              </w:rPr>
            </w:pPr>
            <w:r w:rsidRPr="00E07EAE">
              <w:rPr>
                <w:rFonts w:eastAsia="Times New Roman"/>
                <w:bCs/>
              </w:rPr>
              <w:t>TSO Processing</w:t>
            </w:r>
          </w:p>
        </w:tc>
        <w:tc>
          <w:tcPr>
            <w:tcW w:w="2070" w:type="dxa"/>
            <w:tcBorders>
              <w:top w:val="nil"/>
              <w:left w:val="nil"/>
              <w:bottom w:val="single" w:sz="4" w:space="0" w:color="auto"/>
              <w:right w:val="single" w:sz="4" w:space="0" w:color="auto"/>
            </w:tcBorders>
            <w:vAlign w:val="center"/>
            <w:hideMark/>
          </w:tcPr>
          <w:p w14:paraId="12C43F9B" w14:textId="77777777" w:rsidR="00F80E94" w:rsidRPr="00E07EAE" w:rsidRDefault="00F80E94" w:rsidP="00306CF3">
            <w:pPr>
              <w:spacing w:after="0" w:line="240" w:lineRule="auto"/>
              <w:ind w:right="18"/>
              <w:rPr>
                <w:rFonts w:eastAsia="Times New Roman"/>
              </w:rPr>
            </w:pPr>
            <w:r w:rsidRPr="00E07EAE">
              <w:rPr>
                <w:rFonts w:eastAsia="Times New Roman"/>
              </w:rPr>
              <w:t>CPU Minute</w:t>
            </w:r>
          </w:p>
        </w:tc>
        <w:tc>
          <w:tcPr>
            <w:tcW w:w="1326" w:type="dxa"/>
            <w:tcBorders>
              <w:top w:val="nil"/>
              <w:left w:val="nil"/>
              <w:bottom w:val="single" w:sz="4" w:space="0" w:color="auto"/>
              <w:right w:val="single" w:sz="4" w:space="0" w:color="auto"/>
            </w:tcBorders>
            <w:noWrap/>
            <w:vAlign w:val="center"/>
            <w:hideMark/>
          </w:tcPr>
          <w:p w14:paraId="0DC8C732" w14:textId="635B56D7" w:rsidR="00F80E94" w:rsidRPr="00E07EAE" w:rsidRDefault="00F80E94" w:rsidP="00306CF3">
            <w:pPr>
              <w:spacing w:after="0" w:line="240" w:lineRule="auto"/>
              <w:ind w:right="18"/>
              <w:jc w:val="right"/>
              <w:rPr>
                <w:rFonts w:eastAsia="Times New Roman"/>
              </w:rPr>
            </w:pPr>
            <w:r w:rsidRPr="00E07EAE">
              <w:rPr>
                <w:rFonts w:eastAsia="Times New Roman"/>
              </w:rPr>
              <w:t>$</w:t>
            </w:r>
            <w:r w:rsidR="006438AF">
              <w:rPr>
                <w:rFonts w:eastAsia="Times New Roman"/>
              </w:rPr>
              <w:t>34.47</w:t>
            </w:r>
          </w:p>
        </w:tc>
      </w:tr>
    </w:tbl>
    <w:p w14:paraId="327BF291" w14:textId="4BEE9D2D" w:rsidR="00F80E94" w:rsidRPr="00DE063F" w:rsidRDefault="00F80E94" w:rsidP="2E12E5CC">
      <w:pPr>
        <w:pStyle w:val="Heading5"/>
        <w:rPr>
          <w:rFonts w:eastAsia="Cambria"/>
          <w:sz w:val="20"/>
          <w:szCs w:val="20"/>
        </w:rPr>
      </w:pPr>
      <w:r>
        <w:t>Disaster Recovery</w:t>
      </w:r>
    </w:p>
    <w:p w14:paraId="58156710" w14:textId="77777777" w:rsidR="00F80E94" w:rsidRPr="00F2037C" w:rsidRDefault="00F80E94" w:rsidP="00F80E94">
      <w:pPr>
        <w:rPr>
          <w:rStyle w:val="eop"/>
        </w:rPr>
      </w:pPr>
      <w:r w:rsidRPr="00F2037C">
        <w:rPr>
          <w:rStyle w:val="normaltextrun"/>
        </w:rPr>
        <w:t>DCS provides Disaster Recovery (DR) for the infrastructure and platforms it manages in support of agency production systems. By default, the service is not inclusive of lower environments, agency-owned or managed infrastructure whether in an agency-occupied facility or within DCS’ colocation space. In a catastrophe, DCS will restore the infrastructure and platforms in a secondary location for agencies to begin their production system recovery efforts detailed in their DR and Continuity of Operations (COOP) plans.</w:t>
      </w:r>
      <w:r w:rsidRPr="00F2037C">
        <w:rPr>
          <w:rStyle w:val="eop"/>
        </w:rPr>
        <w:t> </w:t>
      </w:r>
    </w:p>
    <w:p w14:paraId="481FA81B" w14:textId="77777777" w:rsidR="00F80E94" w:rsidRPr="00F2037C" w:rsidRDefault="00F80E94" w:rsidP="00F80E94">
      <w:pPr>
        <w:rPr>
          <w:rStyle w:val="eop"/>
        </w:rPr>
      </w:pPr>
      <w:r w:rsidRPr="00F2037C">
        <w:rPr>
          <w:rStyle w:val="normaltextrun"/>
        </w:rPr>
        <w:t>Agencies within managed services are expected to maintain DR plans (including runbooks and appropriate diagrams) for their systems and applications as part of their COOP. Restoration of systems and applications is the responsibility of the customer after DCS restores the infrastructure and platform.</w:t>
      </w:r>
      <w:r w:rsidRPr="00F2037C">
        <w:rPr>
          <w:rStyle w:val="eop"/>
        </w:rPr>
        <w:t> </w:t>
      </w:r>
    </w:p>
    <w:p w14:paraId="0180DEBE" w14:textId="77777777" w:rsidR="00F80E94" w:rsidRPr="00F2037C" w:rsidRDefault="00F80E94" w:rsidP="00F80E94">
      <w:pPr>
        <w:rPr>
          <w:rStyle w:val="normaltextrun"/>
          <w:b/>
          <w:bCs/>
        </w:rPr>
      </w:pPr>
      <w:r w:rsidRPr="00F2037C">
        <w:rPr>
          <w:rStyle w:val="normaltextrun"/>
        </w:rPr>
        <w:t>If multiple agencies are competing for recovery, the priority of service restoration will be set by the State CIO and/or the Governor’s Office.</w:t>
      </w:r>
      <w:r w:rsidRPr="00F2037C">
        <w:rPr>
          <w:rStyle w:val="eop"/>
        </w:rPr>
        <w:t> </w:t>
      </w:r>
    </w:p>
    <w:p w14:paraId="47EDC4B6" w14:textId="10600624" w:rsidR="00F80E94" w:rsidRPr="007D6F98" w:rsidRDefault="00F80E94" w:rsidP="2E12E5CC">
      <w:pPr>
        <w:pStyle w:val="Heading6"/>
        <w:rPr>
          <w:rFonts w:asciiTheme="minorHAnsi" w:hAnsiTheme="minorHAnsi"/>
          <w:u w:val="single"/>
        </w:rPr>
      </w:pPr>
      <w:r>
        <w:t>Mainframe and AIX (Advanced Interactive Executive) Platforms </w:t>
      </w:r>
    </w:p>
    <w:p w14:paraId="2EDB42F5" w14:textId="7D5836A8" w:rsidR="00F80E94" w:rsidRPr="007D6F98" w:rsidRDefault="00F80E94" w:rsidP="00F80E94">
      <w:pPr>
        <w:rPr>
          <w:szCs w:val="24"/>
        </w:rPr>
      </w:pPr>
      <w:r w:rsidRPr="007D6F98">
        <w:rPr>
          <w:rStyle w:val="normaltextrun"/>
          <w:szCs w:val="24"/>
        </w:rPr>
        <w:lastRenderedPageBreak/>
        <w:t>Data and systems are replicated in near real time to a secondary location, which is included in the service rate. Production systems are available after agency testing.</w:t>
      </w:r>
      <w:r w:rsidRPr="007D6F98">
        <w:rPr>
          <w:rStyle w:val="eop"/>
          <w:szCs w:val="24"/>
        </w:rPr>
        <w:t> </w:t>
      </w:r>
    </w:p>
    <w:p w14:paraId="2CA47F01" w14:textId="77777777" w:rsidR="00F80E94" w:rsidRPr="007D6F98" w:rsidRDefault="00F80E94" w:rsidP="2E12E5CC">
      <w:pPr>
        <w:pStyle w:val="Heading6"/>
        <w:rPr>
          <w:rStyle w:val="eop"/>
          <w:rFonts w:asciiTheme="minorHAnsi" w:hAnsiTheme="minorHAnsi"/>
          <w:u w:val="single"/>
        </w:rPr>
      </w:pPr>
      <w:r>
        <w:t>x86 Platforms</w:t>
      </w:r>
    </w:p>
    <w:p w14:paraId="1D39ADBF" w14:textId="77777777" w:rsidR="00F80E94" w:rsidRPr="007D6F98" w:rsidRDefault="00F80E94" w:rsidP="00F80E94">
      <w:pPr>
        <w:rPr>
          <w:rStyle w:val="normaltextrun"/>
          <w:szCs w:val="24"/>
        </w:rPr>
      </w:pPr>
      <w:r w:rsidRPr="007D6F98">
        <w:rPr>
          <w:rStyle w:val="normaltextrun"/>
          <w:szCs w:val="24"/>
        </w:rPr>
        <w:t xml:space="preserve">DCS provides disaster recovery (DR) services for x86 platforms aligned to operationally validated capabilities and infrastructure maturity. The service portfolio includes backup-based recovery, replicated recovery, and multi-site recovery patterns designed to support agency continuity objectives through coordinated restoration following a declared incident. These services are delivered through established governance, approved funding models, and defined service lifecycle management. Adoption of enhanced recovery tiers requires application readiness and alignment with DCS resiliency standards, with all capabilities delivered in accordance with defined recovery objectives and agency coordination. </w:t>
      </w:r>
    </w:p>
    <w:p w14:paraId="48CB31C8" w14:textId="77777777" w:rsidR="00F80E94" w:rsidRPr="00B94375" w:rsidRDefault="00F80E94" w:rsidP="2E12E5CC">
      <w:pPr>
        <w:pStyle w:val="Heading5"/>
        <w:rPr>
          <w:rFonts w:eastAsia="Cambria"/>
          <w:sz w:val="20"/>
          <w:szCs w:val="20"/>
        </w:rPr>
      </w:pPr>
      <w:r>
        <w:t>Midrange</w:t>
      </w:r>
    </w:p>
    <w:p w14:paraId="664B4C39" w14:textId="304C318F" w:rsidR="007D6F98" w:rsidRPr="00771834" w:rsidRDefault="00F80E94" w:rsidP="00F80E94">
      <w:pPr>
        <w:ind w:right="18"/>
      </w:pPr>
      <w:r w:rsidRPr="00771834">
        <w:t>Supports AIX, iSeries</w:t>
      </w:r>
      <w:r>
        <w:t>,</w:t>
      </w:r>
      <w:r w:rsidRPr="00771834">
        <w:t xml:space="preserve"> and Linux on IBM Power Systems. Primary functions include responsibility for the design, engineering, configuration, installation, administration and maintenance of the midrange hardware, operating systems and supported middleware. This service unit also has responsibility for disaster recovery, and other software systems hosted on AIX, iSeries</w:t>
      </w:r>
      <w:r>
        <w:t>,</w:t>
      </w:r>
      <w:r w:rsidRPr="00771834">
        <w:t xml:space="preserve"> and Linux. Midrange performs day-to-day operations such as system maintenance, system backup, recovery and file maintenance. Midrange installs new software releases and system patches, software configuration and resolves technical problems.</w:t>
      </w:r>
    </w:p>
    <w:tbl>
      <w:tblPr>
        <w:tblW w:w="9445" w:type="dxa"/>
        <w:jc w:val="center"/>
        <w:tblLook w:val="04A0" w:firstRow="1" w:lastRow="0" w:firstColumn="1" w:lastColumn="0" w:noHBand="0" w:noVBand="1"/>
      </w:tblPr>
      <w:tblGrid>
        <w:gridCol w:w="4405"/>
        <w:gridCol w:w="3370"/>
        <w:gridCol w:w="1670"/>
      </w:tblGrid>
      <w:tr w:rsidR="00F80E94" w:rsidRPr="007D6F98" w14:paraId="041D7EF0" w14:textId="77777777" w:rsidTr="00306CF3">
        <w:trPr>
          <w:cantSplit/>
          <w:trHeight w:val="449"/>
          <w:jc w:val="center"/>
        </w:trPr>
        <w:tc>
          <w:tcPr>
            <w:tcW w:w="94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59D3C2" w14:textId="77777777" w:rsidR="00F80E94" w:rsidRPr="007D6F98" w:rsidRDefault="00F80E94" w:rsidP="00306CF3">
            <w:pPr>
              <w:pStyle w:val="NoSpacing"/>
              <w:ind w:right="18"/>
              <w:jc w:val="center"/>
              <w:rPr>
                <w:b/>
              </w:rPr>
            </w:pPr>
            <w:r w:rsidRPr="007D6F98">
              <w:br w:type="page"/>
            </w:r>
            <w:r w:rsidRPr="007D6F98">
              <w:rPr>
                <w:b/>
              </w:rPr>
              <w:t xml:space="preserve">Midrange </w:t>
            </w:r>
          </w:p>
        </w:tc>
      </w:tr>
      <w:tr w:rsidR="00F80E94" w:rsidRPr="007D6F98" w14:paraId="6CBD6159"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tcPr>
          <w:p w14:paraId="7A9B7F45" w14:textId="77777777" w:rsidR="00F80E94" w:rsidRPr="007D6F98" w:rsidRDefault="00F80E94" w:rsidP="00306CF3">
            <w:pPr>
              <w:pStyle w:val="NoSpacing"/>
              <w:ind w:right="18"/>
            </w:pPr>
          </w:p>
        </w:tc>
        <w:tc>
          <w:tcPr>
            <w:tcW w:w="3370" w:type="dxa"/>
            <w:tcBorders>
              <w:top w:val="nil"/>
              <w:left w:val="nil"/>
              <w:bottom w:val="single" w:sz="4" w:space="0" w:color="auto"/>
              <w:right w:val="single" w:sz="4" w:space="0" w:color="auto"/>
            </w:tcBorders>
            <w:shd w:val="clear" w:color="auto" w:fill="D9D9D9" w:themeFill="background1" w:themeFillShade="D9"/>
            <w:vAlign w:val="center"/>
          </w:tcPr>
          <w:p w14:paraId="3A6E8236" w14:textId="77777777" w:rsidR="00F80E94" w:rsidRPr="007D6F98" w:rsidRDefault="00F80E94" w:rsidP="00306CF3">
            <w:pPr>
              <w:pStyle w:val="NoSpacing"/>
              <w:ind w:right="18"/>
              <w:jc w:val="center"/>
              <w:rPr>
                <w:b/>
              </w:rPr>
            </w:pPr>
            <w:r w:rsidRPr="007D6F98">
              <w:rPr>
                <w:b/>
              </w:rPr>
              <w:t>Billable Unit</w:t>
            </w:r>
          </w:p>
          <w:p w14:paraId="3C862D1B" w14:textId="77777777" w:rsidR="00F80E94" w:rsidRPr="007D6F98" w:rsidRDefault="00F80E94" w:rsidP="00306CF3">
            <w:pPr>
              <w:pStyle w:val="NoSpacing"/>
              <w:ind w:right="18"/>
              <w:jc w:val="center"/>
              <w:rPr>
                <w:b/>
              </w:rPr>
            </w:pPr>
            <w:r w:rsidRPr="007D6F98">
              <w:rPr>
                <w:b/>
              </w:rPr>
              <w:t>per Month</w:t>
            </w:r>
          </w:p>
        </w:tc>
        <w:tc>
          <w:tcPr>
            <w:tcW w:w="1670" w:type="dxa"/>
            <w:tcBorders>
              <w:top w:val="nil"/>
              <w:left w:val="nil"/>
              <w:bottom w:val="single" w:sz="4" w:space="0" w:color="auto"/>
              <w:right w:val="single" w:sz="4" w:space="0" w:color="auto"/>
            </w:tcBorders>
            <w:shd w:val="clear" w:color="auto" w:fill="D9D9D9" w:themeFill="background1" w:themeFillShade="D9"/>
            <w:noWrap/>
            <w:vAlign w:val="center"/>
          </w:tcPr>
          <w:p w14:paraId="027D3656" w14:textId="77777777" w:rsidR="00F80E94" w:rsidRPr="007D6F98" w:rsidRDefault="00F80E94" w:rsidP="00306CF3">
            <w:pPr>
              <w:spacing w:after="0" w:line="240" w:lineRule="auto"/>
              <w:ind w:right="18"/>
              <w:jc w:val="center"/>
              <w:rPr>
                <w:rFonts w:eastAsia="Calibri"/>
                <w:b/>
                <w:bCs/>
              </w:rPr>
            </w:pPr>
            <w:r w:rsidRPr="007D6F98">
              <w:rPr>
                <w:rFonts w:eastAsia="Calibri"/>
                <w:b/>
                <w:bCs/>
              </w:rPr>
              <w:t>2027-29</w:t>
            </w:r>
          </w:p>
          <w:p w14:paraId="189A2656" w14:textId="77777777" w:rsidR="00F80E94" w:rsidRPr="007D6F98" w:rsidRDefault="00F80E94" w:rsidP="00306CF3">
            <w:pPr>
              <w:pStyle w:val="NoSpacing"/>
              <w:ind w:right="18"/>
              <w:jc w:val="center"/>
              <w:rPr>
                <w:b/>
              </w:rPr>
            </w:pPr>
            <w:r w:rsidRPr="007D6F98">
              <w:rPr>
                <w:rFonts w:eastAsia="Calibri"/>
                <w:b/>
                <w:bCs/>
              </w:rPr>
              <w:t>Rate</w:t>
            </w:r>
          </w:p>
        </w:tc>
      </w:tr>
      <w:tr w:rsidR="00F80E94" w:rsidRPr="007D6F98" w14:paraId="17B7E390"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hideMark/>
          </w:tcPr>
          <w:p w14:paraId="384C7557" w14:textId="77777777" w:rsidR="00F80E94" w:rsidRPr="007D6F98" w:rsidRDefault="00F80E94" w:rsidP="00306CF3">
            <w:pPr>
              <w:spacing w:after="0" w:line="240" w:lineRule="auto"/>
              <w:ind w:right="18"/>
            </w:pPr>
            <w:r w:rsidRPr="007D6F98">
              <w:t>Virtual Operating System Service, iSeries</w:t>
            </w:r>
          </w:p>
        </w:tc>
        <w:tc>
          <w:tcPr>
            <w:tcW w:w="3370" w:type="dxa"/>
            <w:tcBorders>
              <w:top w:val="nil"/>
              <w:left w:val="nil"/>
              <w:bottom w:val="single" w:sz="4" w:space="0" w:color="auto"/>
              <w:right w:val="single" w:sz="4" w:space="0" w:color="auto"/>
            </w:tcBorders>
            <w:vAlign w:val="center"/>
            <w:hideMark/>
          </w:tcPr>
          <w:p w14:paraId="683E548F" w14:textId="77777777" w:rsidR="00F80E94" w:rsidRPr="007D6F98" w:rsidRDefault="00F80E94" w:rsidP="00306CF3">
            <w:pPr>
              <w:spacing w:after="0" w:line="240" w:lineRule="auto"/>
              <w:ind w:right="18"/>
            </w:pPr>
            <w:r w:rsidRPr="007D6F98">
              <w:t>iSeries Instance</w:t>
            </w:r>
          </w:p>
        </w:tc>
        <w:tc>
          <w:tcPr>
            <w:tcW w:w="1670" w:type="dxa"/>
            <w:tcBorders>
              <w:top w:val="nil"/>
              <w:left w:val="nil"/>
              <w:bottom w:val="single" w:sz="4" w:space="0" w:color="auto"/>
              <w:right w:val="single" w:sz="4" w:space="0" w:color="auto"/>
            </w:tcBorders>
            <w:noWrap/>
            <w:vAlign w:val="center"/>
            <w:hideMark/>
          </w:tcPr>
          <w:p w14:paraId="3A3ED681" w14:textId="77777777" w:rsidR="00F80E94" w:rsidRPr="007D6F98" w:rsidRDefault="00F80E94" w:rsidP="00306CF3">
            <w:pPr>
              <w:spacing w:after="0" w:line="240" w:lineRule="auto"/>
              <w:ind w:right="18"/>
              <w:jc w:val="right"/>
            </w:pPr>
            <w:r w:rsidRPr="007D6F98">
              <w:t>$5,642.70</w:t>
            </w:r>
          </w:p>
        </w:tc>
      </w:tr>
      <w:tr w:rsidR="00F80E94" w:rsidRPr="007D6F98" w14:paraId="259256A3"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hideMark/>
          </w:tcPr>
          <w:p w14:paraId="04A1D6D8" w14:textId="77777777" w:rsidR="00F80E94" w:rsidRPr="007D6F98" w:rsidRDefault="00F80E94" w:rsidP="00306CF3">
            <w:pPr>
              <w:spacing w:after="0" w:line="240" w:lineRule="auto"/>
              <w:ind w:right="18"/>
            </w:pPr>
            <w:r w:rsidRPr="007D6F98">
              <w:t>Virtual Operating System Service, UNIX/Linux</w:t>
            </w:r>
          </w:p>
        </w:tc>
        <w:tc>
          <w:tcPr>
            <w:tcW w:w="3370" w:type="dxa"/>
            <w:tcBorders>
              <w:top w:val="nil"/>
              <w:left w:val="nil"/>
              <w:bottom w:val="single" w:sz="4" w:space="0" w:color="auto"/>
              <w:right w:val="single" w:sz="4" w:space="0" w:color="auto"/>
            </w:tcBorders>
            <w:vAlign w:val="center"/>
            <w:hideMark/>
          </w:tcPr>
          <w:p w14:paraId="4FBBD38A" w14:textId="77777777" w:rsidR="00F80E94" w:rsidRPr="007D6F98" w:rsidRDefault="00F80E94" w:rsidP="00306CF3">
            <w:pPr>
              <w:spacing w:after="0" w:line="240" w:lineRule="auto"/>
              <w:ind w:right="18"/>
            </w:pPr>
            <w:r w:rsidRPr="007D6F98">
              <w:t xml:space="preserve">UNIX/Linux Instance </w:t>
            </w:r>
          </w:p>
        </w:tc>
        <w:tc>
          <w:tcPr>
            <w:tcW w:w="1670" w:type="dxa"/>
            <w:tcBorders>
              <w:top w:val="nil"/>
              <w:left w:val="nil"/>
              <w:bottom w:val="single" w:sz="4" w:space="0" w:color="auto"/>
              <w:right w:val="single" w:sz="4" w:space="0" w:color="auto"/>
            </w:tcBorders>
            <w:noWrap/>
            <w:vAlign w:val="center"/>
            <w:hideMark/>
          </w:tcPr>
          <w:p w14:paraId="73AF4260" w14:textId="77777777" w:rsidR="00F80E94" w:rsidRPr="007D6F98" w:rsidRDefault="00F80E94" w:rsidP="00306CF3">
            <w:pPr>
              <w:spacing w:after="0" w:line="240" w:lineRule="auto"/>
              <w:ind w:right="18"/>
              <w:jc w:val="right"/>
            </w:pPr>
            <w:r w:rsidRPr="007D6F98">
              <w:t>$631.17</w:t>
            </w:r>
          </w:p>
        </w:tc>
      </w:tr>
      <w:tr w:rsidR="00F80E94" w:rsidRPr="007D6F98" w14:paraId="06094E80"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hideMark/>
          </w:tcPr>
          <w:p w14:paraId="7A126522" w14:textId="77777777" w:rsidR="00F80E94" w:rsidRPr="007D6F98" w:rsidRDefault="00F80E94" w:rsidP="00306CF3">
            <w:pPr>
              <w:spacing w:after="0" w:line="240" w:lineRule="auto"/>
              <w:ind w:right="18"/>
            </w:pPr>
            <w:r w:rsidRPr="007D6F98">
              <w:t>System CPU Resource Allocation</w:t>
            </w:r>
          </w:p>
        </w:tc>
        <w:tc>
          <w:tcPr>
            <w:tcW w:w="3370" w:type="dxa"/>
            <w:tcBorders>
              <w:top w:val="nil"/>
              <w:left w:val="nil"/>
              <w:bottom w:val="single" w:sz="4" w:space="0" w:color="auto"/>
              <w:right w:val="single" w:sz="4" w:space="0" w:color="auto"/>
            </w:tcBorders>
            <w:vAlign w:val="center"/>
            <w:hideMark/>
          </w:tcPr>
          <w:p w14:paraId="2EBEB2DA" w14:textId="77777777" w:rsidR="00F80E94" w:rsidRPr="007D6F98" w:rsidRDefault="00F80E94" w:rsidP="00306CF3">
            <w:pPr>
              <w:spacing w:after="0" w:line="240" w:lineRule="auto"/>
              <w:ind w:right="18"/>
            </w:pPr>
            <w:r w:rsidRPr="007D6F98">
              <w:t xml:space="preserve">Server Core </w:t>
            </w:r>
          </w:p>
        </w:tc>
        <w:tc>
          <w:tcPr>
            <w:tcW w:w="1670" w:type="dxa"/>
            <w:tcBorders>
              <w:top w:val="nil"/>
              <w:left w:val="nil"/>
              <w:bottom w:val="single" w:sz="4" w:space="0" w:color="auto"/>
              <w:right w:val="single" w:sz="4" w:space="0" w:color="auto"/>
            </w:tcBorders>
            <w:noWrap/>
            <w:vAlign w:val="center"/>
            <w:hideMark/>
          </w:tcPr>
          <w:p w14:paraId="64E02571" w14:textId="77777777" w:rsidR="00F80E94" w:rsidRPr="007D6F98" w:rsidRDefault="00F80E94" w:rsidP="00306CF3">
            <w:pPr>
              <w:spacing w:after="0" w:line="240" w:lineRule="auto"/>
              <w:ind w:right="18"/>
              <w:jc w:val="right"/>
            </w:pPr>
            <w:r w:rsidRPr="007D6F98">
              <w:t>$320.38</w:t>
            </w:r>
          </w:p>
        </w:tc>
      </w:tr>
      <w:tr w:rsidR="00F80E94" w:rsidRPr="007D6F98" w14:paraId="716EA862"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hideMark/>
          </w:tcPr>
          <w:p w14:paraId="2E152DF0" w14:textId="77777777" w:rsidR="00F80E94" w:rsidRPr="007D6F98" w:rsidRDefault="00F80E94" w:rsidP="00306CF3">
            <w:pPr>
              <w:spacing w:after="0" w:line="240" w:lineRule="auto"/>
              <w:ind w:right="18"/>
            </w:pPr>
            <w:r w:rsidRPr="007D6F98">
              <w:t xml:space="preserve">System Memory Resource Allocation </w:t>
            </w:r>
          </w:p>
        </w:tc>
        <w:tc>
          <w:tcPr>
            <w:tcW w:w="3370" w:type="dxa"/>
            <w:tcBorders>
              <w:top w:val="nil"/>
              <w:left w:val="nil"/>
              <w:bottom w:val="single" w:sz="4" w:space="0" w:color="auto"/>
              <w:right w:val="single" w:sz="4" w:space="0" w:color="auto"/>
            </w:tcBorders>
            <w:vAlign w:val="center"/>
            <w:hideMark/>
          </w:tcPr>
          <w:p w14:paraId="7D9014D2" w14:textId="77777777" w:rsidR="00F80E94" w:rsidRPr="007D6F98" w:rsidRDefault="00F80E94" w:rsidP="00306CF3">
            <w:pPr>
              <w:spacing w:after="0" w:line="240" w:lineRule="auto"/>
              <w:ind w:right="18"/>
            </w:pPr>
            <w:r w:rsidRPr="007D6F98">
              <w:t xml:space="preserve">GB Server Memory </w:t>
            </w:r>
          </w:p>
        </w:tc>
        <w:tc>
          <w:tcPr>
            <w:tcW w:w="1670" w:type="dxa"/>
            <w:tcBorders>
              <w:top w:val="nil"/>
              <w:left w:val="nil"/>
              <w:bottom w:val="single" w:sz="4" w:space="0" w:color="auto"/>
              <w:right w:val="single" w:sz="4" w:space="0" w:color="auto"/>
            </w:tcBorders>
            <w:noWrap/>
            <w:vAlign w:val="center"/>
            <w:hideMark/>
          </w:tcPr>
          <w:p w14:paraId="1B7BA4D1" w14:textId="77777777" w:rsidR="00F80E94" w:rsidRPr="007D6F98" w:rsidRDefault="00F80E94" w:rsidP="00306CF3">
            <w:pPr>
              <w:spacing w:after="0" w:line="240" w:lineRule="auto"/>
              <w:ind w:right="18"/>
              <w:jc w:val="right"/>
            </w:pPr>
            <w:r w:rsidRPr="007D6F98">
              <w:t>$24.88</w:t>
            </w:r>
          </w:p>
        </w:tc>
      </w:tr>
      <w:tr w:rsidR="00F80E94" w:rsidRPr="007D6F98" w14:paraId="4DED125E"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hideMark/>
          </w:tcPr>
          <w:p w14:paraId="3D3EBC3A" w14:textId="77777777" w:rsidR="00F80E94" w:rsidRPr="007D6F98" w:rsidRDefault="00F80E94" w:rsidP="00306CF3">
            <w:pPr>
              <w:spacing w:after="0" w:line="240" w:lineRule="auto"/>
              <w:ind w:right="18"/>
            </w:pPr>
            <w:r w:rsidRPr="007D6F98">
              <w:t>DBMS Service, DB2 on UNIX</w:t>
            </w:r>
          </w:p>
        </w:tc>
        <w:tc>
          <w:tcPr>
            <w:tcW w:w="3370" w:type="dxa"/>
            <w:tcBorders>
              <w:top w:val="nil"/>
              <w:left w:val="nil"/>
              <w:bottom w:val="single" w:sz="4" w:space="0" w:color="auto"/>
              <w:right w:val="single" w:sz="4" w:space="0" w:color="auto"/>
            </w:tcBorders>
            <w:vAlign w:val="center"/>
            <w:hideMark/>
          </w:tcPr>
          <w:p w14:paraId="2AC7C407" w14:textId="77777777" w:rsidR="00F80E94" w:rsidRPr="007D6F98" w:rsidRDefault="00F80E94" w:rsidP="00306CF3">
            <w:pPr>
              <w:spacing w:after="0" w:line="240" w:lineRule="auto"/>
              <w:ind w:right="18"/>
            </w:pPr>
            <w:r w:rsidRPr="007D6F98">
              <w:t xml:space="preserve">DB2 Server Core </w:t>
            </w:r>
          </w:p>
        </w:tc>
        <w:tc>
          <w:tcPr>
            <w:tcW w:w="1670" w:type="dxa"/>
            <w:tcBorders>
              <w:top w:val="nil"/>
              <w:left w:val="nil"/>
              <w:bottom w:val="single" w:sz="4" w:space="0" w:color="auto"/>
              <w:right w:val="single" w:sz="4" w:space="0" w:color="auto"/>
            </w:tcBorders>
            <w:noWrap/>
            <w:vAlign w:val="center"/>
            <w:hideMark/>
          </w:tcPr>
          <w:p w14:paraId="4CB81AE8" w14:textId="77777777" w:rsidR="00F80E94" w:rsidRPr="007D6F98" w:rsidRDefault="00F80E94" w:rsidP="00306CF3">
            <w:pPr>
              <w:spacing w:after="0" w:line="240" w:lineRule="auto"/>
              <w:ind w:right="18"/>
              <w:jc w:val="right"/>
            </w:pPr>
            <w:r w:rsidRPr="007D6F98">
              <w:t>$2,660.80</w:t>
            </w:r>
          </w:p>
        </w:tc>
      </w:tr>
      <w:tr w:rsidR="00F80E94" w:rsidRPr="007D6F98" w14:paraId="62942E13"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hideMark/>
          </w:tcPr>
          <w:p w14:paraId="1AE6830E" w14:textId="77777777" w:rsidR="00F80E94" w:rsidRPr="007D6F98" w:rsidRDefault="00F80E94" w:rsidP="00306CF3">
            <w:pPr>
              <w:spacing w:after="0" w:line="240" w:lineRule="auto"/>
              <w:ind w:right="18"/>
            </w:pPr>
            <w:r w:rsidRPr="007D6F98">
              <w:t>DBMS Service, Oracle on UNIX</w:t>
            </w:r>
          </w:p>
        </w:tc>
        <w:tc>
          <w:tcPr>
            <w:tcW w:w="3370" w:type="dxa"/>
            <w:tcBorders>
              <w:top w:val="nil"/>
              <w:left w:val="nil"/>
              <w:bottom w:val="single" w:sz="4" w:space="0" w:color="auto"/>
              <w:right w:val="single" w:sz="4" w:space="0" w:color="auto"/>
            </w:tcBorders>
            <w:vAlign w:val="center"/>
            <w:hideMark/>
          </w:tcPr>
          <w:p w14:paraId="183E80F0" w14:textId="77777777" w:rsidR="00F80E94" w:rsidRPr="007D6F98" w:rsidRDefault="00F80E94" w:rsidP="00306CF3">
            <w:pPr>
              <w:spacing w:after="0" w:line="240" w:lineRule="auto"/>
              <w:ind w:right="18"/>
            </w:pPr>
            <w:r w:rsidRPr="007D6F98">
              <w:t>Oracle Server Core</w:t>
            </w:r>
          </w:p>
        </w:tc>
        <w:tc>
          <w:tcPr>
            <w:tcW w:w="1670" w:type="dxa"/>
            <w:tcBorders>
              <w:top w:val="nil"/>
              <w:left w:val="nil"/>
              <w:bottom w:val="single" w:sz="4" w:space="0" w:color="auto"/>
              <w:right w:val="single" w:sz="4" w:space="0" w:color="auto"/>
            </w:tcBorders>
            <w:noWrap/>
            <w:vAlign w:val="center"/>
            <w:hideMark/>
          </w:tcPr>
          <w:p w14:paraId="30E52A4A" w14:textId="55FBBA6E" w:rsidR="00F80E94" w:rsidRPr="007D6F98" w:rsidRDefault="00F80E94" w:rsidP="00306CF3">
            <w:pPr>
              <w:spacing w:after="0" w:line="240" w:lineRule="auto"/>
              <w:ind w:right="18"/>
              <w:jc w:val="right"/>
            </w:pPr>
            <w:r w:rsidRPr="007D6F98">
              <w:t>$4</w:t>
            </w:r>
            <w:r w:rsidR="00AA6943">
              <w:t>4</w:t>
            </w:r>
            <w:r w:rsidRPr="007D6F98">
              <w:t>8.26</w:t>
            </w:r>
          </w:p>
        </w:tc>
      </w:tr>
      <w:tr w:rsidR="00F80E94" w:rsidRPr="007D6F98" w14:paraId="2C65FDDB"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hideMark/>
          </w:tcPr>
          <w:p w14:paraId="69B87CE5" w14:textId="77777777" w:rsidR="00F80E94" w:rsidRPr="007D6F98" w:rsidRDefault="00F80E94" w:rsidP="00306CF3">
            <w:pPr>
              <w:spacing w:after="0" w:line="240" w:lineRule="auto"/>
              <w:ind w:right="18"/>
            </w:pPr>
            <w:r w:rsidRPr="007D6F98">
              <w:t>Application Server Service</w:t>
            </w:r>
          </w:p>
        </w:tc>
        <w:tc>
          <w:tcPr>
            <w:tcW w:w="3370" w:type="dxa"/>
            <w:tcBorders>
              <w:top w:val="nil"/>
              <w:left w:val="nil"/>
              <w:bottom w:val="single" w:sz="4" w:space="0" w:color="auto"/>
              <w:right w:val="single" w:sz="4" w:space="0" w:color="auto"/>
            </w:tcBorders>
            <w:vAlign w:val="center"/>
            <w:hideMark/>
          </w:tcPr>
          <w:p w14:paraId="659C4FE8" w14:textId="77777777" w:rsidR="00F80E94" w:rsidRPr="007D6F98" w:rsidRDefault="00F80E94" w:rsidP="00306CF3">
            <w:pPr>
              <w:spacing w:after="0" w:line="240" w:lineRule="auto"/>
              <w:ind w:right="18"/>
            </w:pPr>
            <w:r w:rsidRPr="007D6F98">
              <w:t xml:space="preserve">MB transferred, Web </w:t>
            </w:r>
          </w:p>
        </w:tc>
        <w:tc>
          <w:tcPr>
            <w:tcW w:w="1670" w:type="dxa"/>
            <w:tcBorders>
              <w:top w:val="nil"/>
              <w:left w:val="nil"/>
              <w:bottom w:val="single" w:sz="4" w:space="0" w:color="auto"/>
              <w:right w:val="single" w:sz="4" w:space="0" w:color="auto"/>
            </w:tcBorders>
            <w:noWrap/>
            <w:vAlign w:val="bottom"/>
            <w:hideMark/>
          </w:tcPr>
          <w:p w14:paraId="38B254A5" w14:textId="77777777" w:rsidR="00F80E94" w:rsidRPr="007D6F98" w:rsidRDefault="00F80E94" w:rsidP="00306CF3">
            <w:pPr>
              <w:spacing w:after="0" w:line="240" w:lineRule="auto"/>
              <w:ind w:right="18"/>
              <w:jc w:val="right"/>
            </w:pPr>
            <w:r w:rsidRPr="007D6F98">
              <w:t>$0.29</w:t>
            </w:r>
          </w:p>
        </w:tc>
      </w:tr>
      <w:tr w:rsidR="00F80E94" w:rsidRPr="007D6F98" w14:paraId="1ADC1B4F" w14:textId="77777777" w:rsidTr="00306CF3">
        <w:trPr>
          <w:cantSplit/>
          <w:trHeight w:val="288"/>
          <w:jc w:val="center"/>
        </w:trPr>
        <w:tc>
          <w:tcPr>
            <w:tcW w:w="4405" w:type="dxa"/>
            <w:tcBorders>
              <w:top w:val="nil"/>
              <w:left w:val="single" w:sz="4" w:space="0" w:color="auto"/>
              <w:bottom w:val="single" w:sz="4" w:space="0" w:color="auto"/>
              <w:right w:val="single" w:sz="4" w:space="0" w:color="auto"/>
            </w:tcBorders>
            <w:vAlign w:val="center"/>
            <w:hideMark/>
          </w:tcPr>
          <w:p w14:paraId="5FC89213" w14:textId="77777777" w:rsidR="00F80E94" w:rsidRPr="007D6F98" w:rsidRDefault="00F80E94" w:rsidP="00306CF3">
            <w:pPr>
              <w:spacing w:after="0" w:line="240" w:lineRule="auto"/>
              <w:ind w:right="18"/>
            </w:pPr>
            <w:r w:rsidRPr="007D6F98">
              <w:t>Secure File Transfer Service, UNIX</w:t>
            </w:r>
          </w:p>
        </w:tc>
        <w:tc>
          <w:tcPr>
            <w:tcW w:w="3370" w:type="dxa"/>
            <w:tcBorders>
              <w:top w:val="nil"/>
              <w:left w:val="nil"/>
              <w:bottom w:val="single" w:sz="4" w:space="0" w:color="auto"/>
              <w:right w:val="single" w:sz="4" w:space="0" w:color="auto"/>
            </w:tcBorders>
            <w:vAlign w:val="center"/>
            <w:hideMark/>
          </w:tcPr>
          <w:p w14:paraId="2C98C2BD" w14:textId="77777777" w:rsidR="00F80E94" w:rsidRPr="007D6F98" w:rsidRDefault="00F80E94" w:rsidP="00306CF3">
            <w:pPr>
              <w:spacing w:after="0" w:line="240" w:lineRule="auto"/>
              <w:ind w:right="18"/>
            </w:pPr>
            <w:r w:rsidRPr="007D6F98">
              <w:t>Allocated SFT GB</w:t>
            </w:r>
          </w:p>
        </w:tc>
        <w:tc>
          <w:tcPr>
            <w:tcW w:w="1670" w:type="dxa"/>
            <w:tcBorders>
              <w:top w:val="nil"/>
              <w:left w:val="nil"/>
              <w:bottom w:val="single" w:sz="4" w:space="0" w:color="auto"/>
              <w:right w:val="single" w:sz="4" w:space="0" w:color="auto"/>
            </w:tcBorders>
            <w:noWrap/>
            <w:vAlign w:val="center"/>
            <w:hideMark/>
          </w:tcPr>
          <w:p w14:paraId="7B738C59" w14:textId="77777777" w:rsidR="00F80E94" w:rsidRPr="007D6F98" w:rsidRDefault="00F80E94" w:rsidP="00306CF3">
            <w:pPr>
              <w:spacing w:after="0" w:line="240" w:lineRule="auto"/>
              <w:ind w:right="18"/>
              <w:jc w:val="right"/>
            </w:pPr>
            <w:r w:rsidRPr="007D6F98">
              <w:t>$2.57</w:t>
            </w:r>
          </w:p>
        </w:tc>
      </w:tr>
    </w:tbl>
    <w:p w14:paraId="09106B9C" w14:textId="77777777" w:rsidR="00F80E94" w:rsidRDefault="00F80E94" w:rsidP="00F80E94">
      <w:pPr>
        <w:ind w:right="18"/>
        <w:rPr>
          <w:b/>
        </w:rPr>
      </w:pPr>
    </w:p>
    <w:p w14:paraId="6C887091" w14:textId="77777777" w:rsidR="00571565" w:rsidRDefault="00571565" w:rsidP="00F80E94">
      <w:pPr>
        <w:ind w:right="18"/>
        <w:rPr>
          <w:b/>
        </w:rPr>
      </w:pPr>
    </w:p>
    <w:p w14:paraId="1EE4DABF" w14:textId="77777777" w:rsidR="00571565" w:rsidRPr="009400B0" w:rsidRDefault="00571565" w:rsidP="00F80E94">
      <w:pPr>
        <w:ind w:right="18"/>
        <w:rPr>
          <w:b/>
        </w:rPr>
      </w:pPr>
    </w:p>
    <w:p w14:paraId="55FD0534" w14:textId="77777777" w:rsidR="00F80E94" w:rsidRPr="009400B0" w:rsidRDefault="00F80E94" w:rsidP="2E12E5CC">
      <w:pPr>
        <w:pStyle w:val="Heading5"/>
        <w:rPr>
          <w:rFonts w:eastAsia="Cambria"/>
          <w:sz w:val="20"/>
          <w:szCs w:val="20"/>
        </w:rPr>
      </w:pPr>
      <w:r>
        <w:lastRenderedPageBreak/>
        <w:t>X86 Server and Infrastructure</w:t>
      </w:r>
    </w:p>
    <w:p w14:paraId="72B2C9B3" w14:textId="77777777" w:rsidR="007D6F98" w:rsidRDefault="00F80E94" w:rsidP="007D6F98">
      <w:r w:rsidRPr="00BD1087">
        <w:rPr>
          <w:rFonts w:eastAsia="Calibri"/>
        </w:rPr>
        <w:t xml:space="preserve">Supports the Windows and Linux server operating systems and all associated infrastructure, including data storage. Primary functions include responsibility for the design, engineering, configuration, installation, administration, and maintenance of the X86 platform and data storage hardware as well as Windows and Linux operating systems. The X86 platform and data storage capacity may be provided inside the </w:t>
      </w:r>
      <w:r>
        <w:rPr>
          <w:rFonts w:eastAsia="Calibri"/>
        </w:rPr>
        <w:t>S</w:t>
      </w:r>
      <w:r w:rsidRPr="00BD1087">
        <w:rPr>
          <w:rFonts w:eastAsia="Calibri"/>
        </w:rPr>
        <w:t xml:space="preserve">tate </w:t>
      </w:r>
      <w:r>
        <w:rPr>
          <w:rFonts w:eastAsia="Calibri"/>
        </w:rPr>
        <w:t>D</w:t>
      </w:r>
      <w:r w:rsidRPr="00BD1087">
        <w:rPr>
          <w:rFonts w:eastAsia="Calibri"/>
        </w:rPr>
        <w:t xml:space="preserve">ata </w:t>
      </w:r>
      <w:r>
        <w:rPr>
          <w:rFonts w:eastAsia="Calibri"/>
        </w:rPr>
        <w:t>C</w:t>
      </w:r>
      <w:r w:rsidRPr="00BD1087">
        <w:rPr>
          <w:rFonts w:eastAsia="Calibri"/>
        </w:rPr>
        <w:t>enter or on contract to DCS through a vendor managed service. The X86 infrastructure team performs day-to-day operations such as system management that supports hardware and virtualization. The Windows and Linux teams install, maintain</w:t>
      </w:r>
      <w:r>
        <w:rPr>
          <w:rFonts w:eastAsia="Calibri"/>
        </w:rPr>
        <w:t>,</w:t>
      </w:r>
      <w:r w:rsidRPr="00BD1087">
        <w:rPr>
          <w:rFonts w:eastAsia="Calibri"/>
        </w:rPr>
        <w:t xml:space="preserve"> and support the operating system software, including the implementation of server roles and management of operating system supporting applications. These teams are also responsible for the deployment of agency-owned appliances.</w:t>
      </w:r>
    </w:p>
    <w:p w14:paraId="1096335D" w14:textId="0D8CEED3" w:rsidR="00F80E94" w:rsidRDefault="00F80E94" w:rsidP="007D6F98">
      <w:r w:rsidRPr="00F84D39">
        <w:t xml:space="preserve">Non-standard service offerings for services outside the scope of the current DCS service catalog will be billed on a pass-through basis. Any exceptions require review and approval by </w:t>
      </w:r>
      <w:r>
        <w:t>EIS</w:t>
      </w:r>
      <w:r w:rsidRPr="00F84D39">
        <w:t>.</w:t>
      </w:r>
    </w:p>
    <w:p w14:paraId="6D3D2C35" w14:textId="77777777" w:rsidR="00F80E94" w:rsidRDefault="00F80E94" w:rsidP="00F80E94">
      <w:pPr>
        <w:pStyle w:val="ListNumber"/>
        <w:numPr>
          <w:ilvl w:val="0"/>
          <w:numId w:val="0"/>
        </w:numPr>
        <w:ind w:right="18"/>
      </w:pPr>
    </w:p>
    <w:tbl>
      <w:tblPr>
        <w:tblW w:w="9080" w:type="dxa"/>
        <w:jc w:val="center"/>
        <w:tblLook w:val="04A0" w:firstRow="1" w:lastRow="0" w:firstColumn="1" w:lastColumn="0" w:noHBand="0" w:noVBand="1"/>
      </w:tblPr>
      <w:tblGrid>
        <w:gridCol w:w="4140"/>
        <w:gridCol w:w="3540"/>
        <w:gridCol w:w="1400"/>
      </w:tblGrid>
      <w:tr w:rsidR="00F80E94" w:rsidRPr="00CC48AD" w14:paraId="4D31F3A3" w14:textId="77777777" w:rsidTr="00306CF3">
        <w:trPr>
          <w:cantSplit/>
          <w:trHeight w:val="449"/>
          <w:jc w:val="center"/>
        </w:trPr>
        <w:tc>
          <w:tcPr>
            <w:tcW w:w="9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D5DAA6" w14:textId="77777777" w:rsidR="00F80E94" w:rsidRPr="007D6F98" w:rsidRDefault="00F80E94" w:rsidP="00306CF3">
            <w:pPr>
              <w:pStyle w:val="NoSpacing"/>
              <w:ind w:right="18"/>
              <w:jc w:val="center"/>
              <w:rPr>
                <w:b/>
              </w:rPr>
            </w:pPr>
            <w:r w:rsidRPr="007D6F98">
              <w:br w:type="page"/>
            </w:r>
            <w:r w:rsidRPr="007D6F98">
              <w:rPr>
                <w:b/>
              </w:rPr>
              <w:t>X86 Server</w:t>
            </w:r>
          </w:p>
        </w:tc>
      </w:tr>
      <w:tr w:rsidR="00F80E94" w:rsidRPr="00CC48AD" w14:paraId="04E542C6"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tcPr>
          <w:p w14:paraId="105C8C2F" w14:textId="77777777" w:rsidR="00F80E94" w:rsidRPr="007D6F98" w:rsidRDefault="00F80E94" w:rsidP="00306CF3">
            <w:pPr>
              <w:pStyle w:val="NoSpacing"/>
              <w:ind w:right="18"/>
            </w:pPr>
          </w:p>
        </w:tc>
        <w:tc>
          <w:tcPr>
            <w:tcW w:w="3540" w:type="dxa"/>
            <w:tcBorders>
              <w:top w:val="nil"/>
              <w:left w:val="nil"/>
              <w:bottom w:val="single" w:sz="4" w:space="0" w:color="auto"/>
              <w:right w:val="single" w:sz="4" w:space="0" w:color="auto"/>
            </w:tcBorders>
            <w:shd w:val="clear" w:color="auto" w:fill="D9D9D9" w:themeFill="background1" w:themeFillShade="D9"/>
            <w:vAlign w:val="center"/>
          </w:tcPr>
          <w:p w14:paraId="497AA3FE" w14:textId="77777777" w:rsidR="00F80E94" w:rsidRPr="007D6F98" w:rsidRDefault="00F80E94" w:rsidP="00306CF3">
            <w:pPr>
              <w:pStyle w:val="NoSpacing"/>
              <w:ind w:right="18"/>
              <w:jc w:val="center"/>
              <w:rPr>
                <w:b/>
              </w:rPr>
            </w:pPr>
            <w:r w:rsidRPr="007D6F98">
              <w:rPr>
                <w:b/>
              </w:rPr>
              <w:t>Billable Unit</w:t>
            </w:r>
          </w:p>
          <w:p w14:paraId="00F2149B" w14:textId="77777777" w:rsidR="00F80E94" w:rsidRPr="007D6F98" w:rsidRDefault="00F80E94" w:rsidP="00306CF3">
            <w:pPr>
              <w:pStyle w:val="NoSpacing"/>
              <w:ind w:right="18"/>
              <w:jc w:val="center"/>
              <w:rPr>
                <w:b/>
              </w:rPr>
            </w:pPr>
            <w:r w:rsidRPr="007D6F98">
              <w:rPr>
                <w:b/>
              </w:rPr>
              <w:t>per Month</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tcPr>
          <w:p w14:paraId="620D1CCD" w14:textId="77777777" w:rsidR="00F80E94" w:rsidRPr="007D6F98" w:rsidRDefault="00F80E94" w:rsidP="00306CF3">
            <w:pPr>
              <w:spacing w:after="0" w:line="240" w:lineRule="auto"/>
              <w:ind w:right="18"/>
              <w:jc w:val="center"/>
              <w:rPr>
                <w:rFonts w:eastAsia="Calibri"/>
                <w:b/>
                <w:bCs/>
              </w:rPr>
            </w:pPr>
            <w:r w:rsidRPr="007D6F98">
              <w:rPr>
                <w:rFonts w:eastAsia="Calibri"/>
                <w:b/>
                <w:bCs/>
              </w:rPr>
              <w:t>2027-29</w:t>
            </w:r>
          </w:p>
          <w:p w14:paraId="2C16E1E8" w14:textId="77777777" w:rsidR="00F80E94" w:rsidRPr="007D6F98" w:rsidRDefault="00F80E94" w:rsidP="00306CF3">
            <w:pPr>
              <w:pStyle w:val="NoSpacing"/>
              <w:ind w:right="18"/>
              <w:jc w:val="center"/>
              <w:rPr>
                <w:b/>
              </w:rPr>
            </w:pPr>
            <w:r w:rsidRPr="007D6F98">
              <w:rPr>
                <w:rFonts w:eastAsia="Calibri"/>
                <w:b/>
                <w:bCs/>
              </w:rPr>
              <w:t>Rate</w:t>
            </w:r>
          </w:p>
        </w:tc>
      </w:tr>
      <w:tr w:rsidR="00F80E94" w:rsidRPr="009F46ED" w14:paraId="586BC115"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hideMark/>
          </w:tcPr>
          <w:p w14:paraId="6A3F4FF6" w14:textId="77777777" w:rsidR="00F80E94" w:rsidRPr="007D6F98" w:rsidRDefault="00F80E94" w:rsidP="00306CF3">
            <w:pPr>
              <w:spacing w:after="0" w:line="240" w:lineRule="auto"/>
              <w:ind w:right="18"/>
            </w:pPr>
            <w:r w:rsidRPr="007D6F98">
              <w:rPr>
                <w:rFonts w:eastAsia="Times New Roman"/>
                <w:bCs/>
              </w:rPr>
              <w:t>Appliance Hosting Services</w:t>
            </w:r>
          </w:p>
        </w:tc>
        <w:tc>
          <w:tcPr>
            <w:tcW w:w="3540" w:type="dxa"/>
            <w:tcBorders>
              <w:top w:val="nil"/>
              <w:left w:val="nil"/>
              <w:bottom w:val="single" w:sz="4" w:space="0" w:color="auto"/>
              <w:right w:val="single" w:sz="4" w:space="0" w:color="auto"/>
            </w:tcBorders>
            <w:vAlign w:val="center"/>
            <w:hideMark/>
          </w:tcPr>
          <w:p w14:paraId="19EB8CC0" w14:textId="77777777" w:rsidR="00F80E94" w:rsidRPr="007D6F98" w:rsidRDefault="00F80E94" w:rsidP="00306CF3">
            <w:pPr>
              <w:spacing w:after="0" w:line="240" w:lineRule="auto"/>
              <w:ind w:right="18"/>
            </w:pPr>
            <w:r w:rsidRPr="007D6F98">
              <w:rPr>
                <w:rFonts w:eastAsia="Times New Roman"/>
              </w:rPr>
              <w:t>Physical Appliance</w:t>
            </w:r>
          </w:p>
        </w:tc>
        <w:tc>
          <w:tcPr>
            <w:tcW w:w="1400" w:type="dxa"/>
            <w:tcBorders>
              <w:top w:val="nil"/>
              <w:left w:val="nil"/>
              <w:bottom w:val="single" w:sz="4" w:space="0" w:color="auto"/>
              <w:right w:val="single" w:sz="4" w:space="0" w:color="auto"/>
            </w:tcBorders>
            <w:noWrap/>
            <w:vAlign w:val="center"/>
            <w:hideMark/>
          </w:tcPr>
          <w:p w14:paraId="7C83694E" w14:textId="77777777" w:rsidR="00F80E94" w:rsidRPr="007D6F98" w:rsidRDefault="00F80E94" w:rsidP="00306CF3">
            <w:pPr>
              <w:spacing w:after="0" w:line="240" w:lineRule="auto"/>
              <w:ind w:right="18"/>
              <w:jc w:val="right"/>
            </w:pPr>
            <w:r w:rsidRPr="007D6F98">
              <w:rPr>
                <w:rFonts w:eastAsia="Times New Roman"/>
              </w:rPr>
              <w:t>$106.64</w:t>
            </w:r>
          </w:p>
        </w:tc>
      </w:tr>
      <w:tr w:rsidR="00F80E94" w:rsidRPr="009F46ED" w14:paraId="0E9B1F09"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hideMark/>
          </w:tcPr>
          <w:p w14:paraId="38DB2443" w14:textId="77777777" w:rsidR="00F80E94" w:rsidRPr="007D6F98" w:rsidRDefault="00F80E94" w:rsidP="00306CF3">
            <w:pPr>
              <w:spacing w:after="0" w:line="240" w:lineRule="auto"/>
              <w:ind w:right="18"/>
            </w:pPr>
            <w:r w:rsidRPr="007D6F98">
              <w:rPr>
                <w:rFonts w:eastAsia="Times New Roman"/>
                <w:bCs/>
              </w:rPr>
              <w:t>Server Instance</w:t>
            </w:r>
          </w:p>
        </w:tc>
        <w:tc>
          <w:tcPr>
            <w:tcW w:w="3540" w:type="dxa"/>
            <w:tcBorders>
              <w:top w:val="nil"/>
              <w:left w:val="nil"/>
              <w:bottom w:val="single" w:sz="4" w:space="0" w:color="auto"/>
              <w:right w:val="single" w:sz="4" w:space="0" w:color="auto"/>
            </w:tcBorders>
            <w:vAlign w:val="center"/>
            <w:hideMark/>
          </w:tcPr>
          <w:p w14:paraId="4A0AEBD1" w14:textId="77777777" w:rsidR="00F80E94" w:rsidRPr="007D6F98" w:rsidRDefault="00F80E94" w:rsidP="00306CF3">
            <w:pPr>
              <w:spacing w:after="0" w:line="240" w:lineRule="auto"/>
              <w:ind w:right="18"/>
            </w:pPr>
            <w:r w:rsidRPr="007D6F98">
              <w:rPr>
                <w:rFonts w:eastAsia="Times New Roman"/>
              </w:rPr>
              <w:t xml:space="preserve">Server Instance </w:t>
            </w:r>
          </w:p>
        </w:tc>
        <w:tc>
          <w:tcPr>
            <w:tcW w:w="1400" w:type="dxa"/>
            <w:tcBorders>
              <w:top w:val="nil"/>
              <w:left w:val="nil"/>
              <w:bottom w:val="single" w:sz="4" w:space="0" w:color="auto"/>
              <w:right w:val="single" w:sz="4" w:space="0" w:color="auto"/>
            </w:tcBorders>
            <w:noWrap/>
            <w:vAlign w:val="center"/>
            <w:hideMark/>
          </w:tcPr>
          <w:p w14:paraId="200583B9" w14:textId="77777777" w:rsidR="00F80E94" w:rsidRPr="007D6F98" w:rsidRDefault="00F80E94" w:rsidP="00306CF3">
            <w:pPr>
              <w:spacing w:after="0" w:line="240" w:lineRule="auto"/>
              <w:ind w:right="18"/>
              <w:jc w:val="right"/>
            </w:pPr>
            <w:r w:rsidRPr="007D6F98">
              <w:rPr>
                <w:rFonts w:eastAsia="Times New Roman"/>
              </w:rPr>
              <w:t>$34.34</w:t>
            </w:r>
          </w:p>
        </w:tc>
      </w:tr>
      <w:tr w:rsidR="00F80E94" w:rsidRPr="009F46ED" w14:paraId="14168AFF"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hideMark/>
          </w:tcPr>
          <w:p w14:paraId="7002530A" w14:textId="77777777" w:rsidR="00F80E94" w:rsidRPr="007D6F98" w:rsidRDefault="00F80E94" w:rsidP="00306CF3">
            <w:pPr>
              <w:spacing w:after="0" w:line="240" w:lineRule="auto"/>
              <w:ind w:right="18"/>
            </w:pPr>
            <w:r w:rsidRPr="007D6F98">
              <w:rPr>
                <w:rFonts w:eastAsia="Times New Roman"/>
                <w:bCs/>
              </w:rPr>
              <w:t>System CPU Resource Allocation</w:t>
            </w:r>
          </w:p>
        </w:tc>
        <w:tc>
          <w:tcPr>
            <w:tcW w:w="3540" w:type="dxa"/>
            <w:tcBorders>
              <w:top w:val="nil"/>
              <w:left w:val="nil"/>
              <w:bottom w:val="single" w:sz="4" w:space="0" w:color="auto"/>
              <w:right w:val="single" w:sz="4" w:space="0" w:color="auto"/>
            </w:tcBorders>
            <w:vAlign w:val="center"/>
            <w:hideMark/>
          </w:tcPr>
          <w:p w14:paraId="24389E5F" w14:textId="77777777" w:rsidR="00F80E94" w:rsidRPr="007D6F98" w:rsidRDefault="00F80E94" w:rsidP="00306CF3">
            <w:pPr>
              <w:spacing w:after="0" w:line="240" w:lineRule="auto"/>
              <w:ind w:right="18"/>
            </w:pPr>
            <w:r w:rsidRPr="007D6F98">
              <w:rPr>
                <w:rFonts w:eastAsia="Times New Roman"/>
              </w:rPr>
              <w:t xml:space="preserve">Server Core </w:t>
            </w:r>
          </w:p>
        </w:tc>
        <w:tc>
          <w:tcPr>
            <w:tcW w:w="1400" w:type="dxa"/>
            <w:tcBorders>
              <w:top w:val="nil"/>
              <w:left w:val="nil"/>
              <w:bottom w:val="single" w:sz="4" w:space="0" w:color="auto"/>
              <w:right w:val="single" w:sz="4" w:space="0" w:color="auto"/>
            </w:tcBorders>
            <w:noWrap/>
            <w:vAlign w:val="center"/>
            <w:hideMark/>
          </w:tcPr>
          <w:p w14:paraId="2B20602E" w14:textId="77777777" w:rsidR="00F80E94" w:rsidRPr="007D6F98" w:rsidRDefault="00F80E94" w:rsidP="00306CF3">
            <w:pPr>
              <w:spacing w:after="0" w:line="240" w:lineRule="auto"/>
              <w:ind w:right="18"/>
              <w:jc w:val="right"/>
              <w:rPr>
                <w:rFonts w:eastAsia="Times New Roman"/>
              </w:rPr>
            </w:pPr>
            <w:r w:rsidRPr="007D6F98">
              <w:rPr>
                <w:rFonts w:eastAsia="Times New Roman"/>
              </w:rPr>
              <w:t>$17.85</w:t>
            </w:r>
          </w:p>
        </w:tc>
      </w:tr>
      <w:tr w:rsidR="00F80E94" w:rsidRPr="009F46ED" w14:paraId="2EBAE794"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hideMark/>
          </w:tcPr>
          <w:p w14:paraId="3FDF1AA6" w14:textId="77777777" w:rsidR="00F80E94" w:rsidRPr="007D6F98" w:rsidRDefault="00F80E94" w:rsidP="00306CF3">
            <w:pPr>
              <w:spacing w:after="0" w:line="240" w:lineRule="auto"/>
              <w:ind w:right="18"/>
            </w:pPr>
            <w:r w:rsidRPr="007D6F98">
              <w:rPr>
                <w:rFonts w:eastAsia="Times New Roman"/>
                <w:bCs/>
              </w:rPr>
              <w:t>System Memory Resource Allocation</w:t>
            </w:r>
          </w:p>
        </w:tc>
        <w:tc>
          <w:tcPr>
            <w:tcW w:w="3540" w:type="dxa"/>
            <w:tcBorders>
              <w:top w:val="nil"/>
              <w:left w:val="nil"/>
              <w:bottom w:val="single" w:sz="4" w:space="0" w:color="auto"/>
              <w:right w:val="single" w:sz="4" w:space="0" w:color="auto"/>
            </w:tcBorders>
            <w:vAlign w:val="center"/>
            <w:hideMark/>
          </w:tcPr>
          <w:p w14:paraId="6D0E2D1E" w14:textId="77777777" w:rsidR="00F80E94" w:rsidRPr="007D6F98" w:rsidRDefault="00F80E94" w:rsidP="00306CF3">
            <w:pPr>
              <w:spacing w:after="0" w:line="240" w:lineRule="auto"/>
              <w:ind w:right="18"/>
            </w:pPr>
            <w:r w:rsidRPr="007D6F98">
              <w:rPr>
                <w:rFonts w:eastAsia="Times New Roman"/>
              </w:rPr>
              <w:t xml:space="preserve">GB Server Memory </w:t>
            </w:r>
          </w:p>
        </w:tc>
        <w:tc>
          <w:tcPr>
            <w:tcW w:w="1400" w:type="dxa"/>
            <w:tcBorders>
              <w:top w:val="nil"/>
              <w:left w:val="nil"/>
              <w:bottom w:val="single" w:sz="4" w:space="0" w:color="auto"/>
              <w:right w:val="single" w:sz="4" w:space="0" w:color="auto"/>
            </w:tcBorders>
            <w:noWrap/>
            <w:vAlign w:val="center"/>
            <w:hideMark/>
          </w:tcPr>
          <w:p w14:paraId="53E5B76E" w14:textId="77777777" w:rsidR="00F80E94" w:rsidRPr="007D6F98" w:rsidRDefault="00F80E94" w:rsidP="00306CF3">
            <w:pPr>
              <w:spacing w:after="0" w:line="240" w:lineRule="auto"/>
              <w:ind w:right="18"/>
              <w:jc w:val="right"/>
            </w:pPr>
            <w:r w:rsidRPr="007D6F98">
              <w:rPr>
                <w:rFonts w:eastAsia="Times New Roman"/>
              </w:rPr>
              <w:t>$11.64</w:t>
            </w:r>
          </w:p>
        </w:tc>
      </w:tr>
      <w:tr w:rsidR="00F80E94" w:rsidRPr="009F46ED" w14:paraId="07FB013D"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hideMark/>
          </w:tcPr>
          <w:p w14:paraId="5352F2D4" w14:textId="77777777" w:rsidR="00F80E94" w:rsidRPr="007D6F98" w:rsidRDefault="00F80E94" w:rsidP="00306CF3">
            <w:pPr>
              <w:spacing w:after="0" w:line="240" w:lineRule="auto"/>
              <w:ind w:right="18"/>
            </w:pPr>
            <w:r w:rsidRPr="007D6F98">
              <w:rPr>
                <w:rFonts w:eastAsia="Times New Roman"/>
                <w:bCs/>
              </w:rPr>
              <w:t>MS SQL Maintenance</w:t>
            </w:r>
          </w:p>
        </w:tc>
        <w:tc>
          <w:tcPr>
            <w:tcW w:w="3540" w:type="dxa"/>
            <w:tcBorders>
              <w:top w:val="nil"/>
              <w:left w:val="nil"/>
              <w:bottom w:val="single" w:sz="4" w:space="0" w:color="auto"/>
              <w:right w:val="single" w:sz="4" w:space="0" w:color="auto"/>
            </w:tcBorders>
            <w:vAlign w:val="center"/>
            <w:hideMark/>
          </w:tcPr>
          <w:p w14:paraId="303A9598" w14:textId="77777777" w:rsidR="00F80E94" w:rsidRPr="007D6F98" w:rsidRDefault="00F80E94" w:rsidP="00306CF3">
            <w:pPr>
              <w:spacing w:after="0" w:line="240" w:lineRule="auto"/>
              <w:ind w:right="18"/>
            </w:pPr>
            <w:r w:rsidRPr="007D6F98">
              <w:rPr>
                <w:rFonts w:eastAsia="Times New Roman"/>
              </w:rPr>
              <w:t xml:space="preserve">Server Core, SQL </w:t>
            </w:r>
          </w:p>
        </w:tc>
        <w:tc>
          <w:tcPr>
            <w:tcW w:w="1400" w:type="dxa"/>
            <w:tcBorders>
              <w:top w:val="nil"/>
              <w:left w:val="nil"/>
              <w:bottom w:val="single" w:sz="4" w:space="0" w:color="auto"/>
              <w:right w:val="single" w:sz="4" w:space="0" w:color="auto"/>
            </w:tcBorders>
            <w:noWrap/>
            <w:vAlign w:val="center"/>
            <w:hideMark/>
          </w:tcPr>
          <w:p w14:paraId="5289B53F" w14:textId="77777777" w:rsidR="00F80E94" w:rsidRPr="007D6F98" w:rsidRDefault="00F80E94" w:rsidP="00306CF3">
            <w:pPr>
              <w:spacing w:after="0" w:line="240" w:lineRule="auto"/>
              <w:ind w:right="18"/>
              <w:jc w:val="right"/>
            </w:pPr>
            <w:r w:rsidRPr="007D6F98">
              <w:rPr>
                <w:rFonts w:eastAsia="Times New Roman"/>
              </w:rPr>
              <w:t>$67.47</w:t>
            </w:r>
          </w:p>
        </w:tc>
      </w:tr>
    </w:tbl>
    <w:p w14:paraId="436B4259" w14:textId="77777777" w:rsidR="00F80E94" w:rsidRPr="00A738E6" w:rsidRDefault="00F80E94" w:rsidP="00F80E94">
      <w:pPr>
        <w:pStyle w:val="ListNumber"/>
        <w:numPr>
          <w:ilvl w:val="0"/>
          <w:numId w:val="0"/>
        </w:numPr>
        <w:ind w:right="18"/>
      </w:pPr>
    </w:p>
    <w:p w14:paraId="04DD2B39" w14:textId="77777777" w:rsidR="00F80E94" w:rsidRPr="00CB3393" w:rsidRDefault="00F80E94" w:rsidP="2E12E5CC">
      <w:pPr>
        <w:pStyle w:val="Heading5"/>
        <w:rPr>
          <w:sz w:val="20"/>
          <w:szCs w:val="20"/>
        </w:rPr>
      </w:pPr>
      <w:r>
        <w:t>Storage Management</w:t>
      </w:r>
    </w:p>
    <w:p w14:paraId="33CFE9D9" w14:textId="77777777" w:rsidR="00F80E94" w:rsidRDefault="00F80E94" w:rsidP="00F80E94">
      <w:pPr>
        <w:ind w:right="18"/>
        <w:contextualSpacing/>
      </w:pPr>
      <w:r w:rsidRPr="005F7BAF">
        <w:t xml:space="preserve">Data storage services provide secure technology and capacity management to store customers’ data in a manner that meets </w:t>
      </w:r>
      <w:r>
        <w:t>its</w:t>
      </w:r>
      <w:r w:rsidRPr="005F7BAF">
        <w:t xml:space="preserve"> performance and availability needs. </w:t>
      </w:r>
    </w:p>
    <w:p w14:paraId="4A4AEFE4" w14:textId="77777777" w:rsidR="00F80E94" w:rsidRDefault="00F80E94" w:rsidP="00F80E94">
      <w:pPr>
        <w:ind w:right="18"/>
        <w:contextualSpacing/>
      </w:pPr>
    </w:p>
    <w:tbl>
      <w:tblPr>
        <w:tblW w:w="9080" w:type="dxa"/>
        <w:jc w:val="center"/>
        <w:tblLook w:val="04A0" w:firstRow="1" w:lastRow="0" w:firstColumn="1" w:lastColumn="0" w:noHBand="0" w:noVBand="1"/>
      </w:tblPr>
      <w:tblGrid>
        <w:gridCol w:w="4140"/>
        <w:gridCol w:w="3540"/>
        <w:gridCol w:w="1400"/>
      </w:tblGrid>
      <w:tr w:rsidR="00F80E94" w:rsidRPr="007D6F98" w14:paraId="6D2737C8" w14:textId="77777777" w:rsidTr="00306CF3">
        <w:trPr>
          <w:cantSplit/>
          <w:trHeight w:val="449"/>
          <w:jc w:val="center"/>
        </w:trPr>
        <w:tc>
          <w:tcPr>
            <w:tcW w:w="9080"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E1D14D" w14:textId="77777777" w:rsidR="00F80E94" w:rsidRPr="007D6F98" w:rsidRDefault="00F80E94" w:rsidP="00306CF3">
            <w:pPr>
              <w:pStyle w:val="NoSpacing"/>
              <w:ind w:right="18"/>
              <w:jc w:val="center"/>
              <w:rPr>
                <w:b/>
              </w:rPr>
            </w:pPr>
            <w:r w:rsidRPr="007D6F98">
              <w:br w:type="page"/>
            </w:r>
            <w:r w:rsidRPr="007D6F98">
              <w:rPr>
                <w:b/>
              </w:rPr>
              <w:t>Data Storage</w:t>
            </w:r>
          </w:p>
        </w:tc>
      </w:tr>
      <w:tr w:rsidR="00F80E94" w:rsidRPr="007D6F98" w14:paraId="6D5038F8"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tcPr>
          <w:p w14:paraId="1493F86F" w14:textId="77777777" w:rsidR="00F80E94" w:rsidRPr="007D6F98" w:rsidRDefault="00F80E94" w:rsidP="00306CF3">
            <w:pPr>
              <w:pStyle w:val="NoSpacing"/>
              <w:ind w:right="18"/>
            </w:pPr>
          </w:p>
        </w:tc>
        <w:tc>
          <w:tcPr>
            <w:tcW w:w="3540" w:type="dxa"/>
            <w:tcBorders>
              <w:top w:val="nil"/>
              <w:left w:val="nil"/>
              <w:bottom w:val="single" w:sz="4" w:space="0" w:color="auto"/>
              <w:right w:val="single" w:sz="4" w:space="0" w:color="auto"/>
            </w:tcBorders>
            <w:shd w:val="clear" w:color="auto" w:fill="D9D9D9"/>
            <w:vAlign w:val="center"/>
          </w:tcPr>
          <w:p w14:paraId="0BAE68B5" w14:textId="77777777" w:rsidR="00F80E94" w:rsidRPr="007D6F98" w:rsidRDefault="00F80E94" w:rsidP="00306CF3">
            <w:pPr>
              <w:pStyle w:val="NoSpacing"/>
              <w:ind w:right="18"/>
              <w:jc w:val="center"/>
              <w:rPr>
                <w:b/>
              </w:rPr>
            </w:pPr>
            <w:r w:rsidRPr="007D6F98">
              <w:rPr>
                <w:b/>
              </w:rPr>
              <w:t>Billable Unit</w:t>
            </w:r>
          </w:p>
          <w:p w14:paraId="3CF3ABF0" w14:textId="77777777" w:rsidR="00F80E94" w:rsidRPr="007D6F98" w:rsidRDefault="00F80E94" w:rsidP="00306CF3">
            <w:pPr>
              <w:pStyle w:val="NoSpacing"/>
              <w:ind w:right="18"/>
              <w:jc w:val="center"/>
              <w:rPr>
                <w:b/>
              </w:rPr>
            </w:pPr>
            <w:r w:rsidRPr="007D6F98">
              <w:rPr>
                <w:b/>
              </w:rPr>
              <w:t>per Month</w:t>
            </w:r>
          </w:p>
        </w:tc>
        <w:tc>
          <w:tcPr>
            <w:tcW w:w="1400" w:type="dxa"/>
            <w:tcBorders>
              <w:top w:val="nil"/>
              <w:left w:val="nil"/>
              <w:bottom w:val="single" w:sz="4" w:space="0" w:color="auto"/>
              <w:right w:val="single" w:sz="4" w:space="0" w:color="auto"/>
            </w:tcBorders>
            <w:shd w:val="clear" w:color="auto" w:fill="D9D9D9"/>
            <w:noWrap/>
            <w:vAlign w:val="center"/>
          </w:tcPr>
          <w:p w14:paraId="6B17FB43" w14:textId="77777777" w:rsidR="00F80E94" w:rsidRPr="007D6F98" w:rsidRDefault="00F80E94" w:rsidP="00306CF3">
            <w:pPr>
              <w:spacing w:after="0" w:line="240" w:lineRule="auto"/>
              <w:ind w:right="18"/>
              <w:jc w:val="center"/>
              <w:rPr>
                <w:rFonts w:eastAsia="Calibri"/>
                <w:b/>
                <w:bCs/>
              </w:rPr>
            </w:pPr>
            <w:r w:rsidRPr="007D6F98">
              <w:rPr>
                <w:rFonts w:eastAsia="Calibri"/>
                <w:b/>
                <w:bCs/>
              </w:rPr>
              <w:t>2027-29</w:t>
            </w:r>
          </w:p>
          <w:p w14:paraId="120F3AD2" w14:textId="77777777" w:rsidR="00F80E94" w:rsidRPr="007D6F98" w:rsidRDefault="00F80E94" w:rsidP="00306CF3">
            <w:pPr>
              <w:pStyle w:val="NoSpacing"/>
              <w:ind w:right="18"/>
              <w:jc w:val="center"/>
              <w:rPr>
                <w:b/>
              </w:rPr>
            </w:pPr>
            <w:r w:rsidRPr="007D6F98">
              <w:rPr>
                <w:rFonts w:eastAsia="Calibri"/>
                <w:b/>
                <w:bCs/>
              </w:rPr>
              <w:t>Rate</w:t>
            </w:r>
          </w:p>
        </w:tc>
      </w:tr>
      <w:tr w:rsidR="00F80E94" w:rsidRPr="007D6F98" w14:paraId="568793E1"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hideMark/>
          </w:tcPr>
          <w:p w14:paraId="39A66227" w14:textId="77777777" w:rsidR="00F80E94" w:rsidRPr="007D6F98" w:rsidRDefault="00F80E94" w:rsidP="00306CF3">
            <w:pPr>
              <w:spacing w:after="0" w:line="240" w:lineRule="auto"/>
              <w:ind w:right="18"/>
            </w:pPr>
            <w:r w:rsidRPr="007D6F98">
              <w:t>Enterprise Storage</w:t>
            </w:r>
          </w:p>
        </w:tc>
        <w:tc>
          <w:tcPr>
            <w:tcW w:w="3540" w:type="dxa"/>
            <w:tcBorders>
              <w:top w:val="nil"/>
              <w:left w:val="nil"/>
              <w:bottom w:val="single" w:sz="4" w:space="0" w:color="auto"/>
              <w:right w:val="single" w:sz="4" w:space="0" w:color="auto"/>
            </w:tcBorders>
            <w:vAlign w:val="center"/>
            <w:hideMark/>
          </w:tcPr>
          <w:p w14:paraId="3F1046EA" w14:textId="77777777" w:rsidR="00F80E94" w:rsidRPr="007D6F98" w:rsidRDefault="00F80E94" w:rsidP="00306CF3">
            <w:pPr>
              <w:spacing w:after="0" w:line="240" w:lineRule="auto"/>
              <w:ind w:right="18"/>
            </w:pPr>
            <w:r w:rsidRPr="007D6F98">
              <w:t>Allocated Enterprise Storage GB</w:t>
            </w:r>
          </w:p>
        </w:tc>
        <w:tc>
          <w:tcPr>
            <w:tcW w:w="1400" w:type="dxa"/>
            <w:tcBorders>
              <w:top w:val="nil"/>
              <w:left w:val="nil"/>
              <w:bottom w:val="single" w:sz="4" w:space="0" w:color="auto"/>
              <w:right w:val="single" w:sz="4" w:space="0" w:color="auto"/>
            </w:tcBorders>
            <w:noWrap/>
            <w:vAlign w:val="center"/>
            <w:hideMark/>
          </w:tcPr>
          <w:p w14:paraId="6E7D4331" w14:textId="77777777" w:rsidR="00F80E94" w:rsidRPr="007D6F98" w:rsidRDefault="00F80E94" w:rsidP="00306CF3">
            <w:pPr>
              <w:spacing w:after="0" w:line="240" w:lineRule="auto"/>
              <w:ind w:right="18"/>
              <w:jc w:val="right"/>
            </w:pPr>
            <w:r w:rsidRPr="007D6F98">
              <w:t>$0.04</w:t>
            </w:r>
          </w:p>
        </w:tc>
      </w:tr>
      <w:tr w:rsidR="00F80E94" w:rsidRPr="007D6F98" w14:paraId="78FF5A23" w14:textId="77777777" w:rsidTr="00306CF3">
        <w:trPr>
          <w:cantSplit/>
          <w:trHeight w:val="288"/>
          <w:jc w:val="center"/>
        </w:trPr>
        <w:tc>
          <w:tcPr>
            <w:tcW w:w="4140" w:type="dxa"/>
            <w:tcBorders>
              <w:top w:val="nil"/>
              <w:left w:val="single" w:sz="4" w:space="0" w:color="auto"/>
              <w:bottom w:val="single" w:sz="4" w:space="0" w:color="auto"/>
              <w:right w:val="single" w:sz="4" w:space="0" w:color="auto"/>
            </w:tcBorders>
            <w:vAlign w:val="center"/>
            <w:hideMark/>
          </w:tcPr>
          <w:p w14:paraId="2A40F9ED" w14:textId="77777777" w:rsidR="00F80E94" w:rsidRPr="007D6F98" w:rsidRDefault="00F80E94" w:rsidP="00306CF3">
            <w:pPr>
              <w:spacing w:after="0" w:line="240" w:lineRule="auto"/>
              <w:ind w:right="18"/>
            </w:pPr>
            <w:r w:rsidRPr="007D6F98">
              <w:t>Enterprise Storage, Mainframe</w:t>
            </w:r>
          </w:p>
        </w:tc>
        <w:tc>
          <w:tcPr>
            <w:tcW w:w="3540" w:type="dxa"/>
            <w:tcBorders>
              <w:top w:val="nil"/>
              <w:left w:val="nil"/>
              <w:bottom w:val="single" w:sz="4" w:space="0" w:color="auto"/>
              <w:right w:val="single" w:sz="4" w:space="0" w:color="auto"/>
            </w:tcBorders>
            <w:vAlign w:val="center"/>
            <w:hideMark/>
          </w:tcPr>
          <w:p w14:paraId="19C0D51D" w14:textId="77777777" w:rsidR="00F80E94" w:rsidRPr="007D6F98" w:rsidRDefault="00F80E94" w:rsidP="00306CF3">
            <w:pPr>
              <w:spacing w:after="0" w:line="240" w:lineRule="auto"/>
              <w:ind w:right="18"/>
            </w:pPr>
            <w:r w:rsidRPr="007D6F98">
              <w:t xml:space="preserve">Actual Mainframe Storage GB </w:t>
            </w:r>
          </w:p>
        </w:tc>
        <w:tc>
          <w:tcPr>
            <w:tcW w:w="1400" w:type="dxa"/>
            <w:tcBorders>
              <w:top w:val="nil"/>
              <w:left w:val="nil"/>
              <w:bottom w:val="single" w:sz="4" w:space="0" w:color="auto"/>
              <w:right w:val="single" w:sz="4" w:space="0" w:color="auto"/>
            </w:tcBorders>
            <w:noWrap/>
            <w:vAlign w:val="center"/>
            <w:hideMark/>
          </w:tcPr>
          <w:p w14:paraId="15BC6F1D" w14:textId="77777777" w:rsidR="00F80E94" w:rsidRPr="007D6F98" w:rsidRDefault="00F80E94" w:rsidP="00306CF3">
            <w:pPr>
              <w:spacing w:after="0" w:line="240" w:lineRule="auto"/>
              <w:ind w:right="18"/>
              <w:jc w:val="right"/>
            </w:pPr>
            <w:r w:rsidRPr="007D6F98">
              <w:t>$0.04</w:t>
            </w:r>
          </w:p>
        </w:tc>
      </w:tr>
    </w:tbl>
    <w:p w14:paraId="7731F02A" w14:textId="77777777" w:rsidR="00F80E94" w:rsidRDefault="00F80E94" w:rsidP="00F80E94">
      <w:pPr>
        <w:ind w:right="18"/>
        <w:contextualSpacing/>
      </w:pPr>
    </w:p>
    <w:p w14:paraId="389FC65D" w14:textId="77777777" w:rsidR="004B23A3" w:rsidRPr="007D6F98" w:rsidRDefault="004B23A3" w:rsidP="00F80E94">
      <w:pPr>
        <w:ind w:right="18"/>
        <w:contextualSpacing/>
      </w:pPr>
    </w:p>
    <w:p w14:paraId="51D77A69" w14:textId="77777777" w:rsidR="00F80E94" w:rsidRPr="006C359D" w:rsidRDefault="00F80E94" w:rsidP="2E12E5CC">
      <w:pPr>
        <w:pStyle w:val="Heading5"/>
        <w:rPr>
          <w:sz w:val="20"/>
          <w:szCs w:val="20"/>
        </w:rPr>
      </w:pPr>
      <w:r>
        <w:lastRenderedPageBreak/>
        <w:t>Backup Services</w:t>
      </w:r>
    </w:p>
    <w:p w14:paraId="527FF16C" w14:textId="77777777" w:rsidR="00F80E94" w:rsidRPr="006C359D" w:rsidRDefault="00F80E94" w:rsidP="00F80E94">
      <w:pPr>
        <w:ind w:right="18"/>
        <w:contextualSpacing/>
      </w:pPr>
      <w:r w:rsidRPr="006C359D">
        <w:t>Backup Services create multiple reliable copies of data, related software and supporting configurations for the purpose of reproducing data from a specific point in time in the event the original is lost, erased, damaged or changed in error. An immutable copy is maintained off-site protecting against malicious data corruption and enabling some regulatory data-compliance requirements. A restore from the immutable copy can be provided for a fee.</w:t>
      </w:r>
    </w:p>
    <w:p w14:paraId="115DAFED" w14:textId="77777777" w:rsidR="00F80E94" w:rsidRPr="006C359D" w:rsidRDefault="00F80E94" w:rsidP="00F80E94">
      <w:pPr>
        <w:ind w:right="18"/>
        <w:contextualSpacing/>
      </w:pPr>
    </w:p>
    <w:tbl>
      <w:tblPr>
        <w:tblW w:w="8935" w:type="dxa"/>
        <w:jc w:val="center"/>
        <w:tblLook w:val="04A0" w:firstRow="1" w:lastRow="0" w:firstColumn="1" w:lastColumn="0" w:noHBand="0" w:noVBand="1"/>
      </w:tblPr>
      <w:tblGrid>
        <w:gridCol w:w="4074"/>
        <w:gridCol w:w="3483"/>
        <w:gridCol w:w="1378"/>
      </w:tblGrid>
      <w:tr w:rsidR="00F80E94" w:rsidRPr="007D6F98" w14:paraId="042D1D13" w14:textId="77777777" w:rsidTr="00B12A7A">
        <w:trPr>
          <w:cantSplit/>
          <w:trHeight w:val="472"/>
          <w:jc w:val="center"/>
        </w:trPr>
        <w:tc>
          <w:tcPr>
            <w:tcW w:w="8935" w:type="dxa"/>
            <w:gridSpan w:val="3"/>
            <w:tcBorders>
              <w:top w:val="single" w:sz="4" w:space="0" w:color="auto"/>
              <w:left w:val="single" w:sz="4" w:space="0" w:color="auto"/>
              <w:bottom w:val="single" w:sz="4" w:space="0" w:color="auto"/>
              <w:right w:val="single" w:sz="4" w:space="0" w:color="auto"/>
            </w:tcBorders>
            <w:shd w:val="clear" w:color="auto" w:fill="D9D9D9" w:themeFill="background2" w:themeFillShade="D9"/>
            <w:noWrap/>
            <w:vAlign w:val="center"/>
            <w:hideMark/>
          </w:tcPr>
          <w:p w14:paraId="5232DBF5" w14:textId="77777777" w:rsidR="00F80E94" w:rsidRPr="007D6F98" w:rsidRDefault="00F80E94" w:rsidP="00306CF3">
            <w:pPr>
              <w:pStyle w:val="NoSpacing"/>
              <w:ind w:right="18"/>
              <w:jc w:val="center"/>
              <w:rPr>
                <w:b/>
              </w:rPr>
            </w:pPr>
            <w:r w:rsidRPr="007D6F98">
              <w:br w:type="page"/>
            </w:r>
            <w:r w:rsidRPr="007D6F98">
              <w:rPr>
                <w:b/>
              </w:rPr>
              <w:t>Backup</w:t>
            </w:r>
          </w:p>
        </w:tc>
      </w:tr>
      <w:tr w:rsidR="00F80E94" w:rsidRPr="007D6F98" w14:paraId="0D994885" w14:textId="77777777" w:rsidTr="00B12A7A">
        <w:trPr>
          <w:cantSplit/>
          <w:trHeight w:val="302"/>
          <w:jc w:val="center"/>
        </w:trPr>
        <w:tc>
          <w:tcPr>
            <w:tcW w:w="4074" w:type="dxa"/>
            <w:tcBorders>
              <w:top w:val="nil"/>
              <w:left w:val="single" w:sz="4" w:space="0" w:color="auto"/>
              <w:bottom w:val="single" w:sz="4" w:space="0" w:color="auto"/>
              <w:right w:val="single" w:sz="4" w:space="0" w:color="auto"/>
            </w:tcBorders>
            <w:vAlign w:val="center"/>
          </w:tcPr>
          <w:p w14:paraId="51C117ED" w14:textId="77777777" w:rsidR="00F80E94" w:rsidRPr="007D6F98" w:rsidRDefault="00F80E94" w:rsidP="00306CF3">
            <w:pPr>
              <w:pStyle w:val="NoSpacing"/>
              <w:ind w:right="18"/>
            </w:pPr>
          </w:p>
        </w:tc>
        <w:tc>
          <w:tcPr>
            <w:tcW w:w="3483" w:type="dxa"/>
            <w:tcBorders>
              <w:top w:val="nil"/>
              <w:left w:val="nil"/>
              <w:bottom w:val="single" w:sz="4" w:space="0" w:color="auto"/>
              <w:right w:val="single" w:sz="4" w:space="0" w:color="auto"/>
            </w:tcBorders>
            <w:shd w:val="clear" w:color="auto" w:fill="D9D9D9" w:themeFill="background2" w:themeFillShade="D9"/>
            <w:vAlign w:val="center"/>
          </w:tcPr>
          <w:p w14:paraId="77BFB783" w14:textId="77777777" w:rsidR="00F80E94" w:rsidRPr="007D6F98" w:rsidRDefault="00F80E94" w:rsidP="00306CF3">
            <w:pPr>
              <w:pStyle w:val="NoSpacing"/>
              <w:ind w:right="18"/>
              <w:jc w:val="center"/>
              <w:rPr>
                <w:b/>
              </w:rPr>
            </w:pPr>
            <w:r w:rsidRPr="007D6F98">
              <w:rPr>
                <w:b/>
              </w:rPr>
              <w:t>Billable Unit</w:t>
            </w:r>
          </w:p>
          <w:p w14:paraId="10F00352" w14:textId="77777777" w:rsidR="00F80E94" w:rsidRPr="007D6F98" w:rsidRDefault="00F80E94" w:rsidP="00306CF3">
            <w:pPr>
              <w:pStyle w:val="NoSpacing"/>
              <w:ind w:right="18"/>
              <w:jc w:val="center"/>
              <w:rPr>
                <w:b/>
              </w:rPr>
            </w:pPr>
            <w:r w:rsidRPr="007D6F98">
              <w:rPr>
                <w:b/>
              </w:rPr>
              <w:t>per Month</w:t>
            </w:r>
          </w:p>
        </w:tc>
        <w:tc>
          <w:tcPr>
            <w:tcW w:w="1378" w:type="dxa"/>
            <w:tcBorders>
              <w:top w:val="nil"/>
              <w:left w:val="nil"/>
              <w:bottom w:val="single" w:sz="4" w:space="0" w:color="auto"/>
              <w:right w:val="single" w:sz="4" w:space="0" w:color="auto"/>
            </w:tcBorders>
            <w:shd w:val="clear" w:color="auto" w:fill="D9D9D9" w:themeFill="background2" w:themeFillShade="D9"/>
            <w:noWrap/>
            <w:vAlign w:val="center"/>
          </w:tcPr>
          <w:p w14:paraId="62BC1576" w14:textId="77777777" w:rsidR="00F80E94" w:rsidRPr="007D6F98" w:rsidRDefault="00F80E94" w:rsidP="00306CF3">
            <w:pPr>
              <w:spacing w:after="0" w:line="240" w:lineRule="auto"/>
              <w:ind w:right="18"/>
              <w:jc w:val="center"/>
              <w:rPr>
                <w:rFonts w:eastAsia="Calibri"/>
                <w:b/>
                <w:bCs/>
              </w:rPr>
            </w:pPr>
            <w:r w:rsidRPr="007D6F98">
              <w:rPr>
                <w:rFonts w:eastAsia="Calibri"/>
                <w:b/>
                <w:bCs/>
              </w:rPr>
              <w:t>2027-29</w:t>
            </w:r>
          </w:p>
          <w:p w14:paraId="6490444E" w14:textId="77777777" w:rsidR="00F80E94" w:rsidRPr="007D6F98" w:rsidRDefault="00F80E94" w:rsidP="00306CF3">
            <w:pPr>
              <w:pStyle w:val="NoSpacing"/>
              <w:ind w:right="18"/>
              <w:jc w:val="center"/>
              <w:rPr>
                <w:b/>
              </w:rPr>
            </w:pPr>
            <w:r w:rsidRPr="007D6F98">
              <w:rPr>
                <w:rFonts w:eastAsia="Calibri"/>
                <w:b/>
                <w:bCs/>
              </w:rPr>
              <w:t>Rate</w:t>
            </w:r>
          </w:p>
        </w:tc>
      </w:tr>
      <w:tr w:rsidR="00F80E94" w:rsidRPr="007D6F98" w14:paraId="0948455C" w14:textId="77777777" w:rsidTr="00B12A7A">
        <w:trPr>
          <w:cantSplit/>
          <w:trHeight w:val="302"/>
          <w:jc w:val="center"/>
        </w:trPr>
        <w:tc>
          <w:tcPr>
            <w:tcW w:w="4074" w:type="dxa"/>
            <w:tcBorders>
              <w:top w:val="nil"/>
              <w:left w:val="single" w:sz="4" w:space="0" w:color="auto"/>
              <w:bottom w:val="single" w:sz="4" w:space="0" w:color="auto"/>
              <w:right w:val="single" w:sz="4" w:space="0" w:color="auto"/>
            </w:tcBorders>
            <w:vAlign w:val="center"/>
            <w:hideMark/>
          </w:tcPr>
          <w:p w14:paraId="4C7FC42C" w14:textId="77777777" w:rsidR="00F80E94" w:rsidRPr="007D6F98" w:rsidRDefault="00F80E94" w:rsidP="00306CF3">
            <w:pPr>
              <w:spacing w:after="0" w:line="240" w:lineRule="auto"/>
              <w:ind w:right="18"/>
            </w:pPr>
            <w:r w:rsidRPr="007D6F98">
              <w:t>Backup Services</w:t>
            </w:r>
          </w:p>
        </w:tc>
        <w:tc>
          <w:tcPr>
            <w:tcW w:w="3483" w:type="dxa"/>
            <w:tcBorders>
              <w:top w:val="nil"/>
              <w:left w:val="nil"/>
              <w:bottom w:val="single" w:sz="4" w:space="0" w:color="auto"/>
              <w:right w:val="single" w:sz="4" w:space="0" w:color="auto"/>
            </w:tcBorders>
            <w:vAlign w:val="center"/>
            <w:hideMark/>
          </w:tcPr>
          <w:p w14:paraId="5C95AC1E" w14:textId="77777777" w:rsidR="00F80E94" w:rsidRPr="007D6F98" w:rsidRDefault="00F80E94" w:rsidP="00306CF3">
            <w:pPr>
              <w:spacing w:after="0" w:line="240" w:lineRule="auto"/>
              <w:ind w:right="18"/>
            </w:pPr>
            <w:r w:rsidRPr="007D6F98">
              <w:t>Backup GB</w:t>
            </w:r>
          </w:p>
        </w:tc>
        <w:tc>
          <w:tcPr>
            <w:tcW w:w="1378" w:type="dxa"/>
            <w:tcBorders>
              <w:top w:val="nil"/>
              <w:left w:val="nil"/>
              <w:bottom w:val="single" w:sz="4" w:space="0" w:color="auto"/>
              <w:right w:val="single" w:sz="4" w:space="0" w:color="auto"/>
            </w:tcBorders>
            <w:noWrap/>
            <w:vAlign w:val="center"/>
            <w:hideMark/>
          </w:tcPr>
          <w:p w14:paraId="74F8D675" w14:textId="77777777" w:rsidR="00F80E94" w:rsidRPr="007D6F98" w:rsidRDefault="00F80E94" w:rsidP="00306CF3">
            <w:pPr>
              <w:spacing w:after="0" w:line="240" w:lineRule="auto"/>
              <w:ind w:right="18"/>
              <w:jc w:val="right"/>
            </w:pPr>
            <w:r w:rsidRPr="007D6F98">
              <w:t>$0.01</w:t>
            </w:r>
          </w:p>
        </w:tc>
      </w:tr>
    </w:tbl>
    <w:p w14:paraId="71EBCB60" w14:textId="5511D189" w:rsidR="00F80E94" w:rsidRPr="00CB3393" w:rsidRDefault="00F80E94" w:rsidP="2E12E5CC">
      <w:pPr>
        <w:pStyle w:val="Heading5"/>
        <w:rPr>
          <w:rFonts w:eastAsia="Cambria"/>
          <w:sz w:val="20"/>
          <w:szCs w:val="20"/>
        </w:rPr>
      </w:pPr>
      <w:r>
        <w:t>Network</w:t>
      </w:r>
    </w:p>
    <w:p w14:paraId="7DE60706" w14:textId="77777777" w:rsidR="00F80E94" w:rsidRPr="005F7BAF" w:rsidRDefault="00F80E94" w:rsidP="00F80E94">
      <w:pPr>
        <w:ind w:right="18"/>
      </w:pPr>
      <w:r w:rsidRPr="005F7BAF">
        <w:t>The Network team supports the DCS network, Wide Area Network (WAN), Metropolitan Area Network (MAN), Local Area Networks (LAN) and wireless networks. Primary functions include responsibility for the design, engineering, configuration, installation, administration and maintenance of the enterprise's data communication systems.</w:t>
      </w:r>
    </w:p>
    <w:tbl>
      <w:tblPr>
        <w:tblW w:w="9148" w:type="dxa"/>
        <w:jc w:val="center"/>
        <w:tblLook w:val="04A0" w:firstRow="1" w:lastRow="0" w:firstColumn="1" w:lastColumn="0" w:noHBand="0" w:noVBand="1"/>
      </w:tblPr>
      <w:tblGrid>
        <w:gridCol w:w="4858"/>
        <w:gridCol w:w="2940"/>
        <w:gridCol w:w="1350"/>
      </w:tblGrid>
      <w:tr w:rsidR="00F80E94" w:rsidRPr="004C53EF" w14:paraId="66547FDD" w14:textId="77777777" w:rsidTr="00306CF3">
        <w:trPr>
          <w:trHeight w:val="350"/>
          <w:jc w:val="center"/>
        </w:trPr>
        <w:tc>
          <w:tcPr>
            <w:tcW w:w="91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A879C5" w14:textId="77777777" w:rsidR="00F80E94" w:rsidRPr="00C136C1" w:rsidRDefault="00F80E94" w:rsidP="00306CF3">
            <w:pPr>
              <w:spacing w:after="0" w:line="240" w:lineRule="auto"/>
              <w:ind w:right="18"/>
              <w:jc w:val="center"/>
              <w:rPr>
                <w:rFonts w:eastAsia="Times New Roman"/>
                <w:b/>
                <w:bCs/>
              </w:rPr>
            </w:pPr>
            <w:r w:rsidRPr="00C136C1">
              <w:rPr>
                <w:rFonts w:eastAsia="Times New Roman"/>
                <w:b/>
                <w:bCs/>
              </w:rPr>
              <w:t>Data Network</w:t>
            </w:r>
          </w:p>
        </w:tc>
      </w:tr>
      <w:tr w:rsidR="00F80E94" w:rsidRPr="004C53EF" w14:paraId="0C1562E6" w14:textId="77777777" w:rsidTr="00306CF3">
        <w:trPr>
          <w:trHeight w:val="288"/>
          <w:jc w:val="center"/>
        </w:trPr>
        <w:tc>
          <w:tcPr>
            <w:tcW w:w="4858" w:type="dxa"/>
            <w:tcBorders>
              <w:top w:val="nil"/>
              <w:left w:val="single" w:sz="4" w:space="0" w:color="auto"/>
              <w:bottom w:val="single" w:sz="4" w:space="0" w:color="auto"/>
              <w:right w:val="single" w:sz="4" w:space="0" w:color="auto"/>
            </w:tcBorders>
            <w:vAlign w:val="center"/>
          </w:tcPr>
          <w:p w14:paraId="52BA2085" w14:textId="77777777" w:rsidR="00F80E94" w:rsidRPr="004C53EF" w:rsidRDefault="00F80E94" w:rsidP="00306CF3">
            <w:pPr>
              <w:spacing w:after="0" w:line="240" w:lineRule="auto"/>
              <w:ind w:right="18"/>
              <w:rPr>
                <w:rFonts w:eastAsia="Times New Roman"/>
                <w:bCs/>
              </w:rPr>
            </w:pPr>
          </w:p>
        </w:tc>
        <w:tc>
          <w:tcPr>
            <w:tcW w:w="2940" w:type="dxa"/>
            <w:tcBorders>
              <w:top w:val="nil"/>
              <w:left w:val="nil"/>
              <w:bottom w:val="single" w:sz="4" w:space="0" w:color="auto"/>
              <w:right w:val="single" w:sz="4" w:space="0" w:color="auto"/>
            </w:tcBorders>
            <w:shd w:val="clear" w:color="auto" w:fill="D9D9D9" w:themeFill="background1" w:themeFillShade="D9"/>
            <w:vAlign w:val="bottom"/>
          </w:tcPr>
          <w:p w14:paraId="497E62FC" w14:textId="77777777" w:rsidR="00F80E94" w:rsidRPr="00C136C1" w:rsidRDefault="00F80E94" w:rsidP="00306CF3">
            <w:pPr>
              <w:spacing w:after="0" w:line="240" w:lineRule="auto"/>
              <w:ind w:right="18"/>
              <w:jc w:val="center"/>
              <w:rPr>
                <w:rFonts w:eastAsia="Calibri"/>
                <w:b/>
                <w:bCs/>
              </w:rPr>
            </w:pPr>
            <w:r w:rsidRPr="00C136C1">
              <w:rPr>
                <w:rFonts w:eastAsia="Calibri"/>
                <w:b/>
                <w:bCs/>
              </w:rPr>
              <w:t>Billable Unit</w:t>
            </w:r>
          </w:p>
          <w:p w14:paraId="10A84121" w14:textId="77777777" w:rsidR="00F80E94" w:rsidRPr="00C136C1" w:rsidRDefault="00F80E94" w:rsidP="00306CF3">
            <w:pPr>
              <w:spacing w:after="0" w:line="240" w:lineRule="auto"/>
              <w:ind w:right="18"/>
              <w:jc w:val="center"/>
              <w:rPr>
                <w:rFonts w:eastAsia="Calibri"/>
                <w:b/>
                <w:bCs/>
              </w:rPr>
            </w:pPr>
            <w:r w:rsidRPr="00C136C1">
              <w:rPr>
                <w:rFonts w:eastAsia="Calibri"/>
                <w:b/>
                <w:bCs/>
              </w:rPr>
              <w:t>per Month</w:t>
            </w:r>
          </w:p>
        </w:tc>
        <w:tc>
          <w:tcPr>
            <w:tcW w:w="1350" w:type="dxa"/>
            <w:tcBorders>
              <w:top w:val="nil"/>
              <w:left w:val="nil"/>
              <w:bottom w:val="single" w:sz="4" w:space="0" w:color="auto"/>
              <w:right w:val="single" w:sz="4" w:space="0" w:color="auto"/>
            </w:tcBorders>
            <w:shd w:val="clear" w:color="auto" w:fill="D9D9D9" w:themeFill="background1" w:themeFillShade="D9"/>
            <w:noWrap/>
            <w:vAlign w:val="bottom"/>
          </w:tcPr>
          <w:p w14:paraId="21D751D4" w14:textId="77777777" w:rsidR="00F80E94" w:rsidRPr="00C136C1" w:rsidRDefault="00F80E94" w:rsidP="00306CF3">
            <w:pPr>
              <w:spacing w:after="0" w:line="240" w:lineRule="auto"/>
              <w:ind w:right="18"/>
              <w:jc w:val="center"/>
              <w:rPr>
                <w:rFonts w:eastAsia="Calibri"/>
                <w:b/>
                <w:bCs/>
              </w:rPr>
            </w:pPr>
            <w:r w:rsidRPr="00C136C1">
              <w:rPr>
                <w:rFonts w:eastAsia="Calibri"/>
                <w:b/>
                <w:bCs/>
              </w:rPr>
              <w:t>202</w:t>
            </w:r>
            <w:r>
              <w:rPr>
                <w:rFonts w:eastAsia="Calibri"/>
                <w:b/>
                <w:bCs/>
              </w:rPr>
              <w:t>7</w:t>
            </w:r>
            <w:r w:rsidRPr="00C136C1">
              <w:rPr>
                <w:rFonts w:eastAsia="Calibri"/>
                <w:b/>
                <w:bCs/>
              </w:rPr>
              <w:t>-2</w:t>
            </w:r>
            <w:r>
              <w:rPr>
                <w:rFonts w:eastAsia="Calibri"/>
                <w:b/>
                <w:bCs/>
              </w:rPr>
              <w:t>9</w:t>
            </w:r>
          </w:p>
          <w:p w14:paraId="5C6AE664" w14:textId="77777777" w:rsidR="00F80E94" w:rsidRPr="00C136C1" w:rsidRDefault="00F80E94" w:rsidP="00306CF3">
            <w:pPr>
              <w:spacing w:after="0" w:line="240" w:lineRule="auto"/>
              <w:ind w:right="18"/>
              <w:jc w:val="center"/>
              <w:rPr>
                <w:rFonts w:eastAsia="Calibri"/>
                <w:b/>
                <w:bCs/>
              </w:rPr>
            </w:pPr>
            <w:r w:rsidRPr="00C136C1">
              <w:rPr>
                <w:rFonts w:eastAsia="Calibri"/>
                <w:b/>
                <w:bCs/>
              </w:rPr>
              <w:t>Rate</w:t>
            </w:r>
          </w:p>
        </w:tc>
      </w:tr>
      <w:tr w:rsidR="00F80E94" w:rsidRPr="004C53EF" w14:paraId="4B4A1588" w14:textId="77777777" w:rsidTr="00306CF3">
        <w:trPr>
          <w:trHeight w:val="288"/>
          <w:jc w:val="center"/>
        </w:trPr>
        <w:tc>
          <w:tcPr>
            <w:tcW w:w="4858" w:type="dxa"/>
            <w:tcBorders>
              <w:top w:val="nil"/>
              <w:left w:val="single" w:sz="4" w:space="0" w:color="auto"/>
              <w:bottom w:val="single" w:sz="4" w:space="0" w:color="auto"/>
              <w:right w:val="single" w:sz="4" w:space="0" w:color="auto"/>
            </w:tcBorders>
            <w:vAlign w:val="center"/>
            <w:hideMark/>
          </w:tcPr>
          <w:p w14:paraId="2B7FB97E" w14:textId="77777777" w:rsidR="00F80E94" w:rsidRPr="004C53EF" w:rsidRDefault="00F80E94" w:rsidP="00306CF3">
            <w:pPr>
              <w:spacing w:after="0" w:line="240" w:lineRule="auto"/>
              <w:ind w:right="18"/>
              <w:rPr>
                <w:rFonts w:eastAsia="Times New Roman"/>
                <w:bCs/>
              </w:rPr>
            </w:pPr>
            <w:r w:rsidRPr="004C53EF">
              <w:rPr>
                <w:rFonts w:eastAsia="Times New Roman"/>
                <w:bCs/>
              </w:rPr>
              <w:t xml:space="preserve">LAN Services </w:t>
            </w:r>
          </w:p>
        </w:tc>
        <w:tc>
          <w:tcPr>
            <w:tcW w:w="2940" w:type="dxa"/>
            <w:tcBorders>
              <w:top w:val="nil"/>
              <w:left w:val="nil"/>
              <w:bottom w:val="single" w:sz="4" w:space="0" w:color="auto"/>
              <w:right w:val="single" w:sz="4" w:space="0" w:color="auto"/>
            </w:tcBorders>
            <w:vAlign w:val="center"/>
            <w:hideMark/>
          </w:tcPr>
          <w:p w14:paraId="5DFBE97E" w14:textId="77777777" w:rsidR="00F80E94" w:rsidRPr="004C53EF" w:rsidRDefault="00F80E94" w:rsidP="00306CF3">
            <w:pPr>
              <w:spacing w:after="0" w:line="240" w:lineRule="auto"/>
              <w:ind w:right="18"/>
              <w:rPr>
                <w:rFonts w:eastAsia="Times New Roman"/>
              </w:rPr>
            </w:pPr>
            <w:r w:rsidRPr="004C53EF">
              <w:rPr>
                <w:rFonts w:eastAsia="Times New Roman"/>
              </w:rPr>
              <w:t>12 Port Switch</w:t>
            </w:r>
          </w:p>
        </w:tc>
        <w:tc>
          <w:tcPr>
            <w:tcW w:w="1350" w:type="dxa"/>
            <w:tcBorders>
              <w:top w:val="nil"/>
              <w:left w:val="nil"/>
              <w:bottom w:val="single" w:sz="4" w:space="0" w:color="auto"/>
              <w:right w:val="single" w:sz="4" w:space="0" w:color="auto"/>
            </w:tcBorders>
            <w:noWrap/>
            <w:vAlign w:val="center"/>
            <w:hideMark/>
          </w:tcPr>
          <w:p w14:paraId="243974FF" w14:textId="77777777" w:rsidR="00F80E94" w:rsidRPr="006C359D" w:rsidRDefault="00F80E94" w:rsidP="00306CF3">
            <w:pPr>
              <w:spacing w:after="0" w:line="240" w:lineRule="auto"/>
              <w:ind w:right="18"/>
              <w:jc w:val="right"/>
              <w:rPr>
                <w:rFonts w:eastAsia="Times New Roman"/>
              </w:rPr>
            </w:pPr>
            <w:r w:rsidRPr="006C359D">
              <w:rPr>
                <w:rFonts w:eastAsia="Times New Roman"/>
              </w:rPr>
              <w:t>$51.62</w:t>
            </w:r>
          </w:p>
        </w:tc>
      </w:tr>
      <w:tr w:rsidR="00F80E94" w:rsidRPr="004C53EF" w14:paraId="7DCAC8E7" w14:textId="77777777" w:rsidTr="00306CF3">
        <w:trPr>
          <w:trHeight w:val="288"/>
          <w:jc w:val="center"/>
        </w:trPr>
        <w:tc>
          <w:tcPr>
            <w:tcW w:w="4858" w:type="dxa"/>
            <w:tcBorders>
              <w:top w:val="nil"/>
              <w:left w:val="single" w:sz="4" w:space="0" w:color="auto"/>
              <w:bottom w:val="single" w:sz="4" w:space="0" w:color="auto"/>
              <w:right w:val="single" w:sz="4" w:space="0" w:color="auto"/>
            </w:tcBorders>
            <w:vAlign w:val="center"/>
            <w:hideMark/>
          </w:tcPr>
          <w:p w14:paraId="7428D367" w14:textId="77777777" w:rsidR="00F80E94" w:rsidRPr="004C53EF" w:rsidRDefault="00F80E94" w:rsidP="00306CF3">
            <w:pPr>
              <w:spacing w:after="0" w:line="240" w:lineRule="auto"/>
              <w:ind w:right="18"/>
              <w:rPr>
                <w:rFonts w:eastAsia="Times New Roman"/>
                <w:bCs/>
              </w:rPr>
            </w:pPr>
            <w:r w:rsidRPr="004C53EF">
              <w:rPr>
                <w:rFonts w:eastAsia="Times New Roman"/>
                <w:bCs/>
              </w:rPr>
              <w:t xml:space="preserve">Wireless Services </w:t>
            </w:r>
          </w:p>
        </w:tc>
        <w:tc>
          <w:tcPr>
            <w:tcW w:w="2940" w:type="dxa"/>
            <w:tcBorders>
              <w:top w:val="nil"/>
              <w:left w:val="nil"/>
              <w:bottom w:val="single" w:sz="4" w:space="0" w:color="auto"/>
              <w:right w:val="single" w:sz="4" w:space="0" w:color="auto"/>
            </w:tcBorders>
            <w:vAlign w:val="center"/>
            <w:hideMark/>
          </w:tcPr>
          <w:p w14:paraId="5D42FDD1" w14:textId="77777777" w:rsidR="00F80E94" w:rsidRPr="004C53EF" w:rsidRDefault="00F80E94" w:rsidP="00306CF3">
            <w:pPr>
              <w:spacing w:after="0" w:line="240" w:lineRule="auto"/>
              <w:ind w:right="18"/>
              <w:rPr>
                <w:rFonts w:eastAsia="Times New Roman"/>
              </w:rPr>
            </w:pPr>
            <w:r>
              <w:rPr>
                <w:rFonts w:eastAsia="Times New Roman"/>
              </w:rPr>
              <w:t>Device</w:t>
            </w:r>
            <w:r w:rsidRPr="004C53EF">
              <w:rPr>
                <w:rFonts w:eastAsia="Times New Roman"/>
              </w:rPr>
              <w:t xml:space="preserve">  </w:t>
            </w:r>
          </w:p>
        </w:tc>
        <w:tc>
          <w:tcPr>
            <w:tcW w:w="1350" w:type="dxa"/>
            <w:tcBorders>
              <w:top w:val="nil"/>
              <w:left w:val="nil"/>
              <w:bottom w:val="single" w:sz="4" w:space="0" w:color="auto"/>
              <w:right w:val="single" w:sz="4" w:space="0" w:color="auto"/>
            </w:tcBorders>
            <w:noWrap/>
            <w:vAlign w:val="center"/>
            <w:hideMark/>
          </w:tcPr>
          <w:p w14:paraId="6E102E3D" w14:textId="77777777" w:rsidR="00F80E94" w:rsidRPr="006C359D" w:rsidRDefault="00F80E94" w:rsidP="00306CF3">
            <w:pPr>
              <w:spacing w:after="0" w:line="240" w:lineRule="auto"/>
              <w:ind w:right="18"/>
              <w:jc w:val="right"/>
              <w:rPr>
                <w:rFonts w:eastAsia="Times New Roman"/>
              </w:rPr>
            </w:pPr>
            <w:r w:rsidRPr="006C359D">
              <w:rPr>
                <w:rFonts w:eastAsia="Times New Roman"/>
              </w:rPr>
              <w:t>$14.36</w:t>
            </w:r>
          </w:p>
        </w:tc>
      </w:tr>
    </w:tbl>
    <w:p w14:paraId="678A31BD" w14:textId="77777777" w:rsidR="00F80E94" w:rsidRDefault="00F80E94" w:rsidP="00F80E94">
      <w:pPr>
        <w:spacing w:after="0"/>
        <w:ind w:right="18"/>
      </w:pPr>
    </w:p>
    <w:p w14:paraId="3BA30830" w14:textId="77777777" w:rsidR="00F80E94" w:rsidRPr="00D32D40" w:rsidRDefault="00F80E94" w:rsidP="2E12E5CC">
      <w:pPr>
        <w:pStyle w:val="Heading5"/>
        <w:rPr>
          <w:rFonts w:eastAsia="Cambria"/>
          <w:sz w:val="20"/>
          <w:szCs w:val="20"/>
        </w:rPr>
      </w:pPr>
      <w:r>
        <w:t>Colocation</w:t>
      </w:r>
    </w:p>
    <w:p w14:paraId="787DDBD2" w14:textId="77777777" w:rsidR="00F80E94" w:rsidRPr="005F7BAF" w:rsidRDefault="00F80E94" w:rsidP="00F80E94">
      <w:pPr>
        <w:ind w:right="18"/>
      </w:pPr>
      <w:r>
        <w:t xml:space="preserve">The Colocation team provides customers with network connectivity and physical access to the State Data Center. DCS provides </w:t>
      </w:r>
      <w:proofErr w:type="gramStart"/>
      <w:r>
        <w:t>the physical</w:t>
      </w:r>
      <w:proofErr w:type="gramEnd"/>
      <w:r>
        <w:t xml:space="preserve"> building, cooling, power, bandwidth, and physical security while the customer provides servers and storage. Keycard access will be a pass-through to the customer. New fractional colocation rates will enable greater flexibility, affordability and improved customer service.</w:t>
      </w:r>
    </w:p>
    <w:tbl>
      <w:tblPr>
        <w:tblW w:w="9460" w:type="dxa"/>
        <w:jc w:val="center"/>
        <w:tblLook w:val="04A0" w:firstRow="1" w:lastRow="0" w:firstColumn="1" w:lastColumn="0" w:noHBand="0" w:noVBand="1"/>
      </w:tblPr>
      <w:tblGrid>
        <w:gridCol w:w="5023"/>
        <w:gridCol w:w="3039"/>
        <w:gridCol w:w="1398"/>
      </w:tblGrid>
      <w:tr w:rsidR="00F80E94" w:rsidRPr="004C53EF" w14:paraId="7E3582EA" w14:textId="77777777" w:rsidTr="00DF2E79">
        <w:trPr>
          <w:trHeight w:val="298"/>
          <w:jc w:val="center"/>
        </w:trPr>
        <w:tc>
          <w:tcPr>
            <w:tcW w:w="94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6704F2" w14:textId="77777777" w:rsidR="00F80E94" w:rsidRPr="00F54CFD" w:rsidRDefault="00F80E94" w:rsidP="00306CF3">
            <w:pPr>
              <w:spacing w:after="0" w:line="240" w:lineRule="auto"/>
              <w:ind w:right="18"/>
              <w:jc w:val="center"/>
              <w:rPr>
                <w:rFonts w:eastAsia="Times New Roman"/>
                <w:b/>
                <w:bCs/>
              </w:rPr>
            </w:pPr>
            <w:r w:rsidRPr="00F54CFD">
              <w:rPr>
                <w:rFonts w:eastAsia="Times New Roman"/>
                <w:b/>
                <w:bCs/>
              </w:rPr>
              <w:t>Colocation</w:t>
            </w:r>
          </w:p>
        </w:tc>
      </w:tr>
      <w:tr w:rsidR="00F80E94" w:rsidRPr="004C53EF" w14:paraId="58B37582" w14:textId="77777777" w:rsidTr="00DF2E79">
        <w:trPr>
          <w:trHeight w:val="246"/>
          <w:jc w:val="center"/>
        </w:trPr>
        <w:tc>
          <w:tcPr>
            <w:tcW w:w="5023" w:type="dxa"/>
            <w:tcBorders>
              <w:top w:val="nil"/>
              <w:left w:val="single" w:sz="4" w:space="0" w:color="auto"/>
              <w:bottom w:val="single" w:sz="4" w:space="0" w:color="auto"/>
              <w:right w:val="single" w:sz="4" w:space="0" w:color="auto"/>
            </w:tcBorders>
            <w:vAlign w:val="center"/>
          </w:tcPr>
          <w:p w14:paraId="65EC4464" w14:textId="77777777" w:rsidR="00F80E94" w:rsidRPr="004C53EF" w:rsidRDefault="00F80E94" w:rsidP="00306CF3">
            <w:pPr>
              <w:spacing w:after="0" w:line="240" w:lineRule="auto"/>
              <w:ind w:right="18"/>
              <w:rPr>
                <w:rFonts w:eastAsia="Times New Roman"/>
                <w:bCs/>
              </w:rPr>
            </w:pPr>
          </w:p>
        </w:tc>
        <w:tc>
          <w:tcPr>
            <w:tcW w:w="3039" w:type="dxa"/>
            <w:tcBorders>
              <w:top w:val="nil"/>
              <w:left w:val="nil"/>
              <w:bottom w:val="single" w:sz="4" w:space="0" w:color="auto"/>
              <w:right w:val="single" w:sz="4" w:space="0" w:color="auto"/>
            </w:tcBorders>
            <w:shd w:val="clear" w:color="auto" w:fill="D9D9D9" w:themeFill="background1" w:themeFillShade="D9"/>
            <w:vAlign w:val="bottom"/>
          </w:tcPr>
          <w:p w14:paraId="3408940F" w14:textId="77777777" w:rsidR="00F80E94" w:rsidRPr="00F54CFD" w:rsidRDefault="00F80E94" w:rsidP="00306CF3">
            <w:pPr>
              <w:spacing w:after="0" w:line="240" w:lineRule="auto"/>
              <w:ind w:right="18"/>
              <w:jc w:val="center"/>
              <w:rPr>
                <w:rFonts w:eastAsia="Calibri"/>
                <w:b/>
                <w:bCs/>
              </w:rPr>
            </w:pPr>
            <w:r w:rsidRPr="00F54CFD">
              <w:rPr>
                <w:rFonts w:eastAsia="Calibri"/>
                <w:b/>
                <w:bCs/>
              </w:rPr>
              <w:t>Billable Unit</w:t>
            </w:r>
          </w:p>
          <w:p w14:paraId="4824D439" w14:textId="77777777" w:rsidR="00F80E94" w:rsidRPr="00F54CFD" w:rsidRDefault="00F80E94" w:rsidP="00306CF3">
            <w:pPr>
              <w:spacing w:after="0" w:line="240" w:lineRule="auto"/>
              <w:ind w:right="18"/>
              <w:jc w:val="center"/>
              <w:rPr>
                <w:rFonts w:eastAsia="Calibri"/>
                <w:b/>
                <w:bCs/>
              </w:rPr>
            </w:pPr>
            <w:r w:rsidRPr="00F54CFD">
              <w:rPr>
                <w:rFonts w:eastAsia="Calibri"/>
                <w:b/>
                <w:bCs/>
              </w:rPr>
              <w:t>per Month</w:t>
            </w:r>
          </w:p>
        </w:tc>
        <w:tc>
          <w:tcPr>
            <w:tcW w:w="1398" w:type="dxa"/>
            <w:tcBorders>
              <w:top w:val="nil"/>
              <w:left w:val="nil"/>
              <w:bottom w:val="single" w:sz="4" w:space="0" w:color="auto"/>
              <w:right w:val="single" w:sz="4" w:space="0" w:color="auto"/>
            </w:tcBorders>
            <w:shd w:val="clear" w:color="auto" w:fill="D9D9D9" w:themeFill="background1" w:themeFillShade="D9"/>
            <w:noWrap/>
            <w:vAlign w:val="bottom"/>
          </w:tcPr>
          <w:p w14:paraId="47EE6134" w14:textId="77777777" w:rsidR="00F80E94" w:rsidRPr="00F54CFD" w:rsidRDefault="00F80E94" w:rsidP="00306CF3">
            <w:pPr>
              <w:spacing w:after="0" w:line="240" w:lineRule="auto"/>
              <w:ind w:right="18"/>
              <w:jc w:val="center"/>
              <w:rPr>
                <w:rFonts w:eastAsia="Calibri"/>
                <w:b/>
                <w:bCs/>
              </w:rPr>
            </w:pPr>
            <w:r w:rsidRPr="00F54CFD">
              <w:rPr>
                <w:rFonts w:eastAsia="Calibri"/>
                <w:b/>
                <w:bCs/>
              </w:rPr>
              <w:t>202</w:t>
            </w:r>
            <w:r>
              <w:rPr>
                <w:rFonts w:eastAsia="Calibri"/>
                <w:b/>
                <w:bCs/>
              </w:rPr>
              <w:t>7</w:t>
            </w:r>
            <w:r w:rsidRPr="00F54CFD">
              <w:rPr>
                <w:rFonts w:eastAsia="Calibri"/>
                <w:b/>
                <w:bCs/>
              </w:rPr>
              <w:t>-2</w:t>
            </w:r>
            <w:r>
              <w:rPr>
                <w:rFonts w:eastAsia="Calibri"/>
                <w:b/>
                <w:bCs/>
              </w:rPr>
              <w:t>9</w:t>
            </w:r>
          </w:p>
          <w:p w14:paraId="1F13E135" w14:textId="77777777" w:rsidR="00F80E94" w:rsidRPr="00F54CFD" w:rsidRDefault="00F80E94" w:rsidP="00306CF3">
            <w:pPr>
              <w:spacing w:after="0" w:line="240" w:lineRule="auto"/>
              <w:ind w:right="18"/>
              <w:jc w:val="center"/>
              <w:rPr>
                <w:rFonts w:eastAsia="Calibri"/>
                <w:b/>
                <w:bCs/>
              </w:rPr>
            </w:pPr>
            <w:r w:rsidRPr="00F54CFD">
              <w:rPr>
                <w:rFonts w:eastAsia="Calibri"/>
                <w:b/>
                <w:bCs/>
              </w:rPr>
              <w:t>Rate</w:t>
            </w:r>
          </w:p>
        </w:tc>
      </w:tr>
      <w:tr w:rsidR="00F80E94" w:rsidRPr="004C53EF" w14:paraId="29DA4EA7" w14:textId="77777777" w:rsidTr="00DF2E79">
        <w:trPr>
          <w:trHeight w:val="246"/>
          <w:jc w:val="center"/>
        </w:trPr>
        <w:tc>
          <w:tcPr>
            <w:tcW w:w="5023" w:type="dxa"/>
            <w:tcBorders>
              <w:top w:val="single" w:sz="4" w:space="0" w:color="auto"/>
              <w:left w:val="single" w:sz="4" w:space="0" w:color="auto"/>
              <w:bottom w:val="single" w:sz="4" w:space="0" w:color="auto"/>
              <w:right w:val="single" w:sz="4" w:space="0" w:color="auto"/>
            </w:tcBorders>
            <w:vAlign w:val="center"/>
            <w:hideMark/>
          </w:tcPr>
          <w:p w14:paraId="77AFF276" w14:textId="77777777" w:rsidR="00F80E94" w:rsidRPr="004C53EF" w:rsidRDefault="00F80E94" w:rsidP="00306CF3">
            <w:pPr>
              <w:spacing w:after="0" w:line="240" w:lineRule="auto"/>
              <w:ind w:right="18"/>
              <w:rPr>
                <w:rFonts w:eastAsia="Times New Roman"/>
                <w:bCs/>
              </w:rPr>
            </w:pPr>
            <w:r>
              <w:rPr>
                <w:rFonts w:eastAsia="Times New Roman"/>
                <w:bCs/>
              </w:rPr>
              <w:t>Colocation</w:t>
            </w:r>
          </w:p>
        </w:tc>
        <w:tc>
          <w:tcPr>
            <w:tcW w:w="3039" w:type="dxa"/>
            <w:tcBorders>
              <w:top w:val="single" w:sz="4" w:space="0" w:color="auto"/>
              <w:left w:val="nil"/>
              <w:bottom w:val="single" w:sz="4" w:space="0" w:color="auto"/>
              <w:right w:val="single" w:sz="4" w:space="0" w:color="auto"/>
            </w:tcBorders>
            <w:vAlign w:val="center"/>
            <w:hideMark/>
          </w:tcPr>
          <w:p w14:paraId="33F58AD6" w14:textId="77777777" w:rsidR="00F80E94" w:rsidRPr="004C53EF" w:rsidRDefault="00F80E94" w:rsidP="00306CF3">
            <w:pPr>
              <w:spacing w:after="0" w:line="240" w:lineRule="auto"/>
              <w:ind w:right="18"/>
              <w:rPr>
                <w:rFonts w:eastAsia="Times New Roman"/>
              </w:rPr>
            </w:pPr>
            <w:r>
              <w:rPr>
                <w:rFonts w:eastAsia="Times New Roman"/>
              </w:rPr>
              <w:t>Rack</w:t>
            </w:r>
          </w:p>
        </w:tc>
        <w:tc>
          <w:tcPr>
            <w:tcW w:w="1398" w:type="dxa"/>
            <w:tcBorders>
              <w:top w:val="single" w:sz="4" w:space="0" w:color="auto"/>
              <w:left w:val="nil"/>
              <w:bottom w:val="single" w:sz="4" w:space="0" w:color="auto"/>
              <w:right w:val="single" w:sz="4" w:space="0" w:color="auto"/>
            </w:tcBorders>
            <w:noWrap/>
            <w:vAlign w:val="center"/>
            <w:hideMark/>
          </w:tcPr>
          <w:p w14:paraId="6DDBF1DB" w14:textId="77777777" w:rsidR="00F80E94" w:rsidRPr="006C359D" w:rsidRDefault="00F80E94" w:rsidP="00306CF3">
            <w:pPr>
              <w:spacing w:after="0" w:line="240" w:lineRule="auto"/>
              <w:ind w:right="18"/>
              <w:jc w:val="right"/>
              <w:rPr>
                <w:rFonts w:eastAsia="Times New Roman"/>
              </w:rPr>
            </w:pPr>
            <w:r w:rsidRPr="006C359D">
              <w:rPr>
                <w:rFonts w:eastAsia="Times New Roman"/>
              </w:rPr>
              <w:t>$917.94</w:t>
            </w:r>
          </w:p>
        </w:tc>
      </w:tr>
      <w:tr w:rsidR="00F80E94" w14:paraId="18874091" w14:textId="77777777" w:rsidTr="00DF2E79">
        <w:trPr>
          <w:trHeight w:val="275"/>
          <w:jc w:val="center"/>
        </w:trPr>
        <w:tc>
          <w:tcPr>
            <w:tcW w:w="5023" w:type="dxa"/>
            <w:tcBorders>
              <w:top w:val="single" w:sz="4" w:space="0" w:color="auto"/>
              <w:left w:val="single" w:sz="4" w:space="0" w:color="auto"/>
              <w:bottom w:val="single" w:sz="4" w:space="0" w:color="auto"/>
              <w:right w:val="single" w:sz="4" w:space="0" w:color="auto"/>
            </w:tcBorders>
            <w:vAlign w:val="center"/>
            <w:hideMark/>
          </w:tcPr>
          <w:p w14:paraId="37082C51" w14:textId="77777777" w:rsidR="00F80E94" w:rsidRDefault="00F80E94" w:rsidP="00306CF3">
            <w:pPr>
              <w:spacing w:line="240" w:lineRule="auto"/>
              <w:rPr>
                <w:rFonts w:eastAsia="Times New Roman"/>
              </w:rPr>
            </w:pPr>
            <w:r w:rsidRPr="7FC019E9">
              <w:rPr>
                <w:rFonts w:eastAsia="Times New Roman"/>
              </w:rPr>
              <w:t>Colocation</w:t>
            </w:r>
          </w:p>
        </w:tc>
        <w:tc>
          <w:tcPr>
            <w:tcW w:w="3039" w:type="dxa"/>
            <w:tcBorders>
              <w:top w:val="single" w:sz="4" w:space="0" w:color="auto"/>
              <w:left w:val="nil"/>
              <w:bottom w:val="single" w:sz="4" w:space="0" w:color="auto"/>
              <w:right w:val="single" w:sz="4" w:space="0" w:color="auto"/>
            </w:tcBorders>
            <w:vAlign w:val="center"/>
            <w:hideMark/>
          </w:tcPr>
          <w:p w14:paraId="4F98FC7C" w14:textId="77777777" w:rsidR="00F80E94" w:rsidRDefault="00F80E94" w:rsidP="00306CF3">
            <w:pPr>
              <w:spacing w:line="240" w:lineRule="auto"/>
              <w:rPr>
                <w:rFonts w:eastAsia="Times New Roman"/>
              </w:rPr>
            </w:pPr>
            <w:r w:rsidRPr="7FC019E9">
              <w:rPr>
                <w:rFonts w:eastAsia="Times New Roman"/>
              </w:rPr>
              <w:t>½ Rack</w:t>
            </w:r>
          </w:p>
        </w:tc>
        <w:tc>
          <w:tcPr>
            <w:tcW w:w="1398" w:type="dxa"/>
            <w:tcBorders>
              <w:top w:val="single" w:sz="4" w:space="0" w:color="auto"/>
              <w:left w:val="nil"/>
              <w:bottom w:val="single" w:sz="4" w:space="0" w:color="auto"/>
              <w:right w:val="single" w:sz="4" w:space="0" w:color="auto"/>
            </w:tcBorders>
            <w:noWrap/>
            <w:vAlign w:val="center"/>
            <w:hideMark/>
          </w:tcPr>
          <w:p w14:paraId="3B1B11D1" w14:textId="77777777" w:rsidR="00F80E94" w:rsidRPr="006C359D" w:rsidRDefault="00F80E94" w:rsidP="00306CF3">
            <w:pPr>
              <w:spacing w:line="240" w:lineRule="auto"/>
              <w:jc w:val="right"/>
              <w:rPr>
                <w:rFonts w:eastAsia="Times New Roman"/>
              </w:rPr>
            </w:pPr>
            <w:r w:rsidRPr="006C359D">
              <w:rPr>
                <w:rFonts w:eastAsia="Times New Roman"/>
              </w:rPr>
              <w:t>$550.77</w:t>
            </w:r>
          </w:p>
        </w:tc>
      </w:tr>
      <w:tr w:rsidR="00F80E94" w14:paraId="191AE69B" w14:textId="77777777" w:rsidTr="00DF2E79">
        <w:trPr>
          <w:trHeight w:val="52"/>
          <w:jc w:val="center"/>
        </w:trPr>
        <w:tc>
          <w:tcPr>
            <w:tcW w:w="5023" w:type="dxa"/>
            <w:tcBorders>
              <w:top w:val="single" w:sz="4" w:space="0" w:color="auto"/>
              <w:left w:val="single" w:sz="4" w:space="0" w:color="auto"/>
              <w:bottom w:val="single" w:sz="4" w:space="0" w:color="auto"/>
              <w:right w:val="single" w:sz="4" w:space="0" w:color="auto"/>
            </w:tcBorders>
            <w:vAlign w:val="center"/>
            <w:hideMark/>
          </w:tcPr>
          <w:p w14:paraId="17C4B2A6" w14:textId="77777777" w:rsidR="00F80E94" w:rsidRDefault="00F80E94" w:rsidP="00306CF3">
            <w:pPr>
              <w:spacing w:line="240" w:lineRule="auto"/>
            </w:pPr>
            <w:r w:rsidRPr="7FC019E9">
              <w:rPr>
                <w:rFonts w:eastAsia="Times New Roman"/>
              </w:rPr>
              <w:t>Colocation</w:t>
            </w:r>
          </w:p>
        </w:tc>
        <w:tc>
          <w:tcPr>
            <w:tcW w:w="3039" w:type="dxa"/>
            <w:tcBorders>
              <w:top w:val="single" w:sz="4" w:space="0" w:color="auto"/>
              <w:left w:val="nil"/>
              <w:bottom w:val="single" w:sz="4" w:space="0" w:color="auto"/>
              <w:right w:val="single" w:sz="4" w:space="0" w:color="auto"/>
            </w:tcBorders>
            <w:vAlign w:val="center"/>
            <w:hideMark/>
          </w:tcPr>
          <w:p w14:paraId="70065814" w14:textId="77777777" w:rsidR="00F80E94" w:rsidRDefault="00F80E94" w:rsidP="00306CF3">
            <w:pPr>
              <w:spacing w:line="240" w:lineRule="auto"/>
              <w:rPr>
                <w:rFonts w:eastAsia="Times New Roman"/>
              </w:rPr>
            </w:pPr>
            <w:r w:rsidRPr="7FC019E9">
              <w:rPr>
                <w:rFonts w:eastAsia="Times New Roman"/>
              </w:rPr>
              <w:t>¼ Rack</w:t>
            </w:r>
          </w:p>
        </w:tc>
        <w:tc>
          <w:tcPr>
            <w:tcW w:w="1398" w:type="dxa"/>
            <w:tcBorders>
              <w:top w:val="single" w:sz="4" w:space="0" w:color="auto"/>
              <w:left w:val="nil"/>
              <w:bottom w:val="single" w:sz="4" w:space="0" w:color="auto"/>
              <w:right w:val="single" w:sz="4" w:space="0" w:color="auto"/>
            </w:tcBorders>
            <w:noWrap/>
            <w:vAlign w:val="center"/>
            <w:hideMark/>
          </w:tcPr>
          <w:p w14:paraId="3E6DE5EF" w14:textId="77777777" w:rsidR="00F80E94" w:rsidRPr="006C359D" w:rsidRDefault="00F80E94" w:rsidP="00306CF3">
            <w:pPr>
              <w:spacing w:line="240" w:lineRule="auto"/>
              <w:jc w:val="right"/>
              <w:rPr>
                <w:rFonts w:eastAsia="Times New Roman"/>
              </w:rPr>
            </w:pPr>
            <w:r w:rsidRPr="006C359D">
              <w:rPr>
                <w:rFonts w:eastAsia="Times New Roman"/>
              </w:rPr>
              <w:t>$321.28</w:t>
            </w:r>
          </w:p>
        </w:tc>
      </w:tr>
    </w:tbl>
    <w:p w14:paraId="0F0A5BC3" w14:textId="77777777" w:rsidR="007A2E60" w:rsidRPr="007A2E60" w:rsidRDefault="007A2E60" w:rsidP="007A2E60"/>
    <w:p w14:paraId="6F8E114E" w14:textId="5F8F144B" w:rsidR="00573560" w:rsidRPr="00573560" w:rsidRDefault="00F80E94" w:rsidP="00573560">
      <w:pPr>
        <w:pStyle w:val="Heading5"/>
      </w:pPr>
      <w:r>
        <w:lastRenderedPageBreak/>
        <w:t>Managed Cloud Service</w:t>
      </w:r>
    </w:p>
    <w:p w14:paraId="35F41386" w14:textId="77777777" w:rsidR="00F80E94" w:rsidRDefault="00F80E94" w:rsidP="00F80E94">
      <w:pPr>
        <w:rPr>
          <w:rFonts w:eastAsia="Times New Roman"/>
        </w:rPr>
      </w:pPr>
      <w:r>
        <w:rPr>
          <w:rFonts w:eastAsia="Times New Roman"/>
        </w:rPr>
        <w:t xml:space="preserve">Managed </w:t>
      </w:r>
      <w:r w:rsidRPr="5E778FF5">
        <w:rPr>
          <w:rFonts w:eastAsia="Times New Roman"/>
        </w:rPr>
        <w:t xml:space="preserve">Cloud Service supports General Cloud Management, Identity and Access Management, Security, and Connectivity. </w:t>
      </w:r>
      <w:r>
        <w:rPr>
          <w:rFonts w:eastAsia="Times New Roman"/>
        </w:rPr>
        <w:t>P</w:t>
      </w:r>
      <w:r>
        <w:rPr>
          <w:rStyle w:val="normaltextrun"/>
          <w:color w:val="000000"/>
          <w:shd w:val="clear" w:color="auto" w:fill="FFFFFF"/>
        </w:rPr>
        <w:t xml:space="preserve">rovides full support, including set-up of organizational structure, tenants, network and server services. </w:t>
      </w:r>
      <w:r w:rsidRPr="5E778FF5">
        <w:rPr>
          <w:rFonts w:eastAsia="Times New Roman"/>
        </w:rPr>
        <w:t>Primary functions include</w:t>
      </w:r>
      <w:r>
        <w:rPr>
          <w:rFonts w:eastAsia="Times New Roman"/>
        </w:rPr>
        <w:t>,</w:t>
      </w:r>
      <w:r w:rsidRPr="5E778FF5">
        <w:rPr>
          <w:rFonts w:eastAsia="Times New Roman"/>
        </w:rPr>
        <w:t xml:space="preserve"> but are not limited to</w:t>
      </w:r>
      <w:r>
        <w:rPr>
          <w:rFonts w:eastAsia="Times New Roman"/>
        </w:rPr>
        <w:t>,</w:t>
      </w:r>
      <w:r w:rsidRPr="5E778FF5">
        <w:rPr>
          <w:rFonts w:eastAsia="Times New Roman"/>
        </w:rPr>
        <w:t xml:space="preserve"> solution consulting; vendor relationship and contract management; identity management; security options which could include firewall services and antivirus; and network options to support routing and connectivity. </w:t>
      </w:r>
      <w:r>
        <w:rPr>
          <w:rFonts w:eastAsia="Times New Roman"/>
        </w:rPr>
        <w:t>Native cloud services are covered through a direct charge from the vendor.</w:t>
      </w:r>
    </w:p>
    <w:tbl>
      <w:tblPr>
        <w:tblW w:w="9148" w:type="dxa"/>
        <w:jc w:val="center"/>
        <w:tblLook w:val="04A0" w:firstRow="1" w:lastRow="0" w:firstColumn="1" w:lastColumn="0" w:noHBand="0" w:noVBand="1"/>
      </w:tblPr>
      <w:tblGrid>
        <w:gridCol w:w="4858"/>
        <w:gridCol w:w="2940"/>
        <w:gridCol w:w="1350"/>
      </w:tblGrid>
      <w:tr w:rsidR="00F80E94" w:rsidRPr="004C53EF" w14:paraId="166E1179" w14:textId="77777777" w:rsidTr="00306CF3">
        <w:trPr>
          <w:trHeight w:val="350"/>
          <w:jc w:val="center"/>
        </w:trPr>
        <w:tc>
          <w:tcPr>
            <w:tcW w:w="91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9DDE82" w14:textId="77777777" w:rsidR="00F80E94" w:rsidRPr="00F54CFD" w:rsidRDefault="00F80E94" w:rsidP="00306CF3">
            <w:pPr>
              <w:spacing w:after="0" w:line="240" w:lineRule="auto"/>
              <w:ind w:right="18"/>
              <w:jc w:val="center"/>
              <w:rPr>
                <w:rFonts w:eastAsia="Times New Roman"/>
                <w:b/>
                <w:bCs/>
              </w:rPr>
            </w:pPr>
            <w:r w:rsidRPr="00F54CFD">
              <w:rPr>
                <w:rFonts w:eastAsia="Times New Roman"/>
                <w:b/>
                <w:bCs/>
              </w:rPr>
              <w:t>Managed Cloud Service</w:t>
            </w:r>
          </w:p>
        </w:tc>
      </w:tr>
      <w:tr w:rsidR="00F80E94" w:rsidRPr="004C53EF" w14:paraId="066C50FB" w14:textId="77777777" w:rsidTr="00306CF3">
        <w:trPr>
          <w:trHeight w:val="288"/>
          <w:jc w:val="center"/>
        </w:trPr>
        <w:tc>
          <w:tcPr>
            <w:tcW w:w="4858" w:type="dxa"/>
            <w:tcBorders>
              <w:top w:val="nil"/>
              <w:left w:val="single" w:sz="4" w:space="0" w:color="auto"/>
              <w:bottom w:val="single" w:sz="4" w:space="0" w:color="auto"/>
              <w:right w:val="single" w:sz="4" w:space="0" w:color="auto"/>
            </w:tcBorders>
            <w:vAlign w:val="center"/>
          </w:tcPr>
          <w:p w14:paraId="17A10655" w14:textId="77777777" w:rsidR="00F80E94" w:rsidRPr="004C53EF" w:rsidRDefault="00F80E94" w:rsidP="00306CF3">
            <w:pPr>
              <w:spacing w:after="0" w:line="240" w:lineRule="auto"/>
              <w:ind w:right="18"/>
              <w:rPr>
                <w:rFonts w:eastAsia="Times New Roman"/>
                <w:bCs/>
              </w:rPr>
            </w:pPr>
          </w:p>
        </w:tc>
        <w:tc>
          <w:tcPr>
            <w:tcW w:w="2940" w:type="dxa"/>
            <w:tcBorders>
              <w:top w:val="nil"/>
              <w:left w:val="nil"/>
              <w:bottom w:val="single" w:sz="4" w:space="0" w:color="auto"/>
              <w:right w:val="single" w:sz="4" w:space="0" w:color="auto"/>
            </w:tcBorders>
            <w:shd w:val="clear" w:color="auto" w:fill="D9D9D9" w:themeFill="background1" w:themeFillShade="D9"/>
            <w:vAlign w:val="bottom"/>
          </w:tcPr>
          <w:p w14:paraId="177CA746" w14:textId="77777777" w:rsidR="00F80E94" w:rsidRPr="00F54CFD" w:rsidRDefault="00F80E94" w:rsidP="00306CF3">
            <w:pPr>
              <w:spacing w:after="0" w:line="240" w:lineRule="auto"/>
              <w:ind w:right="18"/>
              <w:jc w:val="center"/>
              <w:rPr>
                <w:rFonts w:eastAsia="Calibri"/>
                <w:b/>
                <w:bCs/>
              </w:rPr>
            </w:pPr>
            <w:r w:rsidRPr="00F54CFD">
              <w:rPr>
                <w:rFonts w:eastAsia="Calibri"/>
                <w:b/>
                <w:bCs/>
              </w:rPr>
              <w:t>Billable Unit</w:t>
            </w:r>
          </w:p>
          <w:p w14:paraId="2429EB58" w14:textId="77777777" w:rsidR="00F80E94" w:rsidRPr="00F54CFD" w:rsidRDefault="00F80E94" w:rsidP="00306CF3">
            <w:pPr>
              <w:spacing w:after="0" w:line="240" w:lineRule="auto"/>
              <w:ind w:right="18"/>
              <w:jc w:val="center"/>
              <w:rPr>
                <w:rFonts w:eastAsia="Calibri"/>
                <w:b/>
                <w:bCs/>
              </w:rPr>
            </w:pPr>
            <w:r w:rsidRPr="00F54CFD">
              <w:rPr>
                <w:rFonts w:eastAsia="Calibri"/>
                <w:b/>
                <w:bCs/>
              </w:rPr>
              <w:t>per Month</w:t>
            </w:r>
          </w:p>
        </w:tc>
        <w:tc>
          <w:tcPr>
            <w:tcW w:w="1350" w:type="dxa"/>
            <w:tcBorders>
              <w:top w:val="nil"/>
              <w:left w:val="nil"/>
              <w:bottom w:val="single" w:sz="4" w:space="0" w:color="auto"/>
              <w:right w:val="single" w:sz="4" w:space="0" w:color="auto"/>
            </w:tcBorders>
            <w:shd w:val="clear" w:color="auto" w:fill="D9D9D9" w:themeFill="background1" w:themeFillShade="D9"/>
            <w:noWrap/>
            <w:vAlign w:val="bottom"/>
          </w:tcPr>
          <w:p w14:paraId="77364A4F" w14:textId="77777777" w:rsidR="00F80E94" w:rsidRPr="00F54CFD" w:rsidRDefault="00F80E94" w:rsidP="00306CF3">
            <w:pPr>
              <w:spacing w:after="0" w:line="240" w:lineRule="auto"/>
              <w:ind w:right="18"/>
              <w:jc w:val="center"/>
              <w:rPr>
                <w:rFonts w:eastAsia="Calibri"/>
                <w:b/>
                <w:bCs/>
              </w:rPr>
            </w:pPr>
            <w:r w:rsidRPr="00F54CFD">
              <w:rPr>
                <w:rFonts w:eastAsia="Calibri"/>
                <w:b/>
                <w:bCs/>
              </w:rPr>
              <w:t>202</w:t>
            </w:r>
            <w:r>
              <w:rPr>
                <w:rFonts w:eastAsia="Calibri"/>
                <w:b/>
                <w:bCs/>
              </w:rPr>
              <w:t>7</w:t>
            </w:r>
            <w:r w:rsidRPr="00F54CFD">
              <w:rPr>
                <w:rFonts w:eastAsia="Calibri"/>
                <w:b/>
                <w:bCs/>
              </w:rPr>
              <w:t>-2</w:t>
            </w:r>
            <w:r>
              <w:rPr>
                <w:rFonts w:eastAsia="Calibri"/>
                <w:b/>
                <w:bCs/>
              </w:rPr>
              <w:t>9</w:t>
            </w:r>
          </w:p>
          <w:p w14:paraId="78CDB381" w14:textId="77777777" w:rsidR="00F80E94" w:rsidRPr="00F54CFD" w:rsidRDefault="00F80E94" w:rsidP="00306CF3">
            <w:pPr>
              <w:spacing w:after="0" w:line="240" w:lineRule="auto"/>
              <w:ind w:right="18"/>
              <w:jc w:val="center"/>
              <w:rPr>
                <w:rFonts w:eastAsia="Calibri"/>
                <w:b/>
                <w:bCs/>
              </w:rPr>
            </w:pPr>
            <w:r w:rsidRPr="00F54CFD">
              <w:rPr>
                <w:rFonts w:eastAsia="Calibri"/>
                <w:b/>
                <w:bCs/>
              </w:rPr>
              <w:t>Rate</w:t>
            </w:r>
          </w:p>
        </w:tc>
      </w:tr>
      <w:tr w:rsidR="00F80E94" w:rsidRPr="004C53EF" w14:paraId="48C61D2B" w14:textId="77777777" w:rsidTr="00306CF3">
        <w:trPr>
          <w:trHeight w:val="288"/>
          <w:jc w:val="center"/>
        </w:trPr>
        <w:tc>
          <w:tcPr>
            <w:tcW w:w="4858" w:type="dxa"/>
            <w:tcBorders>
              <w:top w:val="single" w:sz="4" w:space="0" w:color="auto"/>
              <w:left w:val="single" w:sz="4" w:space="0" w:color="auto"/>
              <w:bottom w:val="single" w:sz="4" w:space="0" w:color="auto"/>
              <w:right w:val="single" w:sz="4" w:space="0" w:color="auto"/>
            </w:tcBorders>
            <w:vAlign w:val="center"/>
            <w:hideMark/>
          </w:tcPr>
          <w:p w14:paraId="046B5D11" w14:textId="77777777" w:rsidR="00F80E94" w:rsidRPr="004C53EF" w:rsidRDefault="00F80E94" w:rsidP="00306CF3">
            <w:pPr>
              <w:spacing w:after="0" w:line="240" w:lineRule="auto"/>
              <w:ind w:right="18"/>
              <w:rPr>
                <w:rFonts w:eastAsia="Times New Roman"/>
                <w:bCs/>
              </w:rPr>
            </w:pPr>
            <w:r>
              <w:rPr>
                <w:rFonts w:eastAsia="Times New Roman"/>
                <w:bCs/>
              </w:rPr>
              <w:t>Cloud Service Support</w:t>
            </w:r>
          </w:p>
        </w:tc>
        <w:tc>
          <w:tcPr>
            <w:tcW w:w="2940" w:type="dxa"/>
            <w:tcBorders>
              <w:top w:val="single" w:sz="4" w:space="0" w:color="auto"/>
              <w:left w:val="nil"/>
              <w:bottom w:val="single" w:sz="4" w:space="0" w:color="auto"/>
              <w:right w:val="single" w:sz="4" w:space="0" w:color="auto"/>
            </w:tcBorders>
            <w:vAlign w:val="center"/>
            <w:hideMark/>
          </w:tcPr>
          <w:p w14:paraId="25DE0B47" w14:textId="77777777" w:rsidR="00F80E94" w:rsidRPr="004C53EF" w:rsidRDefault="00F80E94" w:rsidP="00306CF3">
            <w:pPr>
              <w:spacing w:after="0" w:line="240" w:lineRule="auto"/>
              <w:ind w:right="18"/>
              <w:rPr>
                <w:rFonts w:eastAsia="Times New Roman"/>
              </w:rPr>
            </w:pPr>
            <w:r>
              <w:rPr>
                <w:rFonts w:eastAsia="Times New Roman"/>
              </w:rPr>
              <w:t>% of vendor invoice</w:t>
            </w:r>
          </w:p>
        </w:tc>
        <w:tc>
          <w:tcPr>
            <w:tcW w:w="1350" w:type="dxa"/>
            <w:tcBorders>
              <w:top w:val="single" w:sz="4" w:space="0" w:color="auto"/>
              <w:left w:val="nil"/>
              <w:bottom w:val="single" w:sz="4" w:space="0" w:color="auto"/>
              <w:right w:val="single" w:sz="4" w:space="0" w:color="auto"/>
            </w:tcBorders>
            <w:noWrap/>
            <w:vAlign w:val="center"/>
            <w:hideMark/>
          </w:tcPr>
          <w:p w14:paraId="52635BD0" w14:textId="77777777" w:rsidR="00F80E94" w:rsidRPr="00FC70D9" w:rsidRDefault="00F80E94" w:rsidP="00306CF3">
            <w:pPr>
              <w:spacing w:after="0" w:line="240" w:lineRule="auto"/>
              <w:ind w:right="18"/>
              <w:jc w:val="right"/>
              <w:rPr>
                <w:rFonts w:eastAsia="Times New Roman"/>
              </w:rPr>
            </w:pPr>
            <w:r w:rsidRPr="00720709">
              <w:rPr>
                <w:rFonts w:eastAsia="Times New Roman"/>
              </w:rPr>
              <w:t>19%</w:t>
            </w:r>
          </w:p>
        </w:tc>
      </w:tr>
    </w:tbl>
    <w:p w14:paraId="7359D5F5" w14:textId="77777777" w:rsidR="00F80E94" w:rsidRPr="00F02AF1" w:rsidRDefault="00F80E94" w:rsidP="00F80E94">
      <w:pPr>
        <w:rPr>
          <w:rFonts w:ascii="Montserrat" w:hAnsi="Montserrat"/>
        </w:rPr>
      </w:pPr>
    </w:p>
    <w:p w14:paraId="587201F4" w14:textId="77777777" w:rsidR="00F80E94" w:rsidRPr="00F02AF1" w:rsidRDefault="00F80E94" w:rsidP="2E12E5CC">
      <w:pPr>
        <w:pStyle w:val="Heading5"/>
        <w:rPr>
          <w:sz w:val="20"/>
          <w:szCs w:val="20"/>
        </w:rPr>
      </w:pPr>
      <w:r>
        <w:t>IT Professional Services</w:t>
      </w:r>
    </w:p>
    <w:p w14:paraId="28C1C17D" w14:textId="77777777" w:rsidR="00F80E94" w:rsidRPr="002E53B5" w:rsidRDefault="00F80E94" w:rsidP="00F80E94">
      <w:pPr>
        <w:ind w:right="18"/>
        <w:rPr>
          <w:szCs w:val="24"/>
        </w:rPr>
      </w:pPr>
      <w:bookmarkStart w:id="35" w:name="OLE_LINK5"/>
      <w:bookmarkStart w:id="36" w:name="OLE_LINK6"/>
      <w:r w:rsidRPr="002E53B5">
        <w:rPr>
          <w:szCs w:val="24"/>
        </w:rPr>
        <w:t xml:space="preserve">IT Professional Services is a term for work performed on behalf of an agency request. </w:t>
      </w:r>
      <w:proofErr w:type="gramStart"/>
      <w:r w:rsidRPr="002E53B5">
        <w:rPr>
          <w:szCs w:val="24"/>
        </w:rPr>
        <w:t>The</w:t>
      </w:r>
      <w:proofErr w:type="gramEnd"/>
      <w:r w:rsidRPr="002E53B5">
        <w:rPr>
          <w:szCs w:val="24"/>
        </w:rPr>
        <w:t xml:space="preserve"> type of work can be performed by any team within DCS. The types of work that are billable include:</w:t>
      </w:r>
    </w:p>
    <w:p w14:paraId="2C2895B4" w14:textId="77777777" w:rsidR="00F80E94" w:rsidRPr="002E53B5" w:rsidRDefault="00F80E94" w:rsidP="006176F7">
      <w:pPr>
        <w:pStyle w:val="ListNumber"/>
        <w:numPr>
          <w:ilvl w:val="0"/>
          <w:numId w:val="11"/>
        </w:numPr>
        <w:ind w:right="18"/>
        <w:rPr>
          <w:rFonts w:asciiTheme="minorHAnsi" w:hAnsiTheme="minorHAnsi"/>
          <w:sz w:val="24"/>
          <w:szCs w:val="24"/>
        </w:rPr>
      </w:pPr>
      <w:r w:rsidRPr="002E53B5">
        <w:rPr>
          <w:rFonts w:asciiTheme="minorHAnsi" w:hAnsiTheme="minorHAnsi"/>
          <w:sz w:val="24"/>
          <w:szCs w:val="24"/>
        </w:rPr>
        <w:t>Consulting services specific to customer requests that are beyond the service expectations incorporated in the rate for that service.</w:t>
      </w:r>
    </w:p>
    <w:p w14:paraId="2C03E432" w14:textId="77777777" w:rsidR="00F80E94" w:rsidRPr="002E53B5" w:rsidRDefault="00F80E94" w:rsidP="006176F7">
      <w:pPr>
        <w:pStyle w:val="ListNumber"/>
        <w:numPr>
          <w:ilvl w:val="0"/>
          <w:numId w:val="7"/>
        </w:numPr>
        <w:ind w:right="18"/>
        <w:rPr>
          <w:rFonts w:asciiTheme="minorHAnsi" w:hAnsiTheme="minorHAnsi"/>
          <w:sz w:val="24"/>
          <w:szCs w:val="24"/>
        </w:rPr>
      </w:pPr>
      <w:r w:rsidRPr="002E53B5">
        <w:rPr>
          <w:rFonts w:asciiTheme="minorHAnsi" w:hAnsiTheme="minorHAnsi"/>
          <w:sz w:val="24"/>
          <w:szCs w:val="24"/>
        </w:rPr>
        <w:t>Modifying, enhancing or terminating a customer’s existing service instance.</w:t>
      </w:r>
    </w:p>
    <w:p w14:paraId="2C5628C8" w14:textId="77777777" w:rsidR="00F80E94" w:rsidRPr="002E53B5" w:rsidRDefault="00F80E94" w:rsidP="006176F7">
      <w:pPr>
        <w:pStyle w:val="ListNumber"/>
        <w:numPr>
          <w:ilvl w:val="0"/>
          <w:numId w:val="7"/>
        </w:numPr>
        <w:ind w:right="18"/>
        <w:rPr>
          <w:rFonts w:asciiTheme="minorHAnsi" w:hAnsiTheme="minorHAnsi"/>
          <w:sz w:val="24"/>
          <w:szCs w:val="24"/>
        </w:rPr>
      </w:pPr>
      <w:r w:rsidRPr="002E53B5">
        <w:rPr>
          <w:rFonts w:asciiTheme="minorHAnsi" w:hAnsiTheme="minorHAnsi"/>
          <w:sz w:val="24"/>
          <w:szCs w:val="24"/>
        </w:rPr>
        <w:t>Service set-up. A 3-hour flat rate will be used for all Windows and Linux server builds (e.g., server clustering).</w:t>
      </w:r>
    </w:p>
    <w:p w14:paraId="0067599A" w14:textId="77777777" w:rsidR="00F80E94" w:rsidRPr="002E53B5" w:rsidRDefault="00F80E94" w:rsidP="006176F7">
      <w:pPr>
        <w:pStyle w:val="ListNumber"/>
        <w:numPr>
          <w:ilvl w:val="0"/>
          <w:numId w:val="7"/>
        </w:numPr>
        <w:ind w:right="18"/>
        <w:rPr>
          <w:rFonts w:asciiTheme="minorHAnsi" w:hAnsiTheme="minorHAnsi"/>
          <w:sz w:val="24"/>
          <w:szCs w:val="24"/>
        </w:rPr>
      </w:pPr>
      <w:r w:rsidRPr="002E53B5">
        <w:rPr>
          <w:rFonts w:asciiTheme="minorHAnsi" w:hAnsiTheme="minorHAnsi"/>
          <w:sz w:val="24"/>
          <w:szCs w:val="24"/>
        </w:rPr>
        <w:t>User support, mainframe.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3330"/>
        <w:gridCol w:w="1260"/>
      </w:tblGrid>
      <w:tr w:rsidR="00F80E94" w:rsidRPr="002E53B5" w14:paraId="493E66E7" w14:textId="77777777" w:rsidTr="00306CF3">
        <w:trPr>
          <w:trHeight w:hRule="exact" w:val="361"/>
        </w:trPr>
        <w:tc>
          <w:tcPr>
            <w:tcW w:w="9180" w:type="dxa"/>
            <w:gridSpan w:val="3"/>
            <w:shd w:val="clear" w:color="auto" w:fill="D9D9D9" w:themeFill="background1" w:themeFillShade="D9"/>
            <w:noWrap/>
            <w:vAlign w:val="center"/>
          </w:tcPr>
          <w:p w14:paraId="17E50D5D" w14:textId="77777777" w:rsidR="00F80E94" w:rsidRPr="002E53B5" w:rsidRDefault="00F80E94" w:rsidP="00306CF3">
            <w:pPr>
              <w:ind w:right="18"/>
              <w:jc w:val="center"/>
            </w:pPr>
            <w:r w:rsidRPr="002E53B5">
              <w:rPr>
                <w:rFonts w:eastAsia="Times New Roman"/>
                <w:b/>
                <w:bCs/>
              </w:rPr>
              <w:t>IT Professional Services</w:t>
            </w:r>
          </w:p>
        </w:tc>
      </w:tr>
      <w:tr w:rsidR="00F80E94" w:rsidRPr="002E53B5" w14:paraId="5272E3DF" w14:textId="77777777" w:rsidTr="00306CF3">
        <w:trPr>
          <w:trHeight w:hRule="exact" w:val="550"/>
        </w:trPr>
        <w:tc>
          <w:tcPr>
            <w:tcW w:w="4590" w:type="dxa"/>
            <w:noWrap/>
            <w:vAlign w:val="center"/>
          </w:tcPr>
          <w:p w14:paraId="79FE8403" w14:textId="77777777" w:rsidR="00F80E94" w:rsidRPr="002E53B5" w:rsidRDefault="00F80E94" w:rsidP="00306CF3">
            <w:pPr>
              <w:pStyle w:val="NoSpacing"/>
              <w:ind w:right="18"/>
              <w:jc w:val="center"/>
            </w:pPr>
          </w:p>
        </w:tc>
        <w:tc>
          <w:tcPr>
            <w:tcW w:w="3330" w:type="dxa"/>
            <w:shd w:val="clear" w:color="auto" w:fill="D9D9D9" w:themeFill="background1" w:themeFillShade="D9"/>
            <w:noWrap/>
            <w:vAlign w:val="center"/>
          </w:tcPr>
          <w:p w14:paraId="341B602D" w14:textId="77777777" w:rsidR="00F80E94" w:rsidRPr="002E53B5" w:rsidRDefault="00F80E94" w:rsidP="00306CF3">
            <w:pPr>
              <w:pStyle w:val="NoSpacing"/>
              <w:ind w:right="18"/>
              <w:jc w:val="center"/>
              <w:rPr>
                <w:b/>
                <w:bCs/>
              </w:rPr>
            </w:pPr>
            <w:r w:rsidRPr="002E53B5">
              <w:rPr>
                <w:b/>
                <w:bCs/>
              </w:rPr>
              <w:t>Billable Unit</w:t>
            </w:r>
          </w:p>
          <w:p w14:paraId="19456635" w14:textId="77777777" w:rsidR="00F80E94" w:rsidRPr="002E53B5" w:rsidRDefault="00F80E94" w:rsidP="00306CF3">
            <w:pPr>
              <w:pStyle w:val="NoSpacing"/>
              <w:ind w:right="18"/>
              <w:jc w:val="center"/>
              <w:rPr>
                <w:b/>
              </w:rPr>
            </w:pPr>
            <w:r w:rsidRPr="002E53B5">
              <w:rPr>
                <w:b/>
                <w:bCs/>
              </w:rPr>
              <w:t>per Month</w:t>
            </w:r>
          </w:p>
        </w:tc>
        <w:tc>
          <w:tcPr>
            <w:tcW w:w="1260" w:type="dxa"/>
            <w:shd w:val="clear" w:color="auto" w:fill="D9D9D9" w:themeFill="background1" w:themeFillShade="D9"/>
            <w:noWrap/>
            <w:vAlign w:val="center"/>
          </w:tcPr>
          <w:p w14:paraId="166EBA27" w14:textId="77777777" w:rsidR="00F80E94" w:rsidRPr="002E53B5" w:rsidRDefault="00F80E94" w:rsidP="00306CF3">
            <w:pPr>
              <w:spacing w:after="0" w:line="240" w:lineRule="auto"/>
              <w:ind w:right="18"/>
              <w:jc w:val="center"/>
              <w:rPr>
                <w:rFonts w:eastAsia="Calibri"/>
                <w:b/>
                <w:bCs/>
              </w:rPr>
            </w:pPr>
            <w:r w:rsidRPr="002E53B5">
              <w:rPr>
                <w:rFonts w:eastAsia="Calibri"/>
                <w:b/>
                <w:bCs/>
              </w:rPr>
              <w:t>2027-29</w:t>
            </w:r>
          </w:p>
          <w:p w14:paraId="30E814CE" w14:textId="77777777" w:rsidR="00F80E94" w:rsidRPr="002E53B5" w:rsidRDefault="00F80E94" w:rsidP="00306CF3">
            <w:pPr>
              <w:pStyle w:val="NoSpacing"/>
              <w:ind w:right="18"/>
              <w:jc w:val="center"/>
            </w:pPr>
            <w:r w:rsidRPr="002E53B5">
              <w:rPr>
                <w:rFonts w:eastAsia="Calibri"/>
                <w:b/>
                <w:bCs/>
              </w:rPr>
              <w:t>Rate</w:t>
            </w:r>
          </w:p>
        </w:tc>
      </w:tr>
      <w:tr w:rsidR="00F80E94" w:rsidRPr="002E53B5" w14:paraId="4607BBCC" w14:textId="77777777" w:rsidTr="00306CF3">
        <w:trPr>
          <w:trHeight w:hRule="exact" w:val="288"/>
        </w:trPr>
        <w:tc>
          <w:tcPr>
            <w:tcW w:w="4590" w:type="dxa"/>
            <w:noWrap/>
            <w:hideMark/>
          </w:tcPr>
          <w:p w14:paraId="1C9CD554" w14:textId="77777777" w:rsidR="00F80E94" w:rsidRPr="002E53B5" w:rsidRDefault="00F80E94" w:rsidP="00306CF3">
            <w:pPr>
              <w:ind w:right="18"/>
            </w:pPr>
            <w:r w:rsidRPr="002E53B5">
              <w:t>IT Professional Services</w:t>
            </w:r>
          </w:p>
        </w:tc>
        <w:tc>
          <w:tcPr>
            <w:tcW w:w="3330" w:type="dxa"/>
            <w:noWrap/>
            <w:vAlign w:val="bottom"/>
            <w:hideMark/>
          </w:tcPr>
          <w:p w14:paraId="47B0BFE5" w14:textId="77777777" w:rsidR="00F80E94" w:rsidRPr="002E53B5" w:rsidRDefault="00F80E94" w:rsidP="00306CF3">
            <w:pPr>
              <w:ind w:right="18"/>
            </w:pPr>
            <w:r w:rsidRPr="002E53B5">
              <w:t>Hour</w:t>
            </w:r>
          </w:p>
        </w:tc>
        <w:tc>
          <w:tcPr>
            <w:tcW w:w="1260" w:type="dxa"/>
            <w:noWrap/>
            <w:vAlign w:val="bottom"/>
            <w:hideMark/>
          </w:tcPr>
          <w:p w14:paraId="62BE9FDD" w14:textId="77777777" w:rsidR="00F80E94" w:rsidRPr="002E53B5" w:rsidRDefault="00F80E94" w:rsidP="00306CF3">
            <w:pPr>
              <w:ind w:right="18"/>
              <w:jc w:val="right"/>
              <w:rPr>
                <w:highlight w:val="yellow"/>
              </w:rPr>
            </w:pPr>
            <w:r w:rsidRPr="002E53B5">
              <w:t>$193.35</w:t>
            </w:r>
          </w:p>
        </w:tc>
      </w:tr>
    </w:tbl>
    <w:p w14:paraId="31BC6B22" w14:textId="77777777" w:rsidR="00F80E94" w:rsidRPr="002E53B5" w:rsidRDefault="00F80E94" w:rsidP="00F80E94">
      <w:pPr>
        <w:spacing w:after="0" w:line="240" w:lineRule="auto"/>
        <w:ind w:right="18"/>
      </w:pPr>
    </w:p>
    <w:bookmarkEnd w:id="35"/>
    <w:bookmarkEnd w:id="36"/>
    <w:p w14:paraId="3F597A1F" w14:textId="77777777" w:rsidR="00F80E94" w:rsidRDefault="00F80E94" w:rsidP="79D38361">
      <w:pPr>
        <w:ind w:right="18"/>
        <w:rPr>
          <w:b/>
          <w:bCs/>
        </w:rPr>
      </w:pPr>
      <w:r w:rsidRPr="00661A0D">
        <w:rPr>
          <w:b/>
          <w:bCs/>
        </w:rPr>
        <w:t>Con</w:t>
      </w:r>
      <w:r w:rsidRPr="00661A0D">
        <w:rPr>
          <w:b/>
          <w:bCs/>
          <w:spacing w:val="-1"/>
        </w:rPr>
        <w:t>t</w:t>
      </w:r>
      <w:r w:rsidRPr="00661A0D">
        <w:rPr>
          <w:b/>
          <w:bCs/>
        </w:rPr>
        <w:t>a</w:t>
      </w:r>
      <w:r w:rsidRPr="00661A0D">
        <w:rPr>
          <w:b/>
          <w:bCs/>
          <w:spacing w:val="-1"/>
        </w:rPr>
        <w:t>c</w:t>
      </w:r>
      <w:r w:rsidRPr="00661A0D">
        <w:rPr>
          <w:b/>
          <w:bCs/>
        </w:rPr>
        <w:t xml:space="preserve">t for more information: </w:t>
      </w:r>
      <w:r w:rsidRPr="79D38361">
        <w:rPr>
          <w:b/>
          <w:bCs/>
        </w:rPr>
        <w:t xml:space="preserve">Eric Sexton at 971-701-0032 or </w:t>
      </w:r>
      <w:hyperlink r:id="rId23" w:history="1">
        <w:r w:rsidRPr="00F90E09">
          <w:rPr>
            <w:rStyle w:val="Hyperlink"/>
            <w:b/>
            <w:bCs/>
            <w:color w:val="000000" w:themeColor="text1"/>
          </w:rPr>
          <w:t>eric.sexton@das.oregon.gov</w:t>
        </w:r>
      </w:hyperlink>
      <w:r w:rsidRPr="79D38361">
        <w:rPr>
          <w:b/>
          <w:bCs/>
        </w:rPr>
        <w:t>.</w:t>
      </w:r>
    </w:p>
    <w:p w14:paraId="66AED632" w14:textId="77777777" w:rsidR="00F80E94" w:rsidRPr="0047690B" w:rsidRDefault="00F80E94" w:rsidP="2E12E5CC">
      <w:pPr>
        <w:pStyle w:val="Heading3"/>
        <w:rPr>
          <w:sz w:val="20"/>
          <w:szCs w:val="20"/>
        </w:rPr>
      </w:pPr>
      <w:bookmarkStart w:id="37" w:name="_Toc226108610"/>
      <w:bookmarkStart w:id="38" w:name="_Toc226981063"/>
      <w:r>
        <w:t>Chief Human Resources Office</w:t>
      </w:r>
      <w:bookmarkEnd w:id="37"/>
      <w:bookmarkEnd w:id="38"/>
    </w:p>
    <w:p w14:paraId="5C5C1B52" w14:textId="77777777" w:rsidR="00F80E94" w:rsidRDefault="00F80E94" w:rsidP="00F80E94">
      <w:pPr>
        <w:ind w:right="18"/>
      </w:pPr>
      <w:r w:rsidRPr="00330D9E">
        <w:t xml:space="preserve">The Chief Human Resources Office (CHRO) provides </w:t>
      </w:r>
      <w:r>
        <w:t xml:space="preserve">the </w:t>
      </w:r>
      <w:r w:rsidRPr="00330D9E">
        <w:t>enterprise-wide policy leadership necessary to maintain a reliable and qualified workforc</w:t>
      </w:r>
      <w:r>
        <w:t>e for Oregon state government. The CHRO’s</w:t>
      </w:r>
      <w:r w:rsidRPr="00330D9E">
        <w:t xml:space="preserve"> centr</w:t>
      </w:r>
      <w:r>
        <w:t>alized policy functions enable Executive B</w:t>
      </w:r>
      <w:r w:rsidRPr="00330D9E">
        <w:t xml:space="preserve">ranch agencies to share resources and expertise with which to manage </w:t>
      </w:r>
      <w:r>
        <w:t>their</w:t>
      </w:r>
      <w:r w:rsidRPr="00330D9E">
        <w:t xml:space="preserve"> human resource</w:t>
      </w:r>
      <w:r>
        <w:t>s</w:t>
      </w:r>
      <w:r w:rsidRPr="00330D9E">
        <w:t xml:space="preserve"> </w:t>
      </w:r>
      <w:r>
        <w:t xml:space="preserve">(HR) </w:t>
      </w:r>
      <w:r w:rsidRPr="00330D9E">
        <w:t xml:space="preserve">assets and capital in a </w:t>
      </w:r>
      <w:r w:rsidRPr="00330D9E">
        <w:lastRenderedPageBreak/>
        <w:t>cost-effective way.</w:t>
      </w:r>
      <w:r>
        <w:t xml:space="preserve"> CHRO also </w:t>
      </w:r>
      <w:r w:rsidRPr="00DE4D71">
        <w:t xml:space="preserve">provides </w:t>
      </w:r>
      <w:r>
        <w:t>HR</w:t>
      </w:r>
      <w:r w:rsidRPr="00DE4D71">
        <w:t xml:space="preserve"> management services to smaller agencies, boards and commissions that do not have the staff to perform these functions.</w:t>
      </w:r>
    </w:p>
    <w:p w14:paraId="54910CDA" w14:textId="77777777" w:rsidR="00F80E94" w:rsidRPr="00330D9E" w:rsidRDefault="00F80E94" w:rsidP="00F80E94">
      <w:pPr>
        <w:ind w:right="18"/>
      </w:pPr>
      <w:r>
        <w:t>The office</w:t>
      </w:r>
      <w:r w:rsidRPr="00330D9E">
        <w:t xml:space="preserve"> oversees the </w:t>
      </w:r>
      <w:r>
        <w:t xml:space="preserve">following </w:t>
      </w:r>
      <w:r w:rsidRPr="00330D9E">
        <w:t xml:space="preserve">HR functions: </w:t>
      </w:r>
    </w:p>
    <w:p w14:paraId="5BA6EEE5" w14:textId="77777777" w:rsidR="00F80E94" w:rsidRPr="008707AC" w:rsidRDefault="00F80E94" w:rsidP="2E12E5CC">
      <w:pPr>
        <w:pStyle w:val="Heading4"/>
      </w:pPr>
      <w:bookmarkStart w:id="39" w:name="_Toc226108611"/>
      <w:r w:rsidRPr="009C2554">
        <w:t>Classification and Compensation</w:t>
      </w:r>
      <w:bookmarkEnd w:id="39"/>
    </w:p>
    <w:p w14:paraId="2E27B004" w14:textId="7D7B1A83" w:rsidR="00F80E94" w:rsidRPr="003061F7" w:rsidRDefault="00F80E94" w:rsidP="00F80E94">
      <w:pPr>
        <w:rPr>
          <w:rFonts w:eastAsia="Roboto" w:cs="Roboto"/>
        </w:rPr>
      </w:pPr>
      <w:r>
        <w:t>This unit develops and maintains</w:t>
      </w:r>
      <w:r w:rsidRPr="00330D9E">
        <w:t xml:space="preserve"> the state's </w:t>
      </w:r>
      <w:r>
        <w:t xml:space="preserve">classification and </w:t>
      </w:r>
      <w:r w:rsidRPr="00330D9E">
        <w:t>compensation plan for approximately 4</w:t>
      </w:r>
      <w:r>
        <w:t>2</w:t>
      </w:r>
      <w:r w:rsidRPr="00330D9E">
        <w:t xml:space="preserve">,000 employees in classified, unclassified, and management service positions. </w:t>
      </w:r>
      <w:r>
        <w:t xml:space="preserve">The unit </w:t>
      </w:r>
      <w:r w:rsidRPr="009418E7">
        <w:t xml:space="preserve">also ensures </w:t>
      </w:r>
      <w:r>
        <w:t>that the</w:t>
      </w:r>
      <w:r w:rsidRPr="009418E7">
        <w:t xml:space="preserve"> </w:t>
      </w:r>
      <w:r>
        <w:t>E</w:t>
      </w:r>
      <w:r w:rsidRPr="009418E7">
        <w:t xml:space="preserve">xecutive </w:t>
      </w:r>
      <w:r>
        <w:t>B</w:t>
      </w:r>
      <w:r w:rsidRPr="009418E7">
        <w:t xml:space="preserve">ranch </w:t>
      </w:r>
      <w:r>
        <w:t xml:space="preserve">conducts an </w:t>
      </w:r>
      <w:r w:rsidRPr="009418E7">
        <w:t>Equal Pay Analysis at least every three years</w:t>
      </w:r>
      <w:r>
        <w:t>,</w:t>
      </w:r>
      <w:r w:rsidRPr="009418E7">
        <w:t xml:space="preserve"> and in accordance with Executive Order 17-08, publishes the biennial Salary and Benefit Report. </w:t>
      </w:r>
      <w:r>
        <w:t xml:space="preserve">The Classification and Compensation unit </w:t>
      </w:r>
      <w:r w:rsidRPr="009418E7">
        <w:t xml:space="preserve">is the primary resource </w:t>
      </w:r>
      <w:r w:rsidRPr="78020911">
        <w:rPr>
          <w:rFonts w:eastAsia="Roboto" w:cs="Roboto"/>
        </w:rPr>
        <w:t xml:space="preserve">for salary </w:t>
      </w:r>
      <w:proofErr w:type="spellStart"/>
      <w:r w:rsidRPr="78020911">
        <w:rPr>
          <w:rFonts w:eastAsia="Roboto" w:cs="Roboto"/>
        </w:rPr>
        <w:t>selectives</w:t>
      </w:r>
      <w:proofErr w:type="spellEnd"/>
      <w:r w:rsidRPr="78020911">
        <w:rPr>
          <w:rFonts w:eastAsia="Roboto" w:cs="Roboto"/>
        </w:rPr>
        <w:t xml:space="preserve"> </w:t>
      </w:r>
      <w:r w:rsidRPr="009418E7">
        <w:t xml:space="preserve">during collective bargaining </w:t>
      </w:r>
      <w:r w:rsidRPr="78020911">
        <w:rPr>
          <w:rFonts w:eastAsia="Roboto" w:cs="Roboto"/>
        </w:rPr>
        <w:t>and determining classification studies.</w:t>
      </w:r>
    </w:p>
    <w:p w14:paraId="439867B7" w14:textId="77777777" w:rsidR="00F80E94" w:rsidRPr="008707AC" w:rsidRDefault="00F80E94" w:rsidP="2E12E5CC">
      <w:pPr>
        <w:pStyle w:val="Heading4"/>
      </w:pPr>
      <w:bookmarkStart w:id="40" w:name="_Toc226108612"/>
      <w:r w:rsidRPr="009C2554">
        <w:t>Labor Relations</w:t>
      </w:r>
      <w:bookmarkEnd w:id="40"/>
    </w:p>
    <w:p w14:paraId="48CF9E4A" w14:textId="77777777" w:rsidR="00F80E94" w:rsidRDefault="00F80E94" w:rsidP="00F80E94">
      <w:pPr>
        <w:ind w:right="18"/>
        <w:rPr>
          <w:rFonts w:eastAsiaTheme="minorHAnsi"/>
        </w:rPr>
      </w:pPr>
      <w:r>
        <w:t>This unit represents the Governor on behalf of all Executive Branch agencies in collective bargaining. Currently, the Labor Relations Unit administers 32 state collective bargaining agreements which cover approximately 34,000 employees who are represented by 12 different labor organizations. Additionally, the Labor Relations Unit administers five non-state collective bargaining agreements represented by AFSCME and SEIU.</w:t>
      </w:r>
    </w:p>
    <w:p w14:paraId="5FF8494F" w14:textId="77777777" w:rsidR="00F80E94" w:rsidRPr="008707AC" w:rsidRDefault="00F80E94" w:rsidP="2E12E5CC">
      <w:pPr>
        <w:pStyle w:val="Heading4"/>
      </w:pPr>
      <w:bookmarkStart w:id="41" w:name="_Toc226108613"/>
      <w:r w:rsidRPr="2E12E5CC">
        <w:t>Policy</w:t>
      </w:r>
      <w:r w:rsidRPr="174D9B64">
        <w:t>, Investigation and Compliance</w:t>
      </w:r>
      <w:bookmarkEnd w:id="41"/>
    </w:p>
    <w:p w14:paraId="53214007" w14:textId="77777777" w:rsidR="00F80E94" w:rsidRPr="00330D9E" w:rsidRDefault="00F80E94" w:rsidP="00F80E94">
      <w:pPr>
        <w:ind w:right="18"/>
      </w:pPr>
      <w:r>
        <w:t>This unit establishes</w:t>
      </w:r>
      <w:r w:rsidRPr="00330D9E">
        <w:t xml:space="preserve"> a system of human resource</w:t>
      </w:r>
      <w:r>
        <w:t>s</w:t>
      </w:r>
      <w:r w:rsidRPr="00330D9E">
        <w:t xml:space="preserve"> administration for state </w:t>
      </w:r>
      <w:r>
        <w:t xml:space="preserve">government by </w:t>
      </w:r>
      <w:r w:rsidRPr="00330D9E">
        <w:t>develop</w:t>
      </w:r>
      <w:r>
        <w:t>ing</w:t>
      </w:r>
      <w:r w:rsidRPr="00330D9E">
        <w:t xml:space="preserve"> and implement</w:t>
      </w:r>
      <w:r>
        <w:t>ing</w:t>
      </w:r>
      <w:r w:rsidRPr="00330D9E">
        <w:t xml:space="preserve"> the state's workforce management plan; develop</w:t>
      </w:r>
      <w:r>
        <w:t>ing</w:t>
      </w:r>
      <w:r w:rsidRPr="00330D9E">
        <w:t xml:space="preserve"> and administer</w:t>
      </w:r>
      <w:r>
        <w:t>ing</w:t>
      </w:r>
      <w:r w:rsidRPr="00330D9E">
        <w:t xml:space="preserve"> CHRO rules and policies; providing</w:t>
      </w:r>
      <w:r>
        <w:t xml:space="preserve"> </w:t>
      </w:r>
      <w:r w:rsidRPr="00330D9E">
        <w:t>consulting services and technical assistance to agency HR offices</w:t>
      </w:r>
      <w:r>
        <w:t>; and reviewing agency compliance with statewide policies</w:t>
      </w:r>
      <w:r w:rsidRPr="00330D9E">
        <w:t>.</w:t>
      </w:r>
      <w:r>
        <w:t xml:space="preserve"> The unit provides training and consultation on workplace investigations and may conduct agency workplace investigations at an agency’s request.</w:t>
      </w:r>
    </w:p>
    <w:p w14:paraId="3DA22EB3" w14:textId="77777777" w:rsidR="00F80E94" w:rsidRPr="008707AC" w:rsidRDefault="00F80E94" w:rsidP="2E12E5CC">
      <w:pPr>
        <w:pStyle w:val="Heading4"/>
      </w:pPr>
      <w:bookmarkStart w:id="42" w:name="_Toc226108614"/>
      <w:r w:rsidRPr="2E12E5CC">
        <w:t>Enterprise Recruitment</w:t>
      </w:r>
      <w:bookmarkEnd w:id="42"/>
    </w:p>
    <w:p w14:paraId="11E660EC" w14:textId="77777777" w:rsidR="00F80E94" w:rsidRPr="0051095E" w:rsidRDefault="00F80E94" w:rsidP="0051095E">
      <w:bookmarkStart w:id="43" w:name="_Toc226108615"/>
      <w:r w:rsidRPr="0051095E">
        <w:t xml:space="preserve">This unit provides statewide leadership in recruiting a skilled, diverse workforce for Oregon state government by advising on Oregon State Statutes, CHRO's rules, policies and systems, federal and state laws and regulations, and providing innovative solutions for improving the state’s recruitment process. The unit is also responsible for managing Executive </w:t>
      </w:r>
      <w:proofErr w:type="gramStart"/>
      <w:r w:rsidRPr="0051095E">
        <w:t>recruitments</w:t>
      </w:r>
      <w:proofErr w:type="gramEnd"/>
      <w:r w:rsidRPr="0051095E">
        <w:t xml:space="preserve"> including Agency Head appointments, Executive Director appointments for non-paid boards and commissions and Governor’s Office staff.</w:t>
      </w:r>
      <w:bookmarkEnd w:id="43"/>
    </w:p>
    <w:p w14:paraId="4E20F3AF" w14:textId="77777777" w:rsidR="00F80E94" w:rsidRPr="008707AC" w:rsidRDefault="00F80E94" w:rsidP="2E12E5CC">
      <w:pPr>
        <w:pStyle w:val="Heading4"/>
      </w:pPr>
      <w:bookmarkStart w:id="44" w:name="_Toc226108616"/>
      <w:r w:rsidRPr="008707AC">
        <w:t>Workforce Development</w:t>
      </w:r>
      <w:bookmarkEnd w:id="44"/>
    </w:p>
    <w:p w14:paraId="61315205" w14:textId="77777777" w:rsidR="00F80E94" w:rsidRDefault="00F80E94" w:rsidP="00F80E94">
      <w:pPr>
        <w:ind w:right="18"/>
        <w:rPr>
          <w:rFonts w:eastAsia="Roboto" w:cs="Roboto"/>
        </w:rPr>
      </w:pPr>
      <w:r w:rsidRPr="78020911">
        <w:rPr>
          <w:rFonts w:eastAsia="Roboto" w:cs="Roboto"/>
        </w:rPr>
        <w:t xml:space="preserve">This unit focuses on state government's values of accountability, equality, excellence, and integrity by partnering with leadership, managers and employees as internal consultants. The unit delivers best practice workforce strategies, solutions, and resources to meet </w:t>
      </w:r>
      <w:r w:rsidRPr="78020911">
        <w:rPr>
          <w:rFonts w:eastAsia="Roboto" w:cs="Roboto"/>
        </w:rPr>
        <w:lastRenderedPageBreak/>
        <w:t>current and future workforce needs. Service areas include new employee and annual training requirement oversight, management education, leadership development, people and data analytics, employee engagement, workforce and succession planning, and executive/management coaching.</w:t>
      </w:r>
    </w:p>
    <w:p w14:paraId="3C2474AA" w14:textId="77777777" w:rsidR="00F80E94" w:rsidRDefault="00F80E94" w:rsidP="00F80E94">
      <w:pPr>
        <w:ind w:right="18"/>
        <w:rPr>
          <w:i/>
        </w:rPr>
      </w:pPr>
      <w:r>
        <w:t>The above</w:t>
      </w:r>
      <w:r w:rsidRPr="008E02D2">
        <w:t xml:space="preserve"> activities are supported by an </w:t>
      </w:r>
      <w:r>
        <w:t>assessment that</w:t>
      </w:r>
      <w:r w:rsidRPr="008E02D2">
        <w:t xml:space="preserve"> allocates costs to state agencies based on </w:t>
      </w:r>
      <w:r>
        <w:t>2025-27</w:t>
      </w:r>
      <w:r w:rsidRPr="008E02D2">
        <w:t xml:space="preserve"> budgeted </w:t>
      </w:r>
      <w:r>
        <w:rPr>
          <w:spacing w:val="-2"/>
        </w:rPr>
        <w:t>F</w:t>
      </w:r>
      <w:r>
        <w:t>ull-</w:t>
      </w:r>
      <w:r>
        <w:rPr>
          <w:spacing w:val="-1"/>
        </w:rPr>
        <w:t>T</w:t>
      </w:r>
      <w:r>
        <w:t xml:space="preserve">ime </w:t>
      </w:r>
      <w:r>
        <w:rPr>
          <w:spacing w:val="-1"/>
        </w:rPr>
        <w:t>E</w:t>
      </w:r>
      <w:r>
        <w:t>quiv</w:t>
      </w:r>
      <w:r>
        <w:rPr>
          <w:spacing w:val="-1"/>
        </w:rPr>
        <w:t>a</w:t>
      </w:r>
      <w:r>
        <w:t>l</w:t>
      </w:r>
      <w:r>
        <w:rPr>
          <w:spacing w:val="-1"/>
        </w:rPr>
        <w:t>e</w:t>
      </w:r>
      <w:r>
        <w:t>nt</w:t>
      </w:r>
      <w:r>
        <w:rPr>
          <w:spacing w:val="17"/>
        </w:rPr>
        <w:t xml:space="preserve"> </w:t>
      </w:r>
      <w:r>
        <w:rPr>
          <w:spacing w:val="-1"/>
        </w:rPr>
        <w:t>(</w:t>
      </w:r>
      <w:r>
        <w:rPr>
          <w:spacing w:val="-2"/>
        </w:rPr>
        <w:t>F</w:t>
      </w:r>
      <w:r>
        <w:rPr>
          <w:spacing w:val="2"/>
        </w:rPr>
        <w:t>T</w:t>
      </w:r>
      <w:r>
        <w:rPr>
          <w:spacing w:val="-1"/>
        </w:rPr>
        <w:t>E)</w:t>
      </w:r>
      <w:r w:rsidRPr="008E02D2">
        <w:t xml:space="preserve"> authority</w:t>
      </w:r>
      <w:r>
        <w:t xml:space="preserve">. </w:t>
      </w:r>
      <w:r w:rsidRPr="008707AC">
        <w:rPr>
          <w:iCs/>
        </w:rPr>
        <w:t>Reference Chief Human Resources Office (CHRO) in Appendix A.</w:t>
      </w:r>
    </w:p>
    <w:p w14:paraId="5D9C7858" w14:textId="77777777" w:rsidR="00F80E94" w:rsidRPr="008707AC" w:rsidRDefault="00F80E94" w:rsidP="2E12E5CC">
      <w:pPr>
        <w:pStyle w:val="Heading4"/>
      </w:pPr>
      <w:bookmarkStart w:id="45" w:name="_Toc226108617"/>
      <w:r w:rsidRPr="008707AC">
        <w:t>Client Agency Human Resources Management Services</w:t>
      </w:r>
      <w:bookmarkEnd w:id="45"/>
    </w:p>
    <w:p w14:paraId="56C1B8F6" w14:textId="77777777" w:rsidR="00F80E94" w:rsidRPr="006849B1" w:rsidRDefault="00F80E94" w:rsidP="006849B1">
      <w:pPr>
        <w:rPr>
          <w:szCs w:val="24"/>
        </w:rPr>
      </w:pPr>
      <w:r w:rsidRPr="006849B1">
        <w:rPr>
          <w:szCs w:val="24"/>
        </w:rPr>
        <w:t>This unit provides cost-effective HR services that decrease legal and employment contract risks to agencies that cannot afford the staff to administer HR services in-house.</w:t>
      </w:r>
    </w:p>
    <w:p w14:paraId="60E18BE8" w14:textId="77777777" w:rsidR="00F80E94" w:rsidRPr="0069259D" w:rsidRDefault="00F80E94" w:rsidP="0069259D">
      <w:pPr>
        <w:rPr>
          <w:szCs w:val="24"/>
        </w:rPr>
      </w:pPr>
      <w:r w:rsidRPr="0069259D">
        <w:rPr>
          <w:szCs w:val="24"/>
        </w:rPr>
        <w:t>Full-service HR management services include:</w:t>
      </w:r>
    </w:p>
    <w:p w14:paraId="47C13B9E" w14:textId="77777777" w:rsidR="00F80E94" w:rsidRPr="006849B1" w:rsidRDefault="00F80E94" w:rsidP="00F25900">
      <w:pPr>
        <w:pStyle w:val="ListParagraph"/>
        <w:numPr>
          <w:ilvl w:val="0"/>
          <w:numId w:val="35"/>
        </w:numPr>
      </w:pPr>
      <w:r w:rsidRPr="006849B1">
        <w:t>Collective bargaining agreement administration.</w:t>
      </w:r>
    </w:p>
    <w:p w14:paraId="5B18EB4C" w14:textId="77777777" w:rsidR="00F80E94" w:rsidRPr="006849B1" w:rsidRDefault="00F80E94" w:rsidP="00F25900">
      <w:pPr>
        <w:pStyle w:val="ListParagraph"/>
        <w:numPr>
          <w:ilvl w:val="0"/>
          <w:numId w:val="35"/>
        </w:numPr>
      </w:pPr>
      <w:r w:rsidRPr="006849B1">
        <w:t>Grievance, complaint and employment litigation support.</w:t>
      </w:r>
    </w:p>
    <w:p w14:paraId="6607A6B6" w14:textId="77777777" w:rsidR="00F80E94" w:rsidRPr="006849B1" w:rsidRDefault="00F80E94" w:rsidP="00F25900">
      <w:pPr>
        <w:pStyle w:val="ListParagraph"/>
        <w:numPr>
          <w:ilvl w:val="0"/>
          <w:numId w:val="35"/>
        </w:numPr>
      </w:pPr>
      <w:r w:rsidRPr="006849B1">
        <w:t>Leave administration and personnel records management.</w:t>
      </w:r>
    </w:p>
    <w:p w14:paraId="4E9387BB" w14:textId="77777777" w:rsidR="00F80E94" w:rsidRPr="006849B1" w:rsidRDefault="00F80E94" w:rsidP="00F25900">
      <w:pPr>
        <w:pStyle w:val="ListParagraph"/>
        <w:numPr>
          <w:ilvl w:val="0"/>
          <w:numId w:val="35"/>
        </w:numPr>
      </w:pPr>
      <w:r w:rsidRPr="006849B1">
        <w:t>Management advice, counsel and coaching.</w:t>
      </w:r>
    </w:p>
    <w:p w14:paraId="0CCAF531" w14:textId="77777777" w:rsidR="00F80E94" w:rsidRPr="006849B1" w:rsidRDefault="00F80E94" w:rsidP="00F25900">
      <w:pPr>
        <w:pStyle w:val="ListParagraph"/>
        <w:numPr>
          <w:ilvl w:val="0"/>
          <w:numId w:val="35"/>
        </w:numPr>
      </w:pPr>
      <w:r w:rsidRPr="006849B1">
        <w:t>Investigations, conflict mediation and resolution.</w:t>
      </w:r>
    </w:p>
    <w:p w14:paraId="612D0DA0" w14:textId="77777777" w:rsidR="00F80E94" w:rsidRPr="006849B1" w:rsidRDefault="00F80E94" w:rsidP="00F25900">
      <w:pPr>
        <w:pStyle w:val="ListParagraph"/>
        <w:numPr>
          <w:ilvl w:val="0"/>
          <w:numId w:val="35"/>
        </w:numPr>
      </w:pPr>
      <w:r w:rsidRPr="006849B1">
        <w:t>Recruitment services and recruitment records management.</w:t>
      </w:r>
    </w:p>
    <w:p w14:paraId="18708F24" w14:textId="77777777" w:rsidR="00F80E94" w:rsidRPr="006849B1" w:rsidRDefault="00F80E94" w:rsidP="00F25900">
      <w:pPr>
        <w:pStyle w:val="ListParagraph"/>
        <w:numPr>
          <w:ilvl w:val="0"/>
          <w:numId w:val="35"/>
        </w:numPr>
      </w:pPr>
      <w:r w:rsidRPr="006849B1">
        <w:t>Position management and classification allocation.</w:t>
      </w:r>
    </w:p>
    <w:p w14:paraId="31300DA7" w14:textId="77777777" w:rsidR="00F80E94" w:rsidRPr="006849B1" w:rsidRDefault="00F80E94" w:rsidP="00F25900">
      <w:pPr>
        <w:pStyle w:val="ListParagraph"/>
        <w:numPr>
          <w:ilvl w:val="0"/>
          <w:numId w:val="35"/>
        </w:numPr>
      </w:pPr>
      <w:r w:rsidRPr="006849B1">
        <w:t>Background check facilitation.</w:t>
      </w:r>
    </w:p>
    <w:p w14:paraId="61BB0A4E" w14:textId="1A1108CA" w:rsidR="00F80E94" w:rsidRPr="006849B1" w:rsidRDefault="00F80E94" w:rsidP="006849B1">
      <w:r w:rsidRPr="006849B1">
        <w:rPr>
          <w:szCs w:val="24"/>
        </w:rPr>
        <w:t xml:space="preserve">The above activities are supported by an assessment that allocates costs to state agencies based on 2025-27 Legislatively Adopted Budget (LAB) </w:t>
      </w:r>
      <w:r w:rsidRPr="006849B1">
        <w:t>F</w:t>
      </w:r>
      <w:r w:rsidRPr="006849B1">
        <w:rPr>
          <w:szCs w:val="24"/>
        </w:rPr>
        <w:t>ull-</w:t>
      </w:r>
      <w:r w:rsidRPr="006849B1">
        <w:t>T</w:t>
      </w:r>
      <w:r w:rsidRPr="006849B1">
        <w:rPr>
          <w:szCs w:val="24"/>
        </w:rPr>
        <w:t xml:space="preserve">ime </w:t>
      </w:r>
      <w:r w:rsidRPr="006849B1">
        <w:t>E</w:t>
      </w:r>
      <w:r w:rsidRPr="006849B1">
        <w:rPr>
          <w:szCs w:val="24"/>
        </w:rPr>
        <w:t>quiv</w:t>
      </w:r>
      <w:r w:rsidRPr="006849B1">
        <w:t>a</w:t>
      </w:r>
      <w:r w:rsidRPr="006849B1">
        <w:rPr>
          <w:szCs w:val="24"/>
        </w:rPr>
        <w:t>l</w:t>
      </w:r>
      <w:r w:rsidRPr="006849B1">
        <w:t>e</w:t>
      </w:r>
      <w:r w:rsidRPr="006849B1">
        <w:rPr>
          <w:szCs w:val="24"/>
        </w:rPr>
        <w:t>nt</w:t>
      </w:r>
      <w:r w:rsidRPr="006849B1">
        <w:t xml:space="preserve"> (FTE)</w:t>
      </w:r>
      <w:r w:rsidRPr="006849B1">
        <w:rPr>
          <w:szCs w:val="24"/>
        </w:rPr>
        <w:t xml:space="preserve"> authority. Reference Client Agency HR </w:t>
      </w:r>
      <w:r w:rsidR="006849B1">
        <w:t>Management Services</w:t>
      </w:r>
      <w:r w:rsidRPr="006849B1">
        <w:rPr>
          <w:szCs w:val="24"/>
        </w:rPr>
        <w:t xml:space="preserve"> (CHRO) in Appendix A.</w:t>
      </w:r>
    </w:p>
    <w:p w14:paraId="1A6FCC04" w14:textId="5CCB2E9E" w:rsidR="00753208" w:rsidRPr="006849B1" w:rsidRDefault="00F80E94" w:rsidP="006849B1">
      <w:r w:rsidRPr="006849B1">
        <w:rPr>
          <w:szCs w:val="24"/>
        </w:rPr>
        <w:t xml:space="preserve">Standalone HR management services using an hourly rate, include: </w:t>
      </w:r>
    </w:p>
    <w:p w14:paraId="030640DA" w14:textId="77777777" w:rsidR="00F80E94" w:rsidRDefault="00F80E94" w:rsidP="2E12E5CC">
      <w:pPr>
        <w:pStyle w:val="Heading5"/>
      </w:pPr>
      <w:r w:rsidRPr="00483C6B">
        <w:t>Talent Acquisition Support Services</w:t>
      </w:r>
    </w:p>
    <w:p w14:paraId="68B86D0A" w14:textId="48E26ED0" w:rsidR="002F401E" w:rsidRPr="002F401E" w:rsidRDefault="002F401E" w:rsidP="002F401E">
      <w:r w:rsidRPr="00EA48DE">
        <w:rPr>
          <w:b/>
          <w:bCs/>
        </w:rPr>
        <w:t>Standalone rate: $95/hour</w:t>
      </w:r>
    </w:p>
    <w:p w14:paraId="21F28D71" w14:textId="1348CE2D" w:rsidR="00F80E94" w:rsidRPr="00EA48DE" w:rsidRDefault="00F80E94" w:rsidP="00F80E94">
      <w:pPr>
        <w:ind w:right="18"/>
        <w:rPr>
          <w:b/>
          <w:bCs/>
        </w:rPr>
      </w:pPr>
      <w:r>
        <w:t xml:space="preserve">Talent acquisition support services include guidance and advice on federal and state laws, rules, policies and labor contract interpretation concerning recruitment strategies; development of recruitment advertising and outreach strategies; creation of recruitment announcements, supplemental questions and evaluation criteria, application review and applicant notifications; support for interview self-scheduling, interview question guidance and review of veterans’ preference requirements. The talent acquisition team also provides </w:t>
      </w:r>
      <w:r w:rsidRPr="00EA48DE">
        <w:t>representation at local career fairs and handles all recruitment records management and retention.</w:t>
      </w:r>
    </w:p>
    <w:p w14:paraId="7128DBE7" w14:textId="77777777" w:rsidR="00F80E94" w:rsidRDefault="00F80E94" w:rsidP="2E12E5CC">
      <w:pPr>
        <w:pStyle w:val="Heading5"/>
      </w:pPr>
      <w:r w:rsidRPr="00EA48DE">
        <w:t>Investigation Services</w:t>
      </w:r>
    </w:p>
    <w:p w14:paraId="6CE79DD8" w14:textId="0C9F5864" w:rsidR="002F401E" w:rsidRPr="002F401E" w:rsidRDefault="002F401E" w:rsidP="002F401E">
      <w:r w:rsidRPr="00EA48DE">
        <w:rPr>
          <w:rFonts w:eastAsia="Roboto" w:cs="Roboto"/>
          <w:b/>
          <w:bCs/>
        </w:rPr>
        <w:t>Standalone rate: $187/hour</w:t>
      </w:r>
      <w:r>
        <w:rPr>
          <w:rFonts w:eastAsia="Roboto" w:cs="Roboto"/>
          <w:b/>
          <w:bCs/>
        </w:rPr>
        <w:t>.</w:t>
      </w:r>
    </w:p>
    <w:p w14:paraId="47891212" w14:textId="18E47E10" w:rsidR="00F80E94" w:rsidRDefault="00F80E94" w:rsidP="00F80E94">
      <w:pPr>
        <w:ind w:right="18"/>
        <w:rPr>
          <w:b/>
          <w:bCs/>
        </w:rPr>
      </w:pPr>
      <w:r w:rsidRPr="00EA48DE">
        <w:rPr>
          <w:rFonts w:eastAsia="Roboto" w:cs="Roboto"/>
        </w:rPr>
        <w:lastRenderedPageBreak/>
        <w:t>The CHRO team of skilled workplace investigators expeditiously conducts thorough and objective fact finding of workplace complaints relating to statewide HR policy violations and deliver</w:t>
      </w:r>
      <w:r>
        <w:rPr>
          <w:rFonts w:eastAsia="Roboto" w:cs="Roboto"/>
        </w:rPr>
        <w:t>s</w:t>
      </w:r>
      <w:r w:rsidRPr="00EA48DE">
        <w:rPr>
          <w:rFonts w:eastAsia="Roboto" w:cs="Roboto"/>
        </w:rPr>
        <w:t xml:space="preserve"> the facts found in the manner requested by the contracted agency.</w:t>
      </w:r>
      <w:r w:rsidRPr="00EA48DE">
        <w:rPr>
          <w:rFonts w:eastAsia="Roboto" w:cs="Roboto"/>
          <w:b/>
          <w:bCs/>
          <w:i/>
          <w:iCs/>
        </w:rPr>
        <w:t xml:space="preserve"> </w:t>
      </w:r>
    </w:p>
    <w:p w14:paraId="0AB44A6E" w14:textId="5416F6E9" w:rsidR="00F80E94" w:rsidRDefault="00F80E94" w:rsidP="006849B1">
      <w:pPr>
        <w:ind w:right="18"/>
        <w:rPr>
          <w:rFonts w:ascii="Montserrat" w:eastAsia="Times New Roman" w:hAnsi="Montserrat"/>
          <w:b/>
          <w:caps/>
          <w:color w:val="E1B924" w:themeColor="accent5"/>
          <w:u w:val="single"/>
          <w:lang w:val="x-none"/>
        </w:rPr>
      </w:pPr>
      <w:r>
        <w:rPr>
          <w:b/>
          <w:bCs/>
        </w:rPr>
        <w:t>Con</w:t>
      </w:r>
      <w:r>
        <w:rPr>
          <w:b/>
          <w:bCs/>
          <w:spacing w:val="-1"/>
        </w:rPr>
        <w:t>t</w:t>
      </w:r>
      <w:r>
        <w:rPr>
          <w:b/>
          <w:bCs/>
        </w:rPr>
        <w:t>a</w:t>
      </w:r>
      <w:r>
        <w:rPr>
          <w:b/>
          <w:bCs/>
          <w:spacing w:val="-1"/>
        </w:rPr>
        <w:t>c</w:t>
      </w:r>
      <w:r>
        <w:rPr>
          <w:b/>
          <w:bCs/>
        </w:rPr>
        <w:t>t for more information: 971-707-0880 or</w:t>
      </w:r>
      <w:r w:rsidRPr="00501C48">
        <w:rPr>
          <w:b/>
          <w:bCs/>
        </w:rPr>
        <w:t xml:space="preserve"> </w:t>
      </w:r>
      <w:hyperlink r:id="rId24" w:history="1">
        <w:r w:rsidRPr="00F90E09">
          <w:rPr>
            <w:rStyle w:val="Hyperlink"/>
            <w:b/>
            <w:bCs/>
            <w:color w:val="000000" w:themeColor="text1"/>
          </w:rPr>
          <w:t>chro.hr@das.oregon.gov</w:t>
        </w:r>
      </w:hyperlink>
      <w:r w:rsidRPr="00DD6CD7">
        <w:rPr>
          <w:b/>
        </w:rPr>
        <w:t>.</w:t>
      </w:r>
    </w:p>
    <w:p w14:paraId="41980FF0" w14:textId="482C1FFD" w:rsidR="00F80E94" w:rsidRPr="00162951" w:rsidRDefault="00F80E94" w:rsidP="2E12E5CC">
      <w:pPr>
        <w:pStyle w:val="Heading3"/>
      </w:pPr>
      <w:bookmarkStart w:id="46" w:name="_Toc226108618"/>
      <w:bookmarkStart w:id="47" w:name="_Toc226981064"/>
      <w:r w:rsidRPr="00532A33">
        <w:t>S</w:t>
      </w:r>
      <w:r w:rsidR="00A7435A" w:rsidRPr="00532A33">
        <w:t>tatewide</w:t>
      </w:r>
      <w:r w:rsidRPr="00532A33">
        <w:t xml:space="preserve"> </w:t>
      </w:r>
      <w:r w:rsidR="00532A33" w:rsidRPr="00532A33">
        <w:t>Business Applications Division</w:t>
      </w:r>
      <w:r w:rsidRPr="00532A33">
        <w:t xml:space="preserve"> (SBA) (formally known as Workday Oregon division)</w:t>
      </w:r>
      <w:bookmarkEnd w:id="46"/>
      <w:bookmarkEnd w:id="47"/>
    </w:p>
    <w:p w14:paraId="491ECEBC" w14:textId="0AB47154" w:rsidR="00F80E94" w:rsidRPr="00121FBF" w:rsidRDefault="00F80E94" w:rsidP="006418F0">
      <w:r w:rsidRPr="00121FBF">
        <w:t>The Statewide Business Applications Division provides centralized enterprise systems that support Oregon’s HR, payroll, learning, and procurement operations. SBA manages and optimizes these applications to ensure agencies have reliable, secure, and efficient tools for hiring and paying employees, supporting workforce development, and procuring services and supplies. SBA’s purpose is to deliver consistent, high</w:t>
      </w:r>
      <w:r w:rsidR="1B6B8B16">
        <w:t>-</w:t>
      </w:r>
      <w:r w:rsidRPr="00121FBF">
        <w:t>quality technology solutions that strengthen statewide operations and enable agencies to focus on serving Oregonians.</w:t>
      </w:r>
    </w:p>
    <w:p w14:paraId="3DEDD342" w14:textId="733FAA9D" w:rsidR="00F80E94" w:rsidRPr="00121FBF" w:rsidRDefault="00F80E94" w:rsidP="006418F0">
      <w:r w:rsidRPr="00121FBF">
        <w:t>Key systems include:</w:t>
      </w:r>
    </w:p>
    <w:p w14:paraId="3A4ABE21" w14:textId="2C861FAA" w:rsidR="006418F0" w:rsidRPr="006418F0" w:rsidRDefault="00F80E94" w:rsidP="00F25900">
      <w:pPr>
        <w:pStyle w:val="ListParagraph"/>
        <w:numPr>
          <w:ilvl w:val="0"/>
          <w:numId w:val="29"/>
        </w:numPr>
        <w:rPr>
          <w:b/>
          <w:bCs/>
        </w:rPr>
      </w:pPr>
      <w:r w:rsidRPr="006418F0">
        <w:rPr>
          <w:b/>
          <w:bCs/>
        </w:rPr>
        <w:t>Workday Oregon</w:t>
      </w:r>
      <w:r w:rsidR="006418F0" w:rsidRPr="006418F0">
        <w:rPr>
          <w:b/>
          <w:bCs/>
        </w:rPr>
        <w:t xml:space="preserve">: </w:t>
      </w:r>
      <w:r w:rsidRPr="006418F0">
        <w:t xml:space="preserve">Centralized management and support of </w:t>
      </w:r>
      <w:r w:rsidR="006418F0" w:rsidRPr="006418F0">
        <w:t>statewide</w:t>
      </w:r>
      <w:r w:rsidRPr="006418F0">
        <w:t xml:space="preserve"> HR, payroll, time tracking, and learning system serving more than 45,000 employees across </w:t>
      </w:r>
      <w:r w:rsidR="00162951" w:rsidRPr="006418F0">
        <w:t xml:space="preserve">more than </w:t>
      </w:r>
      <w:r w:rsidRPr="006418F0">
        <w:t>100 agencies.</w:t>
      </w:r>
    </w:p>
    <w:p w14:paraId="683126F6" w14:textId="1FEAE2FB" w:rsidR="00F80E94" w:rsidRPr="006418F0" w:rsidRDefault="00F80E94" w:rsidP="00F25900">
      <w:pPr>
        <w:pStyle w:val="ListParagraph"/>
        <w:numPr>
          <w:ilvl w:val="0"/>
          <w:numId w:val="29"/>
        </w:numPr>
        <w:rPr>
          <w:b/>
          <w:bCs/>
        </w:rPr>
      </w:pPr>
      <w:r w:rsidRPr="006418F0">
        <w:rPr>
          <w:b/>
          <w:bCs/>
        </w:rPr>
        <w:t>eProcurement (a</w:t>
      </w:r>
      <w:r w:rsidR="006418F0">
        <w:rPr>
          <w:b/>
          <w:bCs/>
        </w:rPr>
        <w:t xml:space="preserve">lso known as </w:t>
      </w:r>
      <w:proofErr w:type="spellStart"/>
      <w:r w:rsidRPr="006418F0">
        <w:rPr>
          <w:b/>
          <w:bCs/>
        </w:rPr>
        <w:t>OregonBuys</w:t>
      </w:r>
      <w:proofErr w:type="spellEnd"/>
      <w:r w:rsidRPr="006418F0">
        <w:rPr>
          <w:b/>
          <w:bCs/>
        </w:rPr>
        <w:t>):</w:t>
      </w:r>
      <w:r w:rsidR="006418F0" w:rsidRPr="006418F0">
        <w:rPr>
          <w:b/>
          <w:bCs/>
        </w:rPr>
        <w:t xml:space="preserve"> </w:t>
      </w:r>
      <w:r w:rsidRPr="006418F0">
        <w:t>Provides the state’s electronic bidding and noticing system. The costs associated with this software are supported by the Vendor Collected Administrative Fee.</w:t>
      </w:r>
    </w:p>
    <w:p w14:paraId="3A4186BC" w14:textId="55139011" w:rsidR="00F80E94" w:rsidRPr="001F3D41" w:rsidRDefault="00F80E94" w:rsidP="006418F0">
      <w:pPr>
        <w:rPr>
          <w:i/>
          <w:iCs/>
        </w:rPr>
      </w:pPr>
      <w:r w:rsidRPr="00121FBF">
        <w:t xml:space="preserve">Statewide Business Applications Division (SBA) is supported by an assessment that allocates costs to state </w:t>
      </w:r>
      <w:r w:rsidRPr="00E07EAE">
        <w:t xml:space="preserve">agencies based on 2025-27 Legislatively Adopted Budget (LAB) Full-Time Equivalent (FTE) authority. </w:t>
      </w:r>
      <w:r w:rsidRPr="00162951">
        <w:t>Reference Statewide Business Application Division (SBA) in Appendix A.</w:t>
      </w:r>
    </w:p>
    <w:p w14:paraId="7EDAAFF0" w14:textId="6A8AB8B6" w:rsidR="00F80E94" w:rsidRPr="00A9769C" w:rsidRDefault="00F80E94" w:rsidP="006418F0">
      <w:pPr>
        <w:rPr>
          <w:b/>
          <w:bCs/>
        </w:rPr>
      </w:pPr>
      <w:r w:rsidRPr="001F3D41">
        <w:rPr>
          <w:b/>
          <w:bCs/>
        </w:rPr>
        <w:t xml:space="preserve">Contact for more information: Renee Royston at 971-208-2251 or </w:t>
      </w:r>
      <w:hyperlink r:id="rId25" w:history="1">
        <w:r w:rsidRPr="001F3D41">
          <w:rPr>
            <w:b/>
            <w:bCs/>
            <w:color w:val="000000" w:themeColor="text1"/>
            <w:u w:val="single"/>
          </w:rPr>
          <w:t>renee.r.royston@das.oregon.gov</w:t>
        </w:r>
      </w:hyperlink>
      <w:r w:rsidRPr="001F3D41">
        <w:rPr>
          <w:b/>
          <w:bCs/>
        </w:rPr>
        <w:t>.</w:t>
      </w:r>
      <w:bookmarkStart w:id="48" w:name="_Hlk125703193"/>
    </w:p>
    <w:p w14:paraId="269C7BA1" w14:textId="77777777" w:rsidR="00F80E94" w:rsidRPr="00162951" w:rsidRDefault="00F80E94" w:rsidP="2E12E5CC">
      <w:pPr>
        <w:pStyle w:val="Heading3"/>
      </w:pPr>
      <w:bookmarkStart w:id="49" w:name="_Toc226108619"/>
      <w:bookmarkStart w:id="50" w:name="_Toc226981065"/>
      <w:r w:rsidRPr="005164E3">
        <w:t>Enterprise Asset Management</w:t>
      </w:r>
      <w:bookmarkEnd w:id="49"/>
      <w:bookmarkEnd w:id="50"/>
    </w:p>
    <w:p w14:paraId="5C3FA9A0" w14:textId="77777777" w:rsidR="00F80E94" w:rsidRDefault="00F80E94" w:rsidP="00F80E94">
      <w:pPr>
        <w:ind w:right="18"/>
      </w:pPr>
      <w:r w:rsidRPr="00022F80">
        <w:t xml:space="preserve">Enterprise Asset Management (EAM) </w:t>
      </w:r>
      <w:r>
        <w:t>includes</w:t>
      </w:r>
      <w:r w:rsidRPr="00022F80">
        <w:t xml:space="preserve"> </w:t>
      </w:r>
      <w:r>
        <w:t>the Office of Sustainability, Rent Program</w:t>
      </w:r>
      <w:r w:rsidRPr="00022F80">
        <w:t xml:space="preserve">, Real Estate Services, </w:t>
      </w:r>
      <w:r>
        <w:t xml:space="preserve">Capital Facilities Planning, </w:t>
      </w:r>
      <w:r w:rsidRPr="00022F80">
        <w:t xml:space="preserve">Fleet and Parking Services, </w:t>
      </w:r>
      <w:r>
        <w:t xml:space="preserve">and </w:t>
      </w:r>
      <w:r w:rsidRPr="00022F80">
        <w:t xml:space="preserve">State and Federal Surplus Property. The focus of these programs is property management, both real and personal, that produces optimal use of state government assets </w:t>
      </w:r>
      <w:r>
        <w:t>and</w:t>
      </w:r>
      <w:r w:rsidRPr="00022F80">
        <w:t xml:space="preserve"> supports agencies’ requirements for </w:t>
      </w:r>
      <w:r>
        <w:t>sustainable buildings,</w:t>
      </w:r>
      <w:r w:rsidRPr="00022F80">
        <w:t xml:space="preserve"> space, travel and operational needs. EAM’s responsibilities encompass the full life cycle of the assets the division manages, acquires, operates, maintains and disposes. These value-added services allow state agencies and select local government customers to focus on their primary missions.</w:t>
      </w:r>
    </w:p>
    <w:p w14:paraId="115B4CAC" w14:textId="77777777" w:rsidR="00F80E94" w:rsidRPr="00162951" w:rsidRDefault="00F80E94" w:rsidP="2E12E5CC">
      <w:pPr>
        <w:pStyle w:val="Heading4"/>
      </w:pPr>
      <w:bookmarkStart w:id="51" w:name="_Toc226108620"/>
      <w:r w:rsidRPr="00D855D8">
        <w:lastRenderedPageBreak/>
        <w:t>Office of Sustainability</w:t>
      </w:r>
      <w:bookmarkEnd w:id="51"/>
    </w:p>
    <w:p w14:paraId="76992B63" w14:textId="4DE46786" w:rsidR="00F80E94" w:rsidRPr="005D7C04" w:rsidRDefault="00F80E94" w:rsidP="00F80E94">
      <w:pPr>
        <w:ind w:right="18"/>
        <w:rPr>
          <w:i/>
        </w:rPr>
      </w:pPr>
      <w:r>
        <w:rPr>
          <w:color w:val="000000"/>
        </w:rPr>
        <w:t xml:space="preserve">The DAS Office of Sustainability provides agencies with technical and organizational support to help conserve energy and resources and address other sustainability issues in state buildings, fleet, staffing and other agency activities. The Office facilitates the Interagency Sustainability Coordinators Network and supports the Oregon Sustainability Board by providing research papers, how-to guides, newsletters, workshops, seminars and on-call direct support for agencies. This helps agencies comply with </w:t>
      </w:r>
      <w:proofErr w:type="gramStart"/>
      <w:r>
        <w:rPr>
          <w:color w:val="000000"/>
        </w:rPr>
        <w:t>statute</w:t>
      </w:r>
      <w:proofErr w:type="gramEnd"/>
      <w:r>
        <w:rPr>
          <w:color w:val="000000"/>
        </w:rPr>
        <w:t xml:space="preserve">, statewide </w:t>
      </w:r>
      <w:proofErr w:type="gramStart"/>
      <w:r>
        <w:rPr>
          <w:color w:val="000000"/>
        </w:rPr>
        <w:t>policy</w:t>
      </w:r>
      <w:proofErr w:type="gramEnd"/>
      <w:r>
        <w:rPr>
          <w:color w:val="000000"/>
        </w:rPr>
        <w:t xml:space="preserve"> and executive orders; as well as use energy and water efficiently, reduce waste, address challenges posed by climate change and integrate equity in decision-making. </w:t>
      </w:r>
      <w:r w:rsidRPr="00162951">
        <w:rPr>
          <w:iCs/>
        </w:rPr>
        <w:t>Reference Admin and Real Estate Services (EAM) in Appendix A.</w:t>
      </w:r>
      <w:r w:rsidRPr="005D7C04">
        <w:rPr>
          <w:i/>
        </w:rPr>
        <w:t xml:space="preserve"> </w:t>
      </w:r>
    </w:p>
    <w:p w14:paraId="6D226B0D" w14:textId="77777777" w:rsidR="00F80E94" w:rsidRDefault="00F80E94" w:rsidP="00F80E94">
      <w:pPr>
        <w:spacing w:after="0" w:line="240" w:lineRule="auto"/>
        <w:ind w:right="18"/>
        <w:rPr>
          <w:b/>
          <w:bCs/>
        </w:rPr>
      </w:pPr>
      <w:r>
        <w:rPr>
          <w:b/>
          <w:bCs/>
        </w:rPr>
        <w:t>Con</w:t>
      </w:r>
      <w:r>
        <w:rPr>
          <w:b/>
          <w:bCs/>
          <w:spacing w:val="-1"/>
        </w:rPr>
        <w:t>t</w:t>
      </w:r>
      <w:r>
        <w:rPr>
          <w:b/>
          <w:bCs/>
        </w:rPr>
        <w:t>a</w:t>
      </w:r>
      <w:r>
        <w:rPr>
          <w:b/>
          <w:bCs/>
          <w:spacing w:val="-1"/>
        </w:rPr>
        <w:t>c</w:t>
      </w:r>
      <w:r>
        <w:rPr>
          <w:b/>
          <w:bCs/>
        </w:rPr>
        <w:t>t for more information: Zechariah Heck</w:t>
      </w:r>
      <w:r w:rsidRPr="04144D8A">
        <w:rPr>
          <w:b/>
          <w:bCs/>
        </w:rPr>
        <w:t xml:space="preserve"> at 971-493-8531 </w:t>
      </w:r>
      <w:r w:rsidRPr="00F90E09">
        <w:rPr>
          <w:b/>
          <w:bCs/>
          <w:color w:val="000000" w:themeColor="text1"/>
        </w:rPr>
        <w:t>or</w:t>
      </w:r>
      <w:r w:rsidRPr="00F90E09">
        <w:rPr>
          <w:rStyle w:val="Hyperlink"/>
          <w:b/>
          <w:bCs/>
          <w:color w:val="000000" w:themeColor="text1"/>
        </w:rPr>
        <w:t xml:space="preserve"> Zechariah.Heck@das.oregon.gov</w:t>
      </w:r>
      <w:r w:rsidRPr="00F90E09">
        <w:rPr>
          <w:b/>
          <w:bCs/>
          <w:color w:val="000000" w:themeColor="text1"/>
        </w:rPr>
        <w:t>.</w:t>
      </w:r>
    </w:p>
    <w:p w14:paraId="5C71B5C0" w14:textId="77777777" w:rsidR="00F80E94" w:rsidRPr="00162951" w:rsidRDefault="00F80E94" w:rsidP="2E12E5CC">
      <w:pPr>
        <w:pStyle w:val="Heading4"/>
      </w:pPr>
      <w:bookmarkStart w:id="52" w:name="_Toc226108621"/>
      <w:r w:rsidRPr="00D855D8">
        <w:t>Rent Program</w:t>
      </w:r>
      <w:bookmarkEnd w:id="52"/>
    </w:p>
    <w:p w14:paraId="11567379" w14:textId="77777777" w:rsidR="00F80E94" w:rsidRPr="001C42F5" w:rsidRDefault="00F80E94" w:rsidP="00F80E94">
      <w:pPr>
        <w:ind w:right="18"/>
        <w:rPr>
          <w:szCs w:val="24"/>
        </w:rPr>
      </w:pPr>
      <w:r w:rsidRPr="001C42F5">
        <w:rPr>
          <w:szCs w:val="24"/>
        </w:rPr>
        <w:t>The Rent Program includes the following sections:</w:t>
      </w:r>
    </w:p>
    <w:p w14:paraId="3C98B1F0" w14:textId="77777777" w:rsidR="00F80E94" w:rsidRPr="00162951" w:rsidRDefault="00F80E94" w:rsidP="2E12E5CC">
      <w:pPr>
        <w:pStyle w:val="Heading5"/>
      </w:pPr>
      <w:r w:rsidRPr="001C42F5">
        <w:t>Trade Services</w:t>
      </w:r>
    </w:p>
    <w:p w14:paraId="48EF1AE1" w14:textId="77777777" w:rsidR="00F80E94" w:rsidRPr="001C42F5" w:rsidRDefault="00F80E94" w:rsidP="00F80E94">
      <w:pPr>
        <w:ind w:right="18"/>
        <w:rPr>
          <w:szCs w:val="24"/>
        </w:rPr>
      </w:pPr>
      <w:r w:rsidRPr="001C42F5">
        <w:rPr>
          <w:szCs w:val="24"/>
        </w:rPr>
        <w:t xml:space="preserve">This section provides custodial and landscape services, building maintenance and repair services including electrical, HVAC and security services to state-owned and operated buildings in Salem, Wilsonville, Portland, Eugene and </w:t>
      </w:r>
      <w:bookmarkEnd w:id="48"/>
      <w:r w:rsidRPr="001C42F5">
        <w:rPr>
          <w:szCs w:val="24"/>
        </w:rPr>
        <w:t>Pendleton.</w:t>
      </w:r>
    </w:p>
    <w:p w14:paraId="7F876C23" w14:textId="4B96DD46" w:rsidR="00280280" w:rsidRPr="001C42F5" w:rsidRDefault="00F80E94" w:rsidP="00F80E94">
      <w:pPr>
        <w:ind w:right="18"/>
        <w:rPr>
          <w:szCs w:val="24"/>
        </w:rPr>
      </w:pPr>
      <w:r w:rsidRPr="001C42F5">
        <w:rPr>
          <w:szCs w:val="24"/>
        </w:rPr>
        <w:t>Trade rates will be a blended average using the following service categories:</w:t>
      </w:r>
    </w:p>
    <w:tbl>
      <w:tblPr>
        <w:tblStyle w:val="TableGrid20"/>
        <w:tblpPr w:leftFromText="180" w:rightFromText="180" w:vertAnchor="text" w:horzAnchor="margin" w:tblpY="104"/>
        <w:tblW w:w="0" w:type="auto"/>
        <w:tblLook w:val="04A0" w:firstRow="1" w:lastRow="0" w:firstColumn="1" w:lastColumn="0" w:noHBand="0" w:noVBand="1"/>
      </w:tblPr>
      <w:tblGrid>
        <w:gridCol w:w="6102"/>
        <w:gridCol w:w="1689"/>
      </w:tblGrid>
      <w:tr w:rsidR="00E34787" w:rsidRPr="00022F80" w14:paraId="458D3AC6" w14:textId="77777777" w:rsidTr="00E34787">
        <w:trPr>
          <w:trHeight w:val="640"/>
        </w:trPr>
        <w:tc>
          <w:tcPr>
            <w:tcW w:w="6102" w:type="dxa"/>
            <w:shd w:val="clear" w:color="auto" w:fill="D9D9D9" w:themeFill="background1" w:themeFillShade="D9"/>
            <w:vAlign w:val="center"/>
          </w:tcPr>
          <w:p w14:paraId="46E74B18" w14:textId="77777777" w:rsidR="00E34787" w:rsidRPr="001C42F5" w:rsidRDefault="00E34787" w:rsidP="00E34787">
            <w:pPr>
              <w:ind w:right="18"/>
              <w:jc w:val="center"/>
              <w:rPr>
                <w:rFonts w:asciiTheme="minorHAnsi" w:hAnsiTheme="minorHAnsi"/>
                <w:b/>
              </w:rPr>
            </w:pPr>
            <w:r w:rsidRPr="001C42F5">
              <w:rPr>
                <w:rFonts w:asciiTheme="minorHAnsi" w:hAnsiTheme="minorHAnsi"/>
                <w:b/>
              </w:rPr>
              <w:t>Trade Rate - Service Category</w:t>
            </w:r>
          </w:p>
        </w:tc>
        <w:tc>
          <w:tcPr>
            <w:tcW w:w="1689" w:type="dxa"/>
            <w:shd w:val="clear" w:color="auto" w:fill="D9D9D9" w:themeFill="background1" w:themeFillShade="D9"/>
            <w:vAlign w:val="bottom"/>
          </w:tcPr>
          <w:p w14:paraId="3238BBE6" w14:textId="77777777" w:rsidR="00E34787" w:rsidRPr="001C42F5" w:rsidRDefault="00E34787" w:rsidP="00E34787">
            <w:pPr>
              <w:ind w:right="18"/>
              <w:jc w:val="center"/>
              <w:rPr>
                <w:rFonts w:asciiTheme="minorHAnsi" w:hAnsiTheme="minorHAnsi"/>
                <w:b/>
                <w:bCs/>
              </w:rPr>
            </w:pPr>
            <w:r w:rsidRPr="001C42F5">
              <w:rPr>
                <w:rFonts w:asciiTheme="minorHAnsi" w:hAnsiTheme="minorHAnsi"/>
                <w:b/>
                <w:bCs/>
              </w:rPr>
              <w:t>2027-29</w:t>
            </w:r>
            <w:r w:rsidRPr="001C42F5">
              <w:rPr>
                <w:rFonts w:asciiTheme="minorHAnsi" w:hAnsiTheme="minorHAnsi"/>
              </w:rPr>
              <w:br/>
            </w:r>
            <w:r w:rsidRPr="001C42F5">
              <w:rPr>
                <w:rFonts w:asciiTheme="minorHAnsi" w:hAnsiTheme="minorHAnsi"/>
                <w:b/>
                <w:bCs/>
              </w:rPr>
              <w:t>Rate | per hour</w:t>
            </w:r>
          </w:p>
        </w:tc>
      </w:tr>
      <w:tr w:rsidR="00E34787" w:rsidRPr="002B71DB" w14:paraId="6421E65D" w14:textId="77777777" w:rsidTr="00E34787">
        <w:trPr>
          <w:trHeight w:val="496"/>
        </w:trPr>
        <w:tc>
          <w:tcPr>
            <w:tcW w:w="6102" w:type="dxa"/>
            <w:vAlign w:val="bottom"/>
          </w:tcPr>
          <w:p w14:paraId="56149E10" w14:textId="77777777" w:rsidR="00E34787" w:rsidRPr="001C42F5" w:rsidRDefault="00E34787" w:rsidP="00E34787">
            <w:pPr>
              <w:ind w:right="18"/>
              <w:rPr>
                <w:rFonts w:asciiTheme="minorHAnsi" w:hAnsiTheme="minorHAnsi"/>
              </w:rPr>
            </w:pPr>
            <w:r w:rsidRPr="001C42F5">
              <w:rPr>
                <w:rFonts w:asciiTheme="minorHAnsi" w:hAnsiTheme="minorHAnsi"/>
              </w:rPr>
              <w:t xml:space="preserve">Administrative Services – </w:t>
            </w:r>
            <w:proofErr w:type="spellStart"/>
            <w:r w:rsidRPr="001C42F5">
              <w:rPr>
                <w:rFonts w:asciiTheme="minorHAnsi" w:hAnsiTheme="minorHAnsi"/>
              </w:rPr>
              <w:t>Tririga</w:t>
            </w:r>
            <w:proofErr w:type="spellEnd"/>
            <w:r w:rsidRPr="001C42F5">
              <w:rPr>
                <w:rFonts w:asciiTheme="minorHAnsi" w:hAnsiTheme="minorHAnsi"/>
              </w:rPr>
              <w:t xml:space="preserve"> Support, Contracts and Procurement Services, Key Card administration</w:t>
            </w:r>
          </w:p>
        </w:tc>
        <w:tc>
          <w:tcPr>
            <w:tcW w:w="1689" w:type="dxa"/>
            <w:vAlign w:val="bottom"/>
          </w:tcPr>
          <w:p w14:paraId="7000A75F" w14:textId="77777777" w:rsidR="00E34787" w:rsidRPr="001C42F5" w:rsidRDefault="00E34787" w:rsidP="00E34787">
            <w:pPr>
              <w:ind w:right="18"/>
              <w:jc w:val="right"/>
              <w:rPr>
                <w:rFonts w:asciiTheme="minorHAnsi" w:hAnsiTheme="minorHAnsi"/>
              </w:rPr>
            </w:pPr>
            <w:r w:rsidRPr="001C42F5">
              <w:rPr>
                <w:rFonts w:asciiTheme="minorHAnsi" w:hAnsiTheme="minorHAnsi"/>
              </w:rPr>
              <w:t>$100.00</w:t>
            </w:r>
          </w:p>
        </w:tc>
      </w:tr>
      <w:tr w:rsidR="00E34787" w:rsidRPr="002B71DB" w14:paraId="0A9B806B" w14:textId="77777777" w:rsidTr="00E34787">
        <w:trPr>
          <w:trHeight w:val="496"/>
        </w:trPr>
        <w:tc>
          <w:tcPr>
            <w:tcW w:w="6102" w:type="dxa"/>
            <w:vAlign w:val="bottom"/>
          </w:tcPr>
          <w:p w14:paraId="038F6B8F" w14:textId="77777777" w:rsidR="00E34787" w:rsidRPr="001C42F5" w:rsidRDefault="00E34787" w:rsidP="00E34787">
            <w:pPr>
              <w:ind w:right="18"/>
              <w:rPr>
                <w:rFonts w:asciiTheme="minorHAnsi" w:hAnsiTheme="minorHAnsi"/>
              </w:rPr>
            </w:pPr>
            <w:r w:rsidRPr="001C42F5">
              <w:rPr>
                <w:rFonts w:asciiTheme="minorHAnsi" w:hAnsiTheme="minorHAnsi"/>
              </w:rPr>
              <w:t>Trades – Labor, Driver and Landscaping</w:t>
            </w:r>
          </w:p>
        </w:tc>
        <w:tc>
          <w:tcPr>
            <w:tcW w:w="1689" w:type="dxa"/>
            <w:vAlign w:val="bottom"/>
          </w:tcPr>
          <w:p w14:paraId="301E0466" w14:textId="77777777" w:rsidR="00E34787" w:rsidRPr="001C42F5" w:rsidRDefault="00E34787" w:rsidP="00E34787">
            <w:pPr>
              <w:ind w:right="18"/>
              <w:jc w:val="right"/>
              <w:rPr>
                <w:rFonts w:asciiTheme="minorHAnsi" w:hAnsiTheme="minorHAnsi"/>
              </w:rPr>
            </w:pPr>
            <w:r w:rsidRPr="001C42F5">
              <w:rPr>
                <w:rFonts w:asciiTheme="minorHAnsi" w:hAnsiTheme="minorHAnsi"/>
              </w:rPr>
              <w:t>$96.00</w:t>
            </w:r>
          </w:p>
        </w:tc>
      </w:tr>
      <w:tr w:rsidR="00E34787" w:rsidRPr="002B71DB" w14:paraId="566B193E" w14:textId="77777777" w:rsidTr="00E34787">
        <w:trPr>
          <w:trHeight w:val="496"/>
        </w:trPr>
        <w:tc>
          <w:tcPr>
            <w:tcW w:w="6102" w:type="dxa"/>
            <w:vAlign w:val="bottom"/>
          </w:tcPr>
          <w:p w14:paraId="0A9A47AA" w14:textId="77777777" w:rsidR="00E34787" w:rsidRPr="001C42F5" w:rsidRDefault="00E34787" w:rsidP="00E34787">
            <w:pPr>
              <w:ind w:right="18"/>
              <w:rPr>
                <w:rFonts w:asciiTheme="minorHAnsi" w:hAnsiTheme="minorHAnsi"/>
              </w:rPr>
            </w:pPr>
            <w:r w:rsidRPr="001C42F5">
              <w:rPr>
                <w:rFonts w:asciiTheme="minorHAnsi" w:hAnsiTheme="minorHAnsi"/>
              </w:rPr>
              <w:t>Trades – Custodial</w:t>
            </w:r>
          </w:p>
        </w:tc>
        <w:tc>
          <w:tcPr>
            <w:tcW w:w="1689" w:type="dxa"/>
            <w:vAlign w:val="bottom"/>
          </w:tcPr>
          <w:p w14:paraId="5BBC0079" w14:textId="77777777" w:rsidR="00E34787" w:rsidRPr="001C42F5" w:rsidRDefault="00E34787" w:rsidP="00E34787">
            <w:pPr>
              <w:ind w:right="18"/>
              <w:jc w:val="right"/>
              <w:rPr>
                <w:rFonts w:asciiTheme="minorHAnsi" w:hAnsiTheme="minorHAnsi"/>
              </w:rPr>
            </w:pPr>
            <w:r w:rsidRPr="001C42F5">
              <w:rPr>
                <w:rFonts w:asciiTheme="minorHAnsi" w:hAnsiTheme="minorHAnsi"/>
              </w:rPr>
              <w:t>$59.00</w:t>
            </w:r>
          </w:p>
        </w:tc>
      </w:tr>
      <w:tr w:rsidR="00E34787" w:rsidRPr="002B71DB" w14:paraId="4446A646" w14:textId="77777777" w:rsidTr="00E34787">
        <w:trPr>
          <w:trHeight w:val="496"/>
        </w:trPr>
        <w:tc>
          <w:tcPr>
            <w:tcW w:w="6102" w:type="dxa"/>
            <w:vAlign w:val="bottom"/>
          </w:tcPr>
          <w:p w14:paraId="65B43FF4" w14:textId="77777777" w:rsidR="00E34787" w:rsidRPr="001C42F5" w:rsidRDefault="00E34787" w:rsidP="00E34787">
            <w:pPr>
              <w:ind w:right="18"/>
              <w:rPr>
                <w:rFonts w:asciiTheme="minorHAnsi" w:hAnsiTheme="minorHAnsi"/>
              </w:rPr>
            </w:pPr>
            <w:r w:rsidRPr="001C42F5">
              <w:rPr>
                <w:rFonts w:asciiTheme="minorHAnsi" w:hAnsiTheme="minorHAnsi"/>
              </w:rPr>
              <w:t>Professional Trades – Service and Repair, Electrical, HVAC, Painting, Plumbing and Building Security</w:t>
            </w:r>
          </w:p>
        </w:tc>
        <w:tc>
          <w:tcPr>
            <w:tcW w:w="1689" w:type="dxa"/>
            <w:vAlign w:val="bottom"/>
          </w:tcPr>
          <w:p w14:paraId="4F066B13" w14:textId="77777777" w:rsidR="00E34787" w:rsidRPr="001C42F5" w:rsidRDefault="00E34787" w:rsidP="00E34787">
            <w:pPr>
              <w:ind w:right="18"/>
              <w:jc w:val="right"/>
              <w:rPr>
                <w:rFonts w:asciiTheme="minorHAnsi" w:hAnsiTheme="minorHAnsi"/>
              </w:rPr>
            </w:pPr>
            <w:r w:rsidRPr="001C42F5">
              <w:rPr>
                <w:rFonts w:asciiTheme="minorHAnsi" w:hAnsiTheme="minorHAnsi"/>
              </w:rPr>
              <w:t>$127.00</w:t>
            </w:r>
          </w:p>
        </w:tc>
      </w:tr>
    </w:tbl>
    <w:p w14:paraId="4476A8DE" w14:textId="77777777" w:rsidR="00753208" w:rsidRDefault="00753208" w:rsidP="00F80E94">
      <w:pPr>
        <w:ind w:right="18"/>
      </w:pPr>
    </w:p>
    <w:p w14:paraId="2E214E05" w14:textId="77777777" w:rsidR="00F80E94" w:rsidRPr="0079454A" w:rsidRDefault="00F80E94" w:rsidP="00F80E94">
      <w:pPr>
        <w:ind w:right="18"/>
      </w:pPr>
    </w:p>
    <w:p w14:paraId="4D7F60A4" w14:textId="77777777" w:rsidR="00E34787" w:rsidRDefault="00E34787" w:rsidP="00F80E94">
      <w:pPr>
        <w:ind w:right="18"/>
        <w:rPr>
          <w:b/>
          <w:bCs/>
        </w:rPr>
      </w:pPr>
    </w:p>
    <w:p w14:paraId="0B9D12D4" w14:textId="77777777" w:rsidR="00E34787" w:rsidRDefault="00E34787" w:rsidP="00F80E94">
      <w:pPr>
        <w:ind w:right="18"/>
        <w:rPr>
          <w:b/>
          <w:bCs/>
        </w:rPr>
      </w:pPr>
    </w:p>
    <w:p w14:paraId="159D99FE" w14:textId="77777777" w:rsidR="00E34787" w:rsidRDefault="00E34787" w:rsidP="00F80E94">
      <w:pPr>
        <w:ind w:right="18"/>
        <w:rPr>
          <w:b/>
          <w:bCs/>
        </w:rPr>
      </w:pPr>
    </w:p>
    <w:p w14:paraId="01975466" w14:textId="77777777" w:rsidR="00E34787" w:rsidRDefault="00E34787" w:rsidP="00F80E94">
      <w:pPr>
        <w:ind w:right="18"/>
        <w:rPr>
          <w:b/>
          <w:bCs/>
        </w:rPr>
      </w:pPr>
    </w:p>
    <w:p w14:paraId="3DDF71BB" w14:textId="77777777" w:rsidR="00E34787" w:rsidRDefault="00E34787" w:rsidP="00F80E94">
      <w:pPr>
        <w:ind w:right="18"/>
        <w:rPr>
          <w:b/>
          <w:bCs/>
        </w:rPr>
      </w:pPr>
    </w:p>
    <w:p w14:paraId="6285FA4F" w14:textId="77777777" w:rsidR="00E34787" w:rsidRDefault="00E34787" w:rsidP="00F80E94">
      <w:pPr>
        <w:ind w:right="18"/>
        <w:rPr>
          <w:b/>
          <w:bCs/>
        </w:rPr>
      </w:pPr>
    </w:p>
    <w:p w14:paraId="4EBAF08E" w14:textId="401AE312" w:rsidR="00F80E94" w:rsidRPr="00A9769C" w:rsidRDefault="00F80E94" w:rsidP="00F80E94">
      <w:pPr>
        <w:ind w:right="18"/>
        <w:rPr>
          <w:b/>
          <w:bCs/>
        </w:rPr>
      </w:pPr>
      <w:r w:rsidRPr="30E0AEE6">
        <w:rPr>
          <w:b/>
          <w:bCs/>
        </w:rPr>
        <w:t>Contact for more information: Travis Stitzel at 503-932-8723 or travis.stitzel@das.oregon.gov</w:t>
      </w:r>
    </w:p>
    <w:p w14:paraId="74AB5026" w14:textId="77777777" w:rsidR="00F80E94" w:rsidRPr="00162951" w:rsidRDefault="00F80E94" w:rsidP="2E12E5CC">
      <w:pPr>
        <w:pStyle w:val="Heading5"/>
      </w:pPr>
      <w:r w:rsidRPr="00347641">
        <w:t>Key Card Services</w:t>
      </w:r>
    </w:p>
    <w:p w14:paraId="6B2EB677" w14:textId="77777777" w:rsidR="00F80E94" w:rsidRPr="00022F80" w:rsidRDefault="00F80E94" w:rsidP="00F80E94">
      <w:pPr>
        <w:ind w:right="18"/>
      </w:pPr>
      <w:r w:rsidRPr="00022F80">
        <w:t>Key Card Services provides a variety of basic physical and electronic security in DAS-owned buildings</w:t>
      </w:r>
      <w:r w:rsidRPr="00022F80" w:rsidDel="00BB7288">
        <w:t xml:space="preserve"> </w:t>
      </w:r>
      <w:r w:rsidRPr="00022F80">
        <w:t xml:space="preserve">and provides Photo ID key cards as an over-the-counter service to tenants in DAS-owned buildings. This program installs, repairs, and replaces key card </w:t>
      </w:r>
      <w:r w:rsidRPr="00022F80">
        <w:lastRenderedPageBreak/>
        <w:t>(electronic access) systems on exterior doors and designated interior doors as the DAS standard for its buildings. This standard ensures consistent, controlled access for DAS-owned buildings.</w:t>
      </w:r>
    </w:p>
    <w:p w14:paraId="7A1AEC63" w14:textId="77777777" w:rsidR="00F80E94" w:rsidRDefault="00F80E94" w:rsidP="00F80E94">
      <w:pPr>
        <w:ind w:right="18"/>
      </w:pPr>
      <w:r>
        <w:t>Key card rates include the direct cost of supplies, equipment and labor used to produce each card.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58"/>
        <w:gridCol w:w="1996"/>
      </w:tblGrid>
      <w:tr w:rsidR="00F80E94" w14:paraId="382D3A99" w14:textId="77777777" w:rsidTr="00306CF3">
        <w:trPr>
          <w:trHeight w:val="525"/>
        </w:trPr>
        <w:tc>
          <w:tcPr>
            <w:tcW w:w="555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5EB873A" w14:textId="77777777" w:rsidR="00F80E94" w:rsidRDefault="00F80E94" w:rsidP="00306CF3">
            <w:pPr>
              <w:spacing w:after="0"/>
              <w:ind w:right="15"/>
              <w:jc w:val="center"/>
              <w:rPr>
                <w:rFonts w:eastAsia="Roboto" w:cs="Roboto"/>
                <w:color w:val="000000" w:themeColor="text1"/>
              </w:rPr>
            </w:pPr>
            <w:r w:rsidRPr="3E7731CC">
              <w:rPr>
                <w:rFonts w:eastAsia="Roboto" w:cs="Roboto"/>
                <w:b/>
                <w:bCs/>
                <w:color w:val="000000" w:themeColor="text1"/>
              </w:rPr>
              <w:t>Description</w:t>
            </w:r>
            <w:r w:rsidRPr="3E7731CC">
              <w:rPr>
                <w:rFonts w:eastAsia="Roboto" w:cs="Roboto"/>
                <w:color w:val="000000" w:themeColor="text1"/>
              </w:rPr>
              <w:t xml:space="preserve"> </w:t>
            </w:r>
          </w:p>
        </w:tc>
        <w:tc>
          <w:tcPr>
            <w:tcW w:w="199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7AFA03F" w14:textId="77777777" w:rsidR="00F80E94" w:rsidRDefault="00F80E94" w:rsidP="00306CF3">
            <w:pPr>
              <w:spacing w:after="0"/>
              <w:ind w:right="15"/>
              <w:jc w:val="center"/>
              <w:rPr>
                <w:rFonts w:eastAsia="Roboto" w:cs="Roboto"/>
                <w:color w:val="000000" w:themeColor="text1"/>
              </w:rPr>
            </w:pPr>
            <w:r w:rsidRPr="2A45BFF1">
              <w:rPr>
                <w:rFonts w:eastAsia="Roboto" w:cs="Roboto"/>
                <w:b/>
                <w:bCs/>
                <w:color w:val="000000" w:themeColor="text1"/>
              </w:rPr>
              <w:t>2027-29</w:t>
            </w:r>
            <w:r w:rsidRPr="2A45BFF1">
              <w:rPr>
                <w:rFonts w:eastAsia="Roboto" w:cs="Roboto"/>
                <w:color w:val="000000" w:themeColor="text1"/>
              </w:rPr>
              <w:t xml:space="preserve"> </w:t>
            </w:r>
          </w:p>
          <w:p w14:paraId="57A38B8B" w14:textId="77777777" w:rsidR="00F80E94" w:rsidRDefault="00F80E94" w:rsidP="00306CF3">
            <w:pPr>
              <w:spacing w:after="0"/>
              <w:ind w:right="15"/>
              <w:jc w:val="center"/>
              <w:rPr>
                <w:rFonts w:eastAsia="Roboto" w:cs="Roboto"/>
                <w:color w:val="000000" w:themeColor="text1"/>
              </w:rPr>
            </w:pPr>
            <w:r w:rsidRPr="3E7731CC">
              <w:rPr>
                <w:rFonts w:eastAsia="Roboto" w:cs="Roboto"/>
                <w:b/>
                <w:bCs/>
                <w:color w:val="000000" w:themeColor="text1"/>
              </w:rPr>
              <w:t>Rate</w:t>
            </w:r>
            <w:r w:rsidRPr="3E7731CC">
              <w:rPr>
                <w:rFonts w:eastAsia="Roboto" w:cs="Roboto"/>
                <w:color w:val="000000" w:themeColor="text1"/>
              </w:rPr>
              <w:t xml:space="preserve"> </w:t>
            </w:r>
          </w:p>
        </w:tc>
      </w:tr>
      <w:tr w:rsidR="00F80E94" w:rsidRPr="002B71DB" w14:paraId="681FC22B" w14:textId="77777777" w:rsidTr="00306CF3">
        <w:trPr>
          <w:trHeight w:val="135"/>
        </w:trPr>
        <w:tc>
          <w:tcPr>
            <w:tcW w:w="5558" w:type="dxa"/>
            <w:tcBorders>
              <w:top w:val="single" w:sz="8" w:space="0" w:color="auto"/>
              <w:left w:val="single" w:sz="8" w:space="0" w:color="auto"/>
              <w:bottom w:val="single" w:sz="8" w:space="0" w:color="auto"/>
              <w:right w:val="single" w:sz="8" w:space="0" w:color="auto"/>
            </w:tcBorders>
            <w:vAlign w:val="bottom"/>
          </w:tcPr>
          <w:p w14:paraId="3A2DD706" w14:textId="77777777" w:rsidR="00F80E94" w:rsidRDefault="00F80E94" w:rsidP="00306CF3">
            <w:pPr>
              <w:spacing w:after="0"/>
              <w:ind w:right="15"/>
              <w:rPr>
                <w:rFonts w:eastAsia="Roboto" w:cs="Roboto"/>
              </w:rPr>
            </w:pPr>
            <w:r w:rsidRPr="3E7731CC">
              <w:rPr>
                <w:rFonts w:eastAsia="Roboto" w:cs="Roboto"/>
              </w:rPr>
              <w:t xml:space="preserve">Photo ID Keycard, Contractor/Visitor (with access) </w:t>
            </w:r>
          </w:p>
        </w:tc>
        <w:tc>
          <w:tcPr>
            <w:tcW w:w="1996" w:type="dxa"/>
            <w:tcBorders>
              <w:top w:val="single" w:sz="8" w:space="0" w:color="auto"/>
              <w:left w:val="single" w:sz="8" w:space="0" w:color="auto"/>
              <w:bottom w:val="single" w:sz="8" w:space="0" w:color="auto"/>
              <w:right w:val="single" w:sz="8" w:space="0" w:color="auto"/>
            </w:tcBorders>
            <w:vAlign w:val="bottom"/>
          </w:tcPr>
          <w:p w14:paraId="0B9EDA0C" w14:textId="77777777" w:rsidR="00F80E94" w:rsidRPr="002B71DB" w:rsidRDefault="00F80E94" w:rsidP="00306CF3">
            <w:pPr>
              <w:spacing w:after="0"/>
              <w:ind w:right="15"/>
              <w:jc w:val="right"/>
              <w:rPr>
                <w:rFonts w:eastAsia="Roboto" w:cs="Roboto"/>
              </w:rPr>
            </w:pPr>
            <w:r w:rsidRPr="002B71DB">
              <w:rPr>
                <w:rFonts w:eastAsia="Roboto" w:cs="Roboto"/>
              </w:rPr>
              <w:t xml:space="preserve"> $24 </w:t>
            </w:r>
          </w:p>
        </w:tc>
      </w:tr>
      <w:tr w:rsidR="00F80E94" w:rsidRPr="002B71DB" w14:paraId="0C1930FD" w14:textId="77777777" w:rsidTr="00306CF3">
        <w:trPr>
          <w:trHeight w:val="135"/>
        </w:trPr>
        <w:tc>
          <w:tcPr>
            <w:tcW w:w="5558" w:type="dxa"/>
            <w:tcBorders>
              <w:top w:val="single" w:sz="8" w:space="0" w:color="auto"/>
              <w:left w:val="single" w:sz="8" w:space="0" w:color="auto"/>
              <w:bottom w:val="single" w:sz="8" w:space="0" w:color="auto"/>
              <w:right w:val="single" w:sz="8" w:space="0" w:color="auto"/>
            </w:tcBorders>
            <w:vAlign w:val="bottom"/>
          </w:tcPr>
          <w:p w14:paraId="2568D439" w14:textId="77777777" w:rsidR="00F80E94" w:rsidRDefault="00F80E94" w:rsidP="00306CF3">
            <w:pPr>
              <w:spacing w:after="0"/>
              <w:ind w:right="15"/>
              <w:rPr>
                <w:rFonts w:eastAsia="Roboto" w:cs="Roboto"/>
              </w:rPr>
            </w:pPr>
            <w:r w:rsidRPr="3E7731CC">
              <w:rPr>
                <w:rFonts w:eastAsia="Roboto" w:cs="Roboto"/>
              </w:rPr>
              <w:t xml:space="preserve">Photo ID Only, Contractor/Visitor (no access), Proxy Card </w:t>
            </w:r>
          </w:p>
        </w:tc>
        <w:tc>
          <w:tcPr>
            <w:tcW w:w="1996" w:type="dxa"/>
            <w:tcBorders>
              <w:top w:val="single" w:sz="8" w:space="0" w:color="auto"/>
              <w:left w:val="single" w:sz="8" w:space="0" w:color="auto"/>
              <w:bottom w:val="single" w:sz="8" w:space="0" w:color="auto"/>
              <w:right w:val="single" w:sz="8" w:space="0" w:color="auto"/>
            </w:tcBorders>
            <w:vAlign w:val="bottom"/>
          </w:tcPr>
          <w:p w14:paraId="41A25810" w14:textId="77777777" w:rsidR="00F80E94" w:rsidRPr="002B71DB" w:rsidRDefault="00F80E94" w:rsidP="00306CF3">
            <w:pPr>
              <w:spacing w:after="0"/>
              <w:ind w:right="15"/>
              <w:jc w:val="right"/>
              <w:rPr>
                <w:rFonts w:eastAsia="Roboto" w:cs="Roboto"/>
              </w:rPr>
            </w:pPr>
            <w:r w:rsidRPr="002B71DB">
              <w:rPr>
                <w:rFonts w:eastAsia="Roboto" w:cs="Roboto"/>
              </w:rPr>
              <w:t xml:space="preserve"> $18  </w:t>
            </w:r>
          </w:p>
        </w:tc>
      </w:tr>
    </w:tbl>
    <w:p w14:paraId="3D78FEDA" w14:textId="77777777" w:rsidR="00F80E94" w:rsidRDefault="00F80E94" w:rsidP="00F80E94">
      <w:pPr>
        <w:spacing w:after="0"/>
        <w:ind w:right="18"/>
      </w:pPr>
    </w:p>
    <w:p w14:paraId="65D5B9B9" w14:textId="77777777" w:rsidR="00F80E94" w:rsidRPr="006832E3" w:rsidRDefault="00F80E94" w:rsidP="00F80E94">
      <w:pPr>
        <w:ind w:right="18"/>
      </w:pPr>
      <w:r w:rsidRPr="006832E3">
        <w:t xml:space="preserve">Building Security Technician services will install additional key card readers and other security equipment requested by a tenant agency to enhance safety and security. The costs of installation, maintenance, repair and replacement </w:t>
      </w:r>
      <w:proofErr w:type="gramStart"/>
      <w:r w:rsidRPr="006832E3">
        <w:t>is</w:t>
      </w:r>
      <w:proofErr w:type="gramEnd"/>
      <w:r w:rsidRPr="006832E3">
        <w:t xml:space="preserve"> the responsibility of the </w:t>
      </w:r>
      <w:proofErr w:type="gramStart"/>
      <w:r w:rsidRPr="006832E3">
        <w:t>requesting</w:t>
      </w:r>
      <w:proofErr w:type="gramEnd"/>
      <w:r w:rsidRPr="006832E3">
        <w:t xml:space="preserve"> agency. </w:t>
      </w:r>
      <w:r>
        <w:t>For hourly rate, reference above Trade Rate – Service Category – Professional Trades.</w:t>
      </w:r>
      <w:r w:rsidRPr="006832E3">
        <w:t xml:space="preserve"> </w:t>
      </w:r>
    </w:p>
    <w:p w14:paraId="48C40F32" w14:textId="09BB41A0" w:rsidR="00F80E94" w:rsidRPr="00DD6CD7" w:rsidRDefault="00F80E94" w:rsidP="00F80E94">
      <w:pPr>
        <w:ind w:right="18"/>
        <w:rPr>
          <w:b/>
          <w:bCs/>
        </w:rPr>
      </w:pPr>
      <w:r w:rsidRPr="00DD6CD7">
        <w:rPr>
          <w:b/>
          <w:bCs/>
        </w:rPr>
        <w:t>Con</w:t>
      </w:r>
      <w:r w:rsidRPr="00DD6CD7">
        <w:rPr>
          <w:b/>
          <w:bCs/>
          <w:spacing w:val="-1"/>
        </w:rPr>
        <w:t>t</w:t>
      </w:r>
      <w:r w:rsidRPr="00DD6CD7">
        <w:rPr>
          <w:b/>
          <w:bCs/>
        </w:rPr>
        <w:t>a</w:t>
      </w:r>
      <w:r w:rsidRPr="00DD6CD7">
        <w:rPr>
          <w:b/>
          <w:bCs/>
          <w:spacing w:val="-1"/>
        </w:rPr>
        <w:t>c</w:t>
      </w:r>
      <w:r w:rsidRPr="00DD6CD7">
        <w:rPr>
          <w:b/>
          <w:bCs/>
        </w:rPr>
        <w:t xml:space="preserve">t for more information: </w:t>
      </w:r>
      <w:r w:rsidRPr="30E0AEE6">
        <w:rPr>
          <w:b/>
          <w:bCs/>
        </w:rPr>
        <w:t xml:space="preserve"> Heath Swartwout at 503-373-7031 or</w:t>
      </w:r>
      <w:r w:rsidR="00753208">
        <w:rPr>
          <w:b/>
          <w:bCs/>
        </w:rPr>
        <w:t xml:space="preserve"> </w:t>
      </w:r>
      <w:hyperlink r:id="rId26" w:history="1">
        <w:r w:rsidR="00753208" w:rsidRPr="00FC1B0F">
          <w:rPr>
            <w:rStyle w:val="Hyperlink"/>
            <w:b/>
            <w:bCs/>
            <w:color w:val="auto"/>
          </w:rPr>
          <w:t>heath.swartwout@das.oregon.gov</w:t>
        </w:r>
      </w:hyperlink>
      <w:r w:rsidRPr="30E0AEE6">
        <w:rPr>
          <w:b/>
          <w:bCs/>
        </w:rPr>
        <w:t>.</w:t>
      </w:r>
    </w:p>
    <w:p w14:paraId="2487DBF0" w14:textId="77777777" w:rsidR="00F80E94" w:rsidRPr="00162951" w:rsidRDefault="00F80E94" w:rsidP="2E12E5CC">
      <w:pPr>
        <w:pStyle w:val="Heading5"/>
      </w:pPr>
      <w:r w:rsidRPr="00362E92">
        <w:t>Building Space – Uniform Rent Rate</w:t>
      </w:r>
    </w:p>
    <w:p w14:paraId="0B0D59D0" w14:textId="4A325B80" w:rsidR="00F80E94" w:rsidRDefault="00F80E94" w:rsidP="00A3445E">
      <w:pPr>
        <w:ind w:right="18"/>
      </w:pPr>
      <w:r w:rsidRPr="00022F80">
        <w:t>Uniform Rent recovers all building costs in DAS’ Uniform Rent office buildings</w:t>
      </w:r>
      <w:r w:rsidR="008D1119">
        <w:t xml:space="preserve">. Uniform Rent </w:t>
      </w:r>
      <w:r w:rsidRPr="00022F80">
        <w:t>includes</w:t>
      </w:r>
      <w:r w:rsidR="00A3445E">
        <w:t xml:space="preserve"> </w:t>
      </w:r>
      <w:r w:rsidRPr="00022F80">
        <w:t xml:space="preserve">building maintenance, custodial services, depreciation, and deferred maintenance (to pay for construction and improvement), normal utilities, debt service, building security, recycling, landscaping and administrative overhead. </w:t>
      </w:r>
    </w:p>
    <w:p w14:paraId="1A3B28F4" w14:textId="77777777" w:rsidR="00F80E94" w:rsidRDefault="00F80E94" w:rsidP="00F80E94">
      <w:pPr>
        <w:ind w:right="18"/>
      </w:pPr>
      <w:r>
        <w:t xml:space="preserve">Square footage per building per agency is based on occupancy at time of rate development and is subject to change.  </w:t>
      </w:r>
    </w:p>
    <w:p w14:paraId="6A9EC871" w14:textId="77777777" w:rsidR="00F80E94" w:rsidRDefault="00F80E94" w:rsidP="00F80E94">
      <w:pPr>
        <w:ind w:right="18"/>
      </w:pPr>
      <w:bookmarkStart w:id="53" w:name="_Hlk96953708"/>
      <w:r>
        <w:t>Agencies should refer to the currently leased Office Square Footage and Storage Square Footage set forth in Section 1.2 of the Agency’s Uniform Rent Lease with DAS. Agency’s rent is calculated as follows:</w:t>
      </w:r>
    </w:p>
    <w:p w14:paraId="687C92E8" w14:textId="26750C2B" w:rsidR="00F80E94" w:rsidRPr="002B71DB" w:rsidRDefault="00F80E94" w:rsidP="00F25900">
      <w:pPr>
        <w:pStyle w:val="ListParagraph"/>
        <w:numPr>
          <w:ilvl w:val="0"/>
          <w:numId w:val="30"/>
        </w:numPr>
        <w:ind w:right="18"/>
      </w:pPr>
      <w:r>
        <w:t xml:space="preserve">Office Square Footage* </w:t>
      </w:r>
      <w:r w:rsidRPr="002B71DB">
        <w:t>x $2.50 = Monthly Office Rent</w:t>
      </w:r>
    </w:p>
    <w:p w14:paraId="0E1CB1CA" w14:textId="77777777" w:rsidR="00F80E94" w:rsidRPr="00F90E09" w:rsidRDefault="00F80E94" w:rsidP="00F25900">
      <w:pPr>
        <w:pStyle w:val="ListParagraph"/>
        <w:numPr>
          <w:ilvl w:val="0"/>
          <w:numId w:val="30"/>
        </w:numPr>
        <w:ind w:right="18"/>
      </w:pPr>
      <w:r w:rsidRPr="002B71DB">
        <w:t>Storage Square Footage x $1.21 = Monthly Storage Rent</w:t>
      </w:r>
      <w:bookmarkEnd w:id="53"/>
    </w:p>
    <w:p w14:paraId="2A66C081" w14:textId="05D233EC" w:rsidR="001C3894" w:rsidRDefault="00F80E94" w:rsidP="00F80E94">
      <w:pPr>
        <w:ind w:right="18"/>
        <w:rPr>
          <w:rFonts w:eastAsia="Times New Roman"/>
          <w:color w:val="000000"/>
        </w:rPr>
      </w:pPr>
      <w:r w:rsidRPr="006C21FD">
        <w:rPr>
          <w:rFonts w:eastAsia="Times New Roman"/>
          <w:color w:val="000000"/>
        </w:rPr>
        <w:t>*Office Square Footage is calculated by multiplying the usable office square footage by the Building Load Factor</w:t>
      </w:r>
      <w:r w:rsidR="006C21FD">
        <w:rPr>
          <w:rFonts w:eastAsia="Times New Roman"/>
          <w:color w:val="000000"/>
        </w:rPr>
        <w:t>,</w:t>
      </w:r>
      <w:r w:rsidRPr="006C21FD">
        <w:rPr>
          <w:rFonts w:eastAsia="Times New Roman"/>
          <w:color w:val="000000"/>
        </w:rPr>
        <w:t xml:space="preserve"> (as set forth in the Agency’s Uniform Rent Lease with DAS).  </w:t>
      </w:r>
    </w:p>
    <w:p w14:paraId="6EA22BB0" w14:textId="77777777" w:rsidR="00C75CDD" w:rsidRDefault="00C75CDD" w:rsidP="00F80E94">
      <w:pPr>
        <w:ind w:right="18"/>
        <w:rPr>
          <w:rFonts w:eastAsia="Times New Roman"/>
          <w:color w:val="000000"/>
        </w:rPr>
      </w:pPr>
    </w:p>
    <w:p w14:paraId="7CFD9676" w14:textId="77777777" w:rsidR="00C75CDD" w:rsidRPr="00C75CDD" w:rsidRDefault="00C75CDD" w:rsidP="00F80E94">
      <w:pPr>
        <w:ind w:right="18"/>
        <w:rPr>
          <w:rFonts w:eastAsia="Times New Roman"/>
          <w:color w:val="000000"/>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440"/>
        <w:gridCol w:w="1530"/>
      </w:tblGrid>
      <w:tr w:rsidR="00F80E94" w:rsidRPr="00022F80" w14:paraId="2F162684" w14:textId="77777777" w:rsidTr="00306CF3">
        <w:trPr>
          <w:trHeight w:val="323"/>
        </w:trPr>
        <w:tc>
          <w:tcPr>
            <w:tcW w:w="68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FCC1C" w14:textId="77777777" w:rsidR="00F80E94" w:rsidRPr="00E45325" w:rsidRDefault="00F80E94" w:rsidP="00306CF3">
            <w:pPr>
              <w:spacing w:after="0" w:line="240" w:lineRule="auto"/>
              <w:ind w:right="18"/>
              <w:jc w:val="center"/>
              <w:rPr>
                <w:b/>
              </w:rPr>
            </w:pPr>
            <w:r w:rsidRPr="00E45325">
              <w:rPr>
                <w:b/>
              </w:rPr>
              <w:t>Monthly Uniform Rent Rate</w:t>
            </w:r>
          </w:p>
        </w:tc>
      </w:tr>
      <w:tr w:rsidR="00F80E94" w:rsidRPr="00022F80" w14:paraId="4704F76A" w14:textId="77777777" w:rsidTr="00306C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6"/>
        </w:trPr>
        <w:tc>
          <w:tcPr>
            <w:tcW w:w="3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7FD04F58" w14:textId="77777777" w:rsidR="00F80E94" w:rsidRPr="00022F80" w:rsidRDefault="00F80E94" w:rsidP="00306CF3">
            <w:pPr>
              <w:spacing w:after="0" w:line="240" w:lineRule="auto"/>
              <w:ind w:right="18"/>
              <w:rPr>
                <w:rFonts w:eastAsia="Calibri"/>
                <w:color w:val="000000"/>
              </w:rPr>
            </w:pPr>
            <w:r w:rsidRPr="00022F80">
              <w:rPr>
                <w:rFonts w:eastAsia="Calibri"/>
                <w:color w:val="000000"/>
              </w:rPr>
              <w:lastRenderedPageBreak/>
              <w:t> </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580E86A" w14:textId="77777777" w:rsidR="00F80E94" w:rsidRPr="00E45325" w:rsidRDefault="00F80E94" w:rsidP="00306CF3">
            <w:pPr>
              <w:spacing w:after="0" w:line="240" w:lineRule="auto"/>
              <w:ind w:right="18"/>
              <w:jc w:val="center"/>
              <w:rPr>
                <w:rFonts w:eastAsia="Calibri"/>
                <w:b/>
                <w:bCs/>
                <w:color w:val="000000"/>
              </w:rPr>
            </w:pPr>
            <w:r w:rsidRPr="2A45BFF1">
              <w:rPr>
                <w:rFonts w:eastAsia="Calibri"/>
                <w:b/>
                <w:bCs/>
                <w:color w:val="000000"/>
              </w:rPr>
              <w:t>2025-27</w:t>
            </w:r>
          </w:p>
          <w:p w14:paraId="6D6117AD" w14:textId="77777777" w:rsidR="00F80E94" w:rsidRPr="00E45325" w:rsidRDefault="00F80E94" w:rsidP="00306CF3">
            <w:pPr>
              <w:spacing w:after="0" w:line="240" w:lineRule="auto"/>
              <w:ind w:right="18"/>
              <w:jc w:val="center"/>
              <w:rPr>
                <w:rFonts w:eastAsia="Calibri"/>
                <w:b/>
                <w:color w:val="000000"/>
              </w:rPr>
            </w:pPr>
            <w:r w:rsidRPr="00E45325">
              <w:rPr>
                <w:rFonts w:eastAsia="Calibri"/>
                <w:b/>
                <w:color w:val="000000"/>
              </w:rPr>
              <w:t>Rate</w:t>
            </w:r>
          </w:p>
        </w:tc>
        <w:tc>
          <w:tcPr>
            <w:tcW w:w="153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0D63AB7" w14:textId="77777777" w:rsidR="00F80E94" w:rsidRPr="00E45325" w:rsidRDefault="00F80E94" w:rsidP="00306CF3">
            <w:pPr>
              <w:spacing w:after="0" w:line="240" w:lineRule="auto"/>
              <w:ind w:right="18"/>
              <w:jc w:val="center"/>
              <w:rPr>
                <w:rFonts w:eastAsia="Calibri"/>
                <w:b/>
                <w:bCs/>
                <w:color w:val="000000"/>
              </w:rPr>
            </w:pPr>
            <w:r w:rsidRPr="2A45BFF1">
              <w:rPr>
                <w:rFonts w:eastAsia="Calibri"/>
                <w:b/>
                <w:bCs/>
                <w:color w:val="000000"/>
              </w:rPr>
              <w:t>2027-29</w:t>
            </w:r>
          </w:p>
          <w:p w14:paraId="7597437D" w14:textId="77777777" w:rsidR="00F80E94" w:rsidRPr="00E45325" w:rsidRDefault="00F80E94" w:rsidP="00306CF3">
            <w:pPr>
              <w:spacing w:after="0" w:line="240" w:lineRule="auto"/>
              <w:ind w:right="18"/>
              <w:jc w:val="center"/>
              <w:rPr>
                <w:rFonts w:eastAsia="Calibri"/>
                <w:b/>
                <w:color w:val="000000"/>
              </w:rPr>
            </w:pPr>
            <w:r w:rsidRPr="00E45325">
              <w:rPr>
                <w:rFonts w:eastAsia="Calibri"/>
                <w:b/>
                <w:color w:val="000000"/>
              </w:rPr>
              <w:t>Rate</w:t>
            </w:r>
          </w:p>
        </w:tc>
      </w:tr>
      <w:tr w:rsidR="00F80E94" w:rsidRPr="002B71DB" w14:paraId="1A044901" w14:textId="77777777" w:rsidTr="00306C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6"/>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9471A7" w14:textId="77777777" w:rsidR="00F80E94" w:rsidRPr="00022F80" w:rsidRDefault="00F80E94" w:rsidP="00306CF3">
            <w:pPr>
              <w:spacing w:after="0" w:line="240" w:lineRule="auto"/>
              <w:ind w:right="18"/>
              <w:rPr>
                <w:rFonts w:eastAsia="Calibri"/>
                <w:color w:val="000000"/>
              </w:rPr>
            </w:pPr>
            <w:r w:rsidRPr="00022F80">
              <w:rPr>
                <w:rFonts w:eastAsia="Calibri"/>
                <w:color w:val="000000"/>
              </w:rPr>
              <w:t>Basic (per sq. ft.)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D8ECD5" w14:textId="77777777" w:rsidR="00F80E94" w:rsidRPr="00022F80" w:rsidRDefault="00F80E94" w:rsidP="00306CF3">
            <w:pPr>
              <w:spacing w:after="0" w:line="240" w:lineRule="auto"/>
              <w:ind w:right="18"/>
              <w:jc w:val="right"/>
              <w:rPr>
                <w:rFonts w:eastAsia="Calibri"/>
                <w:color w:val="000000"/>
              </w:rPr>
            </w:pPr>
            <w:r w:rsidRPr="00022F80">
              <w:rPr>
                <w:rFonts w:eastAsia="Calibri"/>
                <w:color w:val="000000"/>
              </w:rPr>
              <w:t>$</w:t>
            </w:r>
            <w:r>
              <w:rPr>
                <w:rFonts w:eastAsia="Calibri"/>
                <w:color w:val="000000"/>
              </w:rPr>
              <w:t>2.39</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028710" w14:textId="77777777" w:rsidR="00F80E94" w:rsidRPr="002B71DB" w:rsidRDefault="00F80E94" w:rsidP="00306CF3">
            <w:pPr>
              <w:spacing w:after="0" w:line="240" w:lineRule="auto"/>
              <w:ind w:right="18"/>
              <w:jc w:val="right"/>
              <w:rPr>
                <w:rFonts w:eastAsia="Calibri"/>
                <w:color w:val="000000"/>
              </w:rPr>
            </w:pPr>
            <w:r w:rsidRPr="002B71DB">
              <w:rPr>
                <w:rFonts w:eastAsia="Calibri"/>
                <w:color w:val="000000"/>
              </w:rPr>
              <w:t>$2.50</w:t>
            </w:r>
          </w:p>
        </w:tc>
      </w:tr>
      <w:tr w:rsidR="00F80E94" w:rsidRPr="002B71DB" w14:paraId="566BEFEB" w14:textId="77777777" w:rsidTr="00306C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6"/>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717D30" w14:textId="77777777" w:rsidR="00F80E94" w:rsidRPr="00022F80" w:rsidRDefault="00F80E94" w:rsidP="00306CF3">
            <w:pPr>
              <w:spacing w:after="0" w:line="240" w:lineRule="auto"/>
              <w:ind w:right="18"/>
              <w:rPr>
                <w:rFonts w:eastAsia="Calibri"/>
                <w:color w:val="000000"/>
              </w:rPr>
            </w:pPr>
            <w:r w:rsidRPr="00022F80">
              <w:rPr>
                <w:rFonts w:eastAsia="Calibri"/>
                <w:color w:val="000000"/>
              </w:rPr>
              <w:t>Storage (per sq. ft.)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DC5B66" w14:textId="77777777" w:rsidR="00F80E94" w:rsidRPr="00022F80" w:rsidRDefault="00F80E94" w:rsidP="00306CF3">
            <w:pPr>
              <w:spacing w:after="0" w:line="240" w:lineRule="auto"/>
              <w:ind w:right="18"/>
              <w:jc w:val="right"/>
              <w:rPr>
                <w:rFonts w:eastAsia="Calibri"/>
                <w:color w:val="000000"/>
              </w:rPr>
            </w:pPr>
            <w:r w:rsidRPr="00022F80">
              <w:rPr>
                <w:rFonts w:eastAsia="Calibri"/>
                <w:color w:val="000000"/>
              </w:rPr>
              <w:t>$</w:t>
            </w:r>
            <w:r>
              <w:rPr>
                <w:rFonts w:eastAsia="Calibri"/>
                <w:color w:val="000000"/>
              </w:rPr>
              <w:t>1.09</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AB4467" w14:textId="77777777" w:rsidR="00F80E94" w:rsidRPr="002B71DB" w:rsidRDefault="00F80E94" w:rsidP="00306CF3">
            <w:pPr>
              <w:spacing w:after="0" w:line="240" w:lineRule="auto"/>
              <w:ind w:right="18"/>
              <w:jc w:val="right"/>
              <w:rPr>
                <w:rFonts w:eastAsia="Calibri"/>
                <w:color w:val="000000"/>
              </w:rPr>
            </w:pPr>
            <w:r w:rsidRPr="002B71DB">
              <w:rPr>
                <w:rFonts w:eastAsia="Calibri"/>
                <w:color w:val="000000"/>
              </w:rPr>
              <w:t>$1.21</w:t>
            </w:r>
          </w:p>
        </w:tc>
      </w:tr>
    </w:tbl>
    <w:p w14:paraId="0B0F917F" w14:textId="77777777" w:rsidR="00A3445E" w:rsidRDefault="00A3445E" w:rsidP="00F80E94">
      <w:pPr>
        <w:rPr>
          <w:b/>
          <w:bCs/>
        </w:rPr>
      </w:pPr>
    </w:p>
    <w:p w14:paraId="05DFF5AC" w14:textId="08ED1A1D" w:rsidR="00F80E94" w:rsidRDefault="00F80E94" w:rsidP="00F80E94">
      <w:pPr>
        <w:rPr>
          <w:b/>
          <w:bCs/>
        </w:rPr>
      </w:pPr>
      <w:r>
        <w:rPr>
          <w:b/>
          <w:bCs/>
        </w:rPr>
        <w:t>Con</w:t>
      </w:r>
      <w:r>
        <w:rPr>
          <w:b/>
          <w:bCs/>
          <w:spacing w:val="-1"/>
        </w:rPr>
        <w:t>t</w:t>
      </w:r>
      <w:r>
        <w:rPr>
          <w:b/>
          <w:bCs/>
        </w:rPr>
        <w:t>a</w:t>
      </w:r>
      <w:r>
        <w:rPr>
          <w:b/>
          <w:bCs/>
          <w:spacing w:val="-1"/>
        </w:rPr>
        <w:t>c</w:t>
      </w:r>
      <w:r>
        <w:rPr>
          <w:b/>
          <w:bCs/>
        </w:rPr>
        <w:t xml:space="preserve">t for more information: </w:t>
      </w:r>
      <w:hyperlink r:id="rId27" w:history="1">
        <w:r w:rsidRPr="00F90E09">
          <w:rPr>
            <w:rStyle w:val="Hyperlink"/>
            <w:b/>
            <w:bCs/>
            <w:color w:val="000000" w:themeColor="text1"/>
          </w:rPr>
          <w:t>res.info@das.oregon.gov</w:t>
        </w:r>
      </w:hyperlink>
      <w:r w:rsidRPr="00F90E09">
        <w:rPr>
          <w:b/>
          <w:bCs/>
          <w:color w:val="000000" w:themeColor="text1"/>
        </w:rPr>
        <w:t>.</w:t>
      </w:r>
    </w:p>
    <w:p w14:paraId="7BE07F27" w14:textId="67EF13CD" w:rsidR="00F80E94" w:rsidRPr="00A3445E" w:rsidRDefault="00F80E94" w:rsidP="2E12E5CC">
      <w:pPr>
        <w:pStyle w:val="Heading5"/>
      </w:pPr>
      <w:r w:rsidRPr="00F84662">
        <w:t>Service Agreements and Self Support Rent Rates</w:t>
      </w:r>
    </w:p>
    <w:p w14:paraId="6E7AF9CB" w14:textId="77777777" w:rsidR="00F80E94" w:rsidRPr="00022F80" w:rsidRDefault="00F80E94" w:rsidP="00F80E94">
      <w:pPr>
        <w:ind w:right="18"/>
      </w:pPr>
      <w:r w:rsidRPr="00022F80">
        <w:t>EAM provides services by interagency agreement to state agencies in the buildings listed below.</w:t>
      </w:r>
    </w:p>
    <w:p w14:paraId="7ECDE00C" w14:textId="77777777" w:rsidR="00F80E94" w:rsidRDefault="00F80E94" w:rsidP="00F80E94">
      <w:pPr>
        <w:ind w:right="18"/>
      </w:pPr>
      <w:r>
        <w:t xml:space="preserve">The charges for these services reflect the actual cost of providing each service. The following table lists estimated costs developed using the historical costs of maintaining and operating these buildings at current service levels. To keep the monthly rent costs down, service requests provided by Trade Services </w:t>
      </w:r>
      <w:proofErr w:type="gramStart"/>
      <w:r>
        <w:t>is</w:t>
      </w:r>
      <w:proofErr w:type="gramEnd"/>
      <w:r>
        <w:t xml:space="preserve"> billed directly to </w:t>
      </w:r>
      <w:proofErr w:type="gramStart"/>
      <w:r w:rsidRPr="002B71DB">
        <w:t>tenant</w:t>
      </w:r>
      <w:proofErr w:type="gramEnd"/>
      <w:r w:rsidRPr="002B71DB">
        <w:t>. For hourly rate, reference above Trade Rate – Service Category.</w:t>
      </w:r>
    </w:p>
    <w:p w14:paraId="3B191D94" w14:textId="77777777" w:rsidR="00F80E94" w:rsidRDefault="00F80E94" w:rsidP="00F80E94">
      <w:pPr>
        <w:ind w:right="18"/>
      </w:pPr>
      <w:r w:rsidRPr="002B71DB">
        <w:rPr>
          <w:noProof/>
        </w:rPr>
        <w:lastRenderedPageBreak/>
        <w:drawing>
          <wp:inline distT="0" distB="0" distL="0" distR="0" wp14:anchorId="2FCE7AA8" wp14:editId="26A19B04">
            <wp:extent cx="5859145" cy="5434330"/>
            <wp:effectExtent l="0" t="0" r="8255" b="0"/>
            <wp:docPr id="1642170699" name="Picture 1" descr="Service agreement and self support rates for 2027-2029 state agencies buildings listed below.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70699" name="Picture 1" descr="Service agreement and self support rates for 2027-2029 state agencies buildings listed below. ">
                      <a:extLst>
                        <a:ext uri="{C183D7F6-B498-43B3-948B-1728B52AA6E4}">
                          <adec:decorative xmlns:adec="http://schemas.microsoft.com/office/drawing/2017/decorative" val="0"/>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9145" cy="5434330"/>
                    </a:xfrm>
                    <a:prstGeom prst="rect">
                      <a:avLst/>
                    </a:prstGeom>
                    <a:noFill/>
                    <a:ln>
                      <a:noFill/>
                    </a:ln>
                  </pic:spPr>
                </pic:pic>
              </a:graphicData>
            </a:graphic>
          </wp:inline>
        </w:drawing>
      </w:r>
    </w:p>
    <w:p w14:paraId="555EF4D4" w14:textId="3DFCFB7B" w:rsidR="00064C6B" w:rsidRPr="00064C6B" w:rsidRDefault="00F80E94" w:rsidP="00F80E94">
      <w:pPr>
        <w:ind w:right="18"/>
        <w:rPr>
          <w:szCs w:val="24"/>
        </w:rPr>
      </w:pPr>
      <w:r w:rsidRPr="00064C6B">
        <w:rPr>
          <w:b/>
          <w:bCs/>
          <w:szCs w:val="24"/>
        </w:rPr>
        <w:t>Con</w:t>
      </w:r>
      <w:r w:rsidRPr="00064C6B">
        <w:rPr>
          <w:b/>
          <w:bCs/>
          <w:spacing w:val="-1"/>
          <w:szCs w:val="24"/>
        </w:rPr>
        <w:t>t</w:t>
      </w:r>
      <w:r w:rsidRPr="00064C6B">
        <w:rPr>
          <w:b/>
          <w:bCs/>
          <w:szCs w:val="24"/>
        </w:rPr>
        <w:t>a</w:t>
      </w:r>
      <w:r w:rsidRPr="00064C6B">
        <w:rPr>
          <w:b/>
          <w:bCs/>
          <w:spacing w:val="-1"/>
          <w:szCs w:val="24"/>
        </w:rPr>
        <w:t>c</w:t>
      </w:r>
      <w:r w:rsidRPr="00064C6B">
        <w:rPr>
          <w:b/>
          <w:bCs/>
          <w:szCs w:val="24"/>
        </w:rPr>
        <w:t>t for more information:</w:t>
      </w:r>
      <w:r w:rsidRPr="00064C6B">
        <w:rPr>
          <w:b/>
          <w:bCs/>
          <w:color w:val="000000" w:themeColor="text1"/>
          <w:szCs w:val="24"/>
        </w:rPr>
        <w:t xml:space="preserve"> </w:t>
      </w:r>
      <w:hyperlink r:id="rId29" w:history="1">
        <w:r w:rsidRPr="00064C6B">
          <w:rPr>
            <w:rStyle w:val="Hyperlink"/>
            <w:rFonts w:ascii="Aptos" w:eastAsia="Aptos" w:hAnsi="Aptos" w:cs="Aptos"/>
            <w:b/>
            <w:bCs/>
            <w:color w:val="000000" w:themeColor="text1"/>
            <w:szCs w:val="24"/>
          </w:rPr>
          <w:t>res.info@das.oregon.gov</w:t>
        </w:r>
      </w:hyperlink>
    </w:p>
    <w:p w14:paraId="3AEEFFAD" w14:textId="77777777" w:rsidR="00F80E94" w:rsidRPr="00A3445E" w:rsidRDefault="00F80E94" w:rsidP="2E12E5CC">
      <w:pPr>
        <w:pStyle w:val="Heading5"/>
      </w:pPr>
      <w:r w:rsidRPr="00F32A8C">
        <w:t>Planning and Construction Management</w:t>
      </w:r>
    </w:p>
    <w:p w14:paraId="7DD35BBF" w14:textId="77777777" w:rsidR="00F80E94" w:rsidRPr="006832E3" w:rsidRDefault="00F80E94" w:rsidP="00F80E94">
      <w:pPr>
        <w:ind w:right="18"/>
      </w:pPr>
      <w:r>
        <w:t>Planning and Construction Management (PCM) manages capital construction, capital improvement projects, and interior design and installation for DAS facilities as well as for other agency facilities. New construction, major renovations, or improvements to building structures and systems are part of DAS’ budget requests for capital improvement and capital construction. PCM project managers direct the construction of new facilities and remodeling of existing sites, and as needed, assist agencies in obtaining project management services through outside consultants. This mix of in-house and qualified private-sector contracts yields the best results for customers.</w:t>
      </w:r>
    </w:p>
    <w:p w14:paraId="3073AEAA" w14:textId="77777777" w:rsidR="00F80E94" w:rsidRPr="006832E3" w:rsidRDefault="00F80E94" w:rsidP="00F80E94">
      <w:pPr>
        <w:ind w:right="18"/>
      </w:pPr>
      <w:r>
        <w:t xml:space="preserve">PCM project managers ensure the design and construction of each project meets the quality requirements set by the state and tenant agencies, along with code requirements. </w:t>
      </w:r>
      <w:r>
        <w:lastRenderedPageBreak/>
        <w:t xml:space="preserve">PCM regularly compares its costs and performance against private and public sector benchmarks to </w:t>
      </w:r>
      <w:proofErr w:type="gramStart"/>
      <w:r>
        <w:t>assure</w:t>
      </w:r>
      <w:proofErr w:type="gramEnd"/>
      <w:r>
        <w:t xml:space="preserve"> the highest quality service. The EAM division also manages projects for other agencies at cost, as staff </w:t>
      </w:r>
      <w:proofErr w:type="gramStart"/>
      <w:r>
        <w:t>is</w:t>
      </w:r>
      <w:proofErr w:type="gramEnd"/>
      <w:r>
        <w:t xml:space="preserve"> available. </w:t>
      </w:r>
    </w:p>
    <w:p w14:paraId="61008865" w14:textId="77777777" w:rsidR="00F80E94" w:rsidRPr="006832E3" w:rsidRDefault="00F80E94" w:rsidP="00F80E94">
      <w:pPr>
        <w:ind w:right="18"/>
      </w:pPr>
      <w:r w:rsidRPr="006832E3">
        <w:t xml:space="preserve">Unit staff also </w:t>
      </w:r>
      <w:proofErr w:type="gramStart"/>
      <w:r w:rsidRPr="006832E3">
        <w:t>has</w:t>
      </w:r>
      <w:proofErr w:type="gramEnd"/>
      <w:r w:rsidRPr="006832E3">
        <w:t xml:space="preserve"> expertise in the construction contracting process, working with the Department of Justice on construction projects, invoicing, construction budget management and project timeline development.</w:t>
      </w:r>
    </w:p>
    <w:p w14:paraId="6C7D8652" w14:textId="77777777" w:rsidR="00F80E94" w:rsidRPr="006832E3" w:rsidRDefault="00F80E94" w:rsidP="00F80E94">
      <w:pPr>
        <w:spacing w:before="100" w:beforeAutospacing="1" w:after="100" w:afterAutospacing="1" w:line="240" w:lineRule="auto"/>
        <w:ind w:right="18"/>
      </w:pPr>
      <w:r>
        <w:t xml:space="preserve">For the 2027-29 biennium, Project Management services for DAS-owned buildings are included in the monthly rent cost. For non-DAS-owned </w:t>
      </w:r>
      <w:r w:rsidRPr="002B71DB">
        <w:t>buildings an hourly rate of $127 will be charged for</w:t>
      </w:r>
      <w:r>
        <w:t xml:space="preserve"> project management services.</w:t>
      </w:r>
    </w:p>
    <w:p w14:paraId="2696ECC1" w14:textId="77777777" w:rsidR="00F80E94" w:rsidRPr="006832E3" w:rsidRDefault="00F80E94" w:rsidP="00F80E94">
      <w:pPr>
        <w:spacing w:before="100" w:beforeAutospacing="1" w:after="100" w:afterAutospacing="1" w:line="240" w:lineRule="auto"/>
        <w:ind w:right="18"/>
        <w:rPr>
          <w:b/>
        </w:rPr>
      </w:pPr>
      <w:r w:rsidRPr="006832E3">
        <w:rPr>
          <w:b/>
          <w:bCs/>
        </w:rPr>
        <w:t>Con</w:t>
      </w:r>
      <w:r w:rsidRPr="006832E3">
        <w:rPr>
          <w:b/>
          <w:bCs/>
          <w:spacing w:val="-1"/>
        </w:rPr>
        <w:t>t</w:t>
      </w:r>
      <w:r w:rsidRPr="006832E3">
        <w:rPr>
          <w:b/>
          <w:bCs/>
        </w:rPr>
        <w:t>a</w:t>
      </w:r>
      <w:r w:rsidRPr="006832E3">
        <w:rPr>
          <w:b/>
          <w:bCs/>
          <w:spacing w:val="-1"/>
        </w:rPr>
        <w:t>c</w:t>
      </w:r>
      <w:r w:rsidRPr="006832E3">
        <w:rPr>
          <w:b/>
          <w:bCs/>
        </w:rPr>
        <w:t xml:space="preserve">t for more information: </w:t>
      </w:r>
      <w:r w:rsidRPr="006832E3">
        <w:rPr>
          <w:b/>
        </w:rPr>
        <w:t xml:space="preserve"> Scott Nebeker at 503-428-6324 or </w:t>
      </w:r>
      <w:hyperlink r:id="rId30" w:history="1">
        <w:r w:rsidRPr="00F90E09">
          <w:rPr>
            <w:rStyle w:val="Hyperlink"/>
            <w:b/>
            <w:bCs/>
            <w:color w:val="000000" w:themeColor="text1"/>
          </w:rPr>
          <w:t>scott.nebeker@das.oregon.gov</w:t>
        </w:r>
      </w:hyperlink>
      <w:r w:rsidRPr="006832E3">
        <w:rPr>
          <w:b/>
        </w:rPr>
        <w:t>.</w:t>
      </w:r>
    </w:p>
    <w:p w14:paraId="0705706C" w14:textId="77777777" w:rsidR="00F80E94" w:rsidRPr="00A3445E" w:rsidRDefault="00F80E94" w:rsidP="2E12E5CC">
      <w:pPr>
        <w:pStyle w:val="Heading4"/>
      </w:pPr>
      <w:bookmarkStart w:id="54" w:name="_Toc226108622"/>
      <w:r w:rsidRPr="00D763DA">
        <w:t>Real Estate Services</w:t>
      </w:r>
      <w:bookmarkEnd w:id="54"/>
    </w:p>
    <w:p w14:paraId="76B69D92" w14:textId="77777777" w:rsidR="00F80E94" w:rsidRPr="00A3445E" w:rsidRDefault="00F80E94" w:rsidP="2E12E5CC">
      <w:pPr>
        <w:pStyle w:val="Heading5"/>
      </w:pPr>
      <w:r w:rsidRPr="00D763DA">
        <w:t>Leasing Services</w:t>
      </w:r>
    </w:p>
    <w:p w14:paraId="56C7EF09" w14:textId="77777777" w:rsidR="00F80E94" w:rsidRPr="00064C6B" w:rsidRDefault="00F80E94" w:rsidP="00F80E94">
      <w:pPr>
        <w:ind w:right="18"/>
        <w:rPr>
          <w:szCs w:val="24"/>
        </w:rPr>
      </w:pPr>
      <w:r w:rsidRPr="00064C6B">
        <w:rPr>
          <w:szCs w:val="24"/>
        </w:rPr>
        <w:t>Leasing Services provides state agencies with commercial brokerage services to find suitable office (and related storage, parking, lab and warehouse) facilities anywhere in the state. For private sector transactions, the unit’s leasing agents negotiate with property owners and brokers on behalf of the client agency, draft the lease contract and manage the transaction through to contract execution. In addition to its private sector portfolio, the leasing team manages DAS’ owned portfolio of buildings (i.e., Uniform Rent and Self-Support).</w:t>
      </w:r>
    </w:p>
    <w:p w14:paraId="4F2A15FE" w14:textId="77777777" w:rsidR="00F80E94" w:rsidRPr="00064C6B" w:rsidRDefault="00F80E94" w:rsidP="00F80E94">
      <w:pPr>
        <w:ind w:right="18"/>
        <w:rPr>
          <w:szCs w:val="24"/>
        </w:rPr>
      </w:pPr>
      <w:r w:rsidRPr="00064C6B">
        <w:rPr>
          <w:szCs w:val="24"/>
        </w:rPr>
        <w:t>Examples of leasing services provided to agencies include:</w:t>
      </w:r>
    </w:p>
    <w:p w14:paraId="1C9A966E" w14:textId="77777777"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t>Needs assessment and planning assistance (timing, square footage, functionality, cost forecast, strategy and best options).</w:t>
      </w:r>
    </w:p>
    <w:p w14:paraId="7189B5AD" w14:textId="77777777"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t>Market research and site search to find leased space that aligns with the agency’s strategic business, financial and operational objectives.</w:t>
      </w:r>
    </w:p>
    <w:p w14:paraId="4B0BA522" w14:textId="77777777"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t>Drafting and soliciting Requests for Information (RFI).</w:t>
      </w:r>
    </w:p>
    <w:p w14:paraId="18CAE9C9" w14:textId="77777777"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t>Facilitating personal tours of prospective properties.</w:t>
      </w:r>
    </w:p>
    <w:p w14:paraId="3B779518" w14:textId="77777777"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t>Providing comparison of landlord proposals and guidance for decision making.</w:t>
      </w:r>
    </w:p>
    <w:p w14:paraId="759F81B9" w14:textId="77777777"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t>Interpreting terms and conditions of the lease.</w:t>
      </w:r>
    </w:p>
    <w:p w14:paraId="03408568" w14:textId="77777777"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t xml:space="preserve">Preparation and/or review of documentation for private, interagency and intergovernmental leases, renewals, amendments, extensions and terminations, assignments and subleases, as well as estoppels and subordination, non-disturbance and attornment agreements (SNDAs). </w:t>
      </w:r>
    </w:p>
    <w:p w14:paraId="5D4A892C" w14:textId="0A8C8A70"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lastRenderedPageBreak/>
        <w:t xml:space="preserve">Lease administration (contract enforcement, lease disputes, expense reconciliation, etc.). </w:t>
      </w:r>
    </w:p>
    <w:p w14:paraId="0F7D4524" w14:textId="77777777" w:rsidR="00F80E94" w:rsidRPr="00064C6B" w:rsidRDefault="00F80E94" w:rsidP="00F25900">
      <w:pPr>
        <w:pStyle w:val="ListBullet"/>
        <w:numPr>
          <w:ilvl w:val="0"/>
          <w:numId w:val="28"/>
        </w:numPr>
        <w:rPr>
          <w:rFonts w:asciiTheme="minorHAnsi" w:hAnsiTheme="minorHAnsi"/>
          <w:sz w:val="24"/>
          <w:szCs w:val="24"/>
        </w:rPr>
      </w:pPr>
      <w:r w:rsidRPr="00064C6B">
        <w:rPr>
          <w:rFonts w:asciiTheme="minorHAnsi" w:hAnsiTheme="minorHAnsi"/>
          <w:sz w:val="24"/>
          <w:szCs w:val="24"/>
        </w:rPr>
        <w:t xml:space="preserve">Providing agency data requests to support legislative </w:t>
      </w:r>
      <w:proofErr w:type="gramStart"/>
      <w:r w:rsidRPr="00064C6B">
        <w:rPr>
          <w:rFonts w:asciiTheme="minorHAnsi" w:hAnsiTheme="minorHAnsi"/>
          <w:sz w:val="24"/>
          <w:szCs w:val="24"/>
        </w:rPr>
        <w:t>asks</w:t>
      </w:r>
      <w:proofErr w:type="gramEnd"/>
      <w:r w:rsidRPr="00064C6B">
        <w:rPr>
          <w:rFonts w:asciiTheme="minorHAnsi" w:hAnsiTheme="minorHAnsi"/>
          <w:sz w:val="24"/>
          <w:szCs w:val="24"/>
        </w:rPr>
        <w:t>, comparable rents for certain areas, available properties, summaries of existing leased portfolio (once a biennium), etc.</w:t>
      </w:r>
    </w:p>
    <w:p w14:paraId="53D22CA0" w14:textId="77777777" w:rsidR="00F80E94" w:rsidRPr="00965C30" w:rsidRDefault="00F80E94" w:rsidP="00F80E94">
      <w:pPr>
        <w:pStyle w:val="ListBullet"/>
        <w:numPr>
          <w:ilvl w:val="0"/>
          <w:numId w:val="0"/>
        </w:numPr>
      </w:pPr>
    </w:p>
    <w:p w14:paraId="4106D8F5" w14:textId="77777777" w:rsidR="00F80E94" w:rsidRPr="00965C30" w:rsidRDefault="00F80E94" w:rsidP="00F80E94">
      <w:pPr>
        <w:ind w:right="18"/>
        <w:rPr>
          <w:bCs/>
        </w:rPr>
      </w:pPr>
      <w:r w:rsidRPr="006832E3">
        <w:rPr>
          <w:b/>
        </w:rPr>
        <w:t xml:space="preserve">Leases in DAS-owned buildings: </w:t>
      </w:r>
      <w:r w:rsidRPr="00965C30">
        <w:rPr>
          <w:bCs/>
        </w:rPr>
        <w:t>For the 202</w:t>
      </w:r>
      <w:r>
        <w:rPr>
          <w:bCs/>
        </w:rPr>
        <w:t>7</w:t>
      </w:r>
      <w:r w:rsidRPr="00965C30">
        <w:rPr>
          <w:bCs/>
        </w:rPr>
        <w:t>-2</w:t>
      </w:r>
      <w:r>
        <w:rPr>
          <w:bCs/>
        </w:rPr>
        <w:t>9</w:t>
      </w:r>
      <w:r w:rsidRPr="00965C30">
        <w:rPr>
          <w:bCs/>
        </w:rPr>
        <w:t xml:space="preserve"> biennium, charges for services in DAS</w:t>
      </w:r>
      <w:r>
        <w:rPr>
          <w:bCs/>
        </w:rPr>
        <w:t>-</w:t>
      </w:r>
      <w:r w:rsidRPr="00965C30">
        <w:rPr>
          <w:bCs/>
        </w:rPr>
        <w:t xml:space="preserve">owned uniform rent and self-support buildings </w:t>
      </w:r>
      <w:proofErr w:type="gramStart"/>
      <w:r w:rsidRPr="00965C30">
        <w:rPr>
          <w:bCs/>
        </w:rPr>
        <w:t>is</w:t>
      </w:r>
      <w:proofErr w:type="gramEnd"/>
      <w:r w:rsidRPr="00965C30">
        <w:rPr>
          <w:bCs/>
        </w:rPr>
        <w:t xml:space="preserve"> covered in the rent.</w:t>
      </w:r>
    </w:p>
    <w:p w14:paraId="3EBDF8E2" w14:textId="77777777" w:rsidR="00F80E94" w:rsidRPr="00121FBF" w:rsidRDefault="00F80E94" w:rsidP="00F80E94">
      <w:pPr>
        <w:ind w:right="18"/>
      </w:pPr>
      <w:r w:rsidRPr="00121FBF">
        <w:rPr>
          <w:b/>
          <w:bCs/>
        </w:rPr>
        <w:t xml:space="preserve">Private sector leases: </w:t>
      </w:r>
      <w:r w:rsidRPr="00121FBF">
        <w:t>Real Estate Services (RES) is an assessment model in which each agency with a lease managed by RES pays an assessment to cover all services provided based on the following methodology:</w:t>
      </w:r>
    </w:p>
    <w:p w14:paraId="1901D3B1" w14:textId="77777777" w:rsidR="00F80E94" w:rsidRDefault="00F80E94" w:rsidP="00F80E94">
      <w:pPr>
        <w:ind w:right="18"/>
      </w:pPr>
      <w:r w:rsidRPr="00121FBF">
        <w:t>Assessments are allocated to agencies based on an average of the total square footage of privately leased space and the monthly cost of those leased spaces as of December 31, 2025.</w:t>
      </w:r>
    </w:p>
    <w:p w14:paraId="7622DBC1" w14:textId="77777777" w:rsidR="00F80E94" w:rsidRPr="00A3445E" w:rsidRDefault="00F80E94" w:rsidP="00F80E94">
      <w:pPr>
        <w:ind w:right="18"/>
        <w:rPr>
          <w:b/>
        </w:rPr>
      </w:pPr>
      <w:r w:rsidRPr="00A3445E">
        <w:rPr>
          <w:b/>
        </w:rPr>
        <w:t>Sample: Private Lease Assessment Allocation</w:t>
      </w:r>
    </w:p>
    <w:p w14:paraId="32556CA1" w14:textId="77777777" w:rsidR="00F80E94" w:rsidRDefault="00F80E94" w:rsidP="00F80E94">
      <w:pPr>
        <w:ind w:right="18"/>
        <w:rPr>
          <w:b/>
          <w:u w:val="single"/>
        </w:rPr>
      </w:pPr>
      <w:r w:rsidRPr="003510BE">
        <w:rPr>
          <w:noProof/>
        </w:rPr>
        <w:drawing>
          <wp:inline distT="0" distB="0" distL="0" distR="0" wp14:anchorId="1C79B008" wp14:editId="0B5ADCCA">
            <wp:extent cx="6126480" cy="1330325"/>
            <wp:effectExtent l="0" t="0" r="7620" b="3175"/>
            <wp:docPr id="1896883503" name="Picture 1" descr="2027-2029 real estate assessment allocation options and a sample is shown in th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83503" name="Picture 1" descr="2027-2029 real estate assessment allocation options and a sample is shown in the pict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6480" cy="1330325"/>
                    </a:xfrm>
                    <a:prstGeom prst="rect">
                      <a:avLst/>
                    </a:prstGeom>
                    <a:noFill/>
                    <a:ln>
                      <a:noFill/>
                    </a:ln>
                  </pic:spPr>
                </pic:pic>
              </a:graphicData>
            </a:graphic>
          </wp:inline>
        </w:drawing>
      </w:r>
    </w:p>
    <w:p w14:paraId="12353D86" w14:textId="77777777" w:rsidR="00F80E94" w:rsidRPr="00A3445E" w:rsidRDefault="00F80E94" w:rsidP="2E12E5CC">
      <w:pPr>
        <w:pStyle w:val="Heading5"/>
      </w:pPr>
      <w:r w:rsidRPr="00D763DA">
        <w:t xml:space="preserve">Real Estate Land Sales </w:t>
      </w:r>
    </w:p>
    <w:p w14:paraId="1F85F9C6" w14:textId="77777777" w:rsidR="00F80E94" w:rsidRPr="00A3445E" w:rsidRDefault="00F80E94" w:rsidP="00A3445E">
      <w:r w:rsidRPr="00A3445E">
        <w:t>Real Estate provides many additional services to state agencies. Examples include:</w:t>
      </w:r>
    </w:p>
    <w:p w14:paraId="71CBEE54" w14:textId="77777777" w:rsidR="00F80E94" w:rsidRPr="00A3445E" w:rsidRDefault="00F80E94" w:rsidP="00F25900">
      <w:pPr>
        <w:pStyle w:val="ListParagraph"/>
        <w:numPr>
          <w:ilvl w:val="0"/>
          <w:numId w:val="31"/>
        </w:numPr>
      </w:pPr>
      <w:r w:rsidRPr="00A3445E">
        <w:t>Support for non-leasing real estate transactions and due diligence (e.g., cell towers, easements, purchases and sales, environmental, surveys, appraisals, deeds).</w:t>
      </w:r>
    </w:p>
    <w:p w14:paraId="3782FEB5" w14:textId="77777777" w:rsidR="00F80E94" w:rsidRPr="00A3445E" w:rsidRDefault="00F80E94" w:rsidP="00F25900">
      <w:pPr>
        <w:pStyle w:val="ListParagraph"/>
        <w:numPr>
          <w:ilvl w:val="0"/>
          <w:numId w:val="31"/>
        </w:numPr>
      </w:pPr>
      <w:r w:rsidRPr="00A3445E">
        <w:t>Support for legislatively directed transactions that do not produce revenue.</w:t>
      </w:r>
    </w:p>
    <w:p w14:paraId="377238B3" w14:textId="77777777" w:rsidR="00F80E94" w:rsidRPr="00A3445E" w:rsidRDefault="00F80E94" w:rsidP="00F25900">
      <w:pPr>
        <w:pStyle w:val="ListParagraph"/>
        <w:numPr>
          <w:ilvl w:val="0"/>
          <w:numId w:val="31"/>
        </w:numPr>
      </w:pPr>
      <w:r w:rsidRPr="00A3445E">
        <w:t>Support for executive orders pertaining to real estate.</w:t>
      </w:r>
    </w:p>
    <w:p w14:paraId="33F607CA" w14:textId="77777777" w:rsidR="00F80E94" w:rsidRPr="00A3445E" w:rsidRDefault="00F80E94" w:rsidP="00F25900">
      <w:pPr>
        <w:pStyle w:val="ListParagraph"/>
        <w:numPr>
          <w:ilvl w:val="0"/>
          <w:numId w:val="31"/>
        </w:numPr>
      </w:pPr>
      <w:r w:rsidRPr="00A3445E">
        <w:t>Support for long-term real estate projects with uncertain outcomes.</w:t>
      </w:r>
    </w:p>
    <w:p w14:paraId="0095A548" w14:textId="77777777" w:rsidR="00F80E94" w:rsidRPr="00A3445E" w:rsidRDefault="00F80E94" w:rsidP="00F25900">
      <w:pPr>
        <w:pStyle w:val="ListParagraph"/>
        <w:numPr>
          <w:ilvl w:val="0"/>
          <w:numId w:val="31"/>
        </w:numPr>
      </w:pPr>
      <w:r w:rsidRPr="00A3445E">
        <w:t>Support for the Public Lands Advisory Committee.</w:t>
      </w:r>
    </w:p>
    <w:p w14:paraId="07F266EB" w14:textId="77777777" w:rsidR="00F80E94" w:rsidRPr="00A3445E" w:rsidRDefault="00F80E94" w:rsidP="00F25900">
      <w:pPr>
        <w:pStyle w:val="ListParagraph"/>
        <w:numPr>
          <w:ilvl w:val="0"/>
          <w:numId w:val="31"/>
        </w:numPr>
      </w:pPr>
      <w:r w:rsidRPr="00A3445E">
        <w:t>Planning services relating to state facilities (e.g., interpretation of land use and zoning regulations, contracting for traffic studies, transit studies).</w:t>
      </w:r>
    </w:p>
    <w:p w14:paraId="7962FBD8" w14:textId="77777777" w:rsidR="00F80E94" w:rsidRPr="00A3445E" w:rsidRDefault="00F80E94" w:rsidP="00F25900">
      <w:pPr>
        <w:pStyle w:val="ListParagraph"/>
        <w:numPr>
          <w:ilvl w:val="0"/>
          <w:numId w:val="31"/>
        </w:numPr>
      </w:pPr>
      <w:r w:rsidRPr="00A3445E">
        <w:t>Support for the Chief Financial Officer’s facilities-planning policy initiatives (e.g., portfolio management, business cases and statewide space standards).</w:t>
      </w:r>
    </w:p>
    <w:p w14:paraId="656474D5" w14:textId="77777777" w:rsidR="00F80E94" w:rsidRPr="00A3445E" w:rsidRDefault="00F80E94" w:rsidP="00F25900">
      <w:pPr>
        <w:pStyle w:val="ListParagraph"/>
        <w:numPr>
          <w:ilvl w:val="0"/>
          <w:numId w:val="31"/>
        </w:numPr>
      </w:pPr>
      <w:r w:rsidRPr="00A3445E">
        <w:t>Coordination between DAS and the Department of State Lands.</w:t>
      </w:r>
    </w:p>
    <w:p w14:paraId="0742F67C" w14:textId="74B547AB" w:rsidR="00A3445E" w:rsidRPr="00A3445E" w:rsidRDefault="00F80E94" w:rsidP="00F25900">
      <w:pPr>
        <w:pStyle w:val="ListParagraph"/>
        <w:numPr>
          <w:ilvl w:val="0"/>
          <w:numId w:val="31"/>
        </w:numPr>
      </w:pPr>
      <w:r w:rsidRPr="00A3445E">
        <w:t>Management of the real property clearing house.</w:t>
      </w:r>
    </w:p>
    <w:p w14:paraId="71871619" w14:textId="066C63F2" w:rsidR="00F80E94" w:rsidRPr="00A3445E" w:rsidRDefault="00F80E94" w:rsidP="00A3445E">
      <w:r w:rsidRPr="00A3445E">
        <w:lastRenderedPageBreak/>
        <w:t>These activities are supported by an assessment charged to all state agencies based on a blended allocation method:</w:t>
      </w:r>
    </w:p>
    <w:p w14:paraId="6667B9B0" w14:textId="77777777" w:rsidR="00F80E94" w:rsidRPr="00A3445E" w:rsidRDefault="00F80E94" w:rsidP="00F25900">
      <w:pPr>
        <w:pStyle w:val="ListParagraph"/>
        <w:numPr>
          <w:ilvl w:val="0"/>
          <w:numId w:val="32"/>
        </w:numPr>
      </w:pPr>
      <w:r w:rsidRPr="00A3445E">
        <w:t>One-third of the 2025-27 Legislatively Adopted Budget (LAB) Full-Time Equivalent (FTE) authority.</w:t>
      </w:r>
    </w:p>
    <w:p w14:paraId="344B717A" w14:textId="77777777" w:rsidR="00F80E94" w:rsidRPr="00A3445E" w:rsidRDefault="00F80E94" w:rsidP="00F25900">
      <w:pPr>
        <w:pStyle w:val="ListParagraph"/>
        <w:numPr>
          <w:ilvl w:val="0"/>
          <w:numId w:val="32"/>
        </w:numPr>
      </w:pPr>
      <w:r w:rsidRPr="00A3445E">
        <w:t>One-third of the size of the agency’s 2025-27 total funds LAB.</w:t>
      </w:r>
    </w:p>
    <w:p w14:paraId="4D4D154F" w14:textId="77777777" w:rsidR="00F80E94" w:rsidRPr="00A3445E" w:rsidRDefault="00F80E94" w:rsidP="00F25900">
      <w:pPr>
        <w:pStyle w:val="ListParagraph"/>
        <w:numPr>
          <w:ilvl w:val="0"/>
          <w:numId w:val="32"/>
        </w:numPr>
      </w:pPr>
      <w:r w:rsidRPr="00A3445E">
        <w:t>One-third of the number of parcels the agency owns.</w:t>
      </w:r>
    </w:p>
    <w:p w14:paraId="62F224C9" w14:textId="77777777" w:rsidR="00F80E94" w:rsidRPr="00A3445E" w:rsidRDefault="00F80E94" w:rsidP="00A3445E">
      <w:bookmarkStart w:id="55" w:name="_Hlk125702997"/>
      <w:bookmarkStart w:id="56" w:name="_Hlk97814284"/>
      <w:r w:rsidRPr="00A3445E">
        <w:t xml:space="preserve">Reference Admin. and Real Estate Services (EAM) in Appendix A. </w:t>
      </w:r>
    </w:p>
    <w:p w14:paraId="7E7A1971" w14:textId="77777777" w:rsidR="00F80E94" w:rsidRDefault="00F80E94" w:rsidP="00F80E94">
      <w:pPr>
        <w:spacing w:after="0" w:line="240" w:lineRule="auto"/>
        <w:ind w:right="18"/>
        <w:rPr>
          <w:rStyle w:val="Hyperlink"/>
          <w:b/>
          <w:bCs/>
          <w:lang w:val="de-DE"/>
        </w:rPr>
      </w:pPr>
      <w:r>
        <w:rPr>
          <w:b/>
          <w:bCs/>
        </w:rPr>
        <w:t>Con</w:t>
      </w:r>
      <w:r>
        <w:rPr>
          <w:b/>
          <w:bCs/>
          <w:spacing w:val="-1"/>
        </w:rPr>
        <w:t>t</w:t>
      </w:r>
      <w:r>
        <w:rPr>
          <w:b/>
          <w:bCs/>
        </w:rPr>
        <w:t>a</w:t>
      </w:r>
      <w:r>
        <w:rPr>
          <w:b/>
          <w:bCs/>
          <w:spacing w:val="-1"/>
        </w:rPr>
        <w:t>c</w:t>
      </w:r>
      <w:r>
        <w:rPr>
          <w:b/>
          <w:bCs/>
        </w:rPr>
        <w:t>t for more information:</w:t>
      </w:r>
      <w:r w:rsidRPr="5F42A923">
        <w:rPr>
          <w:b/>
          <w:bCs/>
        </w:rPr>
        <w:t xml:space="preserve"> </w:t>
      </w:r>
      <w:r w:rsidRPr="30E0AEE6">
        <w:rPr>
          <w:b/>
          <w:bCs/>
          <w:lang w:val="de-DE"/>
        </w:rPr>
        <w:t xml:space="preserve"> res.info@das.oregon.gov</w:t>
      </w:r>
    </w:p>
    <w:p w14:paraId="2D2F0FDE" w14:textId="77777777" w:rsidR="00F80E94" w:rsidRDefault="00F80E94" w:rsidP="00F80E94">
      <w:pPr>
        <w:spacing w:after="0" w:line="240" w:lineRule="auto"/>
        <w:ind w:right="18"/>
        <w:rPr>
          <w:b/>
        </w:rPr>
      </w:pPr>
    </w:p>
    <w:p w14:paraId="01808F65" w14:textId="77777777" w:rsidR="00F80E94" w:rsidRPr="00A3445E" w:rsidRDefault="00F80E94" w:rsidP="2E12E5CC">
      <w:pPr>
        <w:pStyle w:val="Heading4"/>
      </w:pPr>
      <w:bookmarkStart w:id="57" w:name="_Toc226108623"/>
      <w:bookmarkEnd w:id="55"/>
      <w:bookmarkEnd w:id="56"/>
      <w:r w:rsidRPr="00536E8E">
        <w:t>Capital Facilities Planning</w:t>
      </w:r>
      <w:bookmarkEnd w:id="57"/>
    </w:p>
    <w:p w14:paraId="3C09BDB4" w14:textId="77777777" w:rsidR="00F80E94" w:rsidRPr="00A3445E" w:rsidRDefault="00F80E94" w:rsidP="00F25900">
      <w:pPr>
        <w:pStyle w:val="ListParagraph"/>
        <w:numPr>
          <w:ilvl w:val="0"/>
          <w:numId w:val="34"/>
        </w:numPr>
      </w:pPr>
      <w:r w:rsidRPr="00A3445E">
        <w:t>Assists agencies in developing maintenance plans for state-owned facilities.</w:t>
      </w:r>
    </w:p>
    <w:p w14:paraId="5CBF7C14" w14:textId="77777777" w:rsidR="00F80E94" w:rsidRPr="00A3445E" w:rsidRDefault="00F80E94" w:rsidP="00F25900">
      <w:pPr>
        <w:pStyle w:val="ListParagraph"/>
        <w:numPr>
          <w:ilvl w:val="0"/>
          <w:numId w:val="34"/>
        </w:numPr>
      </w:pPr>
      <w:r w:rsidRPr="00A3445E">
        <w:t>Assists in the analysis and planning of major construction projects.</w:t>
      </w:r>
    </w:p>
    <w:p w14:paraId="766519C1" w14:textId="77777777" w:rsidR="001B7AA5" w:rsidRDefault="00F80E94" w:rsidP="001B7AA5">
      <w:pPr>
        <w:pStyle w:val="ListParagraph"/>
        <w:numPr>
          <w:ilvl w:val="0"/>
          <w:numId w:val="34"/>
        </w:numPr>
      </w:pPr>
      <w:r w:rsidRPr="00A3445E">
        <w:t>Coordinates the statewide facility inventory.</w:t>
      </w:r>
    </w:p>
    <w:p w14:paraId="03149EA2" w14:textId="5FDE836F" w:rsidR="00F80E94" w:rsidRPr="00A3445E" w:rsidRDefault="00F80E94" w:rsidP="001B7AA5">
      <w:r w:rsidRPr="00A3445E">
        <w:t>Supports the following two governing bodies:</w:t>
      </w:r>
    </w:p>
    <w:p w14:paraId="4916699E" w14:textId="77777777" w:rsidR="00F80E94" w:rsidRPr="00A3445E" w:rsidRDefault="00F80E94" w:rsidP="00312B68">
      <w:pPr>
        <w:pStyle w:val="ListParagraph"/>
        <w:numPr>
          <w:ilvl w:val="0"/>
          <w:numId w:val="51"/>
        </w:numPr>
      </w:pPr>
      <w:r w:rsidRPr="00A3445E">
        <w:t xml:space="preserve">Capitol Planning Commission (CPC) was reestablished by the Legislature in SB 671 (2009). It provides recommendations and information to project-proposing agencies and biennially to the Legislature on state government construction and facilities management projects within the boundaries of the cities of Salem and Keizer. The Commission also provides a public process for </w:t>
      </w:r>
      <w:proofErr w:type="gramStart"/>
      <w:r w:rsidRPr="00A3445E">
        <w:t>review of</w:t>
      </w:r>
      <w:proofErr w:type="gramEnd"/>
      <w:r w:rsidRPr="00A3445E">
        <w:t xml:space="preserve"> Area Plans and Capital Construction Projects within the Salem and Keizer city limits. The CPC charge is based on budgeted Full-Time Equivalent (FTE) positions for each state agency with 15 or more FTE. Reference Admin. and Real Estate Services (EAM) in Appendix A.</w:t>
      </w:r>
    </w:p>
    <w:p w14:paraId="7BDEB826" w14:textId="77777777" w:rsidR="00F80E94" w:rsidRPr="00A3445E" w:rsidRDefault="00F80E94" w:rsidP="00312B68">
      <w:pPr>
        <w:pStyle w:val="ListParagraph"/>
        <w:numPr>
          <w:ilvl w:val="0"/>
          <w:numId w:val="51"/>
        </w:numPr>
      </w:pPr>
      <w:r w:rsidRPr="00A3445E">
        <w:t>Capital Projects Advisory Board (CPAB) provides public review of proposed capital projects of all state agencies (except public universities). CPAB advises the DAS director on long-range facility plans that agencies submit to DAS; the condition of facilities, maintenance schedules, and options for new facilities (this applies to existing and proposed facilities within the class called major construction or acquisition in the Governor's budget); agency plans to lease facilities of 10,000 square feet or larger for 10 years or more; and agency plans to build or buy a building of 10,000 or more square feet.</w:t>
      </w:r>
    </w:p>
    <w:p w14:paraId="2A4B9446" w14:textId="78A98AAB" w:rsidR="00F80E94" w:rsidRPr="00A3445E" w:rsidRDefault="00F80E94" w:rsidP="00A3445E">
      <w:pPr>
        <w:rPr>
          <w:rFonts w:eastAsia="Times New Roman"/>
          <w:b/>
          <w:bCs/>
          <w:u w:val="single"/>
        </w:rPr>
      </w:pPr>
      <w:r w:rsidRPr="00A3445E">
        <w:rPr>
          <w:b/>
          <w:bCs/>
        </w:rPr>
        <w:t xml:space="preserve">Contact for more information: Jeremy Miller at 971-374-3383 or </w:t>
      </w:r>
      <w:hyperlink r:id="rId32" w:history="1">
        <w:r w:rsidR="00A3445E" w:rsidRPr="001B7AA5">
          <w:rPr>
            <w:rStyle w:val="Hyperlink"/>
            <w:b/>
            <w:bCs/>
            <w:color w:val="auto"/>
          </w:rPr>
          <w:t>jeremy.w.miller@das.oregon.gov</w:t>
        </w:r>
      </w:hyperlink>
      <w:r w:rsidR="00A3445E" w:rsidRPr="001B7AA5">
        <w:rPr>
          <w:b/>
          <w:bCs/>
        </w:rPr>
        <w:t xml:space="preserve">, </w:t>
      </w:r>
      <w:r w:rsidRPr="001B7AA5">
        <w:rPr>
          <w:b/>
          <w:bCs/>
        </w:rPr>
        <w:t xml:space="preserve">or Daniel Christensen at 503-930-0765 or </w:t>
      </w:r>
      <w:hyperlink r:id="rId33" w:history="1">
        <w:r w:rsidRPr="001B7AA5">
          <w:rPr>
            <w:rStyle w:val="Hyperlink"/>
            <w:b/>
            <w:bCs/>
            <w:color w:val="auto"/>
          </w:rPr>
          <w:t>daniel.christensen@das.oregon.gov</w:t>
        </w:r>
      </w:hyperlink>
      <w:r w:rsidRPr="001B7AA5">
        <w:rPr>
          <w:b/>
          <w:bCs/>
        </w:rPr>
        <w:t>.</w:t>
      </w:r>
      <w:r w:rsidRPr="00A3445E">
        <w:rPr>
          <w:b/>
          <w:bCs/>
        </w:rPr>
        <w:br w:type="page"/>
      </w:r>
    </w:p>
    <w:p w14:paraId="55340D77" w14:textId="4EC14FE5" w:rsidR="00F80E94" w:rsidRPr="006849B1" w:rsidRDefault="00F80E94" w:rsidP="2E12E5CC">
      <w:pPr>
        <w:pStyle w:val="Heading4"/>
      </w:pPr>
      <w:bookmarkStart w:id="58" w:name="_Toc226108624"/>
      <w:r w:rsidRPr="007F0CC6">
        <w:lastRenderedPageBreak/>
        <w:t>Fleet Services</w:t>
      </w:r>
      <w:bookmarkEnd w:id="58"/>
    </w:p>
    <w:p w14:paraId="48F5696B" w14:textId="77777777" w:rsidR="00F80E94" w:rsidRPr="006849B1" w:rsidRDefault="00F80E94" w:rsidP="006849B1">
      <w:r w:rsidRPr="006849B1">
        <w:t xml:space="preserve">Under ORS 283.310, DAS Fleet must control and regulate the motor vehicles used for state business, including acquisition, access to, operation, use, maintenance and disposal. Fleet is also responsible for providing safe, dependable transportation in a cost-effective manner. The following </w:t>
      </w:r>
      <w:proofErr w:type="gramStart"/>
      <w:r w:rsidRPr="006849B1">
        <w:t>rule</w:t>
      </w:r>
      <w:proofErr w:type="gramEnd"/>
      <w:r w:rsidRPr="006849B1">
        <w:t xml:space="preserve"> and policies further regulate how state vehicles may be used and how DAS and agencies must manage vehicle assets:</w:t>
      </w:r>
      <w:r w:rsidRPr="006849B1" w:rsidDel="00E13DD9">
        <w:t xml:space="preserve"> </w:t>
      </w:r>
      <w:r w:rsidRPr="006849B1">
        <w:t>OAR 125-155, Statewide Fleet Management Policy 107-011-040, and Statewide Travel Policy 40.10.00.</w:t>
      </w:r>
    </w:p>
    <w:p w14:paraId="09DA09E3" w14:textId="77777777" w:rsidR="00F80E94" w:rsidRPr="006849B1" w:rsidRDefault="00F80E94" w:rsidP="006849B1">
      <w:r w:rsidRPr="006849B1">
        <w:rPr>
          <w:b/>
          <w:bCs/>
        </w:rPr>
        <w:t>Program vehicle requirements:</w:t>
      </w:r>
      <w:r w:rsidRPr="006849B1">
        <w:t xml:space="preserve"> When an agency adds new programs, expands existing programs, or adds FTE that will require the use of state vehicles, the agency must submit a request for additional permanently assigned vehicles to DAS Fleet as part of budget development. This must occur by April 15 of even numbered fiscal years. Fleet uses agencies’ requests for additional vehicles to plan DAS vehicle purchases. A request for a permanently assigned vehicle must include information about the type of vehicle, the approximate date the agency needs the vehicle and signature approval. </w:t>
      </w:r>
    </w:p>
    <w:p w14:paraId="0CB9FF0B" w14:textId="77777777" w:rsidR="00F80E94" w:rsidRPr="00F03D73" w:rsidRDefault="00F80E94" w:rsidP="006849B1">
      <w:pPr>
        <w:rPr>
          <w:b/>
          <w:bCs/>
        </w:rPr>
      </w:pPr>
      <w:r w:rsidRPr="00F03D73">
        <w:rPr>
          <w:b/>
          <w:bCs/>
        </w:rPr>
        <w:t xml:space="preserve">Services provided by Fleet (through its motor pool and shop located in Salem): </w:t>
      </w:r>
    </w:p>
    <w:p w14:paraId="5679F79A" w14:textId="77777777" w:rsidR="00F80E94" w:rsidRPr="006849B1" w:rsidRDefault="00F80E94" w:rsidP="00F25900">
      <w:pPr>
        <w:pStyle w:val="ListParagraph"/>
        <w:numPr>
          <w:ilvl w:val="0"/>
          <w:numId w:val="36"/>
        </w:numPr>
      </w:pPr>
      <w:r w:rsidRPr="006849B1">
        <w:t>Daily rental vehicles (less than 30 days) and monthly rental vehicles (30 days or more).</w:t>
      </w:r>
    </w:p>
    <w:p w14:paraId="201CA80A" w14:textId="77777777" w:rsidR="00F80E94" w:rsidRPr="006849B1" w:rsidRDefault="00F80E94" w:rsidP="00F25900">
      <w:pPr>
        <w:pStyle w:val="ListParagraph"/>
        <w:numPr>
          <w:ilvl w:val="0"/>
          <w:numId w:val="36"/>
        </w:numPr>
      </w:pPr>
      <w:r w:rsidRPr="006849B1">
        <w:t xml:space="preserve">Fueling and car </w:t>
      </w:r>
      <w:proofErr w:type="gramStart"/>
      <w:r w:rsidRPr="006849B1">
        <w:t>wash</w:t>
      </w:r>
      <w:proofErr w:type="gramEnd"/>
      <w:r w:rsidRPr="006849B1">
        <w:t>.</w:t>
      </w:r>
    </w:p>
    <w:p w14:paraId="066739FD" w14:textId="77777777" w:rsidR="00F80E94" w:rsidRPr="006849B1" w:rsidRDefault="00F80E94" w:rsidP="00F25900">
      <w:pPr>
        <w:pStyle w:val="ListParagraph"/>
        <w:numPr>
          <w:ilvl w:val="0"/>
          <w:numId w:val="36"/>
        </w:numPr>
      </w:pPr>
      <w:r w:rsidRPr="006849B1">
        <w:t>Vehicle repair and maintenance.</w:t>
      </w:r>
    </w:p>
    <w:p w14:paraId="43496D80" w14:textId="77777777" w:rsidR="00F80E94" w:rsidRPr="006849B1" w:rsidRDefault="00F80E94" w:rsidP="006849B1">
      <w:r w:rsidRPr="006849B1">
        <w:t>Daily Rental Vehicle Rates: The daily rental vehicle rate includes administrative overhead and vehicle maintenance. Fleet passes to customers the actual cost of fuel, plus $0.12 per gallon, to cover the overhead of managing the fuel infrastructure.</w:t>
      </w:r>
    </w:p>
    <w:p w14:paraId="72FA901A" w14:textId="77777777" w:rsidR="00F80E94" w:rsidRPr="00464A48" w:rsidRDefault="00F80E94" w:rsidP="00F80E94">
      <w:pPr>
        <w:spacing w:after="0"/>
        <w:ind w:right="18"/>
      </w:pPr>
    </w:p>
    <w:tbl>
      <w:tblPr>
        <w:tblW w:w="0" w:type="auto"/>
        <w:jc w:val="center"/>
        <w:tblLook w:val="04A0" w:firstRow="1" w:lastRow="0" w:firstColumn="1" w:lastColumn="0" w:noHBand="0" w:noVBand="1"/>
      </w:tblPr>
      <w:tblGrid>
        <w:gridCol w:w="5403"/>
        <w:gridCol w:w="1299"/>
      </w:tblGrid>
      <w:tr w:rsidR="00F80E94" w:rsidRPr="00094BB8" w14:paraId="5FBA88DB" w14:textId="77777777" w:rsidTr="00306CF3">
        <w:trPr>
          <w:trHeight w:val="349"/>
          <w:jc w:val="center"/>
        </w:trPr>
        <w:tc>
          <w:tcPr>
            <w:tcW w:w="540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11773607" w14:textId="77777777" w:rsidR="00F80E94" w:rsidRPr="00094BB8" w:rsidRDefault="00F80E94" w:rsidP="00306CF3">
            <w:pPr>
              <w:pStyle w:val="NoSpacing"/>
              <w:ind w:right="18"/>
              <w:jc w:val="center"/>
              <w:rPr>
                <w:b/>
              </w:rPr>
            </w:pPr>
            <w:r w:rsidRPr="00094BB8">
              <w:rPr>
                <w:b/>
              </w:rPr>
              <w:br w:type="page"/>
              <w:t>Vehicle Type</w:t>
            </w:r>
          </w:p>
        </w:tc>
        <w:tc>
          <w:tcPr>
            <w:tcW w:w="12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5605255" w14:textId="77777777" w:rsidR="00F80E94" w:rsidRPr="00094BB8" w:rsidRDefault="00F80E94" w:rsidP="00306CF3">
            <w:pPr>
              <w:pStyle w:val="NoSpacing"/>
              <w:ind w:right="18"/>
              <w:jc w:val="center"/>
              <w:rPr>
                <w:b/>
                <w:bCs/>
              </w:rPr>
            </w:pPr>
            <w:r w:rsidRPr="00094BB8">
              <w:rPr>
                <w:b/>
                <w:bCs/>
              </w:rPr>
              <w:t>2027-29</w:t>
            </w:r>
          </w:p>
          <w:p w14:paraId="7B434BA9" w14:textId="77777777" w:rsidR="00F80E94" w:rsidRPr="00094BB8" w:rsidRDefault="00F80E94" w:rsidP="00306CF3">
            <w:pPr>
              <w:pStyle w:val="NoSpacing"/>
              <w:ind w:right="18"/>
              <w:jc w:val="center"/>
              <w:rPr>
                <w:b/>
              </w:rPr>
            </w:pPr>
            <w:r w:rsidRPr="00094BB8">
              <w:rPr>
                <w:b/>
              </w:rPr>
              <w:t>Rate</w:t>
            </w:r>
          </w:p>
        </w:tc>
      </w:tr>
      <w:tr w:rsidR="00F80E94" w:rsidRPr="00094BB8" w14:paraId="38FA501F" w14:textId="77777777" w:rsidTr="00306CF3">
        <w:trPr>
          <w:trHeight w:val="300"/>
          <w:jc w:val="center"/>
        </w:trPr>
        <w:tc>
          <w:tcPr>
            <w:tcW w:w="54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2211A25" w14:textId="77777777" w:rsidR="00F80E94" w:rsidRPr="00094BB8" w:rsidRDefault="00F80E94" w:rsidP="00306CF3">
            <w:pPr>
              <w:pStyle w:val="NoSpacing"/>
              <w:ind w:right="18"/>
            </w:pPr>
            <w:r w:rsidRPr="00094BB8">
              <w:t>Sedan</w:t>
            </w:r>
            <w:r w:rsidRPr="00094BB8">
              <w:rPr>
                <w:spacing w:val="-1"/>
              </w:rPr>
              <w:t xml:space="preserve"> </w:t>
            </w:r>
            <w:r w:rsidRPr="00094BB8">
              <w:t xml:space="preserve">– </w:t>
            </w:r>
            <w:r w:rsidRPr="00094BB8">
              <w:rPr>
                <w:spacing w:val="-2"/>
              </w:rPr>
              <w:t>F</w:t>
            </w:r>
            <w:r w:rsidRPr="00094BB8">
              <w:rPr>
                <w:spacing w:val="1"/>
              </w:rPr>
              <w:t>W</w:t>
            </w:r>
            <w:r w:rsidRPr="00094BB8">
              <w:t>D</w:t>
            </w:r>
            <w:r w:rsidRPr="00094BB8">
              <w:rPr>
                <w:spacing w:val="-1"/>
              </w:rPr>
              <w:t xml:space="preserve"> </w:t>
            </w:r>
            <w:r w:rsidRPr="00094BB8">
              <w:t xml:space="preserve">and </w:t>
            </w:r>
            <w:r w:rsidRPr="00094BB8">
              <w:rPr>
                <w:spacing w:val="-1"/>
              </w:rPr>
              <w:t>A</w:t>
            </w:r>
            <w:r w:rsidRPr="00094BB8">
              <w:rPr>
                <w:spacing w:val="1"/>
              </w:rPr>
              <w:t>W</w:t>
            </w:r>
            <w:r w:rsidRPr="00094BB8">
              <w:t>D</w:t>
            </w:r>
            <w:r w:rsidRPr="00094BB8">
              <w:rPr>
                <w:spacing w:val="-1"/>
              </w:rPr>
              <w:t xml:space="preserve"> (</w:t>
            </w:r>
            <w:r w:rsidRPr="00094BB8">
              <w:t>In</w:t>
            </w:r>
            <w:r w:rsidRPr="00094BB8">
              <w:rPr>
                <w:spacing w:val="-1"/>
              </w:rPr>
              <w:t>cludes</w:t>
            </w:r>
            <w:r w:rsidRPr="00094BB8">
              <w:t xml:space="preserve"> </w:t>
            </w:r>
            <w:r w:rsidRPr="00094BB8">
              <w:rPr>
                <w:spacing w:val="-1"/>
              </w:rPr>
              <w:t>a</w:t>
            </w:r>
            <w:r w:rsidRPr="00094BB8">
              <w:t>lt</w:t>
            </w:r>
            <w:r w:rsidRPr="00094BB8">
              <w:rPr>
                <w:spacing w:val="-1"/>
              </w:rPr>
              <w:t>-f</w:t>
            </w:r>
            <w:r w:rsidRPr="00094BB8">
              <w:t>u</w:t>
            </w:r>
            <w:r w:rsidRPr="00094BB8">
              <w:rPr>
                <w:spacing w:val="-1"/>
              </w:rPr>
              <w:t>e</w:t>
            </w:r>
            <w:r w:rsidRPr="00094BB8">
              <w:t>l,</w:t>
            </w:r>
            <w:r w:rsidRPr="00094BB8">
              <w:rPr>
                <w:spacing w:val="2"/>
              </w:rPr>
              <w:t xml:space="preserve"> </w:t>
            </w:r>
            <w:r w:rsidRPr="00094BB8">
              <w:rPr>
                <w:spacing w:val="-1"/>
              </w:rPr>
              <w:t>f</w:t>
            </w:r>
            <w:r w:rsidRPr="00094BB8">
              <w:t>l</w:t>
            </w:r>
            <w:r w:rsidRPr="00094BB8">
              <w:rPr>
                <w:spacing w:val="-1"/>
              </w:rPr>
              <w:t>e</w:t>
            </w:r>
            <w:r w:rsidRPr="00094BB8">
              <w:rPr>
                <w:spacing w:val="2"/>
              </w:rPr>
              <w:t>x</w:t>
            </w:r>
            <w:r w:rsidRPr="00094BB8">
              <w:rPr>
                <w:spacing w:val="-1"/>
              </w:rPr>
              <w:t>-f</w:t>
            </w:r>
            <w:r w:rsidRPr="00094BB8">
              <w:t>u</w:t>
            </w:r>
            <w:r w:rsidRPr="00094BB8">
              <w:rPr>
                <w:spacing w:val="-1"/>
              </w:rPr>
              <w:t>e</w:t>
            </w:r>
            <w:r w:rsidRPr="00094BB8">
              <w:t xml:space="preserve">l, </w:t>
            </w:r>
            <w:r w:rsidRPr="00094BB8">
              <w:rPr>
                <w:spacing w:val="2"/>
              </w:rPr>
              <w:t>h</w:t>
            </w:r>
            <w:r w:rsidRPr="00094BB8">
              <w:rPr>
                <w:spacing w:val="-5"/>
              </w:rPr>
              <w:t>y</w:t>
            </w:r>
            <w:r w:rsidRPr="00094BB8">
              <w:rPr>
                <w:spacing w:val="2"/>
              </w:rPr>
              <w:t>b</w:t>
            </w:r>
            <w:r w:rsidRPr="00094BB8">
              <w:rPr>
                <w:spacing w:val="-1"/>
              </w:rPr>
              <w:t>r</w:t>
            </w:r>
            <w:r w:rsidRPr="00094BB8">
              <w:t>id)</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AF4B617" w14:textId="77777777" w:rsidR="00F80E94" w:rsidRPr="00094BB8" w:rsidRDefault="00F80E94" w:rsidP="00306CF3">
            <w:pPr>
              <w:pStyle w:val="NoSpacing"/>
              <w:ind w:right="18"/>
              <w:jc w:val="right"/>
            </w:pPr>
            <w:r w:rsidRPr="00094BB8">
              <w:t>$50</w:t>
            </w:r>
          </w:p>
        </w:tc>
      </w:tr>
      <w:tr w:rsidR="00F80E94" w:rsidRPr="00094BB8" w14:paraId="79815816" w14:textId="77777777" w:rsidTr="00306CF3">
        <w:trPr>
          <w:trHeight w:val="300"/>
          <w:jc w:val="center"/>
        </w:trPr>
        <w:tc>
          <w:tcPr>
            <w:tcW w:w="54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5E07ED7" w14:textId="77777777" w:rsidR="00F80E94" w:rsidRPr="00094BB8" w:rsidRDefault="00F80E94" w:rsidP="00306CF3">
            <w:pPr>
              <w:pStyle w:val="NoSpacing"/>
              <w:ind w:right="18"/>
            </w:pPr>
            <w:r w:rsidRPr="00094BB8">
              <w:t>Sport Utility Vehicle</w:t>
            </w:r>
            <w:r w:rsidRPr="00094BB8">
              <w:rPr>
                <w:spacing w:val="-1"/>
              </w:rPr>
              <w:t xml:space="preserve"> (</w:t>
            </w:r>
            <w:r w:rsidRPr="00094BB8">
              <w:t>In</w:t>
            </w:r>
            <w:r w:rsidRPr="00094BB8">
              <w:rPr>
                <w:spacing w:val="-1"/>
              </w:rPr>
              <w:t>cludes</w:t>
            </w:r>
            <w:r w:rsidRPr="00094BB8">
              <w:rPr>
                <w:spacing w:val="2"/>
              </w:rPr>
              <w:t xml:space="preserve"> </w:t>
            </w:r>
            <w:r w:rsidRPr="00094BB8">
              <w:rPr>
                <w:spacing w:val="-1"/>
              </w:rPr>
              <w:t>f</w:t>
            </w:r>
            <w:r w:rsidRPr="00094BB8">
              <w:t>l</w:t>
            </w:r>
            <w:r w:rsidRPr="00094BB8">
              <w:rPr>
                <w:spacing w:val="-1"/>
              </w:rPr>
              <w:t>e</w:t>
            </w:r>
            <w:r w:rsidRPr="00094BB8">
              <w:rPr>
                <w:spacing w:val="2"/>
              </w:rPr>
              <w:t>x</w:t>
            </w:r>
            <w:r w:rsidRPr="00094BB8">
              <w:rPr>
                <w:spacing w:val="-1"/>
              </w:rPr>
              <w:t>-f</w:t>
            </w:r>
            <w:r w:rsidRPr="00094BB8">
              <w:t>u</w:t>
            </w:r>
            <w:r w:rsidRPr="00094BB8">
              <w:rPr>
                <w:spacing w:val="-1"/>
              </w:rPr>
              <w:t>e</w:t>
            </w:r>
            <w:r w:rsidRPr="00094BB8">
              <w:t xml:space="preserve">l </w:t>
            </w:r>
            <w:r w:rsidRPr="00094BB8">
              <w:rPr>
                <w:spacing w:val="-1"/>
              </w:rPr>
              <w:t>a</w:t>
            </w:r>
            <w:r w:rsidRPr="00094BB8">
              <w:t xml:space="preserve">nd </w:t>
            </w:r>
            <w:r w:rsidRPr="00094BB8">
              <w:rPr>
                <w:spacing w:val="2"/>
              </w:rPr>
              <w:t>h</w:t>
            </w:r>
            <w:r w:rsidRPr="00094BB8">
              <w:rPr>
                <w:spacing w:val="-5"/>
              </w:rPr>
              <w:t>y</w:t>
            </w:r>
            <w:r w:rsidRPr="00094BB8">
              <w:rPr>
                <w:spacing w:val="2"/>
              </w:rPr>
              <w:t>b</w:t>
            </w:r>
            <w:r w:rsidRPr="00094BB8">
              <w:rPr>
                <w:spacing w:val="-1"/>
              </w:rPr>
              <w:t>r</w:t>
            </w:r>
            <w:r w:rsidRPr="00094BB8">
              <w:t>id)</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406EE62E" w14:textId="77777777" w:rsidR="00F80E94" w:rsidRPr="00094BB8" w:rsidRDefault="00F80E94" w:rsidP="00306CF3">
            <w:pPr>
              <w:pStyle w:val="NoSpacing"/>
              <w:ind w:right="18"/>
              <w:jc w:val="right"/>
            </w:pPr>
            <w:r w:rsidRPr="00094BB8">
              <w:t>$75</w:t>
            </w:r>
          </w:p>
        </w:tc>
      </w:tr>
      <w:tr w:rsidR="00F80E94" w:rsidRPr="00094BB8" w14:paraId="69A121A7" w14:textId="77777777" w:rsidTr="00306CF3">
        <w:trPr>
          <w:trHeight w:val="300"/>
          <w:jc w:val="center"/>
        </w:trPr>
        <w:tc>
          <w:tcPr>
            <w:tcW w:w="5403" w:type="dxa"/>
            <w:tcBorders>
              <w:top w:val="single" w:sz="4" w:space="0" w:color="000000" w:themeColor="text1"/>
              <w:left w:val="single" w:sz="4" w:space="0" w:color="000000" w:themeColor="text1"/>
              <w:bottom w:val="single" w:sz="4" w:space="0" w:color="000000" w:themeColor="text1"/>
              <w:right w:val="single" w:sz="4" w:space="0" w:color="auto"/>
            </w:tcBorders>
            <w:noWrap/>
          </w:tcPr>
          <w:p w14:paraId="721D3AFA" w14:textId="77777777" w:rsidR="00F80E94" w:rsidRPr="00094BB8" w:rsidRDefault="00F80E94" w:rsidP="00306CF3">
            <w:pPr>
              <w:pStyle w:val="NoSpacing"/>
              <w:ind w:right="18"/>
            </w:pPr>
            <w:r w:rsidRPr="00094BB8">
              <w:t>7 Passenger Mini Van</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66C73BE" w14:textId="77777777" w:rsidR="00F80E94" w:rsidRPr="00094BB8" w:rsidRDefault="00F80E94" w:rsidP="00306CF3">
            <w:pPr>
              <w:pStyle w:val="NoSpacing"/>
              <w:ind w:right="18"/>
              <w:jc w:val="right"/>
            </w:pPr>
            <w:r w:rsidRPr="00094BB8">
              <w:t>$75</w:t>
            </w:r>
          </w:p>
        </w:tc>
      </w:tr>
      <w:tr w:rsidR="00F80E94" w:rsidRPr="00094BB8" w14:paraId="46AEFA01" w14:textId="77777777" w:rsidTr="00306CF3">
        <w:trPr>
          <w:trHeight w:val="300"/>
          <w:jc w:val="center"/>
        </w:trPr>
        <w:tc>
          <w:tcPr>
            <w:tcW w:w="5403" w:type="dxa"/>
            <w:tcBorders>
              <w:top w:val="single" w:sz="4" w:space="0" w:color="000000" w:themeColor="text1"/>
              <w:left w:val="single" w:sz="4" w:space="0" w:color="000000" w:themeColor="text1"/>
              <w:bottom w:val="single" w:sz="4" w:space="0" w:color="000000" w:themeColor="text1"/>
              <w:right w:val="single" w:sz="4" w:space="0" w:color="auto"/>
            </w:tcBorders>
            <w:noWrap/>
          </w:tcPr>
          <w:p w14:paraId="6594F781" w14:textId="77777777" w:rsidR="00F80E94" w:rsidRPr="00094BB8" w:rsidRDefault="00F80E94" w:rsidP="00306CF3">
            <w:pPr>
              <w:pStyle w:val="NoSpacing"/>
              <w:ind w:right="18"/>
            </w:pPr>
            <w:r w:rsidRPr="00094BB8">
              <w:t>12 Passenger Van</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EE80906" w14:textId="77777777" w:rsidR="00F80E94" w:rsidRPr="00094BB8" w:rsidRDefault="00F80E94" w:rsidP="00306CF3">
            <w:pPr>
              <w:pStyle w:val="NoSpacing"/>
              <w:ind w:right="18"/>
              <w:jc w:val="right"/>
            </w:pPr>
            <w:r w:rsidRPr="00094BB8">
              <w:t>$110</w:t>
            </w:r>
          </w:p>
        </w:tc>
      </w:tr>
      <w:tr w:rsidR="00F80E94" w:rsidRPr="00094BB8" w14:paraId="6DD12EE3" w14:textId="77777777" w:rsidTr="00306CF3">
        <w:trPr>
          <w:trHeight w:val="300"/>
          <w:jc w:val="center"/>
        </w:trPr>
        <w:tc>
          <w:tcPr>
            <w:tcW w:w="5403" w:type="dxa"/>
            <w:tcBorders>
              <w:top w:val="single" w:sz="4" w:space="0" w:color="000000" w:themeColor="text1"/>
              <w:left w:val="single" w:sz="4" w:space="0" w:color="000000" w:themeColor="text1"/>
              <w:bottom w:val="single" w:sz="4" w:space="0" w:color="000000" w:themeColor="text1"/>
              <w:right w:val="single" w:sz="4" w:space="0" w:color="auto"/>
            </w:tcBorders>
            <w:noWrap/>
          </w:tcPr>
          <w:p w14:paraId="41B9D580" w14:textId="77777777" w:rsidR="00F80E94" w:rsidRPr="00094BB8" w:rsidRDefault="00F80E94" w:rsidP="00306CF3">
            <w:pPr>
              <w:pStyle w:val="NoSpacing"/>
              <w:ind w:right="18"/>
            </w:pPr>
            <w:r w:rsidRPr="00094BB8">
              <w:t>Cargo Van</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14060E0" w14:textId="77777777" w:rsidR="00F80E94" w:rsidRPr="00094BB8" w:rsidRDefault="00F80E94" w:rsidP="00306CF3">
            <w:pPr>
              <w:pStyle w:val="NoSpacing"/>
              <w:ind w:right="18"/>
              <w:jc w:val="right"/>
            </w:pPr>
            <w:r w:rsidRPr="00094BB8">
              <w:t>$50</w:t>
            </w:r>
          </w:p>
        </w:tc>
      </w:tr>
      <w:tr w:rsidR="00F80E94" w:rsidRPr="00094BB8" w14:paraId="31AD3F08" w14:textId="77777777" w:rsidTr="00306CF3">
        <w:trPr>
          <w:trHeight w:val="300"/>
          <w:jc w:val="center"/>
        </w:trPr>
        <w:tc>
          <w:tcPr>
            <w:tcW w:w="5403" w:type="dxa"/>
            <w:tcBorders>
              <w:top w:val="single" w:sz="4" w:space="0" w:color="000000" w:themeColor="text1"/>
              <w:left w:val="single" w:sz="4" w:space="0" w:color="000000" w:themeColor="text1"/>
              <w:bottom w:val="single" w:sz="4" w:space="0" w:color="000000" w:themeColor="text1"/>
              <w:right w:val="single" w:sz="4" w:space="0" w:color="auto"/>
            </w:tcBorders>
            <w:noWrap/>
          </w:tcPr>
          <w:p w14:paraId="0D00BF8A" w14:textId="77777777" w:rsidR="00F80E94" w:rsidRPr="00094BB8" w:rsidRDefault="00F80E94" w:rsidP="00306CF3">
            <w:pPr>
              <w:pStyle w:val="NoSpacing"/>
              <w:ind w:right="18"/>
            </w:pPr>
            <w:r w:rsidRPr="00094BB8">
              <w:rPr>
                <w:spacing w:val="3"/>
              </w:rPr>
              <w:t>Pickup</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0C0DB62" w14:textId="77777777" w:rsidR="00F80E94" w:rsidRPr="00094BB8" w:rsidRDefault="00F80E94" w:rsidP="00306CF3">
            <w:pPr>
              <w:pStyle w:val="NoSpacing"/>
              <w:ind w:right="18"/>
              <w:jc w:val="right"/>
            </w:pPr>
            <w:r w:rsidRPr="00094BB8">
              <w:t>$75</w:t>
            </w:r>
          </w:p>
        </w:tc>
      </w:tr>
    </w:tbl>
    <w:p w14:paraId="5E57D645" w14:textId="77777777" w:rsidR="00F80E94" w:rsidRDefault="00F80E94" w:rsidP="00F80E94">
      <w:pPr>
        <w:ind w:right="18"/>
      </w:pPr>
    </w:p>
    <w:p w14:paraId="7CBD6745" w14:textId="77777777" w:rsidR="00753208" w:rsidRDefault="00753208" w:rsidP="00F80E94">
      <w:pPr>
        <w:ind w:right="18"/>
      </w:pPr>
    </w:p>
    <w:p w14:paraId="064B5944" w14:textId="77777777" w:rsidR="00753208" w:rsidRDefault="00753208" w:rsidP="00F80E94">
      <w:pPr>
        <w:ind w:right="18"/>
      </w:pPr>
    </w:p>
    <w:p w14:paraId="50BB8FA6" w14:textId="77777777" w:rsidR="00753208" w:rsidRDefault="00753208" w:rsidP="00F80E94">
      <w:pPr>
        <w:ind w:right="18"/>
      </w:pPr>
    </w:p>
    <w:p w14:paraId="50AF2EDE" w14:textId="77777777" w:rsidR="00BB661F" w:rsidRDefault="00F80E94" w:rsidP="00F03D73">
      <w:r w:rsidRPr="00361D27">
        <w:rPr>
          <w:b/>
        </w:rPr>
        <w:lastRenderedPageBreak/>
        <w:t>Monthly Rental Rates:</w:t>
      </w:r>
      <w:r w:rsidRPr="00361D27">
        <w:t xml:space="preserve"> </w:t>
      </w:r>
      <w:bookmarkStart w:id="59" w:name="OLE_LINK1"/>
      <w:r w:rsidRPr="005D0078">
        <w:t>Fleet bills agencies a monthly rate that includes vehicle acquisition costs and administrative overhead. In addition, Fleet passes the actual cost of vehicle maintenance to customers and passes through fuel costs, plus $0.1</w:t>
      </w:r>
      <w:r>
        <w:t>2</w:t>
      </w:r>
      <w:r w:rsidRPr="005D0078">
        <w:t xml:space="preserve"> per gallon, to cover the overhead of managing the fuel infrastructure.</w:t>
      </w:r>
    </w:p>
    <w:p w14:paraId="79DC2A03" w14:textId="25BB8493" w:rsidR="00F80E94" w:rsidRDefault="00F80E94" w:rsidP="00F03D73">
      <w:r w:rsidRPr="005D0078">
        <w:t xml:space="preserve">Note: Rates for specialty and miscellaneous vehicle types are available upon request. Fleet reserves the right to establish new or adjust existing rates as necessary, based on changes in purchasing cost, usage patterns or special configurations. View </w:t>
      </w:r>
      <w:hyperlink r:id="rId34" w:history="1">
        <w:r w:rsidRPr="00BB661F">
          <w:rPr>
            <w:rStyle w:val="Hyperlink"/>
          </w:rPr>
          <w:t>Fleet’s monthly rental rates online</w:t>
        </w:r>
      </w:hyperlink>
      <w:r w:rsidR="00BB661F">
        <w:t>.</w:t>
      </w:r>
    </w:p>
    <w:bookmarkEnd w:id="59"/>
    <w:p w14:paraId="0E449D65" w14:textId="77777777" w:rsidR="00F80E94" w:rsidRPr="00225579" w:rsidRDefault="00F80E94" w:rsidP="00F03D73">
      <w:pPr>
        <w:rPr>
          <w:b/>
          <w:highlight w:val="yellow"/>
        </w:rPr>
      </w:pPr>
      <w:r w:rsidRPr="00361D27">
        <w:rPr>
          <w:b/>
        </w:rPr>
        <w:t xml:space="preserve">Depreciated Permanently Assigned Vehicles: </w:t>
      </w:r>
      <w:r w:rsidRPr="00225579">
        <w:t xml:space="preserve">Vehicles are depreciated over a period of years to an established salvage value; not to zero value. The salvage value is a calculated percentage of the original acquisition cost of the vehicle based on historical sale revenues for that type of vehicle. </w:t>
      </w:r>
    </w:p>
    <w:p w14:paraId="7956D92B" w14:textId="77777777" w:rsidR="00F80E94" w:rsidRPr="00225579" w:rsidRDefault="00F80E94" w:rsidP="00F03D73">
      <w:r w:rsidRPr="00225579">
        <w:t>If an agency returns a vehicle prior to the end of the chosen depreciation schedule, the agency may be charged for the remaining depreciation if Fleet cannot find a new customer to rent the vehicle or if the program must sell the vehicle at a loss.</w:t>
      </w:r>
    </w:p>
    <w:p w14:paraId="13D650A4" w14:textId="77777777" w:rsidR="00F80E94" w:rsidRPr="0044708A" w:rsidRDefault="00F80E94" w:rsidP="00ED5647">
      <w:pPr>
        <w:pStyle w:val="ListParagraph"/>
        <w:numPr>
          <w:ilvl w:val="0"/>
          <w:numId w:val="52"/>
        </w:numPr>
      </w:pPr>
      <w:r w:rsidRPr="0044708A">
        <w:t xml:space="preserve">Vehicles that are fully depreciated will have a rate of </w:t>
      </w:r>
      <w:r w:rsidRPr="00ED5647">
        <w:rPr>
          <w:b/>
          <w:bCs/>
        </w:rPr>
        <w:t>$217 per month</w:t>
      </w:r>
      <w:r w:rsidRPr="0044708A">
        <w:t xml:space="preserve"> plus fuel and maintenance.</w:t>
      </w:r>
    </w:p>
    <w:p w14:paraId="7FD6DEF5" w14:textId="5C232175" w:rsidR="00F80E94" w:rsidRPr="0044708A" w:rsidRDefault="00F80E94" w:rsidP="00ED5647">
      <w:pPr>
        <w:pStyle w:val="ListParagraph"/>
        <w:numPr>
          <w:ilvl w:val="0"/>
          <w:numId w:val="52"/>
        </w:numPr>
      </w:pPr>
      <w:r w:rsidRPr="0044708A">
        <w:t>These vehicles may experience higher-than-normal maintenance costs due to age and miles.</w:t>
      </w:r>
    </w:p>
    <w:p w14:paraId="12A8206A" w14:textId="630AE585" w:rsidR="00094BB8" w:rsidRDefault="00F80E94" w:rsidP="00F03D73">
      <w:pPr>
        <w:rPr>
          <w:szCs w:val="24"/>
        </w:rPr>
      </w:pPr>
      <w:r w:rsidRPr="00094BB8">
        <w:rPr>
          <w:b/>
          <w:szCs w:val="24"/>
        </w:rPr>
        <w:t xml:space="preserve">Seasonal Rental Vehicles: </w:t>
      </w:r>
      <w:r w:rsidRPr="00094BB8">
        <w:rPr>
          <w:szCs w:val="24"/>
        </w:rPr>
        <w:t>(Vehicles rented for more than 30 days and less than one year.)</w:t>
      </w:r>
    </w:p>
    <w:p w14:paraId="66C145C5" w14:textId="16429057" w:rsidR="00F80E94" w:rsidRPr="00ED5647" w:rsidRDefault="00F80E94" w:rsidP="00ED5647">
      <w:pPr>
        <w:pStyle w:val="ListParagraph"/>
        <w:numPr>
          <w:ilvl w:val="0"/>
          <w:numId w:val="53"/>
        </w:numPr>
        <w:rPr>
          <w:szCs w:val="24"/>
        </w:rPr>
      </w:pPr>
      <w:r w:rsidRPr="00ED5647">
        <w:rPr>
          <w:szCs w:val="24"/>
        </w:rPr>
        <w:t xml:space="preserve">Non-fully depreciated seasonal vehicles will have the same rate as a permanently assigned vehicle of the same class description plus fuel and maintenance. </w:t>
      </w:r>
    </w:p>
    <w:p w14:paraId="1FA3B0EB" w14:textId="45C31399" w:rsidR="00F80E94" w:rsidRPr="00ED5647" w:rsidRDefault="00F80E94" w:rsidP="00ED5647">
      <w:pPr>
        <w:pStyle w:val="ListParagraph"/>
        <w:numPr>
          <w:ilvl w:val="0"/>
          <w:numId w:val="53"/>
        </w:numPr>
        <w:rPr>
          <w:szCs w:val="24"/>
        </w:rPr>
      </w:pPr>
      <w:r w:rsidRPr="00ED5647">
        <w:rPr>
          <w:szCs w:val="24"/>
        </w:rPr>
        <w:t xml:space="preserve">Fully depreciated seasonal vehicles will have a rate of </w:t>
      </w:r>
      <w:r w:rsidRPr="00ED5647">
        <w:rPr>
          <w:b/>
          <w:bCs/>
          <w:szCs w:val="24"/>
        </w:rPr>
        <w:t>$520 per month</w:t>
      </w:r>
      <w:r w:rsidRPr="00ED5647">
        <w:rPr>
          <w:szCs w:val="24"/>
        </w:rPr>
        <w:t xml:space="preserve"> plus fuel. Regular maintenance and repair costs are included in the monthly rental rate. Accident and body damage repairs and excessive wear and tear repairs will be charged separately.</w:t>
      </w:r>
    </w:p>
    <w:p w14:paraId="64055602" w14:textId="0262874E" w:rsidR="009574B3" w:rsidRPr="00F03D73" w:rsidRDefault="00F80E94" w:rsidP="00F03D73">
      <w:r w:rsidRPr="00361D27">
        <w:rPr>
          <w:b/>
        </w:rPr>
        <w:t xml:space="preserve">Accelerated or Rough Use Vehicles: </w:t>
      </w:r>
      <w:r w:rsidRPr="00225579">
        <w:t>Vehicles are depreciated over a period of years. If an agency uses a vehicle at an accelerated rate and the vehicle reaches the replacement mileage criteria before the end of the depreciation schedule, or if the agency has used the vehicle in a way that makes the vehicle not viable for continued use for the extent of the depreciation schedule, the agency will be charged for the remaining depreciation value, minus what Fleet recovers from salvage or sale of the vehicle.</w:t>
      </w:r>
    </w:p>
    <w:p w14:paraId="18A40A0F" w14:textId="45763CBF" w:rsidR="00F80E94" w:rsidRPr="00E35772" w:rsidRDefault="00F80E94" w:rsidP="00F03D73">
      <w:pPr>
        <w:rPr>
          <w:b/>
        </w:rPr>
      </w:pPr>
      <w:r w:rsidRPr="00E35772">
        <w:rPr>
          <w:b/>
        </w:rPr>
        <w:t>Example:</w:t>
      </w:r>
    </w:p>
    <w:p w14:paraId="68229F90" w14:textId="4E75B2D2" w:rsidR="00F80E94" w:rsidRDefault="00F80E94" w:rsidP="00F03D73">
      <w:r w:rsidRPr="00464A48">
        <w:t xml:space="preserve">An agency receives a new vehicle that </w:t>
      </w:r>
      <w:r w:rsidR="00F03D73" w:rsidRPr="00464A48">
        <w:t>costs</w:t>
      </w:r>
      <w:r w:rsidRPr="00464A48">
        <w:t xml:space="preserve"> $18,000 in 20</w:t>
      </w:r>
      <w:r>
        <w:t>10</w:t>
      </w:r>
      <w:r w:rsidRPr="00464A48">
        <w:t xml:space="preserve"> and drives it 35,000 miles per year. The vehicle passes the current 130,000-mile replacement criterion after only half of </w:t>
      </w:r>
      <w:r w:rsidRPr="00464A48">
        <w:lastRenderedPageBreak/>
        <w:t xml:space="preserve">the vehicle’s depreciation schedule; the residual depreciation value is $8,100. Fleet receives $5,500 from the sale of the vehicle. The agency owes </w:t>
      </w:r>
      <w:r>
        <w:t xml:space="preserve">Fleet </w:t>
      </w:r>
      <w:r w:rsidRPr="00464A48">
        <w:t>the remaining $2,600.</w:t>
      </w:r>
    </w:p>
    <w:p w14:paraId="09D0306F" w14:textId="68789BB4" w:rsidR="00F80E94" w:rsidRPr="00094BB8" w:rsidRDefault="00F80E94" w:rsidP="00F03D73">
      <w:pPr>
        <w:rPr>
          <w:b/>
        </w:rPr>
      </w:pPr>
      <w:r w:rsidRPr="00094BB8">
        <w:rPr>
          <w:b/>
        </w:rPr>
        <w:t>Vehicle Repair/Maintenance:</w:t>
      </w:r>
    </w:p>
    <w:p w14:paraId="12DEC906" w14:textId="77777777" w:rsidR="00F80E94" w:rsidRPr="00094BB8" w:rsidRDefault="00F80E94" w:rsidP="00F80E94">
      <w:pPr>
        <w:spacing w:after="0" w:line="240" w:lineRule="auto"/>
        <w:ind w:right="18"/>
      </w:pPr>
    </w:p>
    <w:tbl>
      <w:tblPr>
        <w:tblW w:w="7902" w:type="dxa"/>
        <w:jc w:val="center"/>
        <w:tblLook w:val="04A0" w:firstRow="1" w:lastRow="0" w:firstColumn="1" w:lastColumn="0" w:noHBand="0" w:noVBand="1"/>
      </w:tblPr>
      <w:tblGrid>
        <w:gridCol w:w="5660"/>
        <w:gridCol w:w="2242"/>
      </w:tblGrid>
      <w:tr w:rsidR="00F80E94" w:rsidRPr="00094BB8" w14:paraId="1EED72EE" w14:textId="77777777" w:rsidTr="00306CF3">
        <w:trPr>
          <w:trHeight w:val="349"/>
          <w:jc w:val="center"/>
        </w:trPr>
        <w:tc>
          <w:tcPr>
            <w:tcW w:w="56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07D2B596" w14:textId="77777777" w:rsidR="00F80E94" w:rsidRPr="00094BB8" w:rsidRDefault="00F80E94" w:rsidP="00306CF3">
            <w:pPr>
              <w:pStyle w:val="NoSpacing"/>
              <w:ind w:right="18"/>
              <w:jc w:val="center"/>
              <w:rPr>
                <w:b/>
              </w:rPr>
            </w:pPr>
            <w:r w:rsidRPr="00094BB8">
              <w:rPr>
                <w:b/>
              </w:rPr>
              <w:br w:type="page"/>
              <w:t>Shop Services</w:t>
            </w:r>
          </w:p>
        </w:tc>
        <w:tc>
          <w:tcPr>
            <w:tcW w:w="2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8CFD21" w14:textId="77777777" w:rsidR="00F80E94" w:rsidRPr="00094BB8" w:rsidRDefault="00F80E94" w:rsidP="00306CF3">
            <w:pPr>
              <w:pStyle w:val="NoSpacing"/>
              <w:ind w:right="18"/>
              <w:jc w:val="center"/>
              <w:rPr>
                <w:b/>
                <w:bCs/>
              </w:rPr>
            </w:pPr>
            <w:r w:rsidRPr="00094BB8">
              <w:rPr>
                <w:b/>
                <w:bCs/>
              </w:rPr>
              <w:t>2027-29</w:t>
            </w:r>
          </w:p>
          <w:p w14:paraId="70D7B952" w14:textId="77777777" w:rsidR="00F80E94" w:rsidRPr="00094BB8" w:rsidRDefault="00F80E94" w:rsidP="00306CF3">
            <w:pPr>
              <w:pStyle w:val="NoSpacing"/>
              <w:ind w:right="18"/>
              <w:jc w:val="center"/>
              <w:rPr>
                <w:b/>
              </w:rPr>
            </w:pPr>
            <w:r w:rsidRPr="00094BB8">
              <w:rPr>
                <w:b/>
              </w:rPr>
              <w:t>Rate</w:t>
            </w:r>
          </w:p>
        </w:tc>
      </w:tr>
      <w:tr w:rsidR="00F80E94" w:rsidRPr="00094BB8" w14:paraId="58EF89B2" w14:textId="77777777" w:rsidTr="00306CF3">
        <w:trPr>
          <w:trHeight w:val="300"/>
          <w:jc w:val="center"/>
        </w:trPr>
        <w:tc>
          <w:tcPr>
            <w:tcW w:w="56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65EDCEB" w14:textId="77777777" w:rsidR="00F80E94" w:rsidRPr="00094BB8" w:rsidRDefault="00F80E94" w:rsidP="00306CF3">
            <w:pPr>
              <w:pStyle w:val="NoSpacing"/>
              <w:ind w:right="18"/>
            </w:pPr>
            <w:r w:rsidRPr="00094BB8">
              <w:t>Motor</w:t>
            </w:r>
            <w:r w:rsidRPr="00094BB8">
              <w:rPr>
                <w:spacing w:val="-1"/>
              </w:rPr>
              <w:t xml:space="preserve"> </w:t>
            </w:r>
            <w:r w:rsidRPr="00094BB8">
              <w:t xml:space="preserve">Pool Shop </w:t>
            </w:r>
            <w:r w:rsidRPr="00094BB8">
              <w:rPr>
                <w:spacing w:val="-3"/>
              </w:rPr>
              <w:t>L</w:t>
            </w:r>
            <w:r w:rsidRPr="00094BB8">
              <w:rPr>
                <w:spacing w:val="-1"/>
              </w:rPr>
              <w:t>a</w:t>
            </w:r>
            <w:r w:rsidRPr="00094BB8">
              <w:t>bor</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04DEFA6" w14:textId="77777777" w:rsidR="00F80E94" w:rsidRPr="00094BB8" w:rsidRDefault="00F80E94" w:rsidP="00306CF3">
            <w:pPr>
              <w:pStyle w:val="NoSpacing"/>
              <w:ind w:right="18"/>
              <w:jc w:val="right"/>
            </w:pPr>
            <w:r w:rsidRPr="00094BB8">
              <w:t>$170 per hour</w:t>
            </w:r>
          </w:p>
        </w:tc>
      </w:tr>
      <w:tr w:rsidR="00F80E94" w:rsidRPr="00094BB8" w14:paraId="32E87C12" w14:textId="77777777" w:rsidTr="00306CF3">
        <w:trPr>
          <w:trHeight w:val="300"/>
          <w:jc w:val="center"/>
        </w:trPr>
        <w:tc>
          <w:tcPr>
            <w:tcW w:w="56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8825C0F" w14:textId="77777777" w:rsidR="00F80E94" w:rsidRPr="00094BB8" w:rsidRDefault="00F80E94" w:rsidP="00306CF3">
            <w:pPr>
              <w:pStyle w:val="NoSpacing"/>
              <w:ind w:right="18"/>
            </w:pPr>
            <w:r w:rsidRPr="00094BB8">
              <w:t>Motor</w:t>
            </w:r>
            <w:r w:rsidRPr="00094BB8">
              <w:rPr>
                <w:spacing w:val="-1"/>
              </w:rPr>
              <w:t xml:space="preserve"> </w:t>
            </w:r>
            <w:r w:rsidRPr="00094BB8">
              <w:t>Pool P</w:t>
            </w:r>
            <w:r w:rsidRPr="00094BB8">
              <w:rPr>
                <w:spacing w:val="-1"/>
              </w:rPr>
              <w:t>ar</w:t>
            </w:r>
            <w:r w:rsidRPr="00094BB8">
              <w:t>ts M</w:t>
            </w:r>
            <w:r w:rsidRPr="00094BB8">
              <w:rPr>
                <w:spacing w:val="-1"/>
              </w:rPr>
              <w:t>ar</w:t>
            </w:r>
            <w:r w:rsidRPr="00094BB8">
              <w:t>kup</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C12A8F4" w14:textId="77777777" w:rsidR="00F80E94" w:rsidRPr="00094BB8" w:rsidRDefault="00F80E94" w:rsidP="00306CF3">
            <w:pPr>
              <w:pStyle w:val="NoSpacing"/>
              <w:ind w:right="18"/>
              <w:jc w:val="right"/>
            </w:pPr>
            <w:r w:rsidRPr="00094BB8">
              <w:t>40%</w:t>
            </w:r>
          </w:p>
        </w:tc>
      </w:tr>
      <w:tr w:rsidR="00F80E94" w:rsidRPr="00094BB8" w14:paraId="33B0A9F5" w14:textId="77777777" w:rsidTr="00306CF3">
        <w:trPr>
          <w:trHeight w:val="300"/>
          <w:jc w:val="center"/>
        </w:trPr>
        <w:tc>
          <w:tcPr>
            <w:tcW w:w="56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BEC99CE" w14:textId="77777777" w:rsidR="00F80E94" w:rsidRPr="00094BB8" w:rsidRDefault="00F80E94" w:rsidP="00306CF3">
            <w:pPr>
              <w:pStyle w:val="NoSpacing"/>
              <w:ind w:right="18"/>
            </w:pPr>
            <w:r w:rsidRPr="00094BB8">
              <w:t>Mis</w:t>
            </w:r>
            <w:r w:rsidRPr="00094BB8">
              <w:rPr>
                <w:spacing w:val="-1"/>
              </w:rPr>
              <w:t>ce</w:t>
            </w:r>
            <w:r w:rsidRPr="00094BB8">
              <w:t>ll</w:t>
            </w:r>
            <w:r w:rsidRPr="00094BB8">
              <w:rPr>
                <w:spacing w:val="-1"/>
              </w:rPr>
              <w:t>a</w:t>
            </w:r>
            <w:r w:rsidRPr="00094BB8">
              <w:t>n</w:t>
            </w:r>
            <w:r w:rsidRPr="00094BB8">
              <w:rPr>
                <w:spacing w:val="-1"/>
              </w:rPr>
              <w:t>e</w:t>
            </w:r>
            <w:r w:rsidRPr="00094BB8">
              <w:t xml:space="preserve">ous Shop </w:t>
            </w:r>
            <w:r w:rsidRPr="00094BB8">
              <w:rPr>
                <w:spacing w:val="-1"/>
              </w:rPr>
              <w:t>E</w:t>
            </w:r>
            <w:r w:rsidRPr="00094BB8">
              <w:rPr>
                <w:spacing w:val="2"/>
              </w:rPr>
              <w:t>x</w:t>
            </w:r>
            <w:r w:rsidRPr="00094BB8">
              <w:rPr>
                <w:spacing w:val="-3"/>
              </w:rPr>
              <w:t>p</w:t>
            </w:r>
            <w:r w:rsidRPr="00094BB8">
              <w:rPr>
                <w:spacing w:val="-1"/>
              </w:rPr>
              <w:t>e</w:t>
            </w:r>
            <w:r w:rsidRPr="00094BB8">
              <w:t>nse</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ED53074" w14:textId="77777777" w:rsidR="00F80E94" w:rsidRPr="00094BB8" w:rsidRDefault="00F80E94" w:rsidP="00306CF3">
            <w:pPr>
              <w:pStyle w:val="NoSpacing"/>
              <w:ind w:right="18"/>
              <w:jc w:val="right"/>
            </w:pPr>
            <w:r w:rsidRPr="00094BB8">
              <w:t>$3 per work order</w:t>
            </w:r>
          </w:p>
        </w:tc>
      </w:tr>
      <w:tr w:rsidR="00F80E94" w:rsidRPr="00094BB8" w14:paraId="09D13A08" w14:textId="77777777" w:rsidTr="00306CF3">
        <w:trPr>
          <w:trHeight w:val="300"/>
          <w:jc w:val="center"/>
        </w:trPr>
        <w:tc>
          <w:tcPr>
            <w:tcW w:w="56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B74F15A" w14:textId="77777777" w:rsidR="00F80E94" w:rsidRPr="00094BB8" w:rsidRDefault="00F80E94" w:rsidP="00306CF3">
            <w:pPr>
              <w:pStyle w:val="NoSpacing"/>
              <w:ind w:right="18"/>
            </w:pPr>
            <w:r w:rsidRPr="00094BB8">
              <w:t>Motor</w:t>
            </w:r>
            <w:r w:rsidRPr="00094BB8">
              <w:rPr>
                <w:spacing w:val="-1"/>
              </w:rPr>
              <w:t xml:space="preserve"> </w:t>
            </w:r>
            <w:r w:rsidRPr="00094BB8">
              <w:t xml:space="preserve">Pool </w:t>
            </w:r>
            <w:r w:rsidRPr="00094BB8">
              <w:rPr>
                <w:spacing w:val="-1"/>
              </w:rPr>
              <w:t>Ve</w:t>
            </w:r>
            <w:r w:rsidRPr="00094BB8">
              <w:t>hi</w:t>
            </w:r>
            <w:r w:rsidRPr="00094BB8">
              <w:rPr>
                <w:spacing w:val="-1"/>
              </w:rPr>
              <w:t>c</w:t>
            </w:r>
            <w:r w:rsidRPr="00094BB8">
              <w:t>le</w:t>
            </w:r>
            <w:r w:rsidRPr="00094BB8">
              <w:rPr>
                <w:spacing w:val="-1"/>
              </w:rPr>
              <w:t xml:space="preserve"> </w:t>
            </w:r>
            <w:r w:rsidRPr="00094BB8">
              <w:rPr>
                <w:spacing w:val="1"/>
              </w:rPr>
              <w:t>W</w:t>
            </w:r>
            <w:r w:rsidRPr="00094BB8">
              <w:rPr>
                <w:spacing w:val="-1"/>
              </w:rPr>
              <w:t>a</w:t>
            </w:r>
            <w:r w:rsidRPr="00094BB8">
              <w:t>sh</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05BB8E6" w14:textId="77777777" w:rsidR="00F80E94" w:rsidRPr="00094BB8" w:rsidRDefault="00F80E94" w:rsidP="00306CF3">
            <w:pPr>
              <w:pStyle w:val="NoSpacing"/>
              <w:ind w:right="18"/>
              <w:jc w:val="right"/>
            </w:pPr>
            <w:r w:rsidRPr="00094BB8">
              <w:t>$8.5</w:t>
            </w:r>
          </w:p>
        </w:tc>
      </w:tr>
      <w:tr w:rsidR="00F80E94" w:rsidRPr="00094BB8" w14:paraId="144CE97B" w14:textId="77777777" w:rsidTr="00306CF3">
        <w:trPr>
          <w:trHeight w:val="300"/>
          <w:jc w:val="center"/>
        </w:trPr>
        <w:tc>
          <w:tcPr>
            <w:tcW w:w="56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AABFCBA" w14:textId="77777777" w:rsidR="00F80E94" w:rsidRPr="00094BB8" w:rsidRDefault="00F80E94" w:rsidP="00306CF3">
            <w:pPr>
              <w:pStyle w:val="NoSpacing"/>
              <w:ind w:right="18"/>
            </w:pPr>
            <w:r w:rsidRPr="00094BB8">
              <w:t>Shop R</w:t>
            </w:r>
            <w:r w:rsidRPr="00094BB8">
              <w:rPr>
                <w:spacing w:val="-1"/>
              </w:rPr>
              <w:t>e</w:t>
            </w:r>
            <w:r w:rsidRPr="00094BB8">
              <w:t>nt</w:t>
            </w:r>
            <w:r w:rsidRPr="00094BB8">
              <w:rPr>
                <w:spacing w:val="-1"/>
              </w:rPr>
              <w:t>a</w:t>
            </w:r>
            <w:r w:rsidRPr="00094BB8">
              <w:t xml:space="preserve">l </w:t>
            </w:r>
            <w:r w:rsidRPr="00094BB8">
              <w:rPr>
                <w:spacing w:val="-1"/>
              </w:rPr>
              <w:t>Ve</w:t>
            </w:r>
            <w:r w:rsidRPr="00094BB8">
              <w:t>hi</w:t>
            </w:r>
            <w:r w:rsidRPr="00094BB8">
              <w:rPr>
                <w:spacing w:val="-1"/>
              </w:rPr>
              <w:t>c</w:t>
            </w:r>
            <w:r w:rsidRPr="00094BB8">
              <w:t>le</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30B51C5" w14:textId="77777777" w:rsidR="00F80E94" w:rsidRPr="00094BB8" w:rsidRDefault="00F80E94" w:rsidP="00306CF3">
            <w:pPr>
              <w:pStyle w:val="NoSpacing"/>
              <w:ind w:right="18"/>
              <w:jc w:val="right"/>
            </w:pPr>
            <w:r w:rsidRPr="00094BB8">
              <w:t>$5 per day</w:t>
            </w:r>
          </w:p>
        </w:tc>
      </w:tr>
    </w:tbl>
    <w:p w14:paraId="65A5D159" w14:textId="77777777" w:rsidR="00F80E94" w:rsidRPr="00094BB8" w:rsidRDefault="00F80E94" w:rsidP="00F80E94">
      <w:pPr>
        <w:spacing w:after="0" w:line="240" w:lineRule="auto"/>
        <w:ind w:right="18"/>
      </w:pPr>
    </w:p>
    <w:p w14:paraId="255D2FFB" w14:textId="77777777" w:rsidR="00F80E94" w:rsidRDefault="00F80E94" w:rsidP="00F80E94">
      <w:pPr>
        <w:ind w:right="18"/>
        <w:rPr>
          <w:b/>
        </w:rPr>
      </w:pPr>
      <w:r w:rsidRPr="00CF681F">
        <w:rPr>
          <w:b/>
          <w:bCs/>
        </w:rPr>
        <w:t>Con</w:t>
      </w:r>
      <w:r w:rsidRPr="00CF681F">
        <w:rPr>
          <w:b/>
          <w:bCs/>
          <w:spacing w:val="-1"/>
        </w:rPr>
        <w:t>t</w:t>
      </w:r>
      <w:r w:rsidRPr="00CF681F">
        <w:rPr>
          <w:b/>
          <w:bCs/>
        </w:rPr>
        <w:t>a</w:t>
      </w:r>
      <w:r w:rsidRPr="00CF681F">
        <w:rPr>
          <w:b/>
          <w:bCs/>
          <w:spacing w:val="-1"/>
        </w:rPr>
        <w:t>c</w:t>
      </w:r>
      <w:r w:rsidRPr="00CF681F">
        <w:rPr>
          <w:b/>
          <w:bCs/>
        </w:rPr>
        <w:t xml:space="preserve">t for more information: </w:t>
      </w:r>
      <w:r>
        <w:rPr>
          <w:b/>
        </w:rPr>
        <w:t>Fleet Program Analyst</w:t>
      </w:r>
      <w:r w:rsidRPr="00B52F7B">
        <w:rPr>
          <w:b/>
        </w:rPr>
        <w:t xml:space="preserve"> at 503-</w:t>
      </w:r>
      <w:r>
        <w:rPr>
          <w:b/>
        </w:rPr>
        <w:t xml:space="preserve">378-2132 </w:t>
      </w:r>
      <w:r w:rsidRPr="00B52F7B">
        <w:rPr>
          <w:b/>
        </w:rPr>
        <w:t xml:space="preserve">or </w:t>
      </w:r>
      <w:hyperlink r:id="rId35" w:history="1">
        <w:r w:rsidRPr="00340A50">
          <w:rPr>
            <w:rStyle w:val="Hyperlink"/>
            <w:b/>
            <w:bCs/>
            <w:color w:val="000000" w:themeColor="text1"/>
          </w:rPr>
          <w:t>fleet.office@das.oregon.gov</w:t>
        </w:r>
      </w:hyperlink>
      <w:r>
        <w:rPr>
          <w:b/>
        </w:rPr>
        <w:t>.</w:t>
      </w:r>
      <w:r w:rsidRPr="00CF681F">
        <w:rPr>
          <w:b/>
        </w:rPr>
        <w:t xml:space="preserve"> </w:t>
      </w:r>
      <w:r>
        <w:rPr>
          <w:b/>
        </w:rPr>
        <w:t xml:space="preserve">Website for additional information: </w:t>
      </w:r>
      <w:hyperlink r:id="rId36" w:history="1">
        <w:r w:rsidRPr="00340A50">
          <w:rPr>
            <w:rStyle w:val="Hyperlink"/>
            <w:b/>
            <w:bCs/>
            <w:color w:val="000000" w:themeColor="text1"/>
          </w:rPr>
          <w:t>https://www.oregon.gov/das/fleetpark/pages/index.aspx</w:t>
        </w:r>
      </w:hyperlink>
      <w:r>
        <w:rPr>
          <w:b/>
        </w:rPr>
        <w:t>.</w:t>
      </w:r>
    </w:p>
    <w:p w14:paraId="03067233" w14:textId="77777777" w:rsidR="00F80E94" w:rsidRPr="008423A5" w:rsidRDefault="00F80E94" w:rsidP="2E12E5CC">
      <w:pPr>
        <w:pStyle w:val="Heading4"/>
      </w:pPr>
      <w:bookmarkStart w:id="60" w:name="_Toc226108625"/>
      <w:r w:rsidRPr="003D2558">
        <w:t>Parking Services</w:t>
      </w:r>
      <w:bookmarkEnd w:id="60"/>
    </w:p>
    <w:p w14:paraId="2957C2FB" w14:textId="77777777" w:rsidR="00F80E94" w:rsidRDefault="00F80E94" w:rsidP="00F80E94">
      <w:pPr>
        <w:rPr>
          <w:lang w:eastAsia="x-none"/>
        </w:rPr>
      </w:pPr>
      <w:r>
        <w:rPr>
          <w:lang w:eastAsia="x-none"/>
        </w:rPr>
        <w:t xml:space="preserve">Under ORS 276.591-276.601 and OAR 125-090, DAS regulates the parking fees and areas </w:t>
      </w:r>
      <w:proofErr w:type="gramStart"/>
      <w:r>
        <w:rPr>
          <w:lang w:eastAsia="x-none"/>
        </w:rPr>
        <w:t>those fees</w:t>
      </w:r>
      <w:proofErr w:type="gramEnd"/>
      <w:r>
        <w:rPr>
          <w:lang w:eastAsia="x-none"/>
        </w:rPr>
        <w:t xml:space="preserve"> are applied within the Salem Capitol Mall area, at the Portland State Office Building and at the Eugene State Office Building. Although parking rates are usually set during the normal DAS budget build, rates may change between Legislatively Adopted Budgets to increase revenues necessary to cover emergent costs relating to operation, maintenance and improvements to DAS-owned parking facilities. Current rates and any changes are posted on the DAS Parking Services website; </w:t>
      </w:r>
      <w:proofErr w:type="gramStart"/>
      <w:r>
        <w:rPr>
          <w:lang w:eastAsia="x-none"/>
        </w:rPr>
        <w:t>employee</w:t>
      </w:r>
      <w:proofErr w:type="gramEnd"/>
      <w:r>
        <w:rPr>
          <w:lang w:eastAsia="x-none"/>
        </w:rPr>
        <w:t xml:space="preserve"> and agency customers are also directly notified of changes by email. </w:t>
      </w:r>
    </w:p>
    <w:p w14:paraId="5BB6052E" w14:textId="3818EC7F" w:rsidR="009574B3" w:rsidRDefault="00F80E94" w:rsidP="00F80E94">
      <w:pPr>
        <w:ind w:right="18"/>
        <w:rPr>
          <w:rFonts w:eastAsia="Times New Roman"/>
          <w:b/>
          <w:bCs/>
          <w:u w:val="single"/>
        </w:rPr>
      </w:pPr>
      <w:r w:rsidRPr="00CF681F">
        <w:rPr>
          <w:b/>
          <w:bCs/>
        </w:rPr>
        <w:t>Con</w:t>
      </w:r>
      <w:r w:rsidRPr="00CF681F">
        <w:rPr>
          <w:b/>
          <w:bCs/>
          <w:spacing w:val="-1"/>
        </w:rPr>
        <w:t>t</w:t>
      </w:r>
      <w:r w:rsidRPr="00CF681F">
        <w:rPr>
          <w:b/>
          <w:bCs/>
        </w:rPr>
        <w:t>a</w:t>
      </w:r>
      <w:r w:rsidRPr="00CF681F">
        <w:rPr>
          <w:b/>
          <w:bCs/>
          <w:spacing w:val="-1"/>
        </w:rPr>
        <w:t>c</w:t>
      </w:r>
      <w:r w:rsidRPr="00CF681F">
        <w:rPr>
          <w:b/>
          <w:bCs/>
        </w:rPr>
        <w:t xml:space="preserve">t for more information: </w:t>
      </w:r>
      <w:r>
        <w:rPr>
          <w:b/>
        </w:rPr>
        <w:t>Dan Wright</w:t>
      </w:r>
      <w:r w:rsidRPr="00B52F7B">
        <w:rPr>
          <w:b/>
        </w:rPr>
        <w:t xml:space="preserve"> at 503-</w:t>
      </w:r>
      <w:r>
        <w:rPr>
          <w:b/>
        </w:rPr>
        <w:t>373-7783</w:t>
      </w:r>
      <w:r w:rsidRPr="00B52F7B">
        <w:rPr>
          <w:b/>
        </w:rPr>
        <w:t xml:space="preserve"> or </w:t>
      </w:r>
      <w:hyperlink r:id="rId37" w:history="1">
        <w:r w:rsidRPr="00340A50">
          <w:rPr>
            <w:rStyle w:val="Hyperlink"/>
            <w:b/>
            <w:bCs/>
            <w:color w:val="000000" w:themeColor="text1"/>
          </w:rPr>
          <w:t>dan.wright@das.oregon.gov</w:t>
        </w:r>
      </w:hyperlink>
      <w:r>
        <w:rPr>
          <w:b/>
        </w:rPr>
        <w:t>.</w:t>
      </w:r>
      <w:r w:rsidRPr="00CF681F">
        <w:rPr>
          <w:b/>
        </w:rPr>
        <w:t xml:space="preserve"> </w:t>
      </w:r>
      <w:r>
        <w:rPr>
          <w:b/>
        </w:rPr>
        <w:t>Website for Parking Services rates and more information:</w:t>
      </w:r>
      <w:r w:rsidRPr="00340A50">
        <w:rPr>
          <w:bCs/>
          <w:color w:val="000000" w:themeColor="text1"/>
        </w:rPr>
        <w:t xml:space="preserve"> </w:t>
      </w:r>
      <w:hyperlink r:id="rId38" w:history="1">
        <w:r w:rsidRPr="00340A50">
          <w:rPr>
            <w:rStyle w:val="Hyperlink"/>
            <w:b/>
            <w:color w:val="000000" w:themeColor="text1"/>
          </w:rPr>
          <w:t>https://www.oregon.gov/das/fleetpark/pages/rates.aspx</w:t>
        </w:r>
      </w:hyperlink>
      <w:r>
        <w:rPr>
          <w:b/>
        </w:rPr>
        <w:t>.</w:t>
      </w:r>
    </w:p>
    <w:p w14:paraId="559A588D" w14:textId="167FCC1C" w:rsidR="00F80E94" w:rsidRPr="008423A5" w:rsidRDefault="00F80E94" w:rsidP="2E12E5CC">
      <w:pPr>
        <w:pStyle w:val="Heading4"/>
      </w:pPr>
      <w:bookmarkStart w:id="61" w:name="_Toc226108626"/>
      <w:r w:rsidRPr="003D2558">
        <w:t>State Surplus Property</w:t>
      </w:r>
      <w:bookmarkEnd w:id="61"/>
    </w:p>
    <w:p w14:paraId="1D4404BF" w14:textId="77777777" w:rsidR="00F80E94" w:rsidRPr="008423A5" w:rsidRDefault="00F80E94" w:rsidP="008423A5">
      <w:r w:rsidRPr="008423A5">
        <w:t xml:space="preserve">State Surplus Property collects and disposes of the surplus personal property of state government and local governments. It utilizes a variety of marketing methods, including fixed price sales and online auctions. In addition to state and local governments, customers include qualified non-profit organizations and the public. </w:t>
      </w:r>
    </w:p>
    <w:p w14:paraId="4C7AD2A2" w14:textId="62F44DB8" w:rsidR="00F80E94" w:rsidRDefault="00F80E94" w:rsidP="008423A5">
      <w:r w:rsidRPr="008423A5">
        <w:t>Surplus is governed by ORS 279A, which authorizes the program to recover the cost of property disposal from the amount received for the sale of items, or by billing agencies for the difference.</w:t>
      </w:r>
    </w:p>
    <w:p w14:paraId="3490D2A1" w14:textId="77777777" w:rsidR="00B623D6" w:rsidRPr="008423A5" w:rsidRDefault="00B623D6" w:rsidP="008423A5"/>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660"/>
      </w:tblGrid>
      <w:tr w:rsidR="00F80E94" w:rsidRPr="0014791D" w14:paraId="5EE968BC" w14:textId="77777777" w:rsidTr="00306CF3">
        <w:trPr>
          <w:trHeight w:val="359"/>
        </w:trPr>
        <w:tc>
          <w:tcPr>
            <w:tcW w:w="3055" w:type="dxa"/>
            <w:shd w:val="clear" w:color="auto" w:fill="D9D9D9" w:themeFill="background1" w:themeFillShade="D9"/>
            <w:vAlign w:val="center"/>
          </w:tcPr>
          <w:p w14:paraId="1EEF6AC5" w14:textId="77777777" w:rsidR="00F80E94" w:rsidRPr="00571FD3" w:rsidRDefault="00F80E94" w:rsidP="00306CF3">
            <w:pPr>
              <w:spacing w:after="0" w:line="240" w:lineRule="auto"/>
              <w:ind w:right="18"/>
              <w:jc w:val="center"/>
              <w:rPr>
                <w:b/>
                <w:szCs w:val="24"/>
              </w:rPr>
            </w:pPr>
            <w:r w:rsidRPr="00571FD3">
              <w:rPr>
                <w:b/>
                <w:szCs w:val="24"/>
              </w:rPr>
              <w:lastRenderedPageBreak/>
              <w:t>Service</w:t>
            </w:r>
          </w:p>
        </w:tc>
        <w:tc>
          <w:tcPr>
            <w:tcW w:w="6660" w:type="dxa"/>
            <w:shd w:val="clear" w:color="auto" w:fill="D9D9D9" w:themeFill="background1" w:themeFillShade="D9"/>
            <w:vAlign w:val="center"/>
          </w:tcPr>
          <w:p w14:paraId="61DFB9D7" w14:textId="77777777" w:rsidR="00F80E94" w:rsidRPr="00571FD3" w:rsidRDefault="00F80E94" w:rsidP="00306CF3">
            <w:pPr>
              <w:spacing w:after="0" w:line="240" w:lineRule="auto"/>
              <w:ind w:right="18"/>
              <w:jc w:val="center"/>
              <w:rPr>
                <w:b/>
                <w:szCs w:val="24"/>
              </w:rPr>
            </w:pPr>
            <w:r w:rsidRPr="00571FD3">
              <w:rPr>
                <w:b/>
                <w:szCs w:val="24"/>
              </w:rPr>
              <w:t>Description</w:t>
            </w:r>
          </w:p>
        </w:tc>
      </w:tr>
      <w:tr w:rsidR="00F80E94" w:rsidRPr="006D0208" w14:paraId="2CEE03B0" w14:textId="77777777" w:rsidTr="00306CF3">
        <w:tc>
          <w:tcPr>
            <w:tcW w:w="3055" w:type="dxa"/>
          </w:tcPr>
          <w:p w14:paraId="3B63E943" w14:textId="77777777" w:rsidR="00F80E94" w:rsidRPr="00571FD3" w:rsidRDefault="00F80E94" w:rsidP="00306CF3">
            <w:pPr>
              <w:ind w:right="18"/>
              <w:rPr>
                <w:szCs w:val="24"/>
              </w:rPr>
            </w:pPr>
            <w:r w:rsidRPr="00571FD3">
              <w:rPr>
                <w:szCs w:val="24"/>
              </w:rPr>
              <w:t>State Agency Personal Property</w:t>
            </w:r>
          </w:p>
        </w:tc>
        <w:tc>
          <w:tcPr>
            <w:tcW w:w="6660" w:type="dxa"/>
          </w:tcPr>
          <w:p w14:paraId="02F87793" w14:textId="77777777" w:rsidR="00F80E94" w:rsidRPr="00571FD3" w:rsidRDefault="00F80E94" w:rsidP="00F80E94">
            <w:pPr>
              <w:pStyle w:val="ListBullet"/>
              <w:ind w:right="18"/>
              <w:rPr>
                <w:rFonts w:asciiTheme="minorHAnsi" w:hAnsiTheme="minorHAnsi"/>
                <w:sz w:val="24"/>
                <w:szCs w:val="24"/>
              </w:rPr>
            </w:pPr>
            <w:r w:rsidRPr="00571FD3">
              <w:rPr>
                <w:rFonts w:asciiTheme="minorHAnsi" w:hAnsiTheme="minorHAnsi"/>
                <w:bCs/>
                <w:sz w:val="24"/>
                <w:szCs w:val="24"/>
              </w:rPr>
              <w:t xml:space="preserve">Personal Property that is sold-on-site at the agency’s location: Surplus </w:t>
            </w:r>
            <w:r w:rsidRPr="00571FD3">
              <w:rPr>
                <w:rFonts w:asciiTheme="minorHAnsi" w:hAnsiTheme="minorHAnsi"/>
                <w:spacing w:val="-1"/>
                <w:sz w:val="24"/>
                <w:szCs w:val="24"/>
              </w:rPr>
              <w:t>kee</w:t>
            </w:r>
            <w:r w:rsidRPr="00571FD3">
              <w:rPr>
                <w:rFonts w:asciiTheme="minorHAnsi" w:hAnsiTheme="minorHAnsi"/>
                <w:sz w:val="24"/>
                <w:szCs w:val="24"/>
              </w:rPr>
              <w:t>ps</w:t>
            </w:r>
            <w:r w:rsidRPr="00571FD3">
              <w:rPr>
                <w:rFonts w:asciiTheme="minorHAnsi" w:hAnsiTheme="minorHAnsi"/>
                <w:spacing w:val="2"/>
                <w:sz w:val="24"/>
                <w:szCs w:val="24"/>
              </w:rPr>
              <w:t xml:space="preserve"> </w:t>
            </w:r>
            <w:r w:rsidRPr="00571FD3">
              <w:rPr>
                <w:rFonts w:asciiTheme="minorHAnsi" w:hAnsiTheme="minorHAnsi"/>
                <w:spacing w:val="-1"/>
                <w:sz w:val="24"/>
                <w:szCs w:val="24"/>
              </w:rPr>
              <w:t>a</w:t>
            </w:r>
            <w:r w:rsidRPr="00571FD3">
              <w:rPr>
                <w:rFonts w:asciiTheme="minorHAnsi" w:hAnsiTheme="minorHAnsi"/>
                <w:sz w:val="24"/>
                <w:szCs w:val="24"/>
              </w:rPr>
              <w:t>ll p</w:t>
            </w:r>
            <w:r w:rsidRPr="00571FD3">
              <w:rPr>
                <w:rFonts w:asciiTheme="minorHAnsi" w:hAnsiTheme="minorHAnsi"/>
                <w:spacing w:val="-1"/>
                <w:sz w:val="24"/>
                <w:szCs w:val="24"/>
              </w:rPr>
              <w:t>r</w:t>
            </w:r>
            <w:r w:rsidRPr="00571FD3">
              <w:rPr>
                <w:rFonts w:asciiTheme="minorHAnsi" w:hAnsiTheme="minorHAnsi"/>
                <w:sz w:val="24"/>
                <w:szCs w:val="24"/>
              </w:rPr>
              <w:t>oc</w:t>
            </w:r>
            <w:r w:rsidRPr="00571FD3">
              <w:rPr>
                <w:rFonts w:asciiTheme="minorHAnsi" w:hAnsiTheme="minorHAnsi"/>
                <w:spacing w:val="-1"/>
                <w:sz w:val="24"/>
                <w:szCs w:val="24"/>
              </w:rPr>
              <w:t>ee</w:t>
            </w:r>
            <w:r w:rsidRPr="00571FD3">
              <w:rPr>
                <w:rFonts w:asciiTheme="minorHAnsi" w:hAnsiTheme="minorHAnsi"/>
                <w:sz w:val="24"/>
                <w:szCs w:val="24"/>
              </w:rPr>
              <w:t xml:space="preserve">ds </w:t>
            </w:r>
            <w:r w:rsidRPr="00571FD3">
              <w:rPr>
                <w:rFonts w:asciiTheme="minorHAnsi" w:hAnsiTheme="minorHAnsi"/>
                <w:spacing w:val="-1"/>
                <w:sz w:val="24"/>
                <w:szCs w:val="24"/>
              </w:rPr>
              <w:t>f</w:t>
            </w:r>
            <w:r w:rsidRPr="00571FD3">
              <w:rPr>
                <w:rFonts w:asciiTheme="minorHAnsi" w:hAnsiTheme="minorHAnsi"/>
                <w:sz w:val="24"/>
                <w:szCs w:val="24"/>
              </w:rPr>
              <w:t>or</w:t>
            </w:r>
            <w:r w:rsidRPr="00571FD3">
              <w:rPr>
                <w:rFonts w:asciiTheme="minorHAnsi" w:hAnsiTheme="minorHAnsi"/>
                <w:spacing w:val="-1"/>
                <w:sz w:val="24"/>
                <w:szCs w:val="24"/>
              </w:rPr>
              <w:t xml:space="preserve"> </w:t>
            </w:r>
            <w:r w:rsidRPr="00571FD3">
              <w:rPr>
                <w:rFonts w:asciiTheme="minorHAnsi" w:hAnsiTheme="minorHAnsi"/>
                <w:sz w:val="24"/>
                <w:szCs w:val="24"/>
              </w:rPr>
              <w:t>it</w:t>
            </w:r>
            <w:r w:rsidRPr="00571FD3">
              <w:rPr>
                <w:rFonts w:asciiTheme="minorHAnsi" w:hAnsiTheme="minorHAnsi"/>
                <w:spacing w:val="-1"/>
                <w:sz w:val="24"/>
                <w:szCs w:val="24"/>
              </w:rPr>
              <w:t>e</w:t>
            </w:r>
            <w:r w:rsidRPr="00571FD3">
              <w:rPr>
                <w:rFonts w:asciiTheme="minorHAnsi" w:hAnsiTheme="minorHAnsi"/>
                <w:sz w:val="24"/>
                <w:szCs w:val="24"/>
              </w:rPr>
              <w:t xml:space="preserve">ms sold </w:t>
            </w:r>
            <w:r w:rsidRPr="00571FD3">
              <w:rPr>
                <w:rFonts w:asciiTheme="minorHAnsi" w:hAnsiTheme="minorHAnsi"/>
                <w:spacing w:val="-1"/>
                <w:sz w:val="24"/>
                <w:szCs w:val="24"/>
              </w:rPr>
              <w:t>f</w:t>
            </w:r>
            <w:r w:rsidRPr="00571FD3">
              <w:rPr>
                <w:rFonts w:asciiTheme="minorHAnsi" w:hAnsiTheme="minorHAnsi"/>
                <w:sz w:val="24"/>
                <w:szCs w:val="24"/>
              </w:rPr>
              <w:t>or</w:t>
            </w:r>
            <w:r w:rsidRPr="00571FD3">
              <w:rPr>
                <w:rFonts w:asciiTheme="minorHAnsi" w:hAnsiTheme="minorHAnsi"/>
                <w:spacing w:val="-1"/>
                <w:sz w:val="24"/>
                <w:szCs w:val="24"/>
              </w:rPr>
              <w:t xml:space="preserve"> </w:t>
            </w:r>
            <w:r w:rsidRPr="00571FD3">
              <w:rPr>
                <w:rFonts w:asciiTheme="minorHAnsi" w:hAnsiTheme="minorHAnsi"/>
                <w:sz w:val="24"/>
                <w:szCs w:val="24"/>
              </w:rPr>
              <w:t>l</w:t>
            </w:r>
            <w:r w:rsidRPr="00571FD3">
              <w:rPr>
                <w:rFonts w:asciiTheme="minorHAnsi" w:hAnsiTheme="minorHAnsi"/>
                <w:spacing w:val="-1"/>
                <w:sz w:val="24"/>
                <w:szCs w:val="24"/>
              </w:rPr>
              <w:t>e</w:t>
            </w:r>
            <w:r w:rsidRPr="00571FD3">
              <w:rPr>
                <w:rFonts w:asciiTheme="minorHAnsi" w:hAnsiTheme="minorHAnsi"/>
                <w:sz w:val="24"/>
                <w:szCs w:val="24"/>
              </w:rPr>
              <w:t>ss th</w:t>
            </w:r>
            <w:r w:rsidRPr="00571FD3">
              <w:rPr>
                <w:rFonts w:asciiTheme="minorHAnsi" w:hAnsiTheme="minorHAnsi"/>
                <w:spacing w:val="-1"/>
                <w:sz w:val="24"/>
                <w:szCs w:val="24"/>
              </w:rPr>
              <w:t>a</w:t>
            </w:r>
            <w:r w:rsidRPr="00571FD3">
              <w:rPr>
                <w:rFonts w:asciiTheme="minorHAnsi" w:hAnsiTheme="minorHAnsi"/>
                <w:sz w:val="24"/>
                <w:szCs w:val="24"/>
              </w:rPr>
              <w:t xml:space="preserve">n $250. </w:t>
            </w:r>
            <w:r w:rsidRPr="00571FD3">
              <w:rPr>
                <w:rFonts w:asciiTheme="minorHAnsi" w:hAnsiTheme="minorHAnsi"/>
                <w:spacing w:val="-1"/>
                <w:sz w:val="24"/>
                <w:szCs w:val="24"/>
              </w:rPr>
              <w:t>A</w:t>
            </w:r>
            <w:r w:rsidRPr="00571FD3">
              <w:rPr>
                <w:rFonts w:asciiTheme="minorHAnsi" w:hAnsiTheme="minorHAnsi"/>
                <w:spacing w:val="2"/>
                <w:sz w:val="24"/>
                <w:szCs w:val="24"/>
              </w:rPr>
              <w:t>n</w:t>
            </w:r>
            <w:r w:rsidRPr="00571FD3">
              <w:rPr>
                <w:rFonts w:asciiTheme="minorHAnsi" w:hAnsiTheme="minorHAnsi"/>
                <w:sz w:val="24"/>
                <w:szCs w:val="24"/>
              </w:rPr>
              <w:t>y</w:t>
            </w:r>
            <w:r w:rsidRPr="00571FD3">
              <w:rPr>
                <w:rFonts w:asciiTheme="minorHAnsi" w:hAnsiTheme="minorHAnsi"/>
                <w:spacing w:val="-5"/>
                <w:sz w:val="24"/>
                <w:szCs w:val="24"/>
              </w:rPr>
              <w:t xml:space="preserve"> </w:t>
            </w:r>
            <w:r w:rsidRPr="00571FD3">
              <w:rPr>
                <w:rFonts w:asciiTheme="minorHAnsi" w:hAnsiTheme="minorHAnsi"/>
                <w:sz w:val="24"/>
                <w:szCs w:val="24"/>
              </w:rPr>
              <w:t>it</w:t>
            </w:r>
            <w:r w:rsidRPr="00571FD3">
              <w:rPr>
                <w:rFonts w:asciiTheme="minorHAnsi" w:hAnsiTheme="minorHAnsi"/>
                <w:spacing w:val="-1"/>
                <w:sz w:val="24"/>
                <w:szCs w:val="24"/>
              </w:rPr>
              <w:t>e</w:t>
            </w:r>
            <w:r w:rsidRPr="00571FD3">
              <w:rPr>
                <w:rFonts w:asciiTheme="minorHAnsi" w:hAnsiTheme="minorHAnsi"/>
                <w:sz w:val="24"/>
                <w:szCs w:val="24"/>
              </w:rPr>
              <w:t>m th</w:t>
            </w:r>
            <w:r w:rsidRPr="00571FD3">
              <w:rPr>
                <w:rFonts w:asciiTheme="minorHAnsi" w:hAnsiTheme="minorHAnsi"/>
                <w:spacing w:val="-1"/>
                <w:sz w:val="24"/>
                <w:szCs w:val="24"/>
              </w:rPr>
              <w:t>a</w:t>
            </w:r>
            <w:r w:rsidRPr="00571FD3">
              <w:rPr>
                <w:rFonts w:asciiTheme="minorHAnsi" w:hAnsiTheme="minorHAnsi"/>
                <w:sz w:val="24"/>
                <w:szCs w:val="24"/>
              </w:rPr>
              <w:t xml:space="preserve">t sells </w:t>
            </w:r>
            <w:r w:rsidRPr="00571FD3">
              <w:rPr>
                <w:rFonts w:asciiTheme="minorHAnsi" w:hAnsiTheme="minorHAnsi"/>
                <w:spacing w:val="-1"/>
                <w:sz w:val="24"/>
                <w:szCs w:val="24"/>
              </w:rPr>
              <w:t>f</w:t>
            </w:r>
            <w:r w:rsidRPr="00571FD3">
              <w:rPr>
                <w:rFonts w:asciiTheme="minorHAnsi" w:hAnsiTheme="minorHAnsi"/>
                <w:sz w:val="24"/>
                <w:szCs w:val="24"/>
              </w:rPr>
              <w:t>or</w:t>
            </w:r>
            <w:r w:rsidRPr="00571FD3">
              <w:rPr>
                <w:rFonts w:asciiTheme="minorHAnsi" w:hAnsiTheme="minorHAnsi"/>
                <w:spacing w:val="-1"/>
                <w:sz w:val="24"/>
                <w:szCs w:val="24"/>
              </w:rPr>
              <w:t xml:space="preserve"> </w:t>
            </w:r>
            <w:r w:rsidRPr="00571FD3">
              <w:rPr>
                <w:rFonts w:asciiTheme="minorHAnsi" w:hAnsiTheme="minorHAnsi"/>
                <w:spacing w:val="2"/>
                <w:sz w:val="24"/>
                <w:szCs w:val="24"/>
              </w:rPr>
              <w:t>m</w:t>
            </w:r>
            <w:r w:rsidRPr="00571FD3">
              <w:rPr>
                <w:rFonts w:asciiTheme="minorHAnsi" w:hAnsiTheme="minorHAnsi"/>
                <w:sz w:val="24"/>
                <w:szCs w:val="24"/>
              </w:rPr>
              <w:t>o</w:t>
            </w:r>
            <w:r w:rsidRPr="00571FD3">
              <w:rPr>
                <w:rFonts w:asciiTheme="minorHAnsi" w:hAnsiTheme="minorHAnsi"/>
                <w:spacing w:val="-1"/>
                <w:sz w:val="24"/>
                <w:szCs w:val="24"/>
              </w:rPr>
              <w:t>r</w:t>
            </w:r>
            <w:r w:rsidRPr="00571FD3">
              <w:rPr>
                <w:rFonts w:asciiTheme="minorHAnsi" w:hAnsiTheme="minorHAnsi"/>
                <w:sz w:val="24"/>
                <w:szCs w:val="24"/>
              </w:rPr>
              <w:t>e</w:t>
            </w:r>
            <w:r w:rsidRPr="00571FD3">
              <w:rPr>
                <w:rFonts w:asciiTheme="minorHAnsi" w:hAnsiTheme="minorHAnsi"/>
                <w:spacing w:val="-1"/>
                <w:sz w:val="24"/>
                <w:szCs w:val="24"/>
              </w:rPr>
              <w:t xml:space="preserve"> </w:t>
            </w:r>
            <w:r w:rsidRPr="00571FD3">
              <w:rPr>
                <w:rFonts w:asciiTheme="minorHAnsi" w:hAnsiTheme="minorHAnsi"/>
                <w:sz w:val="24"/>
                <w:szCs w:val="24"/>
              </w:rPr>
              <w:t>th</w:t>
            </w:r>
            <w:r w:rsidRPr="00571FD3">
              <w:rPr>
                <w:rFonts w:asciiTheme="minorHAnsi" w:hAnsiTheme="minorHAnsi"/>
                <w:spacing w:val="-1"/>
                <w:sz w:val="24"/>
                <w:szCs w:val="24"/>
              </w:rPr>
              <w:t>a</w:t>
            </w:r>
            <w:r w:rsidRPr="00571FD3">
              <w:rPr>
                <w:rFonts w:asciiTheme="minorHAnsi" w:hAnsiTheme="minorHAnsi"/>
                <w:sz w:val="24"/>
                <w:szCs w:val="24"/>
              </w:rPr>
              <w:t>n $250, Surplus ke</w:t>
            </w:r>
            <w:r w:rsidRPr="00571FD3">
              <w:rPr>
                <w:rFonts w:asciiTheme="minorHAnsi" w:hAnsiTheme="minorHAnsi"/>
                <w:spacing w:val="-1"/>
                <w:sz w:val="24"/>
                <w:szCs w:val="24"/>
              </w:rPr>
              <w:t>e</w:t>
            </w:r>
            <w:r w:rsidRPr="00571FD3">
              <w:rPr>
                <w:rFonts w:asciiTheme="minorHAnsi" w:hAnsiTheme="minorHAnsi"/>
                <w:sz w:val="24"/>
                <w:szCs w:val="24"/>
              </w:rPr>
              <w:t>ps the</w:t>
            </w:r>
            <w:r w:rsidRPr="00571FD3">
              <w:rPr>
                <w:rFonts w:asciiTheme="minorHAnsi" w:hAnsiTheme="minorHAnsi"/>
                <w:spacing w:val="-1"/>
                <w:sz w:val="24"/>
                <w:szCs w:val="24"/>
              </w:rPr>
              <w:t xml:space="preserve"> f</w:t>
            </w:r>
            <w:r w:rsidRPr="00571FD3">
              <w:rPr>
                <w:rFonts w:asciiTheme="minorHAnsi" w:hAnsiTheme="minorHAnsi"/>
                <w:spacing w:val="2"/>
                <w:sz w:val="24"/>
                <w:szCs w:val="24"/>
              </w:rPr>
              <w:t>i</w:t>
            </w:r>
            <w:r w:rsidRPr="00571FD3">
              <w:rPr>
                <w:rFonts w:asciiTheme="minorHAnsi" w:hAnsiTheme="minorHAnsi"/>
                <w:spacing w:val="-1"/>
                <w:sz w:val="24"/>
                <w:szCs w:val="24"/>
              </w:rPr>
              <w:t>r</w:t>
            </w:r>
            <w:r w:rsidRPr="00571FD3">
              <w:rPr>
                <w:rFonts w:asciiTheme="minorHAnsi" w:hAnsiTheme="minorHAnsi"/>
                <w:sz w:val="24"/>
                <w:szCs w:val="24"/>
              </w:rPr>
              <w:t>st $250 plus 50%</w:t>
            </w:r>
            <w:r w:rsidRPr="00571FD3">
              <w:rPr>
                <w:rFonts w:asciiTheme="minorHAnsi" w:hAnsiTheme="minorHAnsi"/>
                <w:spacing w:val="-1"/>
                <w:sz w:val="24"/>
                <w:szCs w:val="24"/>
              </w:rPr>
              <w:t xml:space="preserve"> </w:t>
            </w:r>
            <w:r w:rsidRPr="00571FD3">
              <w:rPr>
                <w:rFonts w:asciiTheme="minorHAnsi" w:hAnsiTheme="minorHAnsi"/>
                <w:sz w:val="24"/>
                <w:szCs w:val="24"/>
              </w:rPr>
              <w:t>of</w:t>
            </w:r>
            <w:r w:rsidRPr="00571FD3">
              <w:rPr>
                <w:rFonts w:asciiTheme="minorHAnsi" w:hAnsiTheme="minorHAnsi"/>
                <w:spacing w:val="-1"/>
                <w:sz w:val="24"/>
                <w:szCs w:val="24"/>
              </w:rPr>
              <w:t xml:space="preserve"> the re</w:t>
            </w:r>
            <w:r w:rsidRPr="00571FD3">
              <w:rPr>
                <w:rFonts w:asciiTheme="minorHAnsi" w:hAnsiTheme="minorHAnsi"/>
                <w:spacing w:val="2"/>
                <w:sz w:val="24"/>
                <w:szCs w:val="24"/>
              </w:rPr>
              <w:t>m</w:t>
            </w:r>
            <w:r w:rsidRPr="00571FD3">
              <w:rPr>
                <w:rFonts w:asciiTheme="minorHAnsi" w:hAnsiTheme="minorHAnsi"/>
                <w:spacing w:val="-1"/>
                <w:sz w:val="24"/>
                <w:szCs w:val="24"/>
              </w:rPr>
              <w:t>a</w:t>
            </w:r>
            <w:r w:rsidRPr="00571FD3">
              <w:rPr>
                <w:rFonts w:asciiTheme="minorHAnsi" w:hAnsiTheme="minorHAnsi"/>
                <w:sz w:val="24"/>
                <w:szCs w:val="24"/>
              </w:rPr>
              <w:t>ining</w:t>
            </w:r>
            <w:r w:rsidRPr="00571FD3">
              <w:rPr>
                <w:rFonts w:asciiTheme="minorHAnsi" w:hAnsiTheme="minorHAnsi"/>
                <w:spacing w:val="-3"/>
                <w:sz w:val="24"/>
                <w:szCs w:val="24"/>
              </w:rPr>
              <w:t xml:space="preserve"> </w:t>
            </w:r>
            <w:proofErr w:type="gramStart"/>
            <w:r w:rsidRPr="00571FD3">
              <w:rPr>
                <w:rFonts w:asciiTheme="minorHAnsi" w:hAnsiTheme="minorHAnsi"/>
                <w:sz w:val="24"/>
                <w:szCs w:val="24"/>
              </w:rPr>
              <w:t>s</w:t>
            </w:r>
            <w:r w:rsidRPr="00571FD3">
              <w:rPr>
                <w:rFonts w:asciiTheme="minorHAnsi" w:hAnsiTheme="minorHAnsi"/>
                <w:spacing w:val="-1"/>
                <w:sz w:val="24"/>
                <w:szCs w:val="24"/>
              </w:rPr>
              <w:t>a</w:t>
            </w:r>
            <w:r w:rsidRPr="00571FD3">
              <w:rPr>
                <w:rFonts w:asciiTheme="minorHAnsi" w:hAnsiTheme="minorHAnsi"/>
                <w:sz w:val="24"/>
                <w:szCs w:val="24"/>
              </w:rPr>
              <w:t>l</w:t>
            </w:r>
            <w:r w:rsidRPr="00571FD3">
              <w:rPr>
                <w:rFonts w:asciiTheme="minorHAnsi" w:hAnsiTheme="minorHAnsi"/>
                <w:spacing w:val="-1"/>
                <w:sz w:val="24"/>
                <w:szCs w:val="24"/>
              </w:rPr>
              <w:t>e</w:t>
            </w:r>
            <w:proofErr w:type="gramEnd"/>
            <w:r w:rsidRPr="00571FD3">
              <w:rPr>
                <w:rFonts w:asciiTheme="minorHAnsi" w:hAnsiTheme="minorHAnsi"/>
                <w:sz w:val="24"/>
                <w:szCs w:val="24"/>
              </w:rPr>
              <w:t>.</w:t>
            </w:r>
          </w:p>
          <w:p w14:paraId="110FF9C7" w14:textId="77777777" w:rsidR="00F80E94" w:rsidRPr="00571FD3" w:rsidRDefault="00F80E94" w:rsidP="00F80E94">
            <w:pPr>
              <w:pStyle w:val="ListBullet"/>
              <w:ind w:right="18"/>
              <w:rPr>
                <w:rFonts w:asciiTheme="minorHAnsi" w:hAnsiTheme="minorHAnsi"/>
                <w:b/>
                <w:sz w:val="24"/>
                <w:szCs w:val="24"/>
              </w:rPr>
            </w:pPr>
            <w:r w:rsidRPr="00571FD3">
              <w:rPr>
                <w:rFonts w:asciiTheme="minorHAnsi" w:hAnsiTheme="minorHAnsi"/>
                <w:bCs/>
                <w:sz w:val="24"/>
                <w:szCs w:val="24"/>
              </w:rPr>
              <w:t xml:space="preserve">Personal Property that is sold from the Surplus Property warehouse: Surplus </w:t>
            </w:r>
            <w:r w:rsidRPr="00571FD3">
              <w:rPr>
                <w:rFonts w:asciiTheme="minorHAnsi" w:hAnsiTheme="minorHAnsi"/>
                <w:spacing w:val="-1"/>
                <w:sz w:val="24"/>
                <w:szCs w:val="24"/>
              </w:rPr>
              <w:t>kee</w:t>
            </w:r>
            <w:r w:rsidRPr="00571FD3">
              <w:rPr>
                <w:rFonts w:asciiTheme="minorHAnsi" w:hAnsiTheme="minorHAnsi"/>
                <w:sz w:val="24"/>
                <w:szCs w:val="24"/>
              </w:rPr>
              <w:t>ps</w:t>
            </w:r>
            <w:r w:rsidRPr="00571FD3">
              <w:rPr>
                <w:rFonts w:asciiTheme="minorHAnsi" w:hAnsiTheme="minorHAnsi"/>
                <w:spacing w:val="2"/>
                <w:sz w:val="24"/>
                <w:szCs w:val="24"/>
              </w:rPr>
              <w:t xml:space="preserve"> </w:t>
            </w:r>
            <w:r w:rsidRPr="00571FD3">
              <w:rPr>
                <w:rFonts w:asciiTheme="minorHAnsi" w:hAnsiTheme="minorHAnsi"/>
                <w:spacing w:val="-1"/>
                <w:sz w:val="24"/>
                <w:szCs w:val="24"/>
              </w:rPr>
              <w:t>a</w:t>
            </w:r>
            <w:r w:rsidRPr="00571FD3">
              <w:rPr>
                <w:rFonts w:asciiTheme="minorHAnsi" w:hAnsiTheme="minorHAnsi"/>
                <w:sz w:val="24"/>
                <w:szCs w:val="24"/>
              </w:rPr>
              <w:t>ll p</w:t>
            </w:r>
            <w:r w:rsidRPr="00571FD3">
              <w:rPr>
                <w:rFonts w:asciiTheme="minorHAnsi" w:hAnsiTheme="minorHAnsi"/>
                <w:spacing w:val="-1"/>
                <w:sz w:val="24"/>
                <w:szCs w:val="24"/>
              </w:rPr>
              <w:t>r</w:t>
            </w:r>
            <w:r w:rsidRPr="00571FD3">
              <w:rPr>
                <w:rFonts w:asciiTheme="minorHAnsi" w:hAnsiTheme="minorHAnsi"/>
                <w:sz w:val="24"/>
                <w:szCs w:val="24"/>
              </w:rPr>
              <w:t>oc</w:t>
            </w:r>
            <w:r w:rsidRPr="00571FD3">
              <w:rPr>
                <w:rFonts w:asciiTheme="minorHAnsi" w:hAnsiTheme="minorHAnsi"/>
                <w:spacing w:val="-1"/>
                <w:sz w:val="24"/>
                <w:szCs w:val="24"/>
              </w:rPr>
              <w:t>ee</w:t>
            </w:r>
            <w:r w:rsidRPr="00571FD3">
              <w:rPr>
                <w:rFonts w:asciiTheme="minorHAnsi" w:hAnsiTheme="minorHAnsi"/>
                <w:sz w:val="24"/>
                <w:szCs w:val="24"/>
              </w:rPr>
              <w:t xml:space="preserve">ds </w:t>
            </w:r>
            <w:r w:rsidRPr="00571FD3">
              <w:rPr>
                <w:rFonts w:asciiTheme="minorHAnsi" w:hAnsiTheme="minorHAnsi"/>
                <w:spacing w:val="-1"/>
                <w:sz w:val="24"/>
                <w:szCs w:val="24"/>
              </w:rPr>
              <w:t>f</w:t>
            </w:r>
            <w:r w:rsidRPr="00571FD3">
              <w:rPr>
                <w:rFonts w:asciiTheme="minorHAnsi" w:hAnsiTheme="minorHAnsi"/>
                <w:sz w:val="24"/>
                <w:szCs w:val="24"/>
              </w:rPr>
              <w:t>or</w:t>
            </w:r>
            <w:r w:rsidRPr="00571FD3">
              <w:rPr>
                <w:rFonts w:asciiTheme="minorHAnsi" w:hAnsiTheme="minorHAnsi"/>
                <w:spacing w:val="-1"/>
                <w:sz w:val="24"/>
                <w:szCs w:val="24"/>
              </w:rPr>
              <w:t xml:space="preserve"> </w:t>
            </w:r>
            <w:r w:rsidRPr="00571FD3">
              <w:rPr>
                <w:rFonts w:asciiTheme="minorHAnsi" w:hAnsiTheme="minorHAnsi"/>
                <w:sz w:val="24"/>
                <w:szCs w:val="24"/>
              </w:rPr>
              <w:t>it</w:t>
            </w:r>
            <w:r w:rsidRPr="00571FD3">
              <w:rPr>
                <w:rFonts w:asciiTheme="minorHAnsi" w:hAnsiTheme="minorHAnsi"/>
                <w:spacing w:val="-1"/>
                <w:sz w:val="24"/>
                <w:szCs w:val="24"/>
              </w:rPr>
              <w:t>e</w:t>
            </w:r>
            <w:r w:rsidRPr="00571FD3">
              <w:rPr>
                <w:rFonts w:asciiTheme="minorHAnsi" w:hAnsiTheme="minorHAnsi"/>
                <w:sz w:val="24"/>
                <w:szCs w:val="24"/>
              </w:rPr>
              <w:t xml:space="preserve">ms sold </w:t>
            </w:r>
            <w:r w:rsidRPr="00571FD3">
              <w:rPr>
                <w:rFonts w:asciiTheme="minorHAnsi" w:hAnsiTheme="minorHAnsi"/>
                <w:spacing w:val="-1"/>
                <w:sz w:val="24"/>
                <w:szCs w:val="24"/>
              </w:rPr>
              <w:t>f</w:t>
            </w:r>
            <w:r w:rsidRPr="00571FD3">
              <w:rPr>
                <w:rFonts w:asciiTheme="minorHAnsi" w:hAnsiTheme="minorHAnsi"/>
                <w:sz w:val="24"/>
                <w:szCs w:val="24"/>
              </w:rPr>
              <w:t>or</w:t>
            </w:r>
            <w:r w:rsidRPr="00571FD3">
              <w:rPr>
                <w:rFonts w:asciiTheme="minorHAnsi" w:hAnsiTheme="minorHAnsi"/>
                <w:spacing w:val="-1"/>
                <w:sz w:val="24"/>
                <w:szCs w:val="24"/>
              </w:rPr>
              <w:t xml:space="preserve"> </w:t>
            </w:r>
            <w:r w:rsidRPr="00571FD3">
              <w:rPr>
                <w:rFonts w:asciiTheme="minorHAnsi" w:hAnsiTheme="minorHAnsi"/>
                <w:sz w:val="24"/>
                <w:szCs w:val="24"/>
              </w:rPr>
              <w:t>l</w:t>
            </w:r>
            <w:r w:rsidRPr="00571FD3">
              <w:rPr>
                <w:rFonts w:asciiTheme="minorHAnsi" w:hAnsiTheme="minorHAnsi"/>
                <w:spacing w:val="-1"/>
                <w:sz w:val="24"/>
                <w:szCs w:val="24"/>
              </w:rPr>
              <w:t>e</w:t>
            </w:r>
            <w:r w:rsidRPr="00571FD3">
              <w:rPr>
                <w:rFonts w:asciiTheme="minorHAnsi" w:hAnsiTheme="minorHAnsi"/>
                <w:sz w:val="24"/>
                <w:szCs w:val="24"/>
              </w:rPr>
              <w:t>ss th</w:t>
            </w:r>
            <w:r w:rsidRPr="00571FD3">
              <w:rPr>
                <w:rFonts w:asciiTheme="minorHAnsi" w:hAnsiTheme="minorHAnsi"/>
                <w:spacing w:val="-1"/>
                <w:sz w:val="24"/>
                <w:szCs w:val="24"/>
              </w:rPr>
              <w:t>a</w:t>
            </w:r>
            <w:r w:rsidRPr="00571FD3">
              <w:rPr>
                <w:rFonts w:asciiTheme="minorHAnsi" w:hAnsiTheme="minorHAnsi"/>
                <w:sz w:val="24"/>
                <w:szCs w:val="24"/>
              </w:rPr>
              <w:t xml:space="preserve">n $500. </w:t>
            </w:r>
            <w:r w:rsidRPr="00571FD3">
              <w:rPr>
                <w:rFonts w:asciiTheme="minorHAnsi" w:hAnsiTheme="minorHAnsi"/>
                <w:spacing w:val="-1"/>
                <w:sz w:val="24"/>
                <w:szCs w:val="24"/>
              </w:rPr>
              <w:t>A</w:t>
            </w:r>
            <w:r w:rsidRPr="00571FD3">
              <w:rPr>
                <w:rFonts w:asciiTheme="minorHAnsi" w:hAnsiTheme="minorHAnsi"/>
                <w:spacing w:val="2"/>
                <w:sz w:val="24"/>
                <w:szCs w:val="24"/>
              </w:rPr>
              <w:t>n</w:t>
            </w:r>
            <w:r w:rsidRPr="00571FD3">
              <w:rPr>
                <w:rFonts w:asciiTheme="minorHAnsi" w:hAnsiTheme="minorHAnsi"/>
                <w:sz w:val="24"/>
                <w:szCs w:val="24"/>
              </w:rPr>
              <w:t>y</w:t>
            </w:r>
            <w:r w:rsidRPr="00571FD3">
              <w:rPr>
                <w:rFonts w:asciiTheme="minorHAnsi" w:hAnsiTheme="minorHAnsi"/>
                <w:spacing w:val="-5"/>
                <w:sz w:val="24"/>
                <w:szCs w:val="24"/>
              </w:rPr>
              <w:t xml:space="preserve"> </w:t>
            </w:r>
            <w:r w:rsidRPr="00571FD3">
              <w:rPr>
                <w:rFonts w:asciiTheme="minorHAnsi" w:hAnsiTheme="minorHAnsi"/>
                <w:sz w:val="24"/>
                <w:szCs w:val="24"/>
              </w:rPr>
              <w:t>it</w:t>
            </w:r>
            <w:r w:rsidRPr="00571FD3">
              <w:rPr>
                <w:rFonts w:asciiTheme="minorHAnsi" w:hAnsiTheme="minorHAnsi"/>
                <w:spacing w:val="-1"/>
                <w:sz w:val="24"/>
                <w:szCs w:val="24"/>
              </w:rPr>
              <w:t>e</w:t>
            </w:r>
            <w:r w:rsidRPr="00571FD3">
              <w:rPr>
                <w:rFonts w:asciiTheme="minorHAnsi" w:hAnsiTheme="minorHAnsi"/>
                <w:sz w:val="24"/>
                <w:szCs w:val="24"/>
              </w:rPr>
              <w:t>m th</w:t>
            </w:r>
            <w:r w:rsidRPr="00571FD3">
              <w:rPr>
                <w:rFonts w:asciiTheme="minorHAnsi" w:hAnsiTheme="minorHAnsi"/>
                <w:spacing w:val="-1"/>
                <w:sz w:val="24"/>
                <w:szCs w:val="24"/>
              </w:rPr>
              <w:t>a</w:t>
            </w:r>
            <w:r w:rsidRPr="00571FD3">
              <w:rPr>
                <w:rFonts w:asciiTheme="minorHAnsi" w:hAnsiTheme="minorHAnsi"/>
                <w:sz w:val="24"/>
                <w:szCs w:val="24"/>
              </w:rPr>
              <w:t xml:space="preserve">t sells </w:t>
            </w:r>
            <w:r w:rsidRPr="00571FD3">
              <w:rPr>
                <w:rFonts w:asciiTheme="minorHAnsi" w:hAnsiTheme="minorHAnsi"/>
                <w:spacing w:val="-1"/>
                <w:sz w:val="24"/>
                <w:szCs w:val="24"/>
              </w:rPr>
              <w:t>f</w:t>
            </w:r>
            <w:r w:rsidRPr="00571FD3">
              <w:rPr>
                <w:rFonts w:asciiTheme="minorHAnsi" w:hAnsiTheme="minorHAnsi"/>
                <w:sz w:val="24"/>
                <w:szCs w:val="24"/>
              </w:rPr>
              <w:t>or</w:t>
            </w:r>
            <w:r w:rsidRPr="00571FD3">
              <w:rPr>
                <w:rFonts w:asciiTheme="minorHAnsi" w:hAnsiTheme="minorHAnsi"/>
                <w:spacing w:val="-1"/>
                <w:sz w:val="24"/>
                <w:szCs w:val="24"/>
              </w:rPr>
              <w:t xml:space="preserve"> </w:t>
            </w:r>
            <w:r w:rsidRPr="00571FD3">
              <w:rPr>
                <w:rFonts w:asciiTheme="minorHAnsi" w:hAnsiTheme="minorHAnsi"/>
                <w:spacing w:val="2"/>
                <w:sz w:val="24"/>
                <w:szCs w:val="24"/>
              </w:rPr>
              <w:t>m</w:t>
            </w:r>
            <w:r w:rsidRPr="00571FD3">
              <w:rPr>
                <w:rFonts w:asciiTheme="minorHAnsi" w:hAnsiTheme="minorHAnsi"/>
                <w:sz w:val="24"/>
                <w:szCs w:val="24"/>
              </w:rPr>
              <w:t>o</w:t>
            </w:r>
            <w:r w:rsidRPr="00571FD3">
              <w:rPr>
                <w:rFonts w:asciiTheme="minorHAnsi" w:hAnsiTheme="minorHAnsi"/>
                <w:spacing w:val="-1"/>
                <w:sz w:val="24"/>
                <w:szCs w:val="24"/>
              </w:rPr>
              <w:t>r</w:t>
            </w:r>
            <w:r w:rsidRPr="00571FD3">
              <w:rPr>
                <w:rFonts w:asciiTheme="minorHAnsi" w:hAnsiTheme="minorHAnsi"/>
                <w:sz w:val="24"/>
                <w:szCs w:val="24"/>
              </w:rPr>
              <w:t>e</w:t>
            </w:r>
            <w:r w:rsidRPr="00571FD3">
              <w:rPr>
                <w:rFonts w:asciiTheme="minorHAnsi" w:hAnsiTheme="minorHAnsi"/>
                <w:spacing w:val="-1"/>
                <w:sz w:val="24"/>
                <w:szCs w:val="24"/>
              </w:rPr>
              <w:t xml:space="preserve"> </w:t>
            </w:r>
            <w:r w:rsidRPr="00571FD3">
              <w:rPr>
                <w:rFonts w:asciiTheme="minorHAnsi" w:hAnsiTheme="minorHAnsi"/>
                <w:sz w:val="24"/>
                <w:szCs w:val="24"/>
              </w:rPr>
              <w:t>th</w:t>
            </w:r>
            <w:r w:rsidRPr="00571FD3">
              <w:rPr>
                <w:rFonts w:asciiTheme="minorHAnsi" w:hAnsiTheme="minorHAnsi"/>
                <w:spacing w:val="-1"/>
                <w:sz w:val="24"/>
                <w:szCs w:val="24"/>
              </w:rPr>
              <w:t>a</w:t>
            </w:r>
            <w:r w:rsidRPr="00571FD3">
              <w:rPr>
                <w:rFonts w:asciiTheme="minorHAnsi" w:hAnsiTheme="minorHAnsi"/>
                <w:sz w:val="24"/>
                <w:szCs w:val="24"/>
              </w:rPr>
              <w:t>n $500, Surplus ke</w:t>
            </w:r>
            <w:r w:rsidRPr="00571FD3">
              <w:rPr>
                <w:rFonts w:asciiTheme="minorHAnsi" w:hAnsiTheme="minorHAnsi"/>
                <w:spacing w:val="-1"/>
                <w:sz w:val="24"/>
                <w:szCs w:val="24"/>
              </w:rPr>
              <w:t>e</w:t>
            </w:r>
            <w:r w:rsidRPr="00571FD3">
              <w:rPr>
                <w:rFonts w:asciiTheme="minorHAnsi" w:hAnsiTheme="minorHAnsi"/>
                <w:sz w:val="24"/>
                <w:szCs w:val="24"/>
              </w:rPr>
              <w:t>ps the</w:t>
            </w:r>
            <w:r w:rsidRPr="00571FD3">
              <w:rPr>
                <w:rFonts w:asciiTheme="minorHAnsi" w:hAnsiTheme="minorHAnsi"/>
                <w:spacing w:val="-1"/>
                <w:sz w:val="24"/>
                <w:szCs w:val="24"/>
              </w:rPr>
              <w:t xml:space="preserve"> f</w:t>
            </w:r>
            <w:r w:rsidRPr="00571FD3">
              <w:rPr>
                <w:rFonts w:asciiTheme="minorHAnsi" w:hAnsiTheme="minorHAnsi"/>
                <w:spacing w:val="2"/>
                <w:sz w:val="24"/>
                <w:szCs w:val="24"/>
              </w:rPr>
              <w:t>i</w:t>
            </w:r>
            <w:r w:rsidRPr="00571FD3">
              <w:rPr>
                <w:rFonts w:asciiTheme="minorHAnsi" w:hAnsiTheme="minorHAnsi"/>
                <w:spacing w:val="-1"/>
                <w:sz w:val="24"/>
                <w:szCs w:val="24"/>
              </w:rPr>
              <w:t>r</w:t>
            </w:r>
            <w:r w:rsidRPr="00571FD3">
              <w:rPr>
                <w:rFonts w:asciiTheme="minorHAnsi" w:hAnsiTheme="minorHAnsi"/>
                <w:sz w:val="24"/>
                <w:szCs w:val="24"/>
              </w:rPr>
              <w:t>st $500 plus 50%</w:t>
            </w:r>
            <w:r w:rsidRPr="00571FD3">
              <w:rPr>
                <w:rFonts w:asciiTheme="minorHAnsi" w:hAnsiTheme="minorHAnsi"/>
                <w:spacing w:val="-1"/>
                <w:sz w:val="24"/>
                <w:szCs w:val="24"/>
              </w:rPr>
              <w:t xml:space="preserve"> </w:t>
            </w:r>
            <w:r w:rsidRPr="00571FD3">
              <w:rPr>
                <w:rFonts w:asciiTheme="minorHAnsi" w:hAnsiTheme="minorHAnsi"/>
                <w:sz w:val="24"/>
                <w:szCs w:val="24"/>
              </w:rPr>
              <w:t>of</w:t>
            </w:r>
            <w:r w:rsidRPr="00571FD3">
              <w:rPr>
                <w:rFonts w:asciiTheme="minorHAnsi" w:hAnsiTheme="minorHAnsi"/>
                <w:spacing w:val="-1"/>
                <w:sz w:val="24"/>
                <w:szCs w:val="24"/>
              </w:rPr>
              <w:t xml:space="preserve"> the re</w:t>
            </w:r>
            <w:r w:rsidRPr="00571FD3">
              <w:rPr>
                <w:rFonts w:asciiTheme="minorHAnsi" w:hAnsiTheme="minorHAnsi"/>
                <w:spacing w:val="2"/>
                <w:sz w:val="24"/>
                <w:szCs w:val="24"/>
              </w:rPr>
              <w:t>m</w:t>
            </w:r>
            <w:r w:rsidRPr="00571FD3">
              <w:rPr>
                <w:rFonts w:asciiTheme="minorHAnsi" w:hAnsiTheme="minorHAnsi"/>
                <w:spacing w:val="-1"/>
                <w:sz w:val="24"/>
                <w:szCs w:val="24"/>
              </w:rPr>
              <w:t>a</w:t>
            </w:r>
            <w:r w:rsidRPr="00571FD3">
              <w:rPr>
                <w:rFonts w:asciiTheme="minorHAnsi" w:hAnsiTheme="minorHAnsi"/>
                <w:sz w:val="24"/>
                <w:szCs w:val="24"/>
              </w:rPr>
              <w:t>ining</w:t>
            </w:r>
            <w:r w:rsidRPr="00571FD3">
              <w:rPr>
                <w:rFonts w:asciiTheme="minorHAnsi" w:hAnsiTheme="minorHAnsi"/>
                <w:spacing w:val="-3"/>
                <w:sz w:val="24"/>
                <w:szCs w:val="24"/>
              </w:rPr>
              <w:t xml:space="preserve"> </w:t>
            </w:r>
            <w:r w:rsidRPr="00571FD3">
              <w:rPr>
                <w:rFonts w:asciiTheme="minorHAnsi" w:hAnsiTheme="minorHAnsi"/>
                <w:sz w:val="24"/>
                <w:szCs w:val="24"/>
              </w:rPr>
              <w:t>s</w:t>
            </w:r>
            <w:r w:rsidRPr="00571FD3">
              <w:rPr>
                <w:rFonts w:asciiTheme="minorHAnsi" w:hAnsiTheme="minorHAnsi"/>
                <w:spacing w:val="-1"/>
                <w:sz w:val="24"/>
                <w:szCs w:val="24"/>
              </w:rPr>
              <w:t>a</w:t>
            </w:r>
            <w:r w:rsidRPr="00571FD3">
              <w:rPr>
                <w:rFonts w:asciiTheme="minorHAnsi" w:hAnsiTheme="minorHAnsi"/>
                <w:sz w:val="24"/>
                <w:szCs w:val="24"/>
              </w:rPr>
              <w:t>l</w:t>
            </w:r>
            <w:r w:rsidRPr="00571FD3">
              <w:rPr>
                <w:rFonts w:asciiTheme="minorHAnsi" w:hAnsiTheme="minorHAnsi"/>
                <w:spacing w:val="-1"/>
                <w:sz w:val="24"/>
                <w:szCs w:val="24"/>
              </w:rPr>
              <w:t>e</w:t>
            </w:r>
            <w:r w:rsidRPr="00571FD3">
              <w:rPr>
                <w:rFonts w:asciiTheme="minorHAnsi" w:hAnsiTheme="minorHAnsi"/>
                <w:sz w:val="24"/>
                <w:szCs w:val="24"/>
              </w:rPr>
              <w:t>.</w:t>
            </w:r>
          </w:p>
        </w:tc>
      </w:tr>
      <w:tr w:rsidR="00F80E94" w:rsidRPr="006D0208" w14:paraId="4B272988" w14:textId="77777777" w:rsidTr="00306CF3">
        <w:tc>
          <w:tcPr>
            <w:tcW w:w="3055" w:type="dxa"/>
          </w:tcPr>
          <w:p w14:paraId="421050DA" w14:textId="77777777" w:rsidR="00F80E94" w:rsidRPr="00571FD3" w:rsidRDefault="00F80E94" w:rsidP="00306CF3">
            <w:pPr>
              <w:ind w:right="18"/>
              <w:rPr>
                <w:spacing w:val="1"/>
                <w:szCs w:val="24"/>
              </w:rPr>
            </w:pPr>
            <w:r w:rsidRPr="00571FD3">
              <w:rPr>
                <w:spacing w:val="1"/>
                <w:szCs w:val="24"/>
              </w:rPr>
              <w:t>V</w:t>
            </w:r>
            <w:r w:rsidRPr="00571FD3">
              <w:rPr>
                <w:szCs w:val="24"/>
              </w:rPr>
              <w:t>ehicles</w:t>
            </w:r>
            <w:r w:rsidRPr="00571FD3">
              <w:rPr>
                <w:spacing w:val="2"/>
                <w:szCs w:val="24"/>
              </w:rPr>
              <w:t xml:space="preserve"> </w:t>
            </w:r>
            <w:r w:rsidRPr="00571FD3">
              <w:rPr>
                <w:szCs w:val="24"/>
              </w:rPr>
              <w:t xml:space="preserve">and Titled </w:t>
            </w:r>
            <w:r w:rsidRPr="00571FD3">
              <w:rPr>
                <w:spacing w:val="-2"/>
                <w:szCs w:val="24"/>
              </w:rPr>
              <w:t>E</w:t>
            </w:r>
            <w:r w:rsidRPr="00571FD3">
              <w:rPr>
                <w:szCs w:val="24"/>
              </w:rPr>
              <w:t>qu</w:t>
            </w:r>
            <w:r w:rsidRPr="00571FD3">
              <w:rPr>
                <w:spacing w:val="-2"/>
                <w:szCs w:val="24"/>
              </w:rPr>
              <w:t>i</w:t>
            </w:r>
            <w:r w:rsidRPr="00571FD3">
              <w:rPr>
                <w:szCs w:val="24"/>
              </w:rPr>
              <w:t>p</w:t>
            </w:r>
            <w:r w:rsidRPr="00571FD3">
              <w:rPr>
                <w:spacing w:val="-4"/>
                <w:szCs w:val="24"/>
              </w:rPr>
              <w:t>m</w:t>
            </w:r>
            <w:r w:rsidRPr="00571FD3">
              <w:rPr>
                <w:szCs w:val="24"/>
              </w:rPr>
              <w:t>ent</w:t>
            </w:r>
            <w:r w:rsidRPr="00571FD3">
              <w:rPr>
                <w:spacing w:val="1"/>
                <w:szCs w:val="24"/>
              </w:rPr>
              <w:t xml:space="preserve"> </w:t>
            </w:r>
          </w:p>
          <w:p w14:paraId="06FA93D7" w14:textId="77777777" w:rsidR="00F80E94" w:rsidRPr="00571FD3" w:rsidRDefault="00F80E94" w:rsidP="00306CF3">
            <w:pPr>
              <w:ind w:right="18"/>
              <w:rPr>
                <w:szCs w:val="24"/>
              </w:rPr>
            </w:pPr>
          </w:p>
        </w:tc>
        <w:tc>
          <w:tcPr>
            <w:tcW w:w="6660" w:type="dxa"/>
          </w:tcPr>
          <w:p w14:paraId="56064E02" w14:textId="77777777" w:rsidR="00F80E94" w:rsidRPr="00571FD3" w:rsidRDefault="00F80E94" w:rsidP="00F25900">
            <w:pPr>
              <w:pStyle w:val="ListBullet"/>
              <w:numPr>
                <w:ilvl w:val="0"/>
                <w:numId w:val="39"/>
              </w:numPr>
              <w:ind w:right="18"/>
              <w:rPr>
                <w:rFonts w:asciiTheme="minorHAnsi" w:hAnsiTheme="minorHAnsi"/>
                <w:sz w:val="24"/>
                <w:szCs w:val="24"/>
              </w:rPr>
            </w:pPr>
            <w:r w:rsidRPr="00571FD3">
              <w:rPr>
                <w:rFonts w:asciiTheme="minorHAnsi" w:hAnsiTheme="minorHAnsi"/>
                <w:sz w:val="24"/>
                <w:szCs w:val="24"/>
              </w:rPr>
              <w:t>For property that is sold-on-site at the agency’s location: Surplus keeps 13% of each sale.</w:t>
            </w:r>
          </w:p>
          <w:p w14:paraId="4AEB97B0" w14:textId="77777777" w:rsidR="00F80E94" w:rsidRPr="00571FD3" w:rsidRDefault="00F80E94" w:rsidP="00F25900">
            <w:pPr>
              <w:pStyle w:val="ListBullet"/>
              <w:numPr>
                <w:ilvl w:val="0"/>
                <w:numId w:val="39"/>
              </w:numPr>
              <w:ind w:right="18"/>
              <w:rPr>
                <w:rFonts w:asciiTheme="minorHAnsi" w:hAnsiTheme="minorHAnsi"/>
                <w:sz w:val="24"/>
                <w:szCs w:val="24"/>
              </w:rPr>
            </w:pPr>
            <w:r w:rsidRPr="00571FD3">
              <w:rPr>
                <w:rFonts w:asciiTheme="minorHAnsi" w:hAnsiTheme="minorHAnsi"/>
                <w:sz w:val="24"/>
                <w:szCs w:val="24"/>
              </w:rPr>
              <w:t>For property that is sold from the Surplus Property warehouse: Surplus keeps 17% of each sale.</w:t>
            </w:r>
          </w:p>
        </w:tc>
      </w:tr>
      <w:tr w:rsidR="00F80E94" w:rsidRPr="006D0208" w14:paraId="5BC3E3A7" w14:textId="77777777" w:rsidTr="00306CF3">
        <w:tc>
          <w:tcPr>
            <w:tcW w:w="3055" w:type="dxa"/>
          </w:tcPr>
          <w:p w14:paraId="38712424" w14:textId="77777777" w:rsidR="00F80E94" w:rsidRPr="00571FD3" w:rsidRDefault="00F80E94" w:rsidP="00306CF3">
            <w:pPr>
              <w:ind w:right="18"/>
              <w:rPr>
                <w:spacing w:val="1"/>
                <w:szCs w:val="24"/>
              </w:rPr>
            </w:pPr>
            <w:r w:rsidRPr="00571FD3">
              <w:rPr>
                <w:spacing w:val="-1"/>
                <w:szCs w:val="24"/>
              </w:rPr>
              <w:t>De</w:t>
            </w:r>
            <w:r w:rsidRPr="00571FD3">
              <w:rPr>
                <w:szCs w:val="24"/>
              </w:rPr>
              <w:t>liv</w:t>
            </w:r>
            <w:r w:rsidRPr="00571FD3">
              <w:rPr>
                <w:spacing w:val="-1"/>
                <w:szCs w:val="24"/>
              </w:rPr>
              <w:t>ery</w:t>
            </w:r>
            <w:r w:rsidRPr="00571FD3">
              <w:rPr>
                <w:spacing w:val="34"/>
                <w:szCs w:val="24"/>
              </w:rPr>
              <w:t xml:space="preserve"> </w:t>
            </w:r>
            <w:r w:rsidRPr="00571FD3">
              <w:rPr>
                <w:szCs w:val="24"/>
              </w:rPr>
              <w:t>and</w:t>
            </w:r>
            <w:r w:rsidRPr="00571FD3">
              <w:rPr>
                <w:spacing w:val="36"/>
                <w:szCs w:val="24"/>
              </w:rPr>
              <w:t xml:space="preserve"> </w:t>
            </w:r>
            <w:r w:rsidRPr="00571FD3">
              <w:rPr>
                <w:spacing w:val="-3"/>
                <w:szCs w:val="24"/>
              </w:rPr>
              <w:t>P</w:t>
            </w:r>
            <w:r w:rsidRPr="00571FD3">
              <w:rPr>
                <w:szCs w:val="24"/>
              </w:rPr>
              <w:t>i</w:t>
            </w:r>
            <w:r w:rsidRPr="00571FD3">
              <w:rPr>
                <w:spacing w:val="-1"/>
                <w:szCs w:val="24"/>
              </w:rPr>
              <w:t>c</w:t>
            </w:r>
            <w:r w:rsidRPr="00571FD3">
              <w:rPr>
                <w:szCs w:val="24"/>
              </w:rPr>
              <w:t>kup</w:t>
            </w:r>
            <w:r w:rsidRPr="00571FD3">
              <w:rPr>
                <w:spacing w:val="34"/>
                <w:szCs w:val="24"/>
              </w:rPr>
              <w:t xml:space="preserve"> </w:t>
            </w:r>
            <w:r w:rsidRPr="00571FD3">
              <w:rPr>
                <w:spacing w:val="-1"/>
                <w:szCs w:val="24"/>
              </w:rPr>
              <w:t>C</w:t>
            </w:r>
            <w:r w:rsidRPr="00571FD3">
              <w:rPr>
                <w:szCs w:val="24"/>
              </w:rPr>
              <w:t>ha</w:t>
            </w:r>
            <w:r w:rsidRPr="00571FD3">
              <w:rPr>
                <w:spacing w:val="-1"/>
                <w:szCs w:val="24"/>
              </w:rPr>
              <w:t>rge</w:t>
            </w:r>
            <w:r w:rsidRPr="00571FD3">
              <w:rPr>
                <w:szCs w:val="24"/>
              </w:rPr>
              <w:t>s</w:t>
            </w:r>
          </w:p>
        </w:tc>
        <w:tc>
          <w:tcPr>
            <w:tcW w:w="6660" w:type="dxa"/>
          </w:tcPr>
          <w:p w14:paraId="67845BD5" w14:textId="77777777" w:rsidR="00F80E94" w:rsidRPr="00571FD3" w:rsidRDefault="00F80E94" w:rsidP="00F25900">
            <w:pPr>
              <w:pStyle w:val="ListBullet"/>
              <w:numPr>
                <w:ilvl w:val="0"/>
                <w:numId w:val="39"/>
              </w:numPr>
              <w:ind w:right="18"/>
              <w:rPr>
                <w:rFonts w:asciiTheme="minorHAnsi" w:hAnsiTheme="minorHAnsi"/>
                <w:sz w:val="24"/>
                <w:szCs w:val="24"/>
              </w:rPr>
            </w:pPr>
            <w:r w:rsidRPr="00571FD3">
              <w:rPr>
                <w:rFonts w:asciiTheme="minorHAnsi" w:hAnsiTheme="minorHAnsi"/>
                <w:sz w:val="24"/>
                <w:szCs w:val="24"/>
              </w:rPr>
              <w:t>Billed to agencies at $2 per mile plus $96 per hour for labor, billed in 15-minute increments with a 1-hour minimum. Surplus reserves the right to add a fuel surcharge to the per-mile fee should fuel costs rise.</w:t>
            </w:r>
          </w:p>
        </w:tc>
      </w:tr>
      <w:tr w:rsidR="00F80E94" w:rsidRPr="006D0208" w14:paraId="2A2AE189" w14:textId="77777777" w:rsidTr="00306CF3">
        <w:tc>
          <w:tcPr>
            <w:tcW w:w="3055" w:type="dxa"/>
          </w:tcPr>
          <w:p w14:paraId="05015F61" w14:textId="77777777" w:rsidR="00F80E94" w:rsidRPr="00571FD3" w:rsidRDefault="00F80E94" w:rsidP="00306CF3">
            <w:pPr>
              <w:ind w:right="18"/>
              <w:rPr>
                <w:spacing w:val="-1"/>
                <w:szCs w:val="24"/>
              </w:rPr>
            </w:pPr>
            <w:r w:rsidRPr="00571FD3">
              <w:rPr>
                <w:spacing w:val="-1"/>
                <w:szCs w:val="24"/>
              </w:rPr>
              <w:t>Storage and Storage Management</w:t>
            </w:r>
          </w:p>
        </w:tc>
        <w:tc>
          <w:tcPr>
            <w:tcW w:w="6660" w:type="dxa"/>
          </w:tcPr>
          <w:p w14:paraId="20B4BA52" w14:textId="77777777" w:rsidR="00F80E94" w:rsidRPr="00571FD3" w:rsidRDefault="00F80E94" w:rsidP="00F25900">
            <w:pPr>
              <w:pStyle w:val="ListBullet"/>
              <w:numPr>
                <w:ilvl w:val="0"/>
                <w:numId w:val="38"/>
              </w:numPr>
              <w:ind w:right="18"/>
              <w:rPr>
                <w:rFonts w:asciiTheme="minorHAnsi" w:hAnsiTheme="minorHAnsi"/>
                <w:sz w:val="24"/>
                <w:szCs w:val="24"/>
              </w:rPr>
            </w:pPr>
            <w:r w:rsidRPr="00571FD3">
              <w:rPr>
                <w:rFonts w:asciiTheme="minorHAnsi" w:hAnsiTheme="minorHAnsi"/>
                <w:sz w:val="24"/>
                <w:szCs w:val="24"/>
              </w:rPr>
              <w:t>Pallet Storage: $13 per pallet per month</w:t>
            </w:r>
          </w:p>
          <w:p w14:paraId="505CAA77" w14:textId="77777777" w:rsidR="00F80E94" w:rsidRPr="00571FD3" w:rsidRDefault="00F80E94" w:rsidP="00F25900">
            <w:pPr>
              <w:pStyle w:val="ListBullet"/>
              <w:numPr>
                <w:ilvl w:val="0"/>
                <w:numId w:val="38"/>
              </w:numPr>
              <w:ind w:right="18"/>
              <w:rPr>
                <w:rFonts w:asciiTheme="minorHAnsi" w:hAnsiTheme="minorHAnsi"/>
                <w:sz w:val="24"/>
                <w:szCs w:val="24"/>
              </w:rPr>
            </w:pPr>
            <w:r w:rsidRPr="00571FD3">
              <w:rPr>
                <w:rFonts w:asciiTheme="minorHAnsi" w:hAnsiTheme="minorHAnsi"/>
                <w:sz w:val="24"/>
                <w:szCs w:val="24"/>
              </w:rPr>
              <w:t>Space Storage: $0.70 per sq. ft. per month</w:t>
            </w:r>
          </w:p>
          <w:p w14:paraId="0E04666F" w14:textId="77777777" w:rsidR="00F80E94" w:rsidRPr="00571FD3" w:rsidRDefault="00F80E94" w:rsidP="00F25900">
            <w:pPr>
              <w:pStyle w:val="ListBullet"/>
              <w:numPr>
                <w:ilvl w:val="0"/>
                <w:numId w:val="38"/>
              </w:numPr>
              <w:ind w:right="18"/>
              <w:rPr>
                <w:rFonts w:asciiTheme="minorHAnsi" w:hAnsiTheme="minorHAnsi"/>
                <w:sz w:val="24"/>
                <w:szCs w:val="24"/>
              </w:rPr>
            </w:pPr>
            <w:r w:rsidRPr="00571FD3">
              <w:rPr>
                <w:rFonts w:asciiTheme="minorHAnsi" w:hAnsiTheme="minorHAnsi"/>
                <w:sz w:val="24"/>
                <w:szCs w:val="24"/>
              </w:rPr>
              <w:t>Labor: $96 per hour</w:t>
            </w:r>
          </w:p>
          <w:p w14:paraId="59DA6393" w14:textId="77777777" w:rsidR="00F80E94" w:rsidRPr="00571FD3" w:rsidRDefault="00F80E94" w:rsidP="00F25900">
            <w:pPr>
              <w:pStyle w:val="ListBullet"/>
              <w:numPr>
                <w:ilvl w:val="0"/>
                <w:numId w:val="38"/>
              </w:numPr>
              <w:ind w:right="18"/>
              <w:rPr>
                <w:rFonts w:asciiTheme="minorHAnsi" w:hAnsiTheme="minorHAnsi"/>
                <w:sz w:val="24"/>
                <w:szCs w:val="24"/>
              </w:rPr>
            </w:pPr>
            <w:r w:rsidRPr="00571FD3">
              <w:rPr>
                <w:rFonts w:asciiTheme="minorHAnsi" w:hAnsiTheme="minorHAnsi"/>
                <w:sz w:val="24"/>
                <w:szCs w:val="24"/>
              </w:rPr>
              <w:t>Outside Lot Storage: $0.60 per sq. ft. per week (charged on vehicles or equipment arriving at the Surplus Property warehouse that are not ready for immediate sale [i.e., within one week]).</w:t>
            </w:r>
          </w:p>
        </w:tc>
      </w:tr>
      <w:tr w:rsidR="00F80E94" w:rsidRPr="006D0208" w14:paraId="278016CE" w14:textId="77777777" w:rsidTr="00306CF3">
        <w:tc>
          <w:tcPr>
            <w:tcW w:w="3055" w:type="dxa"/>
          </w:tcPr>
          <w:p w14:paraId="4A1B0429" w14:textId="77777777" w:rsidR="00F80E94" w:rsidRPr="00571FD3" w:rsidRDefault="00F80E94" w:rsidP="00306CF3">
            <w:pPr>
              <w:ind w:right="18"/>
              <w:rPr>
                <w:szCs w:val="24"/>
              </w:rPr>
            </w:pPr>
            <w:r w:rsidRPr="00571FD3">
              <w:rPr>
                <w:szCs w:val="24"/>
              </w:rPr>
              <w:t>Assessment</w:t>
            </w:r>
          </w:p>
        </w:tc>
        <w:tc>
          <w:tcPr>
            <w:tcW w:w="6660" w:type="dxa"/>
          </w:tcPr>
          <w:p w14:paraId="097B6600" w14:textId="77777777" w:rsidR="00F80E94" w:rsidRPr="00571FD3" w:rsidRDefault="00F80E94" w:rsidP="00306CF3">
            <w:pPr>
              <w:ind w:right="18"/>
              <w:rPr>
                <w:szCs w:val="24"/>
              </w:rPr>
            </w:pPr>
            <w:r w:rsidRPr="00571FD3">
              <w:rPr>
                <w:szCs w:val="24"/>
              </w:rPr>
              <w:t xml:space="preserve">Allocated as follows: </w:t>
            </w:r>
          </w:p>
          <w:p w14:paraId="5E04BDF4" w14:textId="77777777" w:rsidR="00F80E94" w:rsidRPr="00571FD3" w:rsidRDefault="00F80E94" w:rsidP="00F25900">
            <w:pPr>
              <w:pStyle w:val="ListBullet"/>
              <w:numPr>
                <w:ilvl w:val="0"/>
                <w:numId w:val="37"/>
              </w:numPr>
              <w:ind w:right="18"/>
              <w:rPr>
                <w:rFonts w:asciiTheme="minorHAnsi" w:hAnsiTheme="minorHAnsi"/>
                <w:i/>
                <w:sz w:val="24"/>
                <w:szCs w:val="24"/>
              </w:rPr>
            </w:pPr>
            <w:r w:rsidRPr="00571FD3">
              <w:rPr>
                <w:rFonts w:asciiTheme="minorHAnsi" w:hAnsiTheme="minorHAnsi"/>
                <w:sz w:val="24"/>
                <w:szCs w:val="24"/>
              </w:rPr>
              <w:t xml:space="preserve">20% of the total assessment will cover Surplus policy, consultation, and program overhead (administrative) expenses; allocated to state agencies based on 2025-27 Legislatively Adopted Budget (LAB) </w:t>
            </w:r>
            <w:r w:rsidRPr="00571FD3">
              <w:rPr>
                <w:rFonts w:asciiTheme="minorHAnsi" w:hAnsiTheme="minorHAnsi"/>
                <w:spacing w:val="-2"/>
                <w:sz w:val="24"/>
                <w:szCs w:val="24"/>
              </w:rPr>
              <w:t>F</w:t>
            </w:r>
            <w:r w:rsidRPr="00571FD3">
              <w:rPr>
                <w:rFonts w:asciiTheme="minorHAnsi" w:hAnsiTheme="minorHAnsi"/>
                <w:sz w:val="24"/>
                <w:szCs w:val="24"/>
              </w:rPr>
              <w:t>ull-</w:t>
            </w:r>
            <w:r w:rsidRPr="00571FD3">
              <w:rPr>
                <w:rFonts w:asciiTheme="minorHAnsi" w:hAnsiTheme="minorHAnsi"/>
                <w:spacing w:val="-1"/>
                <w:sz w:val="24"/>
                <w:szCs w:val="24"/>
              </w:rPr>
              <w:t>T</w:t>
            </w:r>
            <w:r w:rsidRPr="00571FD3">
              <w:rPr>
                <w:rFonts w:asciiTheme="minorHAnsi" w:hAnsiTheme="minorHAnsi"/>
                <w:sz w:val="24"/>
                <w:szCs w:val="24"/>
              </w:rPr>
              <w:t xml:space="preserve">ime </w:t>
            </w:r>
            <w:r w:rsidRPr="00571FD3">
              <w:rPr>
                <w:rFonts w:asciiTheme="minorHAnsi" w:hAnsiTheme="minorHAnsi"/>
                <w:spacing w:val="-1"/>
                <w:sz w:val="24"/>
                <w:szCs w:val="24"/>
              </w:rPr>
              <w:t>E</w:t>
            </w:r>
            <w:r w:rsidRPr="00571FD3">
              <w:rPr>
                <w:rFonts w:asciiTheme="minorHAnsi" w:hAnsiTheme="minorHAnsi"/>
                <w:sz w:val="24"/>
                <w:szCs w:val="24"/>
              </w:rPr>
              <w:t>quiv</w:t>
            </w:r>
            <w:r w:rsidRPr="00571FD3">
              <w:rPr>
                <w:rFonts w:asciiTheme="minorHAnsi" w:hAnsiTheme="minorHAnsi"/>
                <w:spacing w:val="-1"/>
                <w:sz w:val="24"/>
                <w:szCs w:val="24"/>
              </w:rPr>
              <w:t>a</w:t>
            </w:r>
            <w:r w:rsidRPr="00571FD3">
              <w:rPr>
                <w:rFonts w:asciiTheme="minorHAnsi" w:hAnsiTheme="minorHAnsi"/>
                <w:sz w:val="24"/>
                <w:szCs w:val="24"/>
              </w:rPr>
              <w:t>l</w:t>
            </w:r>
            <w:r w:rsidRPr="00571FD3">
              <w:rPr>
                <w:rFonts w:asciiTheme="minorHAnsi" w:hAnsiTheme="minorHAnsi"/>
                <w:spacing w:val="-1"/>
                <w:sz w:val="24"/>
                <w:szCs w:val="24"/>
              </w:rPr>
              <w:t>e</w:t>
            </w:r>
            <w:r w:rsidRPr="00571FD3">
              <w:rPr>
                <w:rFonts w:asciiTheme="minorHAnsi" w:hAnsiTheme="minorHAnsi"/>
                <w:sz w:val="24"/>
                <w:szCs w:val="24"/>
              </w:rPr>
              <w:t>nt</w:t>
            </w:r>
            <w:r w:rsidRPr="00571FD3">
              <w:rPr>
                <w:rFonts w:asciiTheme="minorHAnsi" w:hAnsiTheme="minorHAnsi"/>
                <w:spacing w:val="17"/>
                <w:sz w:val="24"/>
                <w:szCs w:val="24"/>
              </w:rPr>
              <w:t xml:space="preserve"> </w:t>
            </w:r>
            <w:r w:rsidRPr="00571FD3">
              <w:rPr>
                <w:rFonts w:asciiTheme="minorHAnsi" w:hAnsiTheme="minorHAnsi"/>
                <w:spacing w:val="-1"/>
                <w:sz w:val="24"/>
                <w:szCs w:val="24"/>
              </w:rPr>
              <w:t>(</w:t>
            </w:r>
            <w:r w:rsidRPr="00571FD3">
              <w:rPr>
                <w:rFonts w:asciiTheme="minorHAnsi" w:hAnsiTheme="minorHAnsi"/>
                <w:spacing w:val="-2"/>
                <w:sz w:val="24"/>
                <w:szCs w:val="24"/>
              </w:rPr>
              <w:t>F</w:t>
            </w:r>
            <w:r w:rsidRPr="00571FD3">
              <w:rPr>
                <w:rFonts w:asciiTheme="minorHAnsi" w:hAnsiTheme="minorHAnsi"/>
                <w:spacing w:val="2"/>
                <w:sz w:val="24"/>
                <w:szCs w:val="24"/>
              </w:rPr>
              <w:t>T</w:t>
            </w:r>
            <w:r w:rsidRPr="00571FD3">
              <w:rPr>
                <w:rFonts w:asciiTheme="minorHAnsi" w:hAnsiTheme="minorHAnsi"/>
                <w:spacing w:val="-1"/>
                <w:sz w:val="24"/>
                <w:szCs w:val="24"/>
              </w:rPr>
              <w:t>E)</w:t>
            </w:r>
            <w:r w:rsidRPr="00571FD3">
              <w:rPr>
                <w:rFonts w:asciiTheme="minorHAnsi" w:hAnsiTheme="minorHAnsi"/>
                <w:sz w:val="24"/>
                <w:szCs w:val="24"/>
              </w:rPr>
              <w:t xml:space="preserve"> authority. </w:t>
            </w:r>
            <w:r w:rsidRPr="00571FD3">
              <w:rPr>
                <w:rFonts w:asciiTheme="minorHAnsi" w:hAnsiTheme="minorHAnsi"/>
                <w:i/>
                <w:sz w:val="24"/>
                <w:szCs w:val="24"/>
              </w:rPr>
              <w:t>Reference Surplus Property Base (EAM) in Appendix A.</w:t>
            </w:r>
          </w:p>
          <w:p w14:paraId="76F81D11" w14:textId="77777777" w:rsidR="00F80E94" w:rsidRPr="00571FD3" w:rsidRDefault="00F80E94" w:rsidP="00F25900">
            <w:pPr>
              <w:pStyle w:val="ListBullet"/>
              <w:numPr>
                <w:ilvl w:val="0"/>
                <w:numId w:val="37"/>
              </w:numPr>
              <w:ind w:right="-20"/>
              <w:rPr>
                <w:rFonts w:asciiTheme="minorHAnsi" w:hAnsiTheme="minorHAnsi"/>
                <w:i/>
                <w:sz w:val="24"/>
                <w:szCs w:val="24"/>
              </w:rPr>
            </w:pPr>
            <w:r w:rsidRPr="00571FD3">
              <w:rPr>
                <w:rFonts w:asciiTheme="minorHAnsi" w:hAnsiTheme="minorHAnsi"/>
                <w:sz w:val="24"/>
                <w:szCs w:val="24"/>
              </w:rPr>
              <w:lastRenderedPageBreak/>
              <w:t xml:space="preserve">80% of the total assessment is based on historical personal property transactions conducted on behalf of state agencies using actual 2023-25 personal property transactions per agency. </w:t>
            </w:r>
            <w:r w:rsidRPr="008423A5">
              <w:rPr>
                <w:rFonts w:asciiTheme="minorHAnsi" w:hAnsiTheme="minorHAnsi"/>
                <w:iCs/>
                <w:sz w:val="24"/>
                <w:szCs w:val="24"/>
              </w:rPr>
              <w:t>Reference Surplus Personal Property Transactions (EAM) in Appendix A.</w:t>
            </w:r>
          </w:p>
        </w:tc>
      </w:tr>
    </w:tbl>
    <w:p w14:paraId="728B3647" w14:textId="77777777" w:rsidR="00F80E94" w:rsidRPr="005D7292" w:rsidRDefault="00F80E94" w:rsidP="2E12E5CC">
      <w:pPr>
        <w:pStyle w:val="Heading4"/>
      </w:pPr>
      <w:bookmarkStart w:id="62" w:name="_Toc226108627"/>
      <w:r w:rsidRPr="005D7292">
        <w:lastRenderedPageBreak/>
        <w:t>Enterprise Goods and Services</w:t>
      </w:r>
      <w:bookmarkEnd w:id="62"/>
    </w:p>
    <w:p w14:paraId="61AE261F" w14:textId="39191E65" w:rsidR="00F80E94" w:rsidRPr="006A71DC" w:rsidRDefault="00F80E94" w:rsidP="00D13C69">
      <w:r w:rsidRPr="006A71DC">
        <w:t xml:space="preserve">Enterprise Goods and Services (EGS) </w:t>
      </w:r>
      <w:proofErr w:type="gramStart"/>
      <w:r w:rsidRPr="006A71DC">
        <w:t>provides</w:t>
      </w:r>
      <w:proofErr w:type="gramEnd"/>
      <w:r w:rsidRPr="006A71DC">
        <w:t xml:space="preserve"> cost-effective services to state agencies and, in </w:t>
      </w:r>
      <w:r>
        <w:t>many</w:t>
      </w:r>
      <w:r w:rsidRPr="006A71DC">
        <w:t xml:space="preserve"> cases, local governments. These value-added services allow agencies to focus on </w:t>
      </w:r>
      <w:r>
        <w:t>their</w:t>
      </w:r>
      <w:r w:rsidRPr="006A71DC">
        <w:t xml:space="preserve"> primary </w:t>
      </w:r>
      <w:proofErr w:type="gramStart"/>
      <w:r w:rsidR="6EA2043A">
        <w:t>missions</w:t>
      </w:r>
      <w:proofErr w:type="gramEnd"/>
      <w:r w:rsidRPr="006A71DC">
        <w:t xml:space="preserve"> and core business. Specifically, EGS supports its customers by providing </w:t>
      </w:r>
      <w:r>
        <w:t>stable</w:t>
      </w:r>
      <w:r w:rsidRPr="006A71DC">
        <w:t xml:space="preserve"> business systems</w:t>
      </w:r>
      <w:r>
        <w:t xml:space="preserve"> and expertise in</w:t>
      </w:r>
      <w:r w:rsidRPr="006A71DC">
        <w:t xml:space="preserve"> procurement, publishing and </w:t>
      </w:r>
      <w:r>
        <w:t xml:space="preserve">mail </w:t>
      </w:r>
      <w:r w:rsidRPr="006A71DC">
        <w:t>distribution, risk management and financial services. The division focuses on helping through responsive customer service, operational efficiency, flexible delivery and continuous performance improvement</w:t>
      </w:r>
      <w:r>
        <w:t xml:space="preserve">. </w:t>
      </w:r>
    </w:p>
    <w:p w14:paraId="70F9557D" w14:textId="77777777" w:rsidR="00F80E94" w:rsidRPr="00D13C69" w:rsidRDefault="00F80E94" w:rsidP="2E12E5CC">
      <w:pPr>
        <w:pStyle w:val="Heading4"/>
      </w:pPr>
      <w:bookmarkStart w:id="63" w:name="_Toc226108628"/>
      <w:r w:rsidRPr="005D7292">
        <w:t>State Procurement Services</w:t>
      </w:r>
      <w:bookmarkEnd w:id="63"/>
    </w:p>
    <w:p w14:paraId="2851A1A2" w14:textId="77777777" w:rsidR="00F80E94" w:rsidRPr="001228BE" w:rsidRDefault="00F80E94" w:rsidP="00D13C69">
      <w:r>
        <w:t xml:space="preserve">State </w:t>
      </w:r>
      <w:r w:rsidRPr="001228BE">
        <w:t>Procurement Services</w:t>
      </w:r>
      <w:r>
        <w:t xml:space="preserve"> (SPS)</w:t>
      </w:r>
      <w:r w:rsidRPr="001228BE">
        <w:t xml:space="preserve"> is responsible for providing a wide range of statewide procurement services, </w:t>
      </w:r>
      <w:r>
        <w:t xml:space="preserve">such as </w:t>
      </w:r>
      <w:r w:rsidRPr="001228BE">
        <w:t xml:space="preserve">procuring goods and services on behalf of state and local governments, </w:t>
      </w:r>
      <w:r>
        <w:t xml:space="preserve">offering </w:t>
      </w:r>
      <w:r w:rsidRPr="001228BE">
        <w:t>procurement consultation, marketing and communication</w:t>
      </w:r>
      <w:r>
        <w:t>, policy and</w:t>
      </w:r>
      <w:r w:rsidRPr="001228BE">
        <w:t xml:space="preserve"> strategic planning, </w:t>
      </w:r>
      <w:r>
        <w:t xml:space="preserve">statewide strategic sourcing, </w:t>
      </w:r>
      <w:r w:rsidRPr="001228BE">
        <w:t xml:space="preserve">and general procurement information </w:t>
      </w:r>
      <w:r>
        <w:t xml:space="preserve">and </w:t>
      </w:r>
      <w:r w:rsidRPr="001228BE">
        <w:t>support. These services include:</w:t>
      </w:r>
    </w:p>
    <w:p w14:paraId="5EB29C31" w14:textId="77777777" w:rsidR="00F80E94" w:rsidRPr="005E1620" w:rsidRDefault="00F80E94" w:rsidP="005E1620">
      <w:pPr>
        <w:pStyle w:val="ListParagraph"/>
        <w:numPr>
          <w:ilvl w:val="0"/>
          <w:numId w:val="54"/>
        </w:numPr>
        <w:rPr>
          <w:b/>
        </w:rPr>
      </w:pPr>
      <w:r w:rsidRPr="005E1620">
        <w:rPr>
          <w:b/>
        </w:rPr>
        <w:t>Statewide Price Agreement Services:</w:t>
      </w:r>
      <w:r w:rsidRPr="001228BE">
        <w:t xml:space="preserve"> </w:t>
      </w:r>
      <w:r>
        <w:t>SPS</w:t>
      </w:r>
      <w:r w:rsidRPr="001228BE">
        <w:t xml:space="preserve"> negotiates and administers </w:t>
      </w:r>
      <w:r>
        <w:t>s</w:t>
      </w:r>
      <w:r w:rsidRPr="001228BE">
        <w:t xml:space="preserve">tatewide </w:t>
      </w:r>
      <w:r>
        <w:t>p</w:t>
      </w:r>
      <w:r w:rsidRPr="001228BE">
        <w:t xml:space="preserve">rice </w:t>
      </w:r>
      <w:r>
        <w:t>a</w:t>
      </w:r>
      <w:r w:rsidRPr="001228BE">
        <w:t xml:space="preserve">greements, which leverage the purchasing power of local governments, state agencies, and other states to ensure cost-effective acquisition of goods and services. </w:t>
      </w:r>
      <w:r>
        <w:t xml:space="preserve">The costs associated with these services are supported by the Vendor Collected Administrative </w:t>
      </w:r>
      <w:r w:rsidRPr="005526B3">
        <w:t>Fee:</w:t>
      </w:r>
      <w:r w:rsidRPr="005E1620">
        <w:rPr>
          <w:b/>
        </w:rPr>
        <w:t xml:space="preserve"> Ranges from 1.0% to 2.0%, and </w:t>
      </w:r>
      <w:r w:rsidRPr="005E1620">
        <w:rPr>
          <w:rFonts w:eastAsia="Calibri"/>
          <w:b/>
          <w:spacing w:val="-1"/>
        </w:rPr>
        <w:t>other percent or type</w:t>
      </w:r>
      <w:r w:rsidRPr="005E1620">
        <w:rPr>
          <w:b/>
        </w:rPr>
        <w:t>.</w:t>
      </w:r>
    </w:p>
    <w:p w14:paraId="051EE390" w14:textId="77777777" w:rsidR="00F80E94" w:rsidRPr="001228BE" w:rsidRDefault="00F80E94" w:rsidP="005E1620">
      <w:pPr>
        <w:pStyle w:val="ListParagraph"/>
        <w:numPr>
          <w:ilvl w:val="0"/>
          <w:numId w:val="54"/>
        </w:numPr>
      </w:pPr>
      <w:r w:rsidRPr="005E1620">
        <w:rPr>
          <w:b/>
        </w:rPr>
        <w:t xml:space="preserve">Procurement Training Services: </w:t>
      </w:r>
      <w:r w:rsidRPr="00262EDF">
        <w:t xml:space="preserve">A specialized unit within SPS delivers </w:t>
      </w:r>
      <w:r w:rsidRPr="005E1620">
        <w:rPr>
          <w:spacing w:val="-1"/>
        </w:rPr>
        <w:t>DAS’</w:t>
      </w:r>
      <w:r w:rsidRPr="00262EDF">
        <w:t>s</w:t>
      </w:r>
      <w:r w:rsidRPr="005E1620">
        <w:rPr>
          <w:spacing w:val="-1"/>
        </w:rPr>
        <w:t xml:space="preserve"> procurement-related training services, including legislatively mandated </w:t>
      </w:r>
      <w:r w:rsidRPr="00262EDF">
        <w:t>programs</w:t>
      </w:r>
      <w:r w:rsidRPr="005E1620">
        <w:rPr>
          <w:spacing w:val="-1"/>
        </w:rPr>
        <w:t xml:space="preserve">. The team </w:t>
      </w:r>
      <w:r w:rsidRPr="00262EDF">
        <w:t>manages</w:t>
      </w:r>
      <w:r w:rsidRPr="005E1620">
        <w:rPr>
          <w:spacing w:val="-1"/>
        </w:rPr>
        <w:t xml:space="preserve"> training and certification </w:t>
      </w:r>
      <w:r w:rsidRPr="00262EDF">
        <w:t>initiatives</w:t>
      </w:r>
      <w:r w:rsidRPr="005E1620">
        <w:rPr>
          <w:spacing w:val="-1"/>
        </w:rPr>
        <w:t xml:space="preserve"> to </w:t>
      </w:r>
      <w:r w:rsidRPr="00262EDF">
        <w:t>enhance</w:t>
      </w:r>
      <w:r w:rsidRPr="005E1620">
        <w:rPr>
          <w:spacing w:val="-1"/>
        </w:rPr>
        <w:t xml:space="preserve"> purchasing and contracting outcomes, certifies procurement professionals, and ensures the training program </w:t>
      </w:r>
      <w:r w:rsidRPr="00262EDF">
        <w:t>remains</w:t>
      </w:r>
      <w:r w:rsidRPr="005E1620">
        <w:rPr>
          <w:spacing w:val="-1"/>
        </w:rPr>
        <w:t xml:space="preserve"> responsive to the needs of multiple agencies. </w:t>
      </w:r>
      <w:r w:rsidRPr="00262EDF">
        <w:t xml:space="preserve"> Courses</w:t>
      </w:r>
      <w:r>
        <w:t xml:space="preserve"> are offered both free of charge and for a fee per the table below, providing options to meet diverse training needs.</w:t>
      </w:r>
    </w:p>
    <w:p w14:paraId="0D0CC409" w14:textId="77777777" w:rsidR="00F80E94" w:rsidRPr="001228BE" w:rsidRDefault="00F80E94" w:rsidP="005E1620">
      <w:pPr>
        <w:pStyle w:val="ListParagraph"/>
        <w:numPr>
          <w:ilvl w:val="0"/>
          <w:numId w:val="54"/>
        </w:numPr>
      </w:pPr>
      <w:r w:rsidRPr="005E1620">
        <w:rPr>
          <w:b/>
        </w:rPr>
        <w:t xml:space="preserve">Oregon </w:t>
      </w:r>
      <w:proofErr w:type="gramStart"/>
      <w:r w:rsidRPr="005E1620">
        <w:rPr>
          <w:b/>
        </w:rPr>
        <w:t>Cooperative Procurement</w:t>
      </w:r>
      <w:proofErr w:type="gramEnd"/>
      <w:r w:rsidRPr="005E1620">
        <w:rPr>
          <w:b/>
        </w:rPr>
        <w:t xml:space="preserve"> Program (ORCPP) Services: </w:t>
      </w:r>
      <w:r w:rsidRPr="001228BE">
        <w:t xml:space="preserve">ORCPP allows </w:t>
      </w:r>
      <w:r>
        <w:t>public sector</w:t>
      </w:r>
      <w:r w:rsidRPr="001228BE">
        <w:t xml:space="preserve"> agencies and organizations </w:t>
      </w:r>
      <w:proofErr w:type="gramStart"/>
      <w:r w:rsidRPr="001228BE">
        <w:t>access to</w:t>
      </w:r>
      <w:proofErr w:type="gramEnd"/>
      <w:r w:rsidRPr="001228BE">
        <w:t xml:space="preserve"> state contracts to purchase goods and services, procurement training opportunities and unlimited </w:t>
      </w:r>
      <w:r>
        <w:t>solicitation postings</w:t>
      </w:r>
      <w:r w:rsidRPr="001228BE">
        <w:t xml:space="preserve"> in</w:t>
      </w:r>
      <w:r>
        <w:t xml:space="preserve"> </w:t>
      </w:r>
      <w:proofErr w:type="spellStart"/>
      <w:r>
        <w:t>OregonBuys</w:t>
      </w:r>
      <w:proofErr w:type="spellEnd"/>
      <w:r w:rsidRPr="001228BE">
        <w:t xml:space="preserve">. Additionally, a reciprocal agreement </w:t>
      </w:r>
      <w:r>
        <w:t>extends</w:t>
      </w:r>
      <w:r w:rsidRPr="001228BE">
        <w:t xml:space="preserve"> access to </w:t>
      </w:r>
      <w:r w:rsidRPr="001228BE">
        <w:lastRenderedPageBreak/>
        <w:t xml:space="preserve">designated contracts in Washington state. </w:t>
      </w:r>
      <w:r>
        <w:t xml:space="preserve"> There is no direct fee for Oregon public sector agencies to join the cooperative program.</w:t>
      </w:r>
    </w:p>
    <w:p w14:paraId="3DC95401" w14:textId="77777777" w:rsidR="00F80E94" w:rsidRDefault="00F80E94" w:rsidP="00F80E94">
      <w:pPr>
        <w:spacing w:after="0" w:line="240" w:lineRule="auto"/>
        <w:rPr>
          <w:spacing w:val="-1"/>
        </w:rPr>
      </w:pP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2"/>
        <w:gridCol w:w="1827"/>
      </w:tblGrid>
      <w:tr w:rsidR="00F80E94" w:rsidRPr="0005389B" w14:paraId="118CF935" w14:textId="77777777" w:rsidTr="00306CF3">
        <w:trPr>
          <w:trHeight w:val="485"/>
          <w:tblHeader/>
          <w:jc w:val="center"/>
        </w:trPr>
        <w:tc>
          <w:tcPr>
            <w:tcW w:w="6832" w:type="dxa"/>
            <w:shd w:val="clear" w:color="auto" w:fill="D9D9D9" w:themeFill="background1" w:themeFillShade="D9"/>
            <w:vAlign w:val="center"/>
          </w:tcPr>
          <w:p w14:paraId="6FA86FD2"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center"/>
              <w:rPr>
                <w:rFonts w:eastAsia="Calibri"/>
                <w:b/>
                <w:spacing w:val="-1"/>
              </w:rPr>
            </w:pPr>
            <w:r w:rsidRPr="00C323E4">
              <w:br w:type="page"/>
            </w:r>
            <w:r w:rsidRPr="00C323E4">
              <w:br w:type="page"/>
            </w:r>
            <w:r w:rsidRPr="00C323E4">
              <w:rPr>
                <w:rFonts w:eastAsia="Calibri"/>
                <w:b/>
                <w:spacing w:val="-1"/>
              </w:rPr>
              <w:t>Service</w:t>
            </w:r>
          </w:p>
        </w:tc>
        <w:tc>
          <w:tcPr>
            <w:tcW w:w="1827" w:type="dxa"/>
            <w:shd w:val="clear" w:color="auto" w:fill="D9D9D9" w:themeFill="background1" w:themeFillShade="D9"/>
            <w:vAlign w:val="center"/>
          </w:tcPr>
          <w:p w14:paraId="2BD6B3BE" w14:textId="77777777" w:rsidR="00F80E94" w:rsidRPr="00C323E4" w:rsidRDefault="00F80E94" w:rsidP="00306CF3">
            <w:pPr>
              <w:pStyle w:val="NoSpacing"/>
              <w:ind w:right="18"/>
              <w:jc w:val="center"/>
              <w:rPr>
                <w:b/>
              </w:rPr>
            </w:pPr>
            <w:r w:rsidRPr="00C323E4">
              <w:rPr>
                <w:b/>
              </w:rPr>
              <w:t>2027-29</w:t>
            </w:r>
          </w:p>
          <w:p w14:paraId="66BA3B97"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center"/>
              <w:rPr>
                <w:rFonts w:eastAsia="Calibri"/>
                <w:b/>
                <w:spacing w:val="-1"/>
              </w:rPr>
            </w:pPr>
            <w:r w:rsidRPr="00C323E4">
              <w:rPr>
                <w:b/>
              </w:rPr>
              <w:t>Rate</w:t>
            </w:r>
            <w:r w:rsidRPr="00C323E4">
              <w:rPr>
                <w:rFonts w:eastAsia="Calibri"/>
                <w:b/>
                <w:spacing w:val="-1"/>
              </w:rPr>
              <w:t xml:space="preserve"> / Fee</w:t>
            </w:r>
          </w:p>
        </w:tc>
      </w:tr>
      <w:tr w:rsidR="00F80E94" w:rsidRPr="0005389B" w14:paraId="26BE1300" w14:textId="77777777" w:rsidTr="00306CF3">
        <w:trPr>
          <w:trHeight w:val="281"/>
          <w:jc w:val="center"/>
        </w:trPr>
        <w:tc>
          <w:tcPr>
            <w:tcW w:w="8659" w:type="dxa"/>
            <w:gridSpan w:val="2"/>
          </w:tcPr>
          <w:p w14:paraId="68412890" w14:textId="77777777" w:rsidR="00F80E94" w:rsidRPr="00C323E4" w:rsidRDefault="00F80E94" w:rsidP="00306CF3">
            <w:pPr>
              <w:widowControl w:val="0"/>
              <w:kinsoku w:val="0"/>
              <w:overflowPunct w:val="0"/>
              <w:autoSpaceDE w:val="0"/>
              <w:autoSpaceDN w:val="0"/>
              <w:adjustRightInd w:val="0"/>
              <w:spacing w:before="1" w:after="0" w:line="280" w:lineRule="exact"/>
              <w:ind w:right="18"/>
              <w:rPr>
                <w:rFonts w:eastAsia="Calibri"/>
                <w:spacing w:val="-1"/>
              </w:rPr>
            </w:pPr>
            <w:r w:rsidRPr="00C323E4">
              <w:rPr>
                <w:b/>
              </w:rPr>
              <w:t>Procurement Training Services</w:t>
            </w:r>
            <w:r w:rsidRPr="00C323E4">
              <w:rPr>
                <w:b/>
                <w:vertAlign w:val="superscript"/>
              </w:rPr>
              <w:footnoteReference w:id="1"/>
            </w:r>
          </w:p>
        </w:tc>
      </w:tr>
      <w:tr w:rsidR="00F80E94" w:rsidRPr="0005389B" w14:paraId="2C1B206E" w14:textId="77777777" w:rsidTr="00306CF3">
        <w:trPr>
          <w:trHeight w:val="281"/>
          <w:jc w:val="center"/>
        </w:trPr>
        <w:tc>
          <w:tcPr>
            <w:tcW w:w="6832" w:type="dxa"/>
            <w:vAlign w:val="bottom"/>
          </w:tcPr>
          <w:p w14:paraId="64EBB60C" w14:textId="77777777" w:rsidR="00F80E94" w:rsidRPr="00C323E4" w:rsidRDefault="00F80E94" w:rsidP="00306CF3">
            <w:pPr>
              <w:pStyle w:val="NoSpacing"/>
              <w:ind w:right="18"/>
            </w:pPr>
            <w:r w:rsidRPr="00C323E4">
              <w:t>Core Procurement Services Course:</w:t>
            </w:r>
          </w:p>
        </w:tc>
        <w:tc>
          <w:tcPr>
            <w:tcW w:w="1827" w:type="dxa"/>
            <w:vAlign w:val="bottom"/>
          </w:tcPr>
          <w:p w14:paraId="41B3DC67"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p>
        </w:tc>
      </w:tr>
      <w:tr w:rsidR="00F80E94" w:rsidRPr="0005389B" w14:paraId="5CD7BD85" w14:textId="77777777" w:rsidTr="00306CF3">
        <w:trPr>
          <w:trHeight w:val="281"/>
          <w:jc w:val="center"/>
        </w:trPr>
        <w:tc>
          <w:tcPr>
            <w:tcW w:w="6832" w:type="dxa"/>
            <w:vAlign w:val="bottom"/>
          </w:tcPr>
          <w:p w14:paraId="27B7DA9A" w14:textId="77777777" w:rsidR="00F80E94" w:rsidRPr="00C323E4" w:rsidRDefault="00F80E94" w:rsidP="00306CF3">
            <w:pPr>
              <w:pStyle w:val="NoSpacing"/>
              <w:ind w:right="18"/>
            </w:pPr>
            <w:r w:rsidRPr="00C323E4">
              <w:t xml:space="preserve">  Core Course – 3.5 hr. </w:t>
            </w:r>
          </w:p>
        </w:tc>
        <w:tc>
          <w:tcPr>
            <w:tcW w:w="1827" w:type="dxa"/>
            <w:vAlign w:val="bottom"/>
          </w:tcPr>
          <w:p w14:paraId="534A1A17"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$75</w:t>
            </w:r>
          </w:p>
        </w:tc>
      </w:tr>
      <w:tr w:rsidR="00F80E94" w:rsidRPr="0005389B" w14:paraId="308230C1" w14:textId="77777777" w:rsidTr="00306CF3">
        <w:trPr>
          <w:trHeight w:val="281"/>
          <w:jc w:val="center"/>
        </w:trPr>
        <w:tc>
          <w:tcPr>
            <w:tcW w:w="6832" w:type="dxa"/>
            <w:vAlign w:val="bottom"/>
          </w:tcPr>
          <w:p w14:paraId="5B8E7700" w14:textId="77777777" w:rsidR="00F80E94" w:rsidRPr="00C323E4" w:rsidRDefault="00F80E94" w:rsidP="00306CF3">
            <w:pPr>
              <w:pStyle w:val="NoSpacing"/>
              <w:ind w:right="18"/>
            </w:pPr>
            <w:r w:rsidRPr="00C323E4">
              <w:t xml:space="preserve">  Core Course – 7.0 hr. </w:t>
            </w:r>
          </w:p>
        </w:tc>
        <w:tc>
          <w:tcPr>
            <w:tcW w:w="1827" w:type="dxa"/>
            <w:vAlign w:val="bottom"/>
          </w:tcPr>
          <w:p w14:paraId="0378131F"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$125</w:t>
            </w:r>
          </w:p>
        </w:tc>
      </w:tr>
      <w:tr w:rsidR="00F80E94" w:rsidRPr="0005389B" w14:paraId="5BAC79BD" w14:textId="77777777" w:rsidTr="00306CF3">
        <w:trPr>
          <w:trHeight w:val="281"/>
          <w:jc w:val="center"/>
        </w:trPr>
        <w:tc>
          <w:tcPr>
            <w:tcW w:w="6832" w:type="dxa"/>
            <w:vAlign w:val="bottom"/>
          </w:tcPr>
          <w:p w14:paraId="0D952133" w14:textId="77777777" w:rsidR="00F80E94" w:rsidRPr="00C323E4" w:rsidRDefault="00F80E94" w:rsidP="00306CF3">
            <w:pPr>
              <w:pStyle w:val="NoSpacing"/>
              <w:ind w:right="18"/>
            </w:pPr>
            <w:r w:rsidRPr="00C323E4">
              <w:t xml:space="preserve">  Core Course – 9.0 hr.</w:t>
            </w:r>
          </w:p>
        </w:tc>
        <w:tc>
          <w:tcPr>
            <w:tcW w:w="1827" w:type="dxa"/>
            <w:vAlign w:val="bottom"/>
          </w:tcPr>
          <w:p w14:paraId="2D276723"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$150</w:t>
            </w:r>
          </w:p>
        </w:tc>
      </w:tr>
      <w:tr w:rsidR="00F80E94" w:rsidRPr="0005389B" w14:paraId="4D4FB2D0" w14:textId="77777777" w:rsidTr="00306CF3">
        <w:trPr>
          <w:trHeight w:val="281"/>
          <w:jc w:val="center"/>
        </w:trPr>
        <w:tc>
          <w:tcPr>
            <w:tcW w:w="6832" w:type="dxa"/>
            <w:vAlign w:val="bottom"/>
          </w:tcPr>
          <w:p w14:paraId="02C72134" w14:textId="77777777" w:rsidR="00F80E94" w:rsidRPr="00C323E4" w:rsidRDefault="00F80E94" w:rsidP="00306CF3">
            <w:pPr>
              <w:pStyle w:val="NoSpacing"/>
              <w:ind w:right="18"/>
            </w:pPr>
            <w:r w:rsidRPr="00C323E4">
              <w:t xml:space="preserve">  Core Course – 14.0 hr. </w:t>
            </w:r>
          </w:p>
        </w:tc>
        <w:tc>
          <w:tcPr>
            <w:tcW w:w="1827" w:type="dxa"/>
            <w:vAlign w:val="bottom"/>
          </w:tcPr>
          <w:p w14:paraId="2C517DB1"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$175</w:t>
            </w:r>
          </w:p>
        </w:tc>
      </w:tr>
      <w:tr w:rsidR="00F80E94" w:rsidRPr="0005389B" w14:paraId="0E27E951" w14:textId="77777777" w:rsidTr="00306CF3">
        <w:trPr>
          <w:trHeight w:val="281"/>
          <w:jc w:val="center"/>
        </w:trPr>
        <w:tc>
          <w:tcPr>
            <w:tcW w:w="6832" w:type="dxa"/>
            <w:vAlign w:val="bottom"/>
          </w:tcPr>
          <w:p w14:paraId="058BB94C" w14:textId="77777777" w:rsidR="00F80E94" w:rsidRPr="00C323E4" w:rsidRDefault="00F80E94" w:rsidP="00306CF3">
            <w:pPr>
              <w:pStyle w:val="NoSpacing"/>
              <w:ind w:right="18"/>
            </w:pPr>
            <w:r w:rsidRPr="00C323E4">
              <w:t xml:space="preserve">  Core Course – 21.0 hr. </w:t>
            </w:r>
          </w:p>
        </w:tc>
        <w:tc>
          <w:tcPr>
            <w:tcW w:w="1827" w:type="dxa"/>
            <w:vAlign w:val="bottom"/>
          </w:tcPr>
          <w:p w14:paraId="5C504304"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$225</w:t>
            </w:r>
          </w:p>
        </w:tc>
      </w:tr>
      <w:tr w:rsidR="00F80E94" w:rsidRPr="0005389B" w14:paraId="48397B03" w14:textId="77777777" w:rsidTr="00306CF3">
        <w:trPr>
          <w:trHeight w:val="281"/>
          <w:jc w:val="center"/>
        </w:trPr>
        <w:tc>
          <w:tcPr>
            <w:tcW w:w="6832" w:type="dxa"/>
            <w:vAlign w:val="bottom"/>
          </w:tcPr>
          <w:p w14:paraId="2C2E7B61" w14:textId="77777777" w:rsidR="00F80E94" w:rsidRPr="00C323E4" w:rsidRDefault="00F80E94" w:rsidP="00306CF3">
            <w:pPr>
              <w:pStyle w:val="NoSpacing"/>
              <w:ind w:right="18"/>
            </w:pPr>
            <w:r w:rsidRPr="00C323E4">
              <w:t>Brokered / Special / Webinar:</w:t>
            </w:r>
          </w:p>
        </w:tc>
        <w:tc>
          <w:tcPr>
            <w:tcW w:w="1827" w:type="dxa"/>
            <w:vAlign w:val="bottom"/>
          </w:tcPr>
          <w:p w14:paraId="0E3FFF80" w14:textId="77777777" w:rsidR="00F80E94" w:rsidRPr="00C323E4" w:rsidRDefault="00F80E94" w:rsidP="00306CF3">
            <w:pPr>
              <w:widowControl w:val="0"/>
              <w:autoSpaceDE w:val="0"/>
              <w:autoSpaceDN w:val="0"/>
              <w:adjustRightInd w:val="0"/>
              <w:spacing w:after="0" w:line="240" w:lineRule="auto"/>
              <w:ind w:right="18"/>
              <w:jc w:val="right"/>
              <w:rPr>
                <w:rFonts w:eastAsia="Calibri"/>
                <w:spacing w:val="-1"/>
              </w:rPr>
            </w:pPr>
          </w:p>
        </w:tc>
      </w:tr>
      <w:tr w:rsidR="00F80E94" w:rsidRPr="0005389B" w14:paraId="4A987984" w14:textId="77777777" w:rsidTr="00306CF3">
        <w:trPr>
          <w:trHeight w:val="281"/>
          <w:jc w:val="center"/>
        </w:trPr>
        <w:tc>
          <w:tcPr>
            <w:tcW w:w="6832" w:type="dxa"/>
            <w:vAlign w:val="bottom"/>
          </w:tcPr>
          <w:p w14:paraId="6030EDB1" w14:textId="77777777" w:rsidR="00F80E94" w:rsidRPr="00C323E4" w:rsidRDefault="00F80E94" w:rsidP="00306CF3">
            <w:pPr>
              <w:pStyle w:val="NoSpacing"/>
              <w:ind w:right="18"/>
            </w:pPr>
            <w:r w:rsidRPr="00C323E4">
              <w:t xml:space="preserve">  Monthly Webinar per person (1 hour)</w:t>
            </w:r>
          </w:p>
        </w:tc>
        <w:tc>
          <w:tcPr>
            <w:tcW w:w="1827" w:type="dxa"/>
            <w:vAlign w:val="bottom"/>
          </w:tcPr>
          <w:p w14:paraId="501B83B4"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$35</w:t>
            </w:r>
          </w:p>
        </w:tc>
      </w:tr>
      <w:tr w:rsidR="00F80E94" w:rsidRPr="0005389B" w14:paraId="5196501E" w14:textId="77777777" w:rsidTr="00306CF3">
        <w:trPr>
          <w:trHeight w:val="281"/>
          <w:jc w:val="center"/>
        </w:trPr>
        <w:tc>
          <w:tcPr>
            <w:tcW w:w="6832" w:type="dxa"/>
            <w:vAlign w:val="bottom"/>
          </w:tcPr>
          <w:p w14:paraId="567A90B9" w14:textId="77777777" w:rsidR="00F80E94" w:rsidRPr="00C323E4" w:rsidRDefault="00F80E94" w:rsidP="00306CF3">
            <w:pPr>
              <w:pStyle w:val="NoSpacing"/>
              <w:ind w:right="18"/>
            </w:pPr>
            <w:r w:rsidRPr="00C323E4">
              <w:t xml:space="preserve">  Principles of Public Procurement - Course per person (40 hours)</w:t>
            </w:r>
          </w:p>
        </w:tc>
        <w:tc>
          <w:tcPr>
            <w:tcW w:w="1827" w:type="dxa"/>
            <w:vAlign w:val="bottom"/>
          </w:tcPr>
          <w:p w14:paraId="370EE5E5"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$350</w:t>
            </w:r>
          </w:p>
        </w:tc>
      </w:tr>
      <w:tr w:rsidR="00F80E94" w:rsidRPr="0005389B" w14:paraId="14357785" w14:textId="77777777" w:rsidTr="00306CF3">
        <w:trPr>
          <w:trHeight w:val="281"/>
          <w:jc w:val="center"/>
        </w:trPr>
        <w:tc>
          <w:tcPr>
            <w:tcW w:w="6832" w:type="dxa"/>
            <w:vAlign w:val="bottom"/>
          </w:tcPr>
          <w:p w14:paraId="0E8C6525" w14:textId="77777777" w:rsidR="00F80E94" w:rsidRPr="00C323E4" w:rsidRDefault="00F80E94" w:rsidP="00306CF3">
            <w:pPr>
              <w:pStyle w:val="NoSpacing"/>
              <w:ind w:right="18"/>
            </w:pPr>
            <w:r w:rsidRPr="00C323E4">
              <w:t xml:space="preserve">  Tradeshow Summit (7 hours)</w:t>
            </w:r>
          </w:p>
        </w:tc>
        <w:tc>
          <w:tcPr>
            <w:tcW w:w="1827" w:type="dxa"/>
            <w:vAlign w:val="bottom"/>
          </w:tcPr>
          <w:p w14:paraId="3B10F28A"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$350</w:t>
            </w:r>
          </w:p>
        </w:tc>
      </w:tr>
      <w:tr w:rsidR="00F80E94" w:rsidRPr="0005389B" w14:paraId="0C8D2C79" w14:textId="77777777" w:rsidTr="00306CF3">
        <w:trPr>
          <w:trHeight w:val="281"/>
          <w:jc w:val="center"/>
        </w:trPr>
        <w:tc>
          <w:tcPr>
            <w:tcW w:w="6832" w:type="dxa"/>
            <w:vAlign w:val="bottom"/>
          </w:tcPr>
          <w:p w14:paraId="6236E58F" w14:textId="77777777" w:rsidR="00F80E94" w:rsidRPr="00C323E4" w:rsidRDefault="00F80E94" w:rsidP="00306CF3">
            <w:pPr>
              <w:pStyle w:val="NoSpacing"/>
              <w:ind w:right="18"/>
            </w:pPr>
            <w:r w:rsidRPr="00C323E4">
              <w:t>Customized Training</w:t>
            </w:r>
          </w:p>
        </w:tc>
        <w:tc>
          <w:tcPr>
            <w:tcW w:w="1827" w:type="dxa"/>
            <w:vAlign w:val="bottom"/>
          </w:tcPr>
          <w:p w14:paraId="6F117A49"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$1,250</w:t>
            </w:r>
          </w:p>
        </w:tc>
      </w:tr>
      <w:tr w:rsidR="00F80E94" w:rsidRPr="0005389B" w14:paraId="248ED8C6" w14:textId="77777777" w:rsidTr="00306CF3">
        <w:trPr>
          <w:trHeight w:val="281"/>
          <w:jc w:val="center"/>
        </w:trPr>
        <w:tc>
          <w:tcPr>
            <w:tcW w:w="6832" w:type="dxa"/>
            <w:vAlign w:val="bottom"/>
          </w:tcPr>
          <w:p w14:paraId="1EEFCB71" w14:textId="77777777" w:rsidR="00F80E94" w:rsidRPr="00C323E4" w:rsidRDefault="00F80E94" w:rsidP="00306CF3">
            <w:pPr>
              <w:pStyle w:val="NoSpacing"/>
              <w:ind w:right="18"/>
            </w:pPr>
            <w:r w:rsidRPr="00C323E4">
              <w:t>On the Road Shows</w:t>
            </w:r>
          </w:p>
        </w:tc>
        <w:tc>
          <w:tcPr>
            <w:tcW w:w="1827" w:type="dxa"/>
            <w:vAlign w:val="bottom"/>
          </w:tcPr>
          <w:p w14:paraId="705C6B57" w14:textId="77777777" w:rsidR="00F80E94" w:rsidRPr="00C323E4" w:rsidRDefault="00F80E94" w:rsidP="00306CF3">
            <w:pPr>
              <w:widowControl w:val="0"/>
              <w:kinsoku w:val="0"/>
              <w:overflowPunct w:val="0"/>
              <w:autoSpaceDE w:val="0"/>
              <w:autoSpaceDN w:val="0"/>
              <w:adjustRightInd w:val="0"/>
              <w:spacing w:before="1" w:after="0" w:line="280" w:lineRule="exact"/>
              <w:ind w:right="18"/>
              <w:jc w:val="right"/>
              <w:rPr>
                <w:rFonts w:eastAsia="Calibri"/>
                <w:spacing w:val="-1"/>
              </w:rPr>
            </w:pPr>
            <w:r w:rsidRPr="00C323E4">
              <w:rPr>
                <w:rFonts w:eastAsia="Calibri"/>
                <w:spacing w:val="-1"/>
              </w:rPr>
              <w:t>$1,800</w:t>
            </w:r>
          </w:p>
        </w:tc>
      </w:tr>
    </w:tbl>
    <w:p w14:paraId="171EFAA0" w14:textId="77777777" w:rsidR="00F80E94" w:rsidRPr="006818B4" w:rsidRDefault="00F80E94" w:rsidP="001F5A9D"/>
    <w:p w14:paraId="1A8185AC" w14:textId="77777777" w:rsidR="00F80E94" w:rsidRPr="00C323E4" w:rsidRDefault="00F80E94" w:rsidP="001F5A9D">
      <w:pPr>
        <w:rPr>
          <w:szCs w:val="24"/>
        </w:rPr>
      </w:pPr>
      <w:r w:rsidRPr="00C323E4">
        <w:rPr>
          <w:b/>
          <w:bCs/>
          <w:szCs w:val="24"/>
        </w:rPr>
        <w:t>Agency-Specific Procurement Services:</w:t>
      </w:r>
      <w:r w:rsidRPr="00C323E4">
        <w:rPr>
          <w:szCs w:val="24"/>
        </w:rPr>
        <w:t xml:space="preserve"> Procurement Services staff can provide a variety of services to customers, ranging from development of a request for proposal to consulting or reviewing terms and conditions. The fees will be based on a weighted assessment based on transaction complexity instead of the standard assessment model due to the time and effort applied to more complex transactions.</w:t>
      </w:r>
    </w:p>
    <w:p w14:paraId="75F1DE24" w14:textId="77777777" w:rsidR="00F80E94" w:rsidRPr="00C323E4" w:rsidRDefault="00F80E94" w:rsidP="001F5A9D">
      <w:pPr>
        <w:rPr>
          <w:szCs w:val="24"/>
        </w:rPr>
      </w:pPr>
      <w:r w:rsidRPr="00C323E4">
        <w:rPr>
          <w:b/>
          <w:bCs/>
          <w:szCs w:val="24"/>
        </w:rPr>
        <w:t>Procurement Impact Unit:</w:t>
      </w:r>
      <w:r w:rsidRPr="00C323E4">
        <w:rPr>
          <w:szCs w:val="24"/>
        </w:rPr>
        <w:t xml:space="preserve"> The Procurement Impact program is incorporated into SPS as part of the assessment.</w:t>
      </w:r>
    </w:p>
    <w:p w14:paraId="5AE3EFEE" w14:textId="77777777" w:rsidR="00F80E94" w:rsidRPr="00C323E4" w:rsidRDefault="00F80E94" w:rsidP="001F5A9D">
      <w:pPr>
        <w:rPr>
          <w:szCs w:val="24"/>
        </w:rPr>
      </w:pPr>
      <w:r w:rsidRPr="00C323E4">
        <w:rPr>
          <w:b/>
          <w:szCs w:val="24"/>
        </w:rPr>
        <w:t>Assessment Rate Methodology:</w:t>
      </w:r>
    </w:p>
    <w:p w14:paraId="75786A2E" w14:textId="77777777" w:rsidR="00F80E94" w:rsidRPr="001F5A9D" w:rsidRDefault="00F80E94" w:rsidP="00F25900">
      <w:pPr>
        <w:pStyle w:val="ListParagraph"/>
        <w:numPr>
          <w:ilvl w:val="0"/>
          <w:numId w:val="40"/>
        </w:numPr>
        <w:rPr>
          <w:szCs w:val="24"/>
        </w:rPr>
      </w:pPr>
      <w:r w:rsidRPr="001F5A9D">
        <w:rPr>
          <w:szCs w:val="24"/>
        </w:rPr>
        <w:t>General Procurement Services</w:t>
      </w:r>
    </w:p>
    <w:p w14:paraId="278E560E" w14:textId="77777777" w:rsidR="00F80E94" w:rsidRPr="001F5A9D" w:rsidRDefault="00F80E94" w:rsidP="00F25900">
      <w:pPr>
        <w:pStyle w:val="ListParagraph"/>
        <w:numPr>
          <w:ilvl w:val="0"/>
          <w:numId w:val="40"/>
        </w:numPr>
        <w:rPr>
          <w:szCs w:val="24"/>
        </w:rPr>
      </w:pPr>
      <w:r w:rsidRPr="001F5A9D">
        <w:rPr>
          <w:szCs w:val="24"/>
        </w:rPr>
        <w:t>Procurement Impact – Includes strategic sourcing, equity in contracting, and regulatory functions including contract management, templates, policies, rules, and vendor services.</w:t>
      </w:r>
    </w:p>
    <w:p w14:paraId="1A882DEE" w14:textId="77777777" w:rsidR="00F80E94" w:rsidRPr="001F5A9D" w:rsidRDefault="00F80E94" w:rsidP="00F25900">
      <w:pPr>
        <w:pStyle w:val="ListParagraph"/>
        <w:numPr>
          <w:ilvl w:val="0"/>
          <w:numId w:val="40"/>
        </w:numPr>
        <w:rPr>
          <w:szCs w:val="24"/>
        </w:rPr>
      </w:pPr>
      <w:r w:rsidRPr="001F5A9D">
        <w:rPr>
          <w:szCs w:val="24"/>
        </w:rPr>
        <w:t>Agency-Specific Procurement Services</w:t>
      </w:r>
    </w:p>
    <w:p w14:paraId="7556CAF1" w14:textId="77777777" w:rsidR="00F80E94" w:rsidRPr="001F5A9D" w:rsidRDefault="00F80E94" w:rsidP="001F5A9D">
      <w:pPr>
        <w:rPr>
          <w:rFonts w:ascii="Calibri" w:hAnsi="Calibri"/>
        </w:rPr>
      </w:pPr>
      <w:r>
        <w:lastRenderedPageBreak/>
        <w:t xml:space="preserve">Activities 1-2 are supported by an assessment that allocates costs to state agencies based on </w:t>
      </w:r>
      <w:r w:rsidRPr="001F5A9D">
        <w:t xml:space="preserve">2025-27 Legislatively Adopted Budget (LAB) </w:t>
      </w:r>
      <w:r w:rsidRPr="001F5A9D">
        <w:rPr>
          <w:spacing w:val="-2"/>
        </w:rPr>
        <w:t>F</w:t>
      </w:r>
      <w:r w:rsidRPr="001F5A9D">
        <w:t>ull-</w:t>
      </w:r>
      <w:r w:rsidRPr="001F5A9D">
        <w:rPr>
          <w:spacing w:val="-1"/>
        </w:rPr>
        <w:t>T</w:t>
      </w:r>
      <w:r w:rsidRPr="001F5A9D">
        <w:t xml:space="preserve">ime </w:t>
      </w:r>
      <w:r w:rsidRPr="001F5A9D">
        <w:rPr>
          <w:spacing w:val="-1"/>
        </w:rPr>
        <w:t>E</w:t>
      </w:r>
      <w:r w:rsidRPr="001F5A9D">
        <w:t>quiv</w:t>
      </w:r>
      <w:r w:rsidRPr="001F5A9D">
        <w:rPr>
          <w:spacing w:val="-1"/>
        </w:rPr>
        <w:t>a</w:t>
      </w:r>
      <w:r w:rsidRPr="001F5A9D">
        <w:t>l</w:t>
      </w:r>
      <w:r w:rsidRPr="001F5A9D">
        <w:rPr>
          <w:spacing w:val="-1"/>
        </w:rPr>
        <w:t>e</w:t>
      </w:r>
      <w:r w:rsidRPr="001F5A9D">
        <w:t>nt</w:t>
      </w:r>
      <w:r w:rsidRPr="001F5A9D">
        <w:rPr>
          <w:spacing w:val="17"/>
        </w:rPr>
        <w:t xml:space="preserve"> </w:t>
      </w:r>
      <w:r w:rsidRPr="001F5A9D">
        <w:rPr>
          <w:spacing w:val="-1"/>
        </w:rPr>
        <w:t>(</w:t>
      </w:r>
      <w:r w:rsidRPr="001F5A9D">
        <w:rPr>
          <w:spacing w:val="-2"/>
        </w:rPr>
        <w:t>F</w:t>
      </w:r>
      <w:r w:rsidRPr="001F5A9D">
        <w:rPr>
          <w:spacing w:val="2"/>
        </w:rPr>
        <w:t>T</w:t>
      </w:r>
      <w:r w:rsidRPr="001F5A9D">
        <w:rPr>
          <w:spacing w:val="-1"/>
        </w:rPr>
        <w:t>E)</w:t>
      </w:r>
      <w:r w:rsidRPr="001F5A9D">
        <w:t xml:space="preserve"> authority. Reference State Procurement Services (EGS) in Appendix A.</w:t>
      </w:r>
    </w:p>
    <w:p w14:paraId="1DB46455" w14:textId="77777777" w:rsidR="00F80E94" w:rsidRPr="001F5A9D" w:rsidRDefault="00F80E94" w:rsidP="001F5A9D">
      <w:r w:rsidRPr="001F5A9D">
        <w:t xml:space="preserve">Costs associated with activity 3 </w:t>
      </w:r>
      <w:proofErr w:type="gramStart"/>
      <w:r w:rsidRPr="001F5A9D">
        <w:t>is</w:t>
      </w:r>
      <w:proofErr w:type="gramEnd"/>
      <w:r w:rsidRPr="001F5A9D">
        <w:t xml:space="preserve"> supported by an assessment that allocates costs to state agencies based on a weighted model using 2023-25 usage data. Reference State Procurement Services (EGS) in Appendix A.</w:t>
      </w:r>
    </w:p>
    <w:p w14:paraId="045A134B" w14:textId="721D33E6" w:rsidR="009574B3" w:rsidRPr="0059332F" w:rsidRDefault="00F80E94" w:rsidP="0059332F">
      <w:pPr>
        <w:rPr>
          <w:b/>
          <w:color w:val="000000" w:themeColor="text1"/>
          <w:szCs w:val="24"/>
        </w:rPr>
      </w:pPr>
      <w:r w:rsidRPr="00C323E4">
        <w:rPr>
          <w:b/>
          <w:bCs/>
          <w:szCs w:val="24"/>
        </w:rPr>
        <w:t>Con</w:t>
      </w:r>
      <w:r w:rsidRPr="00C323E4">
        <w:rPr>
          <w:b/>
          <w:bCs/>
          <w:spacing w:val="-1"/>
          <w:szCs w:val="24"/>
        </w:rPr>
        <w:t>t</w:t>
      </w:r>
      <w:r w:rsidRPr="00C323E4">
        <w:rPr>
          <w:b/>
          <w:bCs/>
          <w:szCs w:val="24"/>
        </w:rPr>
        <w:t>a</w:t>
      </w:r>
      <w:r w:rsidRPr="00C323E4">
        <w:rPr>
          <w:b/>
          <w:bCs/>
          <w:spacing w:val="-1"/>
          <w:szCs w:val="24"/>
        </w:rPr>
        <w:t>c</w:t>
      </w:r>
      <w:r w:rsidRPr="00C323E4">
        <w:rPr>
          <w:b/>
          <w:bCs/>
          <w:szCs w:val="24"/>
        </w:rPr>
        <w:t xml:space="preserve">t for more information: Kathryn Jones at 971-900-7235 or </w:t>
      </w:r>
      <w:r w:rsidRPr="00C323E4">
        <w:rPr>
          <w:b/>
          <w:bCs/>
          <w:color w:val="000000" w:themeColor="text1"/>
          <w:szCs w:val="24"/>
        </w:rPr>
        <w:t>kathryn.jones@das.oregon.gov</w:t>
      </w:r>
    </w:p>
    <w:p w14:paraId="7DC1420B" w14:textId="77777777" w:rsidR="00F80E94" w:rsidRPr="0059332F" w:rsidRDefault="00F80E94" w:rsidP="2E12E5CC">
      <w:pPr>
        <w:pStyle w:val="Heading4"/>
      </w:pPr>
      <w:bookmarkStart w:id="64" w:name="_Toc226108629"/>
      <w:r w:rsidRPr="0003267F">
        <w:t>Publishing and Distribution</w:t>
      </w:r>
      <w:bookmarkEnd w:id="64"/>
    </w:p>
    <w:p w14:paraId="7A0FA969" w14:textId="77777777" w:rsidR="00F80E94" w:rsidRPr="001228BE" w:rsidRDefault="00F80E94" w:rsidP="00E51337">
      <w:pPr>
        <w:rPr>
          <w:spacing w:val="-1"/>
        </w:rPr>
      </w:pPr>
      <w:r w:rsidRPr="001228BE">
        <w:t xml:space="preserve">Publishing </w:t>
      </w:r>
      <w:r w:rsidRPr="001228BE">
        <w:rPr>
          <w:spacing w:val="-1"/>
        </w:rPr>
        <w:t>a</w:t>
      </w:r>
      <w:r w:rsidRPr="001228BE">
        <w:t>nd</w:t>
      </w:r>
      <w:r w:rsidRPr="001228BE">
        <w:rPr>
          <w:spacing w:val="2"/>
        </w:rPr>
        <w:t xml:space="preserve"> </w:t>
      </w:r>
      <w:r w:rsidRPr="001228BE">
        <w:rPr>
          <w:spacing w:val="-1"/>
        </w:rPr>
        <w:t>D</w:t>
      </w:r>
      <w:r w:rsidRPr="001228BE">
        <w:t>ist</w:t>
      </w:r>
      <w:r w:rsidRPr="001228BE">
        <w:rPr>
          <w:spacing w:val="-1"/>
        </w:rPr>
        <w:t>r</w:t>
      </w:r>
      <w:r w:rsidRPr="001228BE">
        <w:t>ibution</w:t>
      </w:r>
      <w:r w:rsidRPr="001228BE">
        <w:rPr>
          <w:spacing w:val="2"/>
        </w:rPr>
        <w:t xml:space="preserve"> </w:t>
      </w:r>
      <w:r w:rsidRPr="001228BE">
        <w:rPr>
          <w:spacing w:val="-1"/>
        </w:rPr>
        <w:t>(</w:t>
      </w:r>
      <w:r w:rsidRPr="001228BE">
        <w:t>P</w:t>
      </w:r>
      <w:r w:rsidRPr="001228BE">
        <w:rPr>
          <w:spacing w:val="-2"/>
        </w:rPr>
        <w:t>&amp;</w:t>
      </w:r>
      <w:r w:rsidRPr="001228BE">
        <w:rPr>
          <w:spacing w:val="-1"/>
        </w:rPr>
        <w:t>D</w:t>
      </w:r>
      <w:r w:rsidRPr="001228BE">
        <w:t>)</w:t>
      </w:r>
      <w:r w:rsidRPr="001228BE">
        <w:rPr>
          <w:spacing w:val="4"/>
        </w:rPr>
        <w:t xml:space="preserve"> </w:t>
      </w:r>
      <w:r w:rsidRPr="001228BE">
        <w:t>is</w:t>
      </w:r>
      <w:r w:rsidRPr="001228BE">
        <w:rPr>
          <w:spacing w:val="2"/>
        </w:rPr>
        <w:t xml:space="preserve"> </w:t>
      </w:r>
      <w:r w:rsidRPr="001228BE">
        <w:t>the</w:t>
      </w:r>
      <w:r w:rsidRPr="001228BE">
        <w:rPr>
          <w:spacing w:val="1"/>
        </w:rPr>
        <w:t xml:space="preserve"> </w:t>
      </w:r>
      <w:r w:rsidRPr="001228BE">
        <w:t>st</w:t>
      </w:r>
      <w:r w:rsidRPr="001228BE">
        <w:rPr>
          <w:spacing w:val="-1"/>
        </w:rPr>
        <w:t>a</w:t>
      </w:r>
      <w:r w:rsidRPr="001228BE">
        <w:t>t</w:t>
      </w:r>
      <w:r w:rsidRPr="001228BE">
        <w:rPr>
          <w:spacing w:val="-1"/>
        </w:rPr>
        <w:t>e’</w:t>
      </w:r>
      <w:r w:rsidRPr="001228BE">
        <w:t>s</w:t>
      </w:r>
      <w:r w:rsidRPr="001228BE">
        <w:rPr>
          <w:spacing w:val="5"/>
        </w:rPr>
        <w:t xml:space="preserve"> </w:t>
      </w:r>
      <w:r w:rsidRPr="001228BE">
        <w:rPr>
          <w:spacing w:val="1"/>
        </w:rPr>
        <w:t>c</w:t>
      </w:r>
      <w:r w:rsidRPr="001228BE">
        <w:rPr>
          <w:spacing w:val="-1"/>
        </w:rPr>
        <w:t>e</w:t>
      </w:r>
      <w:r w:rsidRPr="001228BE">
        <w:t>nt</w:t>
      </w:r>
      <w:r w:rsidRPr="001228BE">
        <w:rPr>
          <w:spacing w:val="-1"/>
        </w:rPr>
        <w:t>ra</w:t>
      </w:r>
      <w:r w:rsidRPr="001228BE">
        <w:t>l</w:t>
      </w:r>
      <w:r w:rsidRPr="001228BE">
        <w:rPr>
          <w:spacing w:val="2"/>
        </w:rPr>
        <w:t xml:space="preserve"> </w:t>
      </w:r>
      <w:r w:rsidRPr="001228BE">
        <w:t>p</w:t>
      </w:r>
      <w:r w:rsidRPr="001228BE">
        <w:rPr>
          <w:spacing w:val="-1"/>
        </w:rPr>
        <w:t>r</w:t>
      </w:r>
      <w:r w:rsidRPr="001228BE">
        <w:t>ovid</w:t>
      </w:r>
      <w:r w:rsidRPr="001228BE">
        <w:rPr>
          <w:spacing w:val="1"/>
        </w:rPr>
        <w:t>e</w:t>
      </w:r>
      <w:r w:rsidRPr="001228BE">
        <w:t>r</w:t>
      </w:r>
      <w:r w:rsidRPr="001228BE">
        <w:rPr>
          <w:spacing w:val="1"/>
        </w:rPr>
        <w:t xml:space="preserve"> </w:t>
      </w:r>
      <w:r w:rsidRPr="001228BE">
        <w:rPr>
          <w:spacing w:val="-1"/>
        </w:rPr>
        <w:t>f</w:t>
      </w:r>
      <w:r w:rsidRPr="001228BE">
        <w:t>or</w:t>
      </w:r>
      <w:r w:rsidRPr="001228BE">
        <w:rPr>
          <w:spacing w:val="1"/>
        </w:rPr>
        <w:t xml:space="preserve"> </w:t>
      </w:r>
      <w:r w:rsidRPr="001228BE">
        <w:t>int</w:t>
      </w:r>
      <w:r w:rsidRPr="001228BE">
        <w:rPr>
          <w:spacing w:val="1"/>
        </w:rPr>
        <w:t>e</w:t>
      </w:r>
      <w:r w:rsidRPr="001228BE">
        <w:t>g</w:t>
      </w:r>
      <w:r w:rsidRPr="001228BE">
        <w:rPr>
          <w:spacing w:val="1"/>
        </w:rPr>
        <w:t>r</w:t>
      </w:r>
      <w:r w:rsidRPr="001228BE">
        <w:rPr>
          <w:spacing w:val="-1"/>
        </w:rPr>
        <w:t>a</w:t>
      </w:r>
      <w:r w:rsidRPr="001228BE">
        <w:t>t</w:t>
      </w:r>
      <w:r w:rsidRPr="001228BE">
        <w:rPr>
          <w:spacing w:val="-1"/>
        </w:rPr>
        <w:t>e</w:t>
      </w:r>
      <w:r w:rsidRPr="001228BE">
        <w:t>d</w:t>
      </w:r>
      <w:r w:rsidRPr="001228BE">
        <w:rPr>
          <w:spacing w:val="2"/>
        </w:rPr>
        <w:t xml:space="preserve"> </w:t>
      </w:r>
      <w:r w:rsidRPr="001228BE">
        <w:t>do</w:t>
      </w:r>
      <w:r w:rsidRPr="001228BE">
        <w:rPr>
          <w:spacing w:val="-1"/>
        </w:rPr>
        <w:t>c</w:t>
      </w:r>
      <w:r w:rsidRPr="001228BE">
        <w:t>um</w:t>
      </w:r>
      <w:r w:rsidRPr="001228BE">
        <w:rPr>
          <w:spacing w:val="-1"/>
        </w:rPr>
        <w:t>e</w:t>
      </w:r>
      <w:r w:rsidRPr="001228BE">
        <w:t>nt</w:t>
      </w:r>
      <w:r w:rsidRPr="001228BE">
        <w:rPr>
          <w:spacing w:val="2"/>
        </w:rPr>
        <w:t xml:space="preserve"> </w:t>
      </w:r>
      <w:r w:rsidRPr="001228BE">
        <w:t>publishing</w:t>
      </w:r>
      <w:r>
        <w:t>, mail processing</w:t>
      </w:r>
      <w:r w:rsidRPr="001228BE">
        <w:rPr>
          <w:spacing w:val="2"/>
        </w:rPr>
        <w:t xml:space="preserve"> </w:t>
      </w:r>
      <w:r w:rsidRPr="001228BE">
        <w:rPr>
          <w:spacing w:val="-1"/>
        </w:rPr>
        <w:t>a</w:t>
      </w:r>
      <w:r w:rsidRPr="001228BE">
        <w:t>nd dist</w:t>
      </w:r>
      <w:r w:rsidRPr="001228BE">
        <w:rPr>
          <w:spacing w:val="-1"/>
        </w:rPr>
        <w:t>r</w:t>
      </w:r>
      <w:r w:rsidRPr="001228BE">
        <w:t>ibution</w:t>
      </w:r>
      <w:r w:rsidRPr="001228BE">
        <w:rPr>
          <w:spacing w:val="4"/>
        </w:rPr>
        <w:t xml:space="preserve"> </w:t>
      </w:r>
      <w:r w:rsidRPr="001228BE">
        <w:t>s</w:t>
      </w:r>
      <w:r w:rsidRPr="001228BE">
        <w:rPr>
          <w:spacing w:val="-1"/>
        </w:rPr>
        <w:t>er</w:t>
      </w:r>
      <w:r w:rsidRPr="001228BE">
        <w:t>vi</w:t>
      </w:r>
      <w:r w:rsidRPr="001228BE">
        <w:rPr>
          <w:spacing w:val="-1"/>
        </w:rPr>
        <w:t>ce</w:t>
      </w:r>
      <w:r w:rsidRPr="001228BE">
        <w:t>s.</w:t>
      </w:r>
      <w:r w:rsidRPr="001228BE">
        <w:rPr>
          <w:spacing w:val="9"/>
        </w:rPr>
        <w:t xml:space="preserve"> </w:t>
      </w:r>
      <w:r w:rsidRPr="001228BE">
        <w:t>P</w:t>
      </w:r>
      <w:r w:rsidRPr="001228BE">
        <w:rPr>
          <w:spacing w:val="-2"/>
        </w:rPr>
        <w:t>&amp;</w:t>
      </w:r>
      <w:r w:rsidRPr="001228BE">
        <w:t>D</w:t>
      </w:r>
      <w:r w:rsidRPr="001228BE">
        <w:rPr>
          <w:spacing w:val="4"/>
        </w:rPr>
        <w:t xml:space="preserve"> </w:t>
      </w:r>
      <w:r w:rsidRPr="001228BE">
        <w:t>o</w:t>
      </w:r>
      <w:r w:rsidRPr="001228BE">
        <w:rPr>
          <w:spacing w:val="-1"/>
        </w:rPr>
        <w:t>ffer</w:t>
      </w:r>
      <w:r w:rsidRPr="001228BE">
        <w:t>s</w:t>
      </w:r>
      <w:r w:rsidRPr="001228BE">
        <w:rPr>
          <w:spacing w:val="5"/>
        </w:rPr>
        <w:t xml:space="preserve"> </w:t>
      </w:r>
      <w:r w:rsidRPr="001228BE">
        <w:t>d</w:t>
      </w:r>
      <w:r w:rsidRPr="001228BE">
        <w:rPr>
          <w:spacing w:val="2"/>
        </w:rPr>
        <w:t>i</w:t>
      </w:r>
      <w:r w:rsidRPr="001228BE">
        <w:rPr>
          <w:spacing w:val="-3"/>
        </w:rPr>
        <w:t>g</w:t>
      </w:r>
      <w:r w:rsidRPr="001228BE">
        <w:t>it</w:t>
      </w:r>
      <w:r w:rsidRPr="001228BE">
        <w:rPr>
          <w:spacing w:val="-1"/>
        </w:rPr>
        <w:t>a</w:t>
      </w:r>
      <w:r w:rsidRPr="001228BE">
        <w:t>l</w:t>
      </w:r>
      <w:r w:rsidRPr="001228BE">
        <w:rPr>
          <w:spacing w:val="5"/>
        </w:rPr>
        <w:t xml:space="preserve"> </w:t>
      </w:r>
      <w:r w:rsidRPr="001228BE">
        <w:rPr>
          <w:spacing w:val="-1"/>
        </w:rPr>
        <w:t>a</w:t>
      </w:r>
      <w:r w:rsidRPr="001228BE">
        <w:t>nd</w:t>
      </w:r>
      <w:r w:rsidRPr="001228BE">
        <w:rPr>
          <w:spacing w:val="4"/>
        </w:rPr>
        <w:t xml:space="preserve"> </w:t>
      </w:r>
      <w:r w:rsidRPr="001228BE">
        <w:t>s</w:t>
      </w:r>
      <w:r w:rsidRPr="001228BE">
        <w:rPr>
          <w:spacing w:val="1"/>
        </w:rPr>
        <w:t>e</w:t>
      </w:r>
      <w:r w:rsidRPr="001228BE">
        <w:rPr>
          <w:spacing w:val="-1"/>
        </w:rPr>
        <w:t>c</w:t>
      </w:r>
      <w:r w:rsidRPr="001228BE">
        <w:rPr>
          <w:spacing w:val="2"/>
        </w:rPr>
        <w:t>u</w:t>
      </w:r>
      <w:r w:rsidRPr="001228BE">
        <w:rPr>
          <w:spacing w:val="-1"/>
        </w:rPr>
        <w:t>r</w:t>
      </w:r>
      <w:r w:rsidRPr="001228BE">
        <w:t>e</w:t>
      </w:r>
      <w:r w:rsidRPr="001228BE">
        <w:rPr>
          <w:spacing w:val="3"/>
        </w:rPr>
        <w:t xml:space="preserve"> </w:t>
      </w:r>
      <w:r w:rsidRPr="001228BE">
        <w:t>p</w:t>
      </w:r>
      <w:r w:rsidRPr="001228BE">
        <w:rPr>
          <w:spacing w:val="-1"/>
        </w:rPr>
        <w:t>r</w:t>
      </w:r>
      <w:r w:rsidRPr="001228BE">
        <w:t>int</w:t>
      </w:r>
      <w:r w:rsidRPr="001228BE">
        <w:rPr>
          <w:spacing w:val="5"/>
        </w:rPr>
        <w:t xml:space="preserve"> </w:t>
      </w:r>
      <w:r w:rsidRPr="001228BE">
        <w:t>s</w:t>
      </w:r>
      <w:r w:rsidRPr="001228BE">
        <w:rPr>
          <w:spacing w:val="-1"/>
        </w:rPr>
        <w:t>er</w:t>
      </w:r>
      <w:r w:rsidRPr="001228BE">
        <w:t>vi</w:t>
      </w:r>
      <w:r w:rsidRPr="001228BE">
        <w:rPr>
          <w:spacing w:val="1"/>
        </w:rPr>
        <w:t>c</w:t>
      </w:r>
      <w:r w:rsidRPr="001228BE">
        <w:rPr>
          <w:spacing w:val="-1"/>
        </w:rPr>
        <w:t>e</w:t>
      </w:r>
      <w:r w:rsidRPr="001228BE">
        <w:t>s</w:t>
      </w:r>
      <w:r w:rsidRPr="001228BE">
        <w:rPr>
          <w:spacing w:val="5"/>
        </w:rPr>
        <w:t xml:space="preserve"> </w:t>
      </w:r>
      <w:r w:rsidRPr="001228BE">
        <w:rPr>
          <w:spacing w:val="-1"/>
        </w:rPr>
        <w:t>(</w:t>
      </w:r>
      <w:r w:rsidRPr="001228BE">
        <w:t>v</w:t>
      </w:r>
      <w:r w:rsidRPr="001228BE">
        <w:rPr>
          <w:spacing w:val="-1"/>
        </w:rPr>
        <w:t>ar</w:t>
      </w:r>
      <w:r w:rsidRPr="001228BE">
        <w:rPr>
          <w:spacing w:val="2"/>
        </w:rPr>
        <w:t>i</w:t>
      </w:r>
      <w:r w:rsidRPr="001228BE">
        <w:rPr>
          <w:spacing w:val="-1"/>
        </w:rPr>
        <w:t>a</w:t>
      </w:r>
      <w:r w:rsidRPr="001228BE">
        <w:t>ble</w:t>
      </w:r>
      <w:r w:rsidRPr="001228BE">
        <w:rPr>
          <w:spacing w:val="3"/>
        </w:rPr>
        <w:t xml:space="preserve"> </w:t>
      </w:r>
      <w:r w:rsidRPr="001228BE">
        <w:t>d</w:t>
      </w:r>
      <w:r w:rsidRPr="001228BE">
        <w:rPr>
          <w:spacing w:val="-1"/>
        </w:rPr>
        <w:t>a</w:t>
      </w:r>
      <w:r w:rsidRPr="001228BE">
        <w:t>t</w:t>
      </w:r>
      <w:r w:rsidRPr="001228BE">
        <w:rPr>
          <w:spacing w:val="-1"/>
        </w:rPr>
        <w:t>a</w:t>
      </w:r>
      <w:r w:rsidRPr="001228BE">
        <w:t>,</w:t>
      </w:r>
      <w:r w:rsidRPr="001228BE">
        <w:rPr>
          <w:spacing w:val="4"/>
        </w:rPr>
        <w:t xml:space="preserve"> </w:t>
      </w:r>
      <w:r w:rsidRPr="001228BE">
        <w:t>p</w:t>
      </w:r>
      <w:r w:rsidRPr="001228BE">
        <w:rPr>
          <w:spacing w:val="-1"/>
        </w:rPr>
        <w:t>r</w:t>
      </w:r>
      <w:r w:rsidRPr="001228BE">
        <w:t>int</w:t>
      </w:r>
      <w:r w:rsidRPr="001228BE">
        <w:rPr>
          <w:spacing w:val="5"/>
        </w:rPr>
        <w:t xml:space="preserve"> </w:t>
      </w:r>
      <w:r w:rsidRPr="001228BE">
        <w:t>on</w:t>
      </w:r>
      <w:r w:rsidRPr="001228BE">
        <w:rPr>
          <w:spacing w:val="4"/>
        </w:rPr>
        <w:t xml:space="preserve"> </w:t>
      </w:r>
      <w:r w:rsidRPr="001228BE">
        <w:t>d</w:t>
      </w:r>
      <w:r w:rsidRPr="001228BE">
        <w:rPr>
          <w:spacing w:val="-1"/>
        </w:rPr>
        <w:t>e</w:t>
      </w:r>
      <w:r w:rsidRPr="001228BE">
        <w:t>m</w:t>
      </w:r>
      <w:r w:rsidRPr="001228BE">
        <w:rPr>
          <w:spacing w:val="-1"/>
        </w:rPr>
        <w:t>a</w:t>
      </w:r>
      <w:r w:rsidRPr="001228BE">
        <w:t>nd,</w:t>
      </w:r>
      <w:r w:rsidRPr="001228BE">
        <w:rPr>
          <w:spacing w:val="7"/>
        </w:rPr>
        <w:t xml:space="preserve"> </w:t>
      </w:r>
      <w:r w:rsidRPr="001228BE">
        <w:rPr>
          <w:spacing w:val="-1"/>
        </w:rPr>
        <w:t>c</w:t>
      </w:r>
      <w:r w:rsidRPr="001228BE">
        <w:t>olor p</w:t>
      </w:r>
      <w:r w:rsidRPr="001228BE">
        <w:rPr>
          <w:spacing w:val="-1"/>
        </w:rPr>
        <w:t>r</w:t>
      </w:r>
      <w:r w:rsidRPr="001228BE">
        <w:t>intin</w:t>
      </w:r>
      <w:r w:rsidRPr="001228BE">
        <w:rPr>
          <w:spacing w:val="-3"/>
        </w:rPr>
        <w:t>g</w:t>
      </w:r>
      <w:r w:rsidRPr="001228BE">
        <w:rPr>
          <w:spacing w:val="-1"/>
        </w:rPr>
        <w:t>)</w:t>
      </w:r>
      <w:r w:rsidRPr="001228BE">
        <w:t>;</w:t>
      </w:r>
      <w:r w:rsidRPr="001228BE">
        <w:rPr>
          <w:spacing w:val="33"/>
        </w:rPr>
        <w:t xml:space="preserve"> </w:t>
      </w:r>
      <w:r w:rsidRPr="001228BE">
        <w:t>m</w:t>
      </w:r>
      <w:r w:rsidRPr="001228BE">
        <w:rPr>
          <w:spacing w:val="-1"/>
        </w:rPr>
        <w:t>a</w:t>
      </w:r>
      <w:r w:rsidRPr="001228BE">
        <w:t>in</w:t>
      </w:r>
      <w:r w:rsidRPr="001228BE">
        <w:rPr>
          <w:spacing w:val="-1"/>
        </w:rPr>
        <w:t>f</w:t>
      </w:r>
      <w:r w:rsidRPr="001228BE">
        <w:rPr>
          <w:spacing w:val="1"/>
        </w:rPr>
        <w:t>r</w:t>
      </w:r>
      <w:r w:rsidRPr="001228BE">
        <w:rPr>
          <w:spacing w:val="-1"/>
        </w:rPr>
        <w:t>a</w:t>
      </w:r>
      <w:r w:rsidRPr="001228BE">
        <w:t>m</w:t>
      </w:r>
      <w:r w:rsidRPr="001228BE">
        <w:rPr>
          <w:spacing w:val="-1"/>
        </w:rPr>
        <w:t>e</w:t>
      </w:r>
      <w:r w:rsidRPr="001228BE">
        <w:t>/</w:t>
      </w:r>
      <w:r w:rsidRPr="001228BE">
        <w:rPr>
          <w:spacing w:val="1"/>
        </w:rPr>
        <w:t>d</w:t>
      </w:r>
      <w:r w:rsidRPr="001228BE">
        <w:rPr>
          <w:spacing w:val="-1"/>
        </w:rPr>
        <w:t>a</w:t>
      </w:r>
      <w:r w:rsidRPr="001228BE">
        <w:t>ta</w:t>
      </w:r>
      <w:r w:rsidRPr="001228BE">
        <w:rPr>
          <w:spacing w:val="32"/>
        </w:rPr>
        <w:t xml:space="preserve"> </w:t>
      </w:r>
      <w:r w:rsidRPr="001228BE">
        <w:t>c</w:t>
      </w:r>
      <w:r w:rsidRPr="001228BE">
        <w:rPr>
          <w:spacing w:val="-1"/>
        </w:rPr>
        <w:t>e</w:t>
      </w:r>
      <w:r w:rsidRPr="001228BE">
        <w:t>nt</w:t>
      </w:r>
      <w:r w:rsidRPr="001228BE">
        <w:rPr>
          <w:spacing w:val="-1"/>
        </w:rPr>
        <w:t>e</w:t>
      </w:r>
      <w:r w:rsidRPr="001228BE">
        <w:t>r</w:t>
      </w:r>
      <w:r w:rsidRPr="001228BE">
        <w:rPr>
          <w:spacing w:val="32"/>
        </w:rPr>
        <w:t xml:space="preserve"> </w:t>
      </w:r>
      <w:r w:rsidRPr="001228BE">
        <w:t>p</w:t>
      </w:r>
      <w:r w:rsidRPr="001228BE">
        <w:rPr>
          <w:spacing w:val="-1"/>
        </w:rPr>
        <w:t>r</w:t>
      </w:r>
      <w:r w:rsidRPr="001228BE">
        <w:t>inting</w:t>
      </w:r>
      <w:r w:rsidRPr="001228BE">
        <w:rPr>
          <w:spacing w:val="31"/>
        </w:rPr>
        <w:t xml:space="preserve"> </w:t>
      </w:r>
      <w:r w:rsidRPr="001228BE">
        <w:rPr>
          <w:spacing w:val="1"/>
        </w:rPr>
        <w:t>(</w:t>
      </w:r>
      <w:r w:rsidRPr="001228BE">
        <w:rPr>
          <w:spacing w:val="-1"/>
        </w:rPr>
        <w:t>r</w:t>
      </w:r>
      <w:r w:rsidRPr="001228BE">
        <w:rPr>
          <w:spacing w:val="1"/>
        </w:rPr>
        <w:t>e</w:t>
      </w:r>
      <w:r w:rsidRPr="001228BE">
        <w:t>po</w:t>
      </w:r>
      <w:r w:rsidRPr="001228BE">
        <w:rPr>
          <w:spacing w:val="-1"/>
        </w:rPr>
        <w:t>r</w:t>
      </w:r>
      <w:r w:rsidRPr="001228BE">
        <w:t>ts,</w:t>
      </w:r>
      <w:r w:rsidRPr="001228BE">
        <w:rPr>
          <w:spacing w:val="33"/>
        </w:rPr>
        <w:t xml:space="preserve"> </w:t>
      </w:r>
      <w:r w:rsidRPr="001228BE">
        <w:rPr>
          <w:spacing w:val="-1"/>
        </w:rPr>
        <w:t>c</w:t>
      </w:r>
      <w:r w:rsidRPr="001228BE">
        <w:t>h</w:t>
      </w:r>
      <w:r w:rsidRPr="001228BE">
        <w:rPr>
          <w:spacing w:val="-1"/>
        </w:rPr>
        <w:t>ec</w:t>
      </w:r>
      <w:r w:rsidRPr="001228BE">
        <w:t>ks,</w:t>
      </w:r>
      <w:r w:rsidRPr="001228BE">
        <w:rPr>
          <w:spacing w:val="33"/>
        </w:rPr>
        <w:t xml:space="preserve"> </w:t>
      </w:r>
      <w:r w:rsidRPr="001228BE">
        <w:t>s</w:t>
      </w:r>
      <w:r w:rsidRPr="001228BE">
        <w:rPr>
          <w:spacing w:val="-1"/>
        </w:rPr>
        <w:t>ec</w:t>
      </w:r>
      <w:r w:rsidRPr="001228BE">
        <w:rPr>
          <w:spacing w:val="2"/>
        </w:rPr>
        <w:t>u</w:t>
      </w:r>
      <w:r w:rsidRPr="001228BE">
        <w:rPr>
          <w:spacing w:val="-1"/>
        </w:rPr>
        <w:t>r</w:t>
      </w:r>
      <w:r w:rsidRPr="001228BE">
        <w:t>e</w:t>
      </w:r>
      <w:r w:rsidRPr="001228BE">
        <w:rPr>
          <w:spacing w:val="32"/>
        </w:rPr>
        <w:t xml:space="preserve"> </w:t>
      </w:r>
      <w:r w:rsidRPr="001228BE">
        <w:rPr>
          <w:spacing w:val="2"/>
        </w:rPr>
        <w:t>d</w:t>
      </w:r>
      <w:r w:rsidRPr="001228BE">
        <w:t>o</w:t>
      </w:r>
      <w:r w:rsidRPr="001228BE">
        <w:rPr>
          <w:spacing w:val="-1"/>
        </w:rPr>
        <w:t>c</w:t>
      </w:r>
      <w:r w:rsidRPr="001228BE">
        <w:t>um</w:t>
      </w:r>
      <w:r w:rsidRPr="001228BE">
        <w:rPr>
          <w:spacing w:val="-1"/>
        </w:rPr>
        <w:t>e</w:t>
      </w:r>
      <w:r w:rsidRPr="001228BE">
        <w:t>nts</w:t>
      </w:r>
      <w:r w:rsidRPr="001228BE">
        <w:rPr>
          <w:spacing w:val="-1"/>
        </w:rPr>
        <w:t>)</w:t>
      </w:r>
      <w:r w:rsidRPr="001228BE">
        <w:t>;</w:t>
      </w:r>
      <w:r w:rsidRPr="001228BE">
        <w:rPr>
          <w:spacing w:val="33"/>
        </w:rPr>
        <w:t xml:space="preserve"> </w:t>
      </w:r>
      <w:r w:rsidRPr="001228BE">
        <w:t>bind</w:t>
      </w:r>
      <w:r w:rsidRPr="001228BE">
        <w:rPr>
          <w:spacing w:val="-1"/>
        </w:rPr>
        <w:t>e</w:t>
      </w:r>
      <w:r w:rsidRPr="001228BE">
        <w:rPr>
          <w:spacing w:val="4"/>
        </w:rPr>
        <w:t>r</w:t>
      </w:r>
      <w:r w:rsidRPr="001228BE">
        <w:t>y</w:t>
      </w:r>
      <w:r w:rsidRPr="001228BE">
        <w:rPr>
          <w:spacing w:val="28"/>
        </w:rPr>
        <w:t xml:space="preserve"> </w:t>
      </w:r>
      <w:r w:rsidRPr="001228BE">
        <w:t>s</w:t>
      </w:r>
      <w:r w:rsidRPr="001228BE">
        <w:rPr>
          <w:spacing w:val="-1"/>
        </w:rPr>
        <w:t>e</w:t>
      </w:r>
      <w:r w:rsidRPr="001228BE">
        <w:rPr>
          <w:spacing w:val="1"/>
        </w:rPr>
        <w:t>r</w:t>
      </w:r>
      <w:r w:rsidRPr="001228BE">
        <w:t>vi</w:t>
      </w:r>
      <w:r w:rsidRPr="001228BE">
        <w:rPr>
          <w:spacing w:val="-1"/>
        </w:rPr>
        <w:t>ce</w:t>
      </w:r>
      <w:r w:rsidRPr="001228BE">
        <w:t xml:space="preserve">s </w:t>
      </w:r>
      <w:r w:rsidRPr="001228BE">
        <w:rPr>
          <w:spacing w:val="-1"/>
        </w:rPr>
        <w:t>(f</w:t>
      </w:r>
      <w:r w:rsidRPr="001228BE">
        <w:t>oldin</w:t>
      </w:r>
      <w:r w:rsidRPr="001228BE">
        <w:rPr>
          <w:spacing w:val="-3"/>
        </w:rPr>
        <w:t>g</w:t>
      </w:r>
      <w:r w:rsidRPr="001228BE">
        <w:t>,</w:t>
      </w:r>
      <w:r w:rsidRPr="001228BE">
        <w:rPr>
          <w:spacing w:val="7"/>
        </w:rPr>
        <w:t xml:space="preserve"> </w:t>
      </w:r>
      <w:r w:rsidRPr="001228BE">
        <w:rPr>
          <w:spacing w:val="-1"/>
        </w:rPr>
        <w:t>c</w:t>
      </w:r>
      <w:r w:rsidRPr="001228BE">
        <w:t>utti</w:t>
      </w:r>
      <w:r w:rsidRPr="001228BE">
        <w:rPr>
          <w:spacing w:val="2"/>
        </w:rPr>
        <w:t>n</w:t>
      </w:r>
      <w:r w:rsidRPr="001228BE">
        <w:rPr>
          <w:spacing w:val="-3"/>
        </w:rPr>
        <w:t>g</w:t>
      </w:r>
      <w:r w:rsidRPr="001228BE">
        <w:t>,</w:t>
      </w:r>
      <w:r w:rsidRPr="001228BE">
        <w:rPr>
          <w:spacing w:val="7"/>
        </w:rPr>
        <w:t xml:space="preserve"> </w:t>
      </w:r>
      <w:r w:rsidRPr="001228BE">
        <w:t>s</w:t>
      </w:r>
      <w:r w:rsidRPr="001228BE">
        <w:rPr>
          <w:spacing w:val="-1"/>
        </w:rPr>
        <w:t>a</w:t>
      </w:r>
      <w:r w:rsidRPr="001228BE">
        <w:t>ddle</w:t>
      </w:r>
      <w:r w:rsidRPr="001228BE">
        <w:rPr>
          <w:spacing w:val="6"/>
        </w:rPr>
        <w:t xml:space="preserve"> </w:t>
      </w:r>
      <w:r w:rsidRPr="001228BE">
        <w:t>stit</w:t>
      </w:r>
      <w:r w:rsidRPr="001228BE">
        <w:rPr>
          <w:spacing w:val="-1"/>
        </w:rPr>
        <w:t>c</w:t>
      </w:r>
      <w:r w:rsidRPr="001228BE">
        <w:t>hin</w:t>
      </w:r>
      <w:r w:rsidRPr="001228BE">
        <w:rPr>
          <w:spacing w:val="-3"/>
        </w:rPr>
        <w:t>g</w:t>
      </w:r>
      <w:r w:rsidRPr="001228BE">
        <w:t>,</w:t>
      </w:r>
      <w:r w:rsidRPr="001228BE">
        <w:rPr>
          <w:spacing w:val="7"/>
        </w:rPr>
        <w:t xml:space="preserve"> </w:t>
      </w:r>
      <w:r w:rsidRPr="001228BE">
        <w:t>h</w:t>
      </w:r>
      <w:r w:rsidRPr="001228BE">
        <w:rPr>
          <w:spacing w:val="-1"/>
        </w:rPr>
        <w:t>a</w:t>
      </w:r>
      <w:r w:rsidRPr="001228BE">
        <w:t>nd</w:t>
      </w:r>
      <w:r w:rsidRPr="001228BE">
        <w:rPr>
          <w:spacing w:val="7"/>
        </w:rPr>
        <w:t xml:space="preserve"> </w:t>
      </w:r>
      <w:r w:rsidRPr="001228BE">
        <w:rPr>
          <w:spacing w:val="-1"/>
        </w:rPr>
        <w:t>w</w:t>
      </w:r>
      <w:r w:rsidRPr="001228BE">
        <w:t>o</w:t>
      </w:r>
      <w:r w:rsidRPr="001228BE">
        <w:rPr>
          <w:spacing w:val="-1"/>
        </w:rPr>
        <w:t>r</w:t>
      </w:r>
      <w:r w:rsidRPr="001228BE">
        <w:t>k</w:t>
      </w:r>
      <w:r w:rsidRPr="001228BE">
        <w:rPr>
          <w:spacing w:val="-1"/>
        </w:rPr>
        <w:t>)</w:t>
      </w:r>
      <w:r w:rsidRPr="001228BE">
        <w:t>;</w:t>
      </w:r>
      <w:r w:rsidRPr="001228BE">
        <w:rPr>
          <w:spacing w:val="7"/>
        </w:rPr>
        <w:t xml:space="preserve"> </w:t>
      </w:r>
      <w:r w:rsidRPr="001228BE">
        <w:t>m</w:t>
      </w:r>
      <w:r w:rsidRPr="001228BE">
        <w:rPr>
          <w:spacing w:val="-1"/>
        </w:rPr>
        <w:t>a</w:t>
      </w:r>
      <w:r w:rsidRPr="001228BE">
        <w:t>il</w:t>
      </w:r>
      <w:r w:rsidRPr="001228BE">
        <w:rPr>
          <w:spacing w:val="7"/>
        </w:rPr>
        <w:t xml:space="preserve"> </w:t>
      </w:r>
      <w:r w:rsidRPr="001228BE">
        <w:t>s</w:t>
      </w:r>
      <w:r w:rsidRPr="001228BE">
        <w:rPr>
          <w:spacing w:val="-1"/>
        </w:rPr>
        <w:t>er</w:t>
      </w:r>
      <w:r w:rsidRPr="001228BE">
        <w:t>vi</w:t>
      </w:r>
      <w:r w:rsidRPr="001228BE">
        <w:rPr>
          <w:spacing w:val="-1"/>
        </w:rPr>
        <w:t>ce</w:t>
      </w:r>
      <w:r w:rsidRPr="001228BE">
        <w:t>s</w:t>
      </w:r>
      <w:r w:rsidRPr="001228BE">
        <w:rPr>
          <w:spacing w:val="7"/>
        </w:rPr>
        <w:t xml:space="preserve"> </w:t>
      </w:r>
      <w:r w:rsidRPr="001228BE">
        <w:rPr>
          <w:spacing w:val="-1"/>
        </w:rPr>
        <w:t>(</w:t>
      </w:r>
      <w:r w:rsidRPr="001228BE">
        <w:t>ins</w:t>
      </w:r>
      <w:r w:rsidRPr="001228BE">
        <w:rPr>
          <w:spacing w:val="-1"/>
        </w:rPr>
        <w:t>er</w:t>
      </w:r>
      <w:r w:rsidRPr="001228BE">
        <w:t>ti</w:t>
      </w:r>
      <w:r w:rsidRPr="001228BE">
        <w:rPr>
          <w:spacing w:val="2"/>
        </w:rPr>
        <w:t>n</w:t>
      </w:r>
      <w:r w:rsidRPr="001228BE">
        <w:rPr>
          <w:spacing w:val="-3"/>
        </w:rPr>
        <w:t>g</w:t>
      </w:r>
      <w:r w:rsidRPr="001228BE">
        <w:t>,</w:t>
      </w:r>
      <w:r w:rsidRPr="001228BE">
        <w:rPr>
          <w:spacing w:val="7"/>
        </w:rPr>
        <w:t xml:space="preserve"> </w:t>
      </w:r>
      <w:r>
        <w:rPr>
          <w:spacing w:val="7"/>
        </w:rPr>
        <w:t xml:space="preserve">addressing, </w:t>
      </w:r>
      <w:r w:rsidRPr="001228BE">
        <w:t>m</w:t>
      </w:r>
      <w:r w:rsidRPr="001228BE">
        <w:rPr>
          <w:spacing w:val="-1"/>
        </w:rPr>
        <w:t>e</w:t>
      </w:r>
      <w:r w:rsidRPr="001228BE">
        <w:t>t</w:t>
      </w:r>
      <w:r w:rsidRPr="001228BE">
        <w:rPr>
          <w:spacing w:val="-1"/>
        </w:rPr>
        <w:t>er</w:t>
      </w:r>
      <w:r w:rsidRPr="001228BE">
        <w:t>i</w:t>
      </w:r>
      <w:r w:rsidRPr="001228BE">
        <w:rPr>
          <w:spacing w:val="2"/>
        </w:rPr>
        <w:t>n</w:t>
      </w:r>
      <w:r w:rsidRPr="001228BE">
        <w:rPr>
          <w:spacing w:val="-3"/>
        </w:rPr>
        <w:t>g</w:t>
      </w:r>
      <w:r w:rsidRPr="001228BE">
        <w:t>,</w:t>
      </w:r>
      <w:r w:rsidRPr="001228BE">
        <w:rPr>
          <w:spacing w:val="7"/>
        </w:rPr>
        <w:t xml:space="preserve"> </w:t>
      </w:r>
      <w:r w:rsidRPr="001228BE">
        <w:rPr>
          <w:spacing w:val="-1"/>
        </w:rPr>
        <w:t>a</w:t>
      </w:r>
      <w:r w:rsidRPr="001228BE">
        <w:t>dd</w:t>
      </w:r>
      <w:r w:rsidRPr="001228BE">
        <w:rPr>
          <w:spacing w:val="-1"/>
        </w:rPr>
        <w:t>re</w:t>
      </w:r>
      <w:r w:rsidRPr="001228BE">
        <w:t>ss</w:t>
      </w:r>
      <w:r w:rsidRPr="001228BE">
        <w:rPr>
          <w:spacing w:val="7"/>
        </w:rPr>
        <w:t xml:space="preserve"> </w:t>
      </w:r>
      <w:r w:rsidRPr="001228BE">
        <w:rPr>
          <w:spacing w:val="4"/>
        </w:rPr>
        <w:t>h</w:t>
      </w:r>
      <w:r w:rsidRPr="001228BE">
        <w:rPr>
          <w:spacing w:val="-5"/>
        </w:rPr>
        <w:t>y</w:t>
      </w:r>
      <w:r w:rsidRPr="001228BE">
        <w:t>gi</w:t>
      </w:r>
      <w:r w:rsidRPr="001228BE">
        <w:rPr>
          <w:spacing w:val="-1"/>
        </w:rPr>
        <w:t>e</w:t>
      </w:r>
      <w:r w:rsidRPr="001228BE">
        <w:t>n</w:t>
      </w:r>
      <w:r w:rsidRPr="001228BE">
        <w:rPr>
          <w:spacing w:val="-1"/>
        </w:rPr>
        <w:t>e</w:t>
      </w:r>
      <w:r w:rsidRPr="001228BE">
        <w:t>,</w:t>
      </w:r>
      <w:r w:rsidRPr="001228BE">
        <w:rPr>
          <w:spacing w:val="9"/>
        </w:rPr>
        <w:t xml:space="preserve"> </w:t>
      </w:r>
      <w:r w:rsidRPr="001228BE">
        <w:rPr>
          <w:spacing w:val="-1"/>
        </w:rPr>
        <w:t>O</w:t>
      </w:r>
      <w:r w:rsidRPr="001228BE">
        <w:t>CR m</w:t>
      </w:r>
      <w:r w:rsidRPr="001228BE">
        <w:rPr>
          <w:spacing w:val="-1"/>
        </w:rPr>
        <w:t>a</w:t>
      </w:r>
      <w:r w:rsidRPr="001228BE">
        <w:t>il</w:t>
      </w:r>
      <w:r w:rsidRPr="001228BE">
        <w:rPr>
          <w:spacing w:val="58"/>
        </w:rPr>
        <w:t xml:space="preserve"> </w:t>
      </w:r>
      <w:r w:rsidRPr="001228BE">
        <w:t>so</w:t>
      </w:r>
      <w:r w:rsidRPr="001228BE">
        <w:rPr>
          <w:spacing w:val="-1"/>
        </w:rPr>
        <w:t>r</w:t>
      </w:r>
      <w:r w:rsidRPr="001228BE">
        <w:t>ting</w:t>
      </w:r>
      <w:r w:rsidRPr="001228BE">
        <w:rPr>
          <w:spacing w:val="55"/>
        </w:rPr>
        <w:t xml:space="preserve"> </w:t>
      </w:r>
      <w:r w:rsidRPr="001228BE">
        <w:t>b</w:t>
      </w:r>
      <w:r w:rsidRPr="001228BE">
        <w:rPr>
          <w:spacing w:val="-1"/>
        </w:rPr>
        <w:t>ar-c</w:t>
      </w:r>
      <w:r w:rsidRPr="001228BE">
        <w:t>odi</w:t>
      </w:r>
      <w:r w:rsidRPr="001228BE">
        <w:rPr>
          <w:spacing w:val="2"/>
        </w:rPr>
        <w:t>n</w:t>
      </w:r>
      <w:r w:rsidRPr="001228BE">
        <w:rPr>
          <w:spacing w:val="-3"/>
        </w:rPr>
        <w:t>g</w:t>
      </w:r>
      <w:r w:rsidRPr="001228BE">
        <w:t xml:space="preserve">, </w:t>
      </w:r>
      <w:r w:rsidRPr="001228BE">
        <w:rPr>
          <w:spacing w:val="-1"/>
        </w:rPr>
        <w:t>a</w:t>
      </w:r>
      <w:r w:rsidRPr="001228BE">
        <w:t>dd</w:t>
      </w:r>
      <w:r w:rsidRPr="001228BE">
        <w:rPr>
          <w:spacing w:val="-1"/>
        </w:rPr>
        <w:t>re</w:t>
      </w:r>
      <w:r w:rsidRPr="001228BE">
        <w:t>ss</w:t>
      </w:r>
      <w:r w:rsidRPr="001228BE">
        <w:rPr>
          <w:spacing w:val="57"/>
        </w:rPr>
        <w:t xml:space="preserve"> </w:t>
      </w:r>
      <w:r w:rsidRPr="001228BE">
        <w:rPr>
          <w:spacing w:val="-1"/>
        </w:rPr>
        <w:t>c</w:t>
      </w:r>
      <w:r w:rsidRPr="001228BE">
        <w:t>l</w:t>
      </w:r>
      <w:r w:rsidRPr="001228BE">
        <w:rPr>
          <w:spacing w:val="-1"/>
        </w:rPr>
        <w:t>ea</w:t>
      </w:r>
      <w:r w:rsidRPr="001228BE">
        <w:t>n</w:t>
      </w:r>
      <w:r>
        <w:t>-</w:t>
      </w:r>
      <w:r w:rsidRPr="001228BE">
        <w:t>up</w:t>
      </w:r>
      <w:r w:rsidRPr="001228BE">
        <w:rPr>
          <w:spacing w:val="57"/>
        </w:rPr>
        <w:t xml:space="preserve"> </w:t>
      </w:r>
      <w:r w:rsidRPr="001228BE">
        <w:rPr>
          <w:spacing w:val="-1"/>
        </w:rPr>
        <w:t>a</w:t>
      </w:r>
      <w:r w:rsidRPr="001228BE">
        <w:t>nd</w:t>
      </w:r>
      <w:r w:rsidRPr="001228BE">
        <w:rPr>
          <w:spacing w:val="57"/>
        </w:rPr>
        <w:t xml:space="preserve"> </w:t>
      </w:r>
      <w:r w:rsidRPr="001228BE">
        <w:t>m</w:t>
      </w:r>
      <w:r w:rsidRPr="001228BE">
        <w:rPr>
          <w:spacing w:val="-1"/>
        </w:rPr>
        <w:t>a</w:t>
      </w:r>
      <w:r w:rsidRPr="001228BE">
        <w:t>il</w:t>
      </w:r>
      <w:r w:rsidRPr="001228BE">
        <w:rPr>
          <w:spacing w:val="58"/>
        </w:rPr>
        <w:t xml:space="preserve"> </w:t>
      </w:r>
      <w:r w:rsidRPr="001228BE">
        <w:rPr>
          <w:spacing w:val="-1"/>
        </w:rPr>
        <w:t>f</w:t>
      </w:r>
      <w:r w:rsidRPr="001228BE">
        <w:t>o</w:t>
      </w:r>
      <w:r w:rsidRPr="001228BE">
        <w:rPr>
          <w:spacing w:val="-1"/>
        </w:rPr>
        <w:t>rwar</w:t>
      </w:r>
      <w:r w:rsidRPr="001228BE">
        <w:t>di</w:t>
      </w:r>
      <w:r w:rsidRPr="001228BE">
        <w:rPr>
          <w:spacing w:val="2"/>
        </w:rPr>
        <w:t>n</w:t>
      </w:r>
      <w:r w:rsidRPr="001228BE">
        <w:rPr>
          <w:spacing w:val="-3"/>
        </w:rPr>
        <w:t>g</w:t>
      </w:r>
      <w:r w:rsidRPr="001228BE">
        <w:t>);</w:t>
      </w:r>
      <w:r w:rsidRPr="001228BE">
        <w:rPr>
          <w:spacing w:val="56"/>
        </w:rPr>
        <w:t xml:space="preserve"> </w:t>
      </w:r>
      <w:r w:rsidRPr="001228BE">
        <w:t>dist</w:t>
      </w:r>
      <w:r w:rsidRPr="001228BE">
        <w:rPr>
          <w:spacing w:val="-1"/>
        </w:rPr>
        <w:t>r</w:t>
      </w:r>
      <w:r w:rsidRPr="001228BE">
        <w:t>ibution</w:t>
      </w:r>
      <w:r w:rsidRPr="001228BE">
        <w:rPr>
          <w:spacing w:val="57"/>
        </w:rPr>
        <w:t xml:space="preserve"> </w:t>
      </w:r>
      <w:r w:rsidRPr="001228BE">
        <w:t>s</w:t>
      </w:r>
      <w:r w:rsidRPr="001228BE">
        <w:rPr>
          <w:spacing w:val="-1"/>
        </w:rPr>
        <w:t>er</w:t>
      </w:r>
      <w:r w:rsidRPr="001228BE">
        <w:t>vi</w:t>
      </w:r>
      <w:r w:rsidRPr="001228BE">
        <w:rPr>
          <w:spacing w:val="-1"/>
        </w:rPr>
        <w:t>ce</w:t>
      </w:r>
      <w:r w:rsidRPr="001228BE">
        <w:t>s</w:t>
      </w:r>
      <w:r w:rsidRPr="001228BE">
        <w:rPr>
          <w:spacing w:val="57"/>
        </w:rPr>
        <w:t xml:space="preserve"> </w:t>
      </w:r>
      <w:r w:rsidRPr="001228BE">
        <w:rPr>
          <w:spacing w:val="-1"/>
        </w:rPr>
        <w:t>(</w:t>
      </w:r>
      <w:r w:rsidRPr="001228BE">
        <w:t>int</w:t>
      </w:r>
      <w:r w:rsidRPr="001228BE">
        <w:rPr>
          <w:spacing w:val="-1"/>
        </w:rPr>
        <w:t>er-</w:t>
      </w:r>
      <w:r w:rsidRPr="001228BE">
        <w:rPr>
          <w:spacing w:val="1"/>
        </w:rPr>
        <w:t>a</w:t>
      </w:r>
      <w:r w:rsidRPr="001228BE">
        <w:t>g</w:t>
      </w:r>
      <w:r w:rsidRPr="001228BE">
        <w:rPr>
          <w:spacing w:val="1"/>
        </w:rPr>
        <w:t>e</w:t>
      </w:r>
      <w:r w:rsidRPr="001228BE">
        <w:t>n</w:t>
      </w:r>
      <w:r w:rsidRPr="001228BE">
        <w:rPr>
          <w:spacing w:val="1"/>
        </w:rPr>
        <w:t xml:space="preserve">cy </w:t>
      </w:r>
      <w:r w:rsidRPr="001228BE">
        <w:t>shuttl</w:t>
      </w:r>
      <w:r w:rsidRPr="001228BE">
        <w:rPr>
          <w:spacing w:val="-1"/>
        </w:rPr>
        <w:t>e</w:t>
      </w:r>
      <w:r w:rsidRPr="001228BE">
        <w:t>,</w:t>
      </w:r>
      <w:r w:rsidRPr="001228BE">
        <w:rPr>
          <w:spacing w:val="14"/>
        </w:rPr>
        <w:t xml:space="preserve"> </w:t>
      </w:r>
      <w:r w:rsidRPr="001228BE">
        <w:rPr>
          <w:spacing w:val="-1"/>
        </w:rPr>
        <w:t>U</w:t>
      </w:r>
      <w:r w:rsidRPr="001228BE">
        <w:t>PS</w:t>
      </w:r>
      <w:r>
        <w:t>/FedEx</w:t>
      </w:r>
      <w:r w:rsidRPr="001228BE">
        <w:t>, d</w:t>
      </w:r>
      <w:r w:rsidRPr="001228BE">
        <w:rPr>
          <w:spacing w:val="-1"/>
        </w:rPr>
        <w:t>e</w:t>
      </w:r>
      <w:r w:rsidRPr="001228BE">
        <w:rPr>
          <w:spacing w:val="-2"/>
        </w:rPr>
        <w:t>l</w:t>
      </w:r>
      <w:r w:rsidRPr="001228BE">
        <w:t>iv</w:t>
      </w:r>
      <w:r w:rsidRPr="001228BE">
        <w:rPr>
          <w:spacing w:val="-1"/>
        </w:rPr>
        <w:t>e</w:t>
      </w:r>
      <w:r w:rsidRPr="001228BE">
        <w:rPr>
          <w:spacing w:val="1"/>
        </w:rPr>
        <w:t>r</w:t>
      </w:r>
      <w:r w:rsidRPr="001228BE">
        <w:t>y</w:t>
      </w:r>
      <w:r w:rsidRPr="001228BE">
        <w:rPr>
          <w:spacing w:val="12"/>
        </w:rPr>
        <w:t xml:space="preserve"> </w:t>
      </w:r>
      <w:r w:rsidRPr="001228BE">
        <w:t>s</w:t>
      </w:r>
      <w:r w:rsidRPr="001228BE">
        <w:rPr>
          <w:spacing w:val="-1"/>
        </w:rPr>
        <w:t>er</w:t>
      </w:r>
      <w:r w:rsidRPr="001228BE">
        <w:t>vi</w:t>
      </w:r>
      <w:r w:rsidRPr="001228BE">
        <w:rPr>
          <w:spacing w:val="-1"/>
        </w:rPr>
        <w:t>ce</w:t>
      </w:r>
      <w:r w:rsidRPr="001228BE">
        <w:t>s,</w:t>
      </w:r>
      <w:r w:rsidRPr="001228BE">
        <w:rPr>
          <w:spacing w:val="14"/>
        </w:rPr>
        <w:t xml:space="preserve"> </w:t>
      </w:r>
      <w:r w:rsidRPr="001228BE">
        <w:t>s</w:t>
      </w:r>
      <w:r w:rsidRPr="001228BE">
        <w:rPr>
          <w:spacing w:val="-1"/>
        </w:rPr>
        <w:t>ec</w:t>
      </w:r>
      <w:r w:rsidRPr="001228BE">
        <w:rPr>
          <w:spacing w:val="2"/>
        </w:rPr>
        <w:t>u</w:t>
      </w:r>
      <w:r w:rsidRPr="001228BE">
        <w:rPr>
          <w:spacing w:val="-1"/>
        </w:rPr>
        <w:t>r</w:t>
      </w:r>
      <w:r w:rsidRPr="001228BE">
        <w:t>e</w:t>
      </w:r>
      <w:r w:rsidRPr="001228BE">
        <w:rPr>
          <w:spacing w:val="13"/>
        </w:rPr>
        <w:t xml:space="preserve"> </w:t>
      </w:r>
      <w:r w:rsidRPr="001228BE">
        <w:t>p</w:t>
      </w:r>
      <w:r w:rsidRPr="001228BE">
        <w:rPr>
          <w:spacing w:val="1"/>
        </w:rPr>
        <w:t>a</w:t>
      </w:r>
      <w:r w:rsidRPr="001228BE">
        <w:rPr>
          <w:spacing w:val="-1"/>
        </w:rPr>
        <w:t>c</w:t>
      </w:r>
      <w:r w:rsidRPr="001228BE">
        <w:t>k</w:t>
      </w:r>
      <w:r w:rsidRPr="001228BE">
        <w:rPr>
          <w:spacing w:val="1"/>
        </w:rPr>
        <w:t>a</w:t>
      </w:r>
      <w:r w:rsidRPr="001228BE">
        <w:t>ge</w:t>
      </w:r>
      <w:r w:rsidRPr="001228BE">
        <w:rPr>
          <w:spacing w:val="13"/>
        </w:rPr>
        <w:t xml:space="preserve"> </w:t>
      </w:r>
      <w:r w:rsidRPr="001228BE">
        <w:t>t</w:t>
      </w:r>
      <w:r w:rsidRPr="001228BE">
        <w:rPr>
          <w:spacing w:val="-1"/>
        </w:rPr>
        <w:t>rac</w:t>
      </w:r>
      <w:r w:rsidRPr="001228BE">
        <w:t>ki</w:t>
      </w:r>
      <w:r w:rsidRPr="001228BE">
        <w:rPr>
          <w:spacing w:val="2"/>
        </w:rPr>
        <w:t>n</w:t>
      </w:r>
      <w:r w:rsidRPr="001228BE">
        <w:rPr>
          <w:spacing w:val="-3"/>
        </w:rPr>
        <w:t>g</w:t>
      </w:r>
      <w:r w:rsidRPr="001228BE">
        <w:rPr>
          <w:spacing w:val="-1"/>
        </w:rPr>
        <w:t>)</w:t>
      </w:r>
      <w:r w:rsidRPr="001228BE">
        <w:t>;</w:t>
      </w:r>
      <w:r w:rsidRPr="001228BE">
        <w:rPr>
          <w:spacing w:val="14"/>
        </w:rPr>
        <w:t xml:space="preserve"> </w:t>
      </w:r>
      <w:r w:rsidRPr="001228BE">
        <w:t>do</w:t>
      </w:r>
      <w:r w:rsidRPr="001228BE">
        <w:rPr>
          <w:spacing w:val="-1"/>
        </w:rPr>
        <w:t>c</w:t>
      </w:r>
      <w:r w:rsidRPr="001228BE">
        <w:t>um</w:t>
      </w:r>
      <w:r w:rsidRPr="001228BE">
        <w:rPr>
          <w:spacing w:val="-1"/>
        </w:rPr>
        <w:t>e</w:t>
      </w:r>
      <w:r w:rsidRPr="001228BE">
        <w:t>nt</w:t>
      </w:r>
      <w:r w:rsidRPr="001228BE">
        <w:rPr>
          <w:spacing w:val="17"/>
        </w:rPr>
        <w:t xml:space="preserve"> </w:t>
      </w:r>
      <w:r w:rsidRPr="001228BE">
        <w:rPr>
          <w:spacing w:val="-1"/>
        </w:rPr>
        <w:t>crea</w:t>
      </w:r>
      <w:r w:rsidRPr="001228BE">
        <w:t>tion</w:t>
      </w:r>
      <w:r w:rsidRPr="001228BE">
        <w:rPr>
          <w:spacing w:val="14"/>
        </w:rPr>
        <w:t xml:space="preserve"> </w:t>
      </w:r>
      <w:r w:rsidRPr="001228BE">
        <w:rPr>
          <w:spacing w:val="-1"/>
        </w:rPr>
        <w:t>(</w:t>
      </w:r>
      <w:r w:rsidRPr="001228BE">
        <w:t>d</w:t>
      </w:r>
      <w:r w:rsidRPr="001228BE">
        <w:rPr>
          <w:spacing w:val="-1"/>
        </w:rPr>
        <w:t>e</w:t>
      </w:r>
      <w:r w:rsidRPr="001228BE">
        <w:t>s</w:t>
      </w:r>
      <w:r w:rsidRPr="001228BE">
        <w:rPr>
          <w:spacing w:val="2"/>
        </w:rPr>
        <w:t>i</w:t>
      </w:r>
      <w:r w:rsidRPr="001228BE">
        <w:rPr>
          <w:spacing w:val="-3"/>
        </w:rPr>
        <w:t>g</w:t>
      </w:r>
      <w:r w:rsidRPr="001228BE">
        <w:t>n,</w:t>
      </w:r>
      <w:r w:rsidRPr="001228BE">
        <w:rPr>
          <w:spacing w:val="14"/>
        </w:rPr>
        <w:t xml:space="preserve"> </w:t>
      </w:r>
      <w:r w:rsidRPr="001228BE">
        <w:rPr>
          <w:spacing w:val="-1"/>
        </w:rPr>
        <w:t>c</w:t>
      </w:r>
      <w:r w:rsidRPr="001228BE">
        <w:t>on</w:t>
      </w:r>
      <w:r w:rsidRPr="001228BE">
        <w:rPr>
          <w:spacing w:val="2"/>
        </w:rPr>
        <w:t>v</w:t>
      </w:r>
      <w:r w:rsidRPr="001228BE">
        <w:rPr>
          <w:spacing w:val="1"/>
        </w:rPr>
        <w:t>e</w:t>
      </w:r>
      <w:r w:rsidRPr="001228BE">
        <w:rPr>
          <w:spacing w:val="-1"/>
        </w:rPr>
        <w:t>r</w:t>
      </w:r>
      <w:r w:rsidRPr="001228BE">
        <w:t xml:space="preserve">sion, </w:t>
      </w:r>
      <w:r w:rsidRPr="001228BE">
        <w:rPr>
          <w:spacing w:val="-1"/>
        </w:rPr>
        <w:t>c</w:t>
      </w:r>
      <w:r w:rsidRPr="001228BE">
        <w:t>onsult</w:t>
      </w:r>
      <w:r w:rsidRPr="001228BE">
        <w:rPr>
          <w:spacing w:val="-1"/>
        </w:rPr>
        <w:t>a</w:t>
      </w:r>
      <w:r w:rsidRPr="001228BE">
        <w:t>tion</w:t>
      </w:r>
      <w:r w:rsidRPr="001228BE">
        <w:rPr>
          <w:spacing w:val="-1"/>
        </w:rPr>
        <w:t>)</w:t>
      </w:r>
      <w:r w:rsidRPr="001228BE">
        <w:t>;</w:t>
      </w:r>
      <w:r w:rsidRPr="001228BE">
        <w:rPr>
          <w:spacing w:val="33"/>
        </w:rPr>
        <w:t xml:space="preserve"> </w:t>
      </w:r>
      <w:r w:rsidRPr="001228BE">
        <w:rPr>
          <w:spacing w:val="-1"/>
        </w:rPr>
        <w:t>a</w:t>
      </w:r>
      <w:r w:rsidRPr="001228BE">
        <w:t>nd</w:t>
      </w:r>
      <w:r w:rsidRPr="001228BE">
        <w:rPr>
          <w:spacing w:val="33"/>
        </w:rPr>
        <w:t xml:space="preserve"> </w:t>
      </w:r>
      <w:r w:rsidRPr="001228BE">
        <w:t>d</w:t>
      </w:r>
      <w:r w:rsidRPr="001228BE">
        <w:rPr>
          <w:spacing w:val="2"/>
        </w:rPr>
        <w:t>i</w:t>
      </w:r>
      <w:r w:rsidRPr="001228BE">
        <w:rPr>
          <w:spacing w:val="-3"/>
        </w:rPr>
        <w:t>g</w:t>
      </w:r>
      <w:r w:rsidRPr="001228BE">
        <w:t>it</w:t>
      </w:r>
      <w:r w:rsidRPr="001228BE">
        <w:rPr>
          <w:spacing w:val="-1"/>
        </w:rPr>
        <w:t>a</w:t>
      </w:r>
      <w:r w:rsidRPr="001228BE">
        <w:t>l s</w:t>
      </w:r>
      <w:r w:rsidRPr="001228BE">
        <w:rPr>
          <w:spacing w:val="-1"/>
        </w:rPr>
        <w:t>er</w:t>
      </w:r>
      <w:r w:rsidRPr="001228BE">
        <w:t>vi</w:t>
      </w:r>
      <w:r w:rsidRPr="001228BE">
        <w:rPr>
          <w:spacing w:val="1"/>
        </w:rPr>
        <w:t>c</w:t>
      </w:r>
      <w:r w:rsidRPr="001228BE">
        <w:rPr>
          <w:spacing w:val="-1"/>
        </w:rPr>
        <w:t>e</w:t>
      </w:r>
      <w:r w:rsidRPr="001228BE">
        <w:t>s</w:t>
      </w:r>
      <w:r w:rsidRPr="001228BE">
        <w:rPr>
          <w:spacing w:val="33"/>
        </w:rPr>
        <w:t xml:space="preserve"> </w:t>
      </w:r>
      <w:r w:rsidRPr="001228BE">
        <w:rPr>
          <w:spacing w:val="-1"/>
        </w:rPr>
        <w:t>(</w:t>
      </w:r>
      <w:r w:rsidRPr="001228BE">
        <w:t>do</w:t>
      </w:r>
      <w:r w:rsidRPr="001228BE">
        <w:rPr>
          <w:spacing w:val="-1"/>
        </w:rPr>
        <w:t>c</w:t>
      </w:r>
      <w:r w:rsidRPr="001228BE">
        <w:t>u</w:t>
      </w:r>
      <w:r w:rsidRPr="001228BE">
        <w:rPr>
          <w:spacing w:val="2"/>
        </w:rPr>
        <w:t>m</w:t>
      </w:r>
      <w:r w:rsidRPr="001228BE">
        <w:rPr>
          <w:spacing w:val="-1"/>
        </w:rPr>
        <w:t>e</w:t>
      </w:r>
      <w:r w:rsidRPr="001228BE">
        <w:t>nt</w:t>
      </w:r>
      <w:r w:rsidRPr="001228BE">
        <w:rPr>
          <w:spacing w:val="36"/>
        </w:rPr>
        <w:t xml:space="preserve"> </w:t>
      </w:r>
      <w:r w:rsidRPr="001228BE">
        <w:t>s</w:t>
      </w:r>
      <w:r w:rsidRPr="001228BE">
        <w:rPr>
          <w:spacing w:val="-1"/>
        </w:rPr>
        <w:t>ca</w:t>
      </w:r>
      <w:r w:rsidRPr="001228BE">
        <w:t>nning</w:t>
      </w:r>
      <w:r w:rsidRPr="001228BE">
        <w:rPr>
          <w:spacing w:val="-1"/>
        </w:rPr>
        <w:t>-</w:t>
      </w:r>
      <w:r w:rsidRPr="001228BE">
        <w:t>to</w:t>
      </w:r>
      <w:r w:rsidRPr="001228BE">
        <w:rPr>
          <w:spacing w:val="-1"/>
        </w:rPr>
        <w:t>-</w:t>
      </w:r>
      <w:r w:rsidRPr="001228BE">
        <w:t>P</w:t>
      </w:r>
      <w:r w:rsidRPr="001228BE">
        <w:rPr>
          <w:spacing w:val="-1"/>
        </w:rPr>
        <w:t>D</w:t>
      </w:r>
      <w:r w:rsidRPr="001228BE">
        <w:rPr>
          <w:spacing w:val="-2"/>
        </w:rPr>
        <w:t>F</w:t>
      </w:r>
      <w:r w:rsidRPr="001228BE">
        <w:t>,</w:t>
      </w:r>
      <w:r w:rsidRPr="001228BE">
        <w:rPr>
          <w:spacing w:val="36"/>
        </w:rPr>
        <w:t xml:space="preserve"> </w:t>
      </w:r>
      <w:r w:rsidRPr="001228BE">
        <w:t>pl</w:t>
      </w:r>
      <w:r w:rsidRPr="001228BE">
        <w:rPr>
          <w:spacing w:val="-1"/>
        </w:rPr>
        <w:t>a</w:t>
      </w:r>
      <w:r w:rsidRPr="001228BE">
        <w:t>stic</w:t>
      </w:r>
      <w:r w:rsidRPr="001228BE">
        <w:rPr>
          <w:spacing w:val="35"/>
        </w:rPr>
        <w:t xml:space="preserve"> </w:t>
      </w:r>
      <w:r w:rsidRPr="001228BE">
        <w:rPr>
          <w:spacing w:val="-4"/>
        </w:rPr>
        <w:t>I</w:t>
      </w:r>
      <w:r w:rsidRPr="001228BE">
        <w:t>D</w:t>
      </w:r>
      <w:r w:rsidRPr="001228BE">
        <w:rPr>
          <w:spacing w:val="35"/>
        </w:rPr>
        <w:t xml:space="preserve"> </w:t>
      </w:r>
      <w:r w:rsidRPr="001228BE">
        <w:rPr>
          <w:spacing w:val="-1"/>
        </w:rPr>
        <w:t>car</w:t>
      </w:r>
      <w:r w:rsidRPr="001228BE">
        <w:t>d imp</w:t>
      </w:r>
      <w:r w:rsidRPr="001228BE">
        <w:rPr>
          <w:spacing w:val="-1"/>
        </w:rPr>
        <w:t>r</w:t>
      </w:r>
      <w:r w:rsidRPr="001228BE">
        <w:t>intin</w:t>
      </w:r>
      <w:r w:rsidRPr="001228BE">
        <w:rPr>
          <w:spacing w:val="-3"/>
        </w:rPr>
        <w:t>g</w:t>
      </w:r>
      <w:r w:rsidRPr="001228BE">
        <w:rPr>
          <w:spacing w:val="-1"/>
        </w:rPr>
        <w:t>)</w:t>
      </w:r>
      <w:r w:rsidRPr="001228BE">
        <w:t xml:space="preserve">. </w:t>
      </w:r>
      <w:r>
        <w:t>The program’s creative services include</w:t>
      </w:r>
      <w:r w:rsidRPr="001228BE">
        <w:t xml:space="preserve"> </w:t>
      </w:r>
      <w:proofErr w:type="gramStart"/>
      <w:r w:rsidRPr="001228BE">
        <w:t>graphic</w:t>
      </w:r>
      <w:proofErr w:type="gramEnd"/>
      <w:r w:rsidRPr="001228BE">
        <w:t xml:space="preserve"> and web design. P&amp;D is lo</w:t>
      </w:r>
      <w:r w:rsidRPr="001228BE">
        <w:rPr>
          <w:spacing w:val="1"/>
        </w:rPr>
        <w:t>c</w:t>
      </w:r>
      <w:r w:rsidRPr="001228BE">
        <w:rPr>
          <w:spacing w:val="-1"/>
        </w:rPr>
        <w:t>a</w:t>
      </w:r>
      <w:r w:rsidRPr="001228BE">
        <w:t>t</w:t>
      </w:r>
      <w:r w:rsidRPr="001228BE">
        <w:rPr>
          <w:spacing w:val="-1"/>
        </w:rPr>
        <w:t>e</w:t>
      </w:r>
      <w:r w:rsidRPr="001228BE">
        <w:t>d</w:t>
      </w:r>
      <w:r w:rsidRPr="001228BE">
        <w:rPr>
          <w:spacing w:val="16"/>
        </w:rPr>
        <w:t xml:space="preserve"> </w:t>
      </w:r>
      <w:r w:rsidRPr="001228BE">
        <w:rPr>
          <w:spacing w:val="-1"/>
        </w:rPr>
        <w:t>a</w:t>
      </w:r>
      <w:r w:rsidRPr="001228BE">
        <w:t>t</w:t>
      </w:r>
      <w:r w:rsidRPr="001228BE">
        <w:rPr>
          <w:spacing w:val="17"/>
        </w:rPr>
        <w:t xml:space="preserve"> </w:t>
      </w:r>
      <w:r w:rsidRPr="001228BE">
        <w:t xml:space="preserve">550 </w:t>
      </w:r>
      <w:r w:rsidRPr="001228BE">
        <w:rPr>
          <w:spacing w:val="-1"/>
        </w:rPr>
        <w:t>A</w:t>
      </w:r>
      <w:r w:rsidRPr="001228BE">
        <w:t>i</w:t>
      </w:r>
      <w:r w:rsidRPr="001228BE">
        <w:rPr>
          <w:spacing w:val="-1"/>
        </w:rPr>
        <w:t>r</w:t>
      </w:r>
      <w:r w:rsidRPr="001228BE">
        <w:t>po</w:t>
      </w:r>
      <w:r w:rsidRPr="001228BE">
        <w:rPr>
          <w:spacing w:val="-1"/>
        </w:rPr>
        <w:t>r</w:t>
      </w:r>
      <w:r w:rsidRPr="001228BE">
        <w:t>t</w:t>
      </w:r>
      <w:r w:rsidRPr="001228BE">
        <w:rPr>
          <w:spacing w:val="19"/>
        </w:rPr>
        <w:t xml:space="preserve"> </w:t>
      </w:r>
      <w:r w:rsidRPr="001228BE">
        <w:t>Ro</w:t>
      </w:r>
      <w:r w:rsidRPr="001228BE">
        <w:rPr>
          <w:spacing w:val="1"/>
        </w:rPr>
        <w:t>a</w:t>
      </w:r>
      <w:r w:rsidRPr="001228BE">
        <w:t>d</w:t>
      </w:r>
      <w:r>
        <w:t xml:space="preserve">, Suite A, in </w:t>
      </w:r>
      <w:r w:rsidRPr="001228BE">
        <w:t>S</w:t>
      </w:r>
      <w:r w:rsidRPr="001228BE">
        <w:rPr>
          <w:spacing w:val="-1"/>
        </w:rPr>
        <w:t>a</w:t>
      </w:r>
      <w:r w:rsidRPr="001228BE">
        <w:t>l</w:t>
      </w:r>
      <w:r w:rsidRPr="001228BE">
        <w:rPr>
          <w:spacing w:val="-1"/>
        </w:rPr>
        <w:t>e</w:t>
      </w:r>
      <w:r w:rsidRPr="001228BE">
        <w:t>m</w:t>
      </w:r>
      <w:r w:rsidRPr="001228BE">
        <w:rPr>
          <w:spacing w:val="-1"/>
        </w:rPr>
        <w:t>.</w:t>
      </w:r>
    </w:p>
    <w:p w14:paraId="45E32671" w14:textId="1B8FDE81" w:rsidR="00F80E94" w:rsidRDefault="00F80E94" w:rsidP="00E51337">
      <w:r w:rsidRPr="001228BE">
        <w:rPr>
          <w:b/>
        </w:rPr>
        <w:t xml:space="preserve">Print Ready Printing Rates: </w:t>
      </w:r>
      <w:r w:rsidRPr="001228BE">
        <w:rPr>
          <w:spacing w:val="-1"/>
        </w:rPr>
        <w:t xml:space="preserve">P&amp;D </w:t>
      </w:r>
      <w:r>
        <w:rPr>
          <w:spacing w:val="-1"/>
        </w:rPr>
        <w:t>uses</w:t>
      </w:r>
      <w:r w:rsidRPr="001228BE">
        <w:rPr>
          <w:spacing w:val="-1"/>
        </w:rPr>
        <w:t xml:space="preserve"> a tiered rate structure for printing. </w:t>
      </w:r>
      <w:r w:rsidRPr="001228BE">
        <w:t>Ch</w:t>
      </w:r>
      <w:r w:rsidRPr="001228BE">
        <w:rPr>
          <w:spacing w:val="1"/>
        </w:rPr>
        <w:t>e</w:t>
      </w:r>
      <w:r w:rsidRPr="001228BE">
        <w:rPr>
          <w:spacing w:val="-1"/>
        </w:rPr>
        <w:t>c</w:t>
      </w:r>
      <w:r w:rsidRPr="001228BE">
        <w:t>ks</w:t>
      </w:r>
      <w:r w:rsidRPr="001228BE">
        <w:rPr>
          <w:spacing w:val="2"/>
        </w:rPr>
        <w:t xml:space="preserve"> </w:t>
      </w:r>
      <w:r w:rsidRPr="001228BE">
        <w:rPr>
          <w:spacing w:val="-1"/>
        </w:rPr>
        <w:t>a</w:t>
      </w:r>
      <w:r w:rsidRPr="001228BE">
        <w:t>nd</w:t>
      </w:r>
      <w:r w:rsidRPr="001228BE">
        <w:rPr>
          <w:spacing w:val="4"/>
        </w:rPr>
        <w:t xml:space="preserve"> </w:t>
      </w:r>
      <w:r w:rsidRPr="001228BE">
        <w:t>n</w:t>
      </w:r>
      <w:r w:rsidRPr="001228BE">
        <w:rPr>
          <w:spacing w:val="1"/>
        </w:rPr>
        <w:t>e</w:t>
      </w:r>
      <w:r w:rsidRPr="001228BE">
        <w:rPr>
          <w:spacing w:val="-3"/>
        </w:rPr>
        <w:t>g</w:t>
      </w:r>
      <w:r w:rsidRPr="001228BE">
        <w:t>oti</w:t>
      </w:r>
      <w:r w:rsidRPr="001228BE">
        <w:rPr>
          <w:spacing w:val="-1"/>
        </w:rPr>
        <w:t>a</w:t>
      </w:r>
      <w:r w:rsidRPr="001228BE">
        <w:t>ble</w:t>
      </w:r>
      <w:r w:rsidRPr="001228BE">
        <w:rPr>
          <w:spacing w:val="3"/>
        </w:rPr>
        <w:t xml:space="preserve"> </w:t>
      </w:r>
      <w:r w:rsidRPr="001228BE">
        <w:t>it</w:t>
      </w:r>
      <w:r w:rsidRPr="001228BE">
        <w:rPr>
          <w:spacing w:val="-1"/>
        </w:rPr>
        <w:t>e</w:t>
      </w:r>
      <w:r w:rsidRPr="001228BE">
        <w:t>ms</w:t>
      </w:r>
      <w:r w:rsidRPr="001228BE">
        <w:rPr>
          <w:spacing w:val="2"/>
        </w:rPr>
        <w:t xml:space="preserve"> </w:t>
      </w:r>
      <w:r w:rsidRPr="001228BE">
        <w:rPr>
          <w:spacing w:val="-1"/>
        </w:rPr>
        <w:t>a</w:t>
      </w:r>
      <w:r w:rsidRPr="001228BE">
        <w:rPr>
          <w:spacing w:val="1"/>
        </w:rPr>
        <w:t>r</w:t>
      </w:r>
      <w:r w:rsidRPr="001228BE">
        <w:t>e</w:t>
      </w:r>
      <w:r w:rsidRPr="001228BE">
        <w:rPr>
          <w:spacing w:val="1"/>
        </w:rPr>
        <w:t xml:space="preserve"> </w:t>
      </w:r>
      <w:r w:rsidRPr="001228BE">
        <w:rPr>
          <w:spacing w:val="-1"/>
        </w:rPr>
        <w:t>c</w:t>
      </w:r>
      <w:r w:rsidRPr="001228BE">
        <w:rPr>
          <w:spacing w:val="2"/>
        </w:rPr>
        <w:t>h</w:t>
      </w:r>
      <w:r w:rsidRPr="001228BE">
        <w:rPr>
          <w:spacing w:val="-1"/>
        </w:rPr>
        <w:t>a</w:t>
      </w:r>
      <w:r w:rsidRPr="001228BE">
        <w:rPr>
          <w:spacing w:val="1"/>
        </w:rPr>
        <w:t>r</w:t>
      </w:r>
      <w:r w:rsidRPr="001228BE">
        <w:t>g</w:t>
      </w:r>
      <w:r w:rsidRPr="001228BE">
        <w:rPr>
          <w:spacing w:val="1"/>
        </w:rPr>
        <w:t>e</w:t>
      </w:r>
      <w:r w:rsidRPr="001228BE">
        <w:t>d</w:t>
      </w:r>
      <w:r w:rsidRPr="001228BE">
        <w:rPr>
          <w:spacing w:val="2"/>
        </w:rPr>
        <w:t xml:space="preserve"> </w:t>
      </w:r>
      <w:r w:rsidRPr="001228BE">
        <w:rPr>
          <w:spacing w:val="-1"/>
        </w:rPr>
        <w:t>a</w:t>
      </w:r>
      <w:r w:rsidRPr="001228BE">
        <w:t>n</w:t>
      </w:r>
      <w:r w:rsidRPr="001228BE">
        <w:rPr>
          <w:spacing w:val="4"/>
        </w:rPr>
        <w:t xml:space="preserve"> </w:t>
      </w:r>
      <w:r w:rsidRPr="001228BE">
        <w:rPr>
          <w:spacing w:val="-1"/>
        </w:rPr>
        <w:t>a</w:t>
      </w:r>
      <w:r w:rsidRPr="001228BE">
        <w:t>ddition</w:t>
      </w:r>
      <w:r w:rsidRPr="001228BE">
        <w:rPr>
          <w:spacing w:val="-1"/>
        </w:rPr>
        <w:t>a</w:t>
      </w:r>
      <w:r w:rsidRPr="001228BE">
        <w:t>l</w:t>
      </w:r>
      <w:r w:rsidRPr="001228BE">
        <w:rPr>
          <w:spacing w:val="2"/>
        </w:rPr>
        <w:t xml:space="preserve"> </w:t>
      </w:r>
      <w:r>
        <w:t>fee</w:t>
      </w:r>
      <w:r w:rsidRPr="001228BE">
        <w:rPr>
          <w:spacing w:val="2"/>
        </w:rPr>
        <w:t xml:space="preserve"> </w:t>
      </w:r>
      <w:r w:rsidRPr="001228BE">
        <w:t>p</w:t>
      </w:r>
      <w:r w:rsidRPr="001228BE">
        <w:rPr>
          <w:spacing w:val="1"/>
        </w:rPr>
        <w:t>e</w:t>
      </w:r>
      <w:r w:rsidRPr="001228BE">
        <w:t>r</w:t>
      </w:r>
      <w:r w:rsidRPr="001228BE">
        <w:rPr>
          <w:spacing w:val="1"/>
        </w:rPr>
        <w:t xml:space="preserve"> </w:t>
      </w:r>
      <w:r w:rsidRPr="001228BE">
        <w:rPr>
          <w:spacing w:val="2"/>
        </w:rPr>
        <w:t>i</w:t>
      </w:r>
      <w:r w:rsidRPr="001228BE">
        <w:t>t</w:t>
      </w:r>
      <w:r w:rsidRPr="001228BE">
        <w:rPr>
          <w:spacing w:val="-1"/>
        </w:rPr>
        <w:t>e</w:t>
      </w:r>
      <w:r w:rsidRPr="001228BE">
        <w:t>m</w:t>
      </w:r>
      <w:r w:rsidRPr="001228BE">
        <w:rPr>
          <w:spacing w:val="2"/>
        </w:rPr>
        <w:t xml:space="preserve"> </w:t>
      </w:r>
      <w:r w:rsidRPr="001228BE">
        <w:rPr>
          <w:spacing w:val="-1"/>
        </w:rPr>
        <w:t>f</w:t>
      </w:r>
      <w:r w:rsidRPr="001228BE">
        <w:t>or</w:t>
      </w:r>
      <w:r w:rsidRPr="001228BE">
        <w:rPr>
          <w:spacing w:val="1"/>
        </w:rPr>
        <w:t xml:space="preserve"> </w:t>
      </w:r>
      <w:r w:rsidRPr="001228BE">
        <w:rPr>
          <w:spacing w:val="2"/>
        </w:rPr>
        <w:t>s</w:t>
      </w:r>
      <w:r w:rsidRPr="001228BE">
        <w:rPr>
          <w:spacing w:val="-1"/>
        </w:rPr>
        <w:t>ec</w:t>
      </w:r>
      <w:r w:rsidRPr="001228BE">
        <w:t>u</w:t>
      </w:r>
      <w:r w:rsidRPr="001228BE">
        <w:rPr>
          <w:spacing w:val="-1"/>
        </w:rPr>
        <w:t>r</w:t>
      </w:r>
      <w:r w:rsidRPr="001228BE">
        <w:t>i</w:t>
      </w:r>
      <w:r w:rsidRPr="001228BE">
        <w:rPr>
          <w:spacing w:val="5"/>
        </w:rPr>
        <w:t>t</w:t>
      </w:r>
      <w:r w:rsidRPr="001228BE">
        <w:rPr>
          <w:spacing w:val="-5"/>
        </w:rPr>
        <w:t>y</w:t>
      </w:r>
      <w:r w:rsidRPr="001228BE">
        <w:t>,</w:t>
      </w:r>
      <w:r w:rsidRPr="001228BE">
        <w:rPr>
          <w:spacing w:val="2"/>
        </w:rPr>
        <w:t xml:space="preserve"> </w:t>
      </w:r>
      <w:r w:rsidRPr="001228BE">
        <w:t>plus</w:t>
      </w:r>
      <w:r w:rsidRPr="001228BE">
        <w:rPr>
          <w:spacing w:val="2"/>
        </w:rPr>
        <w:t xml:space="preserve"> </w:t>
      </w:r>
      <w:r w:rsidRPr="001228BE">
        <w:t>t</w:t>
      </w:r>
      <w:r w:rsidRPr="001228BE">
        <w:rPr>
          <w:spacing w:val="2"/>
        </w:rPr>
        <w:t>h</w:t>
      </w:r>
      <w:r w:rsidRPr="001228BE">
        <w:t>e</w:t>
      </w:r>
      <w:r w:rsidRPr="001228BE">
        <w:rPr>
          <w:spacing w:val="3"/>
        </w:rPr>
        <w:t xml:space="preserve"> </w:t>
      </w:r>
      <w:r w:rsidRPr="001228BE">
        <w:rPr>
          <w:spacing w:val="-1"/>
        </w:rPr>
        <w:t>c</w:t>
      </w:r>
      <w:r w:rsidRPr="001228BE">
        <w:t>ost of</w:t>
      </w:r>
      <w:r w:rsidRPr="001228BE">
        <w:rPr>
          <w:spacing w:val="18"/>
        </w:rPr>
        <w:t xml:space="preserve"> </w:t>
      </w:r>
      <w:r w:rsidRPr="001228BE">
        <w:t>the</w:t>
      </w:r>
      <w:r w:rsidRPr="001228BE">
        <w:rPr>
          <w:spacing w:val="18"/>
        </w:rPr>
        <w:t xml:space="preserve"> </w:t>
      </w:r>
      <w:r w:rsidRPr="001228BE">
        <w:t>sto</w:t>
      </w:r>
      <w:r w:rsidRPr="001228BE">
        <w:rPr>
          <w:spacing w:val="-1"/>
        </w:rPr>
        <w:t>c</w:t>
      </w:r>
      <w:r w:rsidRPr="001228BE">
        <w:t>k.</w:t>
      </w:r>
      <w:r w:rsidRPr="001228BE">
        <w:rPr>
          <w:spacing w:val="19"/>
        </w:rPr>
        <w:t xml:space="preserve"> </w:t>
      </w:r>
      <w:r w:rsidRPr="001228BE">
        <w:rPr>
          <w:spacing w:val="-1"/>
        </w:rPr>
        <w:t>Trac</w:t>
      </w:r>
      <w:r w:rsidRPr="001228BE">
        <w:t>k</w:t>
      </w:r>
      <w:r w:rsidRPr="001228BE">
        <w:rPr>
          <w:spacing w:val="-1"/>
        </w:rPr>
        <w:t>e</w:t>
      </w:r>
      <w:r w:rsidRPr="001228BE">
        <w:t>d,</w:t>
      </w:r>
      <w:r w:rsidRPr="001228BE">
        <w:rPr>
          <w:spacing w:val="19"/>
        </w:rPr>
        <w:t xml:space="preserve"> </w:t>
      </w:r>
      <w:r w:rsidRPr="001228BE">
        <w:t>v</w:t>
      </w:r>
      <w:r w:rsidRPr="001228BE">
        <w:rPr>
          <w:spacing w:val="1"/>
        </w:rPr>
        <w:t>a</w:t>
      </w:r>
      <w:r w:rsidRPr="001228BE">
        <w:rPr>
          <w:spacing w:val="-1"/>
        </w:rPr>
        <w:t>r</w:t>
      </w:r>
      <w:r w:rsidRPr="001228BE">
        <w:t>i</w:t>
      </w:r>
      <w:r w:rsidRPr="001228BE">
        <w:rPr>
          <w:spacing w:val="-1"/>
        </w:rPr>
        <w:t>a</w:t>
      </w:r>
      <w:r w:rsidRPr="001228BE">
        <w:t>ble</w:t>
      </w:r>
      <w:r w:rsidRPr="001228BE">
        <w:rPr>
          <w:spacing w:val="18"/>
        </w:rPr>
        <w:t xml:space="preserve"> </w:t>
      </w:r>
      <w:r w:rsidRPr="001228BE">
        <w:t>d</w:t>
      </w:r>
      <w:r w:rsidRPr="001228BE">
        <w:rPr>
          <w:spacing w:val="-1"/>
        </w:rPr>
        <w:t>a</w:t>
      </w:r>
      <w:r w:rsidRPr="001228BE">
        <w:t>ta</w:t>
      </w:r>
      <w:r w:rsidRPr="001228BE">
        <w:rPr>
          <w:spacing w:val="18"/>
        </w:rPr>
        <w:t xml:space="preserve"> </w:t>
      </w:r>
      <w:r w:rsidRPr="001228BE">
        <w:t>p</w:t>
      </w:r>
      <w:r w:rsidRPr="001228BE">
        <w:rPr>
          <w:spacing w:val="-1"/>
        </w:rPr>
        <w:t>r</w:t>
      </w:r>
      <w:r w:rsidRPr="001228BE">
        <w:t>inting</w:t>
      </w:r>
      <w:r w:rsidRPr="001228BE">
        <w:rPr>
          <w:spacing w:val="16"/>
        </w:rPr>
        <w:t xml:space="preserve"> </w:t>
      </w:r>
      <w:r>
        <w:rPr>
          <w:spacing w:val="-1"/>
        </w:rPr>
        <w:t>is</w:t>
      </w:r>
      <w:r w:rsidRPr="001228BE">
        <w:rPr>
          <w:spacing w:val="18"/>
        </w:rPr>
        <w:t xml:space="preserve"> </w:t>
      </w:r>
      <w:r w:rsidRPr="001228BE">
        <w:rPr>
          <w:spacing w:val="1"/>
        </w:rPr>
        <w:t>c</w:t>
      </w:r>
      <w:r w:rsidRPr="001228BE">
        <w:t>h</w:t>
      </w:r>
      <w:r w:rsidRPr="001228BE">
        <w:rPr>
          <w:spacing w:val="-1"/>
        </w:rPr>
        <w:t>a</w:t>
      </w:r>
      <w:r w:rsidRPr="001228BE">
        <w:rPr>
          <w:spacing w:val="1"/>
        </w:rPr>
        <w:t>r</w:t>
      </w:r>
      <w:r w:rsidRPr="001228BE">
        <w:rPr>
          <w:spacing w:val="-3"/>
        </w:rPr>
        <w:t>g</w:t>
      </w:r>
      <w:r w:rsidRPr="001228BE">
        <w:rPr>
          <w:spacing w:val="-1"/>
        </w:rPr>
        <w:t>e</w:t>
      </w:r>
      <w:r w:rsidRPr="001228BE">
        <w:t>d</w:t>
      </w:r>
      <w:r w:rsidRPr="001228BE">
        <w:rPr>
          <w:spacing w:val="19"/>
        </w:rPr>
        <w:t xml:space="preserve"> </w:t>
      </w:r>
      <w:r w:rsidRPr="001228BE">
        <w:rPr>
          <w:spacing w:val="-1"/>
        </w:rPr>
        <w:t>a</w:t>
      </w:r>
      <w:r w:rsidRPr="001228BE">
        <w:t>n</w:t>
      </w:r>
      <w:r w:rsidRPr="001228BE">
        <w:rPr>
          <w:spacing w:val="19"/>
        </w:rPr>
        <w:t xml:space="preserve"> </w:t>
      </w:r>
      <w:r w:rsidRPr="001228BE">
        <w:rPr>
          <w:spacing w:val="-1"/>
        </w:rPr>
        <w:t>a</w:t>
      </w:r>
      <w:r w:rsidRPr="001228BE">
        <w:t>ddition</w:t>
      </w:r>
      <w:r w:rsidRPr="001228BE">
        <w:rPr>
          <w:spacing w:val="-1"/>
        </w:rPr>
        <w:t>a</w:t>
      </w:r>
      <w:r w:rsidRPr="001228BE">
        <w:t xml:space="preserve">l </w:t>
      </w:r>
      <w:r>
        <w:t>fee</w:t>
      </w:r>
      <w:r w:rsidRPr="001228BE">
        <w:t xml:space="preserve"> p</w:t>
      </w:r>
      <w:r w:rsidRPr="001228BE">
        <w:rPr>
          <w:spacing w:val="-1"/>
        </w:rPr>
        <w:t>e</w:t>
      </w:r>
      <w:r w:rsidRPr="001228BE">
        <w:t>r</w:t>
      </w:r>
      <w:r w:rsidRPr="001228BE">
        <w:rPr>
          <w:spacing w:val="18"/>
        </w:rPr>
        <w:t xml:space="preserve"> </w:t>
      </w:r>
      <w:r w:rsidRPr="001228BE">
        <w:rPr>
          <w:spacing w:val="-1"/>
        </w:rPr>
        <w:t>rec</w:t>
      </w:r>
      <w:r w:rsidRPr="001228BE">
        <w:rPr>
          <w:spacing w:val="2"/>
        </w:rPr>
        <w:t>o</w:t>
      </w:r>
      <w:r w:rsidRPr="001228BE">
        <w:rPr>
          <w:spacing w:val="-1"/>
        </w:rPr>
        <w:t>r</w:t>
      </w:r>
      <w:r w:rsidRPr="001228BE">
        <w:t>d</w:t>
      </w:r>
      <w:r>
        <w:t xml:space="preserve"> for piece tracking</w:t>
      </w:r>
      <w:r w:rsidRPr="001228BE">
        <w:rPr>
          <w:spacing w:val="19"/>
        </w:rPr>
        <w:t xml:space="preserve"> </w:t>
      </w:r>
      <w:r>
        <w:t>(</w:t>
      </w:r>
      <w:r w:rsidR="00B71179">
        <w:t>r</w:t>
      </w:r>
      <w:r>
        <w:t>efer to pricing table below)</w:t>
      </w:r>
      <w:r w:rsidR="00B71179">
        <w:t>.</w:t>
      </w:r>
      <w:r>
        <w:t xml:space="preserve"> </w:t>
      </w:r>
      <w:r w:rsidRPr="001228BE">
        <w:rPr>
          <w:spacing w:val="-1"/>
        </w:rPr>
        <w:t>A</w:t>
      </w:r>
      <w:r w:rsidRPr="001228BE">
        <w:t>ll</w:t>
      </w:r>
      <w:r w:rsidRPr="001228BE">
        <w:rPr>
          <w:spacing w:val="19"/>
        </w:rPr>
        <w:t xml:space="preserve"> </w:t>
      </w:r>
      <w:r w:rsidRPr="001228BE">
        <w:t>p</w:t>
      </w:r>
      <w:r w:rsidRPr="001228BE">
        <w:rPr>
          <w:spacing w:val="-1"/>
        </w:rPr>
        <w:t>r</w:t>
      </w:r>
      <w:r w:rsidRPr="001228BE">
        <w:t>i</w:t>
      </w:r>
      <w:r w:rsidRPr="001228BE">
        <w:rPr>
          <w:spacing w:val="-1"/>
        </w:rPr>
        <w:t>ce</w:t>
      </w:r>
      <w:r w:rsidRPr="001228BE">
        <w:t>s</w:t>
      </w:r>
      <w:r w:rsidRPr="001228BE">
        <w:rPr>
          <w:spacing w:val="19"/>
        </w:rPr>
        <w:t xml:space="preserve"> </w:t>
      </w:r>
      <w:r w:rsidRPr="001228BE">
        <w:t>quot</w:t>
      </w:r>
      <w:r w:rsidRPr="001228BE">
        <w:rPr>
          <w:spacing w:val="-1"/>
        </w:rPr>
        <w:t>e</w:t>
      </w:r>
      <w:r w:rsidRPr="001228BE">
        <w:t xml:space="preserve">d below are </w:t>
      </w:r>
      <w:r w:rsidRPr="001228BE">
        <w:rPr>
          <w:spacing w:val="-1"/>
        </w:rPr>
        <w:t>f</w:t>
      </w:r>
      <w:r w:rsidRPr="001228BE">
        <w:t>or</w:t>
      </w:r>
      <w:r w:rsidRPr="001228BE">
        <w:rPr>
          <w:spacing w:val="6"/>
        </w:rPr>
        <w:t xml:space="preserve"> </w:t>
      </w:r>
      <w:r w:rsidRPr="001228BE">
        <w:rPr>
          <w:spacing w:val="-1"/>
        </w:rPr>
        <w:t>“</w:t>
      </w:r>
      <w:r w:rsidRPr="001228BE">
        <w:t>p</w:t>
      </w:r>
      <w:r w:rsidRPr="001228BE">
        <w:rPr>
          <w:spacing w:val="-1"/>
        </w:rPr>
        <w:t>r</w:t>
      </w:r>
      <w:r w:rsidRPr="001228BE">
        <w:t>int</w:t>
      </w:r>
      <w:r w:rsidRPr="001228BE">
        <w:rPr>
          <w:spacing w:val="7"/>
        </w:rPr>
        <w:t xml:space="preserve"> </w:t>
      </w:r>
      <w:r w:rsidRPr="001228BE">
        <w:rPr>
          <w:spacing w:val="-1"/>
        </w:rPr>
        <w:t>rea</w:t>
      </w:r>
      <w:r w:rsidRPr="001228BE">
        <w:rPr>
          <w:spacing w:val="4"/>
        </w:rPr>
        <w:t>d</w:t>
      </w:r>
      <w:r w:rsidRPr="001228BE">
        <w:rPr>
          <w:spacing w:val="-5"/>
        </w:rPr>
        <w:t>y</w:t>
      </w:r>
      <w:r w:rsidRPr="001228BE">
        <w:rPr>
          <w:spacing w:val="1"/>
        </w:rPr>
        <w:t>” work</w:t>
      </w:r>
      <w:r w:rsidRPr="001228BE">
        <w:t>.</w:t>
      </w:r>
      <w:r w:rsidRPr="001228BE">
        <w:rPr>
          <w:spacing w:val="14"/>
        </w:rPr>
        <w:t xml:space="preserve"> </w:t>
      </w:r>
      <w:r w:rsidRPr="001228BE">
        <w:t>Custom</w:t>
      </w:r>
      <w:r w:rsidRPr="001228BE">
        <w:rPr>
          <w:spacing w:val="7"/>
        </w:rPr>
        <w:t xml:space="preserve"> </w:t>
      </w:r>
      <w:r w:rsidRPr="001228BE">
        <w:t>o</w:t>
      </w:r>
      <w:r w:rsidRPr="001228BE">
        <w:rPr>
          <w:spacing w:val="-1"/>
        </w:rPr>
        <w:t>r</w:t>
      </w:r>
      <w:r w:rsidRPr="001228BE">
        <w:t>d</w:t>
      </w:r>
      <w:r w:rsidRPr="001228BE">
        <w:rPr>
          <w:spacing w:val="-1"/>
        </w:rPr>
        <w:t>er</w:t>
      </w:r>
      <w:r w:rsidRPr="001228BE">
        <w:t>s,</w:t>
      </w:r>
      <w:r w:rsidRPr="001228BE">
        <w:rPr>
          <w:spacing w:val="7"/>
        </w:rPr>
        <w:t xml:space="preserve"> </w:t>
      </w:r>
      <w:r w:rsidRPr="001228BE">
        <w:t>v</w:t>
      </w:r>
      <w:r w:rsidRPr="001228BE">
        <w:rPr>
          <w:spacing w:val="-1"/>
        </w:rPr>
        <w:t>ar</w:t>
      </w:r>
      <w:r w:rsidRPr="001228BE">
        <w:t>i</w:t>
      </w:r>
      <w:r w:rsidRPr="001228BE">
        <w:rPr>
          <w:spacing w:val="-1"/>
        </w:rPr>
        <w:t>a</w:t>
      </w:r>
      <w:r w:rsidRPr="001228BE">
        <w:t>ble</w:t>
      </w:r>
      <w:r w:rsidRPr="001228BE">
        <w:rPr>
          <w:spacing w:val="6"/>
        </w:rPr>
        <w:t xml:space="preserve"> </w:t>
      </w:r>
      <w:r w:rsidRPr="001228BE">
        <w:t>d</w:t>
      </w:r>
      <w:r w:rsidRPr="001228BE">
        <w:rPr>
          <w:spacing w:val="1"/>
        </w:rPr>
        <w:t>a</w:t>
      </w:r>
      <w:r w:rsidRPr="001228BE">
        <w:t>t</w:t>
      </w:r>
      <w:r w:rsidRPr="001228BE">
        <w:rPr>
          <w:spacing w:val="-1"/>
        </w:rPr>
        <w:t>a</w:t>
      </w:r>
      <w:r w:rsidRPr="001228BE">
        <w:t>,</w:t>
      </w:r>
      <w:r w:rsidRPr="001228BE">
        <w:rPr>
          <w:spacing w:val="7"/>
        </w:rPr>
        <w:t xml:space="preserve"> </w:t>
      </w:r>
      <w:r w:rsidRPr="001228BE">
        <w:rPr>
          <w:spacing w:val="-1"/>
        </w:rPr>
        <w:t>f</w:t>
      </w:r>
      <w:r w:rsidRPr="001228BE">
        <w:t>ile</w:t>
      </w:r>
      <w:r w:rsidRPr="001228BE">
        <w:rPr>
          <w:spacing w:val="6"/>
        </w:rPr>
        <w:t xml:space="preserve"> </w:t>
      </w:r>
      <w:r w:rsidRPr="001228BE">
        <w:rPr>
          <w:spacing w:val="-1"/>
        </w:rPr>
        <w:t>w</w:t>
      </w:r>
      <w:r w:rsidRPr="001228BE">
        <w:t>o</w:t>
      </w:r>
      <w:r w:rsidRPr="001228BE">
        <w:rPr>
          <w:spacing w:val="-1"/>
        </w:rPr>
        <w:t>r</w:t>
      </w:r>
      <w:r w:rsidRPr="001228BE">
        <w:t>k,</w:t>
      </w:r>
      <w:r w:rsidRPr="001228BE">
        <w:rPr>
          <w:spacing w:val="7"/>
        </w:rPr>
        <w:t xml:space="preserve"> </w:t>
      </w:r>
      <w:r w:rsidRPr="001228BE">
        <w:rPr>
          <w:spacing w:val="-1"/>
        </w:rPr>
        <w:t>c</w:t>
      </w:r>
      <w:r w:rsidRPr="001228BE">
        <w:t>onv</w:t>
      </w:r>
      <w:r w:rsidRPr="001228BE">
        <w:rPr>
          <w:spacing w:val="-1"/>
        </w:rPr>
        <w:t>er</w:t>
      </w:r>
      <w:r w:rsidRPr="001228BE">
        <w:t>si</w:t>
      </w:r>
      <w:r w:rsidRPr="001228BE">
        <w:rPr>
          <w:spacing w:val="2"/>
        </w:rPr>
        <w:t>o</w:t>
      </w:r>
      <w:r w:rsidRPr="001228BE">
        <w:t>n,</w:t>
      </w:r>
      <w:r w:rsidRPr="001228BE">
        <w:rPr>
          <w:spacing w:val="7"/>
        </w:rPr>
        <w:t xml:space="preserve"> </w:t>
      </w:r>
      <w:r w:rsidRPr="001228BE">
        <w:t>p</w:t>
      </w:r>
      <w:r w:rsidRPr="001228BE">
        <w:rPr>
          <w:spacing w:val="-1"/>
        </w:rPr>
        <w:t>ref</w:t>
      </w:r>
      <w:r w:rsidRPr="001228BE">
        <w:t>li</w:t>
      </w:r>
      <w:r w:rsidRPr="001228BE">
        <w:rPr>
          <w:spacing w:val="-3"/>
        </w:rPr>
        <w:t>g</w:t>
      </w:r>
      <w:r w:rsidRPr="001228BE">
        <w:t>ht</w:t>
      </w:r>
      <w:r w:rsidRPr="001228BE">
        <w:rPr>
          <w:spacing w:val="7"/>
        </w:rPr>
        <w:t xml:space="preserve"> </w:t>
      </w:r>
      <w:r w:rsidRPr="001228BE">
        <w:rPr>
          <w:spacing w:val="-1"/>
        </w:rPr>
        <w:t>re</w:t>
      </w:r>
      <w:r w:rsidRPr="001228BE">
        <w:t>v</w:t>
      </w:r>
      <w:r w:rsidRPr="001228BE">
        <w:rPr>
          <w:spacing w:val="2"/>
        </w:rPr>
        <w:t>i</w:t>
      </w:r>
      <w:r w:rsidRPr="001228BE">
        <w:rPr>
          <w:spacing w:val="-1"/>
        </w:rPr>
        <w:t>e</w:t>
      </w:r>
      <w:r w:rsidRPr="001228BE">
        <w:t>w,</w:t>
      </w:r>
      <w:r w:rsidRPr="001228BE">
        <w:rPr>
          <w:spacing w:val="6"/>
        </w:rPr>
        <w:t xml:space="preserve"> </w:t>
      </w:r>
      <w:r w:rsidRPr="001228BE">
        <w:rPr>
          <w:spacing w:val="-1"/>
        </w:rPr>
        <w:t>a</w:t>
      </w:r>
      <w:r w:rsidRPr="001228BE">
        <w:t>nd</w:t>
      </w:r>
      <w:r w:rsidRPr="001228BE">
        <w:rPr>
          <w:spacing w:val="9"/>
        </w:rPr>
        <w:t xml:space="preserve"> </w:t>
      </w:r>
      <w:r w:rsidRPr="001228BE">
        <w:rPr>
          <w:spacing w:val="-1"/>
        </w:rPr>
        <w:t>f</w:t>
      </w:r>
      <w:r w:rsidRPr="001228BE">
        <w:t>ile s</w:t>
      </w:r>
      <w:r w:rsidRPr="001228BE">
        <w:rPr>
          <w:spacing w:val="-1"/>
        </w:rPr>
        <w:t>e</w:t>
      </w:r>
      <w:r w:rsidRPr="001228BE">
        <w:t>tup/</w:t>
      </w:r>
      <w:r w:rsidRPr="001228BE">
        <w:rPr>
          <w:spacing w:val="-1"/>
        </w:rPr>
        <w:t>c</w:t>
      </w:r>
      <w:r w:rsidRPr="001228BE">
        <w:t>o</w:t>
      </w:r>
      <w:r w:rsidRPr="001228BE">
        <w:rPr>
          <w:spacing w:val="-1"/>
        </w:rPr>
        <w:t>rr</w:t>
      </w:r>
      <w:r w:rsidRPr="001228BE">
        <w:rPr>
          <w:spacing w:val="1"/>
        </w:rPr>
        <w:t>e</w:t>
      </w:r>
      <w:r w:rsidRPr="001228BE">
        <w:rPr>
          <w:spacing w:val="-1"/>
        </w:rPr>
        <w:t>c</w:t>
      </w:r>
      <w:r w:rsidRPr="001228BE">
        <w:t>tion</w:t>
      </w:r>
      <w:r w:rsidRPr="001228BE">
        <w:rPr>
          <w:spacing w:val="31"/>
        </w:rPr>
        <w:t xml:space="preserve"> </w:t>
      </w:r>
      <w:r w:rsidRPr="001228BE">
        <w:rPr>
          <w:spacing w:val="-1"/>
        </w:rPr>
        <w:t>a</w:t>
      </w:r>
      <w:r w:rsidRPr="001228BE">
        <w:rPr>
          <w:spacing w:val="1"/>
        </w:rPr>
        <w:t>r</w:t>
      </w:r>
      <w:r w:rsidRPr="001228BE">
        <w:t>e</w:t>
      </w:r>
      <w:r w:rsidRPr="001228BE">
        <w:rPr>
          <w:spacing w:val="30"/>
        </w:rPr>
        <w:t xml:space="preserve"> </w:t>
      </w:r>
      <w:r w:rsidRPr="001228BE">
        <w:rPr>
          <w:spacing w:val="-1"/>
        </w:rPr>
        <w:t>c</w:t>
      </w:r>
      <w:r w:rsidRPr="001228BE">
        <w:rPr>
          <w:spacing w:val="2"/>
        </w:rPr>
        <w:t>h</w:t>
      </w:r>
      <w:r w:rsidRPr="001228BE">
        <w:rPr>
          <w:spacing w:val="-1"/>
        </w:rPr>
        <w:t>a</w:t>
      </w:r>
      <w:r w:rsidRPr="001228BE">
        <w:rPr>
          <w:spacing w:val="1"/>
        </w:rPr>
        <w:t>r</w:t>
      </w:r>
      <w:r w:rsidRPr="001228BE">
        <w:rPr>
          <w:spacing w:val="-3"/>
        </w:rPr>
        <w:t>g</w:t>
      </w:r>
      <w:r w:rsidRPr="001228BE">
        <w:rPr>
          <w:spacing w:val="-1"/>
        </w:rPr>
        <w:t>e</w:t>
      </w:r>
      <w:r w:rsidRPr="001228BE">
        <w:t>d</w:t>
      </w:r>
      <w:r w:rsidRPr="001228BE">
        <w:rPr>
          <w:spacing w:val="33"/>
        </w:rPr>
        <w:t xml:space="preserve"> </w:t>
      </w:r>
      <w:r w:rsidRPr="001228BE">
        <w:rPr>
          <w:spacing w:val="-1"/>
        </w:rPr>
        <w:t>a</w:t>
      </w:r>
      <w:r w:rsidRPr="001228BE">
        <w:t>n</w:t>
      </w:r>
      <w:r w:rsidRPr="001228BE">
        <w:rPr>
          <w:spacing w:val="33"/>
        </w:rPr>
        <w:t xml:space="preserve"> </w:t>
      </w:r>
      <w:r w:rsidRPr="001228BE">
        <w:rPr>
          <w:spacing w:val="-1"/>
        </w:rPr>
        <w:t>a</w:t>
      </w:r>
      <w:r w:rsidRPr="001228BE">
        <w:t>ddition</w:t>
      </w:r>
      <w:r w:rsidRPr="001228BE">
        <w:rPr>
          <w:spacing w:val="-1"/>
        </w:rPr>
        <w:t>a</w:t>
      </w:r>
      <w:r w:rsidRPr="001228BE">
        <w:t>l</w:t>
      </w:r>
      <w:r w:rsidRPr="001228BE">
        <w:rPr>
          <w:spacing w:val="31"/>
        </w:rPr>
        <w:t xml:space="preserve"> </w:t>
      </w:r>
      <w:r w:rsidRPr="001228BE">
        <w:rPr>
          <w:spacing w:val="-1"/>
        </w:rPr>
        <w:t>fee</w:t>
      </w:r>
      <w:r w:rsidRPr="001228BE">
        <w:t>.</w:t>
      </w:r>
      <w:r w:rsidRPr="001228BE">
        <w:rPr>
          <w:spacing w:val="36"/>
        </w:rPr>
        <w:t xml:space="preserve"> </w:t>
      </w:r>
      <w:r w:rsidRPr="001228BE">
        <w:rPr>
          <w:spacing w:val="-1"/>
        </w:rPr>
        <w:t>I</w:t>
      </w:r>
      <w:r w:rsidRPr="001228BE">
        <w:t>mp</w:t>
      </w:r>
      <w:r w:rsidRPr="001228BE">
        <w:rPr>
          <w:spacing w:val="-1"/>
        </w:rPr>
        <w:t>re</w:t>
      </w:r>
      <w:r w:rsidRPr="001228BE">
        <w:t>ssion</w:t>
      </w:r>
      <w:r w:rsidRPr="001228BE">
        <w:rPr>
          <w:spacing w:val="31"/>
        </w:rPr>
        <w:t xml:space="preserve"> </w:t>
      </w:r>
      <w:r w:rsidRPr="001228BE">
        <w:t>p</w:t>
      </w:r>
      <w:r w:rsidRPr="001228BE">
        <w:rPr>
          <w:spacing w:val="-1"/>
        </w:rPr>
        <w:t>r</w:t>
      </w:r>
      <w:r w:rsidRPr="001228BE">
        <w:t>i</w:t>
      </w:r>
      <w:r w:rsidRPr="001228BE">
        <w:rPr>
          <w:spacing w:val="-1"/>
        </w:rPr>
        <w:t>c</w:t>
      </w:r>
      <w:r w:rsidRPr="001228BE">
        <w:t>e</w:t>
      </w:r>
      <w:r w:rsidRPr="001228BE">
        <w:rPr>
          <w:spacing w:val="30"/>
        </w:rPr>
        <w:t xml:space="preserve"> </w:t>
      </w:r>
      <w:r w:rsidRPr="001228BE">
        <w:t>d</w:t>
      </w:r>
      <w:r w:rsidRPr="001228BE">
        <w:rPr>
          <w:spacing w:val="2"/>
        </w:rPr>
        <w:t>o</w:t>
      </w:r>
      <w:r w:rsidRPr="001228BE">
        <w:rPr>
          <w:spacing w:val="-1"/>
        </w:rPr>
        <w:t>e</w:t>
      </w:r>
      <w:r w:rsidRPr="001228BE">
        <w:t>s</w:t>
      </w:r>
      <w:r w:rsidRPr="001228BE">
        <w:rPr>
          <w:spacing w:val="31"/>
        </w:rPr>
        <w:t xml:space="preserve"> </w:t>
      </w:r>
      <w:r w:rsidRPr="001228BE">
        <w:t>n</w:t>
      </w:r>
      <w:r w:rsidRPr="001228BE">
        <w:rPr>
          <w:spacing w:val="2"/>
        </w:rPr>
        <w:t>o</w:t>
      </w:r>
      <w:r w:rsidRPr="001228BE">
        <w:t>t</w:t>
      </w:r>
      <w:r w:rsidRPr="001228BE">
        <w:rPr>
          <w:spacing w:val="31"/>
        </w:rPr>
        <w:t xml:space="preserve"> </w:t>
      </w:r>
      <w:r w:rsidRPr="001228BE">
        <w:t>in</w:t>
      </w:r>
      <w:r w:rsidRPr="001228BE">
        <w:rPr>
          <w:spacing w:val="-1"/>
        </w:rPr>
        <w:t>c</w:t>
      </w:r>
      <w:r w:rsidRPr="001228BE">
        <w:t>lude</w:t>
      </w:r>
      <w:r w:rsidRPr="001228BE">
        <w:rPr>
          <w:spacing w:val="30"/>
        </w:rPr>
        <w:t xml:space="preserve"> </w:t>
      </w:r>
      <w:r w:rsidRPr="001228BE">
        <w:t>p</w:t>
      </w:r>
      <w:r w:rsidRPr="001228BE">
        <w:rPr>
          <w:spacing w:val="-1"/>
        </w:rPr>
        <w:t>a</w:t>
      </w:r>
      <w:r w:rsidRPr="001228BE">
        <w:t>p</w:t>
      </w:r>
      <w:r w:rsidRPr="001228BE">
        <w:rPr>
          <w:spacing w:val="1"/>
        </w:rPr>
        <w:t>e</w:t>
      </w:r>
      <w:r w:rsidRPr="001228BE">
        <w:t>r</w:t>
      </w:r>
      <w:r w:rsidRPr="001228BE">
        <w:rPr>
          <w:spacing w:val="30"/>
        </w:rPr>
        <w:t xml:space="preserve"> </w:t>
      </w:r>
      <w:r w:rsidRPr="001228BE">
        <w:t>sto</w:t>
      </w:r>
      <w:r w:rsidRPr="001228BE">
        <w:rPr>
          <w:spacing w:val="-1"/>
        </w:rPr>
        <w:t>c</w:t>
      </w:r>
      <w:r w:rsidRPr="001228BE">
        <w:t>k.</w:t>
      </w:r>
      <w:r w:rsidRPr="001228BE">
        <w:rPr>
          <w:spacing w:val="4"/>
        </w:rPr>
        <w:t xml:space="preserve"> </w:t>
      </w:r>
      <w:r w:rsidRPr="001228BE">
        <w:rPr>
          <w:spacing w:val="-3"/>
        </w:rPr>
        <w:t>L</w:t>
      </w:r>
      <w:r w:rsidRPr="001228BE">
        <w:rPr>
          <w:spacing w:val="1"/>
        </w:rPr>
        <w:t>ar</w:t>
      </w:r>
      <w:r w:rsidRPr="001228BE">
        <w:rPr>
          <w:spacing w:val="-3"/>
        </w:rPr>
        <w:t>g</w:t>
      </w:r>
      <w:r w:rsidRPr="001228BE">
        <w:t>e volume</w:t>
      </w:r>
      <w:r w:rsidRPr="001228BE">
        <w:rPr>
          <w:spacing w:val="-1"/>
        </w:rPr>
        <w:t xml:space="preserve"> </w:t>
      </w:r>
      <w:r w:rsidRPr="001228BE">
        <w:t>p</w:t>
      </w:r>
      <w:r w:rsidRPr="001228BE">
        <w:rPr>
          <w:spacing w:val="-1"/>
        </w:rPr>
        <w:t>r</w:t>
      </w:r>
      <w:r w:rsidRPr="001228BE">
        <w:t>int</w:t>
      </w:r>
      <w:r>
        <w:t xml:space="preserve"> and</w:t>
      </w:r>
      <w:r w:rsidRPr="001228BE">
        <w:t xml:space="preserve"> bind</w:t>
      </w:r>
      <w:r w:rsidRPr="001228BE">
        <w:rPr>
          <w:spacing w:val="-1"/>
        </w:rPr>
        <w:t>e</w:t>
      </w:r>
      <w:r w:rsidRPr="001228BE">
        <w:rPr>
          <w:spacing w:val="4"/>
        </w:rPr>
        <w:t>r</w:t>
      </w:r>
      <w:r w:rsidRPr="001228BE">
        <w:t>y</w:t>
      </w:r>
      <w:r w:rsidRPr="001228BE">
        <w:rPr>
          <w:spacing w:val="-3"/>
        </w:rPr>
        <w:t xml:space="preserve"> </w:t>
      </w:r>
      <w:r w:rsidRPr="001228BE">
        <w:t>o</w:t>
      </w:r>
      <w:r w:rsidRPr="001228BE">
        <w:rPr>
          <w:spacing w:val="-1"/>
        </w:rPr>
        <w:t>r</w:t>
      </w:r>
      <w:r w:rsidRPr="001228BE">
        <w:t>d</w:t>
      </w:r>
      <w:r w:rsidRPr="001228BE">
        <w:rPr>
          <w:spacing w:val="-1"/>
        </w:rPr>
        <w:t>er</w:t>
      </w:r>
      <w:r w:rsidRPr="001228BE">
        <w:t xml:space="preserve">s </w:t>
      </w:r>
      <w:r w:rsidRPr="001228BE">
        <w:rPr>
          <w:spacing w:val="1"/>
        </w:rPr>
        <w:t>a</w:t>
      </w:r>
      <w:r w:rsidRPr="001228BE">
        <w:rPr>
          <w:spacing w:val="-1"/>
        </w:rPr>
        <w:t>r</w:t>
      </w:r>
      <w:r w:rsidRPr="001228BE">
        <w:t>e</w:t>
      </w:r>
      <w:r w:rsidRPr="001228BE">
        <w:rPr>
          <w:spacing w:val="-1"/>
        </w:rPr>
        <w:t xml:space="preserve"> a</w:t>
      </w:r>
      <w:r w:rsidRPr="001228BE">
        <w:t>s quo</w:t>
      </w:r>
      <w:r w:rsidRPr="001228BE">
        <w:rPr>
          <w:spacing w:val="2"/>
        </w:rPr>
        <w:t>t</w:t>
      </w:r>
      <w:r w:rsidRPr="001228BE">
        <w:rPr>
          <w:spacing w:val="-1"/>
        </w:rPr>
        <w:t>e</w:t>
      </w:r>
      <w:r w:rsidRPr="001228BE">
        <w:t>d.</w:t>
      </w:r>
    </w:p>
    <w:p w14:paraId="36469C49" w14:textId="77777777" w:rsidR="00F80E94" w:rsidRPr="00332D6B" w:rsidRDefault="00F80E94" w:rsidP="00E51337">
      <w:pPr>
        <w:rPr>
          <w:szCs w:val="24"/>
        </w:rPr>
      </w:pPr>
      <w:r w:rsidRPr="00332D6B">
        <w:rPr>
          <w:rStyle w:val="normaltextrun"/>
          <w:b/>
          <w:bCs/>
          <w:szCs w:val="24"/>
        </w:rPr>
        <w:t>Managed Print Services (MPS</w:t>
      </w:r>
      <w:r w:rsidRPr="00332D6B">
        <w:rPr>
          <w:rStyle w:val="normaltextrun"/>
          <w:szCs w:val="24"/>
        </w:rPr>
        <w:t xml:space="preserve">): This fee recovers the administrative cost of procurement, placement, and monitoring of Multi-Function Printers (MFP). Monitoring includes: </w:t>
      </w:r>
    </w:p>
    <w:p w14:paraId="4DE67130" w14:textId="77777777" w:rsidR="00F80E94" w:rsidRPr="00E51337" w:rsidRDefault="00F80E94" w:rsidP="00F25900">
      <w:pPr>
        <w:pStyle w:val="ListParagraph"/>
        <w:numPr>
          <w:ilvl w:val="0"/>
          <w:numId w:val="41"/>
        </w:numPr>
        <w:rPr>
          <w:rStyle w:val="normaltextrun"/>
          <w:szCs w:val="24"/>
        </w:rPr>
      </w:pPr>
      <w:r w:rsidRPr="00E51337">
        <w:rPr>
          <w:rStyle w:val="normaltextrun"/>
          <w:szCs w:val="24"/>
        </w:rPr>
        <w:t>Assuring adherence to established Service Level Agreements.</w:t>
      </w:r>
    </w:p>
    <w:p w14:paraId="1C912205" w14:textId="77777777" w:rsidR="00F80E94" w:rsidRPr="00E51337" w:rsidRDefault="00F80E94" w:rsidP="00F25900">
      <w:pPr>
        <w:pStyle w:val="ListParagraph"/>
        <w:numPr>
          <w:ilvl w:val="0"/>
          <w:numId w:val="41"/>
        </w:numPr>
        <w:rPr>
          <w:rStyle w:val="eop"/>
          <w:szCs w:val="24"/>
        </w:rPr>
      </w:pPr>
      <w:r w:rsidRPr="00E51337">
        <w:rPr>
          <w:rStyle w:val="normaltextrun"/>
          <w:szCs w:val="24"/>
        </w:rPr>
        <w:t>Monitoring under- and over-utilized devices to establish the number and placement of devices</w:t>
      </w:r>
      <w:r w:rsidRPr="00E51337">
        <w:rPr>
          <w:rStyle w:val="eop"/>
          <w:szCs w:val="24"/>
        </w:rPr>
        <w:t>.</w:t>
      </w:r>
    </w:p>
    <w:p w14:paraId="06D2DCA8" w14:textId="77777777" w:rsidR="00F80E94" w:rsidRPr="00E51337" w:rsidRDefault="00F80E94" w:rsidP="00F25900">
      <w:pPr>
        <w:pStyle w:val="ListParagraph"/>
        <w:numPr>
          <w:ilvl w:val="0"/>
          <w:numId w:val="41"/>
        </w:numPr>
        <w:rPr>
          <w:szCs w:val="24"/>
        </w:rPr>
      </w:pPr>
      <w:r w:rsidRPr="00E51337">
        <w:rPr>
          <w:rStyle w:val="normaltextrun"/>
          <w:szCs w:val="24"/>
        </w:rPr>
        <w:t>Establishing “green reports” for the statewide Sustainability Office</w:t>
      </w:r>
      <w:r w:rsidRPr="00E51337">
        <w:rPr>
          <w:rStyle w:val="eop"/>
          <w:szCs w:val="24"/>
        </w:rPr>
        <w:t>.</w:t>
      </w:r>
    </w:p>
    <w:p w14:paraId="6267CD68" w14:textId="77777777" w:rsidR="00F80E94" w:rsidRDefault="00F80E94" w:rsidP="00E51337">
      <w:pPr>
        <w:rPr>
          <w:rStyle w:val="normaltextrun"/>
          <w:szCs w:val="24"/>
        </w:rPr>
      </w:pPr>
      <w:r w:rsidRPr="00332D6B">
        <w:rPr>
          <w:rStyle w:val="normaltextrun"/>
          <w:szCs w:val="24"/>
        </w:rPr>
        <w:t xml:space="preserve">Researching an agency’s initial and ongoing on-site printing needs to achieve the best possible solution and MFP placement as the needs of the agency changes. </w:t>
      </w:r>
    </w:p>
    <w:p w14:paraId="77A33DC1" w14:textId="77777777" w:rsidR="00332D6B" w:rsidRPr="00332D6B" w:rsidRDefault="00332D6B" w:rsidP="00F80E94">
      <w:pPr>
        <w:spacing w:after="0"/>
        <w:ind w:right="18"/>
        <w:rPr>
          <w:szCs w:val="24"/>
        </w:rPr>
      </w:pPr>
    </w:p>
    <w:tbl>
      <w:tblPr>
        <w:tblW w:w="9557" w:type="dxa"/>
        <w:jc w:val="center"/>
        <w:tblLayout w:type="fixed"/>
        <w:tblCellMar>
          <w:left w:w="0" w:type="dxa"/>
          <w:right w:w="0" w:type="dxa"/>
        </w:tblCellMar>
        <w:tblLook w:val="0020" w:firstRow="1" w:lastRow="0" w:firstColumn="0" w:lastColumn="0" w:noHBand="0" w:noVBand="0"/>
      </w:tblPr>
      <w:tblGrid>
        <w:gridCol w:w="4680"/>
        <w:gridCol w:w="1800"/>
        <w:gridCol w:w="1080"/>
        <w:gridCol w:w="1997"/>
      </w:tblGrid>
      <w:tr w:rsidR="00F80E94" w:rsidRPr="006818B4" w14:paraId="3AA2A2CC" w14:textId="77777777" w:rsidTr="00306CF3">
        <w:trPr>
          <w:trHeight w:hRule="exact" w:val="662"/>
          <w:tblHeader/>
          <w:jc w:val="center"/>
        </w:trPr>
        <w:tc>
          <w:tcPr>
            <w:tcW w:w="4680"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vAlign w:val="bottom"/>
          </w:tcPr>
          <w:p w14:paraId="433FE759" w14:textId="77777777" w:rsidR="00F80E94" w:rsidRPr="00332D6B" w:rsidRDefault="00F80E94" w:rsidP="00306CF3">
            <w:pPr>
              <w:ind w:right="18"/>
              <w:jc w:val="center"/>
            </w:pPr>
            <w:r w:rsidRPr="00332D6B">
              <w:rPr>
                <w:b/>
                <w:bCs/>
              </w:rPr>
              <w:lastRenderedPageBreak/>
              <w:t>Description of Service</w:t>
            </w:r>
          </w:p>
        </w:tc>
        <w:tc>
          <w:tcPr>
            <w:tcW w:w="1800"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vAlign w:val="bottom"/>
          </w:tcPr>
          <w:p w14:paraId="059B0FA3" w14:textId="77777777" w:rsidR="00F80E94" w:rsidRPr="00332D6B" w:rsidRDefault="00F80E94" w:rsidP="00306CF3">
            <w:pPr>
              <w:ind w:right="18"/>
              <w:jc w:val="center"/>
            </w:pPr>
            <w:r w:rsidRPr="00332D6B">
              <w:rPr>
                <w:b/>
                <w:bCs/>
              </w:rPr>
              <w:t>Quantity</w:t>
            </w:r>
          </w:p>
        </w:tc>
        <w:tc>
          <w:tcPr>
            <w:tcW w:w="1080"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vAlign w:val="bottom"/>
          </w:tcPr>
          <w:p w14:paraId="28B38C93" w14:textId="77777777" w:rsidR="00F80E94" w:rsidRPr="00332D6B" w:rsidRDefault="00F80E94" w:rsidP="00306CF3">
            <w:pPr>
              <w:pStyle w:val="NoSpacing"/>
              <w:ind w:right="18"/>
              <w:jc w:val="center"/>
              <w:rPr>
                <w:b/>
              </w:rPr>
            </w:pPr>
            <w:r w:rsidRPr="00332D6B">
              <w:rPr>
                <w:b/>
              </w:rPr>
              <w:t>2027-29</w:t>
            </w:r>
          </w:p>
          <w:p w14:paraId="0B24AB43" w14:textId="77777777" w:rsidR="00F80E94" w:rsidRPr="00332D6B" w:rsidRDefault="00F80E94" w:rsidP="00306CF3">
            <w:pPr>
              <w:ind w:right="18"/>
              <w:jc w:val="center"/>
            </w:pPr>
            <w:r w:rsidRPr="00332D6B">
              <w:rPr>
                <w:b/>
              </w:rPr>
              <w:t>Rate</w:t>
            </w:r>
          </w:p>
        </w:tc>
        <w:tc>
          <w:tcPr>
            <w:tcW w:w="1997"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vAlign w:val="bottom"/>
          </w:tcPr>
          <w:p w14:paraId="18CAE43C" w14:textId="77777777" w:rsidR="00F80E94" w:rsidRPr="00332D6B" w:rsidRDefault="00F80E94" w:rsidP="00306CF3">
            <w:pPr>
              <w:ind w:right="18"/>
              <w:jc w:val="center"/>
            </w:pPr>
            <w:r w:rsidRPr="00332D6B">
              <w:rPr>
                <w:b/>
                <w:bCs/>
              </w:rPr>
              <w:t>Unit</w:t>
            </w:r>
          </w:p>
        </w:tc>
      </w:tr>
      <w:tr w:rsidR="00F80E94" w:rsidRPr="0005389B" w14:paraId="48A7B7F2" w14:textId="77777777" w:rsidTr="00306CF3">
        <w:trPr>
          <w:trHeight w:hRule="exact" w:val="300"/>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2D27" w14:textId="77777777" w:rsidR="00F80E94" w:rsidRPr="00332D6B" w:rsidRDefault="00F80E94" w:rsidP="00306CF3">
            <w:pPr>
              <w:ind w:left="87" w:right="18"/>
            </w:pPr>
            <w:r w:rsidRPr="00332D6B">
              <w:t>Letter/Legal Size B&amp;W Digital Print (print ready)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6CD7C1" w14:textId="77777777" w:rsidR="00F80E94" w:rsidRPr="00332D6B" w:rsidRDefault="00F80E94" w:rsidP="00306CF3">
            <w:pPr>
              <w:ind w:right="18"/>
              <w:jc w:val="center"/>
            </w:pPr>
            <w:r w:rsidRPr="00332D6B">
              <w:t>1-10,000+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DF5DC" w14:textId="77777777" w:rsidR="00F80E94" w:rsidRPr="00332D6B" w:rsidRDefault="00F80E94" w:rsidP="00306CF3">
            <w:pPr>
              <w:ind w:right="88"/>
              <w:jc w:val="right"/>
            </w:pPr>
            <w:r w:rsidRPr="00332D6B">
              <w:t xml:space="preserve">$0.06 </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DBE3A" w14:textId="77777777" w:rsidR="00F80E94" w:rsidRPr="00332D6B" w:rsidRDefault="00F80E94" w:rsidP="00306CF3">
            <w:pPr>
              <w:ind w:right="18"/>
              <w:jc w:val="center"/>
            </w:pPr>
            <w:r w:rsidRPr="00332D6B">
              <w:t>Per impression</w:t>
            </w:r>
          </w:p>
        </w:tc>
      </w:tr>
      <w:tr w:rsidR="00F80E94" w:rsidRPr="0005389B" w14:paraId="2E6462F8" w14:textId="77777777" w:rsidTr="00306CF3">
        <w:trPr>
          <w:trHeight w:hRule="exact" w:val="298"/>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8A8F0" w14:textId="77777777" w:rsidR="00F80E94" w:rsidRPr="00332D6B" w:rsidRDefault="00F80E94" w:rsidP="00306CF3">
            <w:pPr>
              <w:ind w:left="87" w:right="18"/>
            </w:pPr>
            <w:r w:rsidRPr="00332D6B">
              <w:t>11x17 Size B&amp;W Digital Print (print ready)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85D9DA" w14:textId="77777777" w:rsidR="00F80E94" w:rsidRPr="00332D6B" w:rsidRDefault="00F80E94" w:rsidP="00306CF3">
            <w:pPr>
              <w:ind w:right="18"/>
              <w:jc w:val="center"/>
            </w:pPr>
            <w:r w:rsidRPr="00332D6B">
              <w:t>1-10,000+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351CB" w14:textId="77777777" w:rsidR="00F80E94" w:rsidRPr="00332D6B" w:rsidRDefault="00F80E94" w:rsidP="00306CF3">
            <w:pPr>
              <w:ind w:right="88"/>
              <w:jc w:val="right"/>
            </w:pPr>
            <w:r w:rsidRPr="00332D6B">
              <w:t>$0.13</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AB2B" w14:textId="77777777" w:rsidR="00F80E94" w:rsidRPr="00332D6B" w:rsidRDefault="00F80E94" w:rsidP="00306CF3">
            <w:pPr>
              <w:ind w:right="18"/>
              <w:jc w:val="center"/>
            </w:pPr>
            <w:r w:rsidRPr="00332D6B">
              <w:t>Per impression</w:t>
            </w:r>
          </w:p>
        </w:tc>
      </w:tr>
    </w:tbl>
    <w:p w14:paraId="5C358F78" w14:textId="77777777" w:rsidR="00F80E94" w:rsidRPr="006818B4" w:rsidRDefault="00F80E94" w:rsidP="00F80E94"/>
    <w:tbl>
      <w:tblPr>
        <w:tblW w:w="9557" w:type="dxa"/>
        <w:jc w:val="center"/>
        <w:tblLayout w:type="fixed"/>
        <w:tblCellMar>
          <w:left w:w="0" w:type="dxa"/>
          <w:right w:w="0" w:type="dxa"/>
        </w:tblCellMar>
        <w:tblLook w:val="0020" w:firstRow="1" w:lastRow="0" w:firstColumn="0" w:lastColumn="0" w:noHBand="0" w:noVBand="0"/>
      </w:tblPr>
      <w:tblGrid>
        <w:gridCol w:w="4680"/>
        <w:gridCol w:w="1800"/>
        <w:gridCol w:w="1245"/>
        <w:gridCol w:w="1832"/>
      </w:tblGrid>
      <w:tr w:rsidR="00F80E94" w:rsidRPr="006818B4" w14:paraId="73E7C6C6" w14:textId="77777777" w:rsidTr="00306CF3">
        <w:trPr>
          <w:trHeight w:hRule="exact" w:val="662"/>
          <w:tblHeader/>
          <w:jc w:val="center"/>
        </w:trPr>
        <w:tc>
          <w:tcPr>
            <w:tcW w:w="4680"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vAlign w:val="bottom"/>
          </w:tcPr>
          <w:p w14:paraId="0DCDE476" w14:textId="77777777" w:rsidR="00F80E94" w:rsidRPr="00332D6B" w:rsidRDefault="00F80E94" w:rsidP="00306CF3">
            <w:pPr>
              <w:ind w:right="18"/>
              <w:jc w:val="center"/>
              <w:rPr>
                <w:szCs w:val="24"/>
              </w:rPr>
            </w:pPr>
            <w:r w:rsidRPr="00332D6B">
              <w:rPr>
                <w:b/>
                <w:bCs/>
                <w:szCs w:val="24"/>
              </w:rPr>
              <w:t>Description of Service</w:t>
            </w:r>
          </w:p>
        </w:tc>
        <w:tc>
          <w:tcPr>
            <w:tcW w:w="1800"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vAlign w:val="bottom"/>
          </w:tcPr>
          <w:p w14:paraId="2EC22BA1" w14:textId="77777777" w:rsidR="00F80E94" w:rsidRPr="00332D6B" w:rsidRDefault="00F80E94" w:rsidP="00306CF3">
            <w:pPr>
              <w:ind w:right="18"/>
              <w:jc w:val="center"/>
              <w:rPr>
                <w:szCs w:val="24"/>
              </w:rPr>
            </w:pPr>
            <w:r w:rsidRPr="00332D6B">
              <w:rPr>
                <w:b/>
                <w:bCs/>
                <w:szCs w:val="24"/>
              </w:rPr>
              <w:t>Quantity</w:t>
            </w:r>
          </w:p>
        </w:tc>
        <w:tc>
          <w:tcPr>
            <w:tcW w:w="1245"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vAlign w:val="bottom"/>
          </w:tcPr>
          <w:p w14:paraId="6A109222" w14:textId="77777777" w:rsidR="00F80E94" w:rsidRPr="00332D6B" w:rsidRDefault="00F80E94" w:rsidP="00306CF3">
            <w:pPr>
              <w:pStyle w:val="NoSpacing"/>
              <w:ind w:right="18"/>
              <w:jc w:val="center"/>
              <w:rPr>
                <w:b/>
                <w:szCs w:val="24"/>
              </w:rPr>
            </w:pPr>
            <w:r w:rsidRPr="00332D6B">
              <w:rPr>
                <w:b/>
                <w:szCs w:val="24"/>
              </w:rPr>
              <w:t>2027-29</w:t>
            </w:r>
          </w:p>
          <w:p w14:paraId="18C3099B" w14:textId="77777777" w:rsidR="00F80E94" w:rsidRPr="00332D6B" w:rsidRDefault="00F80E94" w:rsidP="00306CF3">
            <w:pPr>
              <w:ind w:right="18"/>
              <w:jc w:val="center"/>
              <w:rPr>
                <w:szCs w:val="24"/>
              </w:rPr>
            </w:pPr>
            <w:r w:rsidRPr="00332D6B">
              <w:rPr>
                <w:b/>
                <w:szCs w:val="24"/>
              </w:rPr>
              <w:t>Rate</w:t>
            </w:r>
          </w:p>
        </w:tc>
        <w:tc>
          <w:tcPr>
            <w:tcW w:w="183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vAlign w:val="bottom"/>
          </w:tcPr>
          <w:p w14:paraId="0D543E54" w14:textId="77777777" w:rsidR="00F80E94" w:rsidRPr="00332D6B" w:rsidRDefault="00F80E94" w:rsidP="00306CF3">
            <w:pPr>
              <w:ind w:right="18"/>
              <w:jc w:val="center"/>
              <w:rPr>
                <w:szCs w:val="24"/>
              </w:rPr>
            </w:pPr>
            <w:r w:rsidRPr="00332D6B">
              <w:rPr>
                <w:b/>
                <w:bCs/>
                <w:szCs w:val="24"/>
              </w:rPr>
              <w:t>Unit</w:t>
            </w:r>
          </w:p>
        </w:tc>
      </w:tr>
      <w:tr w:rsidR="00F80E94" w:rsidRPr="006818B4" w14:paraId="7E8435EF" w14:textId="77777777" w:rsidTr="00306CF3">
        <w:tblPrEx>
          <w:tblLook w:val="0000" w:firstRow="0" w:lastRow="0" w:firstColumn="0" w:lastColumn="0" w:noHBand="0" w:noVBand="0"/>
        </w:tblPrEx>
        <w:trPr>
          <w:trHeight w:hRule="exact" w:val="298"/>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184DB" w14:textId="77777777" w:rsidR="00F80E94" w:rsidRPr="00332D6B" w:rsidRDefault="00F80E94" w:rsidP="00306CF3">
            <w:pPr>
              <w:ind w:left="87" w:right="18"/>
              <w:rPr>
                <w:szCs w:val="24"/>
              </w:rPr>
            </w:pPr>
            <w:r w:rsidRPr="00332D6B">
              <w:rPr>
                <w:szCs w:val="24"/>
              </w:rPr>
              <w:t>Letter/Legal Size Color (print ready)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1280D4" w14:textId="77777777" w:rsidR="00F80E94" w:rsidRPr="00332D6B" w:rsidRDefault="00F80E94" w:rsidP="00306CF3">
            <w:pPr>
              <w:ind w:right="18"/>
              <w:jc w:val="center"/>
              <w:rPr>
                <w:szCs w:val="24"/>
              </w:rPr>
            </w:pPr>
            <w:r w:rsidRPr="00332D6B">
              <w:rPr>
                <w:szCs w:val="24"/>
              </w:rPr>
              <w:t>1-2,001+</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5127D" w14:textId="77777777" w:rsidR="00F80E94" w:rsidRPr="00332D6B" w:rsidRDefault="00F80E94" w:rsidP="00306CF3">
            <w:pPr>
              <w:ind w:right="88"/>
              <w:jc w:val="right"/>
              <w:rPr>
                <w:szCs w:val="24"/>
              </w:rPr>
            </w:pPr>
            <w:r w:rsidRPr="00332D6B">
              <w:rPr>
                <w:szCs w:val="24"/>
              </w:rPr>
              <w:t>$0.09</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33E93" w14:textId="77777777" w:rsidR="00F80E94" w:rsidRPr="00332D6B" w:rsidRDefault="00F80E94" w:rsidP="00306CF3">
            <w:pPr>
              <w:ind w:right="18"/>
              <w:jc w:val="center"/>
              <w:rPr>
                <w:szCs w:val="24"/>
              </w:rPr>
            </w:pPr>
            <w:r w:rsidRPr="00332D6B">
              <w:rPr>
                <w:szCs w:val="24"/>
              </w:rPr>
              <w:t>Per impression</w:t>
            </w:r>
          </w:p>
        </w:tc>
      </w:tr>
      <w:tr w:rsidR="00F80E94" w:rsidRPr="006818B4" w14:paraId="0D0D18F8" w14:textId="77777777" w:rsidTr="00306CF3">
        <w:tblPrEx>
          <w:tblLook w:val="0000" w:firstRow="0" w:lastRow="0" w:firstColumn="0" w:lastColumn="0" w:noHBand="0" w:noVBand="0"/>
        </w:tblPrEx>
        <w:trPr>
          <w:trHeight w:hRule="exact" w:val="298"/>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61C4B" w14:textId="77777777" w:rsidR="00F80E94" w:rsidRPr="00332D6B" w:rsidRDefault="00F80E94" w:rsidP="00306CF3">
            <w:pPr>
              <w:ind w:left="102" w:right="18"/>
              <w:rPr>
                <w:szCs w:val="24"/>
              </w:rPr>
            </w:pPr>
            <w:r w:rsidRPr="00332D6B">
              <w:rPr>
                <w:szCs w:val="24"/>
              </w:rPr>
              <w:t>11x17 Size Color (print ready)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367F" w14:textId="77777777" w:rsidR="00F80E94" w:rsidRPr="00332D6B" w:rsidRDefault="00F80E94" w:rsidP="00306CF3">
            <w:pPr>
              <w:pStyle w:val="TableParagraph"/>
              <w:kinsoku w:val="0"/>
              <w:overflowPunct w:val="0"/>
              <w:spacing w:line="274" w:lineRule="exact"/>
              <w:ind w:left="145" w:right="18"/>
              <w:jc w:val="center"/>
              <w:rPr>
                <w:rFonts w:asciiTheme="minorHAnsi" w:hAnsiTheme="minorHAnsi"/>
              </w:rPr>
            </w:pPr>
            <w:r w:rsidRPr="00332D6B">
              <w:rPr>
                <w:rFonts w:asciiTheme="minorHAnsi" w:hAnsiTheme="minorHAnsi"/>
              </w:rPr>
              <w:t>1</w:t>
            </w:r>
            <w:r w:rsidRPr="00332D6B">
              <w:rPr>
                <w:rFonts w:asciiTheme="minorHAnsi" w:hAnsiTheme="minorHAnsi"/>
                <w:spacing w:val="-1"/>
              </w:rPr>
              <w:t>-2,</w:t>
            </w:r>
            <w:r w:rsidRPr="00332D6B">
              <w:rPr>
                <w:rFonts w:asciiTheme="minorHAnsi" w:hAnsiTheme="minorHAnsi"/>
              </w:rPr>
              <w:t>001+</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F8A64" w14:textId="77777777" w:rsidR="00F80E94" w:rsidRPr="00332D6B" w:rsidRDefault="00F80E94" w:rsidP="00306CF3">
            <w:pPr>
              <w:pStyle w:val="TableParagraph"/>
              <w:kinsoku w:val="0"/>
              <w:overflowPunct w:val="0"/>
              <w:spacing w:line="274" w:lineRule="exact"/>
              <w:ind w:left="127" w:right="88"/>
              <w:jc w:val="right"/>
              <w:rPr>
                <w:rFonts w:asciiTheme="minorHAnsi" w:hAnsiTheme="minorHAnsi"/>
              </w:rPr>
            </w:pPr>
            <w:r w:rsidRPr="00332D6B">
              <w:rPr>
                <w:rFonts w:asciiTheme="minorHAnsi" w:hAnsiTheme="minorHAnsi"/>
              </w:rPr>
              <w:t>$0.27</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CF983" w14:textId="77777777" w:rsidR="00F80E94" w:rsidRPr="00332D6B" w:rsidRDefault="00F80E94" w:rsidP="00306CF3">
            <w:pPr>
              <w:pStyle w:val="TableParagraph"/>
              <w:kinsoku w:val="0"/>
              <w:overflowPunct w:val="0"/>
              <w:spacing w:line="274" w:lineRule="exact"/>
              <w:ind w:left="102"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imp</w:t>
            </w:r>
            <w:r w:rsidRPr="00332D6B">
              <w:rPr>
                <w:rFonts w:asciiTheme="minorHAnsi" w:hAnsiTheme="minorHAnsi"/>
                <w:spacing w:val="-1"/>
              </w:rPr>
              <w:t>re</w:t>
            </w:r>
            <w:r w:rsidRPr="00332D6B">
              <w:rPr>
                <w:rFonts w:asciiTheme="minorHAnsi" w:hAnsiTheme="minorHAnsi"/>
              </w:rPr>
              <w:t>ssion</w:t>
            </w:r>
          </w:p>
        </w:tc>
      </w:tr>
      <w:tr w:rsidR="00F80E94" w:rsidRPr="006818B4" w14:paraId="4BC6B73A" w14:textId="77777777" w:rsidTr="00306CF3">
        <w:tblPrEx>
          <w:tblLook w:val="0000" w:firstRow="0" w:lastRow="0" w:firstColumn="0" w:lastColumn="0" w:noHBand="0" w:noVBand="0"/>
        </w:tblPrEx>
        <w:trPr>
          <w:trHeight w:hRule="exact" w:val="298"/>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397AB" w14:textId="77777777" w:rsidR="00F80E94" w:rsidRPr="00332D6B" w:rsidRDefault="00F80E94" w:rsidP="00306CF3">
            <w:pPr>
              <w:ind w:right="18"/>
              <w:rPr>
                <w:szCs w:val="24"/>
              </w:rPr>
            </w:pPr>
            <w:r w:rsidRPr="00332D6B">
              <w:rPr>
                <w:szCs w:val="24"/>
              </w:rPr>
              <w:t>Tracked, variable data printing (additional charge)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E5017" w14:textId="77777777" w:rsidR="00F80E94" w:rsidRPr="00332D6B" w:rsidRDefault="00F80E94" w:rsidP="00306CF3">
            <w:pPr>
              <w:pStyle w:val="TableParagraph"/>
              <w:kinsoku w:val="0"/>
              <w:overflowPunct w:val="0"/>
              <w:spacing w:line="274" w:lineRule="exact"/>
              <w:ind w:left="145" w:right="18"/>
              <w:jc w:val="center"/>
              <w:rPr>
                <w:rFonts w:asciiTheme="minorHAnsi" w:hAnsiTheme="minorHAnsi"/>
              </w:rPr>
            </w:pPr>
            <w:r w:rsidRPr="00332D6B">
              <w:rPr>
                <w:rFonts w:asciiTheme="minorHAnsi" w:hAnsiTheme="minorHAnsi"/>
              </w:rPr>
              <w:t>Unlimited</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35B71" w14:textId="77777777" w:rsidR="00F80E94" w:rsidRPr="00332D6B" w:rsidRDefault="00F80E94" w:rsidP="00306CF3">
            <w:pPr>
              <w:ind w:left="127" w:right="88"/>
              <w:jc w:val="right"/>
              <w:rPr>
                <w:szCs w:val="24"/>
              </w:rPr>
            </w:pPr>
            <w:r w:rsidRPr="00332D6B">
              <w:rPr>
                <w:szCs w:val="24"/>
              </w:rPr>
              <w:t xml:space="preserve">$0.028 </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FD22" w14:textId="77777777" w:rsidR="00F80E94" w:rsidRPr="00332D6B" w:rsidRDefault="00F80E94" w:rsidP="00306CF3">
            <w:pPr>
              <w:pStyle w:val="TableParagraph"/>
              <w:kinsoku w:val="0"/>
              <w:overflowPunct w:val="0"/>
              <w:spacing w:line="274" w:lineRule="exact"/>
              <w:ind w:left="102" w:right="18"/>
              <w:jc w:val="center"/>
              <w:rPr>
                <w:rFonts w:asciiTheme="minorHAnsi" w:hAnsiTheme="minorHAnsi"/>
                <w:spacing w:val="-1"/>
              </w:rPr>
            </w:pPr>
            <w:r w:rsidRPr="00332D6B">
              <w:rPr>
                <w:rFonts w:asciiTheme="minorHAnsi" w:hAnsiTheme="minorHAnsi"/>
                <w:spacing w:val="-1"/>
              </w:rPr>
              <w:t>Additional</w:t>
            </w:r>
          </w:p>
        </w:tc>
      </w:tr>
      <w:tr w:rsidR="00F80E94" w:rsidRPr="006818B4" w14:paraId="49E5D5C3" w14:textId="77777777" w:rsidTr="00306CF3">
        <w:tblPrEx>
          <w:tblLook w:val="0000" w:firstRow="0" w:lastRow="0" w:firstColumn="0" w:lastColumn="0" w:noHBand="0" w:noVBand="0"/>
        </w:tblPrEx>
        <w:trPr>
          <w:trHeight w:hRule="exact" w:val="289"/>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FF68D" w14:textId="77777777" w:rsidR="00F80E94" w:rsidRPr="00332D6B" w:rsidRDefault="00F80E94" w:rsidP="00306CF3">
            <w:pPr>
              <w:pStyle w:val="TableParagraph"/>
              <w:kinsoku w:val="0"/>
              <w:overflowPunct w:val="0"/>
              <w:spacing w:before="3"/>
              <w:ind w:right="18"/>
              <w:rPr>
                <w:rFonts w:asciiTheme="minorHAnsi" w:hAnsiTheme="minorHAnsi"/>
                <w:bCs/>
                <w:spacing w:val="-1"/>
              </w:rPr>
            </w:pPr>
            <w:r w:rsidRPr="00332D6B">
              <w:rPr>
                <w:rFonts w:asciiTheme="minorHAnsi" w:hAnsiTheme="minorHAnsi"/>
                <w:bCs/>
                <w:spacing w:val="-1"/>
              </w:rPr>
              <w:t>Secure/Tracked Printing (formerly mainframe) printing)</w:t>
            </w:r>
          </w:p>
          <w:p w14:paraId="5F5247D4" w14:textId="77777777" w:rsidR="00F80E94" w:rsidRPr="00332D6B" w:rsidRDefault="00F80E94" w:rsidP="00306CF3">
            <w:pPr>
              <w:pStyle w:val="TableParagraph"/>
              <w:kinsoku w:val="0"/>
              <w:overflowPunct w:val="0"/>
              <w:spacing w:before="3"/>
              <w:ind w:right="18"/>
              <w:rPr>
                <w:rFonts w:asciiTheme="minorHAnsi" w:hAnsiTheme="minorHAnsi"/>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A6A3A" w14:textId="77777777" w:rsidR="00F80E94" w:rsidRPr="00332D6B" w:rsidRDefault="00F80E94" w:rsidP="00306CF3">
            <w:pPr>
              <w:pStyle w:val="TableParagraph"/>
              <w:kinsoku w:val="0"/>
              <w:overflowPunct w:val="0"/>
              <w:spacing w:line="274" w:lineRule="exact"/>
              <w:ind w:left="145" w:right="18"/>
              <w:jc w:val="center"/>
              <w:rPr>
                <w:rFonts w:asciiTheme="minorHAnsi" w:hAnsiTheme="minorHAnsi"/>
              </w:rPr>
            </w:pPr>
            <w:r w:rsidRPr="00332D6B">
              <w:rPr>
                <w:rFonts w:asciiTheme="minorHAnsi" w:hAnsiTheme="minorHAnsi"/>
                <w:spacing w:val="-1"/>
              </w:rPr>
              <w:t>U</w:t>
            </w:r>
            <w:r w:rsidRPr="00332D6B">
              <w:rPr>
                <w:rFonts w:asciiTheme="minorHAnsi" w:hAnsiTheme="minorHAnsi"/>
              </w:rPr>
              <w:t>nlimit</w:t>
            </w:r>
            <w:r w:rsidRPr="00332D6B">
              <w:rPr>
                <w:rFonts w:asciiTheme="minorHAnsi" w:hAnsiTheme="minorHAnsi"/>
                <w:spacing w:val="-1"/>
              </w:rPr>
              <w:t>e</w:t>
            </w:r>
            <w:r w:rsidRPr="00332D6B">
              <w:rPr>
                <w:rFonts w:asciiTheme="minorHAnsi" w:hAnsiTheme="minorHAnsi"/>
              </w:rPr>
              <w:t>d</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A2796" w14:textId="77777777" w:rsidR="00F80E94" w:rsidRPr="00332D6B" w:rsidRDefault="00F80E94" w:rsidP="00306CF3">
            <w:pPr>
              <w:pStyle w:val="TableParagraph"/>
              <w:kinsoku w:val="0"/>
              <w:overflowPunct w:val="0"/>
              <w:spacing w:line="274" w:lineRule="exact"/>
              <w:ind w:left="127" w:right="88"/>
              <w:jc w:val="right"/>
              <w:rPr>
                <w:rFonts w:asciiTheme="minorHAnsi" w:hAnsiTheme="minorHAnsi"/>
              </w:rPr>
            </w:pPr>
            <w:r w:rsidRPr="00332D6B">
              <w:rPr>
                <w:rFonts w:asciiTheme="minorHAnsi" w:hAnsiTheme="minorHAnsi"/>
              </w:rPr>
              <w:t>$0.057</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6A5A" w14:textId="77777777" w:rsidR="00F80E94" w:rsidRPr="00332D6B" w:rsidRDefault="00F80E94" w:rsidP="00306CF3">
            <w:pPr>
              <w:pStyle w:val="TableParagraph"/>
              <w:kinsoku w:val="0"/>
              <w:overflowPunct w:val="0"/>
              <w:spacing w:line="274" w:lineRule="exact"/>
              <w:ind w:left="102"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imp</w:t>
            </w:r>
            <w:r w:rsidRPr="00332D6B">
              <w:rPr>
                <w:rFonts w:asciiTheme="minorHAnsi" w:hAnsiTheme="minorHAnsi"/>
                <w:spacing w:val="-1"/>
              </w:rPr>
              <w:t>re</w:t>
            </w:r>
            <w:r w:rsidRPr="00332D6B">
              <w:rPr>
                <w:rFonts w:asciiTheme="minorHAnsi" w:hAnsiTheme="minorHAnsi"/>
              </w:rPr>
              <w:t>ssion</w:t>
            </w:r>
          </w:p>
        </w:tc>
      </w:tr>
      <w:tr w:rsidR="00F80E94" w:rsidRPr="006818B4" w14:paraId="11805C4D" w14:textId="77777777" w:rsidTr="00306CF3">
        <w:tblPrEx>
          <w:tblLook w:val="0000" w:firstRow="0" w:lastRow="0" w:firstColumn="0" w:lastColumn="0" w:noHBand="0" w:noVBand="0"/>
        </w:tblPrEx>
        <w:trPr>
          <w:trHeight w:hRule="exact" w:val="298"/>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6763B" w14:textId="77777777" w:rsidR="00F80E94" w:rsidRPr="00332D6B" w:rsidRDefault="00F80E94" w:rsidP="00306CF3">
            <w:pPr>
              <w:pStyle w:val="TableParagraph"/>
              <w:kinsoku w:val="0"/>
              <w:overflowPunct w:val="0"/>
              <w:spacing w:before="3"/>
              <w:ind w:right="18"/>
              <w:rPr>
                <w:rFonts w:asciiTheme="minorHAnsi" w:hAnsiTheme="minorHAnsi"/>
                <w:bCs/>
                <w:spacing w:val="-1"/>
              </w:rPr>
            </w:pPr>
            <w:r w:rsidRPr="00332D6B">
              <w:rPr>
                <w:rFonts w:asciiTheme="minorHAnsi" w:hAnsiTheme="minorHAnsi"/>
                <w:bCs/>
                <w:spacing w:val="-1"/>
              </w:rPr>
              <w:t>Checks and negotiable items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677C" w14:textId="77777777" w:rsidR="00F80E94" w:rsidRPr="00332D6B" w:rsidRDefault="00F80E94" w:rsidP="00306CF3">
            <w:pPr>
              <w:pStyle w:val="TableParagraph"/>
              <w:kinsoku w:val="0"/>
              <w:overflowPunct w:val="0"/>
              <w:spacing w:line="274" w:lineRule="exact"/>
              <w:ind w:left="145" w:right="18"/>
              <w:jc w:val="center"/>
              <w:rPr>
                <w:rFonts w:asciiTheme="minorHAnsi" w:hAnsiTheme="minorHAnsi"/>
                <w:spacing w:val="-1"/>
              </w:rPr>
            </w:pPr>
            <w:r w:rsidRPr="00332D6B">
              <w:rPr>
                <w:rFonts w:asciiTheme="minorHAnsi" w:hAnsiTheme="minorHAnsi"/>
                <w:spacing w:val="-1"/>
              </w:rPr>
              <w:t>Unlimited</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8E6C6" w14:textId="77777777" w:rsidR="00F80E94" w:rsidRPr="00332D6B" w:rsidRDefault="00F80E94" w:rsidP="00306CF3">
            <w:pPr>
              <w:pStyle w:val="TableParagraph"/>
              <w:kinsoku w:val="0"/>
              <w:overflowPunct w:val="0"/>
              <w:spacing w:line="274" w:lineRule="exact"/>
              <w:ind w:left="127" w:right="88"/>
              <w:jc w:val="right"/>
              <w:rPr>
                <w:rFonts w:asciiTheme="minorHAnsi" w:hAnsiTheme="minorHAnsi"/>
              </w:rPr>
            </w:pPr>
            <w:r w:rsidRPr="00332D6B">
              <w:rPr>
                <w:rFonts w:asciiTheme="minorHAnsi" w:hAnsiTheme="minorHAnsi"/>
              </w:rPr>
              <w:t>$0.081</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A14E5" w14:textId="77777777" w:rsidR="00F80E94" w:rsidRPr="00332D6B" w:rsidRDefault="00F80E94" w:rsidP="00306CF3">
            <w:pPr>
              <w:pStyle w:val="TableParagraph"/>
              <w:kinsoku w:val="0"/>
              <w:overflowPunct w:val="0"/>
              <w:spacing w:line="274" w:lineRule="exact"/>
              <w:ind w:left="102" w:right="18"/>
              <w:jc w:val="center"/>
              <w:rPr>
                <w:rFonts w:asciiTheme="minorHAnsi" w:hAnsiTheme="minorHAnsi"/>
              </w:rPr>
            </w:pPr>
            <w:r w:rsidRPr="00332D6B">
              <w:rPr>
                <w:rFonts w:asciiTheme="minorHAnsi" w:hAnsiTheme="minorHAnsi"/>
              </w:rPr>
              <w:t>Additional</w:t>
            </w:r>
          </w:p>
        </w:tc>
      </w:tr>
      <w:tr w:rsidR="00F80E94" w:rsidRPr="006818B4" w14:paraId="2E5F48CD" w14:textId="77777777" w:rsidTr="00306CF3">
        <w:tblPrEx>
          <w:tblLook w:val="0000" w:firstRow="0" w:lastRow="0" w:firstColumn="0" w:lastColumn="0" w:noHBand="0" w:noVBand="0"/>
        </w:tblPrEx>
        <w:trPr>
          <w:trHeight w:hRule="exact" w:val="298"/>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1B7EA" w14:textId="77777777" w:rsidR="00F80E94" w:rsidRPr="00332D6B" w:rsidRDefault="00F80E94" w:rsidP="00306CF3">
            <w:pPr>
              <w:pStyle w:val="TableParagraph"/>
              <w:kinsoku w:val="0"/>
              <w:overflowPunct w:val="0"/>
              <w:spacing w:before="3"/>
              <w:ind w:right="18"/>
              <w:rPr>
                <w:rFonts w:asciiTheme="minorHAnsi" w:hAnsiTheme="minorHAnsi"/>
              </w:rPr>
            </w:pPr>
            <w:r w:rsidRPr="00332D6B">
              <w:rPr>
                <w:rFonts w:asciiTheme="minorHAnsi" w:hAnsiTheme="minorHAnsi"/>
                <w:bCs/>
              </w:rPr>
              <w:t>Bind</w:t>
            </w:r>
            <w:r w:rsidRPr="00332D6B">
              <w:rPr>
                <w:rFonts w:asciiTheme="minorHAnsi" w:hAnsiTheme="minorHAnsi"/>
                <w:bCs/>
                <w:spacing w:val="-1"/>
              </w:rPr>
              <w:t>er</w:t>
            </w:r>
            <w:r w:rsidRPr="00332D6B">
              <w:rPr>
                <w:rFonts w:asciiTheme="minorHAnsi" w:hAnsiTheme="minorHAnsi"/>
                <w:bCs/>
              </w:rPr>
              <w:t xml:space="preserve">y and </w:t>
            </w:r>
            <w:r w:rsidRPr="00332D6B">
              <w:rPr>
                <w:rFonts w:asciiTheme="minorHAnsi" w:hAnsiTheme="minorHAnsi"/>
                <w:bCs/>
                <w:spacing w:val="-3"/>
              </w:rPr>
              <w:t>F</w:t>
            </w:r>
            <w:r w:rsidRPr="00332D6B">
              <w:rPr>
                <w:rFonts w:asciiTheme="minorHAnsi" w:hAnsiTheme="minorHAnsi"/>
                <w:bCs/>
              </w:rPr>
              <w:t>inis</w:t>
            </w:r>
            <w:r w:rsidRPr="00332D6B">
              <w:rPr>
                <w:rFonts w:asciiTheme="minorHAnsi" w:hAnsiTheme="minorHAnsi"/>
                <w:bCs/>
                <w:spacing w:val="-2"/>
              </w:rPr>
              <w:t>h</w:t>
            </w:r>
            <w:r w:rsidRPr="00332D6B">
              <w:rPr>
                <w:rFonts w:asciiTheme="minorHAnsi" w:hAnsiTheme="minorHAnsi"/>
                <w:bCs/>
              </w:rPr>
              <w:t>ing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397E" w14:textId="77777777" w:rsidR="00F80E94" w:rsidRPr="00332D6B" w:rsidRDefault="00F80E94" w:rsidP="00306CF3">
            <w:pPr>
              <w:ind w:right="18"/>
              <w:jc w:val="center"/>
              <w:rPr>
                <w:szCs w:val="24"/>
              </w:rPr>
            </w:pP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F5411" w14:textId="77777777" w:rsidR="00F80E94" w:rsidRPr="00332D6B" w:rsidRDefault="00F80E94" w:rsidP="00306CF3">
            <w:pPr>
              <w:ind w:right="88"/>
              <w:jc w:val="right"/>
              <w:rPr>
                <w:szCs w:val="24"/>
              </w:rPr>
            </w:pPr>
            <w:r w:rsidRPr="00332D6B">
              <w:rPr>
                <w:szCs w:val="24"/>
              </w:rPr>
              <w:t xml:space="preserve">$78.75 </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8D9FB" w14:textId="77777777" w:rsidR="00F80E94" w:rsidRPr="00332D6B" w:rsidRDefault="00F80E94" w:rsidP="00306CF3">
            <w:pPr>
              <w:pStyle w:val="TableParagraph"/>
              <w:kinsoku w:val="0"/>
              <w:overflowPunct w:val="0"/>
              <w:spacing w:line="274" w:lineRule="exact"/>
              <w:ind w:left="102" w:right="18"/>
              <w:jc w:val="center"/>
              <w:rPr>
                <w:rFonts w:asciiTheme="minorHAnsi" w:hAnsiTheme="minorHAnsi"/>
              </w:rPr>
            </w:pPr>
            <w:r w:rsidRPr="00332D6B">
              <w:rPr>
                <w:rFonts w:asciiTheme="minorHAnsi" w:hAnsiTheme="minorHAnsi"/>
                <w:spacing w:val="-1"/>
              </w:rPr>
              <w:t>Per hour</w:t>
            </w:r>
          </w:p>
        </w:tc>
      </w:tr>
      <w:tr w:rsidR="00F80E94" w:rsidRPr="00257A94" w14:paraId="3B880E31" w14:textId="77777777" w:rsidTr="00306CF3">
        <w:tblPrEx>
          <w:tblLook w:val="0000" w:firstRow="0" w:lastRow="0" w:firstColumn="0" w:lastColumn="0" w:noHBand="0" w:noVBand="0"/>
        </w:tblPrEx>
        <w:trPr>
          <w:trHeight w:hRule="exact" w:val="298"/>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8B96A" w14:textId="77777777" w:rsidR="00F80E94" w:rsidRPr="00332D6B" w:rsidRDefault="00F80E94" w:rsidP="00306CF3">
            <w:pPr>
              <w:pStyle w:val="TableParagraph"/>
              <w:kinsoku w:val="0"/>
              <w:overflowPunct w:val="0"/>
              <w:spacing w:before="3"/>
              <w:ind w:right="18"/>
              <w:rPr>
                <w:rFonts w:asciiTheme="minorHAnsi" w:hAnsiTheme="minorHAnsi"/>
                <w:bCs/>
              </w:rPr>
            </w:pPr>
            <w:r w:rsidRPr="00332D6B">
              <w:rPr>
                <w:rFonts w:asciiTheme="minorHAnsi" w:hAnsiTheme="minorHAnsi"/>
                <w:bCs/>
              </w:rPr>
              <w:t>Print Contracts (subject to cap)</w:t>
            </w:r>
          </w:p>
          <w:p w14:paraId="6A6DE249" w14:textId="77777777" w:rsidR="00F80E94" w:rsidRPr="00332D6B" w:rsidRDefault="00F80E94" w:rsidP="00306CF3">
            <w:pPr>
              <w:pStyle w:val="TableParagraph"/>
              <w:kinsoku w:val="0"/>
              <w:overflowPunct w:val="0"/>
              <w:spacing w:before="3"/>
              <w:ind w:right="18"/>
              <w:rPr>
                <w:rFonts w:asciiTheme="minorHAnsi" w:hAnsiTheme="minorHAnsi"/>
                <w:bCs/>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EEF00" w14:textId="77777777" w:rsidR="00F80E94" w:rsidRPr="00332D6B" w:rsidRDefault="00F80E94" w:rsidP="00306CF3">
            <w:pPr>
              <w:ind w:right="18"/>
              <w:jc w:val="center"/>
              <w:rPr>
                <w:szCs w:val="24"/>
              </w:rPr>
            </w:pP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39CBB" w14:textId="77777777" w:rsidR="00F80E94" w:rsidRPr="00332D6B" w:rsidRDefault="00F80E94" w:rsidP="00306CF3">
            <w:pPr>
              <w:ind w:left="127" w:right="88"/>
              <w:jc w:val="right"/>
              <w:rPr>
                <w:szCs w:val="24"/>
              </w:rPr>
            </w:pPr>
            <w:r w:rsidRPr="00332D6B">
              <w:rPr>
                <w:szCs w:val="24"/>
              </w:rPr>
              <w:t>0.0623%</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08195" w14:textId="77777777" w:rsidR="00F80E94" w:rsidRPr="00332D6B" w:rsidRDefault="00F80E94" w:rsidP="00306CF3">
            <w:pPr>
              <w:pStyle w:val="TableParagraph"/>
              <w:kinsoku w:val="0"/>
              <w:overflowPunct w:val="0"/>
              <w:spacing w:line="274" w:lineRule="exact"/>
              <w:ind w:left="102" w:right="18"/>
              <w:jc w:val="center"/>
              <w:rPr>
                <w:rFonts w:asciiTheme="minorHAnsi" w:hAnsiTheme="minorHAnsi"/>
                <w:spacing w:val="-1"/>
              </w:rPr>
            </w:pPr>
            <w:r w:rsidRPr="00332D6B">
              <w:rPr>
                <w:rFonts w:asciiTheme="minorHAnsi" w:hAnsiTheme="minorHAnsi"/>
                <w:spacing w:val="-1"/>
              </w:rPr>
              <w:t>% of job cost</w:t>
            </w:r>
          </w:p>
        </w:tc>
      </w:tr>
      <w:tr w:rsidR="00F80E94" w:rsidRPr="00257A94" w14:paraId="78197993" w14:textId="77777777" w:rsidTr="00306CF3">
        <w:tblPrEx>
          <w:tblLook w:val="0000" w:firstRow="0" w:lastRow="0" w:firstColumn="0" w:lastColumn="0" w:noHBand="0" w:noVBand="0"/>
        </w:tblPrEx>
        <w:trPr>
          <w:trHeight w:hRule="exact" w:val="298"/>
          <w:jc w:val="cent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53834" w14:textId="77777777" w:rsidR="00F80E94" w:rsidRPr="00332D6B" w:rsidRDefault="00F80E94" w:rsidP="00306CF3">
            <w:pPr>
              <w:pStyle w:val="TableParagraph"/>
              <w:kinsoku w:val="0"/>
              <w:overflowPunct w:val="0"/>
              <w:spacing w:before="3"/>
              <w:ind w:right="18"/>
              <w:rPr>
                <w:rFonts w:asciiTheme="minorHAnsi" w:hAnsiTheme="minorHAnsi"/>
                <w:bCs/>
              </w:rPr>
            </w:pPr>
            <w:r w:rsidRPr="00332D6B">
              <w:rPr>
                <w:rFonts w:asciiTheme="minorHAnsi" w:hAnsiTheme="minorHAnsi"/>
                <w:bCs/>
              </w:rPr>
              <w:t xml:space="preserve">Managed Print Services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A0AE5" w14:textId="77777777" w:rsidR="00F80E94" w:rsidRPr="00332D6B" w:rsidRDefault="00F80E94" w:rsidP="00306CF3">
            <w:pPr>
              <w:ind w:right="18"/>
              <w:jc w:val="center"/>
              <w:rPr>
                <w:szCs w:val="24"/>
              </w:rPr>
            </w:pP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0AB2B" w14:textId="77777777" w:rsidR="00F80E94" w:rsidRPr="00332D6B" w:rsidRDefault="00F80E94" w:rsidP="00306CF3">
            <w:pPr>
              <w:ind w:left="127" w:right="88"/>
              <w:jc w:val="right"/>
              <w:rPr>
                <w:szCs w:val="24"/>
              </w:rPr>
            </w:pPr>
            <w:r w:rsidRPr="00332D6B">
              <w:rPr>
                <w:szCs w:val="24"/>
              </w:rPr>
              <w:t>$26.50</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3809" w14:textId="77777777" w:rsidR="00F80E94" w:rsidRPr="00332D6B" w:rsidRDefault="00F80E94" w:rsidP="00306CF3">
            <w:pPr>
              <w:pStyle w:val="TableParagraph"/>
              <w:kinsoku w:val="0"/>
              <w:overflowPunct w:val="0"/>
              <w:spacing w:line="274" w:lineRule="exact"/>
              <w:ind w:left="102" w:right="18"/>
              <w:jc w:val="center"/>
              <w:rPr>
                <w:rFonts w:asciiTheme="minorHAnsi" w:hAnsiTheme="minorHAnsi"/>
                <w:spacing w:val="-1"/>
              </w:rPr>
            </w:pPr>
            <w:r w:rsidRPr="00332D6B">
              <w:rPr>
                <w:rFonts w:asciiTheme="minorHAnsi" w:hAnsiTheme="minorHAnsi"/>
                <w:spacing w:val="-1"/>
              </w:rPr>
              <w:t>Per job</w:t>
            </w:r>
          </w:p>
        </w:tc>
      </w:tr>
    </w:tbl>
    <w:p w14:paraId="0459EC9D" w14:textId="77777777" w:rsidR="00F80E94" w:rsidRPr="00A77A42" w:rsidRDefault="00F80E94" w:rsidP="00F80E94">
      <w:pPr>
        <w:ind w:right="18"/>
      </w:pPr>
    </w:p>
    <w:p w14:paraId="08D6E3A2" w14:textId="77777777" w:rsidR="00F80E94" w:rsidRPr="00A77A42" w:rsidRDefault="00F80E94" w:rsidP="00E51337">
      <w:r w:rsidRPr="00A77A42">
        <w:rPr>
          <w:b/>
        </w:rPr>
        <w:t>Mail Service Rates</w:t>
      </w:r>
      <w:r w:rsidRPr="00A77A42">
        <w:t xml:space="preserve">: </w:t>
      </w:r>
      <w:r>
        <w:t>R</w:t>
      </w:r>
      <w:r w:rsidRPr="00A77A42">
        <w:t xml:space="preserve">ates are based on products produced at </w:t>
      </w:r>
      <w:r>
        <w:t>P&amp;D’s</w:t>
      </w:r>
      <w:r w:rsidRPr="00A77A42">
        <w:t xml:space="preserve"> printing facility. </w:t>
      </w:r>
      <w:r>
        <w:t>P&amp;D does</w:t>
      </w:r>
      <w:r w:rsidRPr="00A77A42">
        <w:t xml:space="preserve"> not have a tiered rate structure</w:t>
      </w:r>
      <w:r>
        <w:t xml:space="preserve"> for Mail Services,</w:t>
      </w:r>
      <w:r w:rsidRPr="00A77A42">
        <w:t xml:space="preserve"> </w:t>
      </w:r>
      <w:r>
        <w:t>yet it may</w:t>
      </w:r>
      <w:r w:rsidRPr="00A77A42">
        <w:t xml:space="preserve"> </w:t>
      </w:r>
      <w:r>
        <w:t xml:space="preserve">quote a </w:t>
      </w:r>
      <w:r w:rsidRPr="00A77A42">
        <w:t>reduce</w:t>
      </w:r>
      <w:r>
        <w:t>d</w:t>
      </w:r>
      <w:r w:rsidRPr="00A77A42">
        <w:t xml:space="preserve"> unit rate for single </w:t>
      </w:r>
      <w:proofErr w:type="gramStart"/>
      <w:r w:rsidRPr="00A77A42">
        <w:t>mailings</w:t>
      </w:r>
      <w:proofErr w:type="gramEnd"/>
      <w:r w:rsidRPr="00A77A42">
        <w:t xml:space="preserve"> over 25,000 </w:t>
      </w:r>
      <w:proofErr w:type="gramStart"/>
      <w:r w:rsidRPr="00A77A42">
        <w:t>pieces</w:t>
      </w:r>
      <w:proofErr w:type="gramEnd"/>
      <w:r w:rsidRPr="00A77A42">
        <w:t xml:space="preserve">. </w:t>
      </w:r>
      <w:r>
        <w:t>Price does not include envelopes.</w:t>
      </w:r>
    </w:p>
    <w:tbl>
      <w:tblPr>
        <w:tblW w:w="9270" w:type="dxa"/>
        <w:jc w:val="center"/>
        <w:tblLayout w:type="fixed"/>
        <w:tblCellMar>
          <w:left w:w="0" w:type="dxa"/>
          <w:right w:w="0" w:type="dxa"/>
        </w:tblCellMar>
        <w:tblLook w:val="0000" w:firstRow="0" w:lastRow="0" w:firstColumn="0" w:lastColumn="0" w:noHBand="0" w:noVBand="0"/>
      </w:tblPr>
      <w:tblGrid>
        <w:gridCol w:w="6295"/>
        <w:gridCol w:w="1320"/>
        <w:gridCol w:w="1655"/>
      </w:tblGrid>
      <w:tr w:rsidR="00F80E94" w:rsidRPr="00332D6B" w14:paraId="74C683DB" w14:textId="77777777" w:rsidTr="00306CF3">
        <w:trPr>
          <w:trHeight w:hRule="exact" w:val="703"/>
          <w:tblHeader/>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E771DA" w14:textId="77777777" w:rsidR="00F80E94" w:rsidRPr="00332D6B" w:rsidRDefault="00F80E94" w:rsidP="00306CF3">
            <w:pPr>
              <w:pStyle w:val="TableParagraph"/>
              <w:kinsoku w:val="0"/>
              <w:overflowPunct w:val="0"/>
              <w:spacing w:line="260" w:lineRule="exact"/>
              <w:ind w:left="102" w:right="18"/>
              <w:jc w:val="center"/>
              <w:rPr>
                <w:rFonts w:asciiTheme="minorHAnsi" w:hAnsiTheme="minorHAnsi"/>
              </w:rPr>
            </w:pPr>
            <w:r w:rsidRPr="00332D6B">
              <w:rPr>
                <w:rFonts w:asciiTheme="minorHAnsi" w:hAnsiTheme="minorHAnsi"/>
                <w:b/>
                <w:bCs/>
                <w:spacing w:val="-1"/>
              </w:rPr>
              <w:t>Description of Service</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079448" w14:textId="77777777" w:rsidR="00F80E94" w:rsidRPr="00332D6B" w:rsidRDefault="00F80E94" w:rsidP="00306CF3">
            <w:pPr>
              <w:pStyle w:val="NoSpacing"/>
              <w:ind w:right="18"/>
              <w:jc w:val="center"/>
              <w:rPr>
                <w:b/>
                <w:szCs w:val="24"/>
              </w:rPr>
            </w:pPr>
            <w:r w:rsidRPr="00332D6B">
              <w:rPr>
                <w:b/>
                <w:szCs w:val="24"/>
              </w:rPr>
              <w:t>2027-29</w:t>
            </w:r>
          </w:p>
          <w:p w14:paraId="05D07111" w14:textId="77777777" w:rsidR="00F80E94" w:rsidRPr="00332D6B" w:rsidRDefault="00F80E94" w:rsidP="00306CF3">
            <w:pPr>
              <w:pStyle w:val="TableParagraph"/>
              <w:kinsoku w:val="0"/>
              <w:overflowPunct w:val="0"/>
              <w:spacing w:line="260" w:lineRule="exact"/>
              <w:ind w:right="18"/>
              <w:jc w:val="center"/>
              <w:rPr>
                <w:rFonts w:asciiTheme="minorHAnsi" w:hAnsiTheme="minorHAnsi"/>
              </w:rPr>
            </w:pPr>
            <w:r w:rsidRPr="00332D6B">
              <w:rPr>
                <w:rFonts w:asciiTheme="minorHAnsi" w:hAnsiTheme="minorHAnsi"/>
                <w:b/>
              </w:rPr>
              <w:t>Rate</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88E43A9" w14:textId="77777777" w:rsidR="00F80E94" w:rsidRPr="00332D6B" w:rsidRDefault="00F80E94" w:rsidP="00306CF3">
            <w:pPr>
              <w:pStyle w:val="TableParagraph"/>
              <w:kinsoku w:val="0"/>
              <w:overflowPunct w:val="0"/>
              <w:spacing w:line="260" w:lineRule="exact"/>
              <w:ind w:right="18"/>
              <w:jc w:val="center"/>
              <w:rPr>
                <w:rFonts w:asciiTheme="minorHAnsi" w:hAnsiTheme="minorHAnsi"/>
              </w:rPr>
            </w:pPr>
            <w:r w:rsidRPr="00332D6B">
              <w:rPr>
                <w:rFonts w:asciiTheme="minorHAnsi" w:hAnsiTheme="minorHAnsi"/>
                <w:b/>
                <w:bCs/>
                <w:spacing w:val="-1"/>
              </w:rPr>
              <w:t>Unit</w:t>
            </w:r>
          </w:p>
        </w:tc>
      </w:tr>
      <w:tr w:rsidR="00F80E94" w:rsidRPr="00332D6B" w14:paraId="683F7C99" w14:textId="77777777" w:rsidTr="00306CF3">
        <w:trPr>
          <w:trHeight w:hRule="exact" w:val="300"/>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D641D" w14:textId="77777777" w:rsidR="00F80E94" w:rsidRPr="00332D6B" w:rsidRDefault="00F80E94" w:rsidP="00306CF3">
            <w:pPr>
              <w:pStyle w:val="TableParagraph"/>
              <w:kinsoku w:val="0"/>
              <w:overflowPunct w:val="0"/>
              <w:spacing w:line="267" w:lineRule="exact"/>
              <w:ind w:left="102" w:right="18"/>
              <w:rPr>
                <w:rFonts w:asciiTheme="minorHAnsi" w:hAnsiTheme="minorHAnsi"/>
              </w:rPr>
            </w:pPr>
            <w:r w:rsidRPr="00332D6B">
              <w:rPr>
                <w:rFonts w:asciiTheme="minorHAnsi" w:hAnsiTheme="minorHAnsi"/>
                <w:b/>
                <w:bCs/>
                <w:spacing w:val="-3"/>
              </w:rPr>
              <w:t>P</w:t>
            </w:r>
            <w:r w:rsidRPr="00332D6B">
              <w:rPr>
                <w:rFonts w:asciiTheme="minorHAnsi" w:hAnsiTheme="minorHAnsi"/>
                <w:b/>
                <w:bCs/>
                <w:spacing w:val="-1"/>
              </w:rPr>
              <w:t>r</w:t>
            </w:r>
            <w:r w:rsidRPr="00332D6B">
              <w:rPr>
                <w:rFonts w:asciiTheme="minorHAnsi" w:hAnsiTheme="minorHAnsi"/>
                <w:b/>
                <w:bCs/>
              </w:rPr>
              <w:t>odu</w:t>
            </w:r>
            <w:r w:rsidRPr="00332D6B">
              <w:rPr>
                <w:rFonts w:asciiTheme="minorHAnsi" w:hAnsiTheme="minorHAnsi"/>
                <w:b/>
                <w:bCs/>
                <w:spacing w:val="-1"/>
              </w:rPr>
              <w:t>ct</w:t>
            </w:r>
            <w:r w:rsidRPr="00332D6B">
              <w:rPr>
                <w:rFonts w:asciiTheme="minorHAnsi" w:hAnsiTheme="minorHAnsi"/>
                <w:b/>
                <w:bCs/>
              </w:rPr>
              <w:t xml:space="preserve">ion </w:t>
            </w:r>
            <w:r w:rsidRPr="00332D6B">
              <w:rPr>
                <w:rFonts w:asciiTheme="minorHAnsi" w:hAnsiTheme="minorHAnsi"/>
                <w:b/>
                <w:bCs/>
                <w:spacing w:val="-1"/>
              </w:rPr>
              <w:t>M</w:t>
            </w:r>
            <w:r w:rsidRPr="00332D6B">
              <w:rPr>
                <w:rFonts w:asciiTheme="minorHAnsi" w:hAnsiTheme="minorHAnsi"/>
                <w:b/>
                <w:bCs/>
              </w:rPr>
              <w:t>ail S</w:t>
            </w:r>
            <w:r w:rsidRPr="00332D6B">
              <w:rPr>
                <w:rFonts w:asciiTheme="minorHAnsi" w:hAnsiTheme="minorHAnsi"/>
                <w:b/>
                <w:bCs/>
                <w:spacing w:val="-1"/>
              </w:rPr>
              <w:t>er</w:t>
            </w:r>
            <w:r w:rsidRPr="00332D6B">
              <w:rPr>
                <w:rFonts w:asciiTheme="minorHAnsi" w:hAnsiTheme="minorHAnsi"/>
                <w:b/>
                <w:bCs/>
              </w:rPr>
              <w:t>vi</w:t>
            </w:r>
            <w:r w:rsidRPr="00332D6B">
              <w:rPr>
                <w:rFonts w:asciiTheme="minorHAnsi" w:hAnsiTheme="minorHAnsi"/>
                <w:b/>
                <w:bCs/>
                <w:spacing w:val="1"/>
              </w:rPr>
              <w:t>c</w:t>
            </w:r>
            <w:r w:rsidRPr="00332D6B">
              <w:rPr>
                <w:rFonts w:asciiTheme="minorHAnsi" w:hAnsiTheme="minorHAnsi"/>
                <w:b/>
                <w:bCs/>
                <w:spacing w:val="-1"/>
              </w:rPr>
              <w:t>e</w:t>
            </w:r>
            <w:r w:rsidRPr="00332D6B">
              <w:rPr>
                <w:rFonts w:asciiTheme="minorHAnsi" w:hAnsiTheme="minorHAnsi"/>
                <w:b/>
                <w:bCs/>
              </w:rPr>
              <w:t>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69A9B" w14:textId="77777777" w:rsidR="00F80E94" w:rsidRPr="00332D6B" w:rsidRDefault="00F80E94" w:rsidP="00306CF3">
            <w:pPr>
              <w:ind w:right="84"/>
              <w:jc w:val="right"/>
              <w:rPr>
                <w:szCs w:val="24"/>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5FFB3" w14:textId="77777777" w:rsidR="00F80E94" w:rsidRPr="00332D6B" w:rsidRDefault="00F80E94" w:rsidP="00306CF3">
            <w:pPr>
              <w:ind w:right="18"/>
              <w:jc w:val="center"/>
              <w:rPr>
                <w:szCs w:val="24"/>
              </w:rPr>
            </w:pPr>
          </w:p>
        </w:tc>
      </w:tr>
      <w:tr w:rsidR="00F80E94" w:rsidRPr="00332D6B" w14:paraId="64FD143A" w14:textId="77777777" w:rsidTr="00306CF3">
        <w:trPr>
          <w:trHeight w:hRule="exact" w:val="29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DC1C" w14:textId="77777777" w:rsidR="00F80E94" w:rsidRPr="00332D6B" w:rsidRDefault="00F80E94" w:rsidP="00306CF3">
            <w:pPr>
              <w:pStyle w:val="TableParagraph"/>
              <w:kinsoku w:val="0"/>
              <w:overflowPunct w:val="0"/>
              <w:spacing w:line="260" w:lineRule="exact"/>
              <w:ind w:left="207" w:right="18"/>
              <w:rPr>
                <w:rFonts w:asciiTheme="minorHAnsi" w:hAnsiTheme="minorHAnsi"/>
              </w:rPr>
            </w:pPr>
            <w:r w:rsidRPr="00332D6B">
              <w:rPr>
                <w:rFonts w:asciiTheme="minorHAnsi" w:hAnsiTheme="minorHAnsi"/>
              </w:rPr>
              <w:t>P</w:t>
            </w:r>
            <w:r w:rsidRPr="00332D6B">
              <w:rPr>
                <w:rFonts w:asciiTheme="minorHAnsi" w:hAnsiTheme="minorHAnsi"/>
                <w:spacing w:val="-1"/>
              </w:rPr>
              <w:t>re</w:t>
            </w:r>
            <w:r w:rsidRPr="00332D6B">
              <w:rPr>
                <w:rFonts w:asciiTheme="minorHAnsi" w:hAnsiTheme="minorHAnsi"/>
              </w:rPr>
              <w:t>so</w:t>
            </w:r>
            <w:r w:rsidRPr="00332D6B">
              <w:rPr>
                <w:rFonts w:asciiTheme="minorHAnsi" w:hAnsiTheme="minorHAnsi"/>
                <w:spacing w:val="-1"/>
              </w:rPr>
              <w:t>r</w:t>
            </w:r>
            <w:r w:rsidRPr="00332D6B">
              <w:rPr>
                <w:rFonts w:asciiTheme="minorHAnsi" w:hAnsiTheme="minorHAnsi"/>
              </w:rPr>
              <w:t>ting</w:t>
            </w:r>
            <w:r w:rsidRPr="00332D6B">
              <w:rPr>
                <w:rFonts w:asciiTheme="minorHAnsi" w:hAnsiTheme="minorHAnsi"/>
                <w:spacing w:val="-3"/>
              </w:rPr>
              <w:t xml:space="preserve"> </w:t>
            </w:r>
            <w:r w:rsidRPr="00332D6B">
              <w:rPr>
                <w:rFonts w:asciiTheme="minorHAnsi" w:hAnsiTheme="minorHAnsi"/>
              </w:rPr>
              <w:t xml:space="preserve">/ </w:t>
            </w:r>
            <w:r w:rsidRPr="00332D6B">
              <w:rPr>
                <w:rFonts w:asciiTheme="minorHAnsi" w:hAnsiTheme="minorHAnsi"/>
                <w:spacing w:val="-1"/>
              </w:rPr>
              <w:t>O</w:t>
            </w:r>
            <w:r w:rsidRPr="00332D6B">
              <w:rPr>
                <w:rFonts w:asciiTheme="minorHAnsi" w:hAnsiTheme="minorHAnsi"/>
              </w:rPr>
              <w:t>CR</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818E9" w14:textId="77777777" w:rsidR="00F80E94" w:rsidRPr="00332D6B" w:rsidRDefault="00F80E94" w:rsidP="00306CF3">
            <w:pPr>
              <w:ind w:right="84"/>
              <w:jc w:val="right"/>
              <w:rPr>
                <w:szCs w:val="24"/>
              </w:rPr>
            </w:pPr>
            <w:r w:rsidRPr="00332D6B">
              <w:rPr>
                <w:szCs w:val="24"/>
              </w:rPr>
              <w:t>$0.03</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043FD" w14:textId="77777777" w:rsidR="00F80E94" w:rsidRPr="00332D6B" w:rsidRDefault="00F80E94" w:rsidP="00306CF3">
            <w:pPr>
              <w:pStyle w:val="TableParagraph"/>
              <w:kinsoku w:val="0"/>
              <w:overflowPunct w:val="0"/>
              <w:spacing w:line="260"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pi</w:t>
            </w:r>
            <w:r w:rsidRPr="00332D6B">
              <w:rPr>
                <w:rFonts w:asciiTheme="minorHAnsi" w:hAnsiTheme="minorHAnsi"/>
                <w:spacing w:val="-1"/>
              </w:rPr>
              <w:t>ece</w:t>
            </w:r>
          </w:p>
        </w:tc>
      </w:tr>
      <w:tr w:rsidR="00F80E94" w:rsidRPr="00332D6B" w14:paraId="60113458" w14:textId="77777777" w:rsidTr="00306CF3">
        <w:trPr>
          <w:trHeight w:hRule="exact" w:val="29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DF4AC" w14:textId="77777777" w:rsidR="00F80E94" w:rsidRPr="00332D6B" w:rsidRDefault="00F80E94" w:rsidP="00306CF3">
            <w:pPr>
              <w:pStyle w:val="TableParagraph"/>
              <w:kinsoku w:val="0"/>
              <w:overflowPunct w:val="0"/>
              <w:spacing w:line="260" w:lineRule="exact"/>
              <w:ind w:left="207" w:right="18"/>
              <w:rPr>
                <w:rFonts w:asciiTheme="minorHAnsi" w:hAnsiTheme="minorHAnsi"/>
              </w:rPr>
            </w:pPr>
            <w:r w:rsidRPr="00332D6B">
              <w:rPr>
                <w:rFonts w:asciiTheme="minorHAnsi" w:hAnsiTheme="minorHAnsi"/>
              </w:rPr>
              <w:t>P</w:t>
            </w:r>
            <w:r w:rsidRPr="00332D6B">
              <w:rPr>
                <w:rFonts w:asciiTheme="minorHAnsi" w:hAnsiTheme="minorHAnsi"/>
                <w:spacing w:val="-1"/>
              </w:rPr>
              <w:t>re</w:t>
            </w:r>
            <w:r w:rsidRPr="00332D6B">
              <w:rPr>
                <w:rFonts w:asciiTheme="minorHAnsi" w:hAnsiTheme="minorHAnsi"/>
              </w:rPr>
              <w:t>so</w:t>
            </w:r>
            <w:r w:rsidRPr="00332D6B">
              <w:rPr>
                <w:rFonts w:asciiTheme="minorHAnsi" w:hAnsiTheme="minorHAnsi"/>
                <w:spacing w:val="-1"/>
              </w:rPr>
              <w:t>r</w:t>
            </w:r>
            <w:r w:rsidRPr="00332D6B">
              <w:rPr>
                <w:rFonts w:asciiTheme="minorHAnsi" w:hAnsiTheme="minorHAnsi"/>
              </w:rPr>
              <w:t xml:space="preserve">ting </w:t>
            </w:r>
            <w:r w:rsidRPr="00332D6B">
              <w:rPr>
                <w:rFonts w:asciiTheme="minorHAnsi" w:hAnsiTheme="minorHAnsi"/>
                <w:spacing w:val="-2"/>
              </w:rPr>
              <w:t>F</w:t>
            </w:r>
            <w:r w:rsidRPr="00332D6B">
              <w:rPr>
                <w:rFonts w:asciiTheme="minorHAnsi" w:hAnsiTheme="minorHAnsi"/>
                <w:spacing w:val="-1"/>
              </w:rPr>
              <w:t>a</w:t>
            </w:r>
            <w:r w:rsidRPr="00332D6B">
              <w:rPr>
                <w:rFonts w:asciiTheme="minorHAnsi" w:hAnsiTheme="minorHAnsi"/>
              </w:rPr>
              <w:t xml:space="preserve">st </w:t>
            </w:r>
            <w:r w:rsidRPr="00332D6B">
              <w:rPr>
                <w:rFonts w:asciiTheme="minorHAnsi" w:hAnsiTheme="minorHAnsi"/>
                <w:spacing w:val="-2"/>
              </w:rPr>
              <w:t>F</w:t>
            </w:r>
            <w:r w:rsidRPr="00332D6B">
              <w:rPr>
                <w:rFonts w:asciiTheme="minorHAnsi" w:hAnsiTheme="minorHAnsi"/>
                <w:spacing w:val="2"/>
              </w:rPr>
              <w:t>o</w:t>
            </w:r>
            <w:r w:rsidRPr="00332D6B">
              <w:rPr>
                <w:rFonts w:asciiTheme="minorHAnsi" w:hAnsiTheme="minorHAnsi"/>
                <w:spacing w:val="-1"/>
              </w:rPr>
              <w:t>rw</w:t>
            </w:r>
            <w:r w:rsidRPr="00332D6B">
              <w:rPr>
                <w:rFonts w:asciiTheme="minorHAnsi" w:hAnsiTheme="minorHAnsi"/>
                <w:spacing w:val="1"/>
              </w:rPr>
              <w:t>a</w:t>
            </w:r>
            <w:r w:rsidRPr="00332D6B">
              <w:rPr>
                <w:rFonts w:asciiTheme="minorHAnsi" w:hAnsiTheme="minorHAnsi"/>
                <w:spacing w:val="-1"/>
              </w:rPr>
              <w:t>rd</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05123" w14:textId="77777777" w:rsidR="00F80E94" w:rsidRPr="00332D6B" w:rsidRDefault="00F80E94" w:rsidP="00306CF3">
            <w:pPr>
              <w:ind w:right="84"/>
              <w:jc w:val="right"/>
              <w:rPr>
                <w:szCs w:val="24"/>
              </w:rPr>
            </w:pPr>
            <w:r w:rsidRPr="00332D6B">
              <w:rPr>
                <w:szCs w:val="24"/>
              </w:rPr>
              <w:t>$0.03</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57FB5" w14:textId="77777777" w:rsidR="00F80E94" w:rsidRPr="00332D6B" w:rsidRDefault="00F80E94" w:rsidP="00306CF3">
            <w:pPr>
              <w:pStyle w:val="TableParagraph"/>
              <w:kinsoku w:val="0"/>
              <w:overflowPunct w:val="0"/>
              <w:spacing w:line="255"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hit</w:t>
            </w:r>
          </w:p>
        </w:tc>
      </w:tr>
      <w:tr w:rsidR="00F80E94" w:rsidRPr="00332D6B" w14:paraId="44F87EC3" w14:textId="77777777" w:rsidTr="00306CF3">
        <w:trPr>
          <w:trHeight w:hRule="exact" w:val="29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1FBE6" w14:textId="77777777" w:rsidR="00F80E94" w:rsidRPr="00332D6B" w:rsidRDefault="00F80E94" w:rsidP="00306CF3">
            <w:pPr>
              <w:pStyle w:val="TableParagraph"/>
              <w:kinsoku w:val="0"/>
              <w:overflowPunct w:val="0"/>
              <w:spacing w:line="263" w:lineRule="exact"/>
              <w:ind w:left="207" w:right="18"/>
              <w:rPr>
                <w:rFonts w:asciiTheme="minorHAnsi" w:hAnsiTheme="minorHAnsi"/>
              </w:rPr>
            </w:pPr>
            <w:r w:rsidRPr="00332D6B">
              <w:rPr>
                <w:rFonts w:asciiTheme="minorHAnsi" w:hAnsiTheme="minorHAnsi"/>
                <w:spacing w:val="-4"/>
              </w:rPr>
              <w:t>I</w:t>
            </w:r>
            <w:r w:rsidRPr="00332D6B">
              <w:rPr>
                <w:rFonts w:asciiTheme="minorHAnsi" w:hAnsiTheme="minorHAnsi"/>
              </w:rPr>
              <w:t>n</w:t>
            </w:r>
            <w:r w:rsidRPr="00332D6B">
              <w:rPr>
                <w:rFonts w:asciiTheme="minorHAnsi" w:hAnsiTheme="minorHAnsi"/>
                <w:spacing w:val="2"/>
              </w:rPr>
              <w:t>s</w:t>
            </w:r>
            <w:r w:rsidRPr="00332D6B">
              <w:rPr>
                <w:rFonts w:asciiTheme="minorHAnsi" w:hAnsiTheme="minorHAnsi"/>
                <w:spacing w:val="-1"/>
              </w:rPr>
              <w:t>er</w:t>
            </w:r>
            <w:r w:rsidRPr="00332D6B">
              <w:rPr>
                <w:rFonts w:asciiTheme="minorHAnsi" w:hAnsiTheme="minorHAnsi"/>
              </w:rPr>
              <w:t xml:space="preserve">ting </w:t>
            </w:r>
            <w:r w:rsidRPr="00332D6B">
              <w:rPr>
                <w:rFonts w:asciiTheme="minorHAnsi" w:hAnsiTheme="minorHAnsi"/>
                <w:spacing w:val="-1"/>
              </w:rPr>
              <w:t xml:space="preserve">(by </w:t>
            </w:r>
            <w:r w:rsidRPr="00332D6B">
              <w:rPr>
                <w:rFonts w:asciiTheme="minorHAnsi" w:hAnsiTheme="minorHAnsi"/>
              </w:rPr>
              <w:t>m</w:t>
            </w:r>
            <w:r w:rsidRPr="00332D6B">
              <w:rPr>
                <w:rFonts w:asciiTheme="minorHAnsi" w:hAnsiTheme="minorHAnsi"/>
                <w:spacing w:val="-1"/>
              </w:rPr>
              <w:t>ac</w:t>
            </w:r>
            <w:r w:rsidRPr="00332D6B">
              <w:rPr>
                <w:rFonts w:asciiTheme="minorHAnsi" w:hAnsiTheme="minorHAnsi"/>
              </w:rPr>
              <w:t>hi</w:t>
            </w:r>
            <w:r w:rsidRPr="00332D6B">
              <w:rPr>
                <w:rFonts w:asciiTheme="minorHAnsi" w:hAnsiTheme="minorHAnsi"/>
                <w:spacing w:val="2"/>
              </w:rPr>
              <w:t>n</w:t>
            </w:r>
            <w:r w:rsidRPr="00332D6B">
              <w:rPr>
                <w:rFonts w:asciiTheme="minorHAnsi" w:hAnsiTheme="minorHAnsi"/>
                <w:spacing w:val="-1"/>
              </w:rPr>
              <w:t>e)</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9578F" w14:textId="77777777" w:rsidR="00F80E94" w:rsidRPr="00332D6B" w:rsidRDefault="00F80E94" w:rsidP="00306CF3">
            <w:pPr>
              <w:ind w:right="84"/>
              <w:jc w:val="right"/>
              <w:rPr>
                <w:szCs w:val="24"/>
              </w:rPr>
            </w:pPr>
            <w:r w:rsidRPr="00332D6B">
              <w:rPr>
                <w:szCs w:val="24"/>
              </w:rPr>
              <w:t>$0.13</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0DAD8" w14:textId="77777777" w:rsidR="00F80E94" w:rsidRPr="00332D6B" w:rsidRDefault="00F80E94" w:rsidP="00306CF3">
            <w:pPr>
              <w:pStyle w:val="TableParagraph"/>
              <w:kinsoku w:val="0"/>
              <w:overflowPunct w:val="0"/>
              <w:spacing w:line="255"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pi</w:t>
            </w:r>
            <w:r w:rsidRPr="00332D6B">
              <w:rPr>
                <w:rFonts w:asciiTheme="minorHAnsi" w:hAnsiTheme="minorHAnsi"/>
                <w:spacing w:val="-1"/>
              </w:rPr>
              <w:t>ece</w:t>
            </w:r>
          </w:p>
        </w:tc>
      </w:tr>
      <w:tr w:rsidR="00F80E94" w:rsidRPr="00332D6B" w14:paraId="4CCE8DEE" w14:textId="77777777" w:rsidTr="00306CF3">
        <w:trPr>
          <w:trHeight w:hRule="exact" w:val="29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3E712" w14:textId="77777777" w:rsidR="00F80E94" w:rsidRPr="00332D6B" w:rsidRDefault="00F80E94" w:rsidP="00306CF3">
            <w:pPr>
              <w:pStyle w:val="TableParagraph"/>
              <w:kinsoku w:val="0"/>
              <w:overflowPunct w:val="0"/>
              <w:spacing w:line="263" w:lineRule="exact"/>
              <w:ind w:left="207" w:right="18"/>
              <w:rPr>
                <w:rFonts w:asciiTheme="minorHAnsi" w:hAnsiTheme="minorHAnsi"/>
                <w:spacing w:val="-4"/>
              </w:rPr>
            </w:pPr>
            <w:r w:rsidRPr="00332D6B">
              <w:rPr>
                <w:rFonts w:asciiTheme="minorHAnsi" w:hAnsiTheme="minorHAnsi"/>
                <w:spacing w:val="-4"/>
              </w:rPr>
              <w:t>Addressing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4440D" w14:textId="77777777" w:rsidR="00F80E94" w:rsidRPr="00332D6B" w:rsidRDefault="00F80E94" w:rsidP="00306CF3">
            <w:pPr>
              <w:ind w:right="84"/>
              <w:jc w:val="right"/>
              <w:rPr>
                <w:szCs w:val="24"/>
              </w:rPr>
            </w:pPr>
            <w:r w:rsidRPr="00332D6B">
              <w:rPr>
                <w:szCs w:val="24"/>
              </w:rPr>
              <w:t>$0.35</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38E80" w14:textId="77777777" w:rsidR="00F80E94" w:rsidRPr="00332D6B" w:rsidRDefault="00F80E94" w:rsidP="00306CF3">
            <w:pPr>
              <w:pStyle w:val="TableParagraph"/>
              <w:kinsoku w:val="0"/>
              <w:overflowPunct w:val="0"/>
              <w:spacing w:line="255"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pi</w:t>
            </w:r>
            <w:r w:rsidRPr="00332D6B">
              <w:rPr>
                <w:rFonts w:asciiTheme="minorHAnsi" w:hAnsiTheme="minorHAnsi"/>
                <w:spacing w:val="-1"/>
              </w:rPr>
              <w:t>ece</w:t>
            </w:r>
          </w:p>
        </w:tc>
      </w:tr>
      <w:tr w:rsidR="00F80E94" w:rsidRPr="00332D6B" w14:paraId="698056EA" w14:textId="77777777" w:rsidTr="00306CF3">
        <w:trPr>
          <w:trHeight w:hRule="exact" w:val="29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7BD9A" w14:textId="77777777" w:rsidR="00F80E94" w:rsidRPr="00332D6B" w:rsidRDefault="00F80E94" w:rsidP="00306CF3">
            <w:pPr>
              <w:pStyle w:val="TableParagraph"/>
              <w:kinsoku w:val="0"/>
              <w:overflowPunct w:val="0"/>
              <w:spacing w:line="267" w:lineRule="exact"/>
              <w:ind w:left="102" w:right="18"/>
              <w:rPr>
                <w:rFonts w:asciiTheme="minorHAnsi" w:hAnsiTheme="minorHAnsi"/>
              </w:rPr>
            </w:pPr>
            <w:r w:rsidRPr="00332D6B">
              <w:rPr>
                <w:rFonts w:asciiTheme="minorHAnsi" w:hAnsiTheme="minorHAnsi"/>
                <w:b/>
                <w:bCs/>
                <w:spacing w:val="-1"/>
              </w:rPr>
              <w:t>Met</w:t>
            </w:r>
            <w:r w:rsidRPr="00332D6B">
              <w:rPr>
                <w:rFonts w:asciiTheme="minorHAnsi" w:hAnsiTheme="minorHAnsi"/>
                <w:b/>
                <w:bCs/>
                <w:spacing w:val="1"/>
              </w:rPr>
              <w:t>e</w:t>
            </w:r>
            <w:r w:rsidRPr="00332D6B">
              <w:rPr>
                <w:rFonts w:asciiTheme="minorHAnsi" w:hAnsiTheme="minorHAnsi"/>
                <w:b/>
                <w:bCs/>
                <w:spacing w:val="-1"/>
              </w:rPr>
              <w:t>r</w:t>
            </w:r>
            <w:r w:rsidRPr="00332D6B">
              <w:rPr>
                <w:rFonts w:asciiTheme="minorHAnsi" w:hAnsiTheme="minorHAnsi"/>
                <w:b/>
                <w:bCs/>
              </w:rPr>
              <w:t>ing S</w:t>
            </w:r>
            <w:r w:rsidRPr="00332D6B">
              <w:rPr>
                <w:rFonts w:asciiTheme="minorHAnsi" w:hAnsiTheme="minorHAnsi"/>
                <w:b/>
                <w:bCs/>
                <w:spacing w:val="-1"/>
              </w:rPr>
              <w:t>er</w:t>
            </w:r>
            <w:r w:rsidRPr="00332D6B">
              <w:rPr>
                <w:rFonts w:asciiTheme="minorHAnsi" w:hAnsiTheme="minorHAnsi"/>
                <w:b/>
                <w:bCs/>
              </w:rPr>
              <w:t>vi</w:t>
            </w:r>
            <w:r w:rsidRPr="00332D6B">
              <w:rPr>
                <w:rFonts w:asciiTheme="minorHAnsi" w:hAnsiTheme="minorHAnsi"/>
                <w:b/>
                <w:bCs/>
                <w:spacing w:val="-1"/>
              </w:rPr>
              <w:t>ce</w:t>
            </w:r>
            <w:r w:rsidRPr="00332D6B">
              <w:rPr>
                <w:rFonts w:asciiTheme="minorHAnsi" w:hAnsiTheme="minorHAnsi"/>
                <w:b/>
                <w:bCs/>
              </w:rPr>
              <w:t>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18421" w14:textId="77777777" w:rsidR="00F80E94" w:rsidRPr="00332D6B" w:rsidRDefault="00F80E94" w:rsidP="00306CF3">
            <w:pPr>
              <w:ind w:right="84"/>
              <w:jc w:val="right"/>
              <w:rPr>
                <w:szCs w:val="24"/>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6AEE6" w14:textId="77777777" w:rsidR="00F80E94" w:rsidRPr="00332D6B" w:rsidRDefault="00F80E94" w:rsidP="00306CF3">
            <w:pPr>
              <w:ind w:right="18"/>
              <w:jc w:val="center"/>
              <w:rPr>
                <w:szCs w:val="24"/>
              </w:rPr>
            </w:pPr>
          </w:p>
        </w:tc>
      </w:tr>
      <w:tr w:rsidR="00F80E94" w:rsidRPr="00332D6B" w14:paraId="4F61EB28" w14:textId="77777777" w:rsidTr="00306CF3">
        <w:trPr>
          <w:trHeight w:hRule="exact" w:val="29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33309" w14:textId="77777777" w:rsidR="00F80E94" w:rsidRPr="00332D6B" w:rsidRDefault="00F80E94" w:rsidP="00306CF3">
            <w:pPr>
              <w:pStyle w:val="TableParagraph"/>
              <w:kinsoku w:val="0"/>
              <w:overflowPunct w:val="0"/>
              <w:spacing w:line="263" w:lineRule="exact"/>
              <w:ind w:left="207" w:right="18"/>
              <w:rPr>
                <w:rFonts w:asciiTheme="minorHAnsi" w:hAnsiTheme="minorHAnsi"/>
              </w:rPr>
            </w:pPr>
            <w:r w:rsidRPr="00332D6B">
              <w:rPr>
                <w:rFonts w:asciiTheme="minorHAnsi" w:hAnsiTheme="minorHAnsi"/>
                <w:spacing w:val="-3"/>
              </w:rPr>
              <w:t>L</w:t>
            </w:r>
            <w:r w:rsidRPr="00332D6B">
              <w:rPr>
                <w:rFonts w:asciiTheme="minorHAnsi" w:hAnsiTheme="minorHAnsi"/>
                <w:spacing w:val="-1"/>
              </w:rPr>
              <w:t>e</w:t>
            </w:r>
            <w:r w:rsidRPr="00332D6B">
              <w:rPr>
                <w:rFonts w:asciiTheme="minorHAnsi" w:hAnsiTheme="minorHAnsi"/>
              </w:rPr>
              <w:t>tt</w:t>
            </w:r>
            <w:r w:rsidRPr="00332D6B">
              <w:rPr>
                <w:rFonts w:asciiTheme="minorHAnsi" w:hAnsiTheme="minorHAnsi"/>
                <w:spacing w:val="1"/>
              </w:rPr>
              <w:t>e</w:t>
            </w:r>
            <w:r w:rsidRPr="00332D6B">
              <w:rPr>
                <w:rFonts w:asciiTheme="minorHAnsi" w:hAnsiTheme="minorHAnsi"/>
                <w:spacing w:val="-1"/>
              </w:rPr>
              <w:t>r</w:t>
            </w:r>
            <w:r w:rsidRPr="00332D6B">
              <w:rPr>
                <w:rFonts w:asciiTheme="minorHAnsi" w:hAnsiTheme="minorHAnsi"/>
              </w:rPr>
              <w:t>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9CCEA" w14:textId="77777777" w:rsidR="00F80E94" w:rsidRPr="00332D6B" w:rsidRDefault="00F80E94" w:rsidP="00306CF3">
            <w:pPr>
              <w:ind w:right="84"/>
              <w:jc w:val="right"/>
              <w:rPr>
                <w:szCs w:val="24"/>
              </w:rPr>
            </w:pPr>
            <w:r w:rsidRPr="00332D6B">
              <w:rPr>
                <w:szCs w:val="24"/>
              </w:rPr>
              <w:t>$0.30</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1588" w14:textId="77777777" w:rsidR="00F80E94" w:rsidRPr="00332D6B" w:rsidRDefault="00F80E94" w:rsidP="00306CF3">
            <w:pPr>
              <w:pStyle w:val="TableParagraph"/>
              <w:kinsoku w:val="0"/>
              <w:overflowPunct w:val="0"/>
              <w:spacing w:line="263"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pi</w:t>
            </w:r>
            <w:r w:rsidRPr="00332D6B">
              <w:rPr>
                <w:rFonts w:asciiTheme="minorHAnsi" w:hAnsiTheme="minorHAnsi"/>
                <w:spacing w:val="-1"/>
              </w:rPr>
              <w:t>ece</w:t>
            </w:r>
          </w:p>
        </w:tc>
      </w:tr>
      <w:tr w:rsidR="00F80E94" w:rsidRPr="00332D6B" w14:paraId="053DE191" w14:textId="77777777" w:rsidTr="00306CF3">
        <w:trPr>
          <w:trHeight w:hRule="exact" w:val="300"/>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734D2" w14:textId="77777777" w:rsidR="00F80E94" w:rsidRPr="00332D6B" w:rsidRDefault="00F80E94" w:rsidP="00306CF3">
            <w:pPr>
              <w:pStyle w:val="TableParagraph"/>
              <w:kinsoku w:val="0"/>
              <w:overflowPunct w:val="0"/>
              <w:spacing w:line="263" w:lineRule="exact"/>
              <w:ind w:left="207" w:right="18"/>
              <w:rPr>
                <w:rFonts w:asciiTheme="minorHAnsi" w:hAnsiTheme="minorHAnsi"/>
              </w:rPr>
            </w:pPr>
            <w:r w:rsidRPr="00332D6B">
              <w:rPr>
                <w:rFonts w:asciiTheme="minorHAnsi" w:hAnsiTheme="minorHAnsi"/>
                <w:spacing w:val="-2"/>
              </w:rPr>
              <w:t>F</w:t>
            </w:r>
            <w:r w:rsidRPr="00332D6B">
              <w:rPr>
                <w:rFonts w:asciiTheme="minorHAnsi" w:hAnsiTheme="minorHAnsi"/>
              </w:rPr>
              <w:t>l</w:t>
            </w:r>
            <w:r w:rsidRPr="00332D6B">
              <w:rPr>
                <w:rFonts w:asciiTheme="minorHAnsi" w:hAnsiTheme="minorHAnsi"/>
                <w:spacing w:val="-1"/>
              </w:rPr>
              <w:t>a</w:t>
            </w:r>
            <w:r w:rsidRPr="00332D6B">
              <w:rPr>
                <w:rFonts w:asciiTheme="minorHAnsi" w:hAnsiTheme="minorHAnsi"/>
              </w:rPr>
              <w:t>ts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24D95" w14:textId="77777777" w:rsidR="00F80E94" w:rsidRPr="00332D6B" w:rsidRDefault="00F80E94" w:rsidP="00306CF3">
            <w:pPr>
              <w:ind w:right="84"/>
              <w:jc w:val="right"/>
              <w:rPr>
                <w:szCs w:val="24"/>
              </w:rPr>
            </w:pPr>
            <w:r w:rsidRPr="00332D6B">
              <w:rPr>
                <w:szCs w:val="24"/>
              </w:rPr>
              <w:t>$0.50</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7192E" w14:textId="77777777" w:rsidR="00F80E94" w:rsidRPr="00332D6B" w:rsidRDefault="00F80E94" w:rsidP="00306CF3">
            <w:pPr>
              <w:pStyle w:val="TableParagraph"/>
              <w:kinsoku w:val="0"/>
              <w:overflowPunct w:val="0"/>
              <w:spacing w:line="263"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pi</w:t>
            </w:r>
            <w:r w:rsidRPr="00332D6B">
              <w:rPr>
                <w:rFonts w:asciiTheme="minorHAnsi" w:hAnsiTheme="minorHAnsi"/>
                <w:spacing w:val="-1"/>
              </w:rPr>
              <w:t>ece</w:t>
            </w:r>
          </w:p>
        </w:tc>
      </w:tr>
      <w:tr w:rsidR="00F80E94" w:rsidRPr="00332D6B" w14:paraId="0F8911D1" w14:textId="77777777" w:rsidTr="00306CF3">
        <w:trPr>
          <w:trHeight w:hRule="exact" w:val="29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321B6" w14:textId="77777777" w:rsidR="00F80E94" w:rsidRPr="00332D6B" w:rsidRDefault="00F80E94" w:rsidP="00306CF3">
            <w:pPr>
              <w:pStyle w:val="TableParagraph"/>
              <w:kinsoku w:val="0"/>
              <w:overflowPunct w:val="0"/>
              <w:spacing w:line="265" w:lineRule="exact"/>
              <w:ind w:left="102" w:right="18"/>
              <w:rPr>
                <w:rFonts w:asciiTheme="minorHAnsi" w:hAnsiTheme="minorHAnsi"/>
              </w:rPr>
            </w:pPr>
            <w:r w:rsidRPr="00332D6B">
              <w:rPr>
                <w:rFonts w:asciiTheme="minorHAnsi" w:hAnsiTheme="minorHAnsi"/>
                <w:b/>
                <w:bCs/>
              </w:rPr>
              <w:t>Shi</w:t>
            </w:r>
            <w:r w:rsidRPr="00332D6B">
              <w:rPr>
                <w:rFonts w:asciiTheme="minorHAnsi" w:hAnsiTheme="minorHAnsi"/>
                <w:b/>
                <w:bCs/>
                <w:spacing w:val="-2"/>
              </w:rPr>
              <w:t>p</w:t>
            </w:r>
            <w:r w:rsidRPr="00332D6B">
              <w:rPr>
                <w:rFonts w:asciiTheme="minorHAnsi" w:hAnsiTheme="minorHAnsi"/>
                <w:b/>
                <w:bCs/>
              </w:rPr>
              <w:t>ping: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1923" w14:textId="77777777" w:rsidR="00F80E94" w:rsidRPr="00332D6B" w:rsidRDefault="00F80E94" w:rsidP="00306CF3">
            <w:pPr>
              <w:ind w:right="84"/>
              <w:jc w:val="right"/>
              <w:rPr>
                <w:szCs w:val="24"/>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E1B46" w14:textId="77777777" w:rsidR="00F80E94" w:rsidRPr="00332D6B" w:rsidRDefault="00F80E94" w:rsidP="00306CF3">
            <w:pPr>
              <w:ind w:right="18"/>
              <w:jc w:val="center"/>
              <w:rPr>
                <w:szCs w:val="24"/>
              </w:rPr>
            </w:pPr>
          </w:p>
        </w:tc>
      </w:tr>
      <w:tr w:rsidR="00F80E94" w:rsidRPr="00332D6B" w14:paraId="4F4CA44B" w14:textId="77777777" w:rsidTr="00306CF3">
        <w:trPr>
          <w:trHeight w:hRule="exact" w:val="29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D3A0C" w14:textId="77777777" w:rsidR="00F80E94" w:rsidRPr="00332D6B" w:rsidRDefault="00F80E94" w:rsidP="00306CF3">
            <w:pPr>
              <w:pStyle w:val="TableParagraph"/>
              <w:kinsoku w:val="0"/>
              <w:overflowPunct w:val="0"/>
              <w:spacing w:line="260" w:lineRule="exact"/>
              <w:ind w:left="207" w:right="18"/>
              <w:rPr>
                <w:rFonts w:asciiTheme="minorHAnsi" w:hAnsiTheme="minorHAnsi"/>
              </w:rPr>
            </w:pPr>
            <w:r w:rsidRPr="00332D6B">
              <w:rPr>
                <w:rFonts w:asciiTheme="minorHAnsi" w:hAnsiTheme="minorHAnsi"/>
              </w:rPr>
              <w:t>P</w:t>
            </w:r>
            <w:r w:rsidRPr="00332D6B">
              <w:rPr>
                <w:rFonts w:asciiTheme="minorHAnsi" w:hAnsiTheme="minorHAnsi"/>
                <w:spacing w:val="-1"/>
              </w:rPr>
              <w:t>ac</w:t>
            </w:r>
            <w:r w:rsidRPr="00332D6B">
              <w:rPr>
                <w:rFonts w:asciiTheme="minorHAnsi" w:hAnsiTheme="minorHAnsi"/>
              </w:rPr>
              <w:t>k</w:t>
            </w:r>
            <w:r w:rsidRPr="00332D6B">
              <w:rPr>
                <w:rFonts w:asciiTheme="minorHAnsi" w:hAnsiTheme="minorHAnsi"/>
                <w:spacing w:val="1"/>
              </w:rPr>
              <w:t>a</w:t>
            </w:r>
            <w:r w:rsidRPr="00332D6B">
              <w:rPr>
                <w:rFonts w:asciiTheme="minorHAnsi" w:hAnsiTheme="minorHAnsi"/>
                <w:spacing w:val="-3"/>
              </w:rPr>
              <w:t>g</w:t>
            </w:r>
            <w:r w:rsidRPr="00332D6B">
              <w:rPr>
                <w:rFonts w:asciiTheme="minorHAnsi" w:hAnsiTheme="minorHAnsi"/>
              </w:rPr>
              <w:t>i</w:t>
            </w:r>
            <w:r w:rsidRPr="00332D6B">
              <w:rPr>
                <w:rFonts w:asciiTheme="minorHAnsi" w:hAnsiTheme="minorHAnsi"/>
                <w:spacing w:val="2"/>
              </w:rPr>
              <w:t>n</w:t>
            </w:r>
            <w:r w:rsidRPr="00332D6B">
              <w:rPr>
                <w:rFonts w:asciiTheme="minorHAnsi" w:hAnsiTheme="minorHAnsi"/>
              </w:rPr>
              <w:t>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89DE7" w14:textId="77777777" w:rsidR="00F80E94" w:rsidRPr="00332D6B" w:rsidRDefault="00F80E94" w:rsidP="00306CF3">
            <w:pPr>
              <w:ind w:right="84"/>
              <w:jc w:val="right"/>
              <w:rPr>
                <w:szCs w:val="24"/>
              </w:rPr>
            </w:pPr>
            <w:r w:rsidRPr="00332D6B">
              <w:rPr>
                <w:szCs w:val="24"/>
              </w:rPr>
              <w:t>$82.00</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E5B99" w14:textId="77777777" w:rsidR="00F80E94" w:rsidRPr="00332D6B" w:rsidRDefault="00F80E94" w:rsidP="00306CF3">
            <w:pPr>
              <w:pStyle w:val="TableParagraph"/>
              <w:kinsoku w:val="0"/>
              <w:overflowPunct w:val="0"/>
              <w:spacing w:line="260"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hour (using the Bindery per hr.)</w:t>
            </w:r>
          </w:p>
        </w:tc>
      </w:tr>
    </w:tbl>
    <w:p w14:paraId="4A47B56D" w14:textId="77777777" w:rsidR="00F80E94" w:rsidRDefault="00F80E94" w:rsidP="00F80E94">
      <w:pPr>
        <w:ind w:right="18"/>
        <w:rPr>
          <w:b/>
          <w:bCs/>
        </w:rPr>
      </w:pPr>
    </w:p>
    <w:p w14:paraId="3C07EAD1" w14:textId="77777777" w:rsidR="00F80E94" w:rsidRDefault="00F80E94" w:rsidP="00F80E94">
      <w:pPr>
        <w:ind w:right="18"/>
      </w:pPr>
      <w:r>
        <w:rPr>
          <w:b/>
          <w:bCs/>
        </w:rPr>
        <w:t>S</w:t>
      </w:r>
      <w:r w:rsidRPr="009E6C6D">
        <w:rPr>
          <w:b/>
          <w:bCs/>
        </w:rPr>
        <w:t>p</w:t>
      </w:r>
      <w:r w:rsidRPr="009E6C6D">
        <w:rPr>
          <w:b/>
          <w:bCs/>
          <w:spacing w:val="-1"/>
        </w:rPr>
        <w:t>ec</w:t>
      </w:r>
      <w:r w:rsidRPr="009E6C6D">
        <w:rPr>
          <w:b/>
          <w:bCs/>
        </w:rPr>
        <w:t xml:space="preserve">ial </w:t>
      </w:r>
      <w:r w:rsidRPr="009E6C6D">
        <w:rPr>
          <w:b/>
          <w:bCs/>
          <w:spacing w:val="-3"/>
        </w:rPr>
        <w:t>P</w:t>
      </w:r>
      <w:r w:rsidRPr="009E6C6D">
        <w:rPr>
          <w:b/>
          <w:bCs/>
          <w:spacing w:val="-1"/>
        </w:rPr>
        <w:t>re</w:t>
      </w:r>
      <w:r w:rsidRPr="009E6C6D">
        <w:rPr>
          <w:b/>
          <w:bCs/>
        </w:rPr>
        <w:t>pa</w:t>
      </w:r>
      <w:r w:rsidRPr="009E6C6D">
        <w:rPr>
          <w:b/>
          <w:bCs/>
          <w:spacing w:val="-1"/>
        </w:rPr>
        <w:t>r</w:t>
      </w:r>
      <w:r w:rsidRPr="009E6C6D">
        <w:rPr>
          <w:b/>
          <w:bCs/>
          <w:spacing w:val="2"/>
        </w:rPr>
        <w:t>a</w:t>
      </w:r>
      <w:r w:rsidRPr="009E6C6D">
        <w:rPr>
          <w:b/>
          <w:bCs/>
          <w:spacing w:val="-1"/>
        </w:rPr>
        <w:t>t</w:t>
      </w:r>
      <w:r w:rsidRPr="009E6C6D">
        <w:rPr>
          <w:b/>
          <w:bCs/>
        </w:rPr>
        <w:t xml:space="preserve">ion </w:t>
      </w:r>
      <w:r w:rsidRPr="009E6C6D">
        <w:rPr>
          <w:b/>
          <w:bCs/>
          <w:spacing w:val="1"/>
        </w:rPr>
        <w:t>f</w:t>
      </w:r>
      <w:r w:rsidRPr="009E6C6D">
        <w:rPr>
          <w:b/>
          <w:bCs/>
        </w:rPr>
        <w:t>or</w:t>
      </w:r>
      <w:r w:rsidRPr="009E6C6D">
        <w:rPr>
          <w:b/>
          <w:bCs/>
          <w:spacing w:val="-1"/>
        </w:rPr>
        <w:t xml:space="preserve"> </w:t>
      </w:r>
      <w:r w:rsidRPr="009E6C6D">
        <w:rPr>
          <w:b/>
          <w:bCs/>
          <w:spacing w:val="-3"/>
        </w:rPr>
        <w:t>P</w:t>
      </w:r>
      <w:r w:rsidRPr="009E6C6D">
        <w:rPr>
          <w:b/>
          <w:bCs/>
          <w:spacing w:val="-1"/>
        </w:rPr>
        <w:t>r</w:t>
      </w:r>
      <w:r w:rsidRPr="009E6C6D">
        <w:rPr>
          <w:b/>
          <w:bCs/>
        </w:rPr>
        <w:t>odu</w:t>
      </w:r>
      <w:r w:rsidRPr="009E6C6D">
        <w:rPr>
          <w:b/>
          <w:bCs/>
          <w:spacing w:val="-1"/>
        </w:rPr>
        <w:t>ct</w:t>
      </w:r>
      <w:r w:rsidRPr="009E6C6D">
        <w:rPr>
          <w:b/>
          <w:bCs/>
        </w:rPr>
        <w:t xml:space="preserve">ion and </w:t>
      </w:r>
      <w:r w:rsidRPr="009E6C6D">
        <w:rPr>
          <w:b/>
          <w:bCs/>
          <w:spacing w:val="-1"/>
        </w:rPr>
        <w:t>De</w:t>
      </w:r>
      <w:r w:rsidRPr="009E6C6D">
        <w:rPr>
          <w:b/>
          <w:bCs/>
        </w:rPr>
        <w:t>sign:</w:t>
      </w:r>
      <w:r>
        <w:rPr>
          <w:b/>
          <w:bCs/>
        </w:rPr>
        <w:t xml:space="preserve"> </w:t>
      </w:r>
      <w:r w:rsidRPr="00432E30">
        <w:t>P</w:t>
      </w:r>
      <w:r w:rsidRPr="00432E30">
        <w:rPr>
          <w:spacing w:val="-2"/>
        </w:rPr>
        <w:t>&amp;</w:t>
      </w:r>
      <w:r w:rsidRPr="00432E30">
        <w:t>D</w:t>
      </w:r>
      <w:r w:rsidRPr="00432E30">
        <w:rPr>
          <w:spacing w:val="-1"/>
        </w:rPr>
        <w:t xml:space="preserve"> e</w:t>
      </w:r>
      <w:r w:rsidRPr="00432E30">
        <w:t>mpl</w:t>
      </w:r>
      <w:r w:rsidRPr="00432E30">
        <w:rPr>
          <w:spacing w:val="4"/>
        </w:rPr>
        <w:t>o</w:t>
      </w:r>
      <w:r w:rsidRPr="00432E30">
        <w:rPr>
          <w:spacing w:val="-5"/>
        </w:rPr>
        <w:t>y</w:t>
      </w:r>
      <w:r w:rsidRPr="00432E30">
        <w:rPr>
          <w:spacing w:val="-1"/>
        </w:rPr>
        <w:t>ee</w:t>
      </w:r>
      <w:r w:rsidRPr="00432E30">
        <w:t xml:space="preserve">s </w:t>
      </w:r>
      <w:r w:rsidRPr="00432E30">
        <w:rPr>
          <w:spacing w:val="2"/>
        </w:rPr>
        <w:t>p</w:t>
      </w:r>
      <w:r w:rsidRPr="00432E30">
        <w:rPr>
          <w:spacing w:val="-1"/>
        </w:rPr>
        <w:t>re</w:t>
      </w:r>
      <w:r w:rsidRPr="00432E30">
        <w:t>p</w:t>
      </w:r>
      <w:r w:rsidRPr="00432E30">
        <w:rPr>
          <w:spacing w:val="1"/>
        </w:rPr>
        <w:t>a</w:t>
      </w:r>
      <w:r w:rsidRPr="00432E30">
        <w:rPr>
          <w:spacing w:val="-1"/>
        </w:rPr>
        <w:t>r</w:t>
      </w:r>
      <w:r w:rsidRPr="00432E30">
        <w:t>e</w:t>
      </w:r>
      <w:r w:rsidRPr="00432E30">
        <w:rPr>
          <w:spacing w:val="1"/>
        </w:rPr>
        <w:t xml:space="preserve"> </w:t>
      </w:r>
      <w:r w:rsidRPr="00432E30">
        <w:rPr>
          <w:spacing w:val="-1"/>
        </w:rPr>
        <w:t>f</w:t>
      </w:r>
      <w:r w:rsidRPr="00432E30">
        <w:t>il</w:t>
      </w:r>
      <w:r w:rsidRPr="00432E30">
        <w:rPr>
          <w:spacing w:val="-1"/>
        </w:rPr>
        <w:t>e</w:t>
      </w:r>
      <w:r w:rsidRPr="00432E30">
        <w:t xml:space="preserve">s </w:t>
      </w:r>
      <w:r w:rsidRPr="00432E30">
        <w:rPr>
          <w:spacing w:val="-1"/>
        </w:rPr>
        <w:t>fo</w:t>
      </w:r>
      <w:r w:rsidRPr="00432E30">
        <w:t>r</w:t>
      </w:r>
      <w:r w:rsidRPr="00432E30">
        <w:rPr>
          <w:spacing w:val="-1"/>
        </w:rPr>
        <w:t xml:space="preserve"> </w:t>
      </w:r>
      <w:r w:rsidRPr="00432E30">
        <w:t>p</w:t>
      </w:r>
      <w:r w:rsidRPr="00432E30">
        <w:rPr>
          <w:spacing w:val="-1"/>
        </w:rPr>
        <w:t>r</w:t>
      </w:r>
      <w:r w:rsidRPr="00432E30">
        <w:t>intin</w:t>
      </w:r>
      <w:r w:rsidRPr="00432E30">
        <w:rPr>
          <w:spacing w:val="-3"/>
        </w:rPr>
        <w:t>g</w:t>
      </w:r>
      <w:r>
        <w:t xml:space="preserve">. </w:t>
      </w:r>
      <w:r w:rsidRPr="00432E30">
        <w:rPr>
          <w:spacing w:val="-1"/>
        </w:rPr>
        <w:t>N</w:t>
      </w:r>
      <w:r w:rsidRPr="00432E30">
        <w:t>o</w:t>
      </w:r>
      <w:r w:rsidRPr="00432E30">
        <w:rPr>
          <w:spacing w:val="-1"/>
        </w:rPr>
        <w:t>r</w:t>
      </w:r>
      <w:r w:rsidRPr="00432E30">
        <w:t>m</w:t>
      </w:r>
      <w:r w:rsidRPr="00432E30">
        <w:rPr>
          <w:spacing w:val="1"/>
        </w:rPr>
        <w:t>a</w:t>
      </w:r>
      <w:r w:rsidRPr="00432E30">
        <w:t>l p</w:t>
      </w:r>
      <w:r w:rsidRPr="00432E30">
        <w:rPr>
          <w:spacing w:val="-1"/>
        </w:rPr>
        <w:t>re</w:t>
      </w:r>
      <w:r w:rsidRPr="00432E30">
        <w:t>p</w:t>
      </w:r>
      <w:r w:rsidRPr="00432E30">
        <w:rPr>
          <w:spacing w:val="-1"/>
        </w:rPr>
        <w:t>a</w:t>
      </w:r>
      <w:r w:rsidRPr="00432E30">
        <w:rPr>
          <w:spacing w:val="1"/>
        </w:rPr>
        <w:t>r</w:t>
      </w:r>
      <w:r w:rsidRPr="00432E30">
        <w:rPr>
          <w:spacing w:val="-1"/>
        </w:rPr>
        <w:t>a</w:t>
      </w:r>
      <w:r w:rsidRPr="00432E30">
        <w:t>tion of</w:t>
      </w:r>
      <w:r w:rsidRPr="00432E30">
        <w:rPr>
          <w:spacing w:val="-1"/>
        </w:rPr>
        <w:t xml:space="preserve"> “</w:t>
      </w:r>
      <w:r w:rsidRPr="00432E30">
        <w:t>p</w:t>
      </w:r>
      <w:r w:rsidRPr="00432E30">
        <w:rPr>
          <w:spacing w:val="-1"/>
        </w:rPr>
        <w:t>r</w:t>
      </w:r>
      <w:r w:rsidRPr="00432E30">
        <w:t xml:space="preserve">int </w:t>
      </w:r>
      <w:r w:rsidRPr="00432E30">
        <w:rPr>
          <w:spacing w:val="-1"/>
        </w:rPr>
        <w:t>r</w:t>
      </w:r>
      <w:r w:rsidRPr="00432E30">
        <w:rPr>
          <w:spacing w:val="1"/>
        </w:rPr>
        <w:t>ea</w:t>
      </w:r>
      <w:r w:rsidRPr="00432E30">
        <w:rPr>
          <w:spacing w:val="2"/>
        </w:rPr>
        <w:t>d</w:t>
      </w:r>
      <w:r w:rsidRPr="00432E30">
        <w:rPr>
          <w:spacing w:val="-5"/>
        </w:rPr>
        <w:t>y</w:t>
      </w:r>
      <w:r w:rsidRPr="00432E30">
        <w:t>”</w:t>
      </w:r>
      <w:r w:rsidRPr="00432E30">
        <w:rPr>
          <w:spacing w:val="-1"/>
        </w:rPr>
        <w:t xml:space="preserve"> </w:t>
      </w:r>
      <w:r w:rsidRPr="00432E30">
        <w:t>d</w:t>
      </w:r>
      <w:r w:rsidRPr="00432E30">
        <w:rPr>
          <w:spacing w:val="2"/>
        </w:rPr>
        <w:t>o</w:t>
      </w:r>
      <w:r w:rsidRPr="00432E30">
        <w:rPr>
          <w:spacing w:val="-1"/>
        </w:rPr>
        <w:t>c</w:t>
      </w:r>
      <w:r w:rsidRPr="00432E30">
        <w:t>um</w:t>
      </w:r>
      <w:r w:rsidRPr="00432E30">
        <w:rPr>
          <w:spacing w:val="-1"/>
        </w:rPr>
        <w:t>e</w:t>
      </w:r>
      <w:r w:rsidRPr="00432E30">
        <w:t>nts is in</w:t>
      </w:r>
      <w:r w:rsidRPr="00432E30">
        <w:rPr>
          <w:spacing w:val="-1"/>
        </w:rPr>
        <w:t>c</w:t>
      </w:r>
      <w:r w:rsidRPr="00432E30">
        <w:t>lud</w:t>
      </w:r>
      <w:r w:rsidRPr="00432E30">
        <w:rPr>
          <w:spacing w:val="1"/>
        </w:rPr>
        <w:t>e</w:t>
      </w:r>
      <w:r w:rsidRPr="00432E30">
        <w:t>d in the</w:t>
      </w:r>
      <w:r w:rsidRPr="00432E30">
        <w:rPr>
          <w:spacing w:val="-1"/>
        </w:rPr>
        <w:t xml:space="preserve"> </w:t>
      </w:r>
      <w:r w:rsidRPr="00432E30">
        <w:t>imp</w:t>
      </w:r>
      <w:r w:rsidRPr="00432E30">
        <w:rPr>
          <w:spacing w:val="-1"/>
        </w:rPr>
        <w:t>re</w:t>
      </w:r>
      <w:r w:rsidRPr="00432E30">
        <w:t xml:space="preserve">ssion </w:t>
      </w:r>
      <w:r w:rsidRPr="00432E30">
        <w:rPr>
          <w:spacing w:val="-1"/>
        </w:rPr>
        <w:t>ra</w:t>
      </w:r>
      <w:r w:rsidRPr="00432E30">
        <w:t>t</w:t>
      </w:r>
      <w:r w:rsidRPr="00432E30">
        <w:rPr>
          <w:spacing w:val="-1"/>
        </w:rPr>
        <w:t>e</w:t>
      </w:r>
      <w:r>
        <w:rPr>
          <w:spacing w:val="-1"/>
        </w:rPr>
        <w:t xml:space="preserve">. Jobs </w:t>
      </w:r>
      <w:r w:rsidRPr="00432E30">
        <w:t>th</w:t>
      </w:r>
      <w:r w:rsidRPr="00432E30">
        <w:rPr>
          <w:spacing w:val="-1"/>
        </w:rPr>
        <w:t>a</w:t>
      </w:r>
      <w:r w:rsidRPr="00432E30">
        <w:t xml:space="preserve">t </w:t>
      </w:r>
      <w:r w:rsidRPr="00432E30">
        <w:rPr>
          <w:spacing w:val="-1"/>
        </w:rPr>
        <w:t>re</w:t>
      </w:r>
      <w:r w:rsidRPr="00432E30">
        <w:t>qui</w:t>
      </w:r>
      <w:r w:rsidRPr="00432E30">
        <w:rPr>
          <w:spacing w:val="-1"/>
        </w:rPr>
        <w:t>r</w:t>
      </w:r>
      <w:r w:rsidRPr="00432E30">
        <w:t>e</w:t>
      </w:r>
      <w:r w:rsidRPr="00432E30">
        <w:rPr>
          <w:spacing w:val="-1"/>
        </w:rPr>
        <w:t xml:space="preserve"> a</w:t>
      </w:r>
      <w:r w:rsidRPr="00432E30">
        <w:t>ddition</w:t>
      </w:r>
      <w:r w:rsidRPr="00432E30">
        <w:rPr>
          <w:spacing w:val="1"/>
        </w:rPr>
        <w:t>a</w:t>
      </w:r>
      <w:r w:rsidRPr="00432E30">
        <w:t>l p</w:t>
      </w:r>
      <w:r w:rsidRPr="00432E30">
        <w:rPr>
          <w:spacing w:val="-1"/>
        </w:rPr>
        <w:t>re</w:t>
      </w:r>
      <w:r w:rsidRPr="00432E30">
        <w:t>p</w:t>
      </w:r>
      <w:r w:rsidRPr="00432E30">
        <w:rPr>
          <w:spacing w:val="-1"/>
        </w:rPr>
        <w:t>a</w:t>
      </w:r>
      <w:r w:rsidRPr="00432E30">
        <w:rPr>
          <w:spacing w:val="1"/>
        </w:rPr>
        <w:t>r</w:t>
      </w:r>
      <w:r w:rsidRPr="00432E30">
        <w:rPr>
          <w:spacing w:val="-1"/>
        </w:rPr>
        <w:t>a</w:t>
      </w:r>
      <w:r w:rsidRPr="00432E30">
        <w:t xml:space="preserve">tion </w:t>
      </w:r>
      <w:r w:rsidRPr="00432E30">
        <w:rPr>
          <w:spacing w:val="-1"/>
        </w:rPr>
        <w:t>w</w:t>
      </w:r>
      <w:r w:rsidRPr="00432E30">
        <w:t xml:space="preserve">ill </w:t>
      </w:r>
      <w:r w:rsidRPr="00432E30">
        <w:rPr>
          <w:spacing w:val="-1"/>
        </w:rPr>
        <w:t>re</w:t>
      </w:r>
      <w:r w:rsidRPr="00432E30">
        <w:t xml:space="preserve">sult in </w:t>
      </w:r>
      <w:r w:rsidRPr="00432E30">
        <w:rPr>
          <w:spacing w:val="-1"/>
        </w:rPr>
        <w:t>a</w:t>
      </w:r>
      <w:r w:rsidRPr="00432E30">
        <w:t xml:space="preserve">n </w:t>
      </w:r>
      <w:r w:rsidRPr="00432E30">
        <w:rPr>
          <w:spacing w:val="-1"/>
        </w:rPr>
        <w:t>a</w:t>
      </w:r>
      <w:r w:rsidRPr="00432E30">
        <w:t>ddition</w:t>
      </w:r>
      <w:r w:rsidRPr="00432E30">
        <w:rPr>
          <w:spacing w:val="-1"/>
        </w:rPr>
        <w:t>a</w:t>
      </w:r>
      <w:r w:rsidRPr="00432E30">
        <w:t>l hou</w:t>
      </w:r>
      <w:r w:rsidRPr="00432E30">
        <w:rPr>
          <w:spacing w:val="-1"/>
        </w:rPr>
        <w:t>r</w:t>
      </w:r>
      <w:r w:rsidRPr="00432E30">
        <w:rPr>
          <w:spacing w:val="2"/>
        </w:rPr>
        <w:t>l</w:t>
      </w:r>
      <w:r w:rsidRPr="00432E30">
        <w:t>y</w:t>
      </w:r>
      <w:r w:rsidRPr="00432E30">
        <w:rPr>
          <w:spacing w:val="-3"/>
        </w:rPr>
        <w:t xml:space="preserve"> </w:t>
      </w:r>
      <w:r w:rsidRPr="00432E30">
        <w:rPr>
          <w:spacing w:val="-1"/>
        </w:rPr>
        <w:t>c</w:t>
      </w:r>
      <w:r w:rsidRPr="00432E30">
        <w:rPr>
          <w:spacing w:val="2"/>
        </w:rPr>
        <w:t>h</w:t>
      </w:r>
      <w:r w:rsidRPr="00432E30">
        <w:rPr>
          <w:spacing w:val="-1"/>
        </w:rPr>
        <w:t>a</w:t>
      </w:r>
      <w:r w:rsidRPr="00432E30">
        <w:rPr>
          <w:spacing w:val="1"/>
        </w:rPr>
        <w:t>r</w:t>
      </w:r>
      <w:r w:rsidRPr="00432E30">
        <w:rPr>
          <w:spacing w:val="-3"/>
        </w:rPr>
        <w:t>g</w:t>
      </w:r>
      <w:r w:rsidRPr="00432E30">
        <w:rPr>
          <w:spacing w:val="-1"/>
        </w:rPr>
        <w:t>e</w:t>
      </w:r>
      <w:r w:rsidRPr="00432E30">
        <w:t xml:space="preserve">. </w:t>
      </w:r>
      <w:r w:rsidRPr="00432E30">
        <w:rPr>
          <w:spacing w:val="-1"/>
        </w:rPr>
        <w:t>Gra</w:t>
      </w:r>
      <w:r w:rsidRPr="00432E30">
        <w:t>phic</w:t>
      </w:r>
      <w:r w:rsidRPr="00432E30">
        <w:rPr>
          <w:spacing w:val="-1"/>
        </w:rPr>
        <w:t xml:space="preserve"> a</w:t>
      </w:r>
      <w:r w:rsidRPr="00432E30">
        <w:t xml:space="preserve">nd </w:t>
      </w:r>
      <w:r>
        <w:rPr>
          <w:spacing w:val="1"/>
        </w:rPr>
        <w:t>w</w:t>
      </w:r>
      <w:r w:rsidRPr="00432E30">
        <w:rPr>
          <w:spacing w:val="-1"/>
        </w:rPr>
        <w:t>e</w:t>
      </w:r>
      <w:r w:rsidRPr="00432E30">
        <w:t xml:space="preserve">b </w:t>
      </w:r>
      <w:r w:rsidRPr="00432E30">
        <w:rPr>
          <w:spacing w:val="2"/>
        </w:rPr>
        <w:t>d</w:t>
      </w:r>
      <w:r w:rsidRPr="00432E30">
        <w:rPr>
          <w:spacing w:val="-1"/>
        </w:rPr>
        <w:t>e</w:t>
      </w:r>
      <w:r w:rsidRPr="00432E30">
        <w:t>si</w:t>
      </w:r>
      <w:r w:rsidRPr="00432E30">
        <w:rPr>
          <w:spacing w:val="-3"/>
        </w:rPr>
        <w:t>g</w:t>
      </w:r>
      <w:r w:rsidRPr="00432E30">
        <w:t>n,</w:t>
      </w:r>
      <w:r w:rsidRPr="00432E30">
        <w:rPr>
          <w:spacing w:val="2"/>
        </w:rPr>
        <w:t xml:space="preserve"> </w:t>
      </w:r>
      <w:r w:rsidRPr="00432E30">
        <w:rPr>
          <w:spacing w:val="-1"/>
        </w:rPr>
        <w:t>a</w:t>
      </w:r>
      <w:r w:rsidRPr="00432E30">
        <w:t xml:space="preserve">s </w:t>
      </w:r>
      <w:r w:rsidRPr="00432E30">
        <w:rPr>
          <w:spacing w:val="-1"/>
        </w:rPr>
        <w:t>we</w:t>
      </w:r>
      <w:r w:rsidRPr="00432E30">
        <w:t xml:space="preserve">ll </w:t>
      </w:r>
      <w:r w:rsidRPr="00432E30">
        <w:rPr>
          <w:spacing w:val="-1"/>
        </w:rPr>
        <w:t>a</w:t>
      </w:r>
      <w:r w:rsidRPr="00432E30">
        <w:t xml:space="preserve">s </w:t>
      </w:r>
      <w:r w:rsidRPr="00432E30">
        <w:rPr>
          <w:spacing w:val="5"/>
        </w:rPr>
        <w:t>t</w:t>
      </w:r>
      <w:r w:rsidRPr="00432E30">
        <w:rPr>
          <w:spacing w:val="-5"/>
        </w:rPr>
        <w:t>y</w:t>
      </w:r>
      <w:r w:rsidRPr="00432E30">
        <w:t>p</w:t>
      </w:r>
      <w:r w:rsidRPr="00432E30">
        <w:rPr>
          <w:spacing w:val="-1"/>
        </w:rPr>
        <w:t>e</w:t>
      </w:r>
      <w:r w:rsidRPr="00432E30">
        <w:t>s</w:t>
      </w:r>
      <w:r w:rsidRPr="00432E30">
        <w:rPr>
          <w:spacing w:val="-1"/>
        </w:rPr>
        <w:t>e</w:t>
      </w:r>
      <w:r w:rsidRPr="00432E30">
        <w:t>tti</w:t>
      </w:r>
      <w:r w:rsidRPr="00432E30">
        <w:rPr>
          <w:spacing w:val="2"/>
        </w:rPr>
        <w:t>n</w:t>
      </w:r>
      <w:r w:rsidRPr="00432E30">
        <w:rPr>
          <w:spacing w:val="-3"/>
        </w:rPr>
        <w:t>g</w:t>
      </w:r>
      <w:r w:rsidRPr="00432E30">
        <w:t xml:space="preserve">, is </w:t>
      </w:r>
      <w:r w:rsidRPr="00432E30">
        <w:rPr>
          <w:spacing w:val="-1"/>
        </w:rPr>
        <w:t>a</w:t>
      </w:r>
      <w:r w:rsidRPr="00432E30">
        <w:t>lso a</w:t>
      </w:r>
      <w:r w:rsidRPr="00432E30">
        <w:rPr>
          <w:spacing w:val="-1"/>
        </w:rPr>
        <w:t xml:space="preserve"> </w:t>
      </w:r>
      <w:r w:rsidRPr="00432E30">
        <w:t>s</w:t>
      </w:r>
      <w:r w:rsidRPr="00432E30">
        <w:rPr>
          <w:spacing w:val="-1"/>
        </w:rPr>
        <w:t>e</w:t>
      </w:r>
      <w:r w:rsidRPr="00432E30">
        <w:t>p</w:t>
      </w:r>
      <w:r w:rsidRPr="00432E30">
        <w:rPr>
          <w:spacing w:val="-1"/>
        </w:rPr>
        <w:t>a</w:t>
      </w:r>
      <w:r w:rsidRPr="00432E30">
        <w:rPr>
          <w:spacing w:val="1"/>
        </w:rPr>
        <w:t>r</w:t>
      </w:r>
      <w:r w:rsidRPr="00432E30">
        <w:rPr>
          <w:spacing w:val="-1"/>
        </w:rPr>
        <w:t>a</w:t>
      </w:r>
      <w:r w:rsidRPr="00432E30">
        <w:t>te</w:t>
      </w:r>
      <w:r w:rsidRPr="00432E30">
        <w:rPr>
          <w:spacing w:val="-1"/>
        </w:rPr>
        <w:t xml:space="preserve"> c</w:t>
      </w:r>
      <w:r w:rsidRPr="00432E30">
        <w:rPr>
          <w:spacing w:val="2"/>
        </w:rPr>
        <w:t>h</w:t>
      </w:r>
      <w:r w:rsidRPr="00432E30">
        <w:rPr>
          <w:spacing w:val="-1"/>
        </w:rPr>
        <w:t>a</w:t>
      </w:r>
      <w:r w:rsidRPr="00432E30">
        <w:rPr>
          <w:spacing w:val="1"/>
        </w:rPr>
        <w:t>r</w:t>
      </w:r>
      <w:r w:rsidRPr="00432E30">
        <w:t>g</w:t>
      </w:r>
      <w:r w:rsidRPr="00432E30">
        <w:rPr>
          <w:spacing w:val="-1"/>
        </w:rPr>
        <w:t>e.</w:t>
      </w:r>
    </w:p>
    <w:tbl>
      <w:tblPr>
        <w:tblW w:w="0" w:type="auto"/>
        <w:jc w:val="center"/>
        <w:tblLayout w:type="fixed"/>
        <w:tblCellMar>
          <w:left w:w="0" w:type="dxa"/>
          <w:right w:w="0" w:type="dxa"/>
        </w:tblCellMar>
        <w:tblLook w:val="0000" w:firstRow="0" w:lastRow="0" w:firstColumn="0" w:lastColumn="0" w:noHBand="0" w:noVBand="0"/>
      </w:tblPr>
      <w:tblGrid>
        <w:gridCol w:w="4383"/>
        <w:gridCol w:w="2259"/>
      </w:tblGrid>
      <w:tr w:rsidR="00F80E94" w:rsidRPr="00332D6B" w14:paraId="296D9176" w14:textId="77777777" w:rsidTr="00306CF3">
        <w:trPr>
          <w:trHeight w:hRule="exact" w:val="649"/>
          <w:jc w:val="center"/>
        </w:trPr>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C83410" w14:textId="77777777" w:rsidR="00F80E94" w:rsidRPr="00332D6B" w:rsidRDefault="00F80E94" w:rsidP="00306CF3">
            <w:pPr>
              <w:pStyle w:val="NoSpacing"/>
              <w:ind w:right="18"/>
              <w:jc w:val="center"/>
              <w:rPr>
                <w:b/>
              </w:rPr>
            </w:pPr>
            <w:r w:rsidRPr="00332D6B">
              <w:rPr>
                <w:b/>
                <w:spacing w:val="-1"/>
              </w:rPr>
              <w:t>Description of Service</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81FF04" w14:textId="77777777" w:rsidR="00F80E94" w:rsidRPr="00332D6B" w:rsidRDefault="00F80E94" w:rsidP="00306CF3">
            <w:pPr>
              <w:pStyle w:val="NoSpacing"/>
              <w:ind w:right="18"/>
              <w:jc w:val="center"/>
              <w:rPr>
                <w:b/>
              </w:rPr>
            </w:pPr>
            <w:r w:rsidRPr="00332D6B">
              <w:rPr>
                <w:b/>
              </w:rPr>
              <w:t>2027-29</w:t>
            </w:r>
          </w:p>
          <w:p w14:paraId="2B20EE95" w14:textId="77777777" w:rsidR="00F80E94" w:rsidRPr="00332D6B" w:rsidRDefault="00F80E94" w:rsidP="00306CF3">
            <w:pPr>
              <w:pStyle w:val="NoSpacing"/>
              <w:ind w:right="18"/>
              <w:jc w:val="center"/>
              <w:rPr>
                <w:b/>
              </w:rPr>
            </w:pPr>
            <w:r w:rsidRPr="00332D6B">
              <w:rPr>
                <w:b/>
              </w:rPr>
              <w:t>Rate</w:t>
            </w:r>
            <w:r w:rsidRPr="00332D6B">
              <w:rPr>
                <w:b/>
                <w:spacing w:val="-1"/>
              </w:rPr>
              <w:t xml:space="preserve"> /per hour</w:t>
            </w:r>
          </w:p>
        </w:tc>
      </w:tr>
      <w:tr w:rsidR="00F80E94" w:rsidRPr="00332D6B" w14:paraId="6431CD82" w14:textId="77777777" w:rsidTr="00306CF3">
        <w:trPr>
          <w:trHeight w:hRule="exact" w:val="298"/>
          <w:jc w:val="center"/>
        </w:trPr>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232B5" w14:textId="77777777" w:rsidR="00F80E94" w:rsidRPr="00332D6B" w:rsidRDefault="00F80E94" w:rsidP="00306CF3">
            <w:pPr>
              <w:pStyle w:val="NoSpacing"/>
              <w:ind w:left="72" w:right="18"/>
            </w:pPr>
            <w:r w:rsidRPr="00332D6B">
              <w:t>P</w:t>
            </w:r>
            <w:r w:rsidRPr="00332D6B">
              <w:rPr>
                <w:spacing w:val="-1"/>
              </w:rPr>
              <w:t>re</w:t>
            </w:r>
            <w:r w:rsidRPr="00332D6B">
              <w:t>p</w:t>
            </w:r>
            <w:r w:rsidRPr="00332D6B">
              <w:rPr>
                <w:spacing w:val="-1"/>
              </w:rPr>
              <w:t>ara</w:t>
            </w:r>
            <w:r w:rsidRPr="00332D6B">
              <w:t>tion for P</w:t>
            </w:r>
            <w:r w:rsidRPr="00332D6B">
              <w:rPr>
                <w:spacing w:val="-1"/>
              </w:rPr>
              <w:t>r</w:t>
            </w:r>
            <w:r w:rsidRPr="00332D6B">
              <w:t>od</w:t>
            </w:r>
            <w:r w:rsidRPr="00332D6B">
              <w:rPr>
                <w:spacing w:val="2"/>
              </w:rPr>
              <w:t>u</w:t>
            </w:r>
            <w:r w:rsidRPr="00332D6B">
              <w:rPr>
                <w:spacing w:val="-1"/>
              </w:rPr>
              <w:t>c</w:t>
            </w:r>
            <w:r w:rsidRPr="00332D6B">
              <w:t>tion or</w:t>
            </w:r>
            <w:r w:rsidRPr="00332D6B">
              <w:rPr>
                <w:spacing w:val="-1"/>
              </w:rPr>
              <w:t xml:space="preserve"> S</w:t>
            </w:r>
            <w:r w:rsidRPr="00332D6B">
              <w:t>p</w:t>
            </w:r>
            <w:r w:rsidRPr="00332D6B">
              <w:rPr>
                <w:spacing w:val="-1"/>
              </w:rPr>
              <w:t>ec</w:t>
            </w:r>
            <w:r w:rsidRPr="00332D6B">
              <w:t>i</w:t>
            </w:r>
            <w:r w:rsidRPr="00332D6B">
              <w:rPr>
                <w:spacing w:val="-1"/>
              </w:rPr>
              <w:t>a</w:t>
            </w:r>
            <w:r w:rsidRPr="00332D6B">
              <w:t>l File</w:t>
            </w:r>
            <w:r w:rsidRPr="00332D6B">
              <w:rPr>
                <w:spacing w:val="-1"/>
              </w:rPr>
              <w:t xml:space="preserve"> W</w:t>
            </w:r>
            <w:r w:rsidRPr="00332D6B">
              <w:rPr>
                <w:spacing w:val="2"/>
              </w:rPr>
              <w:t>o</w:t>
            </w:r>
            <w:r w:rsidRPr="00332D6B">
              <w:rPr>
                <w:spacing w:val="-1"/>
              </w:rPr>
              <w:t>r</w:t>
            </w:r>
            <w:r w:rsidRPr="00332D6B">
              <w:t>k</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0379A" w14:textId="77777777" w:rsidR="00F80E94" w:rsidRPr="00332D6B" w:rsidRDefault="00F80E94" w:rsidP="00306CF3">
            <w:pPr>
              <w:pStyle w:val="NoSpacing"/>
              <w:ind w:right="70"/>
              <w:jc w:val="right"/>
            </w:pPr>
            <w:r w:rsidRPr="00332D6B">
              <w:t>$137.00</w:t>
            </w:r>
          </w:p>
        </w:tc>
      </w:tr>
      <w:tr w:rsidR="00F80E94" w:rsidRPr="00332D6B" w14:paraId="622CC5B8" w14:textId="77777777" w:rsidTr="00306CF3">
        <w:trPr>
          <w:trHeight w:hRule="exact" w:val="300"/>
          <w:jc w:val="center"/>
        </w:trPr>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E7C4" w14:textId="77777777" w:rsidR="00F80E94" w:rsidRPr="00332D6B" w:rsidRDefault="00F80E94" w:rsidP="00306CF3">
            <w:pPr>
              <w:pStyle w:val="NoSpacing"/>
              <w:ind w:left="72" w:right="18"/>
            </w:pPr>
            <w:r w:rsidRPr="00332D6B">
              <w:rPr>
                <w:spacing w:val="-1"/>
              </w:rPr>
              <w:lastRenderedPageBreak/>
              <w:t>Gra</w:t>
            </w:r>
            <w:r w:rsidRPr="00332D6B">
              <w:t>phic</w:t>
            </w:r>
            <w:r w:rsidRPr="00332D6B">
              <w:rPr>
                <w:spacing w:val="-1"/>
              </w:rPr>
              <w:t xml:space="preserve"> </w:t>
            </w:r>
            <w:r w:rsidRPr="00332D6B">
              <w:t xml:space="preserve">/ </w:t>
            </w:r>
            <w:r w:rsidRPr="00332D6B">
              <w:rPr>
                <w:spacing w:val="1"/>
              </w:rPr>
              <w:t>W</w:t>
            </w:r>
            <w:r w:rsidRPr="00332D6B">
              <w:rPr>
                <w:spacing w:val="-1"/>
              </w:rPr>
              <w:t>e</w:t>
            </w:r>
            <w:r w:rsidRPr="00332D6B">
              <w:t xml:space="preserve">b </w:t>
            </w:r>
            <w:r w:rsidRPr="00332D6B">
              <w:rPr>
                <w:spacing w:val="-1"/>
              </w:rPr>
              <w:t>De</w:t>
            </w:r>
            <w:r w:rsidRPr="00332D6B">
              <w:t>s</w:t>
            </w:r>
            <w:r w:rsidRPr="00332D6B">
              <w:rPr>
                <w:spacing w:val="2"/>
              </w:rPr>
              <w:t>i</w:t>
            </w:r>
            <w:r w:rsidRPr="00332D6B">
              <w:rPr>
                <w:spacing w:val="-3"/>
              </w:rPr>
              <w:t>g</w:t>
            </w:r>
            <w:r w:rsidRPr="00332D6B">
              <w:t>n</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9277E" w14:textId="77777777" w:rsidR="00F80E94" w:rsidRPr="00332D6B" w:rsidRDefault="00F80E94" w:rsidP="00306CF3">
            <w:pPr>
              <w:pStyle w:val="NoSpacing"/>
              <w:ind w:right="70"/>
              <w:jc w:val="right"/>
            </w:pPr>
            <w:r w:rsidRPr="00332D6B">
              <w:t>$107.00</w:t>
            </w:r>
          </w:p>
        </w:tc>
      </w:tr>
      <w:tr w:rsidR="00F80E94" w:rsidRPr="00332D6B" w14:paraId="1CC1DBA8" w14:textId="77777777" w:rsidTr="00306CF3">
        <w:trPr>
          <w:trHeight w:hRule="exact" w:val="325"/>
          <w:jc w:val="center"/>
        </w:trPr>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9FF7B" w14:textId="77777777" w:rsidR="00F80E94" w:rsidRPr="00332D6B" w:rsidRDefault="00F80E94" w:rsidP="00306CF3">
            <w:pPr>
              <w:pStyle w:val="NoSpacing"/>
              <w:ind w:left="72" w:right="18"/>
              <w:rPr>
                <w:spacing w:val="-1"/>
              </w:rPr>
            </w:pPr>
            <w:r w:rsidRPr="00332D6B">
              <w:rPr>
                <w:spacing w:val="-1"/>
              </w:rPr>
              <w:t>Variable Data Design / Programming</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F125" w14:textId="77777777" w:rsidR="00F80E94" w:rsidRPr="00332D6B" w:rsidRDefault="00F80E94" w:rsidP="00306CF3">
            <w:pPr>
              <w:pStyle w:val="NoSpacing"/>
              <w:ind w:right="70"/>
              <w:jc w:val="right"/>
            </w:pPr>
            <w:r w:rsidRPr="00332D6B">
              <w:t>$177.00</w:t>
            </w:r>
          </w:p>
        </w:tc>
      </w:tr>
    </w:tbl>
    <w:p w14:paraId="54146CE2" w14:textId="77777777" w:rsidR="00F80E94" w:rsidRDefault="00F80E94" w:rsidP="00F80E94">
      <w:pPr>
        <w:ind w:right="18"/>
        <w:rPr>
          <w:b/>
        </w:rPr>
      </w:pPr>
    </w:p>
    <w:p w14:paraId="2EA2046D" w14:textId="005110EB" w:rsidR="00F80E94" w:rsidRPr="00332D6B" w:rsidRDefault="00F80E94" w:rsidP="00E51337">
      <w:r w:rsidRPr="00332D6B">
        <w:rPr>
          <w:b/>
        </w:rPr>
        <w:t xml:space="preserve">Interagency Shuttle Mail (P&amp;D): </w:t>
      </w:r>
      <w:r w:rsidRPr="00332D6B">
        <w:rPr>
          <w:spacing w:val="-1"/>
        </w:rPr>
        <w:t>T</w:t>
      </w:r>
      <w:r w:rsidRPr="00332D6B">
        <w:t>his</w:t>
      </w:r>
      <w:r w:rsidRPr="00332D6B">
        <w:rPr>
          <w:spacing w:val="38"/>
        </w:rPr>
        <w:t xml:space="preserve"> </w:t>
      </w:r>
      <w:r w:rsidRPr="00332D6B">
        <w:rPr>
          <w:spacing w:val="-1"/>
        </w:rPr>
        <w:t>fe</w:t>
      </w:r>
      <w:r w:rsidRPr="00332D6B">
        <w:t>e</w:t>
      </w:r>
      <w:r w:rsidRPr="00332D6B">
        <w:rPr>
          <w:spacing w:val="39"/>
        </w:rPr>
        <w:t xml:space="preserve"> </w:t>
      </w:r>
      <w:r w:rsidRPr="00332D6B">
        <w:rPr>
          <w:spacing w:val="-1"/>
        </w:rPr>
        <w:t>rec</w:t>
      </w:r>
      <w:r w:rsidRPr="00332D6B">
        <w:t>o</w:t>
      </w:r>
      <w:r w:rsidRPr="00332D6B">
        <w:rPr>
          <w:spacing w:val="2"/>
        </w:rPr>
        <w:t>v</w:t>
      </w:r>
      <w:r w:rsidRPr="00332D6B">
        <w:rPr>
          <w:spacing w:val="-1"/>
        </w:rPr>
        <w:t>er</w:t>
      </w:r>
      <w:r w:rsidRPr="00332D6B">
        <w:t>s</w:t>
      </w:r>
      <w:r w:rsidRPr="00332D6B">
        <w:rPr>
          <w:spacing w:val="38"/>
        </w:rPr>
        <w:t xml:space="preserve"> </w:t>
      </w:r>
      <w:r w:rsidRPr="00332D6B">
        <w:t>the</w:t>
      </w:r>
      <w:r w:rsidRPr="00332D6B">
        <w:rPr>
          <w:spacing w:val="39"/>
        </w:rPr>
        <w:t xml:space="preserve"> </w:t>
      </w:r>
      <w:r w:rsidRPr="00332D6B">
        <w:rPr>
          <w:spacing w:val="-1"/>
        </w:rPr>
        <w:t>c</w:t>
      </w:r>
      <w:r w:rsidRPr="00332D6B">
        <w:rPr>
          <w:spacing w:val="2"/>
        </w:rPr>
        <w:t>o</w:t>
      </w:r>
      <w:r w:rsidRPr="00332D6B">
        <w:t>st</w:t>
      </w:r>
      <w:r w:rsidRPr="00332D6B">
        <w:rPr>
          <w:spacing w:val="38"/>
        </w:rPr>
        <w:t xml:space="preserve"> </w:t>
      </w:r>
      <w:r w:rsidRPr="00332D6B">
        <w:t>of</w:t>
      </w:r>
      <w:r w:rsidRPr="00332D6B">
        <w:rPr>
          <w:spacing w:val="37"/>
        </w:rPr>
        <w:t xml:space="preserve"> </w:t>
      </w:r>
      <w:r w:rsidRPr="00332D6B">
        <w:t>pi</w:t>
      </w:r>
      <w:r w:rsidRPr="00332D6B">
        <w:rPr>
          <w:spacing w:val="-1"/>
        </w:rPr>
        <w:t>c</w:t>
      </w:r>
      <w:r w:rsidRPr="00332D6B">
        <w:t>king</w:t>
      </w:r>
      <w:r w:rsidRPr="00332D6B">
        <w:rPr>
          <w:spacing w:val="38"/>
        </w:rPr>
        <w:t xml:space="preserve"> </w:t>
      </w:r>
      <w:r w:rsidRPr="00332D6B">
        <w:t>up</w:t>
      </w:r>
      <w:r w:rsidRPr="00332D6B">
        <w:rPr>
          <w:spacing w:val="38"/>
        </w:rPr>
        <w:t xml:space="preserve"> </w:t>
      </w:r>
      <w:r w:rsidRPr="00332D6B">
        <w:rPr>
          <w:spacing w:val="-1"/>
        </w:rPr>
        <w:t>a</w:t>
      </w:r>
      <w:r w:rsidRPr="00332D6B">
        <w:t>nd</w:t>
      </w:r>
      <w:r w:rsidRPr="00332D6B">
        <w:rPr>
          <w:spacing w:val="40"/>
        </w:rPr>
        <w:t xml:space="preserve"> </w:t>
      </w:r>
      <w:r w:rsidRPr="00332D6B">
        <w:t>d</w:t>
      </w:r>
      <w:r w:rsidRPr="00332D6B">
        <w:rPr>
          <w:spacing w:val="-1"/>
        </w:rPr>
        <w:t>e</w:t>
      </w:r>
      <w:r w:rsidRPr="00332D6B">
        <w:rPr>
          <w:spacing w:val="2"/>
        </w:rPr>
        <w:t>l</w:t>
      </w:r>
      <w:r w:rsidRPr="00332D6B">
        <w:t>iv</w:t>
      </w:r>
      <w:r w:rsidRPr="00332D6B">
        <w:rPr>
          <w:spacing w:val="-1"/>
        </w:rPr>
        <w:t>er</w:t>
      </w:r>
      <w:r w:rsidRPr="00332D6B">
        <w:t>ing</w:t>
      </w:r>
      <w:r w:rsidRPr="00332D6B">
        <w:rPr>
          <w:spacing w:val="38"/>
        </w:rPr>
        <w:t xml:space="preserve"> </w:t>
      </w:r>
      <w:r w:rsidRPr="00332D6B">
        <w:t>int</w:t>
      </w:r>
      <w:r w:rsidRPr="00332D6B">
        <w:rPr>
          <w:spacing w:val="-1"/>
        </w:rPr>
        <w:t>er</w:t>
      </w:r>
      <w:r w:rsidRPr="00332D6B">
        <w:rPr>
          <w:spacing w:val="1"/>
        </w:rPr>
        <w:t>a</w:t>
      </w:r>
      <w:r w:rsidRPr="00332D6B">
        <w:t>g</w:t>
      </w:r>
      <w:r w:rsidRPr="00332D6B">
        <w:rPr>
          <w:spacing w:val="-1"/>
        </w:rPr>
        <w:t>e</w:t>
      </w:r>
      <w:r w:rsidRPr="00332D6B">
        <w:t>n</w:t>
      </w:r>
      <w:r w:rsidRPr="00332D6B">
        <w:rPr>
          <w:spacing w:val="3"/>
        </w:rPr>
        <w:t>c</w:t>
      </w:r>
      <w:r w:rsidRPr="00332D6B">
        <w:t>y</w:t>
      </w:r>
      <w:r w:rsidRPr="00332D6B">
        <w:rPr>
          <w:spacing w:val="36"/>
        </w:rPr>
        <w:t xml:space="preserve"> </w:t>
      </w:r>
      <w:r w:rsidRPr="00332D6B">
        <w:rPr>
          <w:spacing w:val="-1"/>
        </w:rPr>
        <w:t>a</w:t>
      </w:r>
      <w:r w:rsidRPr="00332D6B">
        <w:t>nd</w:t>
      </w:r>
      <w:r w:rsidRPr="00332D6B">
        <w:rPr>
          <w:spacing w:val="40"/>
        </w:rPr>
        <w:t xml:space="preserve"> </w:t>
      </w:r>
      <w:r w:rsidRPr="00332D6B">
        <w:t>post</w:t>
      </w:r>
      <w:r w:rsidRPr="00332D6B">
        <w:rPr>
          <w:spacing w:val="-1"/>
        </w:rPr>
        <w:t>a</w:t>
      </w:r>
      <w:r w:rsidRPr="00332D6B">
        <w:t>l</w:t>
      </w:r>
      <w:r w:rsidRPr="00332D6B">
        <w:rPr>
          <w:spacing w:val="38"/>
        </w:rPr>
        <w:t xml:space="preserve"> </w:t>
      </w:r>
      <w:r w:rsidRPr="00332D6B">
        <w:t>m</w:t>
      </w:r>
      <w:r w:rsidRPr="00332D6B">
        <w:rPr>
          <w:spacing w:val="-1"/>
        </w:rPr>
        <w:t>a</w:t>
      </w:r>
      <w:r w:rsidRPr="00332D6B">
        <w:t xml:space="preserve">il. Expanded services are quoted on a need basis. The rates below are based on </w:t>
      </w:r>
      <w:r w:rsidR="00B71179">
        <w:t>one</w:t>
      </w:r>
      <w:r w:rsidRPr="00332D6B">
        <w:t xml:space="preserve"> stop per day</w:t>
      </w:r>
      <w:r w:rsidR="00B71179">
        <w:t>.</w:t>
      </w:r>
      <w:r w:rsidRPr="00332D6B">
        <w:t xml:space="preserve"> Contact P&amp;D for prorated rates under five days per week. The </w:t>
      </w:r>
      <w:r w:rsidRPr="00332D6B">
        <w:rPr>
          <w:spacing w:val="1"/>
        </w:rPr>
        <w:t>f</w:t>
      </w:r>
      <w:r w:rsidRPr="00332D6B">
        <w:rPr>
          <w:spacing w:val="-1"/>
        </w:rPr>
        <w:t>e</w:t>
      </w:r>
      <w:r w:rsidRPr="00332D6B">
        <w:t>e-</w:t>
      </w:r>
      <w:r w:rsidRPr="00332D6B">
        <w:rPr>
          <w:spacing w:val="-1"/>
        </w:rPr>
        <w:t>f</w:t>
      </w:r>
      <w:r w:rsidRPr="00332D6B">
        <w:rPr>
          <w:spacing w:val="2"/>
        </w:rPr>
        <w:t>o</w:t>
      </w:r>
      <w:r w:rsidRPr="00332D6B">
        <w:t>r-s</w:t>
      </w:r>
      <w:r w:rsidRPr="00332D6B">
        <w:rPr>
          <w:spacing w:val="1"/>
        </w:rPr>
        <w:t>e</w:t>
      </w:r>
      <w:r w:rsidRPr="00332D6B">
        <w:rPr>
          <w:spacing w:val="-1"/>
        </w:rPr>
        <w:t>r</w:t>
      </w:r>
      <w:r w:rsidRPr="00332D6B">
        <w:t>vi</w:t>
      </w:r>
      <w:r w:rsidRPr="00332D6B">
        <w:rPr>
          <w:spacing w:val="-1"/>
        </w:rPr>
        <w:t xml:space="preserve">ce model is </w:t>
      </w:r>
      <w:r w:rsidRPr="00332D6B">
        <w:t>b</w:t>
      </w:r>
      <w:r w:rsidRPr="00332D6B">
        <w:rPr>
          <w:spacing w:val="-1"/>
        </w:rPr>
        <w:t>a</w:t>
      </w:r>
      <w:r w:rsidRPr="00332D6B">
        <w:t>s</w:t>
      </w:r>
      <w:r w:rsidRPr="00332D6B">
        <w:rPr>
          <w:spacing w:val="-1"/>
        </w:rPr>
        <w:t>e</w:t>
      </w:r>
      <w:r w:rsidRPr="00332D6B">
        <w:t>d on:</w:t>
      </w:r>
    </w:p>
    <w:p w14:paraId="189099C6" w14:textId="77777777" w:rsidR="00F80E94" w:rsidRPr="00332D6B" w:rsidRDefault="00F80E94" w:rsidP="00F25900">
      <w:pPr>
        <w:pStyle w:val="ListParagraph"/>
        <w:numPr>
          <w:ilvl w:val="0"/>
          <w:numId w:val="42"/>
        </w:numPr>
      </w:pPr>
      <w:r w:rsidRPr="00E51337">
        <w:rPr>
          <w:spacing w:val="-2"/>
        </w:rPr>
        <w:t>B</w:t>
      </w:r>
      <w:r w:rsidRPr="00E51337">
        <w:rPr>
          <w:spacing w:val="-1"/>
        </w:rPr>
        <w:t>a</w:t>
      </w:r>
      <w:r w:rsidRPr="00332D6B">
        <w:t>se</w:t>
      </w:r>
      <w:r w:rsidRPr="00E51337">
        <w:rPr>
          <w:spacing w:val="-1"/>
        </w:rPr>
        <w:t xml:space="preserve"> </w:t>
      </w:r>
      <w:r w:rsidRPr="00332D6B">
        <w:t>stop</w:t>
      </w:r>
      <w:r w:rsidRPr="00E51337">
        <w:rPr>
          <w:spacing w:val="2"/>
        </w:rPr>
        <w:t xml:space="preserve"> </w:t>
      </w:r>
      <w:r w:rsidRPr="00E51337">
        <w:rPr>
          <w:spacing w:val="-1"/>
        </w:rPr>
        <w:t>c</w:t>
      </w:r>
      <w:r w:rsidRPr="00332D6B">
        <w:t>h</w:t>
      </w:r>
      <w:r w:rsidRPr="00E51337">
        <w:rPr>
          <w:spacing w:val="-1"/>
        </w:rPr>
        <w:t>a</w:t>
      </w:r>
      <w:r w:rsidRPr="00E51337">
        <w:rPr>
          <w:spacing w:val="1"/>
        </w:rPr>
        <w:t>r</w:t>
      </w:r>
      <w:r w:rsidRPr="00332D6B">
        <w:t>ge</w:t>
      </w:r>
      <w:r w:rsidRPr="00E51337">
        <w:rPr>
          <w:spacing w:val="-3"/>
        </w:rPr>
        <w:t xml:space="preserve"> (Z</w:t>
      </w:r>
      <w:r w:rsidRPr="00332D6B">
        <w:t>one</w:t>
      </w:r>
      <w:r w:rsidRPr="00E51337">
        <w:rPr>
          <w:spacing w:val="-1"/>
        </w:rPr>
        <w:t xml:space="preserve"> </w:t>
      </w:r>
      <w:r w:rsidRPr="00E51337">
        <w:rPr>
          <w:spacing w:val="2"/>
        </w:rPr>
        <w:t>o</w:t>
      </w:r>
      <w:r w:rsidRPr="00332D6B">
        <w:t>f</w:t>
      </w:r>
      <w:r w:rsidRPr="00E51337">
        <w:rPr>
          <w:spacing w:val="-1"/>
        </w:rPr>
        <w:t xml:space="preserve"> </w:t>
      </w:r>
      <w:r w:rsidRPr="00332D6B">
        <w:t>the</w:t>
      </w:r>
      <w:r w:rsidRPr="00E51337">
        <w:rPr>
          <w:spacing w:val="-1"/>
        </w:rPr>
        <w:t xml:space="preserve"> </w:t>
      </w:r>
      <w:r w:rsidRPr="00332D6B">
        <w:t>stop).</w:t>
      </w:r>
    </w:p>
    <w:p w14:paraId="7E68020A" w14:textId="77777777" w:rsidR="00F80E94" w:rsidRPr="00332D6B" w:rsidRDefault="00F80E94" w:rsidP="00F25900">
      <w:pPr>
        <w:pStyle w:val="ListParagraph"/>
        <w:numPr>
          <w:ilvl w:val="0"/>
          <w:numId w:val="42"/>
        </w:numPr>
      </w:pPr>
      <w:r w:rsidRPr="00332D6B">
        <w:t>Compl</w:t>
      </w:r>
      <w:r w:rsidRPr="00E51337">
        <w:rPr>
          <w:spacing w:val="-1"/>
        </w:rPr>
        <w:t>e</w:t>
      </w:r>
      <w:r w:rsidRPr="00332D6B">
        <w:t>xi</w:t>
      </w:r>
      <w:r w:rsidRPr="00E51337">
        <w:rPr>
          <w:spacing w:val="2"/>
        </w:rPr>
        <w:t>t</w:t>
      </w:r>
      <w:r w:rsidRPr="00332D6B">
        <w:t>y</w:t>
      </w:r>
      <w:r w:rsidRPr="00E51337">
        <w:rPr>
          <w:spacing w:val="-8"/>
        </w:rPr>
        <w:t xml:space="preserve"> </w:t>
      </w:r>
      <w:r w:rsidRPr="00E51337">
        <w:rPr>
          <w:spacing w:val="2"/>
        </w:rPr>
        <w:t>o</w:t>
      </w:r>
      <w:r w:rsidRPr="00332D6B">
        <w:t>f</w:t>
      </w:r>
      <w:r w:rsidRPr="00E51337">
        <w:rPr>
          <w:spacing w:val="-1"/>
        </w:rPr>
        <w:t xml:space="preserve"> </w:t>
      </w:r>
      <w:r w:rsidRPr="00332D6B">
        <w:t>the</w:t>
      </w:r>
      <w:r w:rsidRPr="00E51337">
        <w:rPr>
          <w:spacing w:val="-1"/>
        </w:rPr>
        <w:t xml:space="preserve"> </w:t>
      </w:r>
      <w:r w:rsidRPr="00332D6B">
        <w:t xml:space="preserve">stop </w:t>
      </w:r>
      <w:r w:rsidRPr="00E51337">
        <w:rPr>
          <w:spacing w:val="-1"/>
        </w:rPr>
        <w:t>(</w:t>
      </w:r>
      <w:r w:rsidRPr="00E51337">
        <w:rPr>
          <w:spacing w:val="1"/>
        </w:rPr>
        <w:t>C</w:t>
      </w:r>
      <w:r w:rsidRPr="00332D6B">
        <w:t>l</w:t>
      </w:r>
      <w:r w:rsidRPr="00E51337">
        <w:rPr>
          <w:spacing w:val="-1"/>
        </w:rPr>
        <w:t>a</w:t>
      </w:r>
      <w:r w:rsidRPr="00332D6B">
        <w:t>ss).</w:t>
      </w:r>
    </w:p>
    <w:p w14:paraId="772333EA" w14:textId="77777777" w:rsidR="00F80E94" w:rsidRPr="00332D6B" w:rsidRDefault="00F80E94" w:rsidP="00F25900">
      <w:pPr>
        <w:pStyle w:val="ListParagraph"/>
        <w:numPr>
          <w:ilvl w:val="0"/>
          <w:numId w:val="42"/>
        </w:numPr>
      </w:pPr>
      <w:r w:rsidRPr="00332D6B">
        <w:t>(A surcharge may be added due to fluctuating fuel costs.)</w:t>
      </w:r>
    </w:p>
    <w:p w14:paraId="1C8B82A2" w14:textId="77777777" w:rsidR="00F80E94" w:rsidRDefault="00F80E94" w:rsidP="00F80E94">
      <w:pPr>
        <w:pStyle w:val="ListBullet"/>
        <w:numPr>
          <w:ilvl w:val="0"/>
          <w:numId w:val="0"/>
        </w:numPr>
        <w:ind w:right="18"/>
        <w:rPr>
          <w:lang w:eastAsia="en-US"/>
        </w:rPr>
      </w:pPr>
    </w:p>
    <w:tbl>
      <w:tblPr>
        <w:tblW w:w="0" w:type="auto"/>
        <w:jc w:val="center"/>
        <w:tblLayout w:type="fixed"/>
        <w:tblCellMar>
          <w:left w:w="0" w:type="dxa"/>
          <w:right w:w="0" w:type="dxa"/>
        </w:tblCellMar>
        <w:tblLook w:val="0000" w:firstRow="0" w:lastRow="0" w:firstColumn="0" w:lastColumn="0" w:noHBand="0" w:noVBand="0"/>
      </w:tblPr>
      <w:tblGrid>
        <w:gridCol w:w="3476"/>
        <w:gridCol w:w="3272"/>
      </w:tblGrid>
      <w:tr w:rsidR="00F80E94" w:rsidRPr="00D7112D" w14:paraId="5DE4ACA1" w14:textId="77777777" w:rsidTr="00306CF3">
        <w:trPr>
          <w:trHeight w:hRule="exact" w:val="339"/>
          <w:jc w:val="center"/>
        </w:trPr>
        <w:tc>
          <w:tcPr>
            <w:tcW w:w="6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1F469C" w14:textId="77777777" w:rsidR="00F80E94" w:rsidRPr="00D7112D" w:rsidRDefault="00F80E94" w:rsidP="00306CF3">
            <w:pPr>
              <w:ind w:right="18"/>
              <w:jc w:val="center"/>
              <w:rPr>
                <w:b/>
                <w:spacing w:val="-1"/>
              </w:rPr>
            </w:pPr>
            <w:r w:rsidRPr="00D7112D">
              <w:rPr>
                <w:b/>
                <w:spacing w:val="-1"/>
              </w:rPr>
              <w:t>Shuttle Mail – Zone Rates</w:t>
            </w:r>
          </w:p>
        </w:tc>
      </w:tr>
      <w:tr w:rsidR="00F80E94" w:rsidRPr="00D7112D" w14:paraId="0CA91950" w14:textId="77777777" w:rsidTr="00306CF3">
        <w:trPr>
          <w:trHeight w:hRule="exact" w:val="339"/>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BF9427" w14:textId="77777777" w:rsidR="00F80E94" w:rsidRPr="00D7112D" w:rsidRDefault="00F80E94" w:rsidP="00306CF3">
            <w:pPr>
              <w:ind w:right="18"/>
              <w:jc w:val="center"/>
              <w:rPr>
                <w:spacing w:val="-1"/>
              </w:rPr>
            </w:pPr>
            <w:r w:rsidRPr="00D7112D">
              <w:rPr>
                <w:b/>
                <w:bCs/>
                <w:spacing w:val="-1"/>
              </w:rPr>
              <w:t>Zone (base stop charge) *</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A352B7" w14:textId="77777777" w:rsidR="00F80E94" w:rsidRPr="00D7112D" w:rsidRDefault="00F80E94" w:rsidP="00306CF3">
            <w:pPr>
              <w:ind w:right="18"/>
              <w:jc w:val="center"/>
              <w:rPr>
                <w:b/>
                <w:spacing w:val="-1"/>
              </w:rPr>
            </w:pPr>
            <w:r w:rsidRPr="00D7112D">
              <w:rPr>
                <w:b/>
                <w:spacing w:val="-1"/>
              </w:rPr>
              <w:t>202</w:t>
            </w:r>
            <w:r>
              <w:rPr>
                <w:b/>
                <w:spacing w:val="-1"/>
              </w:rPr>
              <w:t>7</w:t>
            </w:r>
            <w:r w:rsidRPr="00D7112D">
              <w:rPr>
                <w:b/>
                <w:spacing w:val="-1"/>
              </w:rPr>
              <w:t>-2</w:t>
            </w:r>
            <w:r>
              <w:rPr>
                <w:b/>
                <w:spacing w:val="-1"/>
              </w:rPr>
              <w:t>9</w:t>
            </w:r>
            <w:r w:rsidRPr="00D7112D">
              <w:rPr>
                <w:b/>
                <w:spacing w:val="-1"/>
              </w:rPr>
              <w:t xml:space="preserve"> Monthly Fee</w:t>
            </w:r>
          </w:p>
        </w:tc>
      </w:tr>
      <w:tr w:rsidR="00F80E94" w:rsidRPr="00D7112D" w14:paraId="0196358A" w14:textId="77777777" w:rsidTr="00306CF3">
        <w:trPr>
          <w:trHeight w:hRule="exact" w:val="339"/>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CDBF1" w14:textId="77777777" w:rsidR="00F80E94" w:rsidRPr="00D7112D" w:rsidRDefault="00F80E94" w:rsidP="00306CF3">
            <w:pPr>
              <w:ind w:left="89" w:right="18"/>
              <w:rPr>
                <w:spacing w:val="-1"/>
              </w:rPr>
            </w:pPr>
            <w:r w:rsidRPr="00D7112D">
              <w:rPr>
                <w:spacing w:val="-1"/>
              </w:rPr>
              <w:t>Zone 1</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E8A24" w14:textId="77777777" w:rsidR="00F80E94" w:rsidRPr="0005389B" w:rsidRDefault="00F80E94" w:rsidP="00306CF3">
            <w:pPr>
              <w:ind w:right="88"/>
              <w:jc w:val="right"/>
            </w:pPr>
            <w:r w:rsidRPr="0005389B">
              <w:t>$763.18</w:t>
            </w:r>
          </w:p>
        </w:tc>
      </w:tr>
      <w:tr w:rsidR="00F80E94" w:rsidRPr="00D7112D" w14:paraId="49EC5E54" w14:textId="77777777" w:rsidTr="00306CF3">
        <w:trPr>
          <w:trHeight w:hRule="exact" w:val="337"/>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093EB" w14:textId="77777777" w:rsidR="00F80E94" w:rsidRPr="00D7112D" w:rsidRDefault="00F80E94" w:rsidP="00306CF3">
            <w:pPr>
              <w:ind w:left="89" w:right="18"/>
              <w:rPr>
                <w:spacing w:val="-1"/>
              </w:rPr>
            </w:pPr>
            <w:r w:rsidRPr="00D7112D">
              <w:rPr>
                <w:spacing w:val="-1"/>
              </w:rPr>
              <w:t>Zone 2</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7A5B2" w14:textId="77777777" w:rsidR="00F80E94" w:rsidRPr="0005389B" w:rsidRDefault="00F80E94" w:rsidP="00306CF3">
            <w:pPr>
              <w:ind w:right="88"/>
              <w:jc w:val="right"/>
            </w:pPr>
            <w:r w:rsidRPr="0005389B">
              <w:t>$975.00</w:t>
            </w:r>
          </w:p>
        </w:tc>
      </w:tr>
    </w:tbl>
    <w:p w14:paraId="0BEB8CFE" w14:textId="4808855D" w:rsidR="00F80E94" w:rsidRPr="00FF17AC" w:rsidRDefault="00F80E94" w:rsidP="00F80E94">
      <w:pPr>
        <w:spacing w:before="120"/>
        <w:ind w:left="720" w:right="14"/>
        <w:rPr>
          <w:bCs/>
          <w:spacing w:val="-1"/>
        </w:rPr>
      </w:pPr>
      <w:r w:rsidRPr="00FF17AC">
        <w:rPr>
          <w:bCs/>
          <w:spacing w:val="-1"/>
        </w:rPr>
        <w:t>*Publishing &amp; Distribution assists agencies in identifying the zone and complexity level of each stop.</w:t>
      </w:r>
    </w:p>
    <w:tbl>
      <w:tblPr>
        <w:tblW w:w="9270" w:type="dxa"/>
        <w:jc w:val="center"/>
        <w:tblLayout w:type="fixed"/>
        <w:tblCellMar>
          <w:left w:w="0" w:type="dxa"/>
          <w:right w:w="0" w:type="dxa"/>
        </w:tblCellMar>
        <w:tblLook w:val="0000" w:firstRow="0" w:lastRow="0" w:firstColumn="0" w:lastColumn="0" w:noHBand="0" w:noVBand="0"/>
      </w:tblPr>
      <w:tblGrid>
        <w:gridCol w:w="5697"/>
        <w:gridCol w:w="1448"/>
        <w:gridCol w:w="2125"/>
      </w:tblGrid>
      <w:tr w:rsidR="00F80E94" w:rsidRPr="00D7112D" w14:paraId="697F82DD" w14:textId="77777777" w:rsidTr="00306CF3">
        <w:trPr>
          <w:trHeight w:hRule="exact" w:val="298"/>
          <w:jc w:val="center"/>
        </w:trPr>
        <w:tc>
          <w:tcPr>
            <w:tcW w:w="5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CA2E5" w14:textId="77777777" w:rsidR="00F80E94" w:rsidRPr="00332D6B" w:rsidRDefault="00F80E94" w:rsidP="00306CF3">
            <w:pPr>
              <w:pStyle w:val="TableParagraph"/>
              <w:kinsoku w:val="0"/>
              <w:overflowPunct w:val="0"/>
              <w:spacing w:line="267" w:lineRule="exact"/>
              <w:ind w:left="102" w:right="18"/>
              <w:rPr>
                <w:rFonts w:asciiTheme="minorHAnsi" w:hAnsiTheme="minorHAnsi"/>
              </w:rPr>
            </w:pPr>
            <w:r w:rsidRPr="00332D6B">
              <w:rPr>
                <w:rFonts w:asciiTheme="minorHAnsi" w:hAnsiTheme="minorHAnsi"/>
                <w:b/>
                <w:bCs/>
                <w:spacing w:val="-3"/>
              </w:rPr>
              <w:t>P</w:t>
            </w:r>
            <w:r w:rsidRPr="00332D6B">
              <w:rPr>
                <w:rFonts w:asciiTheme="minorHAnsi" w:hAnsiTheme="minorHAnsi"/>
                <w:b/>
                <w:bCs/>
              </w:rPr>
              <w:t>a</w:t>
            </w:r>
            <w:r w:rsidRPr="00332D6B">
              <w:rPr>
                <w:rFonts w:asciiTheme="minorHAnsi" w:hAnsiTheme="minorHAnsi"/>
                <w:b/>
                <w:bCs/>
                <w:spacing w:val="-1"/>
              </w:rPr>
              <w:t>c</w:t>
            </w:r>
            <w:r w:rsidRPr="00332D6B">
              <w:rPr>
                <w:rFonts w:asciiTheme="minorHAnsi" w:hAnsiTheme="minorHAnsi"/>
                <w:b/>
                <w:bCs/>
              </w:rPr>
              <w:t>kage</w:t>
            </w:r>
            <w:r w:rsidRPr="00332D6B">
              <w:rPr>
                <w:rFonts w:asciiTheme="minorHAnsi" w:hAnsiTheme="minorHAnsi"/>
                <w:b/>
                <w:bCs/>
                <w:spacing w:val="-1"/>
              </w:rPr>
              <w:t xml:space="preserve"> </w:t>
            </w:r>
            <w:r w:rsidRPr="00332D6B">
              <w:rPr>
                <w:rFonts w:asciiTheme="minorHAnsi" w:hAnsiTheme="minorHAnsi"/>
                <w:b/>
                <w:bCs/>
                <w:spacing w:val="3"/>
              </w:rPr>
              <w:t>T</w:t>
            </w:r>
            <w:r w:rsidRPr="00332D6B">
              <w:rPr>
                <w:rFonts w:asciiTheme="minorHAnsi" w:hAnsiTheme="minorHAnsi"/>
                <w:b/>
                <w:bCs/>
                <w:spacing w:val="-1"/>
              </w:rPr>
              <w:t>r</w:t>
            </w:r>
            <w:r w:rsidRPr="00332D6B">
              <w:rPr>
                <w:rFonts w:asciiTheme="minorHAnsi" w:hAnsiTheme="minorHAnsi"/>
                <w:b/>
                <w:bCs/>
              </w:rPr>
              <w:t>a</w:t>
            </w:r>
            <w:r w:rsidRPr="00332D6B">
              <w:rPr>
                <w:rFonts w:asciiTheme="minorHAnsi" w:hAnsiTheme="minorHAnsi"/>
                <w:b/>
                <w:bCs/>
                <w:spacing w:val="-1"/>
              </w:rPr>
              <w:t>c</w:t>
            </w:r>
            <w:r w:rsidRPr="00332D6B">
              <w:rPr>
                <w:rFonts w:asciiTheme="minorHAnsi" w:hAnsiTheme="minorHAnsi"/>
                <w:b/>
                <w:bCs/>
              </w:rPr>
              <w:t xml:space="preserve">king </w:t>
            </w:r>
            <w:r w:rsidRPr="00332D6B">
              <w:rPr>
                <w:rFonts w:asciiTheme="minorHAnsi" w:hAnsiTheme="minorHAnsi"/>
                <w:b/>
                <w:bCs/>
                <w:spacing w:val="-1"/>
              </w:rPr>
              <w:t>(</w:t>
            </w:r>
            <w:proofErr w:type="spellStart"/>
            <w:r w:rsidRPr="00332D6B">
              <w:rPr>
                <w:rFonts w:asciiTheme="minorHAnsi" w:hAnsiTheme="minorHAnsi"/>
                <w:b/>
                <w:bCs/>
                <w:spacing w:val="-3"/>
              </w:rPr>
              <w:t>P</w:t>
            </w:r>
            <w:r w:rsidRPr="00332D6B">
              <w:rPr>
                <w:rFonts w:asciiTheme="minorHAnsi" w:hAnsiTheme="minorHAnsi"/>
                <w:b/>
                <w:bCs/>
                <w:spacing w:val="2"/>
              </w:rPr>
              <w:t>a</w:t>
            </w:r>
            <w:r w:rsidRPr="00332D6B">
              <w:rPr>
                <w:rFonts w:asciiTheme="minorHAnsi" w:hAnsiTheme="minorHAnsi"/>
                <w:b/>
                <w:bCs/>
                <w:spacing w:val="1"/>
              </w:rPr>
              <w:t>c</w:t>
            </w:r>
            <w:r w:rsidRPr="00332D6B">
              <w:rPr>
                <w:rFonts w:asciiTheme="minorHAnsi" w:hAnsiTheme="minorHAnsi"/>
                <w:b/>
                <w:bCs/>
              </w:rPr>
              <w:t>T</w:t>
            </w:r>
            <w:r w:rsidRPr="00332D6B">
              <w:rPr>
                <w:rFonts w:asciiTheme="minorHAnsi" w:hAnsiTheme="minorHAnsi"/>
                <w:b/>
                <w:bCs/>
                <w:spacing w:val="-1"/>
              </w:rPr>
              <w:t>r</w:t>
            </w:r>
            <w:r w:rsidRPr="00332D6B">
              <w:rPr>
                <w:rFonts w:asciiTheme="minorHAnsi" w:hAnsiTheme="minorHAnsi"/>
                <w:b/>
                <w:bCs/>
              </w:rPr>
              <w:t>a</w:t>
            </w:r>
            <w:r w:rsidRPr="00332D6B">
              <w:rPr>
                <w:rFonts w:asciiTheme="minorHAnsi" w:hAnsiTheme="minorHAnsi"/>
                <w:b/>
                <w:bCs/>
                <w:spacing w:val="-1"/>
              </w:rPr>
              <w:t>c</w:t>
            </w:r>
            <w:proofErr w:type="spellEnd"/>
            <w:r w:rsidRPr="00332D6B">
              <w:rPr>
                <w:rFonts w:asciiTheme="minorHAnsi" w:hAnsiTheme="minorHAnsi"/>
                <w:b/>
                <w:bCs/>
                <w:spacing w:val="-1"/>
              </w:rPr>
              <w:t>):</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214FE" w14:textId="77777777" w:rsidR="00F80E94" w:rsidRPr="00332D6B" w:rsidRDefault="00F80E94" w:rsidP="00306CF3">
            <w:pPr>
              <w:ind w:right="18"/>
              <w:jc w:val="right"/>
              <w:rPr>
                <w:szCs w:val="24"/>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1A08" w14:textId="77777777" w:rsidR="00F80E94" w:rsidRPr="00332D6B" w:rsidRDefault="00F80E94" w:rsidP="00306CF3">
            <w:pPr>
              <w:ind w:right="18"/>
              <w:jc w:val="center"/>
              <w:rPr>
                <w:szCs w:val="24"/>
              </w:rPr>
            </w:pPr>
          </w:p>
        </w:tc>
      </w:tr>
      <w:tr w:rsidR="00F80E94" w:rsidRPr="00D7112D" w14:paraId="1957E6EE" w14:textId="77777777" w:rsidTr="00306CF3">
        <w:trPr>
          <w:trHeight w:hRule="exact" w:val="300"/>
          <w:jc w:val="center"/>
        </w:trPr>
        <w:tc>
          <w:tcPr>
            <w:tcW w:w="5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C4FF2" w14:textId="77777777" w:rsidR="00F80E94" w:rsidRPr="00332D6B" w:rsidRDefault="00F80E94" w:rsidP="00306CF3">
            <w:pPr>
              <w:pStyle w:val="TableParagraph"/>
              <w:kinsoku w:val="0"/>
              <w:overflowPunct w:val="0"/>
              <w:spacing w:line="263" w:lineRule="exact"/>
              <w:ind w:left="297" w:right="18"/>
              <w:rPr>
                <w:rFonts w:asciiTheme="minorHAnsi" w:hAnsiTheme="minorHAnsi"/>
              </w:rPr>
            </w:pPr>
            <w:r w:rsidRPr="00332D6B">
              <w:rPr>
                <w:rFonts w:asciiTheme="minorHAnsi" w:hAnsiTheme="minorHAnsi"/>
                <w:spacing w:val="-3"/>
              </w:rPr>
              <w:t>Package Tracking Base Charge</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3D3D3" w14:textId="77777777" w:rsidR="00F80E94" w:rsidRPr="00332D6B" w:rsidRDefault="00F80E94" w:rsidP="00306CF3">
            <w:pPr>
              <w:ind w:right="126"/>
              <w:jc w:val="right"/>
              <w:rPr>
                <w:szCs w:val="24"/>
              </w:rPr>
            </w:pPr>
            <w:r w:rsidRPr="00332D6B">
              <w:rPr>
                <w:szCs w:val="24"/>
              </w:rPr>
              <w:t>$5.00</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2287C" w14:textId="77777777" w:rsidR="00F80E94" w:rsidRPr="00332D6B" w:rsidRDefault="00F80E94" w:rsidP="00306CF3">
            <w:pPr>
              <w:pStyle w:val="TableParagraph"/>
              <w:kinsoku w:val="0"/>
              <w:overflowPunct w:val="0"/>
              <w:spacing w:line="263"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p</w:t>
            </w:r>
            <w:r w:rsidRPr="00332D6B">
              <w:rPr>
                <w:rFonts w:asciiTheme="minorHAnsi" w:hAnsiTheme="minorHAnsi"/>
                <w:spacing w:val="-1"/>
              </w:rPr>
              <w:t>ac</w:t>
            </w:r>
            <w:r w:rsidRPr="00332D6B">
              <w:rPr>
                <w:rFonts w:asciiTheme="minorHAnsi" w:hAnsiTheme="minorHAnsi"/>
              </w:rPr>
              <w:t>k</w:t>
            </w:r>
            <w:r w:rsidRPr="00332D6B">
              <w:rPr>
                <w:rFonts w:asciiTheme="minorHAnsi" w:hAnsiTheme="minorHAnsi"/>
                <w:spacing w:val="1"/>
              </w:rPr>
              <w:t>a</w:t>
            </w:r>
            <w:r w:rsidRPr="00332D6B">
              <w:rPr>
                <w:rFonts w:asciiTheme="minorHAnsi" w:hAnsiTheme="minorHAnsi"/>
              </w:rPr>
              <w:t>ge</w:t>
            </w:r>
          </w:p>
        </w:tc>
      </w:tr>
      <w:tr w:rsidR="00F80E94" w:rsidRPr="00A77A42" w14:paraId="4787016D" w14:textId="77777777" w:rsidTr="00306CF3">
        <w:trPr>
          <w:trHeight w:hRule="exact" w:val="298"/>
          <w:jc w:val="center"/>
        </w:trPr>
        <w:tc>
          <w:tcPr>
            <w:tcW w:w="5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2EFAF" w14:textId="77777777" w:rsidR="00F80E94" w:rsidRPr="00332D6B" w:rsidRDefault="00F80E94" w:rsidP="00306CF3">
            <w:pPr>
              <w:pStyle w:val="TableParagraph"/>
              <w:kinsoku w:val="0"/>
              <w:overflowPunct w:val="0"/>
              <w:spacing w:line="260" w:lineRule="exact"/>
              <w:ind w:left="297" w:right="18"/>
              <w:rPr>
                <w:rFonts w:asciiTheme="minorHAnsi" w:hAnsiTheme="minorHAnsi"/>
              </w:rPr>
            </w:pPr>
            <w:r w:rsidRPr="00332D6B">
              <w:rPr>
                <w:rFonts w:asciiTheme="minorHAnsi" w:hAnsiTheme="minorHAnsi"/>
                <w:spacing w:val="-3"/>
              </w:rPr>
              <w:t>Package Tracking Level 4</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E165" w14:textId="77777777" w:rsidR="00F80E94" w:rsidRPr="00332D6B" w:rsidRDefault="00F80E94" w:rsidP="00306CF3">
            <w:pPr>
              <w:ind w:right="126"/>
              <w:jc w:val="right"/>
              <w:rPr>
                <w:szCs w:val="24"/>
              </w:rPr>
            </w:pPr>
            <w:r w:rsidRPr="00332D6B">
              <w:rPr>
                <w:szCs w:val="24"/>
              </w:rPr>
              <w:t>$15.00</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0AAD8" w14:textId="77777777" w:rsidR="00F80E94" w:rsidRPr="00332D6B" w:rsidRDefault="00F80E94" w:rsidP="00306CF3">
            <w:pPr>
              <w:pStyle w:val="TableParagraph"/>
              <w:kinsoku w:val="0"/>
              <w:overflowPunct w:val="0"/>
              <w:spacing w:line="260" w:lineRule="exact"/>
              <w:ind w:left="99" w:right="18"/>
              <w:jc w:val="center"/>
              <w:rPr>
                <w:rFonts w:asciiTheme="minorHAnsi" w:hAnsiTheme="minorHAnsi"/>
              </w:rPr>
            </w:pPr>
            <w:r w:rsidRPr="00332D6B">
              <w:rPr>
                <w:rFonts w:asciiTheme="minorHAnsi" w:hAnsiTheme="minorHAnsi"/>
              </w:rPr>
              <w:t>P</w:t>
            </w:r>
            <w:r w:rsidRPr="00332D6B">
              <w:rPr>
                <w:rFonts w:asciiTheme="minorHAnsi" w:hAnsiTheme="minorHAnsi"/>
                <w:spacing w:val="-1"/>
              </w:rPr>
              <w:t>e</w:t>
            </w:r>
            <w:r w:rsidRPr="00332D6B">
              <w:rPr>
                <w:rFonts w:asciiTheme="minorHAnsi" w:hAnsiTheme="minorHAnsi"/>
              </w:rPr>
              <w:t>r</w:t>
            </w:r>
            <w:r w:rsidRPr="00332D6B">
              <w:rPr>
                <w:rFonts w:asciiTheme="minorHAnsi" w:hAnsiTheme="minorHAnsi"/>
                <w:spacing w:val="-1"/>
              </w:rPr>
              <w:t xml:space="preserve"> </w:t>
            </w:r>
            <w:r w:rsidRPr="00332D6B">
              <w:rPr>
                <w:rFonts w:asciiTheme="minorHAnsi" w:hAnsiTheme="minorHAnsi"/>
              </w:rPr>
              <w:t>p</w:t>
            </w:r>
            <w:r w:rsidRPr="00332D6B">
              <w:rPr>
                <w:rFonts w:asciiTheme="minorHAnsi" w:hAnsiTheme="minorHAnsi"/>
                <w:spacing w:val="-1"/>
              </w:rPr>
              <w:t>ac</w:t>
            </w:r>
            <w:r w:rsidRPr="00332D6B">
              <w:rPr>
                <w:rFonts w:asciiTheme="minorHAnsi" w:hAnsiTheme="minorHAnsi"/>
              </w:rPr>
              <w:t>k</w:t>
            </w:r>
            <w:r w:rsidRPr="00332D6B">
              <w:rPr>
                <w:rFonts w:asciiTheme="minorHAnsi" w:hAnsiTheme="minorHAnsi"/>
                <w:spacing w:val="1"/>
              </w:rPr>
              <w:t>a</w:t>
            </w:r>
            <w:r w:rsidRPr="00332D6B">
              <w:rPr>
                <w:rFonts w:asciiTheme="minorHAnsi" w:hAnsiTheme="minorHAnsi"/>
              </w:rPr>
              <w:t>ge</w:t>
            </w:r>
          </w:p>
        </w:tc>
      </w:tr>
    </w:tbl>
    <w:p w14:paraId="214E8E3D" w14:textId="77777777" w:rsidR="00F80E94" w:rsidRDefault="00F80E94" w:rsidP="00F80E94">
      <w:pPr>
        <w:ind w:right="18"/>
        <w:rPr>
          <w:b/>
          <w:bCs/>
        </w:rPr>
      </w:pPr>
    </w:p>
    <w:p w14:paraId="5DB37341" w14:textId="77777777" w:rsidR="00F80E94" w:rsidRDefault="00F80E94" w:rsidP="00FF17AC">
      <w:r w:rsidRPr="0007362E">
        <w:rPr>
          <w:b/>
          <w:bCs/>
        </w:rPr>
        <w:t>Scheduling Work with Publishing &amp; Distribution:</w:t>
      </w:r>
      <w:r>
        <w:rPr>
          <w:b/>
          <w:bCs/>
        </w:rPr>
        <w:t xml:space="preserve"> </w:t>
      </w:r>
      <w:r w:rsidRPr="006F5AA4">
        <w:t>The rates presented in the Price List are based on established production schedules. If a project requires an unusua</w:t>
      </w:r>
      <w:r>
        <w:t xml:space="preserve">lly quick turnaround, </w:t>
      </w:r>
      <w:r w:rsidRPr="006F5AA4">
        <w:t>overtime charges may apply</w:t>
      </w:r>
      <w:r>
        <w:t xml:space="preserve">. </w:t>
      </w:r>
      <w:r w:rsidRPr="006F5AA4">
        <w:t>The amount charged will be determined through discussion with the customer and the actual costs required to meet the customer</w:t>
      </w:r>
      <w:r>
        <w:t>’</w:t>
      </w:r>
      <w:r w:rsidRPr="006F5AA4">
        <w:t>s desired delivery date.</w:t>
      </w:r>
    </w:p>
    <w:p w14:paraId="48596E30" w14:textId="77777777" w:rsidR="00F80E94" w:rsidRPr="00332D6B" w:rsidRDefault="00F80E94" w:rsidP="00FF17AC">
      <w:pPr>
        <w:rPr>
          <w:rFonts w:cs="Segoe UI"/>
          <w:szCs w:val="24"/>
        </w:rPr>
      </w:pPr>
      <w:r w:rsidRPr="00332D6B">
        <w:rPr>
          <w:b/>
          <w:bCs/>
          <w:szCs w:val="24"/>
        </w:rPr>
        <w:t>Pass-through</w:t>
      </w:r>
      <w:r w:rsidRPr="00332D6B">
        <w:rPr>
          <w:szCs w:val="24"/>
        </w:rPr>
        <w:t>: A charge that is incurred by P&amp;D then passed directly to the customer on a dollar-for-dollar basis. Pass-through costs are not included in service rates. </w:t>
      </w:r>
    </w:p>
    <w:p w14:paraId="29E4FEA8" w14:textId="77777777" w:rsidR="00F80E94" w:rsidRPr="00FF17AC" w:rsidRDefault="00F80E94" w:rsidP="00F25900">
      <w:pPr>
        <w:pStyle w:val="ListParagraph"/>
        <w:numPr>
          <w:ilvl w:val="0"/>
          <w:numId w:val="43"/>
        </w:numPr>
        <w:rPr>
          <w:szCs w:val="24"/>
        </w:rPr>
      </w:pPr>
      <w:r w:rsidRPr="00FF17AC">
        <w:rPr>
          <w:szCs w:val="24"/>
        </w:rPr>
        <w:t>Managed Print Services Pass-Through: Actual lease rate of the MFP. </w:t>
      </w:r>
    </w:p>
    <w:p w14:paraId="510A36FE" w14:textId="77777777" w:rsidR="00F80E94" w:rsidRPr="00FF17AC" w:rsidRDefault="00F80E94" w:rsidP="00F25900">
      <w:pPr>
        <w:pStyle w:val="ListParagraph"/>
        <w:numPr>
          <w:ilvl w:val="0"/>
          <w:numId w:val="43"/>
        </w:numPr>
        <w:rPr>
          <w:szCs w:val="24"/>
        </w:rPr>
      </w:pPr>
      <w:r w:rsidRPr="00FF17AC">
        <w:rPr>
          <w:szCs w:val="24"/>
        </w:rPr>
        <w:t>Postage Pass-Through: The discounted postage rate.</w:t>
      </w:r>
    </w:p>
    <w:p w14:paraId="0FEC7E73" w14:textId="77777777" w:rsidR="00F80E94" w:rsidRPr="00FF17AC" w:rsidRDefault="00F80E94" w:rsidP="00F25900">
      <w:pPr>
        <w:pStyle w:val="ListParagraph"/>
        <w:numPr>
          <w:ilvl w:val="0"/>
          <w:numId w:val="43"/>
        </w:numPr>
        <w:rPr>
          <w:szCs w:val="24"/>
        </w:rPr>
      </w:pPr>
      <w:r w:rsidRPr="00FF17AC">
        <w:rPr>
          <w:szCs w:val="24"/>
        </w:rPr>
        <w:t>Secure Print Pass-Through: Paper stock.</w:t>
      </w:r>
    </w:p>
    <w:p w14:paraId="7EBBC2E3" w14:textId="77777777" w:rsidR="00F80E94" w:rsidRPr="00FF17AC" w:rsidRDefault="00F80E94" w:rsidP="00F25900">
      <w:pPr>
        <w:pStyle w:val="ListParagraph"/>
        <w:numPr>
          <w:ilvl w:val="0"/>
          <w:numId w:val="43"/>
        </w:numPr>
        <w:rPr>
          <w:szCs w:val="24"/>
        </w:rPr>
      </w:pPr>
      <w:r w:rsidRPr="00FF17AC">
        <w:rPr>
          <w:szCs w:val="24"/>
        </w:rPr>
        <w:t>Central Print Pass-Through: Paper stock.</w:t>
      </w:r>
    </w:p>
    <w:p w14:paraId="043078C0" w14:textId="77777777" w:rsidR="00F80E94" w:rsidRPr="00FF17AC" w:rsidRDefault="00F80E94" w:rsidP="00F25900">
      <w:pPr>
        <w:pStyle w:val="ListParagraph"/>
        <w:numPr>
          <w:ilvl w:val="0"/>
          <w:numId w:val="43"/>
        </w:numPr>
        <w:rPr>
          <w:szCs w:val="24"/>
        </w:rPr>
      </w:pPr>
      <w:r w:rsidRPr="00FF17AC">
        <w:rPr>
          <w:szCs w:val="24"/>
        </w:rPr>
        <w:t>Shipping and Receiving Pass-Through: Actual postage or common carrier rate.</w:t>
      </w:r>
    </w:p>
    <w:p w14:paraId="52952202" w14:textId="77777777" w:rsidR="00F80E94" w:rsidRDefault="00F80E94" w:rsidP="00FF17AC">
      <w:pPr>
        <w:rPr>
          <w:b/>
          <w:bCs/>
          <w:spacing w:val="-1"/>
        </w:rPr>
      </w:pPr>
      <w:r w:rsidRPr="00216E77">
        <w:rPr>
          <w:b/>
          <w:bCs/>
        </w:rPr>
        <w:t>Con</w:t>
      </w:r>
      <w:r w:rsidRPr="00216E77">
        <w:rPr>
          <w:b/>
          <w:bCs/>
          <w:spacing w:val="-1"/>
        </w:rPr>
        <w:t>t</w:t>
      </w:r>
      <w:r w:rsidRPr="00216E77">
        <w:rPr>
          <w:b/>
          <w:bCs/>
        </w:rPr>
        <w:t>a</w:t>
      </w:r>
      <w:r w:rsidRPr="00216E77">
        <w:rPr>
          <w:b/>
          <w:bCs/>
          <w:spacing w:val="-1"/>
        </w:rPr>
        <w:t>c</w:t>
      </w:r>
      <w:r w:rsidRPr="00216E77">
        <w:rPr>
          <w:b/>
          <w:bCs/>
        </w:rPr>
        <w:t xml:space="preserve">t for more information: </w:t>
      </w:r>
      <w:r w:rsidRPr="00216E77">
        <w:rPr>
          <w:b/>
          <w:bCs/>
          <w:spacing w:val="-1"/>
        </w:rPr>
        <w:t>Tim Hendrix at 503-</w:t>
      </w:r>
      <w:r>
        <w:rPr>
          <w:b/>
          <w:bCs/>
          <w:spacing w:val="-1"/>
        </w:rPr>
        <w:t>339</w:t>
      </w:r>
      <w:r w:rsidRPr="00216E77">
        <w:rPr>
          <w:b/>
          <w:bCs/>
          <w:spacing w:val="-1"/>
        </w:rPr>
        <w:t>-</w:t>
      </w:r>
      <w:r>
        <w:rPr>
          <w:b/>
          <w:bCs/>
          <w:spacing w:val="-1"/>
        </w:rPr>
        <w:t>4707</w:t>
      </w:r>
      <w:r w:rsidRPr="00216E77">
        <w:rPr>
          <w:b/>
          <w:bCs/>
          <w:spacing w:val="-1"/>
        </w:rPr>
        <w:t xml:space="preserve"> or </w:t>
      </w:r>
      <w:hyperlink r:id="rId39" w:history="1">
        <w:r w:rsidRPr="00332D6B">
          <w:rPr>
            <w:rStyle w:val="Hyperlink"/>
            <w:b/>
            <w:bCs/>
            <w:color w:val="auto"/>
            <w:spacing w:val="-1"/>
          </w:rPr>
          <w:t>tim.hendrix@das.oregon.gov</w:t>
        </w:r>
      </w:hyperlink>
      <w:r w:rsidRPr="00332D6B">
        <w:rPr>
          <w:b/>
          <w:bCs/>
          <w:spacing w:val="-1"/>
        </w:rPr>
        <w:t>.</w:t>
      </w:r>
    </w:p>
    <w:p w14:paraId="34798CEC" w14:textId="77777777" w:rsidR="00F80E94" w:rsidRPr="00FF17AC" w:rsidRDefault="00F80E94" w:rsidP="2E12E5CC">
      <w:pPr>
        <w:pStyle w:val="Heading4"/>
      </w:pPr>
      <w:bookmarkStart w:id="65" w:name="_Toc226108630"/>
      <w:r w:rsidRPr="009E1C45">
        <w:t>Risk Management</w:t>
      </w:r>
      <w:bookmarkEnd w:id="65"/>
    </w:p>
    <w:p w14:paraId="36200F27" w14:textId="77777777" w:rsidR="00F80E94" w:rsidRPr="00332D6B" w:rsidRDefault="00F80E94" w:rsidP="00FF17AC">
      <w:pPr>
        <w:rPr>
          <w:szCs w:val="24"/>
        </w:rPr>
      </w:pPr>
      <w:r w:rsidRPr="00332D6B">
        <w:rPr>
          <w:spacing w:val="-1"/>
          <w:szCs w:val="24"/>
        </w:rPr>
        <w:lastRenderedPageBreak/>
        <w:t>U</w:t>
      </w:r>
      <w:r w:rsidRPr="00332D6B">
        <w:rPr>
          <w:szCs w:val="24"/>
        </w:rPr>
        <w:t>nd</w:t>
      </w:r>
      <w:r w:rsidRPr="00332D6B">
        <w:rPr>
          <w:spacing w:val="-1"/>
          <w:szCs w:val="24"/>
        </w:rPr>
        <w:t>e</w:t>
      </w:r>
      <w:r w:rsidRPr="00332D6B">
        <w:rPr>
          <w:szCs w:val="24"/>
        </w:rPr>
        <w:t>r</w:t>
      </w:r>
      <w:r w:rsidRPr="00332D6B">
        <w:rPr>
          <w:spacing w:val="13"/>
          <w:szCs w:val="24"/>
        </w:rPr>
        <w:t xml:space="preserve"> </w:t>
      </w:r>
      <w:r w:rsidRPr="00332D6B">
        <w:rPr>
          <w:spacing w:val="-1"/>
          <w:szCs w:val="24"/>
        </w:rPr>
        <w:t>O</w:t>
      </w:r>
      <w:r w:rsidRPr="00332D6B">
        <w:rPr>
          <w:szCs w:val="24"/>
        </w:rPr>
        <w:t>RS</w:t>
      </w:r>
      <w:r w:rsidRPr="00332D6B">
        <w:rPr>
          <w:spacing w:val="15"/>
          <w:szCs w:val="24"/>
        </w:rPr>
        <w:t xml:space="preserve"> </w:t>
      </w:r>
      <w:r w:rsidRPr="00332D6B">
        <w:rPr>
          <w:szCs w:val="24"/>
        </w:rPr>
        <w:t xml:space="preserve">278.405, </w:t>
      </w:r>
      <w:r w:rsidRPr="00332D6B">
        <w:rPr>
          <w:spacing w:val="13"/>
          <w:szCs w:val="24"/>
        </w:rPr>
        <w:t>R</w:t>
      </w:r>
      <w:r w:rsidRPr="00332D6B">
        <w:rPr>
          <w:szCs w:val="24"/>
        </w:rPr>
        <w:t>isk</w:t>
      </w:r>
      <w:r w:rsidRPr="00332D6B">
        <w:rPr>
          <w:spacing w:val="14"/>
          <w:szCs w:val="24"/>
        </w:rPr>
        <w:t xml:space="preserve"> M</w:t>
      </w:r>
      <w:r w:rsidRPr="00332D6B">
        <w:rPr>
          <w:spacing w:val="-1"/>
          <w:szCs w:val="24"/>
        </w:rPr>
        <w:t>a</w:t>
      </w:r>
      <w:r w:rsidRPr="00332D6B">
        <w:rPr>
          <w:szCs w:val="24"/>
        </w:rPr>
        <w:t>n</w:t>
      </w:r>
      <w:r w:rsidRPr="00332D6B">
        <w:rPr>
          <w:spacing w:val="1"/>
          <w:szCs w:val="24"/>
        </w:rPr>
        <w:t>a</w:t>
      </w:r>
      <w:r w:rsidRPr="00332D6B">
        <w:rPr>
          <w:spacing w:val="-3"/>
          <w:szCs w:val="24"/>
        </w:rPr>
        <w:t>g</w:t>
      </w:r>
      <w:r w:rsidRPr="00332D6B">
        <w:rPr>
          <w:spacing w:val="-1"/>
          <w:szCs w:val="24"/>
        </w:rPr>
        <w:t>e</w:t>
      </w:r>
      <w:r w:rsidRPr="00332D6B">
        <w:rPr>
          <w:spacing w:val="2"/>
          <w:szCs w:val="24"/>
        </w:rPr>
        <w:t>m</w:t>
      </w:r>
      <w:r w:rsidRPr="00332D6B">
        <w:rPr>
          <w:spacing w:val="-1"/>
          <w:szCs w:val="24"/>
        </w:rPr>
        <w:t>e</w:t>
      </w:r>
      <w:r w:rsidRPr="00332D6B">
        <w:rPr>
          <w:szCs w:val="24"/>
        </w:rPr>
        <w:t>nt (RM) manages the risk management</w:t>
      </w:r>
      <w:r w:rsidRPr="00332D6B">
        <w:rPr>
          <w:spacing w:val="14"/>
          <w:szCs w:val="24"/>
        </w:rPr>
        <w:t xml:space="preserve"> </w:t>
      </w:r>
      <w:r w:rsidRPr="00332D6B">
        <w:rPr>
          <w:spacing w:val="-1"/>
          <w:szCs w:val="24"/>
        </w:rPr>
        <w:t>a</w:t>
      </w:r>
      <w:r w:rsidRPr="00332D6B">
        <w:rPr>
          <w:szCs w:val="24"/>
        </w:rPr>
        <w:t>nd insu</w:t>
      </w:r>
      <w:r w:rsidRPr="00332D6B">
        <w:rPr>
          <w:spacing w:val="-1"/>
          <w:szCs w:val="24"/>
        </w:rPr>
        <w:t>ra</w:t>
      </w:r>
      <w:r w:rsidRPr="00332D6B">
        <w:rPr>
          <w:szCs w:val="24"/>
        </w:rPr>
        <w:t>n</w:t>
      </w:r>
      <w:r w:rsidRPr="00332D6B">
        <w:rPr>
          <w:spacing w:val="-1"/>
          <w:szCs w:val="24"/>
        </w:rPr>
        <w:t>c</w:t>
      </w:r>
      <w:r w:rsidRPr="00332D6B">
        <w:rPr>
          <w:szCs w:val="24"/>
        </w:rPr>
        <w:t>e</w:t>
      </w:r>
      <w:r w:rsidRPr="00332D6B">
        <w:rPr>
          <w:spacing w:val="-1"/>
          <w:szCs w:val="24"/>
        </w:rPr>
        <w:t xml:space="preserve"> </w:t>
      </w:r>
      <w:r w:rsidRPr="00332D6B">
        <w:rPr>
          <w:szCs w:val="24"/>
        </w:rPr>
        <w:t>p</w:t>
      </w:r>
      <w:r w:rsidRPr="00332D6B">
        <w:rPr>
          <w:spacing w:val="-1"/>
          <w:szCs w:val="24"/>
        </w:rPr>
        <w:t>r</w:t>
      </w:r>
      <w:r w:rsidRPr="00332D6B">
        <w:rPr>
          <w:spacing w:val="2"/>
          <w:szCs w:val="24"/>
        </w:rPr>
        <w:t>o</w:t>
      </w:r>
      <w:r w:rsidRPr="00332D6B">
        <w:rPr>
          <w:szCs w:val="24"/>
        </w:rPr>
        <w:t>g</w:t>
      </w:r>
      <w:r w:rsidRPr="00332D6B">
        <w:rPr>
          <w:spacing w:val="-1"/>
          <w:szCs w:val="24"/>
        </w:rPr>
        <w:t>ra</w:t>
      </w:r>
      <w:r w:rsidRPr="00332D6B">
        <w:rPr>
          <w:szCs w:val="24"/>
        </w:rPr>
        <w:t>ms of</w:t>
      </w:r>
      <w:r w:rsidRPr="00332D6B">
        <w:rPr>
          <w:spacing w:val="-1"/>
          <w:szCs w:val="24"/>
        </w:rPr>
        <w:t xml:space="preserve"> </w:t>
      </w:r>
      <w:r w:rsidRPr="00332D6B">
        <w:rPr>
          <w:szCs w:val="24"/>
        </w:rPr>
        <w:t>s</w:t>
      </w:r>
      <w:r w:rsidRPr="00332D6B">
        <w:rPr>
          <w:spacing w:val="2"/>
          <w:szCs w:val="24"/>
        </w:rPr>
        <w:t>t</w:t>
      </w:r>
      <w:r w:rsidRPr="00332D6B">
        <w:rPr>
          <w:spacing w:val="-1"/>
          <w:szCs w:val="24"/>
        </w:rPr>
        <w:t>a</w:t>
      </w:r>
      <w:r w:rsidRPr="00332D6B">
        <w:rPr>
          <w:szCs w:val="24"/>
        </w:rPr>
        <w:t>te</w:t>
      </w:r>
      <w:r w:rsidRPr="00332D6B">
        <w:rPr>
          <w:spacing w:val="1"/>
          <w:szCs w:val="24"/>
        </w:rPr>
        <w:t xml:space="preserve"> </w:t>
      </w:r>
      <w:r w:rsidRPr="00332D6B">
        <w:rPr>
          <w:spacing w:val="-3"/>
          <w:szCs w:val="24"/>
        </w:rPr>
        <w:t>g</w:t>
      </w:r>
      <w:r w:rsidRPr="00332D6B">
        <w:rPr>
          <w:szCs w:val="24"/>
        </w:rPr>
        <w:t>ov</w:t>
      </w:r>
      <w:r w:rsidRPr="00332D6B">
        <w:rPr>
          <w:spacing w:val="-1"/>
          <w:szCs w:val="24"/>
        </w:rPr>
        <w:t>er</w:t>
      </w:r>
      <w:r w:rsidRPr="00332D6B">
        <w:rPr>
          <w:szCs w:val="24"/>
        </w:rPr>
        <w:t>nm</w:t>
      </w:r>
      <w:r w:rsidRPr="00332D6B">
        <w:rPr>
          <w:spacing w:val="-1"/>
          <w:szCs w:val="24"/>
        </w:rPr>
        <w:t>e</w:t>
      </w:r>
      <w:r w:rsidRPr="00332D6B">
        <w:rPr>
          <w:szCs w:val="24"/>
        </w:rPr>
        <w:t>nt.</w:t>
      </w:r>
      <w:r w:rsidRPr="00332D6B">
        <w:rPr>
          <w:spacing w:val="4"/>
          <w:szCs w:val="24"/>
        </w:rPr>
        <w:t xml:space="preserve"> </w:t>
      </w:r>
      <w:r w:rsidRPr="00332D6B">
        <w:rPr>
          <w:spacing w:val="-6"/>
          <w:szCs w:val="24"/>
        </w:rPr>
        <w:t>I</w:t>
      </w:r>
      <w:r w:rsidRPr="00332D6B">
        <w:rPr>
          <w:szCs w:val="24"/>
        </w:rPr>
        <w:t xml:space="preserve">t </w:t>
      </w:r>
      <w:r w:rsidRPr="00332D6B">
        <w:rPr>
          <w:spacing w:val="2"/>
          <w:szCs w:val="24"/>
        </w:rPr>
        <w:t>h</w:t>
      </w:r>
      <w:r w:rsidRPr="00332D6B">
        <w:rPr>
          <w:spacing w:val="-1"/>
          <w:szCs w:val="24"/>
        </w:rPr>
        <w:t>a</w:t>
      </w:r>
      <w:r w:rsidRPr="00332D6B">
        <w:rPr>
          <w:szCs w:val="24"/>
        </w:rPr>
        <w:t xml:space="preserve">s </w:t>
      </w:r>
      <w:r w:rsidRPr="00332D6B">
        <w:rPr>
          <w:spacing w:val="-1"/>
          <w:szCs w:val="24"/>
        </w:rPr>
        <w:t>a responsibility</w:t>
      </w:r>
      <w:r w:rsidRPr="00332D6B">
        <w:rPr>
          <w:spacing w:val="-8"/>
          <w:szCs w:val="24"/>
        </w:rPr>
        <w:t xml:space="preserve"> </w:t>
      </w:r>
      <w:r w:rsidRPr="00332D6B">
        <w:rPr>
          <w:szCs w:val="24"/>
        </w:rPr>
        <w:t>to:</w:t>
      </w:r>
    </w:p>
    <w:p w14:paraId="06F227B5" w14:textId="77777777" w:rsidR="00F80E94" w:rsidRPr="00332D6B" w:rsidRDefault="00F80E94" w:rsidP="00F25900">
      <w:pPr>
        <w:pStyle w:val="ListParagraph"/>
        <w:numPr>
          <w:ilvl w:val="0"/>
          <w:numId w:val="44"/>
        </w:numPr>
      </w:pPr>
      <w:r w:rsidRPr="00332D6B">
        <w:t>P</w:t>
      </w:r>
      <w:r w:rsidRPr="00FF17AC">
        <w:rPr>
          <w:spacing w:val="-1"/>
        </w:rPr>
        <w:t>r</w:t>
      </w:r>
      <w:r w:rsidRPr="00332D6B">
        <w:t>ovide</w:t>
      </w:r>
      <w:r w:rsidRPr="00FF17AC">
        <w:rPr>
          <w:spacing w:val="-1"/>
        </w:rPr>
        <w:t xml:space="preserve"> </w:t>
      </w:r>
      <w:r w:rsidRPr="00332D6B">
        <w:t>insu</w:t>
      </w:r>
      <w:r w:rsidRPr="00FF17AC">
        <w:rPr>
          <w:spacing w:val="-1"/>
        </w:rPr>
        <w:t>ra</w:t>
      </w:r>
      <w:r w:rsidRPr="00332D6B">
        <w:t>n</w:t>
      </w:r>
      <w:r w:rsidRPr="00FF17AC">
        <w:rPr>
          <w:spacing w:val="-1"/>
        </w:rPr>
        <w:t>c</w:t>
      </w:r>
      <w:r w:rsidRPr="00332D6B">
        <w:t>e</w:t>
      </w:r>
      <w:r w:rsidRPr="00FF17AC">
        <w:rPr>
          <w:spacing w:val="1"/>
        </w:rPr>
        <w:t xml:space="preserve"> </w:t>
      </w:r>
      <w:r w:rsidRPr="00FF17AC">
        <w:rPr>
          <w:spacing w:val="-1"/>
        </w:rPr>
        <w:t>c</w:t>
      </w:r>
      <w:r w:rsidRPr="00332D6B">
        <w:t>ov</w:t>
      </w:r>
      <w:r w:rsidRPr="00FF17AC">
        <w:rPr>
          <w:spacing w:val="-1"/>
        </w:rPr>
        <w:t>e</w:t>
      </w:r>
      <w:r w:rsidRPr="00FF17AC">
        <w:rPr>
          <w:spacing w:val="1"/>
        </w:rPr>
        <w:t>ra</w:t>
      </w:r>
      <w:r w:rsidRPr="00FF17AC">
        <w:rPr>
          <w:spacing w:val="-3"/>
        </w:rPr>
        <w:t>g</w:t>
      </w:r>
      <w:r w:rsidRPr="00332D6B">
        <w:t>e</w:t>
      </w:r>
      <w:r w:rsidRPr="00FF17AC">
        <w:rPr>
          <w:spacing w:val="1"/>
        </w:rPr>
        <w:t xml:space="preserve"> </w:t>
      </w:r>
      <w:r w:rsidRPr="00FF17AC">
        <w:rPr>
          <w:spacing w:val="-1"/>
        </w:rPr>
        <w:t>f</w:t>
      </w:r>
      <w:r w:rsidRPr="00332D6B">
        <w:t>or</w:t>
      </w:r>
      <w:r w:rsidRPr="00FF17AC">
        <w:rPr>
          <w:spacing w:val="-1"/>
        </w:rPr>
        <w:t xml:space="preserve"> </w:t>
      </w:r>
      <w:r w:rsidRPr="00332D6B">
        <w:t>li</w:t>
      </w:r>
      <w:r w:rsidRPr="00FF17AC">
        <w:rPr>
          <w:spacing w:val="-1"/>
        </w:rPr>
        <w:t>a</w:t>
      </w:r>
      <w:r w:rsidRPr="00332D6B">
        <w:t>bili</w:t>
      </w:r>
      <w:r w:rsidRPr="00FF17AC">
        <w:rPr>
          <w:spacing w:val="2"/>
        </w:rPr>
        <w:t>t</w:t>
      </w:r>
      <w:r w:rsidRPr="00FF17AC">
        <w:rPr>
          <w:spacing w:val="-5"/>
        </w:rPr>
        <w:t>y</w:t>
      </w:r>
      <w:r w:rsidRPr="00332D6B">
        <w:t>, st</w:t>
      </w:r>
      <w:r w:rsidRPr="00FF17AC">
        <w:rPr>
          <w:spacing w:val="-1"/>
        </w:rPr>
        <w:t>a</w:t>
      </w:r>
      <w:r w:rsidRPr="00332D6B">
        <w:t>te</w:t>
      </w:r>
      <w:r w:rsidRPr="00FF17AC">
        <w:rPr>
          <w:spacing w:val="1"/>
        </w:rPr>
        <w:t xml:space="preserve"> </w:t>
      </w:r>
      <w:r w:rsidRPr="00332D6B">
        <w:t>p</w:t>
      </w:r>
      <w:r w:rsidRPr="00FF17AC">
        <w:rPr>
          <w:spacing w:val="-1"/>
        </w:rPr>
        <w:t>r</w:t>
      </w:r>
      <w:r w:rsidRPr="00332D6B">
        <w:t>op</w:t>
      </w:r>
      <w:r w:rsidRPr="00FF17AC">
        <w:rPr>
          <w:spacing w:val="-1"/>
        </w:rPr>
        <w:t>er</w:t>
      </w:r>
      <w:r w:rsidRPr="00FF17AC">
        <w:rPr>
          <w:spacing w:val="5"/>
        </w:rPr>
        <w:t>t</w:t>
      </w:r>
      <w:r w:rsidRPr="00FF17AC">
        <w:rPr>
          <w:spacing w:val="-5"/>
        </w:rPr>
        <w:t>y</w:t>
      </w:r>
      <w:r w:rsidRPr="00332D6B">
        <w:t xml:space="preserve"> </w:t>
      </w:r>
      <w:r w:rsidRPr="00FF17AC">
        <w:rPr>
          <w:spacing w:val="-1"/>
        </w:rPr>
        <w:t>a</w:t>
      </w:r>
      <w:r w:rsidRPr="00332D6B">
        <w:t xml:space="preserve">nd </w:t>
      </w:r>
      <w:r w:rsidRPr="00FF17AC">
        <w:rPr>
          <w:spacing w:val="-1"/>
        </w:rPr>
        <w:t>w</w:t>
      </w:r>
      <w:r w:rsidRPr="00FF17AC">
        <w:rPr>
          <w:spacing w:val="2"/>
        </w:rPr>
        <w:t>o</w:t>
      </w:r>
      <w:r w:rsidRPr="00FF17AC">
        <w:rPr>
          <w:spacing w:val="-1"/>
        </w:rPr>
        <w:t>r</w:t>
      </w:r>
      <w:r w:rsidRPr="00332D6B">
        <w:t>k</w:t>
      </w:r>
      <w:r w:rsidRPr="00FF17AC">
        <w:rPr>
          <w:spacing w:val="-1"/>
        </w:rPr>
        <w:t>er</w:t>
      </w:r>
      <w:r w:rsidRPr="00FF17AC">
        <w:rPr>
          <w:spacing w:val="2"/>
        </w:rPr>
        <w:t>s</w:t>
      </w:r>
      <w:r w:rsidRPr="00332D6B">
        <w:t>’</w:t>
      </w:r>
      <w:r w:rsidRPr="00FF17AC">
        <w:rPr>
          <w:spacing w:val="-1"/>
        </w:rPr>
        <w:t xml:space="preserve"> </w:t>
      </w:r>
      <w:r w:rsidRPr="00FF17AC">
        <w:rPr>
          <w:spacing w:val="1"/>
        </w:rPr>
        <w:t>c</w:t>
      </w:r>
      <w:r w:rsidRPr="00332D6B">
        <w:t>omp</w:t>
      </w:r>
      <w:r w:rsidRPr="00FF17AC">
        <w:rPr>
          <w:spacing w:val="-1"/>
        </w:rPr>
        <w:t>e</w:t>
      </w:r>
      <w:r w:rsidRPr="00332D6B">
        <w:t>ns</w:t>
      </w:r>
      <w:r w:rsidRPr="00FF17AC">
        <w:rPr>
          <w:spacing w:val="-1"/>
        </w:rPr>
        <w:t>a</w:t>
      </w:r>
      <w:r w:rsidRPr="00332D6B">
        <w:t>tion.</w:t>
      </w:r>
    </w:p>
    <w:p w14:paraId="12EA0ABF" w14:textId="77777777" w:rsidR="00F80E94" w:rsidRPr="00332D6B" w:rsidRDefault="00F80E94" w:rsidP="00F25900">
      <w:pPr>
        <w:pStyle w:val="ListParagraph"/>
        <w:numPr>
          <w:ilvl w:val="0"/>
          <w:numId w:val="44"/>
        </w:numPr>
      </w:pPr>
      <w:r w:rsidRPr="00332D6B">
        <w:t>Pu</w:t>
      </w:r>
      <w:r w:rsidRPr="00FF17AC">
        <w:rPr>
          <w:spacing w:val="-1"/>
        </w:rPr>
        <w:t>rc</w:t>
      </w:r>
      <w:r w:rsidRPr="00332D6B">
        <w:t>h</w:t>
      </w:r>
      <w:r w:rsidRPr="00FF17AC">
        <w:rPr>
          <w:spacing w:val="-1"/>
        </w:rPr>
        <w:t>a</w:t>
      </w:r>
      <w:r w:rsidRPr="00332D6B">
        <w:t>se</w:t>
      </w:r>
      <w:r w:rsidRPr="00FF17AC">
        <w:rPr>
          <w:spacing w:val="-1"/>
        </w:rPr>
        <w:t xml:space="preserve"> </w:t>
      </w:r>
      <w:r w:rsidRPr="00332D6B">
        <w:t>insu</w:t>
      </w:r>
      <w:r w:rsidRPr="00FF17AC">
        <w:rPr>
          <w:spacing w:val="-1"/>
        </w:rPr>
        <w:t>ra</w:t>
      </w:r>
      <w:r w:rsidRPr="00FF17AC">
        <w:rPr>
          <w:spacing w:val="2"/>
        </w:rPr>
        <w:t>n</w:t>
      </w:r>
      <w:r w:rsidRPr="00FF17AC">
        <w:rPr>
          <w:spacing w:val="-1"/>
        </w:rPr>
        <w:t>c</w:t>
      </w:r>
      <w:r w:rsidRPr="00332D6B">
        <w:t>e</w:t>
      </w:r>
      <w:r w:rsidRPr="00FF17AC">
        <w:rPr>
          <w:spacing w:val="-1"/>
        </w:rPr>
        <w:t xml:space="preserve"> </w:t>
      </w:r>
      <w:r w:rsidRPr="00332D6B">
        <w:t>poli</w:t>
      </w:r>
      <w:r w:rsidRPr="00FF17AC">
        <w:rPr>
          <w:spacing w:val="-1"/>
        </w:rPr>
        <w:t>c</w:t>
      </w:r>
      <w:r w:rsidRPr="00FF17AC">
        <w:rPr>
          <w:spacing w:val="2"/>
        </w:rPr>
        <w:t>i</w:t>
      </w:r>
      <w:r w:rsidRPr="00FF17AC">
        <w:rPr>
          <w:spacing w:val="-1"/>
        </w:rPr>
        <w:t>e</w:t>
      </w:r>
      <w:r w:rsidRPr="00332D6B">
        <w:t>s, d</w:t>
      </w:r>
      <w:r w:rsidRPr="00FF17AC">
        <w:rPr>
          <w:spacing w:val="-1"/>
        </w:rPr>
        <w:t>e</w:t>
      </w:r>
      <w:r w:rsidRPr="00332D6B">
        <w:t>v</w:t>
      </w:r>
      <w:r w:rsidRPr="00FF17AC">
        <w:rPr>
          <w:spacing w:val="-1"/>
        </w:rPr>
        <w:t>e</w:t>
      </w:r>
      <w:r w:rsidRPr="00332D6B">
        <w:t xml:space="preserve">lop </w:t>
      </w:r>
      <w:r w:rsidRPr="00FF17AC">
        <w:rPr>
          <w:spacing w:val="-1"/>
        </w:rPr>
        <w:t>a</w:t>
      </w:r>
      <w:r w:rsidRPr="00332D6B">
        <w:t>nd</w:t>
      </w:r>
      <w:r w:rsidRPr="00FF17AC">
        <w:rPr>
          <w:spacing w:val="2"/>
        </w:rPr>
        <w:t xml:space="preserve"> </w:t>
      </w:r>
      <w:r w:rsidRPr="00FF17AC">
        <w:rPr>
          <w:spacing w:val="-1"/>
        </w:rPr>
        <w:t>a</w:t>
      </w:r>
      <w:r w:rsidRPr="00332D6B">
        <w:t>dminist</w:t>
      </w:r>
      <w:r w:rsidRPr="00FF17AC">
        <w:rPr>
          <w:spacing w:val="-1"/>
        </w:rPr>
        <w:t>e</w:t>
      </w:r>
      <w:r w:rsidRPr="00332D6B">
        <w:t>r</w:t>
      </w:r>
      <w:r w:rsidRPr="00FF17AC">
        <w:rPr>
          <w:spacing w:val="-1"/>
        </w:rPr>
        <w:t xml:space="preserve"> </w:t>
      </w:r>
      <w:r w:rsidRPr="00332D6B">
        <w:t>s</w:t>
      </w:r>
      <w:r w:rsidRPr="00FF17AC">
        <w:rPr>
          <w:spacing w:val="-1"/>
        </w:rPr>
        <w:t>e</w:t>
      </w:r>
      <w:r w:rsidRPr="00332D6B">
        <w:t>l</w:t>
      </w:r>
      <w:r w:rsidRPr="00FF17AC">
        <w:rPr>
          <w:spacing w:val="-1"/>
        </w:rPr>
        <w:t>f-</w:t>
      </w:r>
      <w:r w:rsidRPr="00332D6B">
        <w:t>insu</w:t>
      </w:r>
      <w:r w:rsidRPr="00FF17AC">
        <w:rPr>
          <w:spacing w:val="1"/>
        </w:rPr>
        <w:t>r</w:t>
      </w:r>
      <w:r w:rsidRPr="00FF17AC">
        <w:rPr>
          <w:spacing w:val="-1"/>
        </w:rPr>
        <w:t>a</w:t>
      </w:r>
      <w:r w:rsidRPr="00332D6B">
        <w:t>n</w:t>
      </w:r>
      <w:r w:rsidRPr="00FF17AC">
        <w:rPr>
          <w:spacing w:val="1"/>
        </w:rPr>
        <w:t>c</w:t>
      </w:r>
      <w:r w:rsidRPr="00332D6B">
        <w:t>e</w:t>
      </w:r>
      <w:r w:rsidRPr="00FF17AC">
        <w:rPr>
          <w:spacing w:val="-1"/>
        </w:rPr>
        <w:t xml:space="preserve"> </w:t>
      </w:r>
      <w:r w:rsidRPr="00332D6B">
        <w:t>p</w:t>
      </w:r>
      <w:r w:rsidRPr="00FF17AC">
        <w:rPr>
          <w:spacing w:val="-1"/>
        </w:rPr>
        <w:t>r</w:t>
      </w:r>
      <w:r w:rsidRPr="00FF17AC">
        <w:rPr>
          <w:spacing w:val="2"/>
        </w:rPr>
        <w:t>o</w:t>
      </w:r>
      <w:r w:rsidRPr="00FF17AC">
        <w:rPr>
          <w:spacing w:val="-3"/>
        </w:rPr>
        <w:t>g</w:t>
      </w:r>
      <w:r w:rsidRPr="00FF17AC">
        <w:rPr>
          <w:spacing w:val="1"/>
        </w:rPr>
        <w:t>ra</w:t>
      </w:r>
      <w:r w:rsidRPr="00332D6B">
        <w:t>ms.</w:t>
      </w:r>
    </w:p>
    <w:p w14:paraId="37AAF982" w14:textId="77777777" w:rsidR="00F80E94" w:rsidRPr="00332D6B" w:rsidRDefault="00F80E94" w:rsidP="00F25900">
      <w:pPr>
        <w:pStyle w:val="ListParagraph"/>
        <w:numPr>
          <w:ilvl w:val="0"/>
          <w:numId w:val="44"/>
        </w:numPr>
      </w:pPr>
      <w:r w:rsidRPr="00332D6B">
        <w:t>Pu</w:t>
      </w:r>
      <w:r w:rsidRPr="00FF17AC">
        <w:rPr>
          <w:spacing w:val="-1"/>
        </w:rPr>
        <w:t>rc</w:t>
      </w:r>
      <w:r w:rsidRPr="00332D6B">
        <w:t>h</w:t>
      </w:r>
      <w:r w:rsidRPr="00FF17AC">
        <w:rPr>
          <w:spacing w:val="-1"/>
        </w:rPr>
        <w:t>a</w:t>
      </w:r>
      <w:r w:rsidRPr="00332D6B">
        <w:t>se</w:t>
      </w:r>
      <w:r w:rsidRPr="00FF17AC">
        <w:rPr>
          <w:spacing w:val="-1"/>
        </w:rPr>
        <w:t xml:space="preserve"> r</w:t>
      </w:r>
      <w:r w:rsidRPr="00332D6B">
        <w:t>isk m</w:t>
      </w:r>
      <w:r w:rsidRPr="00FF17AC">
        <w:rPr>
          <w:spacing w:val="-1"/>
        </w:rPr>
        <w:t>a</w:t>
      </w:r>
      <w:r w:rsidRPr="00FF17AC">
        <w:rPr>
          <w:spacing w:val="2"/>
        </w:rPr>
        <w:t>n</w:t>
      </w:r>
      <w:r w:rsidRPr="00FF17AC">
        <w:rPr>
          <w:spacing w:val="1"/>
        </w:rPr>
        <w:t>a</w:t>
      </w:r>
      <w:r w:rsidRPr="00FF17AC">
        <w:rPr>
          <w:spacing w:val="-3"/>
        </w:rPr>
        <w:t>g</w:t>
      </w:r>
      <w:r w:rsidRPr="00FF17AC">
        <w:rPr>
          <w:spacing w:val="-1"/>
        </w:rPr>
        <w:t>e</w:t>
      </w:r>
      <w:r w:rsidRPr="00332D6B">
        <w:t>m</w:t>
      </w:r>
      <w:r w:rsidRPr="00FF17AC">
        <w:rPr>
          <w:spacing w:val="1"/>
        </w:rPr>
        <w:t>e</w:t>
      </w:r>
      <w:r w:rsidRPr="00FF17AC">
        <w:rPr>
          <w:spacing w:val="-1"/>
        </w:rPr>
        <w:t>n</w:t>
      </w:r>
      <w:r w:rsidRPr="00332D6B">
        <w:t xml:space="preserve">t, </w:t>
      </w:r>
      <w:r w:rsidRPr="00FF17AC">
        <w:rPr>
          <w:spacing w:val="-1"/>
        </w:rPr>
        <w:t>ac</w:t>
      </w:r>
      <w:r w:rsidRPr="00332D6B">
        <w:t>tu</w:t>
      </w:r>
      <w:r w:rsidRPr="00FF17AC">
        <w:rPr>
          <w:spacing w:val="-1"/>
        </w:rPr>
        <w:t>ar</w:t>
      </w:r>
      <w:r w:rsidRPr="00332D6B">
        <w:t>i</w:t>
      </w:r>
      <w:r w:rsidRPr="00FF17AC">
        <w:rPr>
          <w:spacing w:val="-1"/>
        </w:rPr>
        <w:t>a</w:t>
      </w:r>
      <w:r w:rsidRPr="00332D6B">
        <w:t xml:space="preserve">l </w:t>
      </w:r>
      <w:r w:rsidRPr="00FF17AC">
        <w:rPr>
          <w:spacing w:val="-1"/>
        </w:rPr>
        <w:t>a</w:t>
      </w:r>
      <w:r w:rsidRPr="00332D6B">
        <w:t>nd ot</w:t>
      </w:r>
      <w:r w:rsidRPr="00FF17AC">
        <w:rPr>
          <w:spacing w:val="2"/>
        </w:rPr>
        <w:t>h</w:t>
      </w:r>
      <w:r w:rsidRPr="00FF17AC">
        <w:rPr>
          <w:spacing w:val="-1"/>
        </w:rPr>
        <w:t>e</w:t>
      </w:r>
      <w:r w:rsidRPr="00332D6B">
        <w:t>r</w:t>
      </w:r>
      <w:r w:rsidRPr="00FF17AC">
        <w:rPr>
          <w:spacing w:val="-1"/>
        </w:rPr>
        <w:t xml:space="preserve"> </w:t>
      </w:r>
      <w:r w:rsidRPr="00FF17AC">
        <w:rPr>
          <w:spacing w:val="1"/>
        </w:rPr>
        <w:t>re</w:t>
      </w:r>
      <w:r w:rsidRPr="00332D6B">
        <w:t>qui</w:t>
      </w:r>
      <w:r w:rsidRPr="00FF17AC">
        <w:rPr>
          <w:spacing w:val="-1"/>
        </w:rPr>
        <w:t>re</w:t>
      </w:r>
      <w:r w:rsidRPr="00332D6B">
        <w:t>d p</w:t>
      </w:r>
      <w:r w:rsidRPr="00FF17AC">
        <w:rPr>
          <w:spacing w:val="-1"/>
        </w:rPr>
        <w:t>r</w:t>
      </w:r>
      <w:r w:rsidRPr="00332D6B">
        <w:t>o</w:t>
      </w:r>
      <w:r w:rsidRPr="00FF17AC">
        <w:rPr>
          <w:spacing w:val="-1"/>
        </w:rPr>
        <w:t>fe</w:t>
      </w:r>
      <w:r w:rsidRPr="00332D6B">
        <w:t>ssio</w:t>
      </w:r>
      <w:r w:rsidRPr="00FF17AC">
        <w:rPr>
          <w:spacing w:val="2"/>
        </w:rPr>
        <w:t>n</w:t>
      </w:r>
      <w:r w:rsidRPr="00FF17AC">
        <w:rPr>
          <w:spacing w:val="-1"/>
        </w:rPr>
        <w:t>a</w:t>
      </w:r>
      <w:r w:rsidRPr="00332D6B">
        <w:t>l s</w:t>
      </w:r>
      <w:r w:rsidRPr="00FF17AC">
        <w:rPr>
          <w:spacing w:val="-1"/>
        </w:rPr>
        <w:t>er</w:t>
      </w:r>
      <w:r w:rsidRPr="00332D6B">
        <w:t>v</w:t>
      </w:r>
      <w:r w:rsidRPr="00FF17AC">
        <w:rPr>
          <w:spacing w:val="2"/>
        </w:rPr>
        <w:t>i</w:t>
      </w:r>
      <w:r w:rsidRPr="00FF17AC">
        <w:rPr>
          <w:spacing w:val="-1"/>
        </w:rPr>
        <w:t>ce</w:t>
      </w:r>
      <w:r w:rsidRPr="00332D6B">
        <w:t>s.</w:t>
      </w:r>
    </w:p>
    <w:p w14:paraId="3532CBF1" w14:textId="77777777" w:rsidR="00F80E94" w:rsidRPr="00332D6B" w:rsidRDefault="00F80E94" w:rsidP="00F25900">
      <w:pPr>
        <w:pStyle w:val="ListParagraph"/>
        <w:numPr>
          <w:ilvl w:val="0"/>
          <w:numId w:val="44"/>
        </w:numPr>
      </w:pPr>
      <w:r w:rsidRPr="00332D6B">
        <w:t>P</w:t>
      </w:r>
      <w:r w:rsidRPr="00FF17AC">
        <w:rPr>
          <w:spacing w:val="-1"/>
        </w:rPr>
        <w:t>r</w:t>
      </w:r>
      <w:r w:rsidRPr="00332D6B">
        <w:t>ovide</w:t>
      </w:r>
      <w:r w:rsidRPr="00FF17AC">
        <w:rPr>
          <w:spacing w:val="-1"/>
        </w:rPr>
        <w:t xml:space="preserve"> </w:t>
      </w:r>
      <w:r w:rsidRPr="00332D6B">
        <w:t>t</w:t>
      </w:r>
      <w:r w:rsidRPr="00FF17AC">
        <w:rPr>
          <w:spacing w:val="-1"/>
        </w:rPr>
        <w:t>ec</w:t>
      </w:r>
      <w:r w:rsidRPr="00332D6B">
        <w:t>hni</w:t>
      </w:r>
      <w:r w:rsidRPr="00FF17AC">
        <w:rPr>
          <w:spacing w:val="-1"/>
        </w:rPr>
        <w:t>ca</w:t>
      </w:r>
      <w:r w:rsidRPr="00332D6B">
        <w:t>l s</w:t>
      </w:r>
      <w:r w:rsidRPr="00FF17AC">
        <w:rPr>
          <w:spacing w:val="1"/>
        </w:rPr>
        <w:t>e</w:t>
      </w:r>
      <w:r w:rsidRPr="00FF17AC">
        <w:rPr>
          <w:spacing w:val="-1"/>
        </w:rPr>
        <w:t>r</w:t>
      </w:r>
      <w:r w:rsidRPr="00332D6B">
        <w:t>vi</w:t>
      </w:r>
      <w:r w:rsidRPr="00FF17AC">
        <w:rPr>
          <w:spacing w:val="-1"/>
        </w:rPr>
        <w:t>c</w:t>
      </w:r>
      <w:r w:rsidRPr="00FF17AC">
        <w:rPr>
          <w:spacing w:val="1"/>
        </w:rPr>
        <w:t>e</w:t>
      </w:r>
      <w:r w:rsidRPr="00332D6B">
        <w:t xml:space="preserve">s in </w:t>
      </w:r>
      <w:r w:rsidRPr="00FF17AC">
        <w:rPr>
          <w:spacing w:val="-1"/>
        </w:rPr>
        <w:t>r</w:t>
      </w:r>
      <w:r w:rsidRPr="00332D6B">
        <w:t>isk m</w:t>
      </w:r>
      <w:r w:rsidRPr="00FF17AC">
        <w:rPr>
          <w:spacing w:val="-1"/>
        </w:rPr>
        <w:t>a</w:t>
      </w:r>
      <w:r w:rsidRPr="00332D6B">
        <w:t>n</w:t>
      </w:r>
      <w:r w:rsidRPr="00FF17AC">
        <w:rPr>
          <w:spacing w:val="-1"/>
        </w:rPr>
        <w:t>a</w:t>
      </w:r>
      <w:r w:rsidRPr="00332D6B">
        <w:t>g</w:t>
      </w:r>
      <w:r w:rsidRPr="00FF17AC">
        <w:rPr>
          <w:spacing w:val="-1"/>
        </w:rPr>
        <w:t>e</w:t>
      </w:r>
      <w:r w:rsidRPr="00332D6B">
        <w:t>m</w:t>
      </w:r>
      <w:r w:rsidRPr="00FF17AC">
        <w:rPr>
          <w:spacing w:val="-1"/>
        </w:rPr>
        <w:t>e</w:t>
      </w:r>
      <w:r w:rsidRPr="00332D6B">
        <w:t xml:space="preserve">nt </w:t>
      </w:r>
      <w:r w:rsidRPr="00FF17AC">
        <w:rPr>
          <w:spacing w:val="-1"/>
        </w:rPr>
        <w:t>a</w:t>
      </w:r>
      <w:r w:rsidRPr="00332D6B">
        <w:t>nd</w:t>
      </w:r>
      <w:r w:rsidRPr="00FF17AC">
        <w:rPr>
          <w:spacing w:val="2"/>
        </w:rPr>
        <w:t xml:space="preserve"> </w:t>
      </w:r>
      <w:r w:rsidRPr="00332D6B">
        <w:t>insu</w:t>
      </w:r>
      <w:r w:rsidRPr="00FF17AC">
        <w:rPr>
          <w:spacing w:val="-1"/>
        </w:rPr>
        <w:t>ra</w:t>
      </w:r>
      <w:r w:rsidRPr="00332D6B">
        <w:t>n</w:t>
      </w:r>
      <w:r w:rsidRPr="00FF17AC">
        <w:rPr>
          <w:spacing w:val="-1"/>
        </w:rPr>
        <w:t>ce</w:t>
      </w:r>
      <w:r w:rsidRPr="00332D6B">
        <w:t>.</w:t>
      </w:r>
    </w:p>
    <w:p w14:paraId="78C69C9D" w14:textId="77777777" w:rsidR="00F80E94" w:rsidRPr="00332D6B" w:rsidRDefault="00F80E94" w:rsidP="00F25900">
      <w:pPr>
        <w:pStyle w:val="ListParagraph"/>
        <w:numPr>
          <w:ilvl w:val="0"/>
          <w:numId w:val="44"/>
        </w:numPr>
      </w:pPr>
      <w:r w:rsidRPr="00332D6B">
        <w:t>Adjust and manage property claims filed by state agencies and coordinate with commercial insurers on large losses.</w:t>
      </w:r>
    </w:p>
    <w:p w14:paraId="7673187C" w14:textId="77777777" w:rsidR="00F80E94" w:rsidRPr="00332D6B" w:rsidRDefault="00F80E94" w:rsidP="00F25900">
      <w:pPr>
        <w:pStyle w:val="ListParagraph"/>
        <w:numPr>
          <w:ilvl w:val="0"/>
          <w:numId w:val="44"/>
        </w:numPr>
      </w:pPr>
      <w:r w:rsidRPr="00332D6B">
        <w:t>Adjust and manage all liability claims filed against the state; partner with defense counsel (primarily DOJ) and agencies to defend tort liability lawsuits.</w:t>
      </w:r>
    </w:p>
    <w:p w14:paraId="0672E59F" w14:textId="771606A3" w:rsidR="00F80E94" w:rsidRDefault="00F80E94" w:rsidP="00F25900">
      <w:pPr>
        <w:pStyle w:val="ListParagraph"/>
        <w:numPr>
          <w:ilvl w:val="0"/>
          <w:numId w:val="44"/>
        </w:numPr>
      </w:pPr>
      <w:r w:rsidRPr="00FF17AC">
        <w:rPr>
          <w:spacing w:val="-1"/>
        </w:rPr>
        <w:t>A</w:t>
      </w:r>
      <w:r w:rsidRPr="00332D6B">
        <w:t xml:space="preserve">dopt </w:t>
      </w:r>
      <w:r w:rsidRPr="00FF17AC">
        <w:rPr>
          <w:spacing w:val="-1"/>
        </w:rPr>
        <w:t>r</w:t>
      </w:r>
      <w:r w:rsidRPr="00332D6B">
        <w:t>ul</w:t>
      </w:r>
      <w:r w:rsidRPr="00FF17AC">
        <w:rPr>
          <w:spacing w:val="-1"/>
        </w:rPr>
        <w:t>e</w:t>
      </w:r>
      <w:r w:rsidRPr="00332D6B">
        <w:t xml:space="preserve">s </w:t>
      </w:r>
      <w:r w:rsidRPr="00FF17AC">
        <w:rPr>
          <w:spacing w:val="-1"/>
        </w:rPr>
        <w:t>a</w:t>
      </w:r>
      <w:r w:rsidRPr="00332D6B">
        <w:t>nd poli</w:t>
      </w:r>
      <w:r w:rsidRPr="00FF17AC">
        <w:rPr>
          <w:spacing w:val="-1"/>
        </w:rPr>
        <w:t>c</w:t>
      </w:r>
      <w:r w:rsidRPr="00FF17AC">
        <w:rPr>
          <w:spacing w:val="2"/>
        </w:rPr>
        <w:t>i</w:t>
      </w:r>
      <w:r w:rsidRPr="00FF17AC">
        <w:rPr>
          <w:spacing w:val="-1"/>
        </w:rPr>
        <w:t>e</w:t>
      </w:r>
      <w:r w:rsidRPr="00332D6B">
        <w:t xml:space="preserve">s </w:t>
      </w:r>
      <w:r w:rsidRPr="00FF17AC">
        <w:rPr>
          <w:spacing w:val="-3"/>
        </w:rPr>
        <w:t>g</w:t>
      </w:r>
      <w:r w:rsidRPr="00332D6B">
        <w:t>o</w:t>
      </w:r>
      <w:r w:rsidRPr="00FF17AC">
        <w:rPr>
          <w:spacing w:val="2"/>
        </w:rPr>
        <w:t>v</w:t>
      </w:r>
      <w:r w:rsidRPr="00FF17AC">
        <w:rPr>
          <w:spacing w:val="-1"/>
        </w:rPr>
        <w:t>er</w:t>
      </w:r>
      <w:r w:rsidRPr="00332D6B">
        <w:t>ni</w:t>
      </w:r>
      <w:r w:rsidRPr="00FF17AC">
        <w:rPr>
          <w:spacing w:val="2"/>
        </w:rPr>
        <w:t>n</w:t>
      </w:r>
      <w:r w:rsidRPr="00332D6B">
        <w:t>g</w:t>
      </w:r>
      <w:r w:rsidRPr="00FF17AC">
        <w:rPr>
          <w:spacing w:val="28"/>
        </w:rPr>
        <w:t xml:space="preserve"> </w:t>
      </w:r>
      <w:r w:rsidRPr="00332D6B">
        <w:t>the</w:t>
      </w:r>
      <w:r w:rsidRPr="00FF17AC">
        <w:rPr>
          <w:spacing w:val="30"/>
        </w:rPr>
        <w:t xml:space="preserve"> </w:t>
      </w:r>
      <w:r w:rsidRPr="00FF17AC">
        <w:rPr>
          <w:spacing w:val="-1"/>
        </w:rPr>
        <w:t>a</w:t>
      </w:r>
      <w:r w:rsidRPr="00332D6B">
        <w:t>dm</w:t>
      </w:r>
      <w:r w:rsidRPr="00FF17AC">
        <w:rPr>
          <w:spacing w:val="2"/>
        </w:rPr>
        <w:t>i</w:t>
      </w:r>
      <w:r w:rsidRPr="00332D6B">
        <w:t>nist</w:t>
      </w:r>
      <w:r w:rsidRPr="00FF17AC">
        <w:rPr>
          <w:spacing w:val="-1"/>
        </w:rPr>
        <w:t>ra</w:t>
      </w:r>
      <w:r w:rsidRPr="00332D6B">
        <w:t>tion</w:t>
      </w:r>
      <w:r w:rsidRPr="00FF17AC">
        <w:rPr>
          <w:spacing w:val="31"/>
        </w:rPr>
        <w:t xml:space="preserve"> </w:t>
      </w:r>
      <w:r w:rsidRPr="00332D6B">
        <w:t>of</w:t>
      </w:r>
      <w:r w:rsidRPr="00FF17AC">
        <w:rPr>
          <w:spacing w:val="30"/>
        </w:rPr>
        <w:t xml:space="preserve"> </w:t>
      </w:r>
      <w:r w:rsidRPr="00332D6B">
        <w:t>the st</w:t>
      </w:r>
      <w:r w:rsidRPr="00FF17AC">
        <w:rPr>
          <w:spacing w:val="-1"/>
        </w:rPr>
        <w:t>a</w:t>
      </w:r>
      <w:r w:rsidRPr="00332D6B">
        <w:t>t</w:t>
      </w:r>
      <w:r w:rsidRPr="00FF17AC">
        <w:rPr>
          <w:spacing w:val="-1"/>
        </w:rPr>
        <w:t>e</w:t>
      </w:r>
      <w:r w:rsidRPr="00FF17AC">
        <w:rPr>
          <w:spacing w:val="1"/>
        </w:rPr>
        <w:t>’</w:t>
      </w:r>
      <w:r w:rsidRPr="00332D6B">
        <w:t>s</w:t>
      </w:r>
      <w:r w:rsidRPr="00FF17AC">
        <w:rPr>
          <w:spacing w:val="31"/>
        </w:rPr>
        <w:t xml:space="preserve"> </w:t>
      </w:r>
      <w:r w:rsidRPr="00332D6B">
        <w:t>insu</w:t>
      </w:r>
      <w:r w:rsidRPr="00FF17AC">
        <w:rPr>
          <w:spacing w:val="-1"/>
        </w:rPr>
        <w:t>ra</w:t>
      </w:r>
      <w:r w:rsidRPr="00332D6B">
        <w:t>n</w:t>
      </w:r>
      <w:r w:rsidRPr="00FF17AC">
        <w:rPr>
          <w:spacing w:val="-1"/>
        </w:rPr>
        <w:t>c</w:t>
      </w:r>
      <w:r w:rsidRPr="00332D6B">
        <w:t>e</w:t>
      </w:r>
      <w:r w:rsidRPr="00FF17AC">
        <w:rPr>
          <w:spacing w:val="32"/>
        </w:rPr>
        <w:t xml:space="preserve"> </w:t>
      </w:r>
      <w:r w:rsidRPr="00FF17AC">
        <w:rPr>
          <w:spacing w:val="-1"/>
        </w:rPr>
        <w:t>a</w:t>
      </w:r>
      <w:r w:rsidRPr="00332D6B">
        <w:t xml:space="preserve">nd </w:t>
      </w:r>
      <w:r w:rsidRPr="00FF17AC">
        <w:rPr>
          <w:spacing w:val="-1"/>
        </w:rPr>
        <w:t>r</w:t>
      </w:r>
      <w:r w:rsidRPr="00332D6B">
        <w:t>isk m</w:t>
      </w:r>
      <w:r w:rsidRPr="00FF17AC">
        <w:rPr>
          <w:spacing w:val="-1"/>
        </w:rPr>
        <w:t>a</w:t>
      </w:r>
      <w:r w:rsidRPr="00332D6B">
        <w:t>n</w:t>
      </w:r>
      <w:r w:rsidRPr="00FF17AC">
        <w:rPr>
          <w:spacing w:val="1"/>
        </w:rPr>
        <w:t>a</w:t>
      </w:r>
      <w:r w:rsidRPr="00FF17AC">
        <w:rPr>
          <w:spacing w:val="-3"/>
        </w:rPr>
        <w:t>g</w:t>
      </w:r>
      <w:r w:rsidRPr="00FF17AC">
        <w:rPr>
          <w:spacing w:val="-1"/>
        </w:rPr>
        <w:t>e</w:t>
      </w:r>
      <w:r w:rsidRPr="00332D6B">
        <w:t>m</w:t>
      </w:r>
      <w:r w:rsidRPr="00FF17AC">
        <w:rPr>
          <w:spacing w:val="-1"/>
        </w:rPr>
        <w:t>e</w:t>
      </w:r>
      <w:r w:rsidRPr="00332D6B">
        <w:t xml:space="preserve">nt </w:t>
      </w:r>
      <w:r w:rsidRPr="00FF17AC">
        <w:rPr>
          <w:spacing w:val="1"/>
        </w:rPr>
        <w:t>a</w:t>
      </w:r>
      <w:r w:rsidRPr="00FF17AC">
        <w:rPr>
          <w:spacing w:val="-1"/>
        </w:rPr>
        <w:t>c</w:t>
      </w:r>
      <w:r w:rsidRPr="00332D6B">
        <w:t>tiviti</w:t>
      </w:r>
      <w:r w:rsidRPr="00FF17AC">
        <w:rPr>
          <w:spacing w:val="-1"/>
        </w:rPr>
        <w:t>e</w:t>
      </w:r>
      <w:r w:rsidRPr="00332D6B">
        <w:t>s.</w:t>
      </w:r>
    </w:p>
    <w:p w14:paraId="00DFBF0F" w14:textId="77777777" w:rsidR="00F80E94" w:rsidRDefault="00F80E94" w:rsidP="00FF17AC">
      <w:pPr>
        <w:rPr>
          <w:spacing w:val="2"/>
        </w:rPr>
      </w:pPr>
      <w:r w:rsidRPr="00D652B2">
        <w:rPr>
          <w:spacing w:val="2"/>
        </w:rPr>
        <w:t xml:space="preserve">Under ORS 278.425, Risk Management administers the Insurance Fund to provide insurance and self-insurance for state agencies. The fund is required to operate on an actuarially sound basis. DAS collects revenue from charges to state agency customers for the RM services provided. The total </w:t>
      </w:r>
      <w:r>
        <w:rPr>
          <w:spacing w:val="2"/>
        </w:rPr>
        <w:t xml:space="preserve">fund </w:t>
      </w:r>
      <w:r w:rsidRPr="00D652B2">
        <w:rPr>
          <w:spacing w:val="2"/>
        </w:rPr>
        <w:t xml:space="preserve">charges are </w:t>
      </w:r>
      <w:r>
        <w:rPr>
          <w:spacing w:val="2"/>
        </w:rPr>
        <w:t xml:space="preserve">added to the Insurance </w:t>
      </w:r>
      <w:proofErr w:type="gramStart"/>
      <w:r>
        <w:rPr>
          <w:spacing w:val="2"/>
        </w:rPr>
        <w:t>Fund</w:t>
      </w:r>
      <w:proofErr w:type="gramEnd"/>
      <w:r>
        <w:rPr>
          <w:spacing w:val="2"/>
        </w:rPr>
        <w:t xml:space="preserve"> and it becomes available</w:t>
      </w:r>
      <w:r w:rsidRPr="00D652B2">
        <w:rPr>
          <w:spacing w:val="2"/>
        </w:rPr>
        <w:t xml:space="preserve"> to purchase insurance and administer self-insurance programs. The allocation of the charges to agencies is based, to the extent possible, upon factors that reflect the relative risk and loss experience of each state agency.</w:t>
      </w:r>
    </w:p>
    <w:p w14:paraId="22B16211" w14:textId="77777777" w:rsidR="00F80E94" w:rsidRDefault="00F80E94" w:rsidP="00FF17AC">
      <w:r>
        <w:t xml:space="preserve">The allocation methodology remains unchanged from the prior four biennia. Minimums and waivers were eliminated in 2019-21 except for Risk Administration, which has a $1,250 minimum charge. Risk Administration charges are included in the liability, property and workers’ compensation charges.  </w:t>
      </w:r>
    </w:p>
    <w:p w14:paraId="0A0BE1D3" w14:textId="77777777" w:rsidR="00F80E94" w:rsidRDefault="00F80E94" w:rsidP="00FF17AC">
      <w:pPr>
        <w:rPr>
          <w:i/>
        </w:rPr>
      </w:pPr>
      <w:r w:rsidRPr="00D652B2">
        <w:rPr>
          <w:spacing w:val="-1"/>
        </w:rPr>
        <w:t>T</w:t>
      </w:r>
      <w:r w:rsidRPr="00D652B2">
        <w:t>he</w:t>
      </w:r>
      <w:r w:rsidRPr="00D652B2">
        <w:rPr>
          <w:spacing w:val="-1"/>
        </w:rPr>
        <w:t xml:space="preserve"> </w:t>
      </w:r>
      <w:r w:rsidRPr="00D652B2">
        <w:t>t</w:t>
      </w:r>
      <w:r w:rsidRPr="00D652B2">
        <w:rPr>
          <w:spacing w:val="-1"/>
        </w:rPr>
        <w:t>a</w:t>
      </w:r>
      <w:r w:rsidRPr="00D652B2">
        <w:t>ble</w:t>
      </w:r>
      <w:r w:rsidRPr="00D652B2">
        <w:rPr>
          <w:spacing w:val="-1"/>
        </w:rPr>
        <w:t xml:space="preserve"> in Appendix A – State Government Service Charges (SGSC)</w:t>
      </w:r>
      <w:r w:rsidRPr="00D652B2">
        <w:t>,</w:t>
      </w:r>
      <w:r w:rsidRPr="00D652B2">
        <w:rPr>
          <w:spacing w:val="2"/>
        </w:rPr>
        <w:t xml:space="preserve"> </w:t>
      </w:r>
      <w:r>
        <w:rPr>
          <w:spacing w:val="-1"/>
        </w:rPr>
        <w:t>displays</w:t>
      </w:r>
      <w:r>
        <w:rPr>
          <w:spacing w:val="-3"/>
        </w:rPr>
        <w:t xml:space="preserve"> </w:t>
      </w:r>
      <w:r w:rsidRPr="00D652B2">
        <w:rPr>
          <w:spacing w:val="2"/>
        </w:rPr>
        <w:t xml:space="preserve">Risk Management charges </w:t>
      </w:r>
      <w:r>
        <w:rPr>
          <w:spacing w:val="2"/>
        </w:rPr>
        <w:t>that are allocated to agencies</w:t>
      </w:r>
      <w:r w:rsidRPr="00D652B2">
        <w:t xml:space="preserve"> b</w:t>
      </w:r>
      <w:r w:rsidRPr="00D652B2">
        <w:rPr>
          <w:spacing w:val="-1"/>
        </w:rPr>
        <w:t>a</w:t>
      </w:r>
      <w:r w:rsidRPr="00D652B2">
        <w:rPr>
          <w:spacing w:val="2"/>
        </w:rPr>
        <w:t>s</w:t>
      </w:r>
      <w:r w:rsidRPr="00D652B2">
        <w:rPr>
          <w:spacing w:val="-1"/>
        </w:rPr>
        <w:t>e</w:t>
      </w:r>
      <w:r w:rsidRPr="00D652B2">
        <w:t xml:space="preserve">d on </w:t>
      </w:r>
      <w:r>
        <w:t xml:space="preserve">independent </w:t>
      </w:r>
      <w:r w:rsidRPr="00D652B2">
        <w:rPr>
          <w:spacing w:val="-1"/>
        </w:rPr>
        <w:t>ac</w:t>
      </w:r>
      <w:r w:rsidRPr="00D652B2">
        <w:rPr>
          <w:spacing w:val="2"/>
        </w:rPr>
        <w:t>t</w:t>
      </w:r>
      <w:r w:rsidRPr="00D652B2">
        <w:t>u</w:t>
      </w:r>
      <w:r w:rsidRPr="00D652B2">
        <w:rPr>
          <w:spacing w:val="-1"/>
        </w:rPr>
        <w:t>ar</w:t>
      </w:r>
      <w:r w:rsidRPr="00D652B2">
        <w:t>i</w:t>
      </w:r>
      <w:r w:rsidRPr="00D652B2">
        <w:rPr>
          <w:spacing w:val="-1"/>
        </w:rPr>
        <w:t>a</w:t>
      </w:r>
      <w:r w:rsidRPr="00D652B2">
        <w:t xml:space="preserve">l </w:t>
      </w:r>
      <w:r w:rsidRPr="00D652B2">
        <w:rPr>
          <w:spacing w:val="-1"/>
        </w:rPr>
        <w:t>da</w:t>
      </w:r>
      <w:r w:rsidRPr="00D652B2">
        <w:t>t</w:t>
      </w:r>
      <w:r w:rsidRPr="00D652B2">
        <w:rPr>
          <w:spacing w:val="-1"/>
        </w:rPr>
        <w:t>a, commercial insurance costs and risk administration costs</w:t>
      </w:r>
      <w:r w:rsidRPr="00D652B2">
        <w:t xml:space="preserve">. </w:t>
      </w:r>
      <w:r>
        <w:t xml:space="preserve">The total program costs </w:t>
      </w:r>
      <w:r w:rsidRPr="00D652B2">
        <w:t xml:space="preserve">allocated </w:t>
      </w:r>
      <w:r>
        <w:t>reflect continued increases.</w:t>
      </w:r>
      <w:r w:rsidRPr="00D652B2">
        <w:t xml:space="preserve"> </w:t>
      </w:r>
      <w:r>
        <w:t xml:space="preserve">Increases have been required due to a few factors including a deterioration in the health of the Insurance Fund, ongoing and significant increases related to liability claims and lawsuits and increases in commercial insurance premiums. </w:t>
      </w:r>
      <w:r w:rsidRPr="00FF17AC">
        <w:rPr>
          <w:iCs/>
        </w:rPr>
        <w:t>Reference Property (Auto and General) (EGS), Liability (Auto and General) (EGS), and Workers’ Comp. (EGS), in Appendix A.</w:t>
      </w:r>
    </w:p>
    <w:p w14:paraId="00AE9DC2" w14:textId="6AD5D879" w:rsidR="00332D6B" w:rsidRPr="00332D6B" w:rsidRDefault="00F80E94" w:rsidP="00FF17AC">
      <w:pPr>
        <w:rPr>
          <w:b/>
          <w:spacing w:val="-1"/>
        </w:rPr>
      </w:pPr>
      <w:r w:rsidRPr="00216E77">
        <w:rPr>
          <w:b/>
          <w:bCs/>
        </w:rPr>
        <w:t>Con</w:t>
      </w:r>
      <w:r w:rsidRPr="00216E77">
        <w:rPr>
          <w:b/>
          <w:bCs/>
          <w:spacing w:val="-1"/>
        </w:rPr>
        <w:t>t</w:t>
      </w:r>
      <w:r w:rsidRPr="00216E77">
        <w:rPr>
          <w:b/>
          <w:bCs/>
        </w:rPr>
        <w:t>a</w:t>
      </w:r>
      <w:r w:rsidRPr="00216E77">
        <w:rPr>
          <w:b/>
          <w:bCs/>
          <w:spacing w:val="-1"/>
        </w:rPr>
        <w:t>c</w:t>
      </w:r>
      <w:r w:rsidRPr="00216E77">
        <w:rPr>
          <w:b/>
          <w:bCs/>
        </w:rPr>
        <w:t xml:space="preserve">t for more information: </w:t>
      </w:r>
      <w:r>
        <w:rPr>
          <w:b/>
        </w:rPr>
        <w:t>Shelly Hoffman</w:t>
      </w:r>
      <w:r w:rsidRPr="00216E77">
        <w:rPr>
          <w:b/>
        </w:rPr>
        <w:t xml:space="preserve"> at 503-</w:t>
      </w:r>
      <w:r>
        <w:rPr>
          <w:b/>
        </w:rPr>
        <w:t>569</w:t>
      </w:r>
      <w:r w:rsidRPr="00216E77">
        <w:rPr>
          <w:b/>
        </w:rPr>
        <w:t>-</w:t>
      </w:r>
      <w:r>
        <w:rPr>
          <w:b/>
        </w:rPr>
        <w:t>8488</w:t>
      </w:r>
      <w:r w:rsidRPr="00216E77">
        <w:rPr>
          <w:b/>
        </w:rPr>
        <w:t xml:space="preserve"> or </w:t>
      </w:r>
      <w:hyperlink r:id="rId40" w:history="1">
        <w:r w:rsidRPr="00340A50">
          <w:rPr>
            <w:rStyle w:val="Hyperlink"/>
            <w:b/>
            <w:bCs/>
            <w:color w:val="000000" w:themeColor="text1"/>
          </w:rPr>
          <w:t>shelly.hoffman@das.oregon.gov</w:t>
        </w:r>
      </w:hyperlink>
      <w:r w:rsidRPr="00216E77">
        <w:rPr>
          <w:b/>
          <w:spacing w:val="-1"/>
        </w:rPr>
        <w:t>.</w:t>
      </w:r>
      <w:bookmarkStart w:id="66" w:name="_Toc226108631"/>
    </w:p>
    <w:p w14:paraId="15200E3B" w14:textId="462673B1" w:rsidR="00F80E94" w:rsidRPr="00FF17AC" w:rsidRDefault="00F80E94" w:rsidP="2E12E5CC">
      <w:pPr>
        <w:pStyle w:val="Heading4"/>
      </w:pPr>
      <w:r w:rsidRPr="009E1C45">
        <w:t>Shared Financial Services</w:t>
      </w:r>
      <w:bookmarkEnd w:id="66"/>
    </w:p>
    <w:p w14:paraId="09CE982F" w14:textId="77777777" w:rsidR="00F80E94" w:rsidRPr="00332D6B" w:rsidRDefault="00F80E94" w:rsidP="003E4A97">
      <w:pPr>
        <w:rPr>
          <w:szCs w:val="24"/>
        </w:rPr>
      </w:pPr>
      <w:r w:rsidRPr="00332D6B">
        <w:rPr>
          <w:szCs w:val="24"/>
        </w:rPr>
        <w:t xml:space="preserve">Shared Financial Services (SFS) provides a wide range of financial services such as payroll, accounting, budget, accounts payable, and accounts receivable, for DAS and client agencies. </w:t>
      </w:r>
    </w:p>
    <w:p w14:paraId="12048116" w14:textId="77777777" w:rsidR="0083587B" w:rsidRDefault="00F80E94" w:rsidP="008838E3">
      <w:pPr>
        <w:pStyle w:val="ListParagraph"/>
        <w:numPr>
          <w:ilvl w:val="0"/>
          <w:numId w:val="45"/>
        </w:numPr>
      </w:pPr>
      <w:r w:rsidRPr="003E4A97">
        <w:rPr>
          <w:b/>
          <w:bCs/>
        </w:rPr>
        <w:lastRenderedPageBreak/>
        <w:t xml:space="preserve">Accounting and Budget Services: </w:t>
      </w:r>
      <w:r w:rsidRPr="00332D6B">
        <w:t>SFS develops and maintains accounting structures, prepares financial reports, provides reliable data to management and collaborates on best practices for financial workflow. SFS ensures proper internal controls are met, prepares cost allocation financial statements, maintains fixed asset records, provides bond accounting, makes local governmental distributions and archives documents. SFS also prepares reporting for the Annual Comprehensive Financial Report (ACFR), Schedule of Expenditure Federal Awards (SEFA), Office of Management and Budget (OMB) Circular A-87, and other governmental reporting requirements. SFS also provides a full range of budgeting and forecasting services for client agencies.</w:t>
      </w:r>
    </w:p>
    <w:p w14:paraId="2A32D95F" w14:textId="28CE6BA6" w:rsidR="00F80E94" w:rsidRPr="006308E2" w:rsidRDefault="00F80E94" w:rsidP="005D0A84">
      <w:r w:rsidRPr="00332D6B">
        <w:t>The rate methodology uses the biennial total costs for the related staff, divided by the biennial estimate of the total billable hours, to calculate a billable hourly rate.</w:t>
      </w:r>
    </w:p>
    <w:p w14:paraId="09379153" w14:textId="7EC2F8E2" w:rsidR="00F80E94" w:rsidRPr="00332D6B" w:rsidRDefault="00F80E94" w:rsidP="00F25900">
      <w:pPr>
        <w:pStyle w:val="ListParagraph"/>
        <w:numPr>
          <w:ilvl w:val="0"/>
          <w:numId w:val="45"/>
        </w:numPr>
      </w:pPr>
      <w:r w:rsidRPr="003E4A97">
        <w:rPr>
          <w:b/>
        </w:rPr>
        <w:t>Accounts Receivable Services:</w:t>
      </w:r>
      <w:r w:rsidRPr="00332D6B">
        <w:t xml:space="preserve"> SFS provides accounts receivable services to DAS and client agencies, so agencies can maintain accurate cash flow and be advised of real time cash positions with the Oregon State Treasury. SFS provides invoicing, depositing and deposit reconciliation services. </w:t>
      </w:r>
    </w:p>
    <w:p w14:paraId="1F4C0BFE" w14:textId="3FC5E5F6" w:rsidR="00F80E94" w:rsidRPr="00332D6B" w:rsidRDefault="00F80E94" w:rsidP="00CC5195">
      <w:r w:rsidRPr="00332D6B">
        <w:t>The rate methodology uses the biennial total costs for the related staff, divided by the biennial estimate of the total number of accounts receivable transaction lines, to calculate a transaction rate.</w:t>
      </w:r>
    </w:p>
    <w:p w14:paraId="72404755" w14:textId="1F20DA4C" w:rsidR="00F80E94" w:rsidRPr="00332D6B" w:rsidRDefault="00F80E94" w:rsidP="00F25900">
      <w:pPr>
        <w:pStyle w:val="ListParagraph"/>
        <w:numPr>
          <w:ilvl w:val="0"/>
          <w:numId w:val="45"/>
        </w:numPr>
      </w:pPr>
      <w:r w:rsidRPr="003E4A97">
        <w:rPr>
          <w:b/>
        </w:rPr>
        <w:t>Accounts Payable Services:</w:t>
      </w:r>
      <w:r w:rsidRPr="00332D6B">
        <w:t xml:space="preserve"> SFS provides accounts payable services to DAS and client agencies by processing payments from invoices, travel claims, purchase orders and various other disbursement activities. To meet the standards of the Oregon Accounting Manual, each payable is verified to have appropriate supporting documentation, accurate coding, correct signing authority and reasonableness of the expenditures. </w:t>
      </w:r>
    </w:p>
    <w:p w14:paraId="651B793D" w14:textId="60A1E629" w:rsidR="00F80E94" w:rsidRPr="00332D6B" w:rsidRDefault="00F80E94" w:rsidP="00CC5195">
      <w:r w:rsidRPr="00332D6B">
        <w:t xml:space="preserve">The rate methodology uses the biennial total costs for the related staff, divided by the biennial estimate of the total number of accounts payable transaction lines, to calculate a transaction rate. </w:t>
      </w:r>
    </w:p>
    <w:p w14:paraId="2B680D59" w14:textId="737F2087" w:rsidR="00F80E94" w:rsidRPr="00332D6B" w:rsidRDefault="00F80E94" w:rsidP="00F25900">
      <w:pPr>
        <w:pStyle w:val="ListParagraph"/>
        <w:numPr>
          <w:ilvl w:val="0"/>
          <w:numId w:val="45"/>
        </w:numPr>
      </w:pPr>
      <w:r w:rsidRPr="003E4A97">
        <w:rPr>
          <w:b/>
        </w:rPr>
        <w:t>Shared Payroll Services:</w:t>
      </w:r>
      <w:r w:rsidRPr="00332D6B">
        <w:t xml:space="preserve"> The SFS payroll unit provides full-cycle payroll and benefit services to client agencies and semi-independent agency customers. The service includes monthly payroll, new hire and termination, </w:t>
      </w:r>
      <w:proofErr w:type="gramStart"/>
      <w:r w:rsidRPr="00332D6B">
        <w:t>off-cycle</w:t>
      </w:r>
      <w:proofErr w:type="gramEnd"/>
      <w:r w:rsidRPr="00332D6B">
        <w:t xml:space="preserve"> pay requests, employee expense reimbursements, settlements, garnishments and insurance benefits. </w:t>
      </w:r>
    </w:p>
    <w:p w14:paraId="78E68574" w14:textId="571C34C9" w:rsidR="005D0A84" w:rsidRPr="00332D6B" w:rsidRDefault="00F80E94" w:rsidP="003E18FC">
      <w:r w:rsidRPr="00332D6B">
        <w:t xml:space="preserve">The rate methodology uses the biennial total cost for the related staff, divided by the biennial estimate of the total number of timesheets reported. </w:t>
      </w:r>
    </w:p>
    <w:p w14:paraId="083F8651" w14:textId="77777777" w:rsidR="00F80E94" w:rsidRPr="00332D6B" w:rsidRDefault="00F80E94" w:rsidP="00F80E94">
      <w:pPr>
        <w:widowControl w:val="0"/>
        <w:kinsoku w:val="0"/>
        <w:overflowPunct w:val="0"/>
        <w:autoSpaceDE w:val="0"/>
        <w:autoSpaceDN w:val="0"/>
        <w:adjustRightInd w:val="0"/>
        <w:spacing w:after="0" w:line="240" w:lineRule="auto"/>
        <w:ind w:left="720" w:right="18"/>
        <w:jc w:val="both"/>
        <w:rPr>
          <w:rFonts w:eastAsia="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807"/>
      </w:tblGrid>
      <w:tr w:rsidR="00F80E94" w:rsidRPr="00332D6B" w14:paraId="5C9AEE2D" w14:textId="77777777" w:rsidTr="00306CF3">
        <w:trPr>
          <w:trHeight w:val="373"/>
          <w:jc w:val="center"/>
        </w:trPr>
        <w:tc>
          <w:tcPr>
            <w:tcW w:w="3168" w:type="dxa"/>
            <w:shd w:val="clear" w:color="auto" w:fill="D9D9D9" w:themeFill="background1" w:themeFillShade="D9"/>
            <w:vAlign w:val="center"/>
          </w:tcPr>
          <w:p w14:paraId="081079D1" w14:textId="77777777" w:rsidR="00F80E94" w:rsidRPr="00332D6B" w:rsidRDefault="00F80E94" w:rsidP="00306CF3">
            <w:pPr>
              <w:pStyle w:val="NoSpacing"/>
              <w:ind w:right="18"/>
              <w:jc w:val="center"/>
              <w:rPr>
                <w:b/>
              </w:rPr>
            </w:pPr>
            <w:r w:rsidRPr="00332D6B">
              <w:rPr>
                <w:b/>
              </w:rPr>
              <w:lastRenderedPageBreak/>
              <w:t>Service Type</w:t>
            </w:r>
          </w:p>
        </w:tc>
        <w:tc>
          <w:tcPr>
            <w:tcW w:w="2807" w:type="dxa"/>
            <w:shd w:val="clear" w:color="auto" w:fill="D9D9D9" w:themeFill="background1" w:themeFillShade="D9"/>
            <w:vAlign w:val="center"/>
          </w:tcPr>
          <w:p w14:paraId="7B1DF6BA" w14:textId="77777777" w:rsidR="00F80E94" w:rsidRPr="00332D6B" w:rsidRDefault="00F80E94" w:rsidP="00306CF3">
            <w:pPr>
              <w:pStyle w:val="NoSpacing"/>
              <w:ind w:right="18"/>
              <w:jc w:val="center"/>
              <w:rPr>
                <w:b/>
              </w:rPr>
            </w:pPr>
            <w:r w:rsidRPr="00332D6B">
              <w:rPr>
                <w:b/>
              </w:rPr>
              <w:t>2027-29</w:t>
            </w:r>
          </w:p>
          <w:p w14:paraId="478F396D" w14:textId="77777777" w:rsidR="00F80E94" w:rsidRPr="00332D6B" w:rsidRDefault="00F80E94" w:rsidP="00306CF3">
            <w:pPr>
              <w:pStyle w:val="NoSpacing"/>
              <w:ind w:right="18"/>
              <w:jc w:val="center"/>
              <w:rPr>
                <w:b/>
              </w:rPr>
            </w:pPr>
            <w:r w:rsidRPr="00332D6B">
              <w:rPr>
                <w:b/>
              </w:rPr>
              <w:t>DAS and Client Agency Rate</w:t>
            </w:r>
          </w:p>
        </w:tc>
      </w:tr>
      <w:tr w:rsidR="00F80E94" w:rsidRPr="00332D6B" w14:paraId="5CBBEC25" w14:textId="77777777" w:rsidTr="00306CF3">
        <w:trPr>
          <w:trHeight w:val="238"/>
          <w:jc w:val="center"/>
        </w:trPr>
        <w:tc>
          <w:tcPr>
            <w:tcW w:w="3168" w:type="dxa"/>
          </w:tcPr>
          <w:p w14:paraId="3EB01D8C" w14:textId="77777777" w:rsidR="00F80E94" w:rsidRPr="00332D6B" w:rsidRDefault="00F80E94" w:rsidP="00306CF3">
            <w:pPr>
              <w:pStyle w:val="NoSpacing"/>
              <w:ind w:right="18"/>
            </w:pPr>
            <w:r w:rsidRPr="00332D6B">
              <w:t>Accounting and Budgeting</w:t>
            </w:r>
          </w:p>
        </w:tc>
        <w:tc>
          <w:tcPr>
            <w:tcW w:w="2807" w:type="dxa"/>
          </w:tcPr>
          <w:p w14:paraId="056A5E9A" w14:textId="77777777" w:rsidR="00F80E94" w:rsidRPr="00332D6B" w:rsidRDefault="00F80E94" w:rsidP="00306CF3">
            <w:pPr>
              <w:pStyle w:val="NoSpacing"/>
              <w:ind w:right="18"/>
              <w:jc w:val="center"/>
            </w:pPr>
            <w:r w:rsidRPr="00332D6B">
              <w:t>$175.33/hour</w:t>
            </w:r>
          </w:p>
        </w:tc>
      </w:tr>
      <w:tr w:rsidR="00F80E94" w:rsidRPr="00332D6B" w14:paraId="7F47EB42" w14:textId="77777777" w:rsidTr="00306CF3">
        <w:trPr>
          <w:trHeight w:val="238"/>
          <w:jc w:val="center"/>
        </w:trPr>
        <w:tc>
          <w:tcPr>
            <w:tcW w:w="3168" w:type="dxa"/>
          </w:tcPr>
          <w:p w14:paraId="305F3C1B" w14:textId="77777777" w:rsidR="00F80E94" w:rsidRPr="00332D6B" w:rsidRDefault="00F80E94" w:rsidP="00306CF3">
            <w:pPr>
              <w:pStyle w:val="NoSpacing"/>
              <w:ind w:right="18"/>
            </w:pPr>
            <w:r w:rsidRPr="00332D6B">
              <w:t>Accounts Receivable</w:t>
            </w:r>
          </w:p>
        </w:tc>
        <w:tc>
          <w:tcPr>
            <w:tcW w:w="2807" w:type="dxa"/>
          </w:tcPr>
          <w:p w14:paraId="5091AA87" w14:textId="77777777" w:rsidR="00F80E94" w:rsidRPr="00332D6B" w:rsidRDefault="00F80E94" w:rsidP="00306CF3">
            <w:pPr>
              <w:pStyle w:val="NoSpacing"/>
              <w:ind w:right="18"/>
              <w:jc w:val="center"/>
            </w:pPr>
            <w:r w:rsidRPr="00332D6B">
              <w:t>$12.51/transaction line</w:t>
            </w:r>
          </w:p>
        </w:tc>
      </w:tr>
      <w:tr w:rsidR="00F80E94" w:rsidRPr="00332D6B" w14:paraId="27D5F4E9" w14:textId="77777777" w:rsidTr="00306CF3">
        <w:trPr>
          <w:trHeight w:val="260"/>
          <w:jc w:val="center"/>
        </w:trPr>
        <w:tc>
          <w:tcPr>
            <w:tcW w:w="3168" w:type="dxa"/>
          </w:tcPr>
          <w:p w14:paraId="05194A9A" w14:textId="77777777" w:rsidR="00F80E94" w:rsidRPr="00332D6B" w:rsidRDefault="00F80E94" w:rsidP="00306CF3">
            <w:pPr>
              <w:pStyle w:val="NoSpacing"/>
              <w:ind w:right="18"/>
            </w:pPr>
            <w:r w:rsidRPr="00332D6B">
              <w:t>Accounts Payable</w:t>
            </w:r>
          </w:p>
        </w:tc>
        <w:tc>
          <w:tcPr>
            <w:tcW w:w="2807" w:type="dxa"/>
          </w:tcPr>
          <w:p w14:paraId="364FA0BB" w14:textId="77777777" w:rsidR="00F80E94" w:rsidRPr="00332D6B" w:rsidRDefault="00F80E94" w:rsidP="00306CF3">
            <w:pPr>
              <w:pStyle w:val="NoSpacing"/>
              <w:ind w:right="18"/>
              <w:jc w:val="center"/>
            </w:pPr>
            <w:r w:rsidRPr="00332D6B">
              <w:t>$22.38/transaction line</w:t>
            </w:r>
          </w:p>
        </w:tc>
      </w:tr>
      <w:tr w:rsidR="00F80E94" w:rsidRPr="00332D6B" w14:paraId="07267D12" w14:textId="77777777" w:rsidTr="00306CF3">
        <w:trPr>
          <w:trHeight w:val="260"/>
          <w:jc w:val="center"/>
        </w:trPr>
        <w:tc>
          <w:tcPr>
            <w:tcW w:w="3168" w:type="dxa"/>
            <w:vAlign w:val="bottom"/>
          </w:tcPr>
          <w:p w14:paraId="5621535A" w14:textId="77777777" w:rsidR="00F80E94" w:rsidRPr="00332D6B" w:rsidRDefault="00F80E94" w:rsidP="00306CF3">
            <w:pPr>
              <w:pStyle w:val="NoSpacing"/>
              <w:ind w:right="18"/>
            </w:pPr>
            <w:r w:rsidRPr="00332D6B">
              <w:t>Payroll</w:t>
            </w:r>
          </w:p>
        </w:tc>
        <w:tc>
          <w:tcPr>
            <w:tcW w:w="2807" w:type="dxa"/>
          </w:tcPr>
          <w:p w14:paraId="57879330" w14:textId="77777777" w:rsidR="00F80E94" w:rsidRPr="00332D6B" w:rsidRDefault="00F80E94" w:rsidP="00306CF3">
            <w:pPr>
              <w:pStyle w:val="NoSpacing"/>
              <w:ind w:right="18"/>
              <w:jc w:val="center"/>
            </w:pPr>
            <w:r w:rsidRPr="00332D6B">
              <w:t>$37.98/employee paid/mo.</w:t>
            </w:r>
          </w:p>
        </w:tc>
      </w:tr>
    </w:tbl>
    <w:p w14:paraId="6A98CCD7" w14:textId="77777777" w:rsidR="00F80E94" w:rsidRPr="00332D6B" w:rsidRDefault="00F80E94" w:rsidP="00F80E94">
      <w:pPr>
        <w:widowControl w:val="0"/>
        <w:kinsoku w:val="0"/>
        <w:overflowPunct w:val="0"/>
        <w:autoSpaceDE w:val="0"/>
        <w:autoSpaceDN w:val="0"/>
        <w:adjustRightInd w:val="0"/>
        <w:spacing w:before="69" w:after="0" w:line="240" w:lineRule="auto"/>
        <w:ind w:left="720" w:right="18"/>
        <w:jc w:val="center"/>
        <w:rPr>
          <w:rFonts w:eastAsia="Times New Roman"/>
          <w:b/>
          <w:szCs w:val="24"/>
        </w:rPr>
      </w:pPr>
    </w:p>
    <w:p w14:paraId="02F741E1" w14:textId="77777777" w:rsidR="00F80E94" w:rsidRPr="00332D6B" w:rsidRDefault="00F80E94" w:rsidP="00F00C26">
      <w:r w:rsidRPr="009548A5">
        <w:rPr>
          <w:b/>
        </w:rPr>
        <w:t>Con</w:t>
      </w:r>
      <w:r w:rsidRPr="009548A5">
        <w:rPr>
          <w:b/>
          <w:spacing w:val="-1"/>
        </w:rPr>
        <w:t>t</w:t>
      </w:r>
      <w:r w:rsidRPr="009548A5">
        <w:rPr>
          <w:b/>
        </w:rPr>
        <w:t>a</w:t>
      </w:r>
      <w:r w:rsidRPr="009548A5">
        <w:rPr>
          <w:b/>
          <w:spacing w:val="-1"/>
        </w:rPr>
        <w:t>c</w:t>
      </w:r>
      <w:r w:rsidRPr="009548A5">
        <w:rPr>
          <w:b/>
        </w:rPr>
        <w:t xml:space="preserve">t for more information: Brad Cunningham at 971-707-2751 or </w:t>
      </w:r>
      <w:hyperlink r:id="rId41" w:history="1">
        <w:r w:rsidRPr="00332D6B">
          <w:rPr>
            <w:rStyle w:val="Hyperlink"/>
            <w:b/>
            <w:bCs/>
            <w:color w:val="000000" w:themeColor="text1"/>
          </w:rPr>
          <w:t>brad.cunningham@das.oregon.gov</w:t>
        </w:r>
      </w:hyperlink>
      <w:r w:rsidRPr="00332D6B">
        <w:t>.</w:t>
      </w:r>
    </w:p>
    <w:p w14:paraId="62A70C2F" w14:textId="77777777" w:rsidR="00F80E94" w:rsidRDefault="00F80E94" w:rsidP="001C6B82">
      <w:pPr>
        <w:pStyle w:val="Heading2"/>
      </w:pPr>
      <w:r w:rsidRPr="00332D6B">
        <w:rPr>
          <w:rFonts w:asciiTheme="minorHAnsi" w:hAnsiTheme="minorHAnsi"/>
        </w:rPr>
        <w:br w:type="page"/>
      </w:r>
      <w:bookmarkStart w:id="67" w:name="_Toc226108632"/>
      <w:bookmarkStart w:id="68" w:name="_Toc226981066"/>
      <w:r>
        <w:lastRenderedPageBreak/>
        <w:t>Other Agency Services and Rates</w:t>
      </w:r>
      <w:bookmarkEnd w:id="67"/>
      <w:bookmarkEnd w:id="68"/>
    </w:p>
    <w:p w14:paraId="3D8B50CD" w14:textId="77777777" w:rsidR="00F80E94" w:rsidRPr="009548A5" w:rsidRDefault="00F80E94" w:rsidP="2E12E5CC">
      <w:pPr>
        <w:pStyle w:val="Heading3"/>
      </w:pPr>
      <w:bookmarkStart w:id="69" w:name="_Toc226108633"/>
      <w:bookmarkStart w:id="70" w:name="_Toc226981067"/>
      <w:bookmarkStart w:id="71" w:name="_Hlk161302477"/>
      <w:r w:rsidRPr="0098120C">
        <w:t>Central Government Service Charge</w:t>
      </w:r>
      <w:bookmarkEnd w:id="69"/>
      <w:bookmarkEnd w:id="70"/>
    </w:p>
    <w:p w14:paraId="24A79E44" w14:textId="77777777" w:rsidR="00F80E94" w:rsidRPr="006D6778" w:rsidRDefault="00F80E94" w:rsidP="009548A5">
      <w:pPr>
        <w:rPr>
          <w:szCs w:val="24"/>
        </w:rPr>
      </w:pPr>
      <w:r w:rsidRPr="006D6778">
        <w:rPr>
          <w:szCs w:val="24"/>
        </w:rPr>
        <w:t>The Central Government Service Charge (CGSC) assesses agencies that have Other Funded positions. ORS 291 directs DAS to recover actual costs that are associated with the following:</w:t>
      </w:r>
    </w:p>
    <w:p w14:paraId="4D6F6FB8" w14:textId="77777777" w:rsidR="00F80E94" w:rsidRPr="006D6778" w:rsidRDefault="00F80E94" w:rsidP="00F25900">
      <w:pPr>
        <w:pStyle w:val="ListParagraph"/>
        <w:numPr>
          <w:ilvl w:val="0"/>
          <w:numId w:val="46"/>
        </w:numPr>
      </w:pPr>
      <w:r w:rsidRPr="006D6778">
        <w:t>Legislative Assembly and all expenditures for the Emergency Board.</w:t>
      </w:r>
    </w:p>
    <w:p w14:paraId="471DB797" w14:textId="77777777" w:rsidR="00F80E94" w:rsidRPr="006D6778" w:rsidRDefault="00F80E94" w:rsidP="00F25900">
      <w:pPr>
        <w:pStyle w:val="ListParagraph"/>
        <w:numPr>
          <w:ilvl w:val="0"/>
          <w:numId w:val="46"/>
        </w:numPr>
      </w:pPr>
      <w:r w:rsidRPr="006D6778">
        <w:t>Legislative Fiscal Office.</w:t>
      </w:r>
    </w:p>
    <w:p w14:paraId="5A18FC36" w14:textId="77777777" w:rsidR="00F80E94" w:rsidRPr="006D6778" w:rsidRDefault="00F80E94" w:rsidP="00F25900">
      <w:pPr>
        <w:pStyle w:val="ListParagraph"/>
        <w:numPr>
          <w:ilvl w:val="0"/>
          <w:numId w:val="46"/>
        </w:numPr>
      </w:pPr>
      <w:r w:rsidRPr="006D6778">
        <w:t>Legislative Counsel Committee.</w:t>
      </w:r>
    </w:p>
    <w:p w14:paraId="0B909417" w14:textId="77777777" w:rsidR="00F80E94" w:rsidRPr="006D6778" w:rsidRDefault="00F80E94" w:rsidP="00F25900">
      <w:pPr>
        <w:pStyle w:val="ListParagraph"/>
        <w:numPr>
          <w:ilvl w:val="0"/>
          <w:numId w:val="46"/>
        </w:numPr>
      </w:pPr>
      <w:r w:rsidRPr="006D6778">
        <w:t>Governor’s Office.</w:t>
      </w:r>
    </w:p>
    <w:p w14:paraId="114259B8" w14:textId="3947ECE0" w:rsidR="00F80E94" w:rsidRPr="006D6778" w:rsidRDefault="00F80E94" w:rsidP="009548A5">
      <w:pPr>
        <w:rPr>
          <w:i/>
          <w:szCs w:val="24"/>
        </w:rPr>
      </w:pPr>
      <w:r w:rsidRPr="006D6778">
        <w:t xml:space="preserve"> </w:t>
      </w:r>
      <w:r w:rsidRPr="006D6778">
        <w:rPr>
          <w:szCs w:val="24"/>
        </w:rPr>
        <w:t xml:space="preserve">CGSC is used to retroactively assess a portion of the 2023-25 total costs of these activities. Costs are allocated to agencies based on the percentage of Other Funded salaries in the 2025-27 Legislatively Adopted Budget. Other Funds received through this assessment are returned to the General Fund. This assessment excludes federal sources because the federal government will not participate in funding central government functions. </w:t>
      </w:r>
      <w:r w:rsidRPr="009548A5">
        <w:t xml:space="preserve">Reference Central Govt. </w:t>
      </w:r>
      <w:proofErr w:type="spellStart"/>
      <w:r w:rsidRPr="009548A5">
        <w:t>Svcs</w:t>
      </w:r>
      <w:proofErr w:type="spellEnd"/>
      <w:r w:rsidRPr="009548A5">
        <w:t>. Charge (CGSC) in Appendix A.</w:t>
      </w:r>
    </w:p>
    <w:p w14:paraId="3978B41F" w14:textId="77777777" w:rsidR="00F80E94" w:rsidRDefault="00F80E94" w:rsidP="009548A5">
      <w:pPr>
        <w:rPr>
          <w:b/>
        </w:rPr>
      </w:pPr>
      <w:r w:rsidRPr="0098120C">
        <w:rPr>
          <w:b/>
          <w:bCs/>
        </w:rPr>
        <w:t>Con</w:t>
      </w:r>
      <w:r w:rsidRPr="0098120C">
        <w:rPr>
          <w:b/>
          <w:bCs/>
          <w:spacing w:val="-1"/>
        </w:rPr>
        <w:t>t</w:t>
      </w:r>
      <w:r w:rsidRPr="0098120C">
        <w:rPr>
          <w:b/>
          <w:bCs/>
        </w:rPr>
        <w:t>a</w:t>
      </w:r>
      <w:r w:rsidRPr="0098120C">
        <w:rPr>
          <w:b/>
          <w:bCs/>
          <w:spacing w:val="-1"/>
        </w:rPr>
        <w:t>c</w:t>
      </w:r>
      <w:r w:rsidRPr="0098120C">
        <w:rPr>
          <w:b/>
          <w:bCs/>
        </w:rPr>
        <w:t xml:space="preserve">t for more information: Dustin Ball at 971-900-7688 or </w:t>
      </w:r>
      <w:hyperlink r:id="rId42" w:history="1">
        <w:r w:rsidRPr="006D6778">
          <w:rPr>
            <w:rStyle w:val="Hyperlink"/>
            <w:b/>
            <w:bCs/>
            <w:color w:val="auto"/>
          </w:rPr>
          <w:t>dustin.ball@das.oregon.gov</w:t>
        </w:r>
      </w:hyperlink>
      <w:r w:rsidRPr="0098120C">
        <w:rPr>
          <w:b/>
        </w:rPr>
        <w:t>.</w:t>
      </w:r>
    </w:p>
    <w:p w14:paraId="66A2DFA7" w14:textId="77777777" w:rsidR="00F80E94" w:rsidRPr="002F4186" w:rsidRDefault="00F80E94" w:rsidP="2E12E5CC">
      <w:pPr>
        <w:pStyle w:val="Heading3"/>
      </w:pPr>
      <w:bookmarkStart w:id="72" w:name="_Toc226108634"/>
      <w:bookmarkStart w:id="73" w:name="_Toc226981068"/>
      <w:bookmarkEnd w:id="71"/>
      <w:r w:rsidRPr="002F4186">
        <w:t>Office of the Public Records Advocate</w:t>
      </w:r>
      <w:bookmarkEnd w:id="72"/>
      <w:bookmarkEnd w:id="73"/>
    </w:p>
    <w:p w14:paraId="4F220751" w14:textId="7D4C68B0" w:rsidR="00F80E94" w:rsidRPr="006D6778" w:rsidRDefault="00F80E94" w:rsidP="009548A5">
      <w:r w:rsidRPr="006D6778">
        <w:t>The Office of the Public Records Advocate was created pursuant to Senate Bill 106 (Chapter 728) during the 2017 legislative session, and established as an independent state agency pursuant to Senate Bill 500 during the 2021 legislative session, and is responsible for:</w:t>
      </w:r>
    </w:p>
    <w:p w14:paraId="677F91C7" w14:textId="5E650398" w:rsidR="00F80E94" w:rsidRPr="006D6778" w:rsidRDefault="009548A5" w:rsidP="00F25900">
      <w:pPr>
        <w:pStyle w:val="ListParagraph"/>
        <w:numPr>
          <w:ilvl w:val="0"/>
          <w:numId w:val="47"/>
        </w:numPr>
      </w:pPr>
      <w:r>
        <w:t>P</w:t>
      </w:r>
      <w:r w:rsidR="00F80E94" w:rsidRPr="006D6778">
        <w:t>roviding dispute resolution services at the request of government bodies or public records requesters.</w:t>
      </w:r>
    </w:p>
    <w:p w14:paraId="240879F4" w14:textId="2F13A19F" w:rsidR="00F80E94" w:rsidRPr="006D6778" w:rsidRDefault="009548A5" w:rsidP="00F25900">
      <w:pPr>
        <w:pStyle w:val="ListParagraph"/>
        <w:numPr>
          <w:ilvl w:val="0"/>
          <w:numId w:val="47"/>
        </w:numPr>
      </w:pPr>
      <w:r>
        <w:t>P</w:t>
      </w:r>
      <w:r w:rsidR="00F80E94" w:rsidRPr="006D6778">
        <w:t>roviding training on public records laws and best practices.</w:t>
      </w:r>
    </w:p>
    <w:p w14:paraId="743B4660" w14:textId="7B06B7A6" w:rsidR="00F80E94" w:rsidRPr="006D6778" w:rsidRDefault="009548A5" w:rsidP="00F25900">
      <w:pPr>
        <w:pStyle w:val="ListParagraph"/>
        <w:numPr>
          <w:ilvl w:val="0"/>
          <w:numId w:val="47"/>
        </w:numPr>
      </w:pPr>
      <w:r>
        <w:t>P</w:t>
      </w:r>
      <w:r w:rsidR="00F80E94" w:rsidRPr="006D6778">
        <w:t>roviding guidance and advice on the public records law upon request; and</w:t>
      </w:r>
    </w:p>
    <w:p w14:paraId="2107CEAF" w14:textId="2F49878B" w:rsidR="00F80E94" w:rsidRPr="006D6778" w:rsidRDefault="009548A5" w:rsidP="00F25900">
      <w:pPr>
        <w:pStyle w:val="ListParagraph"/>
        <w:numPr>
          <w:ilvl w:val="0"/>
          <w:numId w:val="47"/>
        </w:numPr>
      </w:pPr>
      <w:r>
        <w:t>S</w:t>
      </w:r>
      <w:r w:rsidR="00F80E94" w:rsidRPr="006D6778">
        <w:t xml:space="preserve">erving as the Executive Director and voting member of the </w:t>
      </w:r>
      <w:proofErr w:type="gramStart"/>
      <w:r w:rsidR="00F80E94" w:rsidRPr="006D6778">
        <w:t>Public Records Advisory Council</w:t>
      </w:r>
      <w:proofErr w:type="gramEnd"/>
      <w:r w:rsidR="00F80E94" w:rsidRPr="006D6778">
        <w:t>.</w:t>
      </w:r>
    </w:p>
    <w:p w14:paraId="4390C227" w14:textId="297DBC01" w:rsidR="00F80E94" w:rsidRPr="006D6778" w:rsidRDefault="00F80E94" w:rsidP="009548A5"/>
    <w:p w14:paraId="23751CF3" w14:textId="77777777" w:rsidR="00F80E94" w:rsidRPr="006D6778" w:rsidRDefault="00F80E94" w:rsidP="009548A5">
      <w:pPr>
        <w:rPr>
          <w:i/>
          <w:szCs w:val="24"/>
        </w:rPr>
      </w:pPr>
      <w:r w:rsidRPr="006D6778">
        <w:rPr>
          <w:szCs w:val="24"/>
        </w:rPr>
        <w:t xml:space="preserve">Costs associated with the above activities are supported by an assessment that allocates costs to state agencies based on 2025-27 budgeted </w:t>
      </w:r>
      <w:r w:rsidRPr="006D6778">
        <w:rPr>
          <w:spacing w:val="-2"/>
          <w:szCs w:val="24"/>
        </w:rPr>
        <w:t>F</w:t>
      </w:r>
      <w:r w:rsidRPr="006D6778">
        <w:rPr>
          <w:szCs w:val="24"/>
        </w:rPr>
        <w:t>ull-</w:t>
      </w:r>
      <w:r w:rsidRPr="006D6778">
        <w:rPr>
          <w:spacing w:val="-1"/>
          <w:szCs w:val="24"/>
        </w:rPr>
        <w:t>T</w:t>
      </w:r>
      <w:r w:rsidRPr="006D6778">
        <w:rPr>
          <w:szCs w:val="24"/>
        </w:rPr>
        <w:t xml:space="preserve">ime </w:t>
      </w:r>
      <w:r w:rsidRPr="006D6778">
        <w:rPr>
          <w:spacing w:val="-1"/>
          <w:szCs w:val="24"/>
        </w:rPr>
        <w:t>E</w:t>
      </w:r>
      <w:r w:rsidRPr="006D6778">
        <w:rPr>
          <w:szCs w:val="24"/>
        </w:rPr>
        <w:t>quiv</w:t>
      </w:r>
      <w:r w:rsidRPr="006D6778">
        <w:rPr>
          <w:spacing w:val="-1"/>
          <w:szCs w:val="24"/>
        </w:rPr>
        <w:t>a</w:t>
      </w:r>
      <w:r w:rsidRPr="006D6778">
        <w:rPr>
          <w:szCs w:val="24"/>
        </w:rPr>
        <w:t>l</w:t>
      </w:r>
      <w:r w:rsidRPr="006D6778">
        <w:rPr>
          <w:spacing w:val="-1"/>
          <w:szCs w:val="24"/>
        </w:rPr>
        <w:t>e</w:t>
      </w:r>
      <w:r w:rsidRPr="006D6778">
        <w:rPr>
          <w:szCs w:val="24"/>
        </w:rPr>
        <w:t>nt</w:t>
      </w:r>
      <w:r w:rsidRPr="006D6778">
        <w:rPr>
          <w:spacing w:val="17"/>
          <w:szCs w:val="24"/>
        </w:rPr>
        <w:t xml:space="preserve"> </w:t>
      </w:r>
      <w:r w:rsidRPr="006D6778">
        <w:rPr>
          <w:spacing w:val="-1"/>
          <w:szCs w:val="24"/>
        </w:rPr>
        <w:t>(</w:t>
      </w:r>
      <w:r w:rsidRPr="006D6778">
        <w:rPr>
          <w:spacing w:val="-2"/>
          <w:szCs w:val="24"/>
        </w:rPr>
        <w:t>F</w:t>
      </w:r>
      <w:r w:rsidRPr="006D6778">
        <w:rPr>
          <w:spacing w:val="2"/>
          <w:szCs w:val="24"/>
        </w:rPr>
        <w:t>T</w:t>
      </w:r>
      <w:r w:rsidRPr="006D6778">
        <w:rPr>
          <w:spacing w:val="-1"/>
          <w:szCs w:val="24"/>
        </w:rPr>
        <w:t>E)</w:t>
      </w:r>
      <w:r w:rsidRPr="006D6778">
        <w:rPr>
          <w:szCs w:val="24"/>
        </w:rPr>
        <w:t xml:space="preserve"> authority. </w:t>
      </w:r>
      <w:r w:rsidRPr="009548A5">
        <w:t>Reference Office of the Public Records Advocate in Appendix A.</w:t>
      </w:r>
    </w:p>
    <w:p w14:paraId="5EE45464" w14:textId="77777777" w:rsidR="00F80E94" w:rsidRPr="006D6778" w:rsidRDefault="00F80E94" w:rsidP="009548A5">
      <w:pPr>
        <w:rPr>
          <w:szCs w:val="24"/>
        </w:rPr>
      </w:pPr>
      <w:r w:rsidRPr="006D6778">
        <w:rPr>
          <w:szCs w:val="24"/>
        </w:rPr>
        <w:lastRenderedPageBreak/>
        <w:t>Federal Funds should not be used to pay for this assessment as the Federal Government will not participate in funding central government functions.</w:t>
      </w:r>
    </w:p>
    <w:p w14:paraId="5893AEE2" w14:textId="2BBE46F2" w:rsidR="00F80E94" w:rsidRPr="006D6778" w:rsidRDefault="00F80E94" w:rsidP="009548A5">
      <w:pPr>
        <w:rPr>
          <w:b/>
          <w:szCs w:val="24"/>
        </w:rPr>
      </w:pPr>
      <w:bookmarkStart w:id="74" w:name="_Hlk125098166"/>
      <w:r w:rsidRPr="006D6778">
        <w:rPr>
          <w:b/>
          <w:szCs w:val="24"/>
        </w:rPr>
        <w:t>Con</w:t>
      </w:r>
      <w:r w:rsidRPr="006D6778">
        <w:rPr>
          <w:b/>
          <w:spacing w:val="-1"/>
          <w:szCs w:val="24"/>
        </w:rPr>
        <w:t>t</w:t>
      </w:r>
      <w:r w:rsidRPr="006D6778">
        <w:rPr>
          <w:b/>
          <w:szCs w:val="24"/>
        </w:rPr>
        <w:t>a</w:t>
      </w:r>
      <w:r w:rsidRPr="006D6778">
        <w:rPr>
          <w:b/>
          <w:spacing w:val="-1"/>
          <w:szCs w:val="24"/>
        </w:rPr>
        <w:t>c</w:t>
      </w:r>
      <w:r w:rsidRPr="006D6778">
        <w:rPr>
          <w:b/>
          <w:szCs w:val="24"/>
        </w:rPr>
        <w:t xml:space="preserve">t for more information: Todd Albert at 503-871-9036 or </w:t>
      </w:r>
      <w:hyperlink r:id="rId43" w:history="1">
        <w:r w:rsidRPr="006D6778">
          <w:rPr>
            <w:rStyle w:val="Hyperlink"/>
            <w:b/>
            <w:color w:val="000000" w:themeColor="text1"/>
            <w:szCs w:val="24"/>
          </w:rPr>
          <w:t>todd.albert@pra.oregon.gov</w:t>
        </w:r>
      </w:hyperlink>
      <w:r w:rsidRPr="006D6778">
        <w:rPr>
          <w:b/>
          <w:szCs w:val="24"/>
        </w:rPr>
        <w:t>.</w:t>
      </w:r>
      <w:bookmarkEnd w:id="74"/>
    </w:p>
    <w:p w14:paraId="34A8F13D" w14:textId="77777777" w:rsidR="00F80E94" w:rsidRPr="00F25900" w:rsidRDefault="00F80E94" w:rsidP="2E12E5CC">
      <w:pPr>
        <w:pStyle w:val="Heading3"/>
      </w:pPr>
      <w:bookmarkStart w:id="75" w:name="_Toc226108635"/>
      <w:bookmarkStart w:id="76" w:name="_Toc226981069"/>
      <w:r w:rsidRPr="002F4186">
        <w:t>Certification Office for Business Inclusion and Diversity</w:t>
      </w:r>
      <w:bookmarkStart w:id="77" w:name="_Hlk161652051"/>
      <w:bookmarkEnd w:id="75"/>
      <w:bookmarkEnd w:id="76"/>
    </w:p>
    <w:p w14:paraId="503B8288" w14:textId="77777777" w:rsidR="00F80E94" w:rsidRDefault="00F80E94" w:rsidP="00F25900">
      <w:pPr>
        <w:rPr>
          <w:noProof/>
        </w:rPr>
      </w:pPr>
      <w:r>
        <w:rPr>
          <w:noProof/>
        </w:rPr>
        <w:t xml:space="preserve">This charge pays for the Oregon Business Development Department’s Certification Office for Business Inclusion and Diversity (COBID). COBID administers federal and state business certification programs, including the federal Disadvantaged Business Enterprise (DBE) and Airport Concessionaires Disadvantaged Business Enterprise (ACDBE) programs, as well as the state Minority Business Enterprise (MBE), Women Business Enterprise (WBE), Veteran Business Enterprise (VBE), Emerging Small Business (ESB), and the new Oregon Small Business Enterprise (OSBE) certification program, newly established in the 2025 legislative session. COBID also collects, maintains, and provides certification and utilization data for these programs to the Department of Administrative Services (DAS) procurement system, and produces regular reports used to measure contracting participation and statewide contracting goals and aspirations.  </w:t>
      </w:r>
    </w:p>
    <w:p w14:paraId="160B7F4A" w14:textId="1F883BEB" w:rsidR="00F80E94" w:rsidRDefault="00F80E94" w:rsidP="00F25900">
      <w:pPr>
        <w:rPr>
          <w:noProof/>
        </w:rPr>
      </w:pPr>
      <w:r>
        <w:rPr>
          <w:noProof/>
        </w:rPr>
        <w:t>The charge also provides funds for the Governor’s Policy Advisor for Economic and Business Equity located within the office of the Governor. The assessment is based on 2025-27 Legislatively Adopted Budget (LAB) Full-Time Equivalent (FTE) authority of all state agencies as provided by DAS.</w:t>
      </w:r>
      <w:r>
        <w:rPr>
          <w:rFonts w:ascii="Arial" w:hAnsi="Arial" w:cs="Arial"/>
          <w:noProof/>
        </w:rPr>
        <w:t> </w:t>
      </w:r>
      <w:r>
        <w:rPr>
          <w:noProof/>
        </w:rPr>
        <w:t>The Oregon Department of Transportation provides additional funding through a separate formula-based assessment.</w:t>
      </w:r>
      <w:r>
        <w:rPr>
          <w:rFonts w:ascii="Arial" w:hAnsi="Arial" w:cs="Arial"/>
          <w:noProof/>
        </w:rPr>
        <w:t> </w:t>
      </w:r>
      <w:r>
        <w:rPr>
          <w:noProof/>
        </w:rPr>
        <w:t>The allocation formula to state agencies is unchanged. Reference Cert</w:t>
      </w:r>
      <w:r w:rsidR="00950D6D">
        <w:rPr>
          <w:noProof/>
        </w:rPr>
        <w:t>ification</w:t>
      </w:r>
      <w:r w:rsidR="005B61EC">
        <w:rPr>
          <w:noProof/>
        </w:rPr>
        <w:t xml:space="preserve"> </w:t>
      </w:r>
      <w:r>
        <w:rPr>
          <w:noProof/>
        </w:rPr>
        <w:t>Office for Business Incl</w:t>
      </w:r>
      <w:r w:rsidR="005B61EC">
        <w:rPr>
          <w:noProof/>
        </w:rPr>
        <w:t>usion</w:t>
      </w:r>
      <w:r>
        <w:rPr>
          <w:noProof/>
        </w:rPr>
        <w:t xml:space="preserve"> &amp; Diversity (COBID) in Appendix A. </w:t>
      </w:r>
    </w:p>
    <w:p w14:paraId="4BACADF7" w14:textId="1C247534" w:rsidR="004777F4" w:rsidRPr="004B27C4" w:rsidRDefault="00F80E94" w:rsidP="000B4B26">
      <w:pPr>
        <w:rPr>
          <w:b/>
          <w:bCs/>
          <w:noProof/>
        </w:rPr>
      </w:pPr>
      <w:r w:rsidRPr="004B27C4">
        <w:rPr>
          <w:b/>
          <w:bCs/>
          <w:noProof/>
        </w:rPr>
        <w:t xml:space="preserve">Contact for more information: Edina Haislip, at 971-374-3091 or </w:t>
      </w:r>
      <w:hyperlink r:id="rId44" w:history="1">
        <w:r w:rsidRPr="006D6778">
          <w:rPr>
            <w:rStyle w:val="Hyperlink"/>
            <w:b/>
            <w:bCs/>
            <w:noProof/>
            <w:color w:val="auto"/>
          </w:rPr>
          <w:t>Edina.HAISLIP@biz.oregon.gov</w:t>
        </w:r>
      </w:hyperlink>
      <w:r w:rsidRPr="004B27C4">
        <w:rPr>
          <w:b/>
          <w:bCs/>
          <w:noProof/>
        </w:rPr>
        <w:t>.</w:t>
      </w:r>
      <w:r>
        <w:rPr>
          <w:b/>
          <w:bCs/>
          <w:noProof/>
        </w:rPr>
        <w:t xml:space="preserve"> </w:t>
      </w:r>
    </w:p>
    <w:p w14:paraId="083F8BB1" w14:textId="77777777" w:rsidR="00F80E94" w:rsidRPr="000B4B26" w:rsidRDefault="00F80E94" w:rsidP="2E12E5CC">
      <w:pPr>
        <w:pStyle w:val="Heading3"/>
      </w:pPr>
      <w:bookmarkStart w:id="78" w:name="_Toc226108636"/>
      <w:bookmarkStart w:id="79" w:name="_Toc226981070"/>
      <w:r w:rsidRPr="004777F4">
        <w:t>State Library of Oregon</w:t>
      </w:r>
      <w:bookmarkEnd w:id="78"/>
      <w:bookmarkEnd w:id="79"/>
    </w:p>
    <w:p w14:paraId="08DEB901" w14:textId="77777777" w:rsidR="00F80E94" w:rsidRPr="00412E5C" w:rsidRDefault="00F80E94" w:rsidP="000B4B26">
      <w:r w:rsidRPr="00412E5C">
        <w:t xml:space="preserve">The 1993 Legislative Assembly established the State Library of Oregon assessment in statute (ORS 357.203) primarily to reduce the library’s reliance on the General Funds and to spread the cost of the library across all fund types. The assessment supports all the library’s services to state government agencies and related administrative costs. Other services of the State Library of Oregon (e.g., Talking Books and Braille Library, Library Support and Development Services) are not funded by the assessment. Two-thirds of the assessment are allocated based on Full-Time Equivalent (FTE) positions and one-third on agency use of Library services in the 23-25 biennium. The State Library assessment </w:t>
      </w:r>
      <w:r w:rsidRPr="00E07EAE">
        <w:t>for 27-29 totals $10,032,199 and is</w:t>
      </w:r>
      <w:r w:rsidRPr="00412E5C">
        <w:t xml:space="preserve"> intended to support the current staffing and current level of service to state agencies. Agencies with Federal Fund resources need this separation </w:t>
      </w:r>
      <w:r w:rsidRPr="00412E5C">
        <w:lastRenderedPageBreak/>
        <w:t xml:space="preserve">because the FTE portion of the assessment cannot be billed against Federal Funds, </w:t>
      </w:r>
      <w:proofErr w:type="gramStart"/>
      <w:r w:rsidRPr="00412E5C">
        <w:t>similar to</w:t>
      </w:r>
      <w:proofErr w:type="gramEnd"/>
      <w:r w:rsidRPr="00412E5C">
        <w:t xml:space="preserve"> the state government service charge.</w:t>
      </w:r>
    </w:p>
    <w:p w14:paraId="636C1B93" w14:textId="04DAB353" w:rsidR="00F80E94" w:rsidRPr="00AA0B88" w:rsidRDefault="00F80E94" w:rsidP="000B4B26">
      <w:pPr>
        <w:rPr>
          <w:b/>
          <w:bCs/>
        </w:rPr>
      </w:pPr>
      <w:r w:rsidRPr="00412E5C">
        <w:t xml:space="preserve">For more information about the assessment, refer to the </w:t>
      </w:r>
      <w:hyperlink r:id="rId45" w:history="1">
        <w:r w:rsidR="001C20B7" w:rsidRPr="004410E7">
          <w:rPr>
            <w:rStyle w:val="Hyperlink"/>
          </w:rPr>
          <w:t>frequently asked questions list</w:t>
        </w:r>
        <w:r w:rsidR="004410E7" w:rsidRPr="004410E7">
          <w:rPr>
            <w:rStyle w:val="Hyperlink"/>
          </w:rPr>
          <w:t xml:space="preserve"> online</w:t>
        </w:r>
      </w:hyperlink>
      <w:r w:rsidR="004410E7">
        <w:t>.</w:t>
      </w:r>
    </w:p>
    <w:p w14:paraId="456AC9CB" w14:textId="77777777" w:rsidR="00F80E94" w:rsidRPr="008C686C" w:rsidRDefault="00F80E94" w:rsidP="000B4B26">
      <w:r w:rsidRPr="00412E5C">
        <w:t>Reference State Library in Appendix A.</w:t>
      </w:r>
    </w:p>
    <w:p w14:paraId="1AB3F1F5" w14:textId="451390FE" w:rsidR="00F80E94" w:rsidRDefault="00F80E94" w:rsidP="004410E7">
      <w:pPr>
        <w:rPr>
          <w:b/>
        </w:rPr>
      </w:pPr>
      <w:bookmarkStart w:id="80" w:name="_Hlk161650840"/>
      <w:bookmarkStart w:id="81" w:name="_Hlk161652410"/>
      <w:bookmarkEnd w:id="77"/>
      <w:r w:rsidRPr="002308A5">
        <w:rPr>
          <w:b/>
          <w:bCs/>
        </w:rPr>
        <w:t>Con</w:t>
      </w:r>
      <w:r w:rsidRPr="002308A5">
        <w:rPr>
          <w:b/>
          <w:bCs/>
          <w:spacing w:val="-1"/>
        </w:rPr>
        <w:t>t</w:t>
      </w:r>
      <w:r w:rsidRPr="002308A5">
        <w:rPr>
          <w:b/>
          <w:bCs/>
        </w:rPr>
        <w:t>a</w:t>
      </w:r>
      <w:r w:rsidRPr="002308A5">
        <w:rPr>
          <w:b/>
          <w:bCs/>
          <w:spacing w:val="-1"/>
        </w:rPr>
        <w:t>c</w:t>
      </w:r>
      <w:r w:rsidRPr="002308A5">
        <w:rPr>
          <w:b/>
          <w:bCs/>
        </w:rPr>
        <w:t xml:space="preserve">t for more information: </w:t>
      </w:r>
      <w:r>
        <w:rPr>
          <w:b/>
        </w:rPr>
        <w:t>Ben Plant</w:t>
      </w:r>
      <w:r w:rsidRPr="002308A5">
        <w:rPr>
          <w:b/>
        </w:rPr>
        <w:t>, at 971</w:t>
      </w:r>
      <w:r>
        <w:rPr>
          <w:b/>
        </w:rPr>
        <w:t>-718-2512</w:t>
      </w:r>
      <w:r w:rsidRPr="002308A5">
        <w:rPr>
          <w:b/>
        </w:rPr>
        <w:t xml:space="preserve"> or </w:t>
      </w:r>
      <w:hyperlink r:id="rId46" w:history="1">
        <w:r w:rsidRPr="00A640AB">
          <w:rPr>
            <w:rStyle w:val="Hyperlink"/>
            <w:b/>
            <w:bCs/>
            <w:color w:val="000000" w:themeColor="text1"/>
          </w:rPr>
          <w:t>ben.plant@das.oregon.gov</w:t>
        </w:r>
      </w:hyperlink>
      <w:r>
        <w:rPr>
          <w:b/>
          <w:bCs/>
        </w:rPr>
        <w:t>.</w:t>
      </w:r>
      <w:bookmarkEnd w:id="80"/>
      <w:bookmarkEnd w:id="81"/>
    </w:p>
    <w:p w14:paraId="04560426" w14:textId="77777777" w:rsidR="00F80E94" w:rsidRPr="004410E7" w:rsidRDefault="00F80E94" w:rsidP="2E12E5CC">
      <w:pPr>
        <w:pStyle w:val="Heading3"/>
      </w:pPr>
      <w:bookmarkStart w:id="82" w:name="_Toc226108637"/>
      <w:bookmarkStart w:id="83" w:name="_Toc226981071"/>
      <w:r w:rsidRPr="00C01981">
        <w:t>Judicial Department – Oregon Law Library</w:t>
      </w:r>
      <w:bookmarkEnd w:id="82"/>
      <w:bookmarkEnd w:id="83"/>
    </w:p>
    <w:p w14:paraId="72E9C57F" w14:textId="77777777" w:rsidR="00F80E94" w:rsidRPr="002F0AE2" w:rsidRDefault="00F80E94" w:rsidP="0030500A">
      <w:r w:rsidRPr="002F0AE2">
        <w:t>The Oregon Law Library is the primary legal information resource for state government. The library collection includes primary legal material, historical and current, from all U.S. jurisdictions. Statutes and case law from all 50 states and the federal government are available. The Law Library maintains current secondary material in virtually all areas of law and houses a large collection of legal periodicals.</w:t>
      </w:r>
    </w:p>
    <w:p w14:paraId="0D4A92F9" w14:textId="77777777" w:rsidR="00F80E94" w:rsidRPr="002F0AE2" w:rsidRDefault="00F80E94" w:rsidP="0030500A">
      <w:r w:rsidRPr="002F0AE2">
        <w:t>The assessment for the Oregon Law Library recovers the actual cost of providing library services to state agencies.</w:t>
      </w:r>
    </w:p>
    <w:p w14:paraId="00F51B6D" w14:textId="77777777" w:rsidR="00F80E94" w:rsidRDefault="00F80E94" w:rsidP="0030500A">
      <w:pPr>
        <w:rPr>
          <w:i/>
        </w:rPr>
      </w:pPr>
      <w:r w:rsidRPr="002F0AE2">
        <w:t xml:space="preserve">The assessment is apportioned among state agencies based on the number of </w:t>
      </w:r>
      <w:r w:rsidRPr="002F0AE2">
        <w:rPr>
          <w:spacing w:val="-2"/>
        </w:rPr>
        <w:t>F</w:t>
      </w:r>
      <w:r w:rsidRPr="002F0AE2">
        <w:t>ull-</w:t>
      </w:r>
      <w:r w:rsidRPr="002F0AE2">
        <w:rPr>
          <w:spacing w:val="-1"/>
        </w:rPr>
        <w:t>T</w:t>
      </w:r>
      <w:r w:rsidRPr="002F0AE2">
        <w:t xml:space="preserve">ime </w:t>
      </w:r>
      <w:r w:rsidRPr="002F0AE2">
        <w:rPr>
          <w:spacing w:val="-1"/>
        </w:rPr>
        <w:t>E</w:t>
      </w:r>
      <w:r w:rsidRPr="002F0AE2">
        <w:t>quiv</w:t>
      </w:r>
      <w:r w:rsidRPr="002F0AE2">
        <w:rPr>
          <w:spacing w:val="-1"/>
        </w:rPr>
        <w:t>a</w:t>
      </w:r>
      <w:r w:rsidRPr="002F0AE2">
        <w:t>l</w:t>
      </w:r>
      <w:r w:rsidRPr="002F0AE2">
        <w:rPr>
          <w:spacing w:val="-1"/>
        </w:rPr>
        <w:t>e</w:t>
      </w:r>
      <w:r w:rsidRPr="002F0AE2">
        <w:t>nt</w:t>
      </w:r>
      <w:r w:rsidRPr="002F0AE2">
        <w:rPr>
          <w:spacing w:val="17"/>
        </w:rPr>
        <w:t xml:space="preserve"> </w:t>
      </w:r>
      <w:r w:rsidRPr="002F0AE2">
        <w:rPr>
          <w:spacing w:val="-1"/>
        </w:rPr>
        <w:t>(</w:t>
      </w:r>
      <w:r w:rsidRPr="002F0AE2">
        <w:rPr>
          <w:spacing w:val="-2"/>
        </w:rPr>
        <w:t>F</w:t>
      </w:r>
      <w:r w:rsidRPr="002F0AE2">
        <w:rPr>
          <w:spacing w:val="2"/>
        </w:rPr>
        <w:t>T</w:t>
      </w:r>
      <w:r w:rsidRPr="002F0AE2">
        <w:rPr>
          <w:spacing w:val="-1"/>
        </w:rPr>
        <w:t>E)</w:t>
      </w:r>
      <w:r w:rsidRPr="002F0AE2">
        <w:t xml:space="preserve"> employees budgeted by the agency. The FTE counts listed in the table (except for Lottery) were provided to the Oregon Judicial Department by DAS.</w:t>
      </w:r>
      <w:r>
        <w:t xml:space="preserve"> </w:t>
      </w:r>
      <w:r w:rsidRPr="0030500A">
        <w:rPr>
          <w:iCs/>
        </w:rPr>
        <w:t>Reference Oregon Law Library in Appendix A.</w:t>
      </w:r>
    </w:p>
    <w:p w14:paraId="5629C437" w14:textId="77777777" w:rsidR="00F80E94" w:rsidRPr="00FC2741" w:rsidRDefault="00F80E94" w:rsidP="0030500A">
      <w:bookmarkStart w:id="84" w:name="OLE_LINK11"/>
      <w:r>
        <w:rPr>
          <w:b/>
          <w:bCs/>
        </w:rPr>
        <w:t>Con</w:t>
      </w:r>
      <w:r>
        <w:rPr>
          <w:b/>
          <w:bCs/>
          <w:spacing w:val="-1"/>
        </w:rPr>
        <w:t>t</w:t>
      </w:r>
      <w:r>
        <w:rPr>
          <w:b/>
          <w:bCs/>
        </w:rPr>
        <w:t>a</w:t>
      </w:r>
      <w:r>
        <w:rPr>
          <w:b/>
          <w:bCs/>
          <w:spacing w:val="-1"/>
        </w:rPr>
        <w:t>c</w:t>
      </w:r>
      <w:r>
        <w:rPr>
          <w:b/>
          <w:bCs/>
        </w:rPr>
        <w:t xml:space="preserve">t for more information: </w:t>
      </w:r>
      <w:r w:rsidRPr="00FC2741">
        <w:rPr>
          <w:b/>
          <w:bCs/>
        </w:rPr>
        <w:t>John Fagan</w:t>
      </w:r>
      <w:r>
        <w:rPr>
          <w:b/>
          <w:bCs/>
        </w:rPr>
        <w:t xml:space="preserve"> </w:t>
      </w:r>
      <w:r w:rsidRPr="00FC2741">
        <w:rPr>
          <w:b/>
          <w:bCs/>
        </w:rPr>
        <w:t xml:space="preserve">at </w:t>
      </w:r>
      <w:r>
        <w:rPr>
          <w:b/>
          <w:bCs/>
        </w:rPr>
        <w:t>503-</w:t>
      </w:r>
      <w:r w:rsidRPr="00FC2741">
        <w:rPr>
          <w:b/>
          <w:bCs/>
        </w:rPr>
        <w:t xml:space="preserve">986-5403 or </w:t>
      </w:r>
      <w:hyperlink r:id="rId47" w:history="1">
        <w:r w:rsidRPr="006D6778">
          <w:rPr>
            <w:rStyle w:val="Hyperlink"/>
            <w:b/>
            <w:bCs/>
            <w:color w:val="auto"/>
          </w:rPr>
          <w:t>john.c.fagan@state.or.us</w:t>
        </w:r>
      </w:hyperlink>
      <w:r w:rsidRPr="00FC2741">
        <w:rPr>
          <w:b/>
          <w:bCs/>
        </w:rPr>
        <w:t>.</w:t>
      </w:r>
      <w:bookmarkEnd w:id="84"/>
    </w:p>
    <w:p w14:paraId="1B5964D9" w14:textId="77777777" w:rsidR="00F80E94" w:rsidRPr="0030500A" w:rsidRDefault="00F80E94" w:rsidP="2E12E5CC">
      <w:pPr>
        <w:pStyle w:val="Heading3"/>
      </w:pPr>
      <w:bookmarkStart w:id="85" w:name="_Toc226108638"/>
      <w:bookmarkStart w:id="86" w:name="_Toc226981072"/>
      <w:bookmarkStart w:id="87" w:name="OLE_LINK12"/>
      <w:r w:rsidRPr="00C01981">
        <w:t>Oregon Government Ethics Commission</w:t>
      </w:r>
      <w:bookmarkEnd w:id="85"/>
      <w:bookmarkEnd w:id="86"/>
    </w:p>
    <w:p w14:paraId="4F7EA93B" w14:textId="77777777" w:rsidR="00F80E94" w:rsidRPr="00354BE4" w:rsidRDefault="00F80E94" w:rsidP="0030500A">
      <w:r w:rsidRPr="00354BE4">
        <w:t xml:space="preserve">The assessment for the Oregon Government Ethics Commission is apportioned among state agencies based on the number of </w:t>
      </w:r>
      <w:r>
        <w:rPr>
          <w:spacing w:val="-2"/>
        </w:rPr>
        <w:t>F</w:t>
      </w:r>
      <w:r>
        <w:t>ull-</w:t>
      </w:r>
      <w:r>
        <w:rPr>
          <w:spacing w:val="-1"/>
        </w:rPr>
        <w:t>T</w:t>
      </w:r>
      <w:r>
        <w:t xml:space="preserve">ime </w:t>
      </w:r>
      <w:r>
        <w:rPr>
          <w:spacing w:val="-1"/>
        </w:rPr>
        <w:t>E</w:t>
      </w:r>
      <w:r>
        <w:t>quiv</w:t>
      </w:r>
      <w:r>
        <w:rPr>
          <w:spacing w:val="-1"/>
        </w:rPr>
        <w:t>a</w:t>
      </w:r>
      <w:r>
        <w:t>l</w:t>
      </w:r>
      <w:r>
        <w:rPr>
          <w:spacing w:val="-1"/>
        </w:rPr>
        <w:t>e</w:t>
      </w:r>
      <w:r>
        <w:t>nt</w:t>
      </w:r>
      <w:r>
        <w:rPr>
          <w:spacing w:val="17"/>
        </w:rPr>
        <w:t xml:space="preserve"> </w:t>
      </w:r>
      <w:r>
        <w:rPr>
          <w:spacing w:val="-1"/>
        </w:rPr>
        <w:t>(</w:t>
      </w:r>
      <w:r>
        <w:rPr>
          <w:spacing w:val="-2"/>
        </w:rPr>
        <w:t>F</w:t>
      </w:r>
      <w:r>
        <w:rPr>
          <w:spacing w:val="2"/>
        </w:rPr>
        <w:t>T</w:t>
      </w:r>
      <w:r>
        <w:rPr>
          <w:spacing w:val="-1"/>
        </w:rPr>
        <w:t>E)</w:t>
      </w:r>
      <w:r w:rsidRPr="00354BE4">
        <w:t xml:space="preserve"> employees budgeted by the agency. Th</w:t>
      </w:r>
      <w:r>
        <w:t xml:space="preserve">e 2007 Legislature created the </w:t>
      </w:r>
      <w:r w:rsidRPr="00354BE4">
        <w:t>assessment.</w:t>
      </w:r>
    </w:p>
    <w:p w14:paraId="492F1273" w14:textId="77777777" w:rsidR="00F80E94" w:rsidRDefault="00F80E94" w:rsidP="0030500A">
      <w:r w:rsidRPr="00354BE4">
        <w:t xml:space="preserve">The total amount charged in the </w:t>
      </w:r>
      <w:r>
        <w:t xml:space="preserve">table </w:t>
      </w:r>
      <w:r w:rsidRPr="00354BE4">
        <w:t>below was calculated for the state agency share of the Oregon Government Ethics Commission’s budget. From this amount, 100</w:t>
      </w:r>
      <w:r>
        <w:t>%</w:t>
      </w:r>
      <w:r w:rsidRPr="00354BE4">
        <w:t xml:space="preserve"> of the total amount is based on </w:t>
      </w:r>
      <w:r>
        <w:rPr>
          <w:spacing w:val="-2"/>
        </w:rPr>
        <w:t>F</w:t>
      </w:r>
      <w:r>
        <w:t>ull-</w:t>
      </w:r>
      <w:r>
        <w:rPr>
          <w:spacing w:val="-1"/>
        </w:rPr>
        <w:t>T</w:t>
      </w:r>
      <w:r>
        <w:t xml:space="preserve">ime </w:t>
      </w:r>
      <w:r>
        <w:rPr>
          <w:spacing w:val="-1"/>
        </w:rPr>
        <w:t>E</w:t>
      </w:r>
      <w:r>
        <w:t>quiv</w:t>
      </w:r>
      <w:r>
        <w:rPr>
          <w:spacing w:val="-1"/>
        </w:rPr>
        <w:t>a</w:t>
      </w:r>
      <w:r>
        <w:t>l</w:t>
      </w:r>
      <w:r>
        <w:rPr>
          <w:spacing w:val="-1"/>
        </w:rPr>
        <w:t>e</w:t>
      </w:r>
      <w:r>
        <w:t>nt</w:t>
      </w:r>
      <w:r>
        <w:rPr>
          <w:spacing w:val="17"/>
        </w:rPr>
        <w:t xml:space="preserve"> </w:t>
      </w:r>
      <w:r>
        <w:rPr>
          <w:spacing w:val="-1"/>
        </w:rPr>
        <w:t>(</w:t>
      </w:r>
      <w:r>
        <w:rPr>
          <w:spacing w:val="-2"/>
        </w:rPr>
        <w:t>F</w:t>
      </w:r>
      <w:r>
        <w:rPr>
          <w:spacing w:val="2"/>
        </w:rPr>
        <w:t>T</w:t>
      </w:r>
      <w:r>
        <w:rPr>
          <w:spacing w:val="-1"/>
        </w:rPr>
        <w:t>E)</w:t>
      </w:r>
      <w:r w:rsidRPr="00354BE4">
        <w:t xml:space="preserve"> positions. The assessment will be subject to adjustments during the state budget process</w:t>
      </w:r>
      <w:r w:rsidRPr="0030500A">
        <w:t>. Reference OR Govt. Ethics</w:t>
      </w:r>
      <w:r w:rsidRPr="0030500A">
        <w:rPr>
          <w:iCs/>
        </w:rPr>
        <w:t xml:space="preserve"> Comm. (OGEC) in Appendix A.</w:t>
      </w:r>
      <w:r w:rsidRPr="00161290">
        <w:t xml:space="preserve"> </w:t>
      </w:r>
    </w:p>
    <w:bookmarkEnd w:id="87"/>
    <w:p w14:paraId="2DE3B3B3" w14:textId="77777777" w:rsidR="00F80E94" w:rsidRPr="00442E20" w:rsidRDefault="00F80E94" w:rsidP="0030500A">
      <w:pPr>
        <w:rPr>
          <w:b/>
        </w:rPr>
      </w:pPr>
      <w:r w:rsidRPr="00442E20">
        <w:rPr>
          <w:b/>
        </w:rPr>
        <w:t xml:space="preserve">Contact for more information: </w:t>
      </w:r>
      <w:r w:rsidRPr="00442E20">
        <w:rPr>
          <w:b/>
          <w:bCs/>
        </w:rPr>
        <w:t xml:space="preserve">Susan V. Myers, at 503-378-6808 or </w:t>
      </w:r>
      <w:hyperlink r:id="rId48" w:history="1">
        <w:r w:rsidRPr="00485AF0">
          <w:rPr>
            <w:rStyle w:val="Hyperlink"/>
            <w:b/>
            <w:bCs/>
            <w:color w:val="000000" w:themeColor="text1"/>
          </w:rPr>
          <w:t>Susan.Myers@ogec.oregon.gov</w:t>
        </w:r>
      </w:hyperlink>
      <w:r w:rsidRPr="00442E20">
        <w:rPr>
          <w:b/>
          <w:bCs/>
        </w:rPr>
        <w:t>.</w:t>
      </w:r>
    </w:p>
    <w:p w14:paraId="61AC2619" w14:textId="77777777" w:rsidR="004777F4" w:rsidRDefault="00F80E94" w:rsidP="0030500A">
      <w:pPr>
        <w:rPr>
          <w:b/>
          <w:bCs/>
        </w:rPr>
      </w:pPr>
      <w:r w:rsidRPr="00EF7E8B">
        <w:rPr>
          <w:b/>
          <w:bCs/>
        </w:rPr>
        <w:t xml:space="preserve">For questions about invoices, contact the DAS Accounts Receivable unit at </w:t>
      </w:r>
      <w:hyperlink r:id="rId49" w:history="1">
        <w:r w:rsidRPr="00485AF0">
          <w:rPr>
            <w:rStyle w:val="Hyperlink"/>
            <w:b/>
            <w:bCs/>
            <w:color w:val="000000" w:themeColor="text1"/>
          </w:rPr>
          <w:t>das.billing@das.oregon.gov</w:t>
        </w:r>
      </w:hyperlink>
      <w:r w:rsidRPr="00EF7E8B">
        <w:rPr>
          <w:b/>
          <w:bCs/>
        </w:rPr>
        <w:t>.</w:t>
      </w:r>
    </w:p>
    <w:p w14:paraId="08FD60A1" w14:textId="36A420CA" w:rsidR="00F80E94" w:rsidRPr="004777F4" w:rsidRDefault="00F80E94" w:rsidP="001C6B82">
      <w:pPr>
        <w:pStyle w:val="Heading3"/>
        <w:rPr>
          <w:bCs/>
        </w:rPr>
      </w:pPr>
      <w:bookmarkStart w:id="88" w:name="_Toc226108639"/>
      <w:bookmarkStart w:id="89" w:name="_Toc226981073"/>
      <w:r w:rsidRPr="004777F4">
        <w:lastRenderedPageBreak/>
        <w:t>Office of the Secretary of State</w:t>
      </w:r>
      <w:bookmarkEnd w:id="88"/>
      <w:bookmarkEnd w:id="89"/>
    </w:p>
    <w:p w14:paraId="7B70C006" w14:textId="77777777" w:rsidR="00F80E94" w:rsidRPr="0030500A" w:rsidRDefault="00F80E94" w:rsidP="001C6B82">
      <w:pPr>
        <w:pStyle w:val="Heading4"/>
      </w:pPr>
      <w:bookmarkStart w:id="90" w:name="_Toc226108640"/>
      <w:r w:rsidRPr="00334579">
        <w:t>Archives Division – Security Copy Depository</w:t>
      </w:r>
      <w:bookmarkEnd w:id="90"/>
    </w:p>
    <w:p w14:paraId="68C0CD47" w14:textId="22FBAB60" w:rsidR="00F80E94" w:rsidRPr="006934EA" w:rsidRDefault="00F80E94" w:rsidP="0030500A">
      <w:bookmarkStart w:id="91" w:name="_Hlk161211036"/>
      <w:r w:rsidRPr="006934EA">
        <w:t xml:space="preserve">The Archives Division operates the Security Copy Depository for the medium and long-term storage of public records on microfilm. Since microfilm is one of only two recognized media for long-term storage (the other is paper), the Archives Division provides for a secure and environmentally controlled storage facility for both state and local government microfilm. The microfilm must meet strict standards set forth by the American National Standards Institute (ANSI) and the Association for Information and Image Management (AIIM). These standards were adopted in whole by the Archives Division through the Administrative Rule process and are found in OAR 166-025. The Archives Division inspects every </w:t>
      </w:r>
      <w:proofErr w:type="gramStart"/>
      <w:r w:rsidRPr="006934EA">
        <w:t>roll</w:t>
      </w:r>
      <w:proofErr w:type="gramEnd"/>
      <w:r w:rsidRPr="006934EA">
        <w:t xml:space="preserve"> of film for compliance to the ANSI/AIIM standards before the film is placed in the environmentally controlled vault. In addition, the Archives Division monitors the environmental conditions of the vault as well as the condition of the reels to detect any signs of deterioration.</w:t>
      </w:r>
    </w:p>
    <w:p w14:paraId="7B8D78A5" w14:textId="49E48B38" w:rsidR="00F80E94" w:rsidRPr="006934EA" w:rsidRDefault="00F80E94" w:rsidP="0030500A">
      <w:r w:rsidRPr="006934EA">
        <w:t xml:space="preserve">The Archives Division began charging for microfilm in the 2009-11 biennium. In the first year of the program, the fee covered just the pro-rated share of the Archives Building rent for the area occupied by the Microfilm Storage area. Beginning in the 2011-2013 biennium, the fee was calculated to include not only the rent but the 1.0 full time employee (FTE) responsible for the program. The amount per reel is calculated by dividing the total program cost by the number of reels in storage to get a per reel rate. </w:t>
      </w:r>
    </w:p>
    <w:p w14:paraId="0E0DFB9B" w14:textId="6DE59380" w:rsidR="00F80E94" w:rsidRDefault="00F80E94" w:rsidP="0030500A">
      <w:pPr>
        <w:rPr>
          <w:i/>
        </w:rPr>
      </w:pPr>
      <w:r w:rsidRPr="00E07EAE">
        <w:t>For the 2027-29 biennium, the Microfilm Storage rate is $1.7655 per roll ($</w:t>
      </w:r>
      <w:r w:rsidR="0030500A">
        <w:t>0</w:t>
      </w:r>
      <w:r w:rsidRPr="00E07EAE">
        <w:t>.8828</w:t>
      </w:r>
      <w:r w:rsidR="0030500A">
        <w:t xml:space="preserve"> per </w:t>
      </w:r>
      <w:r w:rsidRPr="00E07EAE">
        <w:t>year). At the</w:t>
      </w:r>
      <w:r w:rsidRPr="006934EA">
        <w:t xml:space="preserve"> request of customers </w:t>
      </w:r>
      <w:proofErr w:type="gramStart"/>
      <w:r w:rsidRPr="006934EA">
        <w:t>storing</w:t>
      </w:r>
      <w:proofErr w:type="gramEnd"/>
      <w:r w:rsidRPr="006934EA">
        <w:t xml:space="preserve"> a small number of reels, a minimum charge was initiated in the 2011-13 biennium. For agencies storing 1-6 reels the minimum charge is $10 and for customers storing 7-13 reels the minimum charge is $20. Users of Security Copy Depository will be assessed based on their reel storage as of January 202</w:t>
      </w:r>
      <w:r>
        <w:t>6</w:t>
      </w:r>
      <w:r w:rsidRPr="006934EA">
        <w:t xml:space="preserve">. </w:t>
      </w:r>
      <w:bookmarkEnd w:id="91"/>
      <w:r w:rsidRPr="00F0615B">
        <w:rPr>
          <w:iCs/>
        </w:rPr>
        <w:t>Reference SOS Archives Security Copy Depository in Appendix A.</w:t>
      </w:r>
    </w:p>
    <w:p w14:paraId="497A2D45" w14:textId="77777777" w:rsidR="00F80E94" w:rsidRPr="00B17DE7" w:rsidRDefault="00F80E94" w:rsidP="0030500A">
      <w:pPr>
        <w:rPr>
          <w:b/>
          <w:bCs/>
        </w:rPr>
      </w:pPr>
      <w:bookmarkStart w:id="92" w:name="_Toc445792707"/>
      <w:r w:rsidRPr="00C40720">
        <w:rPr>
          <w:b/>
          <w:bCs/>
        </w:rPr>
        <w:t xml:space="preserve">Contact for more information: Michael Hickam at 503-986-2238 or </w:t>
      </w:r>
      <w:hyperlink r:id="rId50" w:history="1">
        <w:r w:rsidRPr="006D6778">
          <w:rPr>
            <w:rStyle w:val="Hyperlink"/>
            <w:b/>
            <w:bCs/>
            <w:color w:val="auto"/>
          </w:rPr>
          <w:t>michael.hickam@sos.oregon.gov</w:t>
        </w:r>
      </w:hyperlink>
      <w:r w:rsidRPr="00C40720">
        <w:rPr>
          <w:b/>
          <w:bCs/>
        </w:rPr>
        <w:t>.</w:t>
      </w:r>
      <w:r>
        <w:rPr>
          <w:b/>
          <w:bCs/>
        </w:rPr>
        <w:t xml:space="preserve"> </w:t>
      </w:r>
    </w:p>
    <w:p w14:paraId="6F27803D" w14:textId="77777777" w:rsidR="00F80E94" w:rsidRPr="00E16ED0" w:rsidRDefault="00F80E94" w:rsidP="001C6B82">
      <w:pPr>
        <w:pStyle w:val="Heading4"/>
      </w:pPr>
      <w:bookmarkStart w:id="93" w:name="_Toc226108641"/>
      <w:bookmarkEnd w:id="92"/>
      <w:r w:rsidRPr="00981783">
        <w:t>Archives Division – Records Center</w:t>
      </w:r>
      <w:bookmarkEnd w:id="93"/>
    </w:p>
    <w:p w14:paraId="596F8BA3" w14:textId="77777777" w:rsidR="00F80E94" w:rsidRPr="006934EA" w:rsidRDefault="00F80E94" w:rsidP="00E16ED0">
      <w:r w:rsidRPr="006934EA">
        <w:t>The Archives Division’s Records Center provides a central, secure, and properly managed storage and retrieval facility for inactive, non-permanent state records. The division began charging state agencies for use of the State Records Center during the 1995-97 biennium in response to growing demands on the General Fund. While the Records Center is operated by a central agency, the Archives Division determined that approximately 50 percent of the occupied space was that of primarily General Funded agencies. Therefore, the charge was developed to more equitably spread the funding burden across all fund types.</w:t>
      </w:r>
    </w:p>
    <w:p w14:paraId="274CC036" w14:textId="77777777" w:rsidR="00F80E94" w:rsidRPr="00945301" w:rsidRDefault="00F80E94" w:rsidP="00E16ED0">
      <w:pPr>
        <w:rPr>
          <w:i/>
        </w:rPr>
      </w:pPr>
      <w:r w:rsidRPr="006934EA">
        <w:lastRenderedPageBreak/>
        <w:t xml:space="preserve">The Archives Division developed the </w:t>
      </w:r>
      <w:r>
        <w:t xml:space="preserve">2027-29 </w:t>
      </w:r>
      <w:r w:rsidRPr="006934EA">
        <w:t xml:space="preserve">projected budget for the Records Center allowing </w:t>
      </w:r>
      <w:proofErr w:type="gramStart"/>
      <w:r w:rsidRPr="006934EA">
        <w:t>only for</w:t>
      </w:r>
      <w:proofErr w:type="gramEnd"/>
      <w:r w:rsidRPr="006934EA">
        <w:t xml:space="preserve"> rent, utilities, office supplies, janitorial services, and </w:t>
      </w:r>
      <w:r>
        <w:t>3</w:t>
      </w:r>
      <w:r w:rsidRPr="006934EA">
        <w:t xml:space="preserve"> equivalent FTE that perform records maintenance tasks. Service will remain at its current level through the 202</w:t>
      </w:r>
      <w:r>
        <w:t>7</w:t>
      </w:r>
      <w:r w:rsidRPr="006934EA">
        <w:t>-2</w:t>
      </w:r>
      <w:r>
        <w:t>9</w:t>
      </w:r>
      <w:r w:rsidRPr="006934EA">
        <w:t xml:space="preserve"> biennium. The charge of $</w:t>
      </w:r>
      <w:r>
        <w:t>44.574</w:t>
      </w:r>
      <w:r w:rsidRPr="006934EA">
        <w:t xml:space="preserve"> per cubic foot per biennium is based on the projected </w:t>
      </w:r>
      <w:proofErr w:type="gramStart"/>
      <w:r w:rsidRPr="006934EA">
        <w:t>expenditures</w:t>
      </w:r>
      <w:proofErr w:type="gramEnd"/>
      <w:r w:rsidRPr="006934EA">
        <w:t xml:space="preserve"> for the Records Center divided by the estimated occupancy rate (83,</w:t>
      </w:r>
      <w:r>
        <w:t>027</w:t>
      </w:r>
      <w:r w:rsidRPr="006934EA">
        <w:t xml:space="preserve"> cubic feet). Users of this facility will be assessed based on the cubic feet of occupancy as of January 202</w:t>
      </w:r>
      <w:r>
        <w:t>6</w:t>
      </w:r>
      <w:r w:rsidRPr="006934EA">
        <w:t xml:space="preserve">. </w:t>
      </w:r>
      <w:r w:rsidRPr="00E16ED0">
        <w:rPr>
          <w:iCs/>
        </w:rPr>
        <w:t>Reference SOS Archives Records Center in Appendix A.</w:t>
      </w:r>
    </w:p>
    <w:p w14:paraId="50522065" w14:textId="15E73CD6" w:rsidR="00F80E94" w:rsidRPr="00B17DE7" w:rsidRDefault="00F80E94" w:rsidP="00E16ED0">
      <w:pPr>
        <w:rPr>
          <w:b/>
          <w:bCs/>
        </w:rPr>
      </w:pPr>
      <w:r w:rsidRPr="00C40720">
        <w:rPr>
          <w:b/>
          <w:bCs/>
        </w:rPr>
        <w:t xml:space="preserve">Contact for more information: Michael Hickam at 503-986-2238 or </w:t>
      </w:r>
      <w:hyperlink r:id="rId51" w:history="1">
        <w:r w:rsidRPr="006D6778">
          <w:rPr>
            <w:rStyle w:val="Hyperlink"/>
            <w:b/>
            <w:bCs/>
            <w:color w:val="auto"/>
          </w:rPr>
          <w:t>michael.hickam@sos.oregon.gov</w:t>
        </w:r>
      </w:hyperlink>
      <w:r w:rsidRPr="00C40720">
        <w:rPr>
          <w:b/>
          <w:bCs/>
        </w:rPr>
        <w:t>.</w:t>
      </w:r>
    </w:p>
    <w:p w14:paraId="2D700359" w14:textId="324BE061" w:rsidR="00F80E94" w:rsidRPr="00E16ED0" w:rsidRDefault="00F80E94" w:rsidP="001C6B82">
      <w:pPr>
        <w:pStyle w:val="Heading4"/>
      </w:pPr>
      <w:bookmarkStart w:id="94" w:name="_Toc226108642"/>
      <w:r w:rsidRPr="004777F4">
        <w:t>Archives Division - Archives and Records Management</w:t>
      </w:r>
      <w:bookmarkEnd w:id="94"/>
    </w:p>
    <w:p w14:paraId="3D3D3557" w14:textId="77777777" w:rsidR="00F80E94" w:rsidRPr="006934EA" w:rsidRDefault="00F80E94" w:rsidP="00E16ED0">
      <w:r w:rsidRPr="006934EA">
        <w:t>The Archives Division was established in 1945 to house and provide access to the permanently valuable records of Oregon government and to authorize the disposition of public records from all of Oregon’s governmental entities. The Archives Division serves as the state’s information broker and information manager striving to make as much government information available to the public. In addition, the Division works with every state agency and local governments to help them manage information, regardless of its format, from creation until final disposition, helping to ensure the citizens of Oregon that their government is open and accountable.</w:t>
      </w:r>
    </w:p>
    <w:p w14:paraId="7034136F" w14:textId="77777777" w:rsidR="00F80E94" w:rsidRPr="006934EA" w:rsidRDefault="00F80E94" w:rsidP="00E16ED0">
      <w:r w:rsidRPr="006934EA">
        <w:t xml:space="preserve">Beginning with the 2021–23 biennium, management of the Oregon Administrative Rules is overseen by the Archives and Records Management program for state and local government assessment. The Publications Unit was funded through the sales of the printed annual compilation and subscriptions to the printed monthly Oregon Bulletin. As of 2018, the Oregon Bulletin is no longer printed, and subscriptions are no longer sold. The compilation </w:t>
      </w:r>
      <w:proofErr w:type="gramStart"/>
      <w:r w:rsidRPr="006934EA">
        <w:t>is also</w:t>
      </w:r>
      <w:proofErr w:type="gramEnd"/>
      <w:r w:rsidRPr="006934EA">
        <w:t xml:space="preserve"> no longer being printed and sold and is now available on-line, free of charge, and can be printed from the online database. The management of the website and its data contents is now overseen by the Archives and Records Management program staff, and a separate Administrative Rules assessment is no longer calculable.</w:t>
      </w:r>
    </w:p>
    <w:p w14:paraId="18DA7872" w14:textId="77777777" w:rsidR="00F80E94" w:rsidRDefault="00F80E94" w:rsidP="00E16ED0">
      <w:pPr>
        <w:rPr>
          <w:i/>
        </w:rPr>
      </w:pPr>
      <w:r w:rsidRPr="006934EA">
        <w:t xml:space="preserve">The Archives and Records Management Assessment is based on </w:t>
      </w:r>
      <w:proofErr w:type="gramStart"/>
      <w:r w:rsidRPr="006934EA">
        <w:t>a state</w:t>
      </w:r>
      <w:proofErr w:type="gramEnd"/>
      <w:r w:rsidRPr="006934EA">
        <w:t xml:space="preserve"> agency’s, local governments, boards, and council’s 202</w:t>
      </w:r>
      <w:r>
        <w:t>5</w:t>
      </w:r>
      <w:r w:rsidRPr="006934EA">
        <w:t>-2</w:t>
      </w:r>
      <w:r>
        <w:t>7</w:t>
      </w:r>
      <w:r w:rsidRPr="006934EA">
        <w:t xml:space="preserve"> FTE which we determined to be the most equitable and efficient way to calculate costs. A minimum charge of $300 will be assessed. Program service costs include those associated to physical and data storage; trainings that are either agency specific (related to retention schedules or a particular problem that the agency is having) or topically in which a number of agencies attend different sessions (i.e. public records law, basics of records management, etc.); inventorying and writing agency records retention schedules, evaluations of agency records programs, reviewing of agency policies, etc.  The formula used to determine costs is determined by adding the current number of Archives Other Fund positions plus </w:t>
      </w:r>
      <w:r w:rsidRPr="006934EA">
        <w:lastRenderedPageBreak/>
        <w:t>operating costs and dividing that by the total number of customer FTE to get a per FTE rate.</w:t>
      </w:r>
      <w:r w:rsidRPr="00E10F86">
        <w:t xml:space="preserve"> </w:t>
      </w:r>
      <w:r w:rsidRPr="00E16ED0">
        <w:rPr>
          <w:iCs/>
        </w:rPr>
        <w:t>Reference SOS Archives &amp; Records Mgmt. in Appendix A.</w:t>
      </w:r>
    </w:p>
    <w:p w14:paraId="104B6F47" w14:textId="77777777" w:rsidR="00F80E94" w:rsidRPr="00193BF4" w:rsidRDefault="00F80E94" w:rsidP="00E16ED0">
      <w:pPr>
        <w:rPr>
          <w:b/>
          <w:bCs/>
          <w:iCs/>
        </w:rPr>
      </w:pPr>
      <w:r w:rsidRPr="00193BF4">
        <w:rPr>
          <w:b/>
          <w:bCs/>
          <w:iCs/>
        </w:rPr>
        <w:t xml:space="preserve">Contact for more information: Michael Hickam at 503-986-2238 or </w:t>
      </w:r>
      <w:hyperlink r:id="rId52" w:history="1">
        <w:r w:rsidRPr="006D6778">
          <w:rPr>
            <w:rStyle w:val="Hyperlink"/>
            <w:b/>
            <w:bCs/>
            <w:iCs/>
            <w:color w:val="auto"/>
          </w:rPr>
          <w:t>michael.hickam@sos.oregon.gov</w:t>
        </w:r>
      </w:hyperlink>
      <w:r w:rsidRPr="00193BF4">
        <w:rPr>
          <w:b/>
          <w:bCs/>
          <w:iCs/>
        </w:rPr>
        <w:t xml:space="preserve">. </w:t>
      </w:r>
    </w:p>
    <w:p w14:paraId="38F8C3AC" w14:textId="77777777" w:rsidR="00F80E94" w:rsidRPr="00E16ED0" w:rsidRDefault="00F80E94" w:rsidP="001C6B82">
      <w:pPr>
        <w:pStyle w:val="Heading4"/>
      </w:pPr>
      <w:bookmarkStart w:id="95" w:name="_Toc226108643"/>
      <w:bookmarkStart w:id="96" w:name="OLE_LINK13"/>
      <w:r w:rsidRPr="00356500">
        <w:t>Audits Division</w:t>
      </w:r>
      <w:bookmarkEnd w:id="95"/>
    </w:p>
    <w:p w14:paraId="3A775EE6" w14:textId="77777777" w:rsidR="00F80E94" w:rsidRDefault="00F80E94" w:rsidP="00E16ED0">
      <w:pPr>
        <w:rPr>
          <w:i/>
        </w:rPr>
      </w:pPr>
      <w:r w:rsidRPr="006934EA">
        <w:t>Most of the Audits Division’s audit costs are biennially allocated to state agencies based on an agency’s pro rata share of four risk factors: expenditures, full-time equivalent positions, revenues, and cash. The Audits Division bills trust fund agencies and agencies with constitutionally dedicated funds directly for audit costs based on time spent in the agencies. For the 202</w:t>
      </w:r>
      <w:r>
        <w:t>7</w:t>
      </w:r>
      <w:r w:rsidRPr="006934EA">
        <w:t>-2</w:t>
      </w:r>
      <w:r>
        <w:t>9</w:t>
      </w:r>
      <w:r w:rsidRPr="006934EA">
        <w:t xml:space="preserve"> biennial allocated audit costs, risk factors were based on audited financial information contained in the Annual Comprehensive Financial Report for the fiscal year ended June 30, 202</w:t>
      </w:r>
      <w:r>
        <w:t>5</w:t>
      </w:r>
      <w:r w:rsidRPr="006934EA">
        <w:t>. To comply with Federal Uniform Guidance, 2 CFR Part 200.425, the billings for agencies receiving federal funds include a breakdown of amounts allowed to be paid for with federal funds. All other charges must be paid with other appropriations (Other Fund, General Fund, or Lottery Funds).</w:t>
      </w:r>
      <w:r w:rsidRPr="0057196E">
        <w:t xml:space="preserve"> </w:t>
      </w:r>
      <w:r w:rsidRPr="00E16ED0">
        <w:rPr>
          <w:iCs/>
        </w:rPr>
        <w:t>Reference SOS Audits in Appendix A.</w:t>
      </w:r>
    </w:p>
    <w:bookmarkEnd w:id="96"/>
    <w:p w14:paraId="108066FD" w14:textId="77777777" w:rsidR="00F80E94" w:rsidRPr="00B17DE7" w:rsidRDefault="00F80E94" w:rsidP="00E16ED0">
      <w:pPr>
        <w:rPr>
          <w:b/>
          <w:bCs/>
        </w:rPr>
      </w:pPr>
      <w:r w:rsidRPr="00B17DE7">
        <w:rPr>
          <w:b/>
          <w:bCs/>
        </w:rPr>
        <w:t xml:space="preserve">Contact for more information: </w:t>
      </w:r>
      <w:r>
        <w:rPr>
          <w:b/>
          <w:bCs/>
        </w:rPr>
        <w:t>Michael Hickam</w:t>
      </w:r>
      <w:r w:rsidRPr="00B17DE7">
        <w:rPr>
          <w:b/>
          <w:bCs/>
        </w:rPr>
        <w:t xml:space="preserve"> at 503-986-223</w:t>
      </w:r>
      <w:r>
        <w:rPr>
          <w:b/>
          <w:bCs/>
        </w:rPr>
        <w:t>8</w:t>
      </w:r>
      <w:r w:rsidRPr="00B17DE7">
        <w:rPr>
          <w:b/>
          <w:bCs/>
        </w:rPr>
        <w:t xml:space="preserve"> or </w:t>
      </w:r>
      <w:hyperlink r:id="rId53" w:history="1">
        <w:r w:rsidRPr="00321A2D">
          <w:rPr>
            <w:rStyle w:val="Hyperlink"/>
            <w:b/>
            <w:bCs/>
            <w:color w:val="000000" w:themeColor="text1"/>
          </w:rPr>
          <w:t>michael.hickam@sos.oregon.gov</w:t>
        </w:r>
      </w:hyperlink>
      <w:r w:rsidRPr="00B17DE7">
        <w:rPr>
          <w:b/>
          <w:bCs/>
        </w:rPr>
        <w:t>.</w:t>
      </w:r>
    </w:p>
    <w:p w14:paraId="28FBABB0" w14:textId="77777777" w:rsidR="00F80E94" w:rsidRPr="00E16ED0" w:rsidRDefault="00F80E94" w:rsidP="001C6B82">
      <w:pPr>
        <w:pStyle w:val="Heading3"/>
      </w:pPr>
      <w:bookmarkStart w:id="97" w:name="_Toc226108644"/>
      <w:bookmarkStart w:id="98" w:name="_Toc226981074"/>
      <w:r w:rsidRPr="00356500">
        <w:t>Oregon State Treasury</w:t>
      </w:r>
      <w:bookmarkEnd w:id="97"/>
      <w:bookmarkEnd w:id="98"/>
    </w:p>
    <w:p w14:paraId="59F6461E" w14:textId="77777777" w:rsidR="00F80E94" w:rsidRPr="00E16ED0" w:rsidRDefault="00F80E94" w:rsidP="001C6B82">
      <w:pPr>
        <w:pStyle w:val="Heading4"/>
      </w:pPr>
      <w:bookmarkStart w:id="99" w:name="_Toc226108645"/>
      <w:r w:rsidRPr="00356500">
        <w:t>Banking Services</w:t>
      </w:r>
      <w:bookmarkEnd w:id="99"/>
    </w:p>
    <w:p w14:paraId="57ECDC2A" w14:textId="77777777" w:rsidR="00F80E94" w:rsidRPr="009A3E7F" w:rsidRDefault="00F80E94" w:rsidP="00E16ED0">
      <w:r w:rsidRPr="009A3E7F">
        <w:t>Agencies should use the following estimates when projecting their 202</w:t>
      </w:r>
      <w:r>
        <w:t>7</w:t>
      </w:r>
      <w:r w:rsidRPr="009A3E7F">
        <w:t>-2</w:t>
      </w:r>
      <w:r>
        <w:t>9</w:t>
      </w:r>
      <w:r w:rsidRPr="009A3E7F">
        <w:t xml:space="preserve"> Banking Services costs. Note that the fees listed below do not include fees charged directly to agencies by our banking partners for services such as Lockbox, Onsite Electronic Deposit (OED), and Merchant Card acceptance. Agencies should confirm that they have adequately accounted for these costs to the extent they apply.</w:t>
      </w:r>
    </w:p>
    <w:p w14:paraId="34C72D59" w14:textId="77777777" w:rsidR="00F80E94" w:rsidRPr="009A3E7F" w:rsidRDefault="00F80E94" w:rsidP="00E16ED0">
      <w:r w:rsidRPr="009A3E7F">
        <w:t xml:space="preserve">Originated </w:t>
      </w:r>
      <w:r>
        <w:t>i</w:t>
      </w:r>
      <w:r w:rsidRPr="009A3E7F">
        <w:t xml:space="preserve">nternational ACH </w:t>
      </w:r>
      <w:r>
        <w:t>t</w:t>
      </w:r>
      <w:r w:rsidRPr="009A3E7F">
        <w:t>ransaction</w:t>
      </w:r>
      <w:r>
        <w:t>s</w:t>
      </w:r>
      <w:r w:rsidRPr="009A3E7F">
        <w:t xml:space="preserve"> </w:t>
      </w:r>
      <w:r>
        <w:t xml:space="preserve">are currently charged as originated </w:t>
      </w:r>
      <w:r w:rsidRPr="00017C54">
        <w:rPr>
          <w:i/>
          <w:iCs/>
        </w:rPr>
        <w:t>domestic</w:t>
      </w:r>
      <w:r>
        <w:t xml:space="preserve"> ACH transactions (subject to change).</w:t>
      </w:r>
    </w:p>
    <w:p w14:paraId="3E69ED85" w14:textId="77777777" w:rsidR="00E16ED0" w:rsidRDefault="00F80E94" w:rsidP="00E16ED0">
      <w:r w:rsidRPr="009A3E7F">
        <w:t>Note that Banking Services costs are subject to change because of any changes to Treasury’s costs, including because of a variety of in-progress cash management projects and vendor transition efforts. As project implementations and charge methodology review continues, Treasury will work with DAS, the Legislative Fiscal Office, and stakeholders regarding any need for ongoing changes including the impact of any such changes to agency budgets.</w:t>
      </w:r>
    </w:p>
    <w:p w14:paraId="62195F48" w14:textId="217C738F" w:rsidR="00F80E94" w:rsidRDefault="00F80E94" w:rsidP="00F80E94">
      <w:pPr>
        <w:ind w:right="18"/>
      </w:pPr>
      <w:r w:rsidRPr="00E07EAE">
        <w:rPr>
          <w:noProof/>
        </w:rPr>
        <w:lastRenderedPageBreak/>
        <w:drawing>
          <wp:inline distT="0" distB="0" distL="0" distR="0" wp14:anchorId="02797742" wp14:editId="1B5AD6BE">
            <wp:extent cx="6126480" cy="7510145"/>
            <wp:effectExtent l="0" t="0" r="7620" b="0"/>
            <wp:docPr id="646233820" name="Picture 10" descr="Oregon State Treasury banking services co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33820" name="Picture 10" descr="Oregon State Treasury banking services costs.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6480" cy="7510145"/>
                    </a:xfrm>
                    <a:prstGeom prst="rect">
                      <a:avLst/>
                    </a:prstGeom>
                    <a:noFill/>
                    <a:ln>
                      <a:noFill/>
                    </a:ln>
                  </pic:spPr>
                </pic:pic>
              </a:graphicData>
            </a:graphic>
          </wp:inline>
        </w:drawing>
      </w:r>
      <w:r>
        <w:br w:type="page"/>
      </w:r>
    </w:p>
    <w:p w14:paraId="02693589" w14:textId="77777777" w:rsidR="00F80E94" w:rsidRPr="00E16ED0" w:rsidRDefault="00F80E94" w:rsidP="001C6B82">
      <w:pPr>
        <w:pStyle w:val="Heading4"/>
      </w:pPr>
      <w:bookmarkStart w:id="100" w:name="_Toc226108646"/>
      <w:r w:rsidRPr="00B04AE3">
        <w:lastRenderedPageBreak/>
        <w:t>Debt Management Services</w:t>
      </w:r>
      <w:bookmarkEnd w:id="100"/>
    </w:p>
    <w:p w14:paraId="19377D39" w14:textId="77777777" w:rsidR="00F80E94" w:rsidRPr="00E07EAE" w:rsidRDefault="00F80E94" w:rsidP="00E16ED0">
      <w:pPr>
        <w:rPr>
          <w:i/>
        </w:rPr>
      </w:pPr>
      <w:r w:rsidRPr="00DC70E3">
        <w:t xml:space="preserve">The table below provides the projected cost for centralized debt management services. These costs are subject to change because of changes in Oregon State Treasury’s costs and may be reduced by </w:t>
      </w:r>
      <w:r w:rsidRPr="00E07EAE">
        <w:t xml:space="preserve">fees collected for debt management services, in accordance with ORS 286A.014. In the past, Oregon State Treasury has worked with the Legislative Fiscal Office to adjust budgeted debt management costs to agencies according to the most up to date state outstanding debt percentages, and it is expected this process will be repeated for 2027-29. </w:t>
      </w:r>
      <w:r w:rsidRPr="00E16ED0">
        <w:rPr>
          <w:iCs/>
        </w:rPr>
        <w:t>Reference Treasury General Obligation Bonds, Treasury Article XI-F Bonds, Treasury Article XI-Q Bonds, Treasury Revenue Bonds, Treasury Lottery Revenue Bonds, and Treasury COP in Appendix A.</w:t>
      </w:r>
    </w:p>
    <w:p w14:paraId="00CBACE2" w14:textId="77777777" w:rsidR="00F80E94" w:rsidRPr="00E07EAE" w:rsidRDefault="00F80E94" w:rsidP="00F80E94">
      <w:pPr>
        <w:spacing w:after="0"/>
        <w:ind w:right="18"/>
      </w:pPr>
    </w:p>
    <w:p w14:paraId="20B414EC" w14:textId="77777777" w:rsidR="00F80E94" w:rsidRPr="00E07EAE" w:rsidRDefault="00F80E94" w:rsidP="00F80E94">
      <w:pPr>
        <w:spacing w:after="0"/>
        <w:ind w:right="18"/>
      </w:pPr>
      <w:r w:rsidRPr="00E07EAE">
        <w:rPr>
          <w:noProof/>
        </w:rPr>
        <w:drawing>
          <wp:inline distT="0" distB="0" distL="0" distR="0" wp14:anchorId="35D96817" wp14:editId="1832C5A8">
            <wp:extent cx="6126480" cy="4387215"/>
            <wp:effectExtent l="0" t="0" r="7620" b="0"/>
            <wp:docPr id="816211161" name="Picture 11" descr="The table below provides the projected cost for centralized debt management services for Oregon State Treasu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11161" name="Picture 11" descr="The table below provides the projected cost for centralized debt management services for Oregon State Treasury.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6480" cy="4387215"/>
                    </a:xfrm>
                    <a:prstGeom prst="rect">
                      <a:avLst/>
                    </a:prstGeom>
                    <a:noFill/>
                    <a:ln>
                      <a:noFill/>
                    </a:ln>
                  </pic:spPr>
                </pic:pic>
              </a:graphicData>
            </a:graphic>
          </wp:inline>
        </w:drawing>
      </w:r>
    </w:p>
    <w:p w14:paraId="37936BC4" w14:textId="77777777" w:rsidR="00F80E94" w:rsidRPr="00E07EAE" w:rsidRDefault="00F80E94" w:rsidP="00F80E94">
      <w:pPr>
        <w:spacing w:after="0" w:line="240" w:lineRule="auto"/>
        <w:ind w:right="18"/>
      </w:pPr>
    </w:p>
    <w:p w14:paraId="2D9A0EDD" w14:textId="77777777" w:rsidR="00F80E94" w:rsidRPr="00E07EAE" w:rsidRDefault="00F80E94" w:rsidP="00F80E94">
      <w:pPr>
        <w:spacing w:after="0" w:line="240" w:lineRule="auto"/>
        <w:ind w:right="18"/>
      </w:pPr>
    </w:p>
    <w:p w14:paraId="0A390F8D" w14:textId="77777777" w:rsidR="00F80E94" w:rsidRPr="00E07EAE" w:rsidRDefault="00F80E94" w:rsidP="00F80E94">
      <w:pPr>
        <w:spacing w:after="0" w:line="240" w:lineRule="auto"/>
        <w:ind w:right="18"/>
      </w:pPr>
      <w:r w:rsidRPr="00E07EAE">
        <w:br w:type="page"/>
      </w:r>
    </w:p>
    <w:p w14:paraId="4A1650D7" w14:textId="77777777" w:rsidR="00F80E94" w:rsidRPr="00E07EAE" w:rsidRDefault="00F80E94" w:rsidP="00F80E94">
      <w:pPr>
        <w:spacing w:after="0" w:line="240" w:lineRule="auto"/>
        <w:ind w:right="18"/>
        <w:jc w:val="center"/>
      </w:pPr>
      <w:r w:rsidRPr="00E07EAE">
        <w:rPr>
          <w:noProof/>
        </w:rPr>
        <w:lastRenderedPageBreak/>
        <w:drawing>
          <wp:inline distT="0" distB="0" distL="0" distR="0" wp14:anchorId="3A1EB637" wp14:editId="7BB83FD2">
            <wp:extent cx="6126480" cy="624840"/>
            <wp:effectExtent l="0" t="0" r="7620" b="3810"/>
            <wp:docPr id="231978623" name="Picture 15" descr="A picture of a table is shown and provides projected cost for centralized debt managment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78623" name="Picture 15" descr="A picture of a table is shown and provides projected cost for centralized debt managment service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50071" cy="627246"/>
                    </a:xfrm>
                    <a:prstGeom prst="rect">
                      <a:avLst/>
                    </a:prstGeom>
                    <a:noFill/>
                    <a:ln>
                      <a:noFill/>
                    </a:ln>
                  </pic:spPr>
                </pic:pic>
              </a:graphicData>
            </a:graphic>
          </wp:inline>
        </w:drawing>
      </w:r>
    </w:p>
    <w:p w14:paraId="55281FEC" w14:textId="77777777" w:rsidR="00F80E94" w:rsidRDefault="00F80E94" w:rsidP="00F80E94">
      <w:pPr>
        <w:spacing w:after="0" w:line="240" w:lineRule="auto"/>
        <w:ind w:right="18"/>
        <w:jc w:val="center"/>
      </w:pPr>
      <w:r w:rsidRPr="00E07EAE">
        <w:rPr>
          <w:noProof/>
        </w:rPr>
        <w:drawing>
          <wp:inline distT="0" distB="0" distL="0" distR="0" wp14:anchorId="2CC2FF10" wp14:editId="14689725">
            <wp:extent cx="6126480" cy="6141720"/>
            <wp:effectExtent l="0" t="0" r="7620" b="0"/>
            <wp:docPr id="1889595232" name="Picture 14" descr="The table below provides the projected cost for centralized debt management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95232" name="Picture 14" descr="The table below provides the projected cost for centralized debt management service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6480" cy="6141720"/>
                    </a:xfrm>
                    <a:prstGeom prst="rect">
                      <a:avLst/>
                    </a:prstGeom>
                    <a:noFill/>
                    <a:ln>
                      <a:noFill/>
                    </a:ln>
                  </pic:spPr>
                </pic:pic>
              </a:graphicData>
            </a:graphic>
          </wp:inline>
        </w:drawing>
      </w:r>
    </w:p>
    <w:p w14:paraId="7F5D7613" w14:textId="77777777" w:rsidR="00F80E94" w:rsidRDefault="00F80E94" w:rsidP="00F80E94">
      <w:pPr>
        <w:spacing w:after="0" w:line="240" w:lineRule="auto"/>
        <w:ind w:right="18"/>
        <w:jc w:val="center"/>
      </w:pPr>
    </w:p>
    <w:p w14:paraId="3F87B2D6" w14:textId="77777777" w:rsidR="00F80E94" w:rsidRDefault="00F80E94" w:rsidP="00F80E94">
      <w:pPr>
        <w:spacing w:after="0" w:line="240" w:lineRule="auto"/>
        <w:ind w:right="18"/>
      </w:pPr>
    </w:p>
    <w:p w14:paraId="205739E6" w14:textId="77777777" w:rsidR="006D6778" w:rsidRDefault="006D6778" w:rsidP="00F80E94">
      <w:pPr>
        <w:spacing w:after="0" w:line="240" w:lineRule="auto"/>
        <w:ind w:right="18"/>
      </w:pPr>
    </w:p>
    <w:p w14:paraId="4EEC4481" w14:textId="77777777" w:rsidR="006D6778" w:rsidRDefault="006D6778" w:rsidP="00F80E94">
      <w:pPr>
        <w:spacing w:after="0" w:line="240" w:lineRule="auto"/>
        <w:ind w:right="18"/>
      </w:pPr>
    </w:p>
    <w:p w14:paraId="53E48000" w14:textId="77777777" w:rsidR="00F80E94" w:rsidRDefault="00F80E94" w:rsidP="00F80E94">
      <w:pPr>
        <w:spacing w:after="0" w:line="240" w:lineRule="auto"/>
        <w:ind w:right="18"/>
      </w:pPr>
    </w:p>
    <w:p w14:paraId="000F6C0D" w14:textId="77777777" w:rsidR="00F80E94" w:rsidRPr="00E07EAE" w:rsidRDefault="00F80E94" w:rsidP="00F80E94">
      <w:pPr>
        <w:spacing w:after="0" w:line="240" w:lineRule="auto"/>
        <w:ind w:right="18"/>
      </w:pPr>
      <w:r w:rsidRPr="00E07EAE">
        <w:rPr>
          <w:noProof/>
        </w:rPr>
        <w:lastRenderedPageBreak/>
        <w:drawing>
          <wp:inline distT="0" distB="0" distL="0" distR="0" wp14:anchorId="10022B5C" wp14:editId="4B909D9D">
            <wp:extent cx="6126480" cy="683895"/>
            <wp:effectExtent l="0" t="0" r="7620" b="1905"/>
            <wp:docPr id="2077289607" name="Picture 16" descr="The table below provides the projected cost for centralized debt management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89607" name="Picture 16" descr="The table below provides the projected cost for centralized debt management service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6480" cy="683895"/>
                    </a:xfrm>
                    <a:prstGeom prst="rect">
                      <a:avLst/>
                    </a:prstGeom>
                    <a:noFill/>
                    <a:ln>
                      <a:noFill/>
                    </a:ln>
                  </pic:spPr>
                </pic:pic>
              </a:graphicData>
            </a:graphic>
          </wp:inline>
        </w:drawing>
      </w:r>
    </w:p>
    <w:p w14:paraId="6AB0DF59" w14:textId="77777777" w:rsidR="00F80E94" w:rsidRPr="00E07EAE" w:rsidRDefault="00F80E94" w:rsidP="00F80E94">
      <w:pPr>
        <w:spacing w:after="0" w:line="240" w:lineRule="auto"/>
        <w:ind w:right="18"/>
        <w:jc w:val="center"/>
      </w:pPr>
      <w:r w:rsidRPr="00E07EAE">
        <w:rPr>
          <w:noProof/>
        </w:rPr>
        <w:drawing>
          <wp:inline distT="0" distB="0" distL="0" distR="0" wp14:anchorId="23BD0BD0" wp14:editId="345106CA">
            <wp:extent cx="6126480" cy="3528695"/>
            <wp:effectExtent l="0" t="0" r="7620" b="0"/>
            <wp:docPr id="1802077029" name="Picture 17" descr="The table below provides the projected cost for centralized debt management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77029" name="Picture 17" descr="The table below provides the projected cost for centralized debt management services."/>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6480" cy="3528695"/>
                    </a:xfrm>
                    <a:prstGeom prst="rect">
                      <a:avLst/>
                    </a:prstGeom>
                    <a:noFill/>
                    <a:ln>
                      <a:noFill/>
                    </a:ln>
                  </pic:spPr>
                </pic:pic>
              </a:graphicData>
            </a:graphic>
          </wp:inline>
        </w:drawing>
      </w:r>
    </w:p>
    <w:p w14:paraId="1E75551E" w14:textId="77777777" w:rsidR="00F80E94" w:rsidRPr="00E07EAE" w:rsidRDefault="00F80E94" w:rsidP="00F80E94">
      <w:pPr>
        <w:spacing w:after="0" w:line="240" w:lineRule="auto"/>
        <w:ind w:right="18"/>
      </w:pPr>
    </w:p>
    <w:p w14:paraId="164F23B6" w14:textId="77777777" w:rsidR="00F80E94" w:rsidRPr="00E07EAE" w:rsidRDefault="00F80E94" w:rsidP="00E16ED0">
      <w:pPr>
        <w:rPr>
          <w:rStyle w:val="Heading2Char"/>
          <w:rFonts w:ascii="Roboto" w:eastAsia="Cambria" w:hAnsi="Roboto"/>
          <w:b w:val="0"/>
          <w:caps/>
          <w:sz w:val="20"/>
        </w:rPr>
      </w:pPr>
      <w:r w:rsidRPr="00E07EAE">
        <w:t>Contact for more information: Matt Smith at 503-378-3562 or</w:t>
      </w:r>
      <w:r w:rsidRPr="00E07EAE">
        <w:rPr>
          <w:color w:val="000000" w:themeColor="text1"/>
        </w:rPr>
        <w:t xml:space="preserve"> </w:t>
      </w:r>
      <w:hyperlink r:id="rId60" w:history="1">
        <w:r w:rsidRPr="00E07EAE">
          <w:rPr>
            <w:rStyle w:val="Hyperlink"/>
            <w:b/>
            <w:bCs/>
            <w:color w:val="000000" w:themeColor="text1"/>
          </w:rPr>
          <w:t>matthew.smith@ost.state.or.us</w:t>
        </w:r>
      </w:hyperlink>
      <w:r w:rsidRPr="00E07EAE">
        <w:t>.</w:t>
      </w:r>
    </w:p>
    <w:p w14:paraId="7519BF5A" w14:textId="77777777" w:rsidR="00F80E94" w:rsidRPr="00A23876" w:rsidRDefault="00F80E94" w:rsidP="001C6B82">
      <w:pPr>
        <w:pStyle w:val="Heading3"/>
        <w:rPr>
          <w:rStyle w:val="Heading2Char"/>
          <w:b/>
        </w:rPr>
      </w:pPr>
      <w:bookmarkStart w:id="101" w:name="_Toc226108647"/>
      <w:bookmarkStart w:id="102" w:name="_Toc226981075"/>
      <w:r>
        <w:t>Oregon State Police</w:t>
      </w:r>
      <w:bookmarkEnd w:id="101"/>
      <w:bookmarkEnd w:id="102"/>
    </w:p>
    <w:p w14:paraId="77CECF69" w14:textId="77777777" w:rsidR="00F80E94" w:rsidRPr="00E16ED0" w:rsidRDefault="00F80E94" w:rsidP="001C6B82">
      <w:pPr>
        <w:pStyle w:val="Heading4"/>
      </w:pPr>
      <w:bookmarkStart w:id="103" w:name="_Toc226108648"/>
      <w:r w:rsidRPr="008F7DA9">
        <w:t>Capitol Mall Security Services</w:t>
      </w:r>
      <w:bookmarkEnd w:id="103"/>
    </w:p>
    <w:p w14:paraId="53F7E8C1" w14:textId="77777777" w:rsidR="00F80E94" w:rsidRDefault="00F80E94" w:rsidP="00A23876">
      <w:r w:rsidRPr="00BF0D52">
        <w:t>This charge covers the cost of the Oregon State Police providing security services to most of the state office buildings on the Capitol Mall and buildings located on Airport Road in Salem. It also covers patrolling and responding to security issues on the common grounds, parks and parking lots on the Capitol Mall. These charges are based on occupied rentable square footage of each agency in the buildings that receive the security services.</w:t>
      </w:r>
      <w:r>
        <w:t xml:space="preserve"> </w:t>
      </w:r>
      <w:r w:rsidRPr="00A23876">
        <w:rPr>
          <w:iCs/>
        </w:rPr>
        <w:t>Reference Capitol Mall Security Services (OSP) in Appendix A.</w:t>
      </w:r>
      <w:r w:rsidRPr="005E48EE">
        <w:t> </w:t>
      </w:r>
    </w:p>
    <w:p w14:paraId="68A90675" w14:textId="77777777" w:rsidR="00F80E94" w:rsidRPr="009B1B12" w:rsidRDefault="00F80E94" w:rsidP="00A23876">
      <w:pPr>
        <w:rPr>
          <w:b/>
        </w:rPr>
      </w:pPr>
      <w:r w:rsidRPr="009B1B12">
        <w:rPr>
          <w:b/>
        </w:rPr>
        <w:t>Federal Funds should not be used to pay for this assessment as the Federal Government will not participate in funding central government functions.</w:t>
      </w:r>
    </w:p>
    <w:p w14:paraId="3769A83F" w14:textId="77777777" w:rsidR="00F80E94" w:rsidRDefault="00F80E94" w:rsidP="00A23876">
      <w:pPr>
        <w:rPr>
          <w:rFonts w:cs="Calibri"/>
          <w:b/>
          <w:bCs/>
          <w:color w:val="000000" w:themeColor="text1"/>
        </w:rPr>
      </w:pPr>
      <w:bookmarkStart w:id="104" w:name="OLE_LINK16"/>
      <w:r w:rsidRPr="00AB2739">
        <w:rPr>
          <w:b/>
          <w:bCs/>
        </w:rPr>
        <w:t xml:space="preserve">Contact for more information: </w:t>
      </w:r>
      <w:r>
        <w:rPr>
          <w:b/>
          <w:bCs/>
        </w:rPr>
        <w:t>Kristin Nopp-Swartz at 503-302-3198 or</w:t>
      </w:r>
      <w:r>
        <w:t xml:space="preserve"> </w:t>
      </w:r>
      <w:hyperlink r:id="rId61" w:history="1">
        <w:r w:rsidRPr="006F4462">
          <w:rPr>
            <w:rStyle w:val="Hyperlink"/>
            <w:rFonts w:cs="Calibri"/>
            <w:b/>
            <w:bCs/>
            <w:color w:val="000000" w:themeColor="text1"/>
          </w:rPr>
          <w:t>Kristin.nopp-swartz@osp.oregon.gov</w:t>
        </w:r>
      </w:hyperlink>
      <w:r w:rsidRPr="006F4462">
        <w:rPr>
          <w:rFonts w:cs="Calibri"/>
          <w:b/>
          <w:bCs/>
          <w:color w:val="000000" w:themeColor="text1"/>
        </w:rPr>
        <w:t xml:space="preserve">. </w:t>
      </w:r>
    </w:p>
    <w:p w14:paraId="159E50E0" w14:textId="77777777" w:rsidR="00D36F9B" w:rsidRPr="006F4462" w:rsidRDefault="00D36F9B" w:rsidP="00A23876">
      <w:pPr>
        <w:rPr>
          <w:b/>
          <w:bCs/>
          <w:color w:val="000000" w:themeColor="text1"/>
        </w:rPr>
      </w:pPr>
    </w:p>
    <w:p w14:paraId="6B684862" w14:textId="77777777" w:rsidR="00F80E94" w:rsidRPr="00A23876" w:rsidRDefault="00F80E94" w:rsidP="001C6B82">
      <w:pPr>
        <w:pStyle w:val="Heading4"/>
      </w:pPr>
      <w:bookmarkStart w:id="105" w:name="_Toc226108649"/>
      <w:bookmarkStart w:id="106" w:name="OLE_LINK17"/>
      <w:bookmarkStart w:id="107" w:name="OLE_LINK18"/>
      <w:bookmarkEnd w:id="104"/>
      <w:r w:rsidRPr="002A3D7B">
        <w:lastRenderedPageBreak/>
        <w:t>Oregon Corrections Enterprises</w:t>
      </w:r>
      <w:bookmarkEnd w:id="105"/>
    </w:p>
    <w:bookmarkEnd w:id="106"/>
    <w:bookmarkEnd w:id="107"/>
    <w:p w14:paraId="1AADCD17" w14:textId="77777777" w:rsidR="00F80E94" w:rsidRPr="002A3D7B" w:rsidRDefault="00F80E94" w:rsidP="00A23876">
      <w:r w:rsidRPr="002A3D7B">
        <w:t>Oregon’s constitution requires all eligible adults in custody (AICs) housed in Oregon Department of Corrections facilities to be actively engaged full time in work or on-the-job training activities. The Legislature in 1999 created Oregon Corrections Enterprises (OCE) to help carry out this mandate.</w:t>
      </w:r>
    </w:p>
    <w:p w14:paraId="18A1BE01" w14:textId="760D1FBC" w:rsidR="00F80E94" w:rsidRPr="002A3D7B" w:rsidRDefault="00F80E94" w:rsidP="00A23876">
      <w:r>
        <w:t xml:space="preserve">OCE operates voluntary, </w:t>
      </w:r>
      <w:proofErr w:type="gramStart"/>
      <w:r w:rsidR="7195A842">
        <w:t>real world</w:t>
      </w:r>
      <w:proofErr w:type="gramEnd"/>
      <w:r>
        <w:t xml:space="preserve"> work and training programs for AICs. These programs help participants build job skills, strengthen work ethics, and prepare for successful reentry. OCE functions as a </w:t>
      </w:r>
      <w:r w:rsidR="282CFDB3">
        <w:t>self-sustaining</w:t>
      </w:r>
      <w:r>
        <w:t xml:space="preserve"> organization, partnering with governmental agencies, nonprofits, and private sector clients to deliver </w:t>
      </w:r>
      <w:r w:rsidR="4F3F0ADD">
        <w:t>high-quality</w:t>
      </w:r>
      <w:r>
        <w:t xml:space="preserve"> products and services. Pricing varies depending on volume, services requested, and location.</w:t>
      </w:r>
    </w:p>
    <w:p w14:paraId="1002ED41" w14:textId="77777777" w:rsidR="00F80E94" w:rsidRPr="00A23876" w:rsidRDefault="00F80E94" w:rsidP="001C6B82">
      <w:pPr>
        <w:pStyle w:val="Heading4"/>
      </w:pPr>
      <w:r w:rsidRPr="00A23876">
        <w:t>Laundry Services</w:t>
      </w:r>
    </w:p>
    <w:p w14:paraId="5B5495A0" w14:textId="6D643909" w:rsidR="00F80E94" w:rsidRPr="002A3D7B" w:rsidRDefault="00F80E94" w:rsidP="00A23876">
      <w:r>
        <w:t xml:space="preserve">OCE operates commercial </w:t>
      </w:r>
      <w:proofErr w:type="gramStart"/>
      <w:r>
        <w:t>laundries</w:t>
      </w:r>
      <w:proofErr w:type="gramEnd"/>
      <w:r>
        <w:t xml:space="preserve"> across the state, providing efficient, </w:t>
      </w:r>
      <w:r w:rsidR="5FC51AC5">
        <w:t>cost-effective</w:t>
      </w:r>
      <w:r>
        <w:t xml:space="preserve"> laundry solutions for government agencies, hospitals, and other institutions. Services include pickup and delivery, industrial bag washing, custom folding and packaging, and linen management support.</w:t>
      </w:r>
    </w:p>
    <w:p w14:paraId="56FD121C" w14:textId="77777777" w:rsidR="00F80E94" w:rsidRPr="00A23876" w:rsidRDefault="00F80E94" w:rsidP="001C6B82">
      <w:pPr>
        <w:pStyle w:val="Heading4"/>
      </w:pPr>
      <w:r w:rsidRPr="00A23876">
        <w:t>Garment Manufacturing and Embroidery</w:t>
      </w:r>
    </w:p>
    <w:p w14:paraId="45ACA718" w14:textId="460BE16D" w:rsidR="00F80E94" w:rsidRPr="002A3D7B" w:rsidRDefault="00F80E94" w:rsidP="00A23876">
      <w:r w:rsidRPr="535D7395">
        <w:rPr>
          <w:b/>
          <w:bCs/>
        </w:rPr>
        <w:t xml:space="preserve">Garment Factory: </w:t>
      </w:r>
      <w:r>
        <w:t xml:space="preserve">Produces </w:t>
      </w:r>
      <w:r w:rsidR="4B3BC55D">
        <w:t>high-quality</w:t>
      </w:r>
      <w:r>
        <w:t xml:space="preserve"> clothing for customers nationwide, including uniforms, apparel, and specialty items.</w:t>
      </w:r>
    </w:p>
    <w:p w14:paraId="0B932547" w14:textId="0A93768F" w:rsidR="00F80E94" w:rsidRPr="002A3D7B" w:rsidRDefault="00F80E94" w:rsidP="00A23876">
      <w:r w:rsidRPr="535D7395">
        <w:rPr>
          <w:b/>
          <w:bCs/>
        </w:rPr>
        <w:t xml:space="preserve">Embroidery: </w:t>
      </w:r>
      <w:r>
        <w:t xml:space="preserve">Offers custom embroidery and </w:t>
      </w:r>
      <w:r w:rsidR="50423D90">
        <w:t>screen-printing</w:t>
      </w:r>
      <w:r>
        <w:t xml:space="preserve"> on clothing, hats, bags, patches, badges, and more. Custom items can include shoulder patches, rockers, nametags, and badges. Embroidery services integrate with OCE’s upholstery products for customized soft line furniture.  </w:t>
      </w:r>
    </w:p>
    <w:p w14:paraId="2709DB4D" w14:textId="77777777" w:rsidR="00F80E94" w:rsidRPr="002A3D7B" w:rsidRDefault="00F80E94" w:rsidP="001C6B82">
      <w:pPr>
        <w:pStyle w:val="Heading4"/>
      </w:pPr>
      <w:r w:rsidRPr="002A3D7B">
        <w:t>Print and Fulfillment Services</w:t>
      </w:r>
    </w:p>
    <w:p w14:paraId="402EEFE4" w14:textId="77777777" w:rsidR="00F80E94" w:rsidRPr="002A3D7B" w:rsidRDefault="00F80E94" w:rsidP="00A23876">
      <w:r w:rsidRPr="002A3D7B">
        <w:t xml:space="preserve">OCE provides printing, mailing, distribution, and fulfillment services through its Data &amp; Fulfillment division. </w:t>
      </w:r>
    </w:p>
    <w:p w14:paraId="63B5CC47" w14:textId="77777777" w:rsidR="00F80E94" w:rsidRPr="002A3D7B" w:rsidRDefault="00F80E94" w:rsidP="00A23876">
      <w:r w:rsidRPr="002A3D7B">
        <w:rPr>
          <w:b/>
        </w:rPr>
        <w:t xml:space="preserve">Fulfillment Center: </w:t>
      </w:r>
      <w:r w:rsidRPr="002A3D7B">
        <w:t>The Fulfillment Center provides a variety of mailing, storage, sorting, collation, kit assembly, and packaging services. Daily pickup and delivery are offered in the Salem area. Fulfillment Center services include: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3"/>
        <w:gridCol w:w="4637"/>
      </w:tblGrid>
      <w:tr w:rsidR="00F80E94" w:rsidRPr="002A3D7B" w14:paraId="29D96B1F" w14:textId="77777777" w:rsidTr="00306CF3">
        <w:trPr>
          <w:trHeight w:val="294"/>
          <w:jc w:val="center"/>
        </w:trPr>
        <w:tc>
          <w:tcPr>
            <w:tcW w:w="4543" w:type="dxa"/>
          </w:tcPr>
          <w:p w14:paraId="506AA073" w14:textId="77777777" w:rsidR="00F80E94" w:rsidRPr="002A3D7B" w:rsidRDefault="00F80E94" w:rsidP="00306CF3">
            <w:pPr>
              <w:spacing w:after="0"/>
              <w:ind w:left="360" w:right="18" w:hanging="360"/>
            </w:pPr>
            <w:r w:rsidRPr="002A3D7B">
              <w:t>Inkjet printing for labels and envelopes</w:t>
            </w:r>
          </w:p>
        </w:tc>
        <w:tc>
          <w:tcPr>
            <w:tcW w:w="4637" w:type="dxa"/>
          </w:tcPr>
          <w:p w14:paraId="259A41C2" w14:textId="77777777" w:rsidR="00F80E94" w:rsidRPr="002A3D7B" w:rsidRDefault="00F80E94" w:rsidP="00306CF3">
            <w:pPr>
              <w:spacing w:after="0"/>
              <w:ind w:left="360" w:right="18" w:hanging="360"/>
            </w:pPr>
            <w:r w:rsidRPr="002A3D7B">
              <w:t>Address correction</w:t>
            </w:r>
          </w:p>
        </w:tc>
      </w:tr>
      <w:tr w:rsidR="00F80E94" w:rsidRPr="002A3D7B" w14:paraId="6354F077" w14:textId="77777777" w:rsidTr="00306CF3">
        <w:trPr>
          <w:trHeight w:val="413"/>
          <w:jc w:val="center"/>
        </w:trPr>
        <w:tc>
          <w:tcPr>
            <w:tcW w:w="4543" w:type="dxa"/>
          </w:tcPr>
          <w:p w14:paraId="14EF4E38" w14:textId="77777777" w:rsidR="00F80E94" w:rsidRPr="002A3D7B" w:rsidRDefault="00F80E94" w:rsidP="00306CF3">
            <w:pPr>
              <w:spacing w:after="0"/>
              <w:ind w:left="360" w:right="18" w:hanging="360"/>
            </w:pPr>
            <w:r w:rsidRPr="002A3D7B">
              <w:t>Bar Coding and Zip+4</w:t>
            </w:r>
          </w:p>
        </w:tc>
        <w:tc>
          <w:tcPr>
            <w:tcW w:w="4637" w:type="dxa"/>
          </w:tcPr>
          <w:p w14:paraId="3B987889" w14:textId="77777777" w:rsidR="00F80E94" w:rsidRPr="002A3D7B" w:rsidRDefault="00F80E94" w:rsidP="00306CF3">
            <w:pPr>
              <w:spacing w:after="0"/>
              <w:ind w:left="360" w:right="18" w:hanging="360"/>
            </w:pPr>
            <w:r w:rsidRPr="002A3D7B">
              <w:t>Packet and kit assembly</w:t>
            </w:r>
          </w:p>
        </w:tc>
      </w:tr>
      <w:tr w:rsidR="00F80E94" w:rsidRPr="002A3D7B" w14:paraId="230DC2E9" w14:textId="77777777" w:rsidTr="00306CF3">
        <w:trPr>
          <w:trHeight w:val="294"/>
          <w:jc w:val="center"/>
        </w:trPr>
        <w:tc>
          <w:tcPr>
            <w:tcW w:w="4543" w:type="dxa"/>
          </w:tcPr>
          <w:p w14:paraId="4C99F71F" w14:textId="77777777" w:rsidR="00F80E94" w:rsidRPr="002A3D7B" w:rsidRDefault="00F80E94" w:rsidP="00306CF3">
            <w:pPr>
              <w:spacing w:after="0"/>
              <w:ind w:left="360" w:right="18" w:hanging="360"/>
            </w:pPr>
            <w:r w:rsidRPr="002A3D7B">
              <w:t xml:space="preserve"> Envelope preparation, insertion, presorting, sealing, and metering </w:t>
            </w:r>
          </w:p>
        </w:tc>
        <w:tc>
          <w:tcPr>
            <w:tcW w:w="4637" w:type="dxa"/>
          </w:tcPr>
          <w:p w14:paraId="49AA3DB2" w14:textId="77777777" w:rsidR="00F80E94" w:rsidRPr="002A3D7B" w:rsidRDefault="00F80E94" w:rsidP="00306CF3">
            <w:pPr>
              <w:spacing w:after="0"/>
              <w:ind w:left="360" w:right="18" w:hanging="360"/>
            </w:pPr>
            <w:r w:rsidRPr="002A3D7B">
              <w:t>Data management and survey processing</w:t>
            </w:r>
          </w:p>
        </w:tc>
      </w:tr>
      <w:tr w:rsidR="00F80E94" w:rsidRPr="006E7E81" w14:paraId="401695A3" w14:textId="77777777" w:rsidTr="00306CF3">
        <w:trPr>
          <w:trHeight w:val="294"/>
          <w:jc w:val="center"/>
        </w:trPr>
        <w:tc>
          <w:tcPr>
            <w:tcW w:w="4543" w:type="dxa"/>
          </w:tcPr>
          <w:p w14:paraId="61FB380A" w14:textId="77777777" w:rsidR="00F80E94" w:rsidRPr="006E7E81" w:rsidRDefault="00F80E94" w:rsidP="00306CF3">
            <w:pPr>
              <w:spacing w:after="0"/>
              <w:ind w:left="360" w:right="18" w:hanging="360"/>
            </w:pPr>
            <w:r w:rsidRPr="006E7E81">
              <w:t>Secure storage and material tracking</w:t>
            </w:r>
            <w:r w:rsidRPr="006E7E81">
              <w:tab/>
              <w:t xml:space="preserve"> </w:t>
            </w:r>
          </w:p>
        </w:tc>
        <w:tc>
          <w:tcPr>
            <w:tcW w:w="4637" w:type="dxa"/>
          </w:tcPr>
          <w:p w14:paraId="7DA1B7D6" w14:textId="77777777" w:rsidR="00F80E94" w:rsidRPr="006E7E81" w:rsidRDefault="00F80E94" w:rsidP="00306CF3">
            <w:pPr>
              <w:spacing w:after="0"/>
              <w:ind w:left="360" w:right="18" w:hanging="360"/>
            </w:pPr>
            <w:r w:rsidRPr="006E7E81">
              <w:t>Local pickup and delivery</w:t>
            </w:r>
          </w:p>
        </w:tc>
      </w:tr>
    </w:tbl>
    <w:p w14:paraId="3D7762A9" w14:textId="77777777" w:rsidR="00F80E94" w:rsidRPr="006E7E81" w:rsidRDefault="00F80E94" w:rsidP="00F80E94">
      <w:pPr>
        <w:ind w:right="18"/>
        <w:rPr>
          <w:b/>
          <w:i/>
        </w:rPr>
      </w:pPr>
    </w:p>
    <w:p w14:paraId="2810BC12" w14:textId="2B35171D" w:rsidR="00F80E94" w:rsidRPr="006E7E81" w:rsidRDefault="00F80E94" w:rsidP="00A23876">
      <w:r w:rsidRPr="006E7E81">
        <w:rPr>
          <w:b/>
        </w:rPr>
        <w:lastRenderedPageBreak/>
        <w:t xml:space="preserve">Printing: </w:t>
      </w:r>
      <w:r w:rsidRPr="006E7E81">
        <w:t>The OCE Print Shop delivers a wide range of printing and design solutions with competitive pricing and reliable turnaround. Services include: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4"/>
        <w:gridCol w:w="4011"/>
      </w:tblGrid>
      <w:tr w:rsidR="00F80E94" w:rsidRPr="006E7E81" w14:paraId="5531518F" w14:textId="77777777" w:rsidTr="00306CF3">
        <w:trPr>
          <w:trHeight w:val="314"/>
          <w:jc w:val="center"/>
        </w:trPr>
        <w:tc>
          <w:tcPr>
            <w:tcW w:w="4314" w:type="dxa"/>
          </w:tcPr>
          <w:p w14:paraId="250BCDBE" w14:textId="77777777" w:rsidR="00F80E94" w:rsidRPr="006E7E81" w:rsidRDefault="00F80E94" w:rsidP="00306CF3">
            <w:pPr>
              <w:spacing w:after="0"/>
              <w:ind w:left="360" w:right="18" w:hanging="360"/>
            </w:pPr>
            <w:r w:rsidRPr="006E7E81">
              <w:t>Typesetting and Design</w:t>
            </w:r>
          </w:p>
        </w:tc>
        <w:tc>
          <w:tcPr>
            <w:tcW w:w="4011" w:type="dxa"/>
          </w:tcPr>
          <w:p w14:paraId="50E0A546" w14:textId="77777777" w:rsidR="00F80E94" w:rsidRPr="006E7E81" w:rsidRDefault="00F80E94" w:rsidP="00306CF3">
            <w:pPr>
              <w:spacing w:after="0"/>
              <w:ind w:left="360" w:right="18" w:hanging="360"/>
            </w:pPr>
            <w:r w:rsidRPr="006E7E81">
              <w:t>Forms &amp; Manuals</w:t>
            </w:r>
          </w:p>
        </w:tc>
      </w:tr>
      <w:tr w:rsidR="00F80E94" w:rsidRPr="006E7E81" w14:paraId="666F6617" w14:textId="77777777" w:rsidTr="00306CF3">
        <w:trPr>
          <w:trHeight w:val="314"/>
          <w:jc w:val="center"/>
        </w:trPr>
        <w:tc>
          <w:tcPr>
            <w:tcW w:w="4314" w:type="dxa"/>
          </w:tcPr>
          <w:p w14:paraId="6012C0B3" w14:textId="77777777" w:rsidR="00F80E94" w:rsidRPr="006E7E81" w:rsidRDefault="00F80E94" w:rsidP="00306CF3">
            <w:pPr>
              <w:spacing w:after="0"/>
              <w:ind w:left="360" w:right="18" w:hanging="360"/>
            </w:pPr>
            <w:r w:rsidRPr="006E7E81">
              <w:t>Letterheads</w:t>
            </w:r>
          </w:p>
        </w:tc>
        <w:tc>
          <w:tcPr>
            <w:tcW w:w="4011" w:type="dxa"/>
          </w:tcPr>
          <w:p w14:paraId="4A77867E" w14:textId="77777777" w:rsidR="00F80E94" w:rsidRPr="006E7E81" w:rsidRDefault="00F80E94" w:rsidP="00306CF3">
            <w:pPr>
              <w:spacing w:after="0"/>
              <w:ind w:left="360" w:right="18" w:hanging="360"/>
            </w:pPr>
            <w:r w:rsidRPr="006E7E81">
              <w:t>Envelopes</w:t>
            </w:r>
          </w:p>
        </w:tc>
      </w:tr>
      <w:tr w:rsidR="00F80E94" w:rsidRPr="006E7E81" w14:paraId="2E413A23" w14:textId="77777777" w:rsidTr="00306CF3">
        <w:trPr>
          <w:trHeight w:val="314"/>
          <w:jc w:val="center"/>
        </w:trPr>
        <w:tc>
          <w:tcPr>
            <w:tcW w:w="4314" w:type="dxa"/>
          </w:tcPr>
          <w:p w14:paraId="5AAC63C9" w14:textId="77777777" w:rsidR="00F80E94" w:rsidRPr="006E7E81" w:rsidRDefault="00F80E94" w:rsidP="00306CF3">
            <w:pPr>
              <w:spacing w:after="0"/>
              <w:ind w:left="360" w:right="18" w:hanging="360"/>
            </w:pPr>
            <w:r w:rsidRPr="006E7E81">
              <w:t>Business Cards</w:t>
            </w:r>
          </w:p>
        </w:tc>
        <w:tc>
          <w:tcPr>
            <w:tcW w:w="4011" w:type="dxa"/>
          </w:tcPr>
          <w:p w14:paraId="227CF149" w14:textId="77777777" w:rsidR="00F80E94" w:rsidRPr="006E7E81" w:rsidRDefault="00F80E94" w:rsidP="00306CF3">
            <w:pPr>
              <w:spacing w:after="0"/>
              <w:ind w:left="360" w:right="18" w:hanging="360"/>
            </w:pPr>
            <w:r w:rsidRPr="006E7E81">
              <w:t>Brochures</w:t>
            </w:r>
          </w:p>
        </w:tc>
      </w:tr>
      <w:tr w:rsidR="00F80E94" w:rsidRPr="006E7E81" w14:paraId="1445A152" w14:textId="77777777" w:rsidTr="00306CF3">
        <w:trPr>
          <w:trHeight w:val="314"/>
          <w:jc w:val="center"/>
        </w:trPr>
        <w:tc>
          <w:tcPr>
            <w:tcW w:w="4314" w:type="dxa"/>
          </w:tcPr>
          <w:p w14:paraId="17602889" w14:textId="77777777" w:rsidR="00F80E94" w:rsidRPr="006E7E81" w:rsidRDefault="00F80E94" w:rsidP="00306CF3">
            <w:pPr>
              <w:spacing w:after="0"/>
              <w:ind w:left="360" w:right="18" w:hanging="360"/>
            </w:pPr>
            <w:r w:rsidRPr="006E7E81">
              <w:t>Multi-part Carbonless Forms</w:t>
            </w:r>
          </w:p>
        </w:tc>
        <w:tc>
          <w:tcPr>
            <w:tcW w:w="4011" w:type="dxa"/>
          </w:tcPr>
          <w:p w14:paraId="5EFFBEBF" w14:textId="77777777" w:rsidR="00F80E94" w:rsidRPr="006E7E81" w:rsidRDefault="00F80E94" w:rsidP="00306CF3">
            <w:pPr>
              <w:spacing w:after="0"/>
              <w:ind w:left="360" w:right="18" w:hanging="360"/>
            </w:pPr>
            <w:r w:rsidRPr="006E7E81">
              <w:t>Copy Services</w:t>
            </w:r>
          </w:p>
        </w:tc>
      </w:tr>
      <w:tr w:rsidR="00F80E94" w:rsidRPr="006E7E81" w14:paraId="785E93FD" w14:textId="77777777" w:rsidTr="00306CF3">
        <w:trPr>
          <w:trHeight w:val="314"/>
          <w:jc w:val="center"/>
        </w:trPr>
        <w:tc>
          <w:tcPr>
            <w:tcW w:w="4314" w:type="dxa"/>
          </w:tcPr>
          <w:p w14:paraId="4E4A8AE6" w14:textId="77777777" w:rsidR="00F80E94" w:rsidRPr="006E7E81" w:rsidRDefault="00F80E94" w:rsidP="00306CF3">
            <w:pPr>
              <w:spacing w:after="0"/>
              <w:ind w:left="360" w:right="18" w:hanging="360"/>
            </w:pPr>
            <w:r w:rsidRPr="006E7E81">
              <w:t>Binding</w:t>
            </w:r>
          </w:p>
        </w:tc>
        <w:tc>
          <w:tcPr>
            <w:tcW w:w="4011" w:type="dxa"/>
          </w:tcPr>
          <w:p w14:paraId="1CBF77AB" w14:textId="77777777" w:rsidR="00F80E94" w:rsidRPr="006E7E81" w:rsidRDefault="00F80E94" w:rsidP="00306CF3">
            <w:pPr>
              <w:spacing w:after="0"/>
              <w:ind w:right="18"/>
            </w:pPr>
            <w:r w:rsidRPr="006E7E81">
              <w:t>Graphic Design</w:t>
            </w:r>
          </w:p>
        </w:tc>
      </w:tr>
      <w:tr w:rsidR="00F80E94" w:rsidRPr="006E7E81" w14:paraId="3104DAEE" w14:textId="77777777" w:rsidTr="00306CF3">
        <w:trPr>
          <w:trHeight w:val="314"/>
          <w:jc w:val="center"/>
        </w:trPr>
        <w:tc>
          <w:tcPr>
            <w:tcW w:w="4314" w:type="dxa"/>
          </w:tcPr>
          <w:p w14:paraId="5F604BF1" w14:textId="77777777" w:rsidR="00F80E94" w:rsidRPr="006E7E81" w:rsidRDefault="00F80E94" w:rsidP="00306CF3">
            <w:pPr>
              <w:spacing w:after="0"/>
              <w:ind w:left="360" w:right="18" w:hanging="360"/>
            </w:pPr>
            <w:r w:rsidRPr="006E7E81">
              <w:t>Foiling &amp; Embossing</w:t>
            </w:r>
          </w:p>
        </w:tc>
        <w:tc>
          <w:tcPr>
            <w:tcW w:w="4011" w:type="dxa"/>
          </w:tcPr>
          <w:p w14:paraId="0C4E4049" w14:textId="77777777" w:rsidR="00F80E94" w:rsidRPr="006E7E81" w:rsidRDefault="00F80E94" w:rsidP="00306CF3">
            <w:pPr>
              <w:spacing w:after="0"/>
              <w:ind w:left="360" w:right="18" w:hanging="360"/>
            </w:pPr>
            <w:r w:rsidRPr="006E7E81">
              <w:t>Die-cutting</w:t>
            </w:r>
          </w:p>
        </w:tc>
      </w:tr>
    </w:tbl>
    <w:p w14:paraId="224FAEF6" w14:textId="77777777" w:rsidR="00F80E94" w:rsidRPr="006E7E81" w:rsidRDefault="00F80E94" w:rsidP="00F80E94">
      <w:pPr>
        <w:ind w:right="18"/>
        <w:rPr>
          <w:b/>
          <w:u w:val="single"/>
        </w:rPr>
      </w:pPr>
    </w:p>
    <w:p w14:paraId="65F7C651" w14:textId="77777777" w:rsidR="00F80E94" w:rsidRPr="006E7E81" w:rsidRDefault="00F80E94" w:rsidP="001C6B82">
      <w:pPr>
        <w:pStyle w:val="Heading4"/>
      </w:pPr>
      <w:r w:rsidRPr="006E7E81">
        <w:t>Multimedia Design</w:t>
      </w:r>
    </w:p>
    <w:p w14:paraId="6D7FFF0B" w14:textId="77777777" w:rsidR="00F80E94" w:rsidRPr="006E7E81" w:rsidRDefault="00F80E94" w:rsidP="00A23876">
      <w:r w:rsidRPr="006E7E81">
        <w:t>Provides professional multimedia services for state agencies and private clients, including:</w:t>
      </w:r>
    </w:p>
    <w:tbl>
      <w:tblPr>
        <w:tblStyle w:val="TableGrid"/>
        <w:tblW w:w="0" w:type="auto"/>
        <w:tblLook w:val="04A0" w:firstRow="1" w:lastRow="0" w:firstColumn="1" w:lastColumn="0" w:noHBand="0" w:noVBand="1"/>
      </w:tblPr>
      <w:tblGrid>
        <w:gridCol w:w="4675"/>
        <w:gridCol w:w="4675"/>
      </w:tblGrid>
      <w:tr w:rsidR="00F80E94" w:rsidRPr="006E7E81" w14:paraId="693E6933" w14:textId="77777777" w:rsidTr="00306CF3">
        <w:tc>
          <w:tcPr>
            <w:tcW w:w="4675" w:type="dxa"/>
          </w:tcPr>
          <w:p w14:paraId="62683F3B" w14:textId="77777777" w:rsidR="00F80E94" w:rsidRPr="006E7E81" w:rsidRDefault="00F80E94" w:rsidP="00306CF3">
            <w:r w:rsidRPr="006E7E81">
              <w:t>Graphic design and branding</w:t>
            </w:r>
          </w:p>
        </w:tc>
        <w:tc>
          <w:tcPr>
            <w:tcW w:w="4675" w:type="dxa"/>
          </w:tcPr>
          <w:p w14:paraId="544EAC8C" w14:textId="77777777" w:rsidR="00F80E94" w:rsidRPr="006E7E81" w:rsidRDefault="00F80E94" w:rsidP="00306CF3">
            <w:r w:rsidRPr="006E7E81">
              <w:t>Web pages, custom logos, icons</w:t>
            </w:r>
          </w:p>
        </w:tc>
      </w:tr>
      <w:tr w:rsidR="00F80E94" w:rsidRPr="006E7E81" w14:paraId="31741967" w14:textId="77777777" w:rsidTr="00306CF3">
        <w:tc>
          <w:tcPr>
            <w:tcW w:w="4675" w:type="dxa"/>
          </w:tcPr>
          <w:p w14:paraId="1A56AA6A" w14:textId="77777777" w:rsidR="00F80E94" w:rsidRPr="006E7E81" w:rsidRDefault="00F80E94" w:rsidP="00306CF3">
            <w:r w:rsidRPr="006E7E81">
              <w:t>Posters, brochures, catalogs, banners</w:t>
            </w:r>
          </w:p>
        </w:tc>
        <w:tc>
          <w:tcPr>
            <w:tcW w:w="4675" w:type="dxa"/>
          </w:tcPr>
          <w:p w14:paraId="09D452AB" w14:textId="77777777" w:rsidR="00F80E94" w:rsidRPr="006E7E81" w:rsidRDefault="00F80E94" w:rsidP="00306CF3">
            <w:r w:rsidRPr="006E7E81">
              <w:t>Motion graphics, training and messaging videos</w:t>
            </w:r>
          </w:p>
        </w:tc>
      </w:tr>
      <w:tr w:rsidR="00F80E94" w:rsidRPr="006E7E81" w14:paraId="5CFACC3B" w14:textId="77777777" w:rsidTr="00306CF3">
        <w:tc>
          <w:tcPr>
            <w:tcW w:w="4675" w:type="dxa"/>
          </w:tcPr>
          <w:p w14:paraId="4DFF4F7F" w14:textId="77777777" w:rsidR="00F80E94" w:rsidRPr="006E7E81" w:rsidRDefault="00F80E94" w:rsidP="00306CF3">
            <w:r w:rsidRPr="006E7E81">
              <w:t>Interactive PDFs and fillable forms with e</w:t>
            </w:r>
            <w:r w:rsidRPr="006E7E81">
              <w:noBreakHyphen/>
              <w:t>signature</w:t>
            </w:r>
          </w:p>
        </w:tc>
        <w:tc>
          <w:tcPr>
            <w:tcW w:w="4675" w:type="dxa"/>
          </w:tcPr>
          <w:p w14:paraId="56999520" w14:textId="77777777" w:rsidR="00F80E94" w:rsidRPr="006E7E81" w:rsidRDefault="00F80E94" w:rsidP="00306CF3"/>
        </w:tc>
      </w:tr>
    </w:tbl>
    <w:p w14:paraId="1C79EAF2" w14:textId="77777777" w:rsidR="00F80E94" w:rsidRPr="006E7E81" w:rsidRDefault="00F80E94" w:rsidP="00F80E94">
      <w:pPr>
        <w:ind w:right="18"/>
      </w:pPr>
    </w:p>
    <w:p w14:paraId="0C3714E4" w14:textId="77777777" w:rsidR="00F80E94" w:rsidRPr="006E7E81" w:rsidRDefault="00F80E94" w:rsidP="001C6B82">
      <w:pPr>
        <w:pStyle w:val="Heading4"/>
      </w:pPr>
      <w:r w:rsidRPr="006E7E81">
        <w:t>Document Scanning</w:t>
      </w:r>
    </w:p>
    <w:p w14:paraId="3829338A" w14:textId="77777777" w:rsidR="00F80E94" w:rsidRPr="006E7E81" w:rsidRDefault="00F80E94" w:rsidP="00A23876">
      <w:r w:rsidRPr="006E7E81">
        <w:t>OCE’s scanning program offers secure digital conversion of documents, including large-format materials such as maps and blueprints. Services include optical character recognition (OCR) and optional secure shredding of originals.</w:t>
      </w:r>
    </w:p>
    <w:p w14:paraId="1FAAFE44" w14:textId="77777777" w:rsidR="00F80E94" w:rsidRPr="006E7E81" w:rsidRDefault="00F80E94" w:rsidP="001C6B82">
      <w:pPr>
        <w:pStyle w:val="Heading4"/>
      </w:pPr>
      <w:r w:rsidRPr="006E7E81">
        <w:t>Braille Transcription Services</w:t>
      </w:r>
    </w:p>
    <w:p w14:paraId="7DE934F7" w14:textId="77777777" w:rsidR="00F80E94" w:rsidRPr="006E7E81" w:rsidRDefault="00F80E94" w:rsidP="00A23876">
      <w:r w:rsidRPr="006E7E81">
        <w:t>OCE offers certified Braille transcription services to support accessible communication needs for government agencies, educational institutions, and community organizations. Services include:</w:t>
      </w:r>
    </w:p>
    <w:tbl>
      <w:tblPr>
        <w:tblStyle w:val="TableGrid"/>
        <w:tblW w:w="0" w:type="auto"/>
        <w:tblLook w:val="04A0" w:firstRow="1" w:lastRow="0" w:firstColumn="1" w:lastColumn="0" w:noHBand="0" w:noVBand="1"/>
      </w:tblPr>
      <w:tblGrid>
        <w:gridCol w:w="4675"/>
        <w:gridCol w:w="4675"/>
      </w:tblGrid>
      <w:tr w:rsidR="00F80E94" w:rsidRPr="006E7E81" w14:paraId="3B8BDB84" w14:textId="77777777" w:rsidTr="00306CF3">
        <w:tc>
          <w:tcPr>
            <w:tcW w:w="4675" w:type="dxa"/>
          </w:tcPr>
          <w:p w14:paraId="76A1E5C2" w14:textId="77777777" w:rsidR="00F80E94" w:rsidRPr="006E7E81" w:rsidRDefault="00F80E94" w:rsidP="00306CF3">
            <w:r w:rsidRPr="006E7E81">
              <w:t>Grade 1 and Grade 2 Braille transcription</w:t>
            </w:r>
          </w:p>
        </w:tc>
        <w:tc>
          <w:tcPr>
            <w:tcW w:w="4675" w:type="dxa"/>
          </w:tcPr>
          <w:p w14:paraId="3BF83166" w14:textId="77777777" w:rsidR="00F80E94" w:rsidRPr="006E7E81" w:rsidRDefault="00F80E94" w:rsidP="00306CF3">
            <w:r w:rsidRPr="006E7E81">
              <w:t>Document formatting compliant with Braille Authority of North America (BANA) standards</w:t>
            </w:r>
          </w:p>
        </w:tc>
      </w:tr>
      <w:tr w:rsidR="00F80E94" w:rsidRPr="006E7E81" w14:paraId="47FD9BFF" w14:textId="77777777" w:rsidTr="00306CF3">
        <w:tc>
          <w:tcPr>
            <w:tcW w:w="4675" w:type="dxa"/>
          </w:tcPr>
          <w:p w14:paraId="7F711909" w14:textId="77777777" w:rsidR="00F80E94" w:rsidRPr="006E7E81" w:rsidRDefault="00F80E94" w:rsidP="00306CF3">
            <w:r w:rsidRPr="006E7E81">
              <w:t>Production of Braille documents, labels, and informational materials</w:t>
            </w:r>
          </w:p>
        </w:tc>
        <w:tc>
          <w:tcPr>
            <w:tcW w:w="4675" w:type="dxa"/>
          </w:tcPr>
          <w:p w14:paraId="30DA766A" w14:textId="77777777" w:rsidR="00F80E94" w:rsidRPr="006E7E81" w:rsidRDefault="00F80E94" w:rsidP="00306CF3">
            <w:r w:rsidRPr="006E7E81">
              <w:t>Quality assurance reviews to ensure accuracy and readability</w:t>
            </w:r>
          </w:p>
        </w:tc>
      </w:tr>
    </w:tbl>
    <w:p w14:paraId="67565728" w14:textId="77777777" w:rsidR="00F80E94" w:rsidRPr="006E7E81" w:rsidRDefault="00F80E94" w:rsidP="00F80E94">
      <w:pPr>
        <w:ind w:right="18"/>
        <w:rPr>
          <w:b/>
          <w:u w:val="single"/>
        </w:rPr>
      </w:pPr>
    </w:p>
    <w:p w14:paraId="765A8B58" w14:textId="77777777" w:rsidR="00F80E94" w:rsidRPr="006E7E81" w:rsidRDefault="00F80E94" w:rsidP="001C6B82">
      <w:pPr>
        <w:pStyle w:val="Heading4"/>
      </w:pPr>
      <w:r w:rsidRPr="006E7E81">
        <w:t>Telecommunications</w:t>
      </w:r>
    </w:p>
    <w:p w14:paraId="0AA0ABCE" w14:textId="77777777" w:rsidR="00F80E94" w:rsidRPr="006E7E81" w:rsidRDefault="00F80E94" w:rsidP="00A23876">
      <w:r w:rsidRPr="006E7E81">
        <w:t>OCE contact centers provide skilled inbound and outbound telephone services for public and private sector clients. Capabilities include:</w:t>
      </w:r>
    </w:p>
    <w:tbl>
      <w:tblPr>
        <w:tblStyle w:val="TableGrid"/>
        <w:tblW w:w="0" w:type="auto"/>
        <w:tblLook w:val="04A0" w:firstRow="1" w:lastRow="0" w:firstColumn="1" w:lastColumn="0" w:noHBand="0" w:noVBand="1"/>
      </w:tblPr>
      <w:tblGrid>
        <w:gridCol w:w="4675"/>
        <w:gridCol w:w="4675"/>
      </w:tblGrid>
      <w:tr w:rsidR="00F80E94" w:rsidRPr="006E7E81" w14:paraId="43F53C8F" w14:textId="77777777" w:rsidTr="00306CF3">
        <w:tc>
          <w:tcPr>
            <w:tcW w:w="4675" w:type="dxa"/>
          </w:tcPr>
          <w:p w14:paraId="50EBA2A0" w14:textId="77777777" w:rsidR="00F80E94" w:rsidRPr="006E7E81" w:rsidRDefault="00F80E94" w:rsidP="00306CF3">
            <w:r w:rsidRPr="006E7E81">
              <w:lastRenderedPageBreak/>
              <w:t>Customer Service, market research, and information/referral services</w:t>
            </w:r>
          </w:p>
          <w:p w14:paraId="7ACAB514" w14:textId="77777777" w:rsidR="00F80E94" w:rsidRPr="006E7E81" w:rsidRDefault="00F80E94" w:rsidP="00306CF3"/>
        </w:tc>
        <w:tc>
          <w:tcPr>
            <w:tcW w:w="4675" w:type="dxa"/>
          </w:tcPr>
          <w:p w14:paraId="4D91C21E" w14:textId="77777777" w:rsidR="00F80E94" w:rsidRPr="006E7E81" w:rsidRDefault="00F80E94" w:rsidP="00306CF3">
            <w:r w:rsidRPr="006E7E81">
              <w:t>Predictive dialing, automatic call distribution</w:t>
            </w:r>
          </w:p>
          <w:p w14:paraId="6BD0CA7E" w14:textId="77777777" w:rsidR="00F80E94" w:rsidRPr="006E7E81" w:rsidRDefault="00F80E94" w:rsidP="00306CF3"/>
        </w:tc>
      </w:tr>
      <w:tr w:rsidR="00F80E94" w:rsidRPr="006E7E81" w14:paraId="3F9DDB69" w14:textId="77777777" w:rsidTr="00306CF3">
        <w:tc>
          <w:tcPr>
            <w:tcW w:w="4675" w:type="dxa"/>
          </w:tcPr>
          <w:p w14:paraId="32210C4C" w14:textId="77777777" w:rsidR="00F80E94" w:rsidRPr="006E7E81" w:rsidRDefault="00F80E94" w:rsidP="00306CF3">
            <w:r w:rsidRPr="006E7E81">
              <w:t>Digital Call Recording and Secure Archiving</w:t>
            </w:r>
          </w:p>
        </w:tc>
        <w:tc>
          <w:tcPr>
            <w:tcW w:w="4675" w:type="dxa"/>
          </w:tcPr>
          <w:p w14:paraId="38E18AFD" w14:textId="77777777" w:rsidR="00F80E94" w:rsidRPr="006E7E81" w:rsidRDefault="00F80E94" w:rsidP="00306CF3">
            <w:r w:rsidRPr="006E7E81">
              <w:t>Customized Reporting</w:t>
            </w:r>
          </w:p>
        </w:tc>
      </w:tr>
      <w:tr w:rsidR="00F80E94" w:rsidRPr="006E7E81" w14:paraId="1CF90787" w14:textId="77777777" w:rsidTr="001A4BEC">
        <w:trPr>
          <w:trHeight w:val="710"/>
        </w:trPr>
        <w:tc>
          <w:tcPr>
            <w:tcW w:w="4675" w:type="dxa"/>
          </w:tcPr>
          <w:p w14:paraId="25F71A45" w14:textId="77777777" w:rsidR="00F80E94" w:rsidRPr="006E7E81" w:rsidRDefault="00F80E94" w:rsidP="00306CF3">
            <w:r w:rsidRPr="006E7E81">
              <w:t>Rapid setup for emergency information hotlines</w:t>
            </w:r>
          </w:p>
          <w:p w14:paraId="13B79BB7" w14:textId="77777777" w:rsidR="00F80E94" w:rsidRPr="006E7E81" w:rsidRDefault="00F80E94" w:rsidP="00306CF3"/>
        </w:tc>
        <w:tc>
          <w:tcPr>
            <w:tcW w:w="4675" w:type="dxa"/>
          </w:tcPr>
          <w:p w14:paraId="05DD7C5F" w14:textId="77777777" w:rsidR="00F80E94" w:rsidRPr="006E7E81" w:rsidRDefault="00F80E94" w:rsidP="00306CF3"/>
        </w:tc>
      </w:tr>
    </w:tbl>
    <w:p w14:paraId="307AE2AF" w14:textId="77777777" w:rsidR="00F80E94" w:rsidRPr="006D6778" w:rsidRDefault="00F80E94" w:rsidP="00F80E94">
      <w:pPr>
        <w:ind w:right="18"/>
        <w:rPr>
          <w:b/>
          <w:u w:val="single"/>
        </w:rPr>
      </w:pPr>
      <w:r w:rsidRPr="006D6778">
        <w:rPr>
          <w:b/>
          <w:u w:val="single"/>
        </w:rPr>
        <w:t>Signage</w:t>
      </w:r>
    </w:p>
    <w:p w14:paraId="75570EC4" w14:textId="77777777" w:rsidR="00F80E94" w:rsidRPr="006D6778" w:rsidRDefault="00F80E94" w:rsidP="00F80E94">
      <w:r w:rsidRPr="006D6778">
        <w:t>The OCE Sign Shop produces high</w:t>
      </w:r>
      <w:r w:rsidRPr="006D6778">
        <w:rPr>
          <w:rFonts w:ascii="Cambria Math" w:hAnsi="Cambria Math" w:cs="Cambria Math"/>
        </w:rPr>
        <w:t>‑</w:t>
      </w:r>
      <w:r w:rsidRPr="006D6778">
        <w:t>quality signage for city, county, state, and federal customers. Products include:</w:t>
      </w:r>
    </w:p>
    <w:tbl>
      <w:tblPr>
        <w:tblStyle w:val="TableGrid"/>
        <w:tblW w:w="0" w:type="auto"/>
        <w:tblLook w:val="04A0" w:firstRow="1" w:lastRow="0" w:firstColumn="1" w:lastColumn="0" w:noHBand="0" w:noVBand="1"/>
      </w:tblPr>
      <w:tblGrid>
        <w:gridCol w:w="4675"/>
        <w:gridCol w:w="4675"/>
      </w:tblGrid>
      <w:tr w:rsidR="00F80E94" w:rsidRPr="006D6778" w14:paraId="5DD0AB9C" w14:textId="77777777" w:rsidTr="00306CF3">
        <w:tc>
          <w:tcPr>
            <w:tcW w:w="4675" w:type="dxa"/>
          </w:tcPr>
          <w:p w14:paraId="27DE6213" w14:textId="77777777" w:rsidR="00F80E94" w:rsidRPr="006D6778" w:rsidRDefault="00F80E94" w:rsidP="00306CF3">
            <w:r w:rsidRPr="006D6778">
              <w:t>Reflective Aluminum and Wooden Traffic Signs</w:t>
            </w:r>
          </w:p>
        </w:tc>
        <w:tc>
          <w:tcPr>
            <w:tcW w:w="4675" w:type="dxa"/>
          </w:tcPr>
          <w:p w14:paraId="196549E6" w14:textId="77777777" w:rsidR="00F80E94" w:rsidRPr="006D6778" w:rsidRDefault="00F80E94" w:rsidP="00306CF3">
            <w:r w:rsidRPr="006D6778">
              <w:t xml:space="preserve">Street and Parking Lot Signs  </w:t>
            </w:r>
          </w:p>
        </w:tc>
      </w:tr>
      <w:tr w:rsidR="00F80E94" w:rsidRPr="006D6778" w14:paraId="68C86FCA" w14:textId="77777777" w:rsidTr="00306CF3">
        <w:tc>
          <w:tcPr>
            <w:tcW w:w="4675" w:type="dxa"/>
          </w:tcPr>
          <w:p w14:paraId="29545C36" w14:textId="77777777" w:rsidR="00F80E94" w:rsidRPr="006D6778" w:rsidRDefault="00F80E94" w:rsidP="00306CF3">
            <w:r w:rsidRPr="006D6778">
              <w:t xml:space="preserve"> ADA Signage</w:t>
            </w:r>
          </w:p>
        </w:tc>
        <w:tc>
          <w:tcPr>
            <w:tcW w:w="4675" w:type="dxa"/>
          </w:tcPr>
          <w:p w14:paraId="2462439C" w14:textId="77777777" w:rsidR="00F80E94" w:rsidRPr="006D6778" w:rsidRDefault="00F80E94" w:rsidP="00306CF3">
            <w:r w:rsidRPr="006D6778">
              <w:t xml:space="preserve"> Desk Plates, door signs, and name tags</w:t>
            </w:r>
          </w:p>
        </w:tc>
      </w:tr>
      <w:tr w:rsidR="00F80E94" w:rsidRPr="006D6778" w14:paraId="5A9A6FFD" w14:textId="77777777" w:rsidTr="00306CF3">
        <w:tc>
          <w:tcPr>
            <w:tcW w:w="4675" w:type="dxa"/>
          </w:tcPr>
          <w:p w14:paraId="6C759A75" w14:textId="77777777" w:rsidR="00F80E94" w:rsidRPr="006D6778" w:rsidRDefault="00F80E94" w:rsidP="00306CF3">
            <w:r w:rsidRPr="006D6778">
              <w:t xml:space="preserve"> Appreciation and Award Plaques</w:t>
            </w:r>
          </w:p>
        </w:tc>
        <w:tc>
          <w:tcPr>
            <w:tcW w:w="4675" w:type="dxa"/>
          </w:tcPr>
          <w:p w14:paraId="76B360EE" w14:textId="77777777" w:rsidR="00F80E94" w:rsidRPr="006D6778" w:rsidRDefault="00F80E94" w:rsidP="00306CF3">
            <w:r w:rsidRPr="006D6778">
              <w:t xml:space="preserve"> Custom signage based on customer designs</w:t>
            </w:r>
          </w:p>
        </w:tc>
      </w:tr>
    </w:tbl>
    <w:p w14:paraId="71C71B8B" w14:textId="77777777" w:rsidR="00F80E94" w:rsidRPr="006D6778" w:rsidRDefault="00F80E94" w:rsidP="00F80E94">
      <w:pPr>
        <w:ind w:right="18"/>
        <w:rPr>
          <w:b/>
        </w:rPr>
      </w:pPr>
    </w:p>
    <w:p w14:paraId="7E788D24" w14:textId="77777777" w:rsidR="00F80E94" w:rsidRPr="006D6778" w:rsidRDefault="00F80E94" w:rsidP="001C6B82">
      <w:pPr>
        <w:pStyle w:val="Heading4"/>
      </w:pPr>
      <w:r w:rsidRPr="006D6778">
        <w:t>Metal and Wood Products</w:t>
      </w:r>
    </w:p>
    <w:p w14:paraId="71CBA2C6" w14:textId="498C4EBF" w:rsidR="00F80E94" w:rsidRPr="006D6778" w:rsidRDefault="00F80E94" w:rsidP="00F80E94">
      <w:r>
        <w:t xml:space="preserve">OCE operates </w:t>
      </w:r>
      <w:r w:rsidR="15D140D8">
        <w:t>full-service</w:t>
      </w:r>
      <w:r>
        <w:t xml:space="preserve"> fabrication shops producing:</w:t>
      </w:r>
    </w:p>
    <w:tbl>
      <w:tblPr>
        <w:tblStyle w:val="TableGrid"/>
        <w:tblW w:w="0" w:type="auto"/>
        <w:tblLook w:val="04A0" w:firstRow="1" w:lastRow="0" w:firstColumn="1" w:lastColumn="0" w:noHBand="0" w:noVBand="1"/>
      </w:tblPr>
      <w:tblGrid>
        <w:gridCol w:w="5014"/>
        <w:gridCol w:w="4336"/>
      </w:tblGrid>
      <w:tr w:rsidR="00F80E94" w:rsidRPr="006D6778" w14:paraId="2C53A8EF" w14:textId="77777777" w:rsidTr="00306CF3">
        <w:tc>
          <w:tcPr>
            <w:tcW w:w="5014" w:type="dxa"/>
          </w:tcPr>
          <w:p w14:paraId="2C307A25" w14:textId="77777777" w:rsidR="00F80E94" w:rsidRPr="006D6778" w:rsidRDefault="00F80E94" w:rsidP="00306CF3">
            <w:r w:rsidRPr="006D6778">
              <w:t>Fire rings, picnic tables, park furniture</w:t>
            </w:r>
          </w:p>
        </w:tc>
        <w:tc>
          <w:tcPr>
            <w:tcW w:w="4336" w:type="dxa"/>
          </w:tcPr>
          <w:p w14:paraId="5ACAACCA" w14:textId="77777777" w:rsidR="00F80E94" w:rsidRPr="006D6778" w:rsidRDefault="00F80E94" w:rsidP="00306CF3">
            <w:r w:rsidRPr="006D6778">
              <w:t>Gates, bike racks, lockers</w:t>
            </w:r>
          </w:p>
        </w:tc>
      </w:tr>
      <w:tr w:rsidR="00F80E94" w:rsidRPr="006D6778" w14:paraId="0CA3EBC3" w14:textId="77777777" w:rsidTr="00306CF3">
        <w:tc>
          <w:tcPr>
            <w:tcW w:w="5014" w:type="dxa"/>
          </w:tcPr>
          <w:p w14:paraId="2084B3B7" w14:textId="77777777" w:rsidR="00F80E94" w:rsidRPr="006D6778" w:rsidRDefault="00F80E94" w:rsidP="00306CF3">
            <w:r w:rsidRPr="006D6778">
              <w:t xml:space="preserve">Fleet equipment such as </w:t>
            </w:r>
            <w:proofErr w:type="gramStart"/>
            <w:r w:rsidRPr="006D6778">
              <w:t>dump</w:t>
            </w:r>
            <w:proofErr w:type="gramEnd"/>
            <w:r w:rsidRPr="006D6778">
              <w:t xml:space="preserve"> beds, sanders, deicers</w:t>
            </w:r>
          </w:p>
        </w:tc>
        <w:tc>
          <w:tcPr>
            <w:tcW w:w="4336" w:type="dxa"/>
          </w:tcPr>
          <w:p w14:paraId="1DEF339F" w14:textId="77777777" w:rsidR="00F80E94" w:rsidRPr="006D6778" w:rsidRDefault="00F80E94" w:rsidP="00306CF3">
            <w:r w:rsidRPr="006D6778">
              <w:t xml:space="preserve">Installation and refurbishing </w:t>
            </w:r>
          </w:p>
          <w:p w14:paraId="7C9C20D1" w14:textId="77777777" w:rsidR="00F80E94" w:rsidRPr="006D6778" w:rsidRDefault="00F80E94" w:rsidP="00306CF3"/>
        </w:tc>
      </w:tr>
      <w:tr w:rsidR="00F80E94" w:rsidRPr="006D6778" w14:paraId="0BF3F0CB" w14:textId="77777777" w:rsidTr="00306CF3">
        <w:tc>
          <w:tcPr>
            <w:tcW w:w="5014" w:type="dxa"/>
          </w:tcPr>
          <w:p w14:paraId="079858CE" w14:textId="77777777" w:rsidR="00F80E94" w:rsidRPr="006D6778" w:rsidRDefault="00F80E94" w:rsidP="00306CF3">
            <w:r w:rsidRPr="006D6778">
              <w:t>Institutional and office furniture</w:t>
            </w:r>
          </w:p>
        </w:tc>
        <w:tc>
          <w:tcPr>
            <w:tcW w:w="4336" w:type="dxa"/>
          </w:tcPr>
          <w:p w14:paraId="7A939CD1" w14:textId="77777777" w:rsidR="00F80E94" w:rsidRPr="006D6778" w:rsidRDefault="00F80E94" w:rsidP="00306CF3">
            <w:r w:rsidRPr="006D6778">
              <w:t>Custom projects</w:t>
            </w:r>
          </w:p>
        </w:tc>
      </w:tr>
    </w:tbl>
    <w:p w14:paraId="286960C2" w14:textId="77777777" w:rsidR="00F80E94" w:rsidRPr="006D6778" w:rsidRDefault="00F80E94" w:rsidP="00F80E94">
      <w:pPr>
        <w:ind w:right="18"/>
        <w:rPr>
          <w:b/>
          <w:u w:val="single"/>
        </w:rPr>
      </w:pPr>
    </w:p>
    <w:p w14:paraId="6DB1B11D" w14:textId="77777777" w:rsidR="00F80E94" w:rsidRPr="006E7E81" w:rsidRDefault="00F80E94" w:rsidP="001C6B82">
      <w:pPr>
        <w:pStyle w:val="Heading4"/>
      </w:pPr>
      <w:r w:rsidRPr="006E7E81">
        <w:t>Furniture and Cabinetry</w:t>
      </w:r>
    </w:p>
    <w:p w14:paraId="54E4A00B" w14:textId="77777777" w:rsidR="00F80E94" w:rsidRPr="006E7E81" w:rsidRDefault="00F80E94" w:rsidP="00A23876">
      <w:r w:rsidRPr="006E7E81">
        <w:t>OCE manufactures durable furniture for government and institutional environments.</w:t>
      </w:r>
    </w:p>
    <w:p w14:paraId="61DC9F3C" w14:textId="77777777" w:rsidR="00F80E94" w:rsidRPr="006E7E81" w:rsidRDefault="00F80E94" w:rsidP="00A23876">
      <w:r w:rsidRPr="006E7E81">
        <w:rPr>
          <w:b/>
        </w:rPr>
        <w:t>Office Furniture:</w:t>
      </w:r>
      <w:r w:rsidRPr="006E7E81">
        <w:t xml:space="preserve"> Desks, workstations, adjustable tables, seating, credenzas, conference tables, file storage, and more, using high quality materials and finishes. Laminate choices meet or exceed ANSI/BHMA quality rating.</w:t>
      </w:r>
    </w:p>
    <w:p w14:paraId="67D5A772" w14:textId="77777777" w:rsidR="00F80E94" w:rsidRPr="006E7E81" w:rsidRDefault="00F80E94" w:rsidP="00A23876">
      <w:r w:rsidRPr="006E7E81">
        <w:rPr>
          <w:b/>
        </w:rPr>
        <w:t xml:space="preserve">Dormitory Furnishings: </w:t>
      </w:r>
      <w:r w:rsidRPr="006E7E81">
        <w:t xml:space="preserve">Beds, wardrobes, study desks, and associated items. </w:t>
      </w:r>
    </w:p>
    <w:p w14:paraId="0A85BAC7" w14:textId="77777777" w:rsidR="00F80E94" w:rsidRPr="006E7E81" w:rsidRDefault="00F80E94" w:rsidP="00A23876">
      <w:r w:rsidRPr="006E7E81">
        <w:rPr>
          <w:b/>
        </w:rPr>
        <w:t xml:space="preserve">Lounge Furniture: </w:t>
      </w:r>
      <w:r w:rsidRPr="006E7E81">
        <w:t>Upholstered seating, couches, guest chairs, tables, and reception pieces.</w:t>
      </w:r>
    </w:p>
    <w:p w14:paraId="475B0928" w14:textId="77777777" w:rsidR="00F80E94" w:rsidRPr="006E7E81" w:rsidRDefault="00F80E94" w:rsidP="00A23876">
      <w:r w:rsidRPr="006E7E81">
        <w:rPr>
          <w:b/>
        </w:rPr>
        <w:t>Cabinetry and Casework:</w:t>
      </w:r>
      <w:r w:rsidRPr="006E7E81">
        <w:t xml:space="preserve"> Custom-built cabinets, countertops, wall</w:t>
      </w:r>
      <w:r w:rsidRPr="006E7E81">
        <w:noBreakHyphen/>
        <w:t>mounted units, wardrobes, and complete installation services.</w:t>
      </w:r>
    </w:p>
    <w:p w14:paraId="0A7B2B76" w14:textId="2C7A1994" w:rsidR="00F80E94" w:rsidRPr="006E7E81" w:rsidRDefault="00F80E94" w:rsidP="00A23876">
      <w:r w:rsidRPr="006E7E81">
        <w:rPr>
          <w:b/>
          <w:bCs/>
        </w:rPr>
        <w:t>Contact for more information:</w:t>
      </w:r>
      <w:r w:rsidRPr="006E7E81">
        <w:rPr>
          <w:b/>
        </w:rPr>
        <w:t xml:space="preserve"> Inside Sales Unit at 800-776-7712 or 503-428-5500 or</w:t>
      </w:r>
      <w:r w:rsidR="00A23876">
        <w:rPr>
          <w:b/>
        </w:rPr>
        <w:t xml:space="preserve"> on the </w:t>
      </w:r>
      <w:hyperlink r:id="rId62" w:history="1">
        <w:r w:rsidR="00A23876" w:rsidRPr="002F24D9">
          <w:rPr>
            <w:rStyle w:val="Hyperlink"/>
            <w:b/>
            <w:color w:val="auto"/>
          </w:rPr>
          <w:t>OCE website</w:t>
        </w:r>
      </w:hyperlink>
      <w:r w:rsidR="00A23876">
        <w:rPr>
          <w:b/>
        </w:rPr>
        <w:t>.</w:t>
      </w:r>
    </w:p>
    <w:p w14:paraId="35C482E9" w14:textId="77777777" w:rsidR="00F80E94" w:rsidRPr="00E07EAE" w:rsidRDefault="00F80E94" w:rsidP="001C6B82">
      <w:pPr>
        <w:pStyle w:val="Heading3"/>
      </w:pPr>
      <w:bookmarkStart w:id="108" w:name="_Toc226108650"/>
      <w:bookmarkStart w:id="109" w:name="_Toc226981076"/>
      <w:r w:rsidRPr="00E07EAE">
        <w:lastRenderedPageBreak/>
        <w:t>Department of Justice</w:t>
      </w:r>
      <w:bookmarkEnd w:id="108"/>
      <w:bookmarkEnd w:id="109"/>
    </w:p>
    <w:p w14:paraId="4EDEEC93" w14:textId="77777777" w:rsidR="00F80E94" w:rsidRPr="00A23876" w:rsidRDefault="00F80E94" w:rsidP="001C6B82">
      <w:pPr>
        <w:pStyle w:val="Heading4"/>
      </w:pPr>
      <w:bookmarkStart w:id="110" w:name="_Toc226108651"/>
      <w:r w:rsidRPr="00E07EAE">
        <w:t>Attorney General’s Office - Legal Services Charge</w:t>
      </w:r>
      <w:bookmarkEnd w:id="110"/>
    </w:p>
    <w:p w14:paraId="5926ABA0" w14:textId="77777777" w:rsidR="00F80E94" w:rsidRPr="00E07EAE" w:rsidRDefault="00F80E94" w:rsidP="00A23876">
      <w:r w:rsidRPr="00E07EAE">
        <w:t>Pursuant to ORS 180.160: “Subject to rules prescribed by the Attorney General, in rendering assistance to the respective officers, departments, boards and commissions of state government, and other public bodies, the Department of Justice may charge such officers, agencies and public bodies (including, when appropriate, the Department of Justice itself) separately for the cost of such assistance, said cost including, but not limited to salaries of assistants and administrative and clerical salaries, investigative services, and capital outlay; and shall also charge such officers, departments, boards, commissions or public bodies for other costs incurred and disbursements made pursuant to request or authorization in connection with such assistance, and not paid directly out of moneys appropriated or otherwise available for expenditure by such officers, agencies or public bodies.”</w:t>
      </w:r>
    </w:p>
    <w:tbl>
      <w:tblPr>
        <w:tblW w:w="7299" w:type="dxa"/>
        <w:jc w:val="center"/>
        <w:tblLook w:val="04A0" w:firstRow="1" w:lastRow="0" w:firstColumn="1" w:lastColumn="0" w:noHBand="0" w:noVBand="1"/>
      </w:tblPr>
      <w:tblGrid>
        <w:gridCol w:w="2925"/>
        <w:gridCol w:w="1456"/>
        <w:gridCol w:w="1456"/>
        <w:gridCol w:w="1462"/>
      </w:tblGrid>
      <w:tr w:rsidR="00F80E94" w:rsidRPr="00E07EAE" w14:paraId="134E3390" w14:textId="77777777" w:rsidTr="00306CF3">
        <w:trPr>
          <w:trHeight w:val="733"/>
          <w:jc w:val="center"/>
        </w:trPr>
        <w:tc>
          <w:tcPr>
            <w:tcW w:w="7299" w:type="dxa"/>
            <w:gridSpan w:val="4"/>
            <w:tcBorders>
              <w:top w:val="single" w:sz="4" w:space="0" w:color="auto"/>
              <w:left w:val="single" w:sz="4" w:space="0" w:color="auto"/>
              <w:bottom w:val="single" w:sz="4" w:space="0" w:color="auto"/>
              <w:right w:val="single" w:sz="4" w:space="0" w:color="000000"/>
            </w:tcBorders>
            <w:vAlign w:val="bottom"/>
            <w:hideMark/>
          </w:tcPr>
          <w:p w14:paraId="3B930C5E" w14:textId="77777777" w:rsidR="00F80E94" w:rsidRPr="00E07EAE" w:rsidRDefault="00F80E94" w:rsidP="00306CF3">
            <w:pPr>
              <w:spacing w:after="0" w:line="240" w:lineRule="auto"/>
              <w:jc w:val="center"/>
              <w:rPr>
                <w:rFonts w:eastAsia="Times New Roman" w:cs="Calibri"/>
                <w:b/>
                <w:bCs/>
              </w:rPr>
            </w:pPr>
            <w:r w:rsidRPr="00E07EAE">
              <w:rPr>
                <w:rFonts w:eastAsia="Times New Roman" w:cs="Calibri"/>
                <w:b/>
                <w:bCs/>
              </w:rPr>
              <w:t>Department of Justice</w:t>
            </w:r>
            <w:r w:rsidRPr="00E07EAE">
              <w:rPr>
                <w:rFonts w:eastAsia="Times New Roman" w:cs="Calibri"/>
                <w:b/>
                <w:bCs/>
              </w:rPr>
              <w:br/>
              <w:t>Attorney General's Office</w:t>
            </w:r>
          </w:p>
        </w:tc>
      </w:tr>
      <w:tr w:rsidR="00F80E94" w:rsidRPr="00E07EAE" w14:paraId="6D62F23A" w14:textId="77777777" w:rsidTr="006438AF">
        <w:trPr>
          <w:trHeight w:val="577"/>
          <w:jc w:val="center"/>
        </w:trPr>
        <w:tc>
          <w:tcPr>
            <w:tcW w:w="2925" w:type="dxa"/>
            <w:tcBorders>
              <w:top w:val="nil"/>
              <w:left w:val="single" w:sz="4" w:space="0" w:color="auto"/>
              <w:bottom w:val="single" w:sz="4" w:space="0" w:color="auto"/>
              <w:right w:val="single" w:sz="4" w:space="0" w:color="auto"/>
            </w:tcBorders>
            <w:shd w:val="clear" w:color="000000" w:fill="D9D9D9"/>
            <w:noWrap/>
            <w:vAlign w:val="bottom"/>
            <w:hideMark/>
          </w:tcPr>
          <w:p w14:paraId="3A1CE4BE" w14:textId="77777777" w:rsidR="00F80E94" w:rsidRPr="00E07EAE" w:rsidRDefault="00F80E94" w:rsidP="00306CF3">
            <w:pPr>
              <w:spacing w:after="0" w:line="240" w:lineRule="auto"/>
              <w:jc w:val="center"/>
              <w:rPr>
                <w:rFonts w:eastAsia="Times New Roman" w:cs="Calibri"/>
                <w:b/>
                <w:bCs/>
              </w:rPr>
            </w:pPr>
            <w:r w:rsidRPr="00E07EAE">
              <w:rPr>
                <w:rFonts w:eastAsia="Times New Roman" w:cs="Calibri"/>
                <w:b/>
                <w:bCs/>
              </w:rPr>
              <w:t>Service</w:t>
            </w:r>
          </w:p>
        </w:tc>
        <w:tc>
          <w:tcPr>
            <w:tcW w:w="1456" w:type="dxa"/>
            <w:tcBorders>
              <w:top w:val="nil"/>
              <w:left w:val="nil"/>
              <w:bottom w:val="single" w:sz="4" w:space="0" w:color="auto"/>
              <w:right w:val="single" w:sz="4" w:space="0" w:color="auto"/>
            </w:tcBorders>
            <w:shd w:val="clear" w:color="000000" w:fill="D9D9D9"/>
            <w:vAlign w:val="bottom"/>
            <w:hideMark/>
          </w:tcPr>
          <w:p w14:paraId="0180272B" w14:textId="19167413" w:rsidR="00F80E94" w:rsidRPr="00E07EAE" w:rsidRDefault="00F80E94" w:rsidP="00306CF3">
            <w:pPr>
              <w:spacing w:after="0" w:line="240" w:lineRule="auto"/>
              <w:jc w:val="center"/>
              <w:rPr>
                <w:rFonts w:eastAsia="Times New Roman" w:cs="Calibri"/>
                <w:b/>
                <w:bCs/>
              </w:rPr>
            </w:pPr>
            <w:r w:rsidRPr="00E07EAE">
              <w:rPr>
                <w:rFonts w:eastAsia="Times New Roman" w:cs="Calibri"/>
                <w:b/>
                <w:bCs/>
              </w:rPr>
              <w:t>202</w:t>
            </w:r>
            <w:r w:rsidR="006438AF">
              <w:rPr>
                <w:rFonts w:eastAsia="Times New Roman" w:cs="Calibri"/>
                <w:b/>
                <w:bCs/>
              </w:rPr>
              <w:t>3</w:t>
            </w:r>
            <w:r w:rsidRPr="00E07EAE">
              <w:rPr>
                <w:rFonts w:eastAsia="Times New Roman" w:cs="Calibri"/>
                <w:b/>
                <w:bCs/>
              </w:rPr>
              <w:t>-2</w:t>
            </w:r>
            <w:r w:rsidR="006438AF">
              <w:rPr>
                <w:rFonts w:eastAsia="Times New Roman" w:cs="Calibri"/>
                <w:b/>
                <w:bCs/>
              </w:rPr>
              <w:t>5</w:t>
            </w:r>
            <w:r w:rsidRPr="00E07EAE">
              <w:rPr>
                <w:rFonts w:eastAsia="Times New Roman" w:cs="Calibri"/>
                <w:b/>
                <w:bCs/>
              </w:rPr>
              <w:br/>
              <w:t>hourly rate</w:t>
            </w:r>
          </w:p>
        </w:tc>
        <w:tc>
          <w:tcPr>
            <w:tcW w:w="1456" w:type="dxa"/>
            <w:tcBorders>
              <w:top w:val="nil"/>
              <w:left w:val="nil"/>
              <w:bottom w:val="single" w:sz="4" w:space="0" w:color="auto"/>
              <w:right w:val="single" w:sz="4" w:space="0" w:color="auto"/>
            </w:tcBorders>
            <w:shd w:val="clear" w:color="000000" w:fill="D9D9D9"/>
            <w:vAlign w:val="bottom"/>
            <w:hideMark/>
          </w:tcPr>
          <w:p w14:paraId="2C6B3D71" w14:textId="7AC34B67" w:rsidR="00F80E94" w:rsidRPr="00E07EAE" w:rsidRDefault="00F80E94" w:rsidP="00306CF3">
            <w:pPr>
              <w:spacing w:after="0" w:line="240" w:lineRule="auto"/>
              <w:jc w:val="center"/>
              <w:rPr>
                <w:rFonts w:eastAsia="Times New Roman" w:cs="Calibri"/>
                <w:b/>
                <w:bCs/>
              </w:rPr>
            </w:pPr>
            <w:r w:rsidRPr="00E07EAE">
              <w:rPr>
                <w:rFonts w:eastAsia="Times New Roman" w:cs="Calibri"/>
                <w:b/>
                <w:bCs/>
              </w:rPr>
              <w:t>202</w:t>
            </w:r>
            <w:r w:rsidR="006438AF">
              <w:rPr>
                <w:rFonts w:eastAsia="Times New Roman" w:cs="Calibri"/>
                <w:b/>
                <w:bCs/>
              </w:rPr>
              <w:t>5</w:t>
            </w:r>
            <w:r w:rsidRPr="00E07EAE">
              <w:rPr>
                <w:rFonts w:eastAsia="Times New Roman" w:cs="Calibri"/>
                <w:b/>
                <w:bCs/>
              </w:rPr>
              <w:t>-2</w:t>
            </w:r>
            <w:r w:rsidR="006438AF">
              <w:rPr>
                <w:rFonts w:eastAsia="Times New Roman" w:cs="Calibri"/>
                <w:b/>
                <w:bCs/>
              </w:rPr>
              <w:t>7</w:t>
            </w:r>
            <w:r w:rsidRPr="00E07EAE">
              <w:rPr>
                <w:rFonts w:eastAsia="Times New Roman" w:cs="Calibri"/>
                <w:b/>
                <w:bCs/>
              </w:rPr>
              <w:br/>
              <w:t>hourly rate</w:t>
            </w:r>
          </w:p>
        </w:tc>
        <w:tc>
          <w:tcPr>
            <w:tcW w:w="1462" w:type="dxa"/>
            <w:tcBorders>
              <w:top w:val="nil"/>
              <w:left w:val="nil"/>
              <w:bottom w:val="single" w:sz="4" w:space="0" w:color="auto"/>
              <w:right w:val="single" w:sz="4" w:space="0" w:color="auto"/>
            </w:tcBorders>
            <w:shd w:val="clear" w:color="000000" w:fill="D9D9D9"/>
            <w:vAlign w:val="bottom"/>
            <w:hideMark/>
          </w:tcPr>
          <w:p w14:paraId="2920E0F5" w14:textId="7EEE0D95" w:rsidR="00F80E94" w:rsidRPr="00E07EAE" w:rsidRDefault="00F80E94" w:rsidP="00306CF3">
            <w:pPr>
              <w:spacing w:after="0" w:line="240" w:lineRule="auto"/>
              <w:jc w:val="center"/>
              <w:rPr>
                <w:rFonts w:eastAsia="Times New Roman" w:cs="Calibri"/>
                <w:b/>
                <w:bCs/>
              </w:rPr>
            </w:pPr>
            <w:r w:rsidRPr="00E07EAE">
              <w:rPr>
                <w:rFonts w:eastAsia="Times New Roman" w:cs="Calibri"/>
                <w:b/>
                <w:bCs/>
              </w:rPr>
              <w:t>202</w:t>
            </w:r>
            <w:r w:rsidR="006438AF">
              <w:rPr>
                <w:rFonts w:eastAsia="Times New Roman" w:cs="Calibri"/>
                <w:b/>
                <w:bCs/>
              </w:rPr>
              <w:t>7</w:t>
            </w:r>
            <w:r w:rsidRPr="00E07EAE">
              <w:rPr>
                <w:rFonts w:eastAsia="Times New Roman" w:cs="Calibri"/>
                <w:b/>
                <w:bCs/>
              </w:rPr>
              <w:t>-2</w:t>
            </w:r>
            <w:r w:rsidR="006438AF">
              <w:rPr>
                <w:rFonts w:eastAsia="Times New Roman" w:cs="Calibri"/>
                <w:b/>
                <w:bCs/>
              </w:rPr>
              <w:t>9</w:t>
            </w:r>
            <w:r w:rsidRPr="00E07EAE">
              <w:rPr>
                <w:rFonts w:eastAsia="Times New Roman" w:cs="Calibri"/>
                <w:b/>
                <w:bCs/>
              </w:rPr>
              <w:br/>
              <w:t>hourly rate</w:t>
            </w:r>
          </w:p>
        </w:tc>
      </w:tr>
      <w:tr w:rsidR="006438AF" w:rsidRPr="00E07EAE" w14:paraId="55F9DB0C" w14:textId="77777777" w:rsidTr="006438AF">
        <w:trPr>
          <w:trHeight w:val="288"/>
          <w:jc w:val="center"/>
        </w:trPr>
        <w:tc>
          <w:tcPr>
            <w:tcW w:w="2925" w:type="dxa"/>
            <w:tcBorders>
              <w:top w:val="nil"/>
              <w:left w:val="single" w:sz="4" w:space="0" w:color="auto"/>
              <w:bottom w:val="single" w:sz="4" w:space="0" w:color="auto"/>
              <w:right w:val="single" w:sz="4" w:space="0" w:color="auto"/>
            </w:tcBorders>
            <w:noWrap/>
            <w:vAlign w:val="bottom"/>
            <w:hideMark/>
          </w:tcPr>
          <w:p w14:paraId="07F38DC0" w14:textId="77777777" w:rsidR="006438AF" w:rsidRPr="00E07EAE" w:rsidRDefault="006438AF" w:rsidP="006438AF">
            <w:pPr>
              <w:spacing w:after="0" w:line="240" w:lineRule="auto"/>
              <w:rPr>
                <w:rFonts w:eastAsia="Times New Roman" w:cs="Calibri"/>
              </w:rPr>
            </w:pPr>
            <w:r w:rsidRPr="00E07EAE">
              <w:rPr>
                <w:rFonts w:eastAsia="Times New Roman" w:cs="Calibri"/>
              </w:rPr>
              <w:t>Assistant Attorney General</w:t>
            </w:r>
          </w:p>
        </w:tc>
        <w:tc>
          <w:tcPr>
            <w:tcW w:w="1456" w:type="dxa"/>
            <w:tcBorders>
              <w:top w:val="nil"/>
              <w:left w:val="nil"/>
              <w:bottom w:val="single" w:sz="4" w:space="0" w:color="auto"/>
              <w:right w:val="single" w:sz="4" w:space="0" w:color="auto"/>
            </w:tcBorders>
            <w:noWrap/>
            <w:vAlign w:val="bottom"/>
            <w:hideMark/>
          </w:tcPr>
          <w:p w14:paraId="2591C58F" w14:textId="62D3456D" w:rsidR="006438AF" w:rsidRPr="00E07EAE" w:rsidRDefault="006438AF" w:rsidP="006438AF">
            <w:pPr>
              <w:spacing w:after="0" w:line="240" w:lineRule="auto"/>
              <w:jc w:val="right"/>
              <w:rPr>
                <w:rFonts w:eastAsia="Times New Roman" w:cs="Calibri"/>
              </w:rPr>
            </w:pPr>
            <w:r w:rsidRPr="00E07EAE">
              <w:rPr>
                <w:rFonts w:eastAsia="Times New Roman" w:cs="Calibri"/>
              </w:rPr>
              <w:t>$275</w:t>
            </w:r>
          </w:p>
        </w:tc>
        <w:tc>
          <w:tcPr>
            <w:tcW w:w="1456" w:type="dxa"/>
            <w:tcBorders>
              <w:top w:val="nil"/>
              <w:left w:val="nil"/>
              <w:bottom w:val="single" w:sz="4" w:space="0" w:color="auto"/>
              <w:right w:val="single" w:sz="4" w:space="0" w:color="auto"/>
            </w:tcBorders>
            <w:noWrap/>
            <w:vAlign w:val="bottom"/>
            <w:hideMark/>
          </w:tcPr>
          <w:p w14:paraId="6454CB60" w14:textId="5949DA6A" w:rsidR="006438AF" w:rsidRPr="00E07EAE" w:rsidRDefault="006438AF" w:rsidP="006438AF">
            <w:pPr>
              <w:spacing w:after="0" w:line="240" w:lineRule="auto"/>
              <w:jc w:val="right"/>
              <w:rPr>
                <w:rFonts w:eastAsia="Times New Roman" w:cs="Calibri"/>
              </w:rPr>
            </w:pPr>
            <w:r w:rsidRPr="00E07EAE">
              <w:rPr>
                <w:rFonts w:eastAsia="Times New Roman" w:cs="Calibri"/>
              </w:rPr>
              <w:t>$352</w:t>
            </w:r>
          </w:p>
        </w:tc>
        <w:tc>
          <w:tcPr>
            <w:tcW w:w="1462" w:type="dxa"/>
            <w:tcBorders>
              <w:top w:val="nil"/>
              <w:left w:val="nil"/>
              <w:bottom w:val="single" w:sz="4" w:space="0" w:color="auto"/>
              <w:right w:val="single" w:sz="4" w:space="0" w:color="auto"/>
            </w:tcBorders>
            <w:noWrap/>
            <w:vAlign w:val="bottom"/>
            <w:hideMark/>
          </w:tcPr>
          <w:p w14:paraId="240B0635" w14:textId="0CCFAAD8" w:rsidR="006438AF" w:rsidRPr="00E07EAE" w:rsidRDefault="006438AF" w:rsidP="006438AF">
            <w:pPr>
              <w:spacing w:after="0" w:line="240" w:lineRule="auto"/>
              <w:jc w:val="right"/>
              <w:rPr>
                <w:rFonts w:eastAsia="Times New Roman" w:cs="Calibri"/>
              </w:rPr>
            </w:pPr>
            <w:r w:rsidRPr="00E07EAE">
              <w:rPr>
                <w:rFonts w:eastAsia="Times New Roman" w:cs="Calibri"/>
              </w:rPr>
              <w:t>$3</w:t>
            </w:r>
            <w:r>
              <w:rPr>
                <w:rFonts w:eastAsia="Times New Roman" w:cs="Calibri"/>
              </w:rPr>
              <w:t>80</w:t>
            </w:r>
          </w:p>
        </w:tc>
      </w:tr>
      <w:tr w:rsidR="006438AF" w:rsidRPr="00E07EAE" w14:paraId="06D9429D" w14:textId="77777777" w:rsidTr="006438AF">
        <w:trPr>
          <w:trHeight w:val="288"/>
          <w:jc w:val="center"/>
        </w:trPr>
        <w:tc>
          <w:tcPr>
            <w:tcW w:w="2925" w:type="dxa"/>
            <w:tcBorders>
              <w:top w:val="nil"/>
              <w:left w:val="single" w:sz="4" w:space="0" w:color="auto"/>
              <w:bottom w:val="single" w:sz="4" w:space="0" w:color="auto"/>
              <w:right w:val="single" w:sz="4" w:space="0" w:color="auto"/>
            </w:tcBorders>
            <w:noWrap/>
            <w:vAlign w:val="bottom"/>
            <w:hideMark/>
          </w:tcPr>
          <w:p w14:paraId="6D55333F" w14:textId="77777777" w:rsidR="006438AF" w:rsidRPr="00E07EAE" w:rsidRDefault="006438AF" w:rsidP="006438AF">
            <w:pPr>
              <w:spacing w:after="0" w:line="240" w:lineRule="auto"/>
              <w:rPr>
                <w:rFonts w:eastAsia="Times New Roman" w:cs="Calibri"/>
              </w:rPr>
            </w:pPr>
            <w:r w:rsidRPr="00E07EAE">
              <w:rPr>
                <w:rFonts w:eastAsia="Times New Roman" w:cs="Calibri"/>
              </w:rPr>
              <w:t>Investigator</w:t>
            </w:r>
          </w:p>
        </w:tc>
        <w:tc>
          <w:tcPr>
            <w:tcW w:w="1456" w:type="dxa"/>
            <w:tcBorders>
              <w:top w:val="nil"/>
              <w:left w:val="nil"/>
              <w:bottom w:val="single" w:sz="4" w:space="0" w:color="auto"/>
              <w:right w:val="single" w:sz="4" w:space="0" w:color="auto"/>
            </w:tcBorders>
            <w:noWrap/>
            <w:vAlign w:val="bottom"/>
            <w:hideMark/>
          </w:tcPr>
          <w:p w14:paraId="789BFA8F" w14:textId="01FE5FE0" w:rsidR="006438AF" w:rsidRPr="00E07EAE" w:rsidRDefault="006438AF" w:rsidP="006438AF">
            <w:pPr>
              <w:spacing w:after="0" w:line="240" w:lineRule="auto"/>
              <w:jc w:val="right"/>
              <w:rPr>
                <w:rFonts w:eastAsia="Times New Roman" w:cs="Calibri"/>
              </w:rPr>
            </w:pPr>
            <w:r w:rsidRPr="00E07EAE">
              <w:rPr>
                <w:rFonts w:eastAsia="Times New Roman" w:cs="Calibri"/>
              </w:rPr>
              <w:t>$144</w:t>
            </w:r>
          </w:p>
        </w:tc>
        <w:tc>
          <w:tcPr>
            <w:tcW w:w="1456" w:type="dxa"/>
            <w:tcBorders>
              <w:top w:val="nil"/>
              <w:left w:val="nil"/>
              <w:bottom w:val="single" w:sz="4" w:space="0" w:color="auto"/>
              <w:right w:val="single" w:sz="4" w:space="0" w:color="auto"/>
            </w:tcBorders>
            <w:noWrap/>
            <w:vAlign w:val="bottom"/>
            <w:hideMark/>
          </w:tcPr>
          <w:p w14:paraId="12E837C3" w14:textId="16B37616" w:rsidR="006438AF" w:rsidRPr="00E07EAE" w:rsidRDefault="006438AF" w:rsidP="006438AF">
            <w:pPr>
              <w:spacing w:after="0" w:line="240" w:lineRule="auto"/>
              <w:jc w:val="right"/>
              <w:rPr>
                <w:rFonts w:eastAsia="Times New Roman" w:cs="Calibri"/>
              </w:rPr>
            </w:pPr>
            <w:r w:rsidRPr="00E07EAE">
              <w:rPr>
                <w:rFonts w:eastAsia="Times New Roman" w:cs="Calibri"/>
              </w:rPr>
              <w:t>$143</w:t>
            </w:r>
          </w:p>
        </w:tc>
        <w:tc>
          <w:tcPr>
            <w:tcW w:w="1462" w:type="dxa"/>
            <w:tcBorders>
              <w:top w:val="nil"/>
              <w:left w:val="nil"/>
              <w:bottom w:val="single" w:sz="4" w:space="0" w:color="auto"/>
              <w:right w:val="single" w:sz="4" w:space="0" w:color="auto"/>
            </w:tcBorders>
            <w:noWrap/>
            <w:vAlign w:val="bottom"/>
            <w:hideMark/>
          </w:tcPr>
          <w:p w14:paraId="71AFF866" w14:textId="7DDAF6AE" w:rsidR="006438AF" w:rsidRPr="00E07EAE" w:rsidRDefault="006438AF" w:rsidP="006438AF">
            <w:pPr>
              <w:spacing w:after="0" w:line="240" w:lineRule="auto"/>
              <w:jc w:val="right"/>
              <w:rPr>
                <w:rFonts w:eastAsia="Times New Roman" w:cs="Calibri"/>
              </w:rPr>
            </w:pPr>
            <w:r w:rsidRPr="00E07EAE">
              <w:rPr>
                <w:rFonts w:eastAsia="Times New Roman" w:cs="Calibri"/>
              </w:rPr>
              <w:t>$1</w:t>
            </w:r>
            <w:r>
              <w:rPr>
                <w:rFonts w:eastAsia="Times New Roman" w:cs="Calibri"/>
              </w:rPr>
              <w:t>66</w:t>
            </w:r>
          </w:p>
        </w:tc>
      </w:tr>
      <w:tr w:rsidR="006438AF" w:rsidRPr="00E07EAE" w14:paraId="16C4411D" w14:textId="77777777" w:rsidTr="006438AF">
        <w:trPr>
          <w:trHeight w:val="288"/>
          <w:jc w:val="center"/>
        </w:trPr>
        <w:tc>
          <w:tcPr>
            <w:tcW w:w="2925" w:type="dxa"/>
            <w:tcBorders>
              <w:top w:val="nil"/>
              <w:left w:val="single" w:sz="4" w:space="0" w:color="auto"/>
              <w:bottom w:val="single" w:sz="4" w:space="0" w:color="auto"/>
              <w:right w:val="single" w:sz="4" w:space="0" w:color="auto"/>
            </w:tcBorders>
            <w:noWrap/>
            <w:vAlign w:val="bottom"/>
            <w:hideMark/>
          </w:tcPr>
          <w:p w14:paraId="57DD47B1" w14:textId="77777777" w:rsidR="006438AF" w:rsidRPr="00E07EAE" w:rsidRDefault="006438AF" w:rsidP="006438AF">
            <w:pPr>
              <w:spacing w:after="0" w:line="240" w:lineRule="auto"/>
              <w:rPr>
                <w:rFonts w:eastAsia="Times New Roman" w:cs="Calibri"/>
              </w:rPr>
            </w:pPr>
            <w:r w:rsidRPr="00E07EAE">
              <w:rPr>
                <w:rFonts w:eastAsia="Times New Roman" w:cs="Calibri"/>
              </w:rPr>
              <w:t>Paralegal</w:t>
            </w:r>
          </w:p>
        </w:tc>
        <w:tc>
          <w:tcPr>
            <w:tcW w:w="1456" w:type="dxa"/>
            <w:tcBorders>
              <w:top w:val="nil"/>
              <w:left w:val="nil"/>
              <w:bottom w:val="single" w:sz="4" w:space="0" w:color="auto"/>
              <w:right w:val="single" w:sz="4" w:space="0" w:color="auto"/>
            </w:tcBorders>
            <w:noWrap/>
            <w:vAlign w:val="bottom"/>
            <w:hideMark/>
          </w:tcPr>
          <w:p w14:paraId="5F143627" w14:textId="2AF4E485" w:rsidR="006438AF" w:rsidRPr="00E07EAE" w:rsidRDefault="006438AF" w:rsidP="006438AF">
            <w:pPr>
              <w:spacing w:after="0" w:line="240" w:lineRule="auto"/>
              <w:jc w:val="right"/>
              <w:rPr>
                <w:rFonts w:eastAsia="Times New Roman" w:cs="Calibri"/>
              </w:rPr>
            </w:pPr>
            <w:r w:rsidRPr="00E07EAE">
              <w:rPr>
                <w:rFonts w:eastAsia="Times New Roman" w:cs="Calibri"/>
              </w:rPr>
              <w:t>$121</w:t>
            </w:r>
          </w:p>
        </w:tc>
        <w:tc>
          <w:tcPr>
            <w:tcW w:w="1456" w:type="dxa"/>
            <w:tcBorders>
              <w:top w:val="nil"/>
              <w:left w:val="nil"/>
              <w:bottom w:val="single" w:sz="4" w:space="0" w:color="auto"/>
              <w:right w:val="single" w:sz="4" w:space="0" w:color="auto"/>
            </w:tcBorders>
            <w:noWrap/>
            <w:vAlign w:val="bottom"/>
            <w:hideMark/>
          </w:tcPr>
          <w:p w14:paraId="256E62BE" w14:textId="767FF99D" w:rsidR="006438AF" w:rsidRPr="00E07EAE" w:rsidRDefault="006438AF" w:rsidP="006438AF">
            <w:pPr>
              <w:spacing w:after="0" w:line="240" w:lineRule="auto"/>
              <w:jc w:val="right"/>
              <w:rPr>
                <w:rFonts w:eastAsia="Times New Roman" w:cs="Calibri"/>
              </w:rPr>
            </w:pPr>
            <w:r w:rsidRPr="00E07EAE">
              <w:rPr>
                <w:rFonts w:eastAsia="Times New Roman" w:cs="Calibri"/>
              </w:rPr>
              <w:t>$143</w:t>
            </w:r>
          </w:p>
        </w:tc>
        <w:tc>
          <w:tcPr>
            <w:tcW w:w="1462" w:type="dxa"/>
            <w:tcBorders>
              <w:top w:val="nil"/>
              <w:left w:val="nil"/>
              <w:bottom w:val="single" w:sz="4" w:space="0" w:color="auto"/>
              <w:right w:val="single" w:sz="4" w:space="0" w:color="auto"/>
            </w:tcBorders>
            <w:noWrap/>
            <w:vAlign w:val="bottom"/>
            <w:hideMark/>
          </w:tcPr>
          <w:p w14:paraId="16CECE12" w14:textId="3CD08DD2" w:rsidR="006438AF" w:rsidRPr="00E07EAE" w:rsidRDefault="006438AF" w:rsidP="006438AF">
            <w:pPr>
              <w:spacing w:after="0" w:line="240" w:lineRule="auto"/>
              <w:jc w:val="right"/>
              <w:rPr>
                <w:rFonts w:eastAsia="Times New Roman" w:cs="Calibri"/>
              </w:rPr>
            </w:pPr>
            <w:r w:rsidRPr="00E07EAE">
              <w:rPr>
                <w:rFonts w:eastAsia="Times New Roman" w:cs="Calibri"/>
              </w:rPr>
              <w:t>$1</w:t>
            </w:r>
            <w:r>
              <w:rPr>
                <w:rFonts w:eastAsia="Times New Roman" w:cs="Calibri"/>
              </w:rPr>
              <w:t>58</w:t>
            </w:r>
          </w:p>
        </w:tc>
      </w:tr>
      <w:tr w:rsidR="006438AF" w:rsidRPr="00E07EAE" w14:paraId="1A6EB2A5" w14:textId="77777777" w:rsidTr="006438AF">
        <w:trPr>
          <w:trHeight w:val="288"/>
          <w:jc w:val="center"/>
        </w:trPr>
        <w:tc>
          <w:tcPr>
            <w:tcW w:w="2925" w:type="dxa"/>
            <w:tcBorders>
              <w:top w:val="nil"/>
              <w:left w:val="single" w:sz="4" w:space="0" w:color="auto"/>
              <w:bottom w:val="single" w:sz="4" w:space="0" w:color="auto"/>
              <w:right w:val="single" w:sz="4" w:space="0" w:color="auto"/>
            </w:tcBorders>
            <w:noWrap/>
            <w:vAlign w:val="bottom"/>
            <w:hideMark/>
          </w:tcPr>
          <w:p w14:paraId="0202AE56" w14:textId="77777777" w:rsidR="006438AF" w:rsidRPr="00E07EAE" w:rsidRDefault="006438AF" w:rsidP="006438AF">
            <w:pPr>
              <w:spacing w:after="0" w:line="240" w:lineRule="auto"/>
              <w:rPr>
                <w:rFonts w:eastAsia="Times New Roman" w:cs="Calibri"/>
              </w:rPr>
            </w:pPr>
            <w:r w:rsidRPr="00E07EAE">
              <w:rPr>
                <w:rFonts w:eastAsia="Times New Roman" w:cs="Calibri"/>
              </w:rPr>
              <w:t>Law Clerk</w:t>
            </w:r>
          </w:p>
        </w:tc>
        <w:tc>
          <w:tcPr>
            <w:tcW w:w="1456" w:type="dxa"/>
            <w:tcBorders>
              <w:top w:val="nil"/>
              <w:left w:val="nil"/>
              <w:bottom w:val="single" w:sz="4" w:space="0" w:color="auto"/>
              <w:right w:val="single" w:sz="4" w:space="0" w:color="auto"/>
            </w:tcBorders>
            <w:noWrap/>
            <w:vAlign w:val="bottom"/>
            <w:hideMark/>
          </w:tcPr>
          <w:p w14:paraId="3BE6C095" w14:textId="2EC8CC83" w:rsidR="006438AF" w:rsidRPr="00E07EAE" w:rsidRDefault="006438AF" w:rsidP="006438AF">
            <w:pPr>
              <w:spacing w:after="0" w:line="240" w:lineRule="auto"/>
              <w:jc w:val="right"/>
              <w:rPr>
                <w:rFonts w:eastAsia="Times New Roman" w:cs="Calibri"/>
              </w:rPr>
            </w:pPr>
            <w:r w:rsidRPr="00E07EAE">
              <w:rPr>
                <w:rFonts w:eastAsia="Times New Roman" w:cs="Calibri"/>
              </w:rPr>
              <w:t>$65</w:t>
            </w:r>
          </w:p>
        </w:tc>
        <w:tc>
          <w:tcPr>
            <w:tcW w:w="1456" w:type="dxa"/>
            <w:tcBorders>
              <w:top w:val="nil"/>
              <w:left w:val="nil"/>
              <w:bottom w:val="single" w:sz="4" w:space="0" w:color="auto"/>
              <w:right w:val="single" w:sz="4" w:space="0" w:color="auto"/>
            </w:tcBorders>
            <w:noWrap/>
            <w:vAlign w:val="bottom"/>
            <w:hideMark/>
          </w:tcPr>
          <w:p w14:paraId="1E76D579" w14:textId="76508A0D" w:rsidR="006438AF" w:rsidRPr="00E07EAE" w:rsidRDefault="006438AF" w:rsidP="006438AF">
            <w:pPr>
              <w:spacing w:after="0" w:line="240" w:lineRule="auto"/>
              <w:jc w:val="right"/>
              <w:rPr>
                <w:rFonts w:eastAsia="Times New Roman" w:cs="Calibri"/>
              </w:rPr>
            </w:pPr>
            <w:r w:rsidRPr="00E07EAE">
              <w:rPr>
                <w:rFonts w:eastAsia="Times New Roman" w:cs="Calibri"/>
              </w:rPr>
              <w:t>$75</w:t>
            </w:r>
          </w:p>
        </w:tc>
        <w:tc>
          <w:tcPr>
            <w:tcW w:w="1462" w:type="dxa"/>
            <w:tcBorders>
              <w:top w:val="nil"/>
              <w:left w:val="nil"/>
              <w:bottom w:val="single" w:sz="4" w:space="0" w:color="auto"/>
              <w:right w:val="single" w:sz="4" w:space="0" w:color="auto"/>
            </w:tcBorders>
            <w:noWrap/>
            <w:vAlign w:val="bottom"/>
            <w:hideMark/>
          </w:tcPr>
          <w:p w14:paraId="4FE8360F" w14:textId="0CCC85D4" w:rsidR="006438AF" w:rsidRPr="00E07EAE" w:rsidRDefault="006438AF" w:rsidP="006438AF">
            <w:pPr>
              <w:spacing w:after="0" w:line="240" w:lineRule="auto"/>
              <w:jc w:val="right"/>
              <w:rPr>
                <w:rFonts w:eastAsia="Times New Roman" w:cs="Calibri"/>
              </w:rPr>
            </w:pPr>
            <w:r w:rsidRPr="00E07EAE">
              <w:rPr>
                <w:rFonts w:eastAsia="Times New Roman" w:cs="Calibri"/>
              </w:rPr>
              <w:t>$</w:t>
            </w:r>
            <w:r>
              <w:rPr>
                <w:rFonts w:eastAsia="Times New Roman" w:cs="Calibri"/>
              </w:rPr>
              <w:t>66</w:t>
            </w:r>
          </w:p>
        </w:tc>
      </w:tr>
      <w:tr w:rsidR="006438AF" w:rsidRPr="00E07EAE" w14:paraId="79FDC84F" w14:textId="77777777" w:rsidTr="006438AF">
        <w:trPr>
          <w:trHeight w:val="288"/>
          <w:jc w:val="center"/>
        </w:trPr>
        <w:tc>
          <w:tcPr>
            <w:tcW w:w="2925" w:type="dxa"/>
            <w:tcBorders>
              <w:top w:val="nil"/>
              <w:left w:val="single" w:sz="4" w:space="0" w:color="auto"/>
              <w:bottom w:val="single" w:sz="4" w:space="0" w:color="auto"/>
              <w:right w:val="single" w:sz="4" w:space="0" w:color="auto"/>
            </w:tcBorders>
            <w:noWrap/>
            <w:vAlign w:val="bottom"/>
            <w:hideMark/>
          </w:tcPr>
          <w:p w14:paraId="23C82B93" w14:textId="77777777" w:rsidR="006438AF" w:rsidRPr="00E07EAE" w:rsidRDefault="006438AF" w:rsidP="006438AF">
            <w:pPr>
              <w:spacing w:after="0" w:line="240" w:lineRule="auto"/>
              <w:rPr>
                <w:rFonts w:eastAsia="Times New Roman" w:cs="Calibri"/>
              </w:rPr>
            </w:pPr>
            <w:r w:rsidRPr="00E07EAE">
              <w:rPr>
                <w:rFonts w:eastAsia="Times New Roman" w:cs="Calibri"/>
              </w:rPr>
              <w:t>Legal Secretary/Clerical</w:t>
            </w:r>
          </w:p>
        </w:tc>
        <w:tc>
          <w:tcPr>
            <w:tcW w:w="1456" w:type="dxa"/>
            <w:tcBorders>
              <w:top w:val="nil"/>
              <w:left w:val="nil"/>
              <w:bottom w:val="single" w:sz="4" w:space="0" w:color="auto"/>
              <w:right w:val="single" w:sz="4" w:space="0" w:color="auto"/>
            </w:tcBorders>
            <w:noWrap/>
            <w:vAlign w:val="bottom"/>
            <w:hideMark/>
          </w:tcPr>
          <w:p w14:paraId="513C72C1" w14:textId="79A2AEAA" w:rsidR="006438AF" w:rsidRPr="00E07EAE" w:rsidRDefault="006438AF" w:rsidP="006438AF">
            <w:pPr>
              <w:spacing w:after="0" w:line="240" w:lineRule="auto"/>
              <w:jc w:val="right"/>
              <w:rPr>
                <w:rFonts w:eastAsia="Times New Roman" w:cs="Calibri"/>
              </w:rPr>
            </w:pPr>
            <w:r w:rsidRPr="00E07EAE">
              <w:rPr>
                <w:rFonts w:eastAsia="Times New Roman" w:cs="Calibri"/>
              </w:rPr>
              <w:t>$56</w:t>
            </w:r>
          </w:p>
        </w:tc>
        <w:tc>
          <w:tcPr>
            <w:tcW w:w="1456" w:type="dxa"/>
            <w:tcBorders>
              <w:top w:val="nil"/>
              <w:left w:val="nil"/>
              <w:bottom w:val="single" w:sz="4" w:space="0" w:color="auto"/>
              <w:right w:val="single" w:sz="4" w:space="0" w:color="auto"/>
            </w:tcBorders>
            <w:noWrap/>
            <w:vAlign w:val="bottom"/>
            <w:hideMark/>
          </w:tcPr>
          <w:p w14:paraId="170B337A" w14:textId="1B5AE1CE" w:rsidR="006438AF" w:rsidRPr="00E07EAE" w:rsidRDefault="006438AF" w:rsidP="006438AF">
            <w:pPr>
              <w:spacing w:after="0" w:line="240" w:lineRule="auto"/>
              <w:jc w:val="right"/>
              <w:rPr>
                <w:rFonts w:eastAsia="Times New Roman" w:cs="Calibri"/>
              </w:rPr>
            </w:pPr>
            <w:r w:rsidRPr="00E07EAE">
              <w:rPr>
                <w:rFonts w:eastAsia="Times New Roman" w:cs="Calibri"/>
              </w:rPr>
              <w:t>$67</w:t>
            </w:r>
          </w:p>
        </w:tc>
        <w:tc>
          <w:tcPr>
            <w:tcW w:w="1462" w:type="dxa"/>
            <w:tcBorders>
              <w:top w:val="nil"/>
              <w:left w:val="nil"/>
              <w:bottom w:val="single" w:sz="4" w:space="0" w:color="auto"/>
              <w:right w:val="single" w:sz="4" w:space="0" w:color="auto"/>
            </w:tcBorders>
            <w:noWrap/>
            <w:vAlign w:val="bottom"/>
            <w:hideMark/>
          </w:tcPr>
          <w:p w14:paraId="23C28F3C" w14:textId="4BFB53D6" w:rsidR="006438AF" w:rsidRPr="00E07EAE" w:rsidRDefault="006438AF" w:rsidP="006438AF">
            <w:pPr>
              <w:spacing w:after="0" w:line="240" w:lineRule="auto"/>
              <w:jc w:val="right"/>
              <w:rPr>
                <w:rFonts w:eastAsia="Times New Roman" w:cs="Calibri"/>
              </w:rPr>
            </w:pPr>
            <w:r w:rsidRPr="00E07EAE">
              <w:rPr>
                <w:rFonts w:eastAsia="Times New Roman" w:cs="Calibri"/>
              </w:rPr>
              <w:t>$</w:t>
            </w:r>
            <w:r>
              <w:rPr>
                <w:rFonts w:eastAsia="Times New Roman" w:cs="Calibri"/>
              </w:rPr>
              <w:t>83</w:t>
            </w:r>
          </w:p>
        </w:tc>
      </w:tr>
    </w:tbl>
    <w:p w14:paraId="17FA84E6" w14:textId="77777777" w:rsidR="00F80E94" w:rsidRPr="00E07EAE" w:rsidRDefault="00F80E94" w:rsidP="00F80E94">
      <w:pPr>
        <w:ind w:right="18"/>
        <w:rPr>
          <w:b/>
          <w:bCs/>
        </w:rPr>
      </w:pPr>
      <w:bookmarkStart w:id="111" w:name="OLE_LINK19"/>
      <w:bookmarkStart w:id="112" w:name="OLE_LINK7"/>
    </w:p>
    <w:p w14:paraId="0AD4837A" w14:textId="5118B4BE" w:rsidR="00F80E94" w:rsidRPr="00E07EAE" w:rsidRDefault="00F80E94" w:rsidP="00A23876">
      <w:pPr>
        <w:rPr>
          <w:b/>
        </w:rPr>
      </w:pPr>
      <w:r w:rsidRPr="00A23876">
        <w:rPr>
          <w:b/>
        </w:rPr>
        <w:t xml:space="preserve">Contact for more information: </w:t>
      </w:r>
      <w:r w:rsidR="00CD582A" w:rsidRPr="00A23876">
        <w:rPr>
          <w:b/>
        </w:rPr>
        <w:t xml:space="preserve">Robert Otero </w:t>
      </w:r>
      <w:r w:rsidR="00D34848" w:rsidRPr="00A23876">
        <w:rPr>
          <w:b/>
        </w:rPr>
        <w:t xml:space="preserve">at 503-508-0305 or </w:t>
      </w:r>
      <w:r w:rsidR="00410445" w:rsidRPr="00A23876">
        <w:rPr>
          <w:b/>
        </w:rPr>
        <w:t>r</w:t>
      </w:r>
      <w:r w:rsidR="00D34848" w:rsidRPr="00A23876">
        <w:rPr>
          <w:b/>
        </w:rPr>
        <w:t>obert.otero@doj.oregon.gov</w:t>
      </w:r>
      <w:r w:rsidRPr="00A23876">
        <w:rPr>
          <w:b/>
        </w:rPr>
        <w:t xml:space="preserve">. </w:t>
      </w:r>
      <w:bookmarkEnd w:id="111"/>
      <w:bookmarkEnd w:id="112"/>
    </w:p>
    <w:p w14:paraId="15C4A0F6" w14:textId="77777777" w:rsidR="00F80E94" w:rsidRPr="00A23876" w:rsidRDefault="00F80E94" w:rsidP="001C6B82">
      <w:pPr>
        <w:pStyle w:val="Heading3"/>
      </w:pPr>
      <w:bookmarkStart w:id="113" w:name="_Toc226108652"/>
      <w:bookmarkStart w:id="114" w:name="_Toc226981077"/>
      <w:r w:rsidRPr="00E07EAE">
        <w:t>Employment Department</w:t>
      </w:r>
      <w:bookmarkEnd w:id="113"/>
      <w:bookmarkEnd w:id="114"/>
    </w:p>
    <w:p w14:paraId="335FB557" w14:textId="77777777" w:rsidR="00F80E94" w:rsidRPr="00A23876" w:rsidRDefault="00F80E94" w:rsidP="001C6B82">
      <w:pPr>
        <w:pStyle w:val="Heading4"/>
      </w:pPr>
      <w:bookmarkStart w:id="115" w:name="_Toc226108653"/>
      <w:r w:rsidRPr="00E07EAE">
        <w:t>Office of Administrative Hearings</w:t>
      </w:r>
      <w:bookmarkEnd w:id="115"/>
    </w:p>
    <w:p w14:paraId="79BC9861" w14:textId="77777777" w:rsidR="00F80E94" w:rsidRPr="00E07EAE" w:rsidRDefault="00F80E94" w:rsidP="00A23876">
      <w:r w:rsidRPr="00E07EAE">
        <w:t>Under ORS 183.655, the chief administrative law judge for the Office of Administrative Hearings (OAH) shall establish a schedule of fees for services rendered by administrative law judges assigned from the office. The fee charged shall be in an amount calculated to recover the cost of providing the administrative law judge, the cost of conducting the hearing, and all associated administrative costs.</w:t>
      </w:r>
    </w:p>
    <w:p w14:paraId="532EAFE8" w14:textId="77777777" w:rsidR="00F80E94" w:rsidRPr="00E07EAE" w:rsidRDefault="00F80E94" w:rsidP="00A23876">
      <w:r w:rsidRPr="00E07EAE">
        <w:t xml:space="preserve">The OAH has established a methodology to create hourly rates for agencies that require hearing </w:t>
      </w:r>
      <w:proofErr w:type="gramStart"/>
      <w:r w:rsidRPr="00E07EAE">
        <w:t>detail</w:t>
      </w:r>
      <w:proofErr w:type="gramEnd"/>
      <w:r w:rsidRPr="00E07EAE">
        <w:t>. Those agencies transitioned from actual cost billing to hourly rate billing, beginning July 1, 2021.</w:t>
      </w:r>
    </w:p>
    <w:p w14:paraId="411F3C0F" w14:textId="77777777" w:rsidR="00F80E94" w:rsidRPr="00E07EAE" w:rsidRDefault="00F80E94" w:rsidP="00A23876">
      <w:r w:rsidRPr="00E07EAE">
        <w:lastRenderedPageBreak/>
        <w:t xml:space="preserve">The rates established for the OAH are based on the 2025-27 Legislatively Adopted Budget for service and supplies costs, inflated </w:t>
      </w:r>
      <w:proofErr w:type="gramStart"/>
      <w:r w:rsidRPr="00E07EAE">
        <w:t>consistent</w:t>
      </w:r>
      <w:proofErr w:type="gramEnd"/>
      <w:r w:rsidRPr="00E07EAE">
        <w:t xml:space="preserve"> with historical rates used by DAS, and include projections for 2027-29 personal services costs. Rates are established for work performed by three classifications of administrative law judges employed by the OAH as well as a rate for work performed by OAH support staff. All rates include associated administrative costs from the OAH, and shared administrative costs allocated from the Employment Department. Additional charges for agency specific training, travel, transcription, and translation costs will be directly billed to the agency at actual cost. </w:t>
      </w:r>
    </w:p>
    <w:p w14:paraId="23DF6541" w14:textId="6FED8D28" w:rsidR="00F80E94" w:rsidRPr="00E07EAE" w:rsidRDefault="00F80E94" w:rsidP="00F80E94">
      <w:pPr>
        <w:rPr>
          <w:lang w:val="en"/>
        </w:rPr>
      </w:pPr>
      <w:r w:rsidRPr="00E07EAE">
        <w:rPr>
          <w:lang w:val="en"/>
        </w:rPr>
        <w:t xml:space="preserve">The rates below have been developed </w:t>
      </w:r>
      <w:proofErr w:type="gramStart"/>
      <w:r w:rsidRPr="00E07EAE">
        <w:rPr>
          <w:lang w:val="en"/>
        </w:rPr>
        <w:t>consistent</w:t>
      </w:r>
      <w:proofErr w:type="gramEnd"/>
      <w:r w:rsidRPr="00E07EAE">
        <w:rPr>
          <w:lang w:val="en"/>
        </w:rPr>
        <w:t xml:space="preserve"> with the OAH’s statutory duty to charge fees sufficient to cover the cost of providing the administrative law judge, the cost of conducting the hearing, and associated administrative costs. </w:t>
      </w:r>
      <w:proofErr w:type="gramStart"/>
      <w:r w:rsidRPr="00E07EAE">
        <w:rPr>
          <w:lang w:val="en"/>
        </w:rPr>
        <w:t>The OAH</w:t>
      </w:r>
      <w:proofErr w:type="gramEnd"/>
      <w:r w:rsidRPr="00E07EAE">
        <w:rPr>
          <w:lang w:val="en"/>
        </w:rPr>
        <w:t xml:space="preserve"> is aware of the impact of its rates on agencies and makes every effort to keep costs as low as possible consistent with the need to provide high-quality services. </w:t>
      </w:r>
    </w:p>
    <w:tbl>
      <w:tblPr>
        <w:tblW w:w="7920" w:type="dxa"/>
        <w:jc w:val="center"/>
        <w:tblLook w:val="04A0" w:firstRow="1" w:lastRow="0" w:firstColumn="1" w:lastColumn="0" w:noHBand="0" w:noVBand="1"/>
      </w:tblPr>
      <w:tblGrid>
        <w:gridCol w:w="3667"/>
        <w:gridCol w:w="4253"/>
      </w:tblGrid>
      <w:tr w:rsidR="00F80E94" w:rsidRPr="00E07EAE" w14:paraId="3AA9B5E1" w14:textId="77777777" w:rsidTr="00306CF3">
        <w:trPr>
          <w:trHeight w:val="449"/>
          <w:jc w:val="center"/>
        </w:trPr>
        <w:tc>
          <w:tcPr>
            <w:tcW w:w="7920" w:type="dxa"/>
            <w:gridSpan w:val="2"/>
            <w:tcBorders>
              <w:top w:val="single" w:sz="4" w:space="0" w:color="auto"/>
              <w:left w:val="single" w:sz="4" w:space="0" w:color="auto"/>
              <w:bottom w:val="single" w:sz="4" w:space="0" w:color="auto"/>
              <w:right w:val="single" w:sz="4" w:space="0" w:color="auto"/>
            </w:tcBorders>
            <w:vAlign w:val="bottom"/>
            <w:hideMark/>
          </w:tcPr>
          <w:p w14:paraId="4C3C26CF" w14:textId="77777777" w:rsidR="00F80E94" w:rsidRPr="00E07EAE" w:rsidRDefault="00F80E94" w:rsidP="00306CF3">
            <w:pPr>
              <w:spacing w:after="0" w:line="240" w:lineRule="auto"/>
              <w:jc w:val="center"/>
              <w:rPr>
                <w:rFonts w:eastAsia="Times New Roman"/>
                <w:b/>
                <w:bCs/>
                <w:color w:val="000000"/>
              </w:rPr>
            </w:pPr>
            <w:r w:rsidRPr="00E07EAE">
              <w:rPr>
                <w:rFonts w:eastAsia="Times New Roman"/>
                <w:b/>
                <w:bCs/>
                <w:color w:val="000000"/>
              </w:rPr>
              <w:t>Office of Administrative Hearings</w:t>
            </w:r>
          </w:p>
        </w:tc>
      </w:tr>
      <w:tr w:rsidR="00F80E94" w:rsidRPr="00E07EAE" w14:paraId="271864B9" w14:textId="77777777" w:rsidTr="00306CF3">
        <w:trPr>
          <w:trHeight w:val="599"/>
          <w:jc w:val="center"/>
        </w:trPr>
        <w:tc>
          <w:tcPr>
            <w:tcW w:w="3667" w:type="dxa"/>
            <w:tcBorders>
              <w:top w:val="nil"/>
              <w:left w:val="single" w:sz="4" w:space="0" w:color="auto"/>
              <w:bottom w:val="single" w:sz="4" w:space="0" w:color="auto"/>
              <w:right w:val="single" w:sz="4" w:space="0" w:color="auto"/>
            </w:tcBorders>
            <w:shd w:val="clear" w:color="000000" w:fill="D9D9D9"/>
            <w:noWrap/>
            <w:vAlign w:val="bottom"/>
            <w:hideMark/>
          </w:tcPr>
          <w:p w14:paraId="1BB35B0C" w14:textId="77777777" w:rsidR="00F80E94" w:rsidRPr="00E07EAE" w:rsidRDefault="00F80E94" w:rsidP="00306CF3">
            <w:pPr>
              <w:spacing w:after="0" w:line="240" w:lineRule="auto"/>
              <w:jc w:val="center"/>
              <w:rPr>
                <w:rFonts w:eastAsia="Times New Roman"/>
                <w:b/>
                <w:bCs/>
                <w:color w:val="000000"/>
              </w:rPr>
            </w:pPr>
            <w:r w:rsidRPr="00E07EAE">
              <w:rPr>
                <w:rFonts w:eastAsia="Times New Roman"/>
                <w:b/>
                <w:bCs/>
                <w:color w:val="000000"/>
              </w:rPr>
              <w:t>Service</w:t>
            </w:r>
          </w:p>
        </w:tc>
        <w:tc>
          <w:tcPr>
            <w:tcW w:w="4253" w:type="dxa"/>
            <w:tcBorders>
              <w:top w:val="nil"/>
              <w:left w:val="nil"/>
              <w:bottom w:val="single" w:sz="4" w:space="0" w:color="auto"/>
              <w:right w:val="single" w:sz="4" w:space="0" w:color="auto"/>
            </w:tcBorders>
            <w:shd w:val="clear" w:color="000000" w:fill="D9D9D9"/>
            <w:vAlign w:val="bottom"/>
            <w:hideMark/>
          </w:tcPr>
          <w:p w14:paraId="4AB89AD3" w14:textId="77777777" w:rsidR="00F80E94" w:rsidRPr="00E07EAE" w:rsidRDefault="00F80E94" w:rsidP="00306CF3">
            <w:pPr>
              <w:spacing w:after="0" w:line="240" w:lineRule="auto"/>
              <w:jc w:val="center"/>
              <w:rPr>
                <w:rFonts w:eastAsia="Times New Roman"/>
                <w:b/>
                <w:bCs/>
                <w:color w:val="000000"/>
              </w:rPr>
            </w:pPr>
            <w:r w:rsidRPr="00E07EAE">
              <w:rPr>
                <w:rFonts w:eastAsia="Times New Roman"/>
                <w:b/>
                <w:bCs/>
                <w:color w:val="000000"/>
              </w:rPr>
              <w:t>2027-29</w:t>
            </w:r>
            <w:r w:rsidRPr="00E07EAE">
              <w:rPr>
                <w:rFonts w:eastAsia="Times New Roman"/>
                <w:b/>
                <w:bCs/>
                <w:color w:val="000000"/>
              </w:rPr>
              <w:br/>
              <w:t>hourly rate</w:t>
            </w:r>
          </w:p>
        </w:tc>
      </w:tr>
      <w:tr w:rsidR="00F80E94" w:rsidRPr="00E07EAE" w14:paraId="5CBFA072" w14:textId="77777777" w:rsidTr="00306CF3">
        <w:trPr>
          <w:trHeight w:val="289"/>
          <w:jc w:val="center"/>
        </w:trPr>
        <w:tc>
          <w:tcPr>
            <w:tcW w:w="3667" w:type="dxa"/>
            <w:tcBorders>
              <w:top w:val="nil"/>
              <w:left w:val="single" w:sz="4" w:space="0" w:color="auto"/>
              <w:bottom w:val="single" w:sz="4" w:space="0" w:color="auto"/>
              <w:right w:val="single" w:sz="4" w:space="0" w:color="auto"/>
            </w:tcBorders>
            <w:noWrap/>
            <w:vAlign w:val="bottom"/>
            <w:hideMark/>
          </w:tcPr>
          <w:p w14:paraId="6DDCDF67" w14:textId="77777777" w:rsidR="00F80E94" w:rsidRPr="00E07EAE" w:rsidRDefault="00F80E94" w:rsidP="00306CF3">
            <w:pPr>
              <w:spacing w:after="0" w:line="240" w:lineRule="auto"/>
              <w:rPr>
                <w:rFonts w:eastAsia="Times New Roman"/>
                <w:color w:val="000000"/>
              </w:rPr>
            </w:pPr>
            <w:r w:rsidRPr="00E07EAE">
              <w:rPr>
                <w:rFonts w:eastAsia="Times New Roman"/>
                <w:color w:val="000000"/>
              </w:rPr>
              <w:t>Administrative Law Judge 3</w:t>
            </w:r>
          </w:p>
        </w:tc>
        <w:tc>
          <w:tcPr>
            <w:tcW w:w="4253" w:type="dxa"/>
            <w:tcBorders>
              <w:top w:val="nil"/>
              <w:left w:val="nil"/>
              <w:bottom w:val="single" w:sz="4" w:space="0" w:color="auto"/>
              <w:right w:val="single" w:sz="4" w:space="0" w:color="auto"/>
            </w:tcBorders>
            <w:noWrap/>
            <w:vAlign w:val="bottom"/>
            <w:hideMark/>
          </w:tcPr>
          <w:p w14:paraId="4D735639" w14:textId="77777777" w:rsidR="00F80E94" w:rsidRPr="00E07EAE" w:rsidRDefault="00F80E94" w:rsidP="00306CF3">
            <w:pPr>
              <w:spacing w:after="0" w:line="240" w:lineRule="auto"/>
              <w:jc w:val="right"/>
              <w:rPr>
                <w:rFonts w:eastAsia="Times New Roman"/>
                <w:color w:val="000000"/>
              </w:rPr>
            </w:pPr>
            <w:r w:rsidRPr="00E07EAE">
              <w:rPr>
                <w:rFonts w:eastAsia="Times New Roman"/>
                <w:color w:val="000000"/>
              </w:rPr>
              <w:t xml:space="preserve">$292 </w:t>
            </w:r>
          </w:p>
        </w:tc>
      </w:tr>
      <w:tr w:rsidR="00F80E94" w:rsidRPr="00E07EAE" w14:paraId="09F402A9" w14:textId="77777777" w:rsidTr="00306CF3">
        <w:trPr>
          <w:trHeight w:val="289"/>
          <w:jc w:val="center"/>
        </w:trPr>
        <w:tc>
          <w:tcPr>
            <w:tcW w:w="3667" w:type="dxa"/>
            <w:tcBorders>
              <w:top w:val="nil"/>
              <w:left w:val="single" w:sz="4" w:space="0" w:color="auto"/>
              <w:bottom w:val="single" w:sz="4" w:space="0" w:color="auto"/>
              <w:right w:val="single" w:sz="4" w:space="0" w:color="auto"/>
            </w:tcBorders>
            <w:noWrap/>
            <w:vAlign w:val="bottom"/>
            <w:hideMark/>
          </w:tcPr>
          <w:p w14:paraId="3E7B2A27" w14:textId="77777777" w:rsidR="00F80E94" w:rsidRPr="00E07EAE" w:rsidRDefault="00F80E94" w:rsidP="00306CF3">
            <w:pPr>
              <w:spacing w:after="0" w:line="240" w:lineRule="auto"/>
              <w:rPr>
                <w:rFonts w:eastAsia="Times New Roman"/>
                <w:color w:val="000000"/>
              </w:rPr>
            </w:pPr>
            <w:r w:rsidRPr="00E07EAE">
              <w:rPr>
                <w:rFonts w:eastAsia="Times New Roman"/>
                <w:color w:val="000000"/>
              </w:rPr>
              <w:t>Administrative Law Judge 2</w:t>
            </w:r>
          </w:p>
        </w:tc>
        <w:tc>
          <w:tcPr>
            <w:tcW w:w="4253" w:type="dxa"/>
            <w:tcBorders>
              <w:top w:val="nil"/>
              <w:left w:val="nil"/>
              <w:bottom w:val="single" w:sz="4" w:space="0" w:color="auto"/>
              <w:right w:val="single" w:sz="4" w:space="0" w:color="auto"/>
            </w:tcBorders>
            <w:noWrap/>
            <w:vAlign w:val="bottom"/>
            <w:hideMark/>
          </w:tcPr>
          <w:p w14:paraId="160CF3DC" w14:textId="77777777" w:rsidR="00F80E94" w:rsidRPr="00E07EAE" w:rsidRDefault="00F80E94" w:rsidP="00306CF3">
            <w:pPr>
              <w:spacing w:after="0" w:line="240" w:lineRule="auto"/>
              <w:jc w:val="right"/>
              <w:rPr>
                <w:rFonts w:eastAsia="Times New Roman"/>
                <w:color w:val="000000"/>
              </w:rPr>
            </w:pPr>
            <w:r w:rsidRPr="00E07EAE">
              <w:rPr>
                <w:rFonts w:eastAsia="Times New Roman"/>
                <w:color w:val="000000"/>
              </w:rPr>
              <w:t xml:space="preserve">$244 </w:t>
            </w:r>
          </w:p>
        </w:tc>
      </w:tr>
      <w:tr w:rsidR="00F80E94" w:rsidRPr="00E07EAE" w14:paraId="7B12A3BD" w14:textId="77777777" w:rsidTr="00306CF3">
        <w:trPr>
          <w:trHeight w:val="289"/>
          <w:jc w:val="center"/>
        </w:trPr>
        <w:tc>
          <w:tcPr>
            <w:tcW w:w="3667" w:type="dxa"/>
            <w:tcBorders>
              <w:top w:val="nil"/>
              <w:left w:val="single" w:sz="4" w:space="0" w:color="auto"/>
              <w:bottom w:val="single" w:sz="4" w:space="0" w:color="auto"/>
              <w:right w:val="single" w:sz="4" w:space="0" w:color="auto"/>
            </w:tcBorders>
            <w:noWrap/>
            <w:vAlign w:val="bottom"/>
            <w:hideMark/>
          </w:tcPr>
          <w:p w14:paraId="7116C8A9" w14:textId="77777777" w:rsidR="00F80E94" w:rsidRPr="00E07EAE" w:rsidRDefault="00F80E94" w:rsidP="00306CF3">
            <w:pPr>
              <w:spacing w:after="0" w:line="240" w:lineRule="auto"/>
              <w:rPr>
                <w:rFonts w:eastAsia="Times New Roman"/>
                <w:color w:val="000000"/>
              </w:rPr>
            </w:pPr>
            <w:r w:rsidRPr="00E07EAE">
              <w:rPr>
                <w:rFonts w:eastAsia="Times New Roman"/>
                <w:color w:val="000000"/>
              </w:rPr>
              <w:t>Administrative Law Judge 1</w:t>
            </w:r>
          </w:p>
        </w:tc>
        <w:tc>
          <w:tcPr>
            <w:tcW w:w="4253" w:type="dxa"/>
            <w:tcBorders>
              <w:top w:val="nil"/>
              <w:left w:val="nil"/>
              <w:bottom w:val="single" w:sz="4" w:space="0" w:color="auto"/>
              <w:right w:val="single" w:sz="4" w:space="0" w:color="auto"/>
            </w:tcBorders>
            <w:noWrap/>
            <w:vAlign w:val="bottom"/>
            <w:hideMark/>
          </w:tcPr>
          <w:p w14:paraId="121CEF3D" w14:textId="77777777" w:rsidR="00F80E94" w:rsidRPr="00E07EAE" w:rsidRDefault="00F80E94" w:rsidP="00306CF3">
            <w:pPr>
              <w:spacing w:after="0" w:line="240" w:lineRule="auto"/>
              <w:jc w:val="right"/>
              <w:rPr>
                <w:rFonts w:eastAsia="Times New Roman"/>
                <w:color w:val="000000"/>
              </w:rPr>
            </w:pPr>
            <w:r w:rsidRPr="00E07EAE">
              <w:rPr>
                <w:rFonts w:eastAsia="Times New Roman"/>
                <w:color w:val="000000"/>
              </w:rPr>
              <w:t xml:space="preserve">$206 </w:t>
            </w:r>
          </w:p>
        </w:tc>
      </w:tr>
      <w:tr w:rsidR="00F80E94" w:rsidRPr="00E07EAE" w14:paraId="6BCBD5DE" w14:textId="77777777" w:rsidTr="00306CF3">
        <w:trPr>
          <w:trHeight w:val="289"/>
          <w:jc w:val="center"/>
        </w:trPr>
        <w:tc>
          <w:tcPr>
            <w:tcW w:w="3667" w:type="dxa"/>
            <w:tcBorders>
              <w:top w:val="nil"/>
              <w:left w:val="single" w:sz="4" w:space="0" w:color="auto"/>
              <w:bottom w:val="single" w:sz="4" w:space="0" w:color="auto"/>
              <w:right w:val="single" w:sz="4" w:space="0" w:color="auto"/>
            </w:tcBorders>
            <w:noWrap/>
            <w:vAlign w:val="bottom"/>
            <w:hideMark/>
          </w:tcPr>
          <w:p w14:paraId="15208CCA" w14:textId="77777777" w:rsidR="00F80E94" w:rsidRPr="00E07EAE" w:rsidRDefault="00F80E94" w:rsidP="00306CF3">
            <w:pPr>
              <w:spacing w:after="0" w:line="240" w:lineRule="auto"/>
              <w:rPr>
                <w:rFonts w:eastAsia="Times New Roman"/>
                <w:color w:val="000000"/>
              </w:rPr>
            </w:pPr>
            <w:r w:rsidRPr="00E07EAE">
              <w:rPr>
                <w:rFonts w:eastAsia="Times New Roman"/>
                <w:color w:val="000000"/>
              </w:rPr>
              <w:t>Support Staff</w:t>
            </w:r>
          </w:p>
        </w:tc>
        <w:tc>
          <w:tcPr>
            <w:tcW w:w="4253" w:type="dxa"/>
            <w:tcBorders>
              <w:top w:val="nil"/>
              <w:left w:val="nil"/>
              <w:bottom w:val="single" w:sz="4" w:space="0" w:color="auto"/>
              <w:right w:val="single" w:sz="4" w:space="0" w:color="auto"/>
            </w:tcBorders>
            <w:noWrap/>
            <w:vAlign w:val="bottom"/>
            <w:hideMark/>
          </w:tcPr>
          <w:p w14:paraId="1CC5D011" w14:textId="77777777" w:rsidR="00F80E94" w:rsidRPr="00E07EAE" w:rsidRDefault="00F80E94" w:rsidP="00306CF3">
            <w:pPr>
              <w:spacing w:after="0" w:line="240" w:lineRule="auto"/>
              <w:jc w:val="right"/>
              <w:rPr>
                <w:rFonts w:eastAsia="Times New Roman"/>
                <w:color w:val="000000"/>
              </w:rPr>
            </w:pPr>
            <w:r w:rsidRPr="00E07EAE">
              <w:rPr>
                <w:rFonts w:eastAsia="Times New Roman"/>
                <w:color w:val="000000"/>
              </w:rPr>
              <w:t>$137</w:t>
            </w:r>
          </w:p>
        </w:tc>
      </w:tr>
    </w:tbl>
    <w:p w14:paraId="05D8A09C" w14:textId="77777777" w:rsidR="00F80E94" w:rsidRPr="00E07EAE" w:rsidRDefault="00F80E94" w:rsidP="00F80E94">
      <w:pPr>
        <w:spacing w:after="0"/>
        <w:ind w:right="18"/>
        <w:jc w:val="center"/>
      </w:pPr>
    </w:p>
    <w:p w14:paraId="7BAF85D3" w14:textId="77777777" w:rsidR="00F80E94" w:rsidRPr="00E07EAE" w:rsidRDefault="00F80E94" w:rsidP="00A23876">
      <w:r w:rsidRPr="00E07EAE">
        <w:t>Agencies requiring hearing details will continue to be billed for actual charges. Estimates of 2027-29 charges are provided below for agencies remaining on actual billing. These charges are estimates; actual charges may be different.</w:t>
      </w:r>
    </w:p>
    <w:tbl>
      <w:tblPr>
        <w:tblW w:w="7801" w:type="dxa"/>
        <w:jc w:val="center"/>
        <w:tblLook w:val="04A0" w:firstRow="1" w:lastRow="0" w:firstColumn="1" w:lastColumn="0" w:noHBand="0" w:noVBand="1"/>
      </w:tblPr>
      <w:tblGrid>
        <w:gridCol w:w="1232"/>
        <w:gridCol w:w="5262"/>
        <w:gridCol w:w="1514"/>
      </w:tblGrid>
      <w:tr w:rsidR="00F80E94" w:rsidRPr="00E07EAE" w14:paraId="0381BCCB" w14:textId="77777777" w:rsidTr="00306CF3">
        <w:trPr>
          <w:trHeight w:val="456"/>
          <w:jc w:val="center"/>
        </w:trPr>
        <w:tc>
          <w:tcPr>
            <w:tcW w:w="7801" w:type="dxa"/>
            <w:gridSpan w:val="3"/>
            <w:tcBorders>
              <w:top w:val="single" w:sz="4" w:space="0" w:color="auto"/>
              <w:left w:val="single" w:sz="4" w:space="0" w:color="auto"/>
              <w:bottom w:val="single" w:sz="4" w:space="0" w:color="auto"/>
              <w:right w:val="single" w:sz="4" w:space="0" w:color="auto"/>
            </w:tcBorders>
            <w:vAlign w:val="center"/>
            <w:hideMark/>
          </w:tcPr>
          <w:p w14:paraId="17ADD99B" w14:textId="77777777" w:rsidR="00F80E94" w:rsidRPr="00E07EAE" w:rsidRDefault="00F80E94" w:rsidP="00306CF3">
            <w:pPr>
              <w:spacing w:after="0" w:line="240" w:lineRule="auto"/>
              <w:jc w:val="center"/>
              <w:rPr>
                <w:rFonts w:eastAsia="Times New Roman"/>
                <w:b/>
                <w:bCs/>
                <w:color w:val="000000"/>
              </w:rPr>
            </w:pPr>
            <w:bookmarkStart w:id="116" w:name="OLE_LINK20"/>
            <w:r w:rsidRPr="00E07EAE">
              <w:rPr>
                <w:rFonts w:eastAsia="Times New Roman"/>
                <w:b/>
                <w:bCs/>
                <w:color w:val="000000"/>
              </w:rPr>
              <w:t>Office of Administrative Hearings</w:t>
            </w:r>
          </w:p>
        </w:tc>
      </w:tr>
      <w:tr w:rsidR="00F80E94" w:rsidRPr="00E07EAE" w14:paraId="35FFE647" w14:textId="77777777" w:rsidTr="00306CF3">
        <w:trPr>
          <w:trHeight w:val="529"/>
          <w:jc w:val="center"/>
        </w:trPr>
        <w:tc>
          <w:tcPr>
            <w:tcW w:w="1232" w:type="dxa"/>
            <w:tcBorders>
              <w:top w:val="nil"/>
              <w:left w:val="single" w:sz="4" w:space="0" w:color="auto"/>
              <w:bottom w:val="single" w:sz="4" w:space="0" w:color="auto"/>
              <w:right w:val="single" w:sz="4" w:space="0" w:color="auto"/>
            </w:tcBorders>
            <w:shd w:val="clear" w:color="000000" w:fill="D9D9D9"/>
            <w:vAlign w:val="bottom"/>
            <w:hideMark/>
          </w:tcPr>
          <w:p w14:paraId="2334750A" w14:textId="77777777" w:rsidR="00F80E94" w:rsidRPr="00E07EAE" w:rsidRDefault="00F80E94" w:rsidP="00306CF3">
            <w:pPr>
              <w:spacing w:after="0" w:line="240" w:lineRule="auto"/>
              <w:jc w:val="center"/>
              <w:rPr>
                <w:rFonts w:eastAsia="Times New Roman"/>
                <w:b/>
                <w:bCs/>
                <w:color w:val="000000"/>
              </w:rPr>
            </w:pPr>
            <w:r w:rsidRPr="00E07EAE">
              <w:rPr>
                <w:rFonts w:eastAsia="Times New Roman"/>
                <w:b/>
                <w:bCs/>
                <w:color w:val="000000"/>
              </w:rPr>
              <w:t>Agency</w:t>
            </w:r>
            <w:r w:rsidRPr="00E07EAE">
              <w:rPr>
                <w:rFonts w:eastAsia="Times New Roman"/>
                <w:b/>
                <w:bCs/>
                <w:color w:val="000000"/>
              </w:rPr>
              <w:br/>
              <w:t>Number</w:t>
            </w:r>
          </w:p>
        </w:tc>
        <w:tc>
          <w:tcPr>
            <w:tcW w:w="5262" w:type="dxa"/>
            <w:tcBorders>
              <w:top w:val="nil"/>
              <w:left w:val="nil"/>
              <w:bottom w:val="single" w:sz="4" w:space="0" w:color="auto"/>
              <w:right w:val="single" w:sz="4" w:space="0" w:color="auto"/>
            </w:tcBorders>
            <w:shd w:val="clear" w:color="000000" w:fill="D9D9D9"/>
            <w:vAlign w:val="bottom"/>
            <w:hideMark/>
          </w:tcPr>
          <w:p w14:paraId="2E7ACA70" w14:textId="77777777" w:rsidR="00F80E94" w:rsidRPr="00E07EAE" w:rsidRDefault="00F80E94" w:rsidP="00306CF3">
            <w:pPr>
              <w:spacing w:after="0" w:line="240" w:lineRule="auto"/>
              <w:jc w:val="center"/>
              <w:rPr>
                <w:rFonts w:eastAsia="Times New Roman"/>
                <w:b/>
                <w:bCs/>
                <w:color w:val="000000"/>
              </w:rPr>
            </w:pPr>
            <w:r w:rsidRPr="00E07EAE">
              <w:rPr>
                <w:rFonts w:eastAsia="Times New Roman"/>
                <w:b/>
                <w:bCs/>
                <w:color w:val="000000"/>
              </w:rPr>
              <w:t>Agency Name</w:t>
            </w:r>
          </w:p>
        </w:tc>
        <w:tc>
          <w:tcPr>
            <w:tcW w:w="1307" w:type="dxa"/>
            <w:tcBorders>
              <w:top w:val="nil"/>
              <w:left w:val="nil"/>
              <w:bottom w:val="single" w:sz="4" w:space="0" w:color="auto"/>
              <w:right w:val="single" w:sz="4" w:space="0" w:color="auto"/>
            </w:tcBorders>
            <w:shd w:val="clear" w:color="000000" w:fill="D9D9D9"/>
            <w:vAlign w:val="bottom"/>
            <w:hideMark/>
          </w:tcPr>
          <w:p w14:paraId="37B5014E" w14:textId="77777777" w:rsidR="00F80E94" w:rsidRPr="00E07EAE" w:rsidRDefault="00F80E94" w:rsidP="00306CF3">
            <w:pPr>
              <w:spacing w:after="0" w:line="240" w:lineRule="auto"/>
              <w:jc w:val="center"/>
              <w:rPr>
                <w:rFonts w:eastAsia="Times New Roman"/>
                <w:b/>
                <w:bCs/>
                <w:color w:val="000000"/>
              </w:rPr>
            </w:pPr>
            <w:r w:rsidRPr="00E07EAE">
              <w:rPr>
                <w:rFonts w:eastAsia="Times New Roman"/>
                <w:b/>
                <w:bCs/>
                <w:color w:val="000000"/>
              </w:rPr>
              <w:t>2027-29</w:t>
            </w:r>
            <w:r w:rsidRPr="00E07EAE">
              <w:rPr>
                <w:rFonts w:eastAsia="Times New Roman"/>
                <w:b/>
                <w:bCs/>
                <w:color w:val="000000"/>
              </w:rPr>
              <w:br/>
              <w:t>Charge</w:t>
            </w:r>
          </w:p>
        </w:tc>
      </w:tr>
      <w:tr w:rsidR="00F80E94" w:rsidRPr="00E07EAE" w14:paraId="10D90D03" w14:textId="77777777" w:rsidTr="00306CF3">
        <w:trPr>
          <w:trHeight w:val="250"/>
          <w:jc w:val="center"/>
        </w:trPr>
        <w:tc>
          <w:tcPr>
            <w:tcW w:w="1232" w:type="dxa"/>
            <w:tcBorders>
              <w:top w:val="nil"/>
              <w:left w:val="single" w:sz="4" w:space="0" w:color="auto"/>
              <w:bottom w:val="single" w:sz="4" w:space="0" w:color="auto"/>
              <w:right w:val="single" w:sz="4" w:space="0" w:color="auto"/>
            </w:tcBorders>
            <w:vAlign w:val="center"/>
            <w:hideMark/>
          </w:tcPr>
          <w:p w14:paraId="3531FC93" w14:textId="77777777" w:rsidR="00F80E94" w:rsidRPr="00E07EAE" w:rsidRDefault="00F80E94" w:rsidP="00306CF3">
            <w:pPr>
              <w:spacing w:after="0" w:line="240" w:lineRule="auto"/>
              <w:jc w:val="center"/>
              <w:rPr>
                <w:rFonts w:eastAsia="Times New Roman"/>
                <w:color w:val="000000"/>
              </w:rPr>
            </w:pPr>
            <w:r w:rsidRPr="00E07EAE">
              <w:rPr>
                <w:rFonts w:eastAsia="Times New Roman"/>
                <w:color w:val="000000"/>
              </w:rPr>
              <w:t>10000</w:t>
            </w:r>
          </w:p>
        </w:tc>
        <w:tc>
          <w:tcPr>
            <w:tcW w:w="5262" w:type="dxa"/>
            <w:tcBorders>
              <w:top w:val="nil"/>
              <w:left w:val="nil"/>
              <w:bottom w:val="single" w:sz="4" w:space="0" w:color="auto"/>
              <w:right w:val="single" w:sz="4" w:space="0" w:color="auto"/>
            </w:tcBorders>
            <w:vAlign w:val="center"/>
            <w:hideMark/>
          </w:tcPr>
          <w:p w14:paraId="59B35184" w14:textId="77777777" w:rsidR="00F80E94" w:rsidRPr="00E07EAE" w:rsidRDefault="00F80E94" w:rsidP="00306CF3">
            <w:pPr>
              <w:spacing w:after="0" w:line="240" w:lineRule="auto"/>
              <w:rPr>
                <w:rFonts w:eastAsia="Times New Roman"/>
                <w:color w:val="000000"/>
              </w:rPr>
            </w:pPr>
            <w:r w:rsidRPr="00E07EAE">
              <w:rPr>
                <w:rFonts w:eastAsia="Times New Roman"/>
                <w:color w:val="000000"/>
              </w:rPr>
              <w:t>Department of Human Services</w:t>
            </w:r>
          </w:p>
        </w:tc>
        <w:tc>
          <w:tcPr>
            <w:tcW w:w="1307" w:type="dxa"/>
            <w:tcBorders>
              <w:top w:val="nil"/>
              <w:left w:val="nil"/>
              <w:bottom w:val="single" w:sz="4" w:space="0" w:color="auto"/>
              <w:right w:val="single" w:sz="4" w:space="0" w:color="auto"/>
            </w:tcBorders>
            <w:noWrap/>
            <w:vAlign w:val="center"/>
            <w:hideMark/>
          </w:tcPr>
          <w:p w14:paraId="4F4B250C" w14:textId="77777777" w:rsidR="00F80E94" w:rsidRPr="00E07EAE" w:rsidRDefault="00F80E94" w:rsidP="00306CF3">
            <w:pPr>
              <w:spacing w:after="0" w:line="240" w:lineRule="auto"/>
              <w:jc w:val="right"/>
              <w:rPr>
                <w:rFonts w:eastAsia="Times New Roman"/>
                <w:color w:val="000000"/>
              </w:rPr>
            </w:pPr>
            <w:r w:rsidRPr="00E07EAE">
              <w:rPr>
                <w:rFonts w:eastAsia="Times New Roman"/>
                <w:color w:val="000000"/>
              </w:rPr>
              <w:t xml:space="preserve">$4,500,000 </w:t>
            </w:r>
          </w:p>
        </w:tc>
      </w:tr>
      <w:tr w:rsidR="00F80E94" w:rsidRPr="00E07EAE" w14:paraId="7C563A05" w14:textId="77777777" w:rsidTr="00306CF3">
        <w:trPr>
          <w:trHeight w:val="250"/>
          <w:jc w:val="center"/>
        </w:trPr>
        <w:tc>
          <w:tcPr>
            <w:tcW w:w="1232" w:type="dxa"/>
            <w:tcBorders>
              <w:top w:val="nil"/>
              <w:left w:val="single" w:sz="4" w:space="0" w:color="auto"/>
              <w:bottom w:val="single" w:sz="4" w:space="0" w:color="auto"/>
              <w:right w:val="single" w:sz="4" w:space="0" w:color="auto"/>
            </w:tcBorders>
            <w:vAlign w:val="center"/>
            <w:hideMark/>
          </w:tcPr>
          <w:p w14:paraId="71D4E2C9" w14:textId="77777777" w:rsidR="00F80E94" w:rsidRPr="00E07EAE" w:rsidRDefault="00F80E94" w:rsidP="00306CF3">
            <w:pPr>
              <w:spacing w:after="0" w:line="240" w:lineRule="auto"/>
              <w:jc w:val="center"/>
              <w:rPr>
                <w:rFonts w:eastAsia="Times New Roman"/>
                <w:color w:val="000000"/>
              </w:rPr>
            </w:pPr>
            <w:r w:rsidRPr="00E07EAE">
              <w:rPr>
                <w:rFonts w:eastAsia="Times New Roman"/>
                <w:color w:val="000000"/>
              </w:rPr>
              <w:t>13700</w:t>
            </w:r>
          </w:p>
        </w:tc>
        <w:tc>
          <w:tcPr>
            <w:tcW w:w="5262" w:type="dxa"/>
            <w:tcBorders>
              <w:top w:val="nil"/>
              <w:left w:val="nil"/>
              <w:bottom w:val="single" w:sz="4" w:space="0" w:color="auto"/>
              <w:right w:val="single" w:sz="4" w:space="0" w:color="auto"/>
            </w:tcBorders>
            <w:vAlign w:val="center"/>
            <w:hideMark/>
          </w:tcPr>
          <w:p w14:paraId="0F0D29CA" w14:textId="77777777" w:rsidR="00F80E94" w:rsidRPr="00E07EAE" w:rsidRDefault="00F80E94" w:rsidP="00306CF3">
            <w:pPr>
              <w:spacing w:after="0" w:line="240" w:lineRule="auto"/>
              <w:rPr>
                <w:rFonts w:eastAsia="Times New Roman"/>
                <w:color w:val="000000"/>
              </w:rPr>
            </w:pPr>
            <w:r w:rsidRPr="00E07EAE">
              <w:rPr>
                <w:rFonts w:eastAsia="Times New Roman"/>
                <w:color w:val="000000"/>
              </w:rPr>
              <w:t>Division of Child Support Services - DOJ</w:t>
            </w:r>
          </w:p>
        </w:tc>
        <w:tc>
          <w:tcPr>
            <w:tcW w:w="1307" w:type="dxa"/>
            <w:tcBorders>
              <w:top w:val="nil"/>
              <w:left w:val="nil"/>
              <w:bottom w:val="single" w:sz="4" w:space="0" w:color="auto"/>
              <w:right w:val="single" w:sz="4" w:space="0" w:color="auto"/>
            </w:tcBorders>
            <w:noWrap/>
            <w:vAlign w:val="center"/>
            <w:hideMark/>
          </w:tcPr>
          <w:p w14:paraId="0708EC19" w14:textId="77777777" w:rsidR="00F80E94" w:rsidRPr="00E07EAE" w:rsidRDefault="00F80E94" w:rsidP="00306CF3">
            <w:pPr>
              <w:spacing w:after="0" w:line="240" w:lineRule="auto"/>
              <w:jc w:val="right"/>
              <w:rPr>
                <w:rFonts w:eastAsia="Times New Roman"/>
                <w:color w:val="000000"/>
              </w:rPr>
            </w:pPr>
            <w:r w:rsidRPr="00E07EAE">
              <w:rPr>
                <w:rFonts w:eastAsia="Times New Roman"/>
                <w:color w:val="000000"/>
              </w:rPr>
              <w:t xml:space="preserve">$5,000,000 </w:t>
            </w:r>
          </w:p>
        </w:tc>
      </w:tr>
      <w:tr w:rsidR="00F80E94" w:rsidRPr="00990DD5" w14:paraId="3532FBCB" w14:textId="77777777" w:rsidTr="00306CF3">
        <w:trPr>
          <w:trHeight w:val="250"/>
          <w:jc w:val="center"/>
        </w:trPr>
        <w:tc>
          <w:tcPr>
            <w:tcW w:w="1232" w:type="dxa"/>
            <w:tcBorders>
              <w:top w:val="nil"/>
              <w:left w:val="single" w:sz="4" w:space="0" w:color="auto"/>
              <w:bottom w:val="single" w:sz="4" w:space="0" w:color="auto"/>
              <w:right w:val="single" w:sz="4" w:space="0" w:color="auto"/>
            </w:tcBorders>
            <w:vAlign w:val="center"/>
            <w:hideMark/>
          </w:tcPr>
          <w:p w14:paraId="12FCC1D6" w14:textId="77777777" w:rsidR="00F80E94" w:rsidRPr="00E07EAE" w:rsidRDefault="00F80E94" w:rsidP="00306CF3">
            <w:pPr>
              <w:spacing w:after="0" w:line="240" w:lineRule="auto"/>
              <w:jc w:val="center"/>
              <w:rPr>
                <w:rFonts w:eastAsia="Times New Roman"/>
                <w:color w:val="000000"/>
              </w:rPr>
            </w:pPr>
            <w:r w:rsidRPr="00E07EAE">
              <w:rPr>
                <w:rFonts w:eastAsia="Times New Roman"/>
                <w:color w:val="000000"/>
              </w:rPr>
              <w:t>44300</w:t>
            </w:r>
          </w:p>
        </w:tc>
        <w:tc>
          <w:tcPr>
            <w:tcW w:w="5262" w:type="dxa"/>
            <w:tcBorders>
              <w:top w:val="nil"/>
              <w:left w:val="nil"/>
              <w:bottom w:val="single" w:sz="4" w:space="0" w:color="auto"/>
              <w:right w:val="single" w:sz="4" w:space="0" w:color="auto"/>
            </w:tcBorders>
            <w:vAlign w:val="center"/>
            <w:hideMark/>
          </w:tcPr>
          <w:p w14:paraId="05A4F780" w14:textId="77777777" w:rsidR="00F80E94" w:rsidRPr="00E07EAE" w:rsidRDefault="00F80E94" w:rsidP="00306CF3">
            <w:pPr>
              <w:spacing w:after="0" w:line="240" w:lineRule="auto"/>
              <w:rPr>
                <w:rFonts w:eastAsia="Times New Roman"/>
                <w:color w:val="000000"/>
              </w:rPr>
            </w:pPr>
            <w:r w:rsidRPr="00E07EAE">
              <w:rPr>
                <w:rFonts w:eastAsia="Times New Roman"/>
                <w:color w:val="000000"/>
              </w:rPr>
              <w:t>Oregon Health Authority</w:t>
            </w:r>
          </w:p>
        </w:tc>
        <w:tc>
          <w:tcPr>
            <w:tcW w:w="1307" w:type="dxa"/>
            <w:tcBorders>
              <w:top w:val="nil"/>
              <w:left w:val="nil"/>
              <w:bottom w:val="single" w:sz="4" w:space="0" w:color="auto"/>
              <w:right w:val="single" w:sz="4" w:space="0" w:color="auto"/>
            </w:tcBorders>
            <w:noWrap/>
            <w:vAlign w:val="center"/>
            <w:hideMark/>
          </w:tcPr>
          <w:p w14:paraId="24B7AB4A" w14:textId="77777777" w:rsidR="00F80E94" w:rsidRPr="00990DD5" w:rsidRDefault="00F80E94" w:rsidP="00306CF3">
            <w:pPr>
              <w:spacing w:after="0" w:line="240" w:lineRule="auto"/>
              <w:jc w:val="right"/>
              <w:rPr>
                <w:rFonts w:eastAsia="Times New Roman"/>
                <w:color w:val="000000"/>
              </w:rPr>
            </w:pPr>
            <w:r w:rsidRPr="00E07EAE">
              <w:rPr>
                <w:rFonts w:eastAsia="Times New Roman"/>
                <w:color w:val="000000"/>
              </w:rPr>
              <w:t>$4,000,000</w:t>
            </w:r>
            <w:r w:rsidRPr="00990DD5">
              <w:rPr>
                <w:rFonts w:eastAsia="Times New Roman"/>
                <w:color w:val="000000"/>
              </w:rPr>
              <w:t xml:space="preserve"> </w:t>
            </w:r>
          </w:p>
        </w:tc>
      </w:tr>
      <w:tr w:rsidR="00F80E94" w:rsidRPr="00990DD5" w14:paraId="62DAAB73" w14:textId="77777777" w:rsidTr="00306CF3">
        <w:trPr>
          <w:trHeight w:val="250"/>
          <w:jc w:val="center"/>
        </w:trPr>
        <w:tc>
          <w:tcPr>
            <w:tcW w:w="1232" w:type="dxa"/>
            <w:tcBorders>
              <w:top w:val="nil"/>
              <w:left w:val="single" w:sz="4" w:space="0" w:color="auto"/>
              <w:bottom w:val="single" w:sz="4" w:space="0" w:color="auto"/>
              <w:right w:val="single" w:sz="4" w:space="0" w:color="auto"/>
            </w:tcBorders>
            <w:vAlign w:val="center"/>
            <w:hideMark/>
          </w:tcPr>
          <w:p w14:paraId="7FF26047" w14:textId="77777777" w:rsidR="00F80E94" w:rsidRPr="00990DD5" w:rsidRDefault="00F80E94" w:rsidP="00306CF3">
            <w:pPr>
              <w:spacing w:after="0" w:line="240" w:lineRule="auto"/>
              <w:jc w:val="center"/>
              <w:rPr>
                <w:rFonts w:eastAsia="Times New Roman"/>
                <w:color w:val="000000"/>
              </w:rPr>
            </w:pPr>
            <w:r w:rsidRPr="00990DD5">
              <w:rPr>
                <w:rFonts w:eastAsia="Times New Roman"/>
                <w:color w:val="000000"/>
              </w:rPr>
              <w:t>47100</w:t>
            </w:r>
          </w:p>
        </w:tc>
        <w:tc>
          <w:tcPr>
            <w:tcW w:w="5262" w:type="dxa"/>
            <w:tcBorders>
              <w:top w:val="nil"/>
              <w:left w:val="nil"/>
              <w:bottom w:val="single" w:sz="4" w:space="0" w:color="auto"/>
              <w:right w:val="single" w:sz="4" w:space="0" w:color="auto"/>
            </w:tcBorders>
            <w:vAlign w:val="center"/>
            <w:hideMark/>
          </w:tcPr>
          <w:p w14:paraId="10647337" w14:textId="77777777" w:rsidR="00F80E94" w:rsidRPr="00990DD5" w:rsidRDefault="00F80E94" w:rsidP="00306CF3">
            <w:pPr>
              <w:spacing w:after="0" w:line="240" w:lineRule="auto"/>
              <w:rPr>
                <w:rFonts w:eastAsia="Times New Roman"/>
                <w:color w:val="000000"/>
              </w:rPr>
            </w:pPr>
            <w:r w:rsidRPr="00990DD5">
              <w:rPr>
                <w:rFonts w:eastAsia="Times New Roman"/>
                <w:color w:val="000000"/>
              </w:rPr>
              <w:t>Oregon Employment Department - UI</w:t>
            </w:r>
          </w:p>
        </w:tc>
        <w:tc>
          <w:tcPr>
            <w:tcW w:w="1307" w:type="dxa"/>
            <w:tcBorders>
              <w:top w:val="nil"/>
              <w:left w:val="nil"/>
              <w:bottom w:val="single" w:sz="4" w:space="0" w:color="auto"/>
              <w:right w:val="single" w:sz="4" w:space="0" w:color="auto"/>
            </w:tcBorders>
            <w:noWrap/>
            <w:vAlign w:val="center"/>
            <w:hideMark/>
          </w:tcPr>
          <w:p w14:paraId="78A4BC59" w14:textId="77777777" w:rsidR="00F80E94" w:rsidRPr="00990DD5" w:rsidRDefault="00F80E94" w:rsidP="00306CF3">
            <w:pPr>
              <w:spacing w:after="0" w:line="240" w:lineRule="auto"/>
              <w:jc w:val="right"/>
              <w:rPr>
                <w:rFonts w:eastAsia="Times New Roman"/>
                <w:color w:val="000000"/>
              </w:rPr>
            </w:pPr>
            <w:r w:rsidRPr="00990DD5">
              <w:rPr>
                <w:rFonts w:eastAsia="Times New Roman"/>
                <w:color w:val="000000"/>
              </w:rPr>
              <w:t>$</w:t>
            </w:r>
            <w:r>
              <w:rPr>
                <w:rFonts w:eastAsia="Times New Roman"/>
                <w:color w:val="000000"/>
              </w:rPr>
              <w:t>22,000,000</w:t>
            </w:r>
          </w:p>
        </w:tc>
      </w:tr>
      <w:tr w:rsidR="00F80E94" w:rsidRPr="00990DD5" w14:paraId="553A9C9A" w14:textId="77777777" w:rsidTr="00306CF3">
        <w:trPr>
          <w:trHeight w:val="250"/>
          <w:jc w:val="center"/>
        </w:trPr>
        <w:tc>
          <w:tcPr>
            <w:tcW w:w="1232" w:type="dxa"/>
            <w:tcBorders>
              <w:top w:val="nil"/>
              <w:left w:val="single" w:sz="4" w:space="0" w:color="auto"/>
              <w:bottom w:val="single" w:sz="4" w:space="0" w:color="auto"/>
              <w:right w:val="single" w:sz="4" w:space="0" w:color="auto"/>
            </w:tcBorders>
            <w:vAlign w:val="center"/>
            <w:hideMark/>
          </w:tcPr>
          <w:p w14:paraId="79F04433" w14:textId="77777777" w:rsidR="00F80E94" w:rsidRPr="00990DD5" w:rsidRDefault="00F80E94" w:rsidP="00306CF3">
            <w:pPr>
              <w:spacing w:after="0" w:line="240" w:lineRule="auto"/>
              <w:jc w:val="center"/>
              <w:rPr>
                <w:rFonts w:eastAsia="Times New Roman"/>
                <w:color w:val="000000"/>
              </w:rPr>
            </w:pPr>
            <w:r w:rsidRPr="00990DD5">
              <w:rPr>
                <w:rFonts w:eastAsia="Times New Roman"/>
                <w:color w:val="000000"/>
              </w:rPr>
              <w:t>47100</w:t>
            </w:r>
          </w:p>
        </w:tc>
        <w:tc>
          <w:tcPr>
            <w:tcW w:w="5262" w:type="dxa"/>
            <w:tcBorders>
              <w:top w:val="nil"/>
              <w:left w:val="nil"/>
              <w:bottom w:val="single" w:sz="4" w:space="0" w:color="auto"/>
              <w:right w:val="single" w:sz="4" w:space="0" w:color="auto"/>
            </w:tcBorders>
            <w:vAlign w:val="center"/>
            <w:hideMark/>
          </w:tcPr>
          <w:p w14:paraId="1175482C" w14:textId="77777777" w:rsidR="00F80E94" w:rsidRPr="00990DD5" w:rsidRDefault="00F80E94" w:rsidP="00306CF3">
            <w:pPr>
              <w:spacing w:after="0" w:line="240" w:lineRule="auto"/>
              <w:rPr>
                <w:rFonts w:eastAsia="Times New Roman"/>
                <w:color w:val="000000"/>
              </w:rPr>
            </w:pPr>
            <w:r w:rsidRPr="00990DD5">
              <w:rPr>
                <w:rFonts w:eastAsia="Times New Roman"/>
                <w:color w:val="000000"/>
              </w:rPr>
              <w:t>Oregon Employment Department - PFMLI</w:t>
            </w:r>
          </w:p>
        </w:tc>
        <w:tc>
          <w:tcPr>
            <w:tcW w:w="1307" w:type="dxa"/>
            <w:tcBorders>
              <w:top w:val="nil"/>
              <w:left w:val="nil"/>
              <w:bottom w:val="single" w:sz="4" w:space="0" w:color="auto"/>
              <w:right w:val="single" w:sz="4" w:space="0" w:color="auto"/>
            </w:tcBorders>
            <w:noWrap/>
            <w:vAlign w:val="center"/>
            <w:hideMark/>
          </w:tcPr>
          <w:p w14:paraId="5B5E8C56" w14:textId="77777777" w:rsidR="00F80E94" w:rsidRPr="00990DD5" w:rsidRDefault="00F80E94" w:rsidP="00306CF3">
            <w:pPr>
              <w:spacing w:after="0" w:line="240" w:lineRule="auto"/>
              <w:jc w:val="right"/>
              <w:rPr>
                <w:rFonts w:eastAsia="Times New Roman"/>
                <w:color w:val="000000"/>
              </w:rPr>
            </w:pPr>
            <w:r w:rsidRPr="00990DD5">
              <w:rPr>
                <w:rFonts w:eastAsia="Times New Roman"/>
                <w:color w:val="000000"/>
              </w:rPr>
              <w:t>$</w:t>
            </w:r>
            <w:r>
              <w:rPr>
                <w:rFonts w:eastAsia="Times New Roman"/>
                <w:color w:val="000000"/>
              </w:rPr>
              <w:t>1</w:t>
            </w:r>
            <w:r w:rsidRPr="00990DD5">
              <w:rPr>
                <w:rFonts w:eastAsia="Times New Roman"/>
                <w:color w:val="000000"/>
              </w:rPr>
              <w:t>,</w:t>
            </w:r>
            <w:r>
              <w:rPr>
                <w:rFonts w:eastAsia="Times New Roman"/>
                <w:color w:val="000000"/>
              </w:rPr>
              <w:t>9</w:t>
            </w:r>
            <w:r w:rsidRPr="00990DD5">
              <w:rPr>
                <w:rFonts w:eastAsia="Times New Roman"/>
                <w:color w:val="000000"/>
              </w:rPr>
              <w:t xml:space="preserve">00,000 </w:t>
            </w:r>
          </w:p>
        </w:tc>
      </w:tr>
      <w:tr w:rsidR="00F80E94" w:rsidRPr="00990DD5" w14:paraId="256A4630" w14:textId="77777777" w:rsidTr="00306CF3">
        <w:trPr>
          <w:trHeight w:val="250"/>
          <w:jc w:val="center"/>
        </w:trPr>
        <w:tc>
          <w:tcPr>
            <w:tcW w:w="1232" w:type="dxa"/>
            <w:tcBorders>
              <w:top w:val="nil"/>
              <w:left w:val="single" w:sz="4" w:space="0" w:color="auto"/>
              <w:bottom w:val="single" w:sz="4" w:space="0" w:color="auto"/>
              <w:right w:val="single" w:sz="4" w:space="0" w:color="auto"/>
            </w:tcBorders>
            <w:vAlign w:val="center"/>
            <w:hideMark/>
          </w:tcPr>
          <w:p w14:paraId="4496A639" w14:textId="77777777" w:rsidR="00F80E94" w:rsidRPr="00990DD5" w:rsidRDefault="00F80E94" w:rsidP="00306CF3">
            <w:pPr>
              <w:spacing w:after="0" w:line="240" w:lineRule="auto"/>
              <w:jc w:val="center"/>
              <w:rPr>
                <w:rFonts w:eastAsia="Times New Roman"/>
                <w:color w:val="000000"/>
              </w:rPr>
            </w:pPr>
            <w:r w:rsidRPr="00990DD5">
              <w:rPr>
                <w:rFonts w:eastAsia="Times New Roman"/>
                <w:color w:val="000000"/>
              </w:rPr>
              <w:t>73000</w:t>
            </w:r>
          </w:p>
        </w:tc>
        <w:tc>
          <w:tcPr>
            <w:tcW w:w="5262" w:type="dxa"/>
            <w:tcBorders>
              <w:top w:val="nil"/>
              <w:left w:val="nil"/>
              <w:bottom w:val="single" w:sz="4" w:space="0" w:color="auto"/>
              <w:right w:val="single" w:sz="4" w:space="0" w:color="auto"/>
            </w:tcBorders>
            <w:vAlign w:val="center"/>
            <w:hideMark/>
          </w:tcPr>
          <w:p w14:paraId="6273B039" w14:textId="77777777" w:rsidR="00F80E94" w:rsidRPr="00990DD5" w:rsidRDefault="00F80E94" w:rsidP="00306CF3">
            <w:pPr>
              <w:spacing w:after="0" w:line="240" w:lineRule="auto"/>
              <w:rPr>
                <w:rFonts w:eastAsia="Times New Roman"/>
                <w:color w:val="000000"/>
              </w:rPr>
            </w:pPr>
            <w:r w:rsidRPr="00990DD5">
              <w:rPr>
                <w:rFonts w:eastAsia="Times New Roman"/>
                <w:color w:val="000000"/>
              </w:rPr>
              <w:t>OR Department of Transportation - DMV</w:t>
            </w:r>
          </w:p>
        </w:tc>
        <w:tc>
          <w:tcPr>
            <w:tcW w:w="1307" w:type="dxa"/>
            <w:tcBorders>
              <w:top w:val="nil"/>
              <w:left w:val="nil"/>
              <w:bottom w:val="single" w:sz="4" w:space="0" w:color="auto"/>
              <w:right w:val="single" w:sz="4" w:space="0" w:color="auto"/>
            </w:tcBorders>
            <w:noWrap/>
            <w:vAlign w:val="center"/>
            <w:hideMark/>
          </w:tcPr>
          <w:p w14:paraId="0B3C5A8B" w14:textId="77777777" w:rsidR="00F80E94" w:rsidRPr="00990DD5" w:rsidRDefault="00F80E94" w:rsidP="00306CF3">
            <w:pPr>
              <w:spacing w:after="0" w:line="240" w:lineRule="auto"/>
              <w:jc w:val="right"/>
              <w:rPr>
                <w:rFonts w:eastAsia="Times New Roman"/>
                <w:color w:val="000000"/>
              </w:rPr>
            </w:pPr>
            <w:r w:rsidRPr="00990DD5">
              <w:rPr>
                <w:rFonts w:eastAsia="Times New Roman"/>
                <w:color w:val="000000"/>
              </w:rPr>
              <w:t>$</w:t>
            </w:r>
            <w:r>
              <w:rPr>
                <w:rFonts w:eastAsia="Times New Roman"/>
                <w:color w:val="000000"/>
              </w:rPr>
              <w:t>7</w:t>
            </w:r>
            <w:r w:rsidRPr="00990DD5">
              <w:rPr>
                <w:rFonts w:eastAsia="Times New Roman"/>
                <w:color w:val="000000"/>
              </w:rPr>
              <w:t>,</w:t>
            </w:r>
            <w:r>
              <w:rPr>
                <w:rFonts w:eastAsia="Times New Roman"/>
                <w:color w:val="000000"/>
              </w:rPr>
              <w:t>0</w:t>
            </w:r>
            <w:r w:rsidRPr="00990DD5">
              <w:rPr>
                <w:rFonts w:eastAsia="Times New Roman"/>
                <w:color w:val="000000"/>
              </w:rPr>
              <w:t xml:space="preserve">00,000 </w:t>
            </w:r>
          </w:p>
        </w:tc>
      </w:tr>
      <w:tr w:rsidR="00F80E94" w:rsidRPr="00990DD5" w14:paraId="3569F335" w14:textId="77777777" w:rsidTr="00306CF3">
        <w:trPr>
          <w:trHeight w:val="250"/>
          <w:jc w:val="center"/>
        </w:trPr>
        <w:tc>
          <w:tcPr>
            <w:tcW w:w="1232" w:type="dxa"/>
            <w:tcBorders>
              <w:top w:val="nil"/>
              <w:left w:val="single" w:sz="4" w:space="0" w:color="auto"/>
              <w:bottom w:val="single" w:sz="4" w:space="0" w:color="auto"/>
              <w:right w:val="single" w:sz="4" w:space="0" w:color="auto"/>
            </w:tcBorders>
            <w:noWrap/>
            <w:vAlign w:val="bottom"/>
            <w:hideMark/>
          </w:tcPr>
          <w:p w14:paraId="7913620C" w14:textId="77777777" w:rsidR="00F80E94" w:rsidRPr="00990DD5" w:rsidRDefault="00F80E94" w:rsidP="00306CF3">
            <w:pPr>
              <w:spacing w:after="0" w:line="240" w:lineRule="auto"/>
              <w:jc w:val="center"/>
              <w:rPr>
                <w:rFonts w:eastAsia="Times New Roman"/>
                <w:color w:val="000000"/>
              </w:rPr>
            </w:pPr>
            <w:r w:rsidRPr="00990DD5">
              <w:rPr>
                <w:rFonts w:eastAsia="Times New Roman"/>
                <w:color w:val="000000"/>
              </w:rPr>
              <w:t> </w:t>
            </w:r>
          </w:p>
        </w:tc>
        <w:tc>
          <w:tcPr>
            <w:tcW w:w="5262" w:type="dxa"/>
            <w:tcBorders>
              <w:top w:val="nil"/>
              <w:left w:val="nil"/>
              <w:bottom w:val="single" w:sz="4" w:space="0" w:color="auto"/>
              <w:right w:val="single" w:sz="4" w:space="0" w:color="auto"/>
            </w:tcBorders>
            <w:noWrap/>
            <w:vAlign w:val="bottom"/>
            <w:hideMark/>
          </w:tcPr>
          <w:p w14:paraId="77A5528E" w14:textId="77777777" w:rsidR="00F80E94" w:rsidRPr="00990DD5" w:rsidRDefault="00F80E94" w:rsidP="00306CF3">
            <w:pPr>
              <w:spacing w:after="0" w:line="240" w:lineRule="auto"/>
              <w:jc w:val="right"/>
              <w:rPr>
                <w:rFonts w:eastAsia="Times New Roman"/>
                <w:b/>
                <w:bCs/>
                <w:color w:val="000000"/>
              </w:rPr>
            </w:pPr>
            <w:r w:rsidRPr="00990DD5">
              <w:rPr>
                <w:rFonts w:eastAsia="Times New Roman"/>
                <w:b/>
                <w:bCs/>
                <w:color w:val="000000"/>
              </w:rPr>
              <w:t>Total</w:t>
            </w:r>
          </w:p>
        </w:tc>
        <w:tc>
          <w:tcPr>
            <w:tcW w:w="1307" w:type="dxa"/>
            <w:tcBorders>
              <w:top w:val="nil"/>
              <w:left w:val="nil"/>
              <w:bottom w:val="single" w:sz="4" w:space="0" w:color="auto"/>
              <w:right w:val="single" w:sz="4" w:space="0" w:color="auto"/>
            </w:tcBorders>
            <w:noWrap/>
            <w:vAlign w:val="bottom"/>
            <w:hideMark/>
          </w:tcPr>
          <w:p w14:paraId="1C5CF684" w14:textId="77777777" w:rsidR="00F80E94" w:rsidRPr="00990DD5" w:rsidRDefault="00F80E94" w:rsidP="00306CF3">
            <w:pPr>
              <w:spacing w:after="0" w:line="240" w:lineRule="auto"/>
              <w:rPr>
                <w:rFonts w:eastAsia="Times New Roman"/>
                <w:b/>
                <w:bCs/>
                <w:color w:val="000000"/>
              </w:rPr>
            </w:pPr>
            <w:r>
              <w:rPr>
                <w:rFonts w:eastAsia="Times New Roman"/>
                <w:b/>
                <w:bCs/>
                <w:color w:val="000000"/>
              </w:rPr>
              <w:t>$</w:t>
            </w:r>
            <w:r w:rsidRPr="00990DD5">
              <w:rPr>
                <w:rFonts w:eastAsia="Times New Roman"/>
                <w:b/>
                <w:bCs/>
                <w:color w:val="000000"/>
              </w:rPr>
              <w:t>4</w:t>
            </w:r>
            <w:r>
              <w:rPr>
                <w:rFonts w:eastAsia="Times New Roman"/>
                <w:b/>
                <w:bCs/>
                <w:color w:val="000000"/>
              </w:rPr>
              <w:t>4</w:t>
            </w:r>
            <w:r w:rsidRPr="00990DD5">
              <w:rPr>
                <w:rFonts w:eastAsia="Times New Roman"/>
                <w:b/>
                <w:bCs/>
                <w:color w:val="000000"/>
              </w:rPr>
              <w:t>,</w:t>
            </w:r>
            <w:r>
              <w:rPr>
                <w:rFonts w:eastAsia="Times New Roman"/>
                <w:b/>
                <w:bCs/>
                <w:color w:val="000000"/>
              </w:rPr>
              <w:t>0</w:t>
            </w:r>
            <w:r w:rsidRPr="00990DD5">
              <w:rPr>
                <w:rFonts w:eastAsia="Times New Roman"/>
                <w:b/>
                <w:bCs/>
                <w:color w:val="000000"/>
              </w:rPr>
              <w:t xml:space="preserve">00,000 </w:t>
            </w:r>
          </w:p>
        </w:tc>
      </w:tr>
    </w:tbl>
    <w:p w14:paraId="3CA3F625" w14:textId="77777777" w:rsidR="00F80E94" w:rsidRDefault="00F80E94" w:rsidP="00F80E94">
      <w:pPr>
        <w:rPr>
          <w:szCs w:val="24"/>
        </w:rPr>
      </w:pPr>
      <w:bookmarkStart w:id="117" w:name="OLE_LINK21"/>
      <w:bookmarkEnd w:id="116"/>
    </w:p>
    <w:p w14:paraId="7926C4A0" w14:textId="77777777" w:rsidR="00F80E94" w:rsidRDefault="00F80E94" w:rsidP="00A23876">
      <w:pPr>
        <w:rPr>
          <w:szCs w:val="24"/>
        </w:rPr>
      </w:pPr>
      <w:r>
        <w:rPr>
          <w:szCs w:val="24"/>
        </w:rPr>
        <w:t>I</w:t>
      </w:r>
      <w:r w:rsidRPr="008C32CE">
        <w:rPr>
          <w:szCs w:val="24"/>
        </w:rPr>
        <w:t xml:space="preserve">ncreased costs, </w:t>
      </w:r>
      <w:r>
        <w:rPr>
          <w:szCs w:val="24"/>
        </w:rPr>
        <w:t>primarily due to</w:t>
      </w:r>
      <w:r w:rsidRPr="008C32CE">
        <w:rPr>
          <w:szCs w:val="24"/>
        </w:rPr>
        <w:t xml:space="preserve"> personal services, requires the OAH to add an additional </w:t>
      </w:r>
      <w:r>
        <w:rPr>
          <w:szCs w:val="24"/>
        </w:rPr>
        <w:t>3</w:t>
      </w:r>
      <w:r w:rsidRPr="008C32CE">
        <w:rPr>
          <w:szCs w:val="24"/>
        </w:rPr>
        <w:t xml:space="preserve">% to agency billings in </w:t>
      </w:r>
      <w:r>
        <w:rPr>
          <w:szCs w:val="24"/>
        </w:rPr>
        <w:t>the 2027-29 biennium</w:t>
      </w:r>
      <w:r w:rsidRPr="008C32CE">
        <w:rPr>
          <w:szCs w:val="24"/>
        </w:rPr>
        <w:t xml:space="preserve"> </w:t>
      </w:r>
      <w:r>
        <w:rPr>
          <w:szCs w:val="24"/>
        </w:rPr>
        <w:t xml:space="preserve">to </w:t>
      </w:r>
      <w:r w:rsidRPr="008C32CE">
        <w:rPr>
          <w:szCs w:val="24"/>
        </w:rPr>
        <w:t>maintain sufficient operating capital</w:t>
      </w:r>
      <w:r>
        <w:rPr>
          <w:szCs w:val="24"/>
        </w:rPr>
        <w:t xml:space="preserve">. This </w:t>
      </w:r>
      <w:r w:rsidRPr="008C32CE">
        <w:rPr>
          <w:szCs w:val="24"/>
        </w:rPr>
        <w:lastRenderedPageBreak/>
        <w:t xml:space="preserve">charge is embedded in the hourly rates and is included in the estimates above for agencies that are billed for actual costs. </w:t>
      </w:r>
    </w:p>
    <w:p w14:paraId="5F523080" w14:textId="77777777" w:rsidR="00F80E94" w:rsidRPr="00A23876" w:rsidRDefault="00F80E94" w:rsidP="00A23876">
      <w:pPr>
        <w:rPr>
          <w:bCs/>
        </w:rPr>
      </w:pPr>
      <w:r w:rsidRPr="00A23876">
        <w:rPr>
          <w:bCs/>
        </w:rPr>
        <w:t>*Statute authorizes the OAH to provide services to certain entities that are not state agencies. The estimated 2027-29 costs associated with those services are not included in the Price List total.</w:t>
      </w:r>
    </w:p>
    <w:p w14:paraId="6F1B7A6F" w14:textId="09AD7A56" w:rsidR="00F80E94" w:rsidRPr="003E7954" w:rsidRDefault="00F80E94" w:rsidP="00A23876">
      <w:r w:rsidRPr="003E7954">
        <w:rPr>
          <w:b/>
          <w:bCs/>
        </w:rPr>
        <w:t>Contact for more information:</w:t>
      </w:r>
      <w:r w:rsidRPr="003E7954">
        <w:rPr>
          <w:b/>
        </w:rPr>
        <w:t xml:space="preserve"> </w:t>
      </w:r>
      <w:r>
        <w:rPr>
          <w:b/>
        </w:rPr>
        <w:t>Jeffrey Rhoades</w:t>
      </w:r>
      <w:r w:rsidRPr="003E7954">
        <w:rPr>
          <w:b/>
        </w:rPr>
        <w:t xml:space="preserve"> at </w:t>
      </w:r>
      <w:r>
        <w:rPr>
          <w:b/>
        </w:rPr>
        <w:t xml:space="preserve">503-378-6335 or </w:t>
      </w:r>
      <w:hyperlink r:id="rId63" w:history="1">
        <w:r w:rsidR="00A23876" w:rsidRPr="00993DCF">
          <w:rPr>
            <w:rStyle w:val="Hyperlink"/>
            <w:b/>
            <w:color w:val="auto"/>
          </w:rPr>
          <w:t>Jeffrey.R.Rhoades@employ.oregon.gov</w:t>
        </w:r>
      </w:hyperlink>
      <w:r w:rsidRPr="00993DCF">
        <w:rPr>
          <w:b/>
        </w:rPr>
        <w:t xml:space="preserve">. </w:t>
      </w:r>
    </w:p>
    <w:p w14:paraId="0C34EFA9" w14:textId="77777777" w:rsidR="00F80E94" w:rsidRPr="00A23876" w:rsidRDefault="00F80E94" w:rsidP="001C6B82">
      <w:pPr>
        <w:pStyle w:val="Heading3"/>
      </w:pPr>
      <w:bookmarkStart w:id="118" w:name="_Toc226108654"/>
      <w:bookmarkStart w:id="119" w:name="_Toc226981078"/>
      <w:r w:rsidRPr="00C61DB5">
        <w:t>Oregon Health Authority – Public Employees’ Benefit Board</w:t>
      </w:r>
      <w:bookmarkEnd w:id="118"/>
      <w:bookmarkEnd w:id="119"/>
    </w:p>
    <w:p w14:paraId="65DAD945" w14:textId="77777777" w:rsidR="00F80E94" w:rsidRPr="00A23876" w:rsidRDefault="00F80E94" w:rsidP="001C6B82">
      <w:pPr>
        <w:pStyle w:val="Heading4"/>
      </w:pPr>
      <w:bookmarkStart w:id="120" w:name="_Toc226108655"/>
      <w:r w:rsidRPr="00C61DB5">
        <w:t>Employee Assistance Program</w:t>
      </w:r>
      <w:bookmarkEnd w:id="120"/>
    </w:p>
    <w:p w14:paraId="17CE12B9" w14:textId="77777777" w:rsidR="00F80E94" w:rsidRDefault="00F80E94" w:rsidP="00A23876">
      <w:r>
        <w:t>Agencies participating in the statewide Employee Assistance Program (EAP) offered through the Public Employees’ Benefit Board should use the following prices when projecting costs for 2025-27.</w:t>
      </w:r>
    </w:p>
    <w:p w14:paraId="57B0F0D6" w14:textId="77777777" w:rsidR="00F80E94" w:rsidRDefault="00F80E94" w:rsidP="00A23876">
      <w:r>
        <w:t>For July 1, 2025, through June 30, 2027, budget $24.00 per FTE per year for the three-visit model or $26.40 per FTE per year for the five-visit model, $36.00 per FTE per year for a six-visit model, and $38.40 per FTE for an eight-visit model.</w:t>
      </w:r>
    </w:p>
    <w:p w14:paraId="0C227651" w14:textId="4FE80035" w:rsidR="00F80E94" w:rsidRPr="00725850" w:rsidRDefault="00F80E94" w:rsidP="00A23876">
      <w:r>
        <w:t>Expenditures for EAP are budgeted under professional services.</w:t>
      </w:r>
      <w:r w:rsidR="00725850">
        <w:t xml:space="preserve"> </w:t>
      </w:r>
      <w:r w:rsidRPr="00FC2741">
        <w:rPr>
          <w:b/>
          <w:bCs/>
        </w:rPr>
        <w:t xml:space="preserve">Contact </w:t>
      </w:r>
      <w:r>
        <w:rPr>
          <w:b/>
          <w:bCs/>
        </w:rPr>
        <w:t>for more information:</w:t>
      </w:r>
      <w:r w:rsidRPr="0033733C">
        <w:rPr>
          <w:b/>
          <w:bCs/>
        </w:rPr>
        <w:t xml:space="preserve"> Ali Hassoun at </w:t>
      </w:r>
      <w:r>
        <w:rPr>
          <w:b/>
          <w:bCs/>
        </w:rPr>
        <w:t>503-</w:t>
      </w:r>
      <w:r w:rsidRPr="0033733C">
        <w:rPr>
          <w:b/>
          <w:bCs/>
        </w:rPr>
        <w:t xml:space="preserve">378-2798 or </w:t>
      </w:r>
      <w:hyperlink r:id="rId64" w:history="1">
        <w:r w:rsidRPr="006B5CCB">
          <w:rPr>
            <w:rStyle w:val="Hyperlink"/>
            <w:b/>
            <w:bCs/>
            <w:color w:val="000000" w:themeColor="text1"/>
          </w:rPr>
          <w:t>ali.h.hassoun@oha.oregon.gov</w:t>
        </w:r>
      </w:hyperlink>
      <w:r>
        <w:rPr>
          <w:b/>
          <w:bCs/>
        </w:rPr>
        <w:t>.</w:t>
      </w:r>
    </w:p>
    <w:p w14:paraId="2121C34A" w14:textId="77777777" w:rsidR="00F80E94" w:rsidRPr="00285917" w:rsidRDefault="00F80E94" w:rsidP="001C6B82">
      <w:pPr>
        <w:pStyle w:val="Heading3"/>
      </w:pPr>
      <w:bookmarkStart w:id="121" w:name="_Toc226108656"/>
      <w:bookmarkStart w:id="122" w:name="_Toc226981079"/>
      <w:r>
        <w:t>Department of Emergency Management (OEM)</w:t>
      </w:r>
      <w:bookmarkEnd w:id="121"/>
      <w:bookmarkEnd w:id="122"/>
    </w:p>
    <w:p w14:paraId="274DBAC3" w14:textId="77777777" w:rsidR="00F80E94" w:rsidRPr="00285917" w:rsidRDefault="00F80E94" w:rsidP="001C6B82">
      <w:pPr>
        <w:pStyle w:val="Heading4"/>
      </w:pPr>
      <w:bookmarkStart w:id="123" w:name="_Toc226108657"/>
      <w:r>
        <w:t>Statewide Interoperability Coordinator Program (SWIC)</w:t>
      </w:r>
      <w:bookmarkEnd w:id="123"/>
    </w:p>
    <w:p w14:paraId="6C028C40" w14:textId="77777777" w:rsidR="00F80E94" w:rsidRPr="00F05A1F" w:rsidRDefault="00F80E94" w:rsidP="00285917">
      <w:r w:rsidRPr="00F05A1F">
        <w:t>The State Interoperability Executive Council (SIEC) and the Statewide Interoperability (SWI) Program were established under the foundational statutes, ORS 403.450, 403.455, and 403.460, which outline the structure and duties of these entities including:</w:t>
      </w:r>
    </w:p>
    <w:p w14:paraId="38CB630B" w14:textId="77777777" w:rsidR="00F80E94" w:rsidRPr="00285917" w:rsidRDefault="00F80E94" w:rsidP="00285917">
      <w:pPr>
        <w:pStyle w:val="ListParagraph"/>
        <w:numPr>
          <w:ilvl w:val="0"/>
          <w:numId w:val="48"/>
        </w:numPr>
        <w:rPr>
          <w:rFonts w:eastAsia="Times New Roman"/>
        </w:rPr>
      </w:pPr>
      <w:r w:rsidRPr="00285917">
        <w:rPr>
          <w:rFonts w:eastAsia="Times New Roman"/>
        </w:rPr>
        <w:t>Ensuring a cohesive statewide communications infrastructure,</w:t>
      </w:r>
    </w:p>
    <w:p w14:paraId="6DA37722" w14:textId="77777777" w:rsidR="00F80E94" w:rsidRPr="00285917" w:rsidRDefault="00F80E94" w:rsidP="00285917">
      <w:pPr>
        <w:pStyle w:val="ListParagraph"/>
        <w:numPr>
          <w:ilvl w:val="0"/>
          <w:numId w:val="48"/>
        </w:numPr>
        <w:rPr>
          <w:rFonts w:eastAsia="Times New Roman"/>
        </w:rPr>
      </w:pPr>
      <w:r w:rsidRPr="00285917">
        <w:rPr>
          <w:rFonts w:eastAsia="Times New Roman"/>
        </w:rPr>
        <w:t xml:space="preserve">Leading the management of response to statewide emergencies, </w:t>
      </w:r>
    </w:p>
    <w:p w14:paraId="331E40E6" w14:textId="77777777" w:rsidR="00F80E94" w:rsidRPr="00285917" w:rsidRDefault="00F80E94" w:rsidP="00285917">
      <w:pPr>
        <w:pStyle w:val="ListParagraph"/>
        <w:numPr>
          <w:ilvl w:val="0"/>
          <w:numId w:val="48"/>
        </w:numPr>
        <w:rPr>
          <w:rFonts w:eastAsia="Times New Roman"/>
        </w:rPr>
      </w:pPr>
      <w:r w:rsidRPr="00285917">
        <w:rPr>
          <w:rFonts w:eastAsia="Times New Roman"/>
        </w:rPr>
        <w:t>Operating the OR-Alert system,</w:t>
      </w:r>
    </w:p>
    <w:p w14:paraId="2AAC809D" w14:textId="77777777" w:rsidR="00F80E94" w:rsidRPr="00285917" w:rsidRDefault="00F80E94" w:rsidP="00285917">
      <w:pPr>
        <w:pStyle w:val="ListParagraph"/>
        <w:numPr>
          <w:ilvl w:val="0"/>
          <w:numId w:val="48"/>
        </w:numPr>
        <w:rPr>
          <w:rFonts w:eastAsia="Times New Roman"/>
        </w:rPr>
      </w:pPr>
      <w:r w:rsidRPr="00285917">
        <w:rPr>
          <w:rFonts w:eastAsia="Times New Roman"/>
        </w:rPr>
        <w:t>Establishing collaboration with diverse agencies for a coordinated and effective response, and</w:t>
      </w:r>
    </w:p>
    <w:p w14:paraId="34689EAB" w14:textId="497D45DD" w:rsidR="00F80E94" w:rsidRPr="00285917" w:rsidRDefault="00F80E94" w:rsidP="00285917">
      <w:pPr>
        <w:pStyle w:val="ListParagraph"/>
        <w:numPr>
          <w:ilvl w:val="0"/>
          <w:numId w:val="48"/>
        </w:numPr>
        <w:rPr>
          <w:rFonts w:eastAsia="Times New Roman"/>
        </w:rPr>
      </w:pPr>
      <w:r w:rsidRPr="00285917">
        <w:rPr>
          <w:rFonts w:eastAsia="Times New Roman"/>
        </w:rPr>
        <w:t>Serving as the primary steering committee for the Statewide Communication Interoperability Plan.</w:t>
      </w:r>
    </w:p>
    <w:p w14:paraId="2C9BCD28" w14:textId="77777777" w:rsidR="00F80E94" w:rsidRPr="00F05A1F" w:rsidRDefault="00F80E94" w:rsidP="00285917">
      <w:pPr>
        <w:rPr>
          <w:i/>
        </w:rPr>
      </w:pPr>
      <w:r w:rsidRPr="00F05A1F">
        <w:t>Costs associated with the above activities are supported by an assessment that allocates costs to state agencies based on 202</w:t>
      </w:r>
      <w:r>
        <w:t>5</w:t>
      </w:r>
      <w:r w:rsidRPr="00F05A1F">
        <w:t>-2</w:t>
      </w:r>
      <w:r>
        <w:t>7</w:t>
      </w:r>
      <w:r w:rsidRPr="00F05A1F">
        <w:t xml:space="preserve"> budgeted Full-Time Equivalent (FTE) authority. </w:t>
      </w:r>
      <w:r w:rsidRPr="00285917">
        <w:rPr>
          <w:iCs/>
        </w:rPr>
        <w:t>Reference Office of Emergency Management (SWI) in Appendix A.</w:t>
      </w:r>
    </w:p>
    <w:p w14:paraId="39899C21" w14:textId="77777777" w:rsidR="00410445" w:rsidRDefault="00F80E94" w:rsidP="00285917">
      <w:pPr>
        <w:rPr>
          <w:b/>
          <w:bCs/>
        </w:rPr>
      </w:pPr>
      <w:r w:rsidRPr="00F05A1F">
        <w:rPr>
          <w:b/>
          <w:bCs/>
        </w:rPr>
        <w:lastRenderedPageBreak/>
        <w:t xml:space="preserve">Contact for more information: </w:t>
      </w:r>
      <w:r>
        <w:rPr>
          <w:b/>
          <w:bCs/>
        </w:rPr>
        <w:t xml:space="preserve">William Chapman at 971-283-4607 or </w:t>
      </w:r>
      <w:hyperlink r:id="rId65" w:history="1">
        <w:r w:rsidRPr="00410445">
          <w:rPr>
            <w:rStyle w:val="Hyperlink"/>
            <w:b/>
            <w:bCs/>
            <w:color w:val="auto"/>
          </w:rPr>
          <w:t>William.chapman@oem.oregon.gov</w:t>
        </w:r>
      </w:hyperlink>
      <w:r w:rsidRPr="00E973A7">
        <w:rPr>
          <w:b/>
          <w:bCs/>
        </w:rPr>
        <w:t xml:space="preserve">. </w:t>
      </w:r>
      <w:bookmarkStart w:id="124" w:name="_Toc226108658"/>
      <w:bookmarkEnd w:id="117"/>
    </w:p>
    <w:p w14:paraId="35CE0F8B" w14:textId="77777777" w:rsidR="00630FF0" w:rsidRDefault="00630FF0" w:rsidP="00410445">
      <w:pPr>
        <w:rPr>
          <w:b/>
          <w:bCs/>
        </w:rPr>
      </w:pPr>
    </w:p>
    <w:p w14:paraId="1A2137AC" w14:textId="77777777" w:rsidR="00285917" w:rsidRDefault="00285917" w:rsidP="00410445">
      <w:pPr>
        <w:rPr>
          <w:b/>
          <w:bCs/>
        </w:rPr>
      </w:pPr>
    </w:p>
    <w:p w14:paraId="06433AB6" w14:textId="77777777" w:rsidR="00630FF0" w:rsidRDefault="00630FF0" w:rsidP="00410445">
      <w:pPr>
        <w:rPr>
          <w:b/>
          <w:bCs/>
        </w:rPr>
      </w:pPr>
    </w:p>
    <w:p w14:paraId="3BE8C47E" w14:textId="77777777" w:rsidR="00630FF0" w:rsidRDefault="00630FF0" w:rsidP="00410445">
      <w:pPr>
        <w:rPr>
          <w:b/>
          <w:bCs/>
        </w:rPr>
      </w:pPr>
    </w:p>
    <w:p w14:paraId="492B33FC" w14:textId="77777777" w:rsidR="00630FF0" w:rsidRDefault="00630FF0" w:rsidP="00410445">
      <w:pPr>
        <w:rPr>
          <w:b/>
          <w:bCs/>
        </w:rPr>
      </w:pPr>
    </w:p>
    <w:p w14:paraId="639B446E" w14:textId="77777777" w:rsidR="00630FF0" w:rsidRDefault="00630FF0" w:rsidP="00410445">
      <w:pPr>
        <w:rPr>
          <w:b/>
          <w:bCs/>
        </w:rPr>
      </w:pPr>
    </w:p>
    <w:p w14:paraId="633CFBBE" w14:textId="77777777" w:rsidR="00630FF0" w:rsidRDefault="00630FF0" w:rsidP="00410445">
      <w:pPr>
        <w:rPr>
          <w:b/>
          <w:bCs/>
        </w:rPr>
      </w:pPr>
    </w:p>
    <w:p w14:paraId="55949305" w14:textId="77777777" w:rsidR="00630FF0" w:rsidRDefault="00630FF0" w:rsidP="00410445">
      <w:pPr>
        <w:rPr>
          <w:b/>
          <w:bCs/>
        </w:rPr>
      </w:pPr>
    </w:p>
    <w:p w14:paraId="0231C7C3" w14:textId="77777777" w:rsidR="00630FF0" w:rsidRDefault="00630FF0" w:rsidP="00410445">
      <w:pPr>
        <w:rPr>
          <w:b/>
          <w:bCs/>
        </w:rPr>
      </w:pPr>
    </w:p>
    <w:p w14:paraId="218790B1" w14:textId="77777777" w:rsidR="00630FF0" w:rsidRDefault="00630FF0" w:rsidP="00410445">
      <w:pPr>
        <w:rPr>
          <w:b/>
          <w:bCs/>
        </w:rPr>
      </w:pPr>
    </w:p>
    <w:p w14:paraId="27691D62" w14:textId="77777777" w:rsidR="00630FF0" w:rsidRDefault="00630FF0" w:rsidP="00410445">
      <w:pPr>
        <w:rPr>
          <w:b/>
          <w:bCs/>
        </w:rPr>
      </w:pPr>
    </w:p>
    <w:p w14:paraId="382BF8D2" w14:textId="77777777" w:rsidR="00630FF0" w:rsidRDefault="00630FF0" w:rsidP="00410445">
      <w:pPr>
        <w:rPr>
          <w:b/>
        </w:rPr>
      </w:pPr>
    </w:p>
    <w:p w14:paraId="23CB050D" w14:textId="77777777" w:rsidR="00E2043D" w:rsidRDefault="00E2043D" w:rsidP="00410445">
      <w:pPr>
        <w:rPr>
          <w:b/>
        </w:rPr>
      </w:pPr>
    </w:p>
    <w:p w14:paraId="2B01261C" w14:textId="77777777" w:rsidR="00E2043D" w:rsidRDefault="00E2043D" w:rsidP="00410445">
      <w:pPr>
        <w:rPr>
          <w:b/>
        </w:rPr>
      </w:pPr>
    </w:p>
    <w:p w14:paraId="169717CC" w14:textId="77777777" w:rsidR="00E2043D" w:rsidRDefault="00E2043D" w:rsidP="00410445">
      <w:pPr>
        <w:rPr>
          <w:b/>
        </w:rPr>
      </w:pPr>
    </w:p>
    <w:p w14:paraId="367DCC54" w14:textId="77777777" w:rsidR="00E2043D" w:rsidRDefault="00E2043D" w:rsidP="00410445">
      <w:pPr>
        <w:rPr>
          <w:b/>
        </w:rPr>
      </w:pPr>
    </w:p>
    <w:p w14:paraId="125A698F" w14:textId="77777777" w:rsidR="00E2043D" w:rsidRDefault="00E2043D" w:rsidP="00410445">
      <w:pPr>
        <w:rPr>
          <w:b/>
        </w:rPr>
      </w:pPr>
    </w:p>
    <w:p w14:paraId="23C37B0D" w14:textId="77777777" w:rsidR="00E2043D" w:rsidRDefault="00E2043D" w:rsidP="00410445">
      <w:pPr>
        <w:rPr>
          <w:b/>
        </w:rPr>
      </w:pPr>
    </w:p>
    <w:p w14:paraId="4B7EB040" w14:textId="77777777" w:rsidR="00E2043D" w:rsidRDefault="00E2043D" w:rsidP="00410445">
      <w:pPr>
        <w:rPr>
          <w:b/>
        </w:rPr>
      </w:pPr>
    </w:p>
    <w:p w14:paraId="6B71A03F" w14:textId="77777777" w:rsidR="00E2043D" w:rsidRDefault="00E2043D" w:rsidP="00410445">
      <w:pPr>
        <w:rPr>
          <w:b/>
        </w:rPr>
      </w:pPr>
    </w:p>
    <w:p w14:paraId="4240C471" w14:textId="77777777" w:rsidR="00E2043D" w:rsidRDefault="00E2043D" w:rsidP="00410445">
      <w:pPr>
        <w:rPr>
          <w:b/>
        </w:rPr>
      </w:pPr>
    </w:p>
    <w:p w14:paraId="175E0457" w14:textId="77777777" w:rsidR="00E2043D" w:rsidRDefault="00E2043D" w:rsidP="00410445">
      <w:pPr>
        <w:rPr>
          <w:b/>
        </w:rPr>
      </w:pPr>
    </w:p>
    <w:p w14:paraId="2113CDE9" w14:textId="77777777" w:rsidR="00E2043D" w:rsidRDefault="00E2043D" w:rsidP="00410445">
      <w:pPr>
        <w:rPr>
          <w:b/>
        </w:rPr>
      </w:pPr>
    </w:p>
    <w:p w14:paraId="04B73AF2" w14:textId="77777777" w:rsidR="00E2043D" w:rsidRDefault="00E2043D" w:rsidP="00410445">
      <w:pPr>
        <w:rPr>
          <w:b/>
        </w:rPr>
      </w:pPr>
    </w:p>
    <w:p w14:paraId="38103077" w14:textId="7A1316EE" w:rsidR="00F80E94" w:rsidRDefault="00F80E94" w:rsidP="001C6B82">
      <w:pPr>
        <w:pStyle w:val="Heading2"/>
      </w:pPr>
      <w:bookmarkStart w:id="125" w:name="_Toc226981080"/>
      <w:r>
        <w:lastRenderedPageBreak/>
        <w:t>Appendices</w:t>
      </w:r>
      <w:bookmarkEnd w:id="124"/>
      <w:bookmarkEnd w:id="125"/>
    </w:p>
    <w:p w14:paraId="356B46E0" w14:textId="77480A9C" w:rsidR="00D05F8B" w:rsidRPr="00D05F8B" w:rsidRDefault="00F80E94" w:rsidP="004033F1">
      <w:pPr>
        <w:pStyle w:val="Heading3"/>
      </w:pPr>
      <w:bookmarkStart w:id="126" w:name="_Toc226108659"/>
      <w:bookmarkStart w:id="127" w:name="_Toc226981081"/>
      <w:r w:rsidRPr="00EC3B86">
        <w:t>Appendix A – State Government Service Charges</w:t>
      </w:r>
      <w:bookmarkEnd w:id="126"/>
      <w:bookmarkEnd w:id="127"/>
    </w:p>
    <w:p w14:paraId="4CC4B6A8" w14:textId="7DFF6DA6" w:rsidR="00F80E94" w:rsidRDefault="00F80E94" w:rsidP="00D05F8B">
      <w:pPr>
        <w:ind w:right="18"/>
        <w:rPr>
          <w:lang w:val="x-none"/>
        </w:rPr>
      </w:pPr>
    </w:p>
    <w:p w14:paraId="31A02E03" w14:textId="3F3CDBD3" w:rsidR="00F80E94" w:rsidRDefault="00D337F7" w:rsidP="00F80E94">
      <w:pPr>
        <w:ind w:right="18"/>
        <w:jc w:val="center"/>
        <w:rPr>
          <w:lang w:val="x-none"/>
        </w:rPr>
      </w:pPr>
      <w:r w:rsidRPr="00D337F7">
        <w:rPr>
          <w:noProof/>
        </w:rPr>
        <w:drawing>
          <wp:inline distT="0" distB="0" distL="0" distR="0" wp14:anchorId="203856AA" wp14:editId="61B326D2">
            <wp:extent cx="6186170" cy="6504305"/>
            <wp:effectExtent l="19050" t="19050" r="24130" b="10795"/>
            <wp:docPr id="2093026494" name="Picture 12" descr="A image showing the appendix listed out by agency for State Government Service Char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26494" name="Picture 12" descr="A image showing the appendix listed out by agency for State Government Service Charges. "/>
                    <pic:cNvPicPr>
                      <a:picLocks noChangeAspect="1" noChangeArrowheads="1"/>
                    </pic:cNvPicPr>
                  </pic:nvPicPr>
                  <pic:blipFill rotWithShape="1">
                    <a:blip r:embed="rId66">
                      <a:extLst>
                        <a:ext uri="{28A0092B-C50C-407E-A947-70E740481C1C}">
                          <a14:useLocalDpi xmlns:a14="http://schemas.microsoft.com/office/drawing/2010/main" val="0"/>
                        </a:ext>
                      </a:extLst>
                    </a:blip>
                    <a:srcRect l="63" t="134" r="-125" b="-30"/>
                    <a:stretch>
                      <a:fillRect/>
                    </a:stretch>
                  </pic:blipFill>
                  <pic:spPr bwMode="auto">
                    <a:xfrm>
                      <a:off x="0" y="0"/>
                      <a:ext cx="6187440" cy="6505640"/>
                    </a:xfrm>
                    <a:prstGeom prst="rect">
                      <a:avLst/>
                    </a:prstGeom>
                    <a:noFill/>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91200E7" w14:textId="61182BA6" w:rsidR="00F80E94" w:rsidRDefault="00F80E94" w:rsidP="00D05F8B">
      <w:pPr>
        <w:ind w:right="18"/>
        <w:rPr>
          <w:lang w:val="x-none"/>
        </w:rPr>
      </w:pPr>
    </w:p>
    <w:p w14:paraId="72B9999F" w14:textId="12198E7D" w:rsidR="00F80E94" w:rsidRDefault="00F80E94" w:rsidP="00F80E94">
      <w:pPr>
        <w:ind w:right="18"/>
        <w:rPr>
          <w:lang w:val="x-none"/>
        </w:rPr>
      </w:pPr>
    </w:p>
    <w:p w14:paraId="5B075B7C" w14:textId="77777777" w:rsidR="00F53E43" w:rsidRDefault="00E671D7" w:rsidP="004033F1">
      <w:pPr>
        <w:ind w:right="18"/>
        <w:jc w:val="center"/>
        <w:rPr>
          <w:lang w:val="x-none"/>
        </w:rPr>
      </w:pPr>
      <w:r w:rsidRPr="00E671D7">
        <w:rPr>
          <w:noProof/>
        </w:rPr>
        <w:lastRenderedPageBreak/>
        <w:drawing>
          <wp:inline distT="0" distB="0" distL="0" distR="0" wp14:anchorId="13621347" wp14:editId="38643131">
            <wp:extent cx="6189466" cy="6090920"/>
            <wp:effectExtent l="19050" t="19050" r="20955" b="24130"/>
            <wp:docPr id="1424334448" name="Picture 13" descr="A image showing the appendix listed out by agency for State Government Service Char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34448" name="Picture 13" descr="A image showing the appendix listed out by agency for State Government Service Charges. "/>
                    <pic:cNvPicPr>
                      <a:picLocks noChangeAspect="1" noChangeArrowheads="1"/>
                    </pic:cNvPicPr>
                  </pic:nvPicPr>
                  <pic:blipFill rotWithShape="1">
                    <a:blip r:embed="rId67">
                      <a:extLst>
                        <a:ext uri="{28A0092B-C50C-407E-A947-70E740481C1C}">
                          <a14:useLocalDpi xmlns:a14="http://schemas.microsoft.com/office/drawing/2010/main" val="0"/>
                        </a:ext>
                      </a:extLst>
                    </a:blip>
                    <a:srcRect l="243" t="387" b="138"/>
                    <a:stretch>
                      <a:fillRect/>
                    </a:stretch>
                  </pic:blipFill>
                  <pic:spPr bwMode="auto">
                    <a:xfrm>
                      <a:off x="0" y="0"/>
                      <a:ext cx="6207998" cy="6109157"/>
                    </a:xfrm>
                    <a:prstGeom prst="rect">
                      <a:avLst/>
                    </a:prstGeom>
                    <a:noFill/>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54764B1" w14:textId="4E928F41" w:rsidR="00F80E94" w:rsidRDefault="00F53E43" w:rsidP="004033F1">
      <w:pPr>
        <w:ind w:right="18"/>
        <w:jc w:val="center"/>
        <w:rPr>
          <w:lang w:val="x-none"/>
        </w:rPr>
      </w:pPr>
      <w:r w:rsidRPr="00F53E43">
        <w:rPr>
          <w:noProof/>
        </w:rPr>
        <w:lastRenderedPageBreak/>
        <w:drawing>
          <wp:inline distT="0" distB="0" distL="0" distR="0" wp14:anchorId="7EFDC50B" wp14:editId="43E41755">
            <wp:extent cx="6228715" cy="6224270"/>
            <wp:effectExtent l="19050" t="19050" r="19685" b="24130"/>
            <wp:docPr id="1306450571" name="Picture 14" descr="A image showing the appendix listed out by agency for State Government Service Char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50571" name="Picture 14" descr="A image showing the appendix listed out by agency for State Government Service Charges. "/>
                    <pic:cNvPicPr>
                      <a:picLocks noChangeAspect="1" noChangeArrowheads="1"/>
                    </pic:cNvPicPr>
                  </pic:nvPicPr>
                  <pic:blipFill rotWithShape="1">
                    <a:blip r:embed="rId68">
                      <a:extLst>
                        <a:ext uri="{28A0092B-C50C-407E-A947-70E740481C1C}">
                          <a14:useLocalDpi xmlns:a14="http://schemas.microsoft.com/office/drawing/2010/main" val="0"/>
                        </a:ext>
                      </a:extLst>
                    </a:blip>
                    <a:srcRect l="80" t="318" r="184" b="-5"/>
                    <a:stretch>
                      <a:fillRect/>
                    </a:stretch>
                  </pic:blipFill>
                  <pic:spPr bwMode="auto">
                    <a:xfrm>
                      <a:off x="0" y="0"/>
                      <a:ext cx="6237721" cy="6233270"/>
                    </a:xfrm>
                    <a:prstGeom prst="rect">
                      <a:avLst/>
                    </a:prstGeom>
                    <a:noFill/>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F80E94">
        <w:rPr>
          <w:lang w:val="x-none"/>
        </w:rPr>
        <w:br w:type="page"/>
      </w:r>
    </w:p>
    <w:p w14:paraId="01020EB8" w14:textId="46FB5188" w:rsidR="00EC3B86" w:rsidRPr="00EC3B86" w:rsidRDefault="00F80E94" w:rsidP="00EC3B86">
      <w:pPr>
        <w:pStyle w:val="Heading3"/>
      </w:pPr>
      <w:bookmarkStart w:id="128" w:name="_Toc226108660"/>
      <w:bookmarkStart w:id="129" w:name="_Toc226981082"/>
      <w:r w:rsidRPr="00DA1D12">
        <w:lastRenderedPageBreak/>
        <w:t>Appendix B – Semi-Independent Boards and Agencies (SIBA) SGSC</w:t>
      </w:r>
      <w:bookmarkEnd w:id="128"/>
      <w:bookmarkEnd w:id="129"/>
    </w:p>
    <w:p w14:paraId="19057DC9" w14:textId="1F300CEF" w:rsidR="00F80E94" w:rsidRDefault="00DA1D12" w:rsidP="00F80E94">
      <w:r w:rsidRPr="00DA1D12">
        <w:rPr>
          <w:noProof/>
        </w:rPr>
        <w:drawing>
          <wp:inline distT="0" distB="0" distL="0" distR="0" wp14:anchorId="116CFEE0" wp14:editId="5D1A121E">
            <wp:extent cx="6202859" cy="7159625"/>
            <wp:effectExtent l="19050" t="19050" r="26670" b="22225"/>
            <wp:docPr id="1906895313" name="Picture 7" descr="A picture of an appendix for Semi-Independent Boards and Agencies (SIBAs)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95313" name="Picture 7" descr="A picture of an appendix for Semi-Independent Boards and Agencies (SIBAs) assessments."/>
                    <pic:cNvPicPr>
                      <a:picLocks noChangeAspect="1" noChangeArrowheads="1"/>
                    </pic:cNvPicPr>
                  </pic:nvPicPr>
                  <pic:blipFill rotWithShape="1">
                    <a:blip r:embed="rId69">
                      <a:extLst>
                        <a:ext uri="{28A0092B-C50C-407E-A947-70E740481C1C}">
                          <a14:useLocalDpi xmlns:a14="http://schemas.microsoft.com/office/drawing/2010/main" val="0"/>
                        </a:ext>
                      </a:extLst>
                    </a:blip>
                    <a:srcRect l="177" t="264" r="3409" b="3"/>
                    <a:stretch>
                      <a:fillRect/>
                    </a:stretch>
                  </pic:blipFill>
                  <pic:spPr bwMode="auto">
                    <a:xfrm>
                      <a:off x="0" y="0"/>
                      <a:ext cx="6229634" cy="7190530"/>
                    </a:xfrm>
                    <a:prstGeom prst="rect">
                      <a:avLst/>
                    </a:prstGeom>
                    <a:noFill/>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9A573CC" w14:textId="1B581DAC" w:rsidR="004033F1" w:rsidRPr="004033F1" w:rsidRDefault="00F80E94" w:rsidP="004033F1">
      <w:pPr>
        <w:pStyle w:val="Heading3"/>
      </w:pPr>
      <w:bookmarkStart w:id="130" w:name="_Toc226108661"/>
      <w:bookmarkStart w:id="131" w:name="_Toc226981083"/>
      <w:r w:rsidRPr="003D2FE7">
        <w:lastRenderedPageBreak/>
        <w:t xml:space="preserve">Appendix C – Data Center Services Estimated </w:t>
      </w:r>
      <w:r w:rsidRPr="00285917">
        <w:t>Charge</w:t>
      </w:r>
      <w:r w:rsidRPr="003D2FE7">
        <w:t xml:space="preserve"> for Services</w:t>
      </w:r>
      <w:bookmarkEnd w:id="130"/>
      <w:bookmarkEnd w:id="131"/>
    </w:p>
    <w:p w14:paraId="018E82BA" w14:textId="1939865B" w:rsidR="004033F1" w:rsidRDefault="00847E75" w:rsidP="004033F1">
      <w:r w:rsidRPr="00847E75">
        <w:rPr>
          <w:noProof/>
        </w:rPr>
        <w:drawing>
          <wp:inline distT="0" distB="0" distL="0" distR="0" wp14:anchorId="08CD1226" wp14:editId="68E59B35">
            <wp:extent cx="6126480" cy="7261860"/>
            <wp:effectExtent l="19050" t="19050" r="26670" b="15240"/>
            <wp:docPr id="1224875096" name="Picture 1" descr="A picture of an appendix for Data Center Services Estimated Charge for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75096" name="Picture 1" descr="A picture of an appendix for Data Center Services Estimated Charge for Services. "/>
                    <pic:cNvPicPr>
                      <a:picLocks noChangeAspect="1" noChangeArrowheads="1"/>
                    </pic:cNvPicPr>
                  </pic:nvPicPr>
                  <pic:blipFill rotWithShape="1">
                    <a:blip r:embed="rId70">
                      <a:extLst>
                        <a:ext uri="{28A0092B-C50C-407E-A947-70E740481C1C}">
                          <a14:useLocalDpi xmlns:a14="http://schemas.microsoft.com/office/drawing/2010/main" val="0"/>
                        </a:ext>
                      </a:extLst>
                    </a:blip>
                    <a:srcRect l="183" t="53" r="246" b="365"/>
                    <a:stretch>
                      <a:fillRect/>
                    </a:stretch>
                  </pic:blipFill>
                  <pic:spPr bwMode="auto">
                    <a:xfrm>
                      <a:off x="0" y="0"/>
                      <a:ext cx="6166595" cy="7309409"/>
                    </a:xfrm>
                    <a:prstGeom prst="rect">
                      <a:avLst/>
                    </a:prstGeom>
                    <a:noFill/>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bookmarkStart w:id="132" w:name="_Toc226108662"/>
    </w:p>
    <w:p w14:paraId="0A95CC62" w14:textId="0549F6D2" w:rsidR="00F80E94" w:rsidRPr="004033F1" w:rsidRDefault="00F80E94" w:rsidP="004033F1">
      <w:pPr>
        <w:pStyle w:val="Heading3"/>
      </w:pPr>
      <w:bookmarkStart w:id="133" w:name="_Toc226981084"/>
      <w:r w:rsidRPr="004033F1">
        <w:rPr>
          <w:rStyle w:val="Heading3Char"/>
          <w:b/>
        </w:rPr>
        <w:lastRenderedPageBreak/>
        <w:t>Appendix D – Contacts</w:t>
      </w:r>
      <w:bookmarkEnd w:id="132"/>
      <w:bookmarkEnd w:id="133"/>
    </w:p>
    <w:p w14:paraId="7A7E47A6" w14:textId="0697F519" w:rsidR="003C36EC" w:rsidRDefault="008C0B04" w:rsidP="003C36EC">
      <w:pPr>
        <w:ind w:right="18"/>
      </w:pPr>
      <w:r w:rsidRPr="008C0B04">
        <w:rPr>
          <w:noProof/>
        </w:rPr>
        <w:drawing>
          <wp:inline distT="0" distB="0" distL="0" distR="0" wp14:anchorId="2A4B9675" wp14:editId="30ECE614">
            <wp:extent cx="6040755" cy="5607050"/>
            <wp:effectExtent l="19050" t="19050" r="17145" b="12700"/>
            <wp:docPr id="1424852383" name="Picture 1" descr="A picture below is showing all Department of Administrative Services and other agency services contac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52383" name="Picture 1" descr="A picture below is showing all Department of Administrative Services and other agency services contact information. "/>
                    <pic:cNvPicPr>
                      <a:picLocks noChangeAspect="1" noChangeArrowheads="1"/>
                    </pic:cNvPicPr>
                  </pic:nvPicPr>
                  <pic:blipFill rotWithShape="1">
                    <a:blip r:embed="rId71">
                      <a:extLst>
                        <a:ext uri="{28A0092B-C50C-407E-A947-70E740481C1C}">
                          <a14:useLocalDpi xmlns:a14="http://schemas.microsoft.com/office/drawing/2010/main" val="0"/>
                        </a:ext>
                      </a:extLst>
                    </a:blip>
                    <a:srcRect l="104" t="113" r="906" b="167"/>
                    <a:stretch>
                      <a:fillRect/>
                    </a:stretch>
                  </pic:blipFill>
                  <pic:spPr bwMode="auto">
                    <a:xfrm>
                      <a:off x="0" y="0"/>
                      <a:ext cx="6040755" cy="5607050"/>
                    </a:xfrm>
                    <a:prstGeom prst="rect">
                      <a:avLst/>
                    </a:prstGeom>
                    <a:noFill/>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EE28A4D" w14:textId="77777777" w:rsidR="00BB6AC2" w:rsidRDefault="00BB6AC2"/>
    <w:sectPr w:rsidR="00BB6AC2" w:rsidSect="00B12F88">
      <w:headerReference w:type="default" r:id="rId72"/>
      <w:headerReference w:type="first" r:id="rId73"/>
      <w:footerReference w:type="first" r:id="rId7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60F2" w14:textId="77777777" w:rsidR="009258FB" w:rsidRDefault="009258FB" w:rsidP="00A1364B">
      <w:pPr>
        <w:spacing w:after="0" w:line="240" w:lineRule="auto"/>
      </w:pPr>
      <w:r>
        <w:separator/>
      </w:r>
    </w:p>
  </w:endnote>
  <w:endnote w:type="continuationSeparator" w:id="0">
    <w:p w14:paraId="425E4B67" w14:textId="77777777" w:rsidR="009258FB" w:rsidRDefault="009258FB" w:rsidP="00A1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Garamon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F4CB94E" w14:paraId="473205C2" w14:textId="77777777" w:rsidTr="00980DF9">
      <w:trPr>
        <w:trHeight w:val="300"/>
      </w:trPr>
      <w:tc>
        <w:tcPr>
          <w:tcW w:w="3120" w:type="dxa"/>
        </w:tcPr>
        <w:p w14:paraId="57EAB6D7" w14:textId="77777777" w:rsidR="3F4CB94E" w:rsidRDefault="3F4CB94E" w:rsidP="3F4CB94E">
          <w:pPr>
            <w:pStyle w:val="Header"/>
            <w:ind w:left="-115"/>
          </w:pPr>
        </w:p>
      </w:tc>
      <w:tc>
        <w:tcPr>
          <w:tcW w:w="3120" w:type="dxa"/>
        </w:tcPr>
        <w:p w14:paraId="62753424" w14:textId="77777777" w:rsidR="3F4CB94E" w:rsidRDefault="3F4CB94E" w:rsidP="3F4CB94E">
          <w:pPr>
            <w:pStyle w:val="Header"/>
            <w:jc w:val="center"/>
          </w:pPr>
        </w:p>
      </w:tc>
      <w:tc>
        <w:tcPr>
          <w:tcW w:w="3120" w:type="dxa"/>
        </w:tcPr>
        <w:p w14:paraId="455E2158" w14:textId="77777777" w:rsidR="3F4CB94E" w:rsidRDefault="3F4CB94E" w:rsidP="3F4CB94E">
          <w:pPr>
            <w:pStyle w:val="Header"/>
            <w:ind w:right="-115"/>
            <w:jc w:val="right"/>
          </w:pPr>
          <w:r>
            <w:fldChar w:fldCharType="begin"/>
          </w:r>
          <w:r>
            <w:instrText>PAGE</w:instrText>
          </w:r>
          <w:r>
            <w:fldChar w:fldCharType="separate"/>
          </w:r>
          <w:r w:rsidR="00CF6D52">
            <w:rPr>
              <w:noProof/>
            </w:rPr>
            <w:t>2</w:t>
          </w:r>
          <w:r>
            <w:fldChar w:fldCharType="end"/>
          </w:r>
        </w:p>
      </w:tc>
    </w:tr>
  </w:tbl>
  <w:p w14:paraId="6513C6AE" w14:textId="77777777" w:rsidR="3F4CB94E" w:rsidRDefault="3F4CB94E" w:rsidP="3F4CB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CD" w14:textId="77777777" w:rsidR="000F71C1" w:rsidRDefault="005E4825" w:rsidP="000F71C1">
    <w:pPr>
      <w:pStyle w:val="Footer"/>
      <w:shd w:val="clear" w:color="auto" w:fill="00579B" w:themeFill="text2"/>
      <w:tabs>
        <w:tab w:val="clear" w:pos="4680"/>
        <w:tab w:val="clear" w:pos="9360"/>
      </w:tabs>
    </w:pPr>
    <w:r>
      <w:rPr>
        <w:noProof/>
      </w:rPr>
      <mc:AlternateContent>
        <mc:Choice Requires="wps">
          <w:drawing>
            <wp:anchor distT="0" distB="0" distL="114300" distR="114300" simplePos="0" relativeHeight="251658240" behindDoc="1" locked="0" layoutInCell="1" allowOverlap="1" wp14:anchorId="66F58D21" wp14:editId="2F4240B1">
              <wp:simplePos x="0" y="0"/>
              <wp:positionH relativeFrom="margin">
                <wp:posOffset>-1270</wp:posOffset>
              </wp:positionH>
              <wp:positionV relativeFrom="page">
                <wp:posOffset>6303645</wp:posOffset>
              </wp:positionV>
              <wp:extent cx="7773670" cy="228600"/>
              <wp:effectExtent l="0" t="0" r="0" b="0"/>
              <wp:wrapNone/>
              <wp:docPr id="1811110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3670" cy="228600"/>
                      </a:xfrm>
                      <a:prstGeom prst="rect">
                        <a:avLst/>
                      </a:prstGeom>
                      <a:solidFill>
                        <a:srgbClr val="E1B92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6E093" id="Rectangle 11" o:spid="_x0000_s1026" alt="&quot;&quot;" style="position:absolute;margin-left:-.1pt;margin-top:496.35pt;width:612.1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" fillcolor="#e1b924" stroked="f" strokeweight="1pt">
              <w10:wrap anchorx="margin" anchory="page"/>
            </v:rect>
          </w:pict>
        </mc:Fallback>
      </mc:AlternateContent>
    </w:r>
  </w:p>
  <w:p w14:paraId="2D7D5F88" w14:textId="77777777" w:rsidR="00EC48D6" w:rsidRPr="003D125C" w:rsidRDefault="00EC48D6" w:rsidP="000F71C1">
    <w:pPr>
      <w:pStyle w:val="Footer"/>
      <w:shd w:val="clear" w:color="auto" w:fill="00579B" w:themeFill="text2"/>
      <w:tabs>
        <w:tab w:val="clear" w:pos="4680"/>
        <w:tab w:val="clear" w:pos="9360"/>
      </w:tabs>
    </w:pPr>
  </w:p>
  <w:p w14:paraId="3DC69E07" w14:textId="77777777" w:rsidR="00EC48D6" w:rsidRPr="006A516A" w:rsidRDefault="00EC48D6" w:rsidP="000F71C1">
    <w:pPr>
      <w:pStyle w:val="Footer"/>
      <w:shd w:val="clear" w:color="auto" w:fill="00579B" w:themeFill="text2"/>
      <w:tabs>
        <w:tab w:val="clear" w:pos="4680"/>
        <w:tab w:val="clear" w:pos="9360"/>
      </w:tabs>
    </w:pPr>
  </w:p>
  <w:p w14:paraId="07A9402C" w14:textId="77777777" w:rsidR="000F71C1" w:rsidRDefault="00EC48D6" w:rsidP="000F71C1">
    <w:pPr>
      <w:pStyle w:val="Footer"/>
      <w:shd w:val="clear" w:color="auto" w:fill="00579B" w:themeFill="text2"/>
      <w:tabs>
        <w:tab w:val="clear" w:pos="4680"/>
        <w:tab w:val="clear" w:pos="9360"/>
      </w:tabs>
    </w:pPr>
    <w:r>
      <w:rPr>
        <w:noProof/>
      </w:rPr>
      <w:drawing>
        <wp:anchor distT="0" distB="0" distL="114300" distR="114300" simplePos="0" relativeHeight="251658241" behindDoc="0" locked="0" layoutInCell="1" allowOverlap="1" wp14:anchorId="25281DBC" wp14:editId="2E2E82C7">
          <wp:simplePos x="0" y="0"/>
          <wp:positionH relativeFrom="column">
            <wp:posOffset>891540</wp:posOffset>
          </wp:positionH>
          <wp:positionV relativeFrom="paragraph">
            <wp:posOffset>4445</wp:posOffset>
          </wp:positionV>
          <wp:extent cx="1828800" cy="1828800"/>
          <wp:effectExtent l="0" t="0" r="0" b="0"/>
          <wp:wrapNone/>
          <wp:docPr id="60016938" name="Picture 2" descr="Official seal of the State of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71648" name="Picture 2" descr="Official seal of the State of Oreg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030F925C" w14:textId="77777777" w:rsidR="00E71B61" w:rsidRDefault="00E71B61" w:rsidP="000F71C1">
    <w:pPr>
      <w:pStyle w:val="Footer"/>
      <w:shd w:val="clear" w:color="auto" w:fill="00579B" w:themeFill="text2"/>
      <w:tabs>
        <w:tab w:val="clear" w:pos="4680"/>
        <w:tab w:val="clear" w:pos="9360"/>
      </w:tabs>
      <w:ind w:firstLine="4950"/>
      <w:rPr>
        <w:b/>
        <w:bCs/>
        <w:color w:val="FFFFFF" w:themeColor="background1"/>
      </w:rPr>
    </w:pPr>
  </w:p>
  <w:p w14:paraId="076E73A5" w14:textId="77777777" w:rsidR="000F71C1" w:rsidRPr="000F71C1" w:rsidRDefault="000F71C1" w:rsidP="000F71C1">
    <w:pPr>
      <w:pStyle w:val="Footer"/>
      <w:shd w:val="clear" w:color="auto" w:fill="00579B" w:themeFill="text2"/>
      <w:tabs>
        <w:tab w:val="clear" w:pos="4680"/>
        <w:tab w:val="clear" w:pos="9360"/>
      </w:tabs>
      <w:ind w:firstLine="4950"/>
      <w:rPr>
        <w:b/>
        <w:bCs/>
        <w:color w:val="FFFFFF" w:themeColor="background1"/>
      </w:rPr>
    </w:pPr>
    <w:r w:rsidRPr="000F71C1">
      <w:rPr>
        <w:b/>
        <w:bCs/>
        <w:color w:val="FFFFFF" w:themeColor="background1"/>
      </w:rPr>
      <w:t>Department of Administrative Services</w:t>
    </w:r>
  </w:p>
  <w:p w14:paraId="33573877" w14:textId="77777777" w:rsidR="000F71C1" w:rsidRPr="000F71C1" w:rsidRDefault="000F71C1" w:rsidP="000F71C1">
    <w:pPr>
      <w:pStyle w:val="Footer"/>
      <w:shd w:val="clear" w:color="auto" w:fill="00579B" w:themeFill="text2"/>
      <w:tabs>
        <w:tab w:val="clear" w:pos="4680"/>
        <w:tab w:val="clear" w:pos="9360"/>
      </w:tabs>
      <w:ind w:firstLine="4950"/>
      <w:rPr>
        <w:color w:val="FFFFFF" w:themeColor="background1"/>
      </w:rPr>
    </w:pPr>
    <w:r w:rsidRPr="000F71C1">
      <w:rPr>
        <w:color w:val="FFFFFF" w:themeColor="background1"/>
      </w:rPr>
      <w:t>155 Cottage Street NE</w:t>
    </w:r>
  </w:p>
  <w:p w14:paraId="341E0E8E" w14:textId="77777777" w:rsidR="000F71C1" w:rsidRPr="000F71C1" w:rsidRDefault="000F71C1" w:rsidP="000F71C1">
    <w:pPr>
      <w:pStyle w:val="Footer"/>
      <w:shd w:val="clear" w:color="auto" w:fill="00579B" w:themeFill="text2"/>
      <w:tabs>
        <w:tab w:val="clear" w:pos="4680"/>
        <w:tab w:val="clear" w:pos="9360"/>
      </w:tabs>
      <w:ind w:firstLine="4950"/>
      <w:rPr>
        <w:color w:val="FFFFFF" w:themeColor="background1"/>
      </w:rPr>
    </w:pPr>
    <w:r w:rsidRPr="000F71C1">
      <w:rPr>
        <w:color w:val="FFFFFF" w:themeColor="background1"/>
      </w:rPr>
      <w:t>Salem, OR 97301</w:t>
    </w:r>
  </w:p>
  <w:p w14:paraId="0021264F" w14:textId="77777777" w:rsidR="000F71C1" w:rsidRPr="000F71C1" w:rsidRDefault="000F71C1" w:rsidP="000F71C1">
    <w:pPr>
      <w:pStyle w:val="Footer"/>
      <w:shd w:val="clear" w:color="auto" w:fill="00579B" w:themeFill="text2"/>
      <w:tabs>
        <w:tab w:val="clear" w:pos="4680"/>
        <w:tab w:val="clear" w:pos="9360"/>
      </w:tabs>
      <w:ind w:firstLine="4950"/>
      <w:rPr>
        <w:color w:val="FFFFFF" w:themeColor="background1"/>
      </w:rPr>
    </w:pPr>
    <w:r w:rsidRPr="000F71C1">
      <w:rPr>
        <w:color w:val="FFFFFF" w:themeColor="background1"/>
      </w:rPr>
      <w:t>503-378-3104</w:t>
    </w:r>
  </w:p>
  <w:p w14:paraId="12C74FD3" w14:textId="77777777" w:rsidR="00E45F3D" w:rsidRDefault="000F71C1" w:rsidP="000F71C1">
    <w:pPr>
      <w:pStyle w:val="Footer"/>
      <w:shd w:val="clear" w:color="auto" w:fill="00579B" w:themeFill="text2"/>
      <w:tabs>
        <w:tab w:val="clear" w:pos="4680"/>
        <w:tab w:val="clear" w:pos="9360"/>
      </w:tabs>
      <w:ind w:firstLine="4950"/>
      <w:rPr>
        <w:color w:val="FFFFFF" w:themeColor="background1"/>
      </w:rPr>
    </w:pPr>
    <w:r w:rsidRPr="000F71C1">
      <w:rPr>
        <w:color w:val="FFFFFF" w:themeColor="background1"/>
      </w:rPr>
      <w:t>Oregon.gov/das</w:t>
    </w:r>
  </w:p>
  <w:p w14:paraId="034E0672" w14:textId="77777777" w:rsidR="00AA6BFB" w:rsidRDefault="00AA6BFB" w:rsidP="000F71C1">
    <w:pPr>
      <w:pStyle w:val="Footer"/>
      <w:shd w:val="clear" w:color="auto" w:fill="00579B" w:themeFill="text2"/>
      <w:tabs>
        <w:tab w:val="clear" w:pos="4680"/>
        <w:tab w:val="clear" w:pos="9360"/>
      </w:tabs>
      <w:ind w:firstLine="4950"/>
      <w:rPr>
        <w:color w:val="FFFFFF" w:themeColor="background1"/>
      </w:rPr>
    </w:pPr>
  </w:p>
  <w:p w14:paraId="6359F0C3" w14:textId="77777777" w:rsidR="00AA6BFB" w:rsidRDefault="00AA6BFB" w:rsidP="000F71C1">
    <w:pPr>
      <w:pStyle w:val="Footer"/>
      <w:shd w:val="clear" w:color="auto" w:fill="00579B" w:themeFill="text2"/>
      <w:tabs>
        <w:tab w:val="clear" w:pos="4680"/>
        <w:tab w:val="clear" w:pos="9360"/>
      </w:tabs>
      <w:ind w:firstLine="4950"/>
      <w:rPr>
        <w:color w:val="FFFFFF" w:themeColor="background1"/>
      </w:rPr>
    </w:pPr>
  </w:p>
  <w:p w14:paraId="0C765D14" w14:textId="77777777" w:rsidR="00AA6BFB" w:rsidRDefault="00AA6BFB" w:rsidP="000F71C1">
    <w:pPr>
      <w:pStyle w:val="Footer"/>
      <w:shd w:val="clear" w:color="auto" w:fill="00579B" w:themeFill="text2"/>
      <w:tabs>
        <w:tab w:val="clear" w:pos="4680"/>
        <w:tab w:val="clear" w:pos="9360"/>
      </w:tabs>
      <w:ind w:firstLine="4950"/>
      <w:rPr>
        <w:color w:val="FFFFFF" w:themeColor="background1"/>
      </w:rPr>
    </w:pPr>
  </w:p>
  <w:p w14:paraId="33DD8050" w14:textId="77777777" w:rsidR="00AA6BFB" w:rsidRDefault="00AA6BFB" w:rsidP="000F71C1">
    <w:pPr>
      <w:pStyle w:val="Footer"/>
      <w:shd w:val="clear" w:color="auto" w:fill="00579B" w:themeFill="text2"/>
      <w:tabs>
        <w:tab w:val="clear" w:pos="4680"/>
        <w:tab w:val="clear" w:pos="9360"/>
      </w:tabs>
      <w:ind w:firstLine="4950"/>
      <w:rPr>
        <w:color w:val="FFFFFF" w:themeColor="background1"/>
      </w:rPr>
    </w:pPr>
  </w:p>
  <w:p w14:paraId="539051CE" w14:textId="77777777" w:rsidR="00E45F3D" w:rsidRDefault="00E45F3D" w:rsidP="000F71C1">
    <w:pPr>
      <w:pStyle w:val="Footer"/>
      <w:shd w:val="clear" w:color="auto" w:fill="00579B" w:themeFill="text2"/>
      <w:tabs>
        <w:tab w:val="clear" w:pos="4680"/>
        <w:tab w:val="clear" w:pos="9360"/>
      </w:tabs>
    </w:pPr>
  </w:p>
  <w:p w14:paraId="629F3662" w14:textId="77777777" w:rsidR="000F71C1" w:rsidRDefault="000F71C1" w:rsidP="000F71C1">
    <w:pPr>
      <w:pStyle w:val="Footer"/>
      <w:shd w:val="clear" w:color="auto" w:fill="00579B" w:themeFill="text2"/>
      <w:tabs>
        <w:tab w:val="clear" w:pos="4680"/>
        <w:tab w:val="clear" w:pos="9360"/>
      </w:tabs>
    </w:pPr>
  </w:p>
  <w:p w14:paraId="10F632AF" w14:textId="77777777" w:rsidR="000F71C1" w:rsidRDefault="000F71C1" w:rsidP="000F71C1">
    <w:pPr>
      <w:pStyle w:val="Footer"/>
      <w:shd w:val="clear" w:color="auto" w:fill="00579B" w:themeFill="text2"/>
      <w:tabs>
        <w:tab w:val="clear" w:pos="4680"/>
        <w:tab w:val="clear" w:pos="9360"/>
      </w:tabs>
    </w:pPr>
  </w:p>
  <w:p w14:paraId="50031853" w14:textId="77777777" w:rsidR="000F71C1" w:rsidRDefault="000F71C1" w:rsidP="000F71C1">
    <w:pPr>
      <w:pStyle w:val="Footer"/>
      <w:shd w:val="clear" w:color="auto" w:fill="00579B" w:themeFill="text2"/>
      <w:tabs>
        <w:tab w:val="clear" w:pos="4680"/>
        <w:tab w:val="clear" w:pos="9360"/>
      </w:tabs>
    </w:pPr>
  </w:p>
  <w:p w14:paraId="21C8FD33" w14:textId="77777777" w:rsidR="000F71C1" w:rsidRDefault="000F71C1" w:rsidP="000F71C1">
    <w:pPr>
      <w:pStyle w:val="Footer"/>
      <w:shd w:val="clear" w:color="auto" w:fill="00579B" w:themeFill="text2"/>
      <w:tabs>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4972" w14:textId="77777777" w:rsidR="007460C9" w:rsidRDefault="007460C9" w:rsidP="3F4CB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1586" w14:textId="77777777" w:rsidR="009258FB" w:rsidRDefault="009258FB" w:rsidP="00A1364B">
      <w:pPr>
        <w:spacing w:after="0" w:line="240" w:lineRule="auto"/>
      </w:pPr>
      <w:r>
        <w:separator/>
      </w:r>
    </w:p>
  </w:footnote>
  <w:footnote w:type="continuationSeparator" w:id="0">
    <w:p w14:paraId="4F6691C4" w14:textId="77777777" w:rsidR="009258FB" w:rsidRDefault="009258FB" w:rsidP="00A1364B">
      <w:pPr>
        <w:spacing w:after="0" w:line="240" w:lineRule="auto"/>
      </w:pPr>
      <w:r>
        <w:continuationSeparator/>
      </w:r>
    </w:p>
  </w:footnote>
  <w:footnote w:id="1">
    <w:p w14:paraId="2B884EF1" w14:textId="77777777" w:rsidR="00991841" w:rsidRDefault="00991841"/>
    <w:p w14:paraId="57207ADE" w14:textId="77777777" w:rsidR="00F80E94" w:rsidRPr="009574B3" w:rsidRDefault="00F80E94" w:rsidP="009574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080"/>
      <w:gridCol w:w="4080"/>
      <w:gridCol w:w="4080"/>
    </w:tblGrid>
    <w:tr w:rsidR="127F06A9" w14:paraId="2F1BF160" w14:textId="77777777" w:rsidTr="127F06A9">
      <w:trPr>
        <w:trHeight w:val="300"/>
      </w:trPr>
      <w:tc>
        <w:tcPr>
          <w:tcW w:w="4080" w:type="dxa"/>
        </w:tcPr>
        <w:p w14:paraId="6CB51E4C" w14:textId="6F1FB039" w:rsidR="127F06A9" w:rsidRDefault="127F06A9" w:rsidP="127F06A9">
          <w:pPr>
            <w:pStyle w:val="Header"/>
            <w:ind w:left="-115"/>
          </w:pPr>
        </w:p>
      </w:tc>
      <w:tc>
        <w:tcPr>
          <w:tcW w:w="4080" w:type="dxa"/>
        </w:tcPr>
        <w:p w14:paraId="55BFC08A" w14:textId="79C1E72D" w:rsidR="127F06A9" w:rsidRDefault="127F06A9" w:rsidP="127F06A9">
          <w:pPr>
            <w:pStyle w:val="Header"/>
            <w:jc w:val="center"/>
          </w:pPr>
        </w:p>
      </w:tc>
      <w:tc>
        <w:tcPr>
          <w:tcW w:w="4080" w:type="dxa"/>
        </w:tcPr>
        <w:p w14:paraId="5023F7DC" w14:textId="67B861FC" w:rsidR="127F06A9" w:rsidRDefault="127F06A9" w:rsidP="127F06A9">
          <w:pPr>
            <w:pStyle w:val="Header"/>
            <w:ind w:right="-115"/>
            <w:jc w:val="right"/>
          </w:pPr>
        </w:p>
      </w:tc>
    </w:tr>
  </w:tbl>
  <w:p w14:paraId="21BF2DD3" w14:textId="62CE0F84" w:rsidR="127F06A9" w:rsidRDefault="127F06A9" w:rsidP="127F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080"/>
      <w:gridCol w:w="4080"/>
      <w:gridCol w:w="4080"/>
    </w:tblGrid>
    <w:tr w:rsidR="127F06A9" w14:paraId="6A8E088D" w14:textId="77777777" w:rsidTr="127F06A9">
      <w:trPr>
        <w:trHeight w:val="300"/>
      </w:trPr>
      <w:tc>
        <w:tcPr>
          <w:tcW w:w="4080" w:type="dxa"/>
        </w:tcPr>
        <w:p w14:paraId="3864D4E4" w14:textId="769F54B8" w:rsidR="127F06A9" w:rsidRDefault="127F06A9" w:rsidP="127F06A9">
          <w:pPr>
            <w:pStyle w:val="Header"/>
            <w:ind w:left="-115"/>
          </w:pPr>
        </w:p>
      </w:tc>
      <w:tc>
        <w:tcPr>
          <w:tcW w:w="4080" w:type="dxa"/>
        </w:tcPr>
        <w:p w14:paraId="3D642FC7" w14:textId="4FAE2497" w:rsidR="127F06A9" w:rsidRDefault="127F06A9" w:rsidP="127F06A9">
          <w:pPr>
            <w:pStyle w:val="Header"/>
            <w:jc w:val="center"/>
          </w:pPr>
        </w:p>
      </w:tc>
      <w:tc>
        <w:tcPr>
          <w:tcW w:w="4080" w:type="dxa"/>
        </w:tcPr>
        <w:p w14:paraId="10E65497" w14:textId="02646F0C" w:rsidR="127F06A9" w:rsidRDefault="127F06A9" w:rsidP="127F06A9">
          <w:pPr>
            <w:pStyle w:val="Header"/>
            <w:ind w:right="-115"/>
            <w:jc w:val="right"/>
          </w:pPr>
        </w:p>
      </w:tc>
    </w:tr>
  </w:tbl>
  <w:p w14:paraId="2BEF8713" w14:textId="6303B6FA" w:rsidR="127F06A9" w:rsidRDefault="127F06A9" w:rsidP="127F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B81E" w14:textId="77777777" w:rsidR="00B12F88" w:rsidRPr="004777F4" w:rsidRDefault="00B12F88" w:rsidP="004777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2A4E" w14:textId="77777777" w:rsidR="007460C9" w:rsidRDefault="007460C9" w:rsidP="3F4CB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23F86CC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8B1070FE"/>
    <w:lvl w:ilvl="0">
      <w:start w:val="1"/>
      <w:numFmt w:val="bullet"/>
      <w:pStyle w:val="ListBullet"/>
      <w:lvlText w:val="•"/>
      <w:lvlJc w:val="left"/>
      <w:pPr>
        <w:ind w:left="540" w:hanging="360"/>
      </w:pPr>
      <w:rPr>
        <w:rFonts w:ascii="Cambria" w:hAnsi="Cambria" w:hint="default"/>
        <w:color w:val="7E97AD"/>
      </w:rPr>
    </w:lvl>
  </w:abstractNum>
  <w:abstractNum w:abstractNumId="6" w15:restartNumberingAfterBreak="0">
    <w:nsid w:val="087E7C72"/>
    <w:multiLevelType w:val="hybridMultilevel"/>
    <w:tmpl w:val="FAAEA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2937B"/>
    <w:multiLevelType w:val="hybridMultilevel"/>
    <w:tmpl w:val="FFFFFFFF"/>
    <w:lvl w:ilvl="0" w:tplc="8E6E7B8E">
      <w:start w:val="1"/>
      <w:numFmt w:val="bullet"/>
      <w:lvlText w:val="•"/>
      <w:lvlJc w:val="left"/>
      <w:pPr>
        <w:ind w:left="720" w:hanging="360"/>
      </w:pPr>
      <w:rPr>
        <w:rFonts w:ascii="Cambria" w:hAnsi="Cambria" w:hint="default"/>
      </w:rPr>
    </w:lvl>
    <w:lvl w:ilvl="1" w:tplc="83F2439E">
      <w:start w:val="1"/>
      <w:numFmt w:val="bullet"/>
      <w:lvlText w:val="o"/>
      <w:lvlJc w:val="left"/>
      <w:pPr>
        <w:ind w:left="1440" w:hanging="360"/>
      </w:pPr>
      <w:rPr>
        <w:rFonts w:ascii="Courier New" w:hAnsi="Courier New" w:hint="default"/>
      </w:rPr>
    </w:lvl>
    <w:lvl w:ilvl="2" w:tplc="5408316C">
      <w:start w:val="1"/>
      <w:numFmt w:val="bullet"/>
      <w:lvlText w:val=""/>
      <w:lvlJc w:val="left"/>
      <w:pPr>
        <w:ind w:left="2160" w:hanging="360"/>
      </w:pPr>
      <w:rPr>
        <w:rFonts w:ascii="Wingdings" w:hAnsi="Wingdings" w:hint="default"/>
      </w:rPr>
    </w:lvl>
    <w:lvl w:ilvl="3" w:tplc="6D7EE022">
      <w:start w:val="1"/>
      <w:numFmt w:val="bullet"/>
      <w:lvlText w:val=""/>
      <w:lvlJc w:val="left"/>
      <w:pPr>
        <w:ind w:left="2880" w:hanging="360"/>
      </w:pPr>
      <w:rPr>
        <w:rFonts w:ascii="Symbol" w:hAnsi="Symbol" w:hint="default"/>
      </w:rPr>
    </w:lvl>
    <w:lvl w:ilvl="4" w:tplc="1332BBF0">
      <w:start w:val="1"/>
      <w:numFmt w:val="bullet"/>
      <w:lvlText w:val="o"/>
      <w:lvlJc w:val="left"/>
      <w:pPr>
        <w:ind w:left="3600" w:hanging="360"/>
      </w:pPr>
      <w:rPr>
        <w:rFonts w:ascii="Courier New" w:hAnsi="Courier New" w:hint="default"/>
      </w:rPr>
    </w:lvl>
    <w:lvl w:ilvl="5" w:tplc="62C0EF3E">
      <w:start w:val="1"/>
      <w:numFmt w:val="bullet"/>
      <w:lvlText w:val=""/>
      <w:lvlJc w:val="left"/>
      <w:pPr>
        <w:ind w:left="4320" w:hanging="360"/>
      </w:pPr>
      <w:rPr>
        <w:rFonts w:ascii="Wingdings" w:hAnsi="Wingdings" w:hint="default"/>
      </w:rPr>
    </w:lvl>
    <w:lvl w:ilvl="6" w:tplc="D7F6B85A">
      <w:start w:val="1"/>
      <w:numFmt w:val="bullet"/>
      <w:lvlText w:val=""/>
      <w:lvlJc w:val="left"/>
      <w:pPr>
        <w:ind w:left="5040" w:hanging="360"/>
      </w:pPr>
      <w:rPr>
        <w:rFonts w:ascii="Symbol" w:hAnsi="Symbol" w:hint="default"/>
      </w:rPr>
    </w:lvl>
    <w:lvl w:ilvl="7" w:tplc="FE04833E">
      <w:start w:val="1"/>
      <w:numFmt w:val="bullet"/>
      <w:lvlText w:val="o"/>
      <w:lvlJc w:val="left"/>
      <w:pPr>
        <w:ind w:left="5760" w:hanging="360"/>
      </w:pPr>
      <w:rPr>
        <w:rFonts w:ascii="Courier New" w:hAnsi="Courier New" w:hint="default"/>
      </w:rPr>
    </w:lvl>
    <w:lvl w:ilvl="8" w:tplc="711A888A">
      <w:start w:val="1"/>
      <w:numFmt w:val="bullet"/>
      <w:lvlText w:val=""/>
      <w:lvlJc w:val="left"/>
      <w:pPr>
        <w:ind w:left="6480" w:hanging="360"/>
      </w:pPr>
      <w:rPr>
        <w:rFonts w:ascii="Wingdings" w:hAnsi="Wingdings" w:hint="default"/>
      </w:rPr>
    </w:lvl>
  </w:abstractNum>
  <w:abstractNum w:abstractNumId="8" w15:restartNumberingAfterBreak="0">
    <w:nsid w:val="09C90D3D"/>
    <w:multiLevelType w:val="hybridMultilevel"/>
    <w:tmpl w:val="578C293E"/>
    <w:lvl w:ilvl="0" w:tplc="36E8DDC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470542"/>
    <w:multiLevelType w:val="hybridMultilevel"/>
    <w:tmpl w:val="C0EC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B592B"/>
    <w:multiLevelType w:val="hybridMultilevel"/>
    <w:tmpl w:val="0EE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E7C8C"/>
    <w:multiLevelType w:val="hybridMultilevel"/>
    <w:tmpl w:val="AA3C30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47620EE"/>
    <w:multiLevelType w:val="hybridMultilevel"/>
    <w:tmpl w:val="0F82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23E9A"/>
    <w:multiLevelType w:val="hybridMultilevel"/>
    <w:tmpl w:val="BD58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B44B7"/>
    <w:multiLevelType w:val="hybridMultilevel"/>
    <w:tmpl w:val="B71C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92DB6"/>
    <w:multiLevelType w:val="hybridMultilevel"/>
    <w:tmpl w:val="5306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C34862"/>
    <w:multiLevelType w:val="hybridMultilevel"/>
    <w:tmpl w:val="1C66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B3FAE"/>
    <w:multiLevelType w:val="hybridMultilevel"/>
    <w:tmpl w:val="6A92F73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20AD4CFC"/>
    <w:multiLevelType w:val="hybridMultilevel"/>
    <w:tmpl w:val="4A3C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A50A9"/>
    <w:multiLevelType w:val="hybridMultilevel"/>
    <w:tmpl w:val="41B2DA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891732A"/>
    <w:multiLevelType w:val="hybridMultilevel"/>
    <w:tmpl w:val="B60E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CB2A2D"/>
    <w:multiLevelType w:val="hybridMultilevel"/>
    <w:tmpl w:val="89E6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C8F"/>
    <w:multiLevelType w:val="hybridMultilevel"/>
    <w:tmpl w:val="83AE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D5390F"/>
    <w:multiLevelType w:val="hybridMultilevel"/>
    <w:tmpl w:val="600C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A325E4"/>
    <w:multiLevelType w:val="hybridMultilevel"/>
    <w:tmpl w:val="8DDA8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8F46F6"/>
    <w:multiLevelType w:val="hybridMultilevel"/>
    <w:tmpl w:val="0C8A6D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367F6A45"/>
    <w:multiLevelType w:val="multilevel"/>
    <w:tmpl w:val="FB129E40"/>
    <w:lvl w:ilvl="0">
      <w:start w:val="1"/>
      <w:numFmt w:val="decimal"/>
      <w:lvlText w:val="%1."/>
      <w:lvlJc w:val="left"/>
      <w:pPr>
        <w:ind w:left="720" w:hanging="360"/>
      </w:pPr>
      <w:rPr>
        <w:rFonts w:hint="default"/>
        <w:i w:val="0"/>
        <w:sz w:val="20"/>
        <w:szCs w:val="20"/>
      </w:rPr>
    </w:lvl>
    <w:lvl w:ilvl="1">
      <w:start w:val="1"/>
      <w:numFmt w:val="decimal"/>
      <w:pStyle w:val="ListNumber2"/>
      <w:lvlText w:val="%1.%2"/>
      <w:lvlJc w:val="left"/>
      <w:pPr>
        <w:tabs>
          <w:tab w:val="num" w:pos="792"/>
        </w:tabs>
        <w:ind w:left="792" w:hanging="432"/>
      </w:pPr>
      <w:rPr>
        <w:rFonts w:hint="default"/>
      </w:rPr>
    </w:lvl>
    <w:lvl w:ilvl="2">
      <w:start w:val="1"/>
      <w:numFmt w:val="lowerLetter"/>
      <w:pStyle w:val="ListNumber3"/>
      <w:lvlText w:val="%3."/>
      <w:lvlJc w:val="left"/>
      <w:pPr>
        <w:ind w:left="1152" w:hanging="360"/>
      </w:pPr>
      <w:rPr>
        <w:rFonts w:hint="default"/>
      </w:rPr>
    </w:lvl>
    <w:lvl w:ilvl="3">
      <w:start w:val="1"/>
      <w:numFmt w:val="lowerRoman"/>
      <w:pStyle w:val="ListNumber4"/>
      <w:lvlText w:val="%4."/>
      <w:lvlJc w:val="left"/>
      <w:pPr>
        <w:ind w:left="1512" w:hanging="360"/>
      </w:pPr>
      <w:rPr>
        <w:rFonts w:hint="default"/>
      </w:rPr>
    </w:lvl>
    <w:lvl w:ilvl="4">
      <w:start w:val="1"/>
      <w:numFmt w:val="lowerLetter"/>
      <w:pStyle w:val="ListNumber5"/>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i w:val="0"/>
        <w:iCs w:val="0"/>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28" w15:restartNumberingAfterBreak="0">
    <w:nsid w:val="39B17ADF"/>
    <w:multiLevelType w:val="hybridMultilevel"/>
    <w:tmpl w:val="F9EEC8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3FC355E2"/>
    <w:multiLevelType w:val="hybridMultilevel"/>
    <w:tmpl w:val="2A4CF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E9393E"/>
    <w:multiLevelType w:val="hybridMultilevel"/>
    <w:tmpl w:val="8204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7E3CB5"/>
    <w:multiLevelType w:val="hybridMultilevel"/>
    <w:tmpl w:val="3D94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97369"/>
    <w:multiLevelType w:val="hybridMultilevel"/>
    <w:tmpl w:val="CD94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8B3D4E"/>
    <w:multiLevelType w:val="hybridMultilevel"/>
    <w:tmpl w:val="1B944EF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500467A0"/>
    <w:multiLevelType w:val="hybridMultilevel"/>
    <w:tmpl w:val="52C84BF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51783B7A"/>
    <w:multiLevelType w:val="hybridMultilevel"/>
    <w:tmpl w:val="EA4C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1046D"/>
    <w:multiLevelType w:val="hybridMultilevel"/>
    <w:tmpl w:val="E84E81F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5B0A68C1"/>
    <w:multiLevelType w:val="hybridMultilevel"/>
    <w:tmpl w:val="F44A81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5B8003B4"/>
    <w:multiLevelType w:val="hybridMultilevel"/>
    <w:tmpl w:val="5C98AF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5C021045"/>
    <w:multiLevelType w:val="hybridMultilevel"/>
    <w:tmpl w:val="A4DAAE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5D9605B8"/>
    <w:multiLevelType w:val="hybridMultilevel"/>
    <w:tmpl w:val="160E81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653A36A9"/>
    <w:multiLevelType w:val="hybridMultilevel"/>
    <w:tmpl w:val="3A90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900E5E"/>
    <w:multiLevelType w:val="hybridMultilevel"/>
    <w:tmpl w:val="A8B004F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6B822E25"/>
    <w:multiLevelType w:val="hybridMultilevel"/>
    <w:tmpl w:val="0E44B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6D453280"/>
    <w:multiLevelType w:val="hybridMultilevel"/>
    <w:tmpl w:val="3630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ED7B4E"/>
    <w:multiLevelType w:val="hybridMultilevel"/>
    <w:tmpl w:val="7A9A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2F22C4"/>
    <w:multiLevelType w:val="hybridMultilevel"/>
    <w:tmpl w:val="DEF884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7BDC6E38"/>
    <w:multiLevelType w:val="hybridMultilevel"/>
    <w:tmpl w:val="35FC53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7C0B7C22"/>
    <w:multiLevelType w:val="hybridMultilevel"/>
    <w:tmpl w:val="0288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F5C96"/>
    <w:multiLevelType w:val="hybridMultilevel"/>
    <w:tmpl w:val="5EDA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531732">
    <w:abstractNumId w:val="5"/>
  </w:num>
  <w:num w:numId="2" w16cid:durableId="117333808">
    <w:abstractNumId w:val="3"/>
  </w:num>
  <w:num w:numId="3" w16cid:durableId="1654289673">
    <w:abstractNumId w:val="2"/>
  </w:num>
  <w:num w:numId="4" w16cid:durableId="1347517522">
    <w:abstractNumId w:val="1"/>
  </w:num>
  <w:num w:numId="5" w16cid:durableId="1994219160">
    <w:abstractNumId w:val="0"/>
  </w:num>
  <w:num w:numId="6" w16cid:durableId="1964382745">
    <w:abstractNumId w:val="16"/>
  </w:num>
  <w:num w:numId="7" w16cid:durableId="120004495">
    <w:abstractNumId w:val="27"/>
  </w:num>
  <w:num w:numId="8" w16cid:durableId="1321078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5974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3074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5744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396652">
    <w:abstractNumId w:val="4"/>
  </w:num>
  <w:num w:numId="13" w16cid:durableId="91781268">
    <w:abstractNumId w:val="29"/>
  </w:num>
  <w:num w:numId="14" w16cid:durableId="1818954423">
    <w:abstractNumId w:val="7"/>
  </w:num>
  <w:num w:numId="15" w16cid:durableId="409471551">
    <w:abstractNumId w:val="34"/>
  </w:num>
  <w:num w:numId="16" w16cid:durableId="1812094167">
    <w:abstractNumId w:val="37"/>
  </w:num>
  <w:num w:numId="17" w16cid:durableId="1879275638">
    <w:abstractNumId w:val="20"/>
  </w:num>
  <w:num w:numId="18" w16cid:durableId="902254926">
    <w:abstractNumId w:val="38"/>
  </w:num>
  <w:num w:numId="19" w16cid:durableId="1461222627">
    <w:abstractNumId w:val="36"/>
  </w:num>
  <w:num w:numId="20" w16cid:durableId="1142380524">
    <w:abstractNumId w:val="33"/>
  </w:num>
  <w:num w:numId="21" w16cid:durableId="2082407753">
    <w:abstractNumId w:val="42"/>
  </w:num>
  <w:num w:numId="22" w16cid:durableId="119612514">
    <w:abstractNumId w:val="47"/>
  </w:num>
  <w:num w:numId="23" w16cid:durableId="690650073">
    <w:abstractNumId w:val="11"/>
  </w:num>
  <w:num w:numId="24" w16cid:durableId="280763587">
    <w:abstractNumId w:val="18"/>
  </w:num>
  <w:num w:numId="25" w16cid:durableId="428889810">
    <w:abstractNumId w:val="43"/>
  </w:num>
  <w:num w:numId="26" w16cid:durableId="1718166939">
    <w:abstractNumId w:val="39"/>
  </w:num>
  <w:num w:numId="27" w16cid:durableId="1319111634">
    <w:abstractNumId w:val="26"/>
  </w:num>
  <w:num w:numId="28" w16cid:durableId="294216102">
    <w:abstractNumId w:val="46"/>
  </w:num>
  <w:num w:numId="29" w16cid:durableId="1522822298">
    <w:abstractNumId w:val="14"/>
  </w:num>
  <w:num w:numId="30" w16cid:durableId="2108233245">
    <w:abstractNumId w:val="9"/>
  </w:num>
  <w:num w:numId="31" w16cid:durableId="1976719399">
    <w:abstractNumId w:val="23"/>
  </w:num>
  <w:num w:numId="32" w16cid:durableId="790705095">
    <w:abstractNumId w:val="21"/>
  </w:num>
  <w:num w:numId="33" w16cid:durableId="1635987377">
    <w:abstractNumId w:val="35"/>
  </w:num>
  <w:num w:numId="34" w16cid:durableId="1659117680">
    <w:abstractNumId w:val="15"/>
  </w:num>
  <w:num w:numId="35" w16cid:durableId="179315875">
    <w:abstractNumId w:val="30"/>
  </w:num>
  <w:num w:numId="36" w16cid:durableId="740252269">
    <w:abstractNumId w:val="31"/>
  </w:num>
  <w:num w:numId="37" w16cid:durableId="1279604323">
    <w:abstractNumId w:val="25"/>
  </w:num>
  <w:num w:numId="38" w16cid:durableId="511262064">
    <w:abstractNumId w:val="24"/>
  </w:num>
  <w:num w:numId="39" w16cid:durableId="2041514156">
    <w:abstractNumId w:val="40"/>
  </w:num>
  <w:num w:numId="40" w16cid:durableId="1713535370">
    <w:abstractNumId w:val="6"/>
  </w:num>
  <w:num w:numId="41" w16cid:durableId="341979508">
    <w:abstractNumId w:val="48"/>
  </w:num>
  <w:num w:numId="42" w16cid:durableId="846554242">
    <w:abstractNumId w:val="19"/>
  </w:num>
  <w:num w:numId="43" w16cid:durableId="817958435">
    <w:abstractNumId w:val="10"/>
  </w:num>
  <w:num w:numId="44" w16cid:durableId="1127940482">
    <w:abstractNumId w:val="49"/>
  </w:num>
  <w:num w:numId="45" w16cid:durableId="276497411">
    <w:abstractNumId w:val="17"/>
  </w:num>
  <w:num w:numId="46" w16cid:durableId="1845783631">
    <w:abstractNumId w:val="41"/>
  </w:num>
  <w:num w:numId="47" w16cid:durableId="614757344">
    <w:abstractNumId w:val="22"/>
  </w:num>
  <w:num w:numId="48" w16cid:durableId="947784037">
    <w:abstractNumId w:val="12"/>
  </w:num>
  <w:num w:numId="49" w16cid:durableId="66733126">
    <w:abstractNumId w:val="45"/>
  </w:num>
  <w:num w:numId="50" w16cid:durableId="509682330">
    <w:abstractNumId w:val="28"/>
  </w:num>
  <w:num w:numId="51" w16cid:durableId="329913953">
    <w:abstractNumId w:val="8"/>
  </w:num>
  <w:num w:numId="52" w16cid:durableId="378360800">
    <w:abstractNumId w:val="44"/>
  </w:num>
  <w:num w:numId="53" w16cid:durableId="1940211194">
    <w:abstractNumId w:val="32"/>
  </w:num>
  <w:num w:numId="54" w16cid:durableId="450712965">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C5"/>
    <w:rsid w:val="0000016D"/>
    <w:rsid w:val="00000C1C"/>
    <w:rsid w:val="00000F5A"/>
    <w:rsid w:val="00005DF6"/>
    <w:rsid w:val="000125F6"/>
    <w:rsid w:val="00013077"/>
    <w:rsid w:val="00014958"/>
    <w:rsid w:val="000163D7"/>
    <w:rsid w:val="000172F4"/>
    <w:rsid w:val="00017FB4"/>
    <w:rsid w:val="00023CC8"/>
    <w:rsid w:val="000264C5"/>
    <w:rsid w:val="000274F5"/>
    <w:rsid w:val="00030324"/>
    <w:rsid w:val="00032172"/>
    <w:rsid w:val="000361D1"/>
    <w:rsid w:val="00036666"/>
    <w:rsid w:val="00036DE5"/>
    <w:rsid w:val="00042776"/>
    <w:rsid w:val="00053139"/>
    <w:rsid w:val="000649B7"/>
    <w:rsid w:val="00064C6B"/>
    <w:rsid w:val="0006702A"/>
    <w:rsid w:val="0007141E"/>
    <w:rsid w:val="000721F2"/>
    <w:rsid w:val="00073FE3"/>
    <w:rsid w:val="000753D7"/>
    <w:rsid w:val="000820E6"/>
    <w:rsid w:val="0009141E"/>
    <w:rsid w:val="00092EE0"/>
    <w:rsid w:val="00094BB8"/>
    <w:rsid w:val="000961D7"/>
    <w:rsid w:val="0009734D"/>
    <w:rsid w:val="000A2ECA"/>
    <w:rsid w:val="000A4827"/>
    <w:rsid w:val="000B1875"/>
    <w:rsid w:val="000B290D"/>
    <w:rsid w:val="000B3D6A"/>
    <w:rsid w:val="000B4B0E"/>
    <w:rsid w:val="000B4B26"/>
    <w:rsid w:val="000B5F9B"/>
    <w:rsid w:val="000B704E"/>
    <w:rsid w:val="000B7501"/>
    <w:rsid w:val="000C5916"/>
    <w:rsid w:val="000C722A"/>
    <w:rsid w:val="000D1B3C"/>
    <w:rsid w:val="000D3762"/>
    <w:rsid w:val="000D5A9F"/>
    <w:rsid w:val="000D6613"/>
    <w:rsid w:val="000E03A8"/>
    <w:rsid w:val="000E454A"/>
    <w:rsid w:val="000E7496"/>
    <w:rsid w:val="000F3493"/>
    <w:rsid w:val="000F6B59"/>
    <w:rsid w:val="000F71C1"/>
    <w:rsid w:val="00100E3D"/>
    <w:rsid w:val="00105643"/>
    <w:rsid w:val="0011651E"/>
    <w:rsid w:val="00133AEC"/>
    <w:rsid w:val="001347C6"/>
    <w:rsid w:val="00135C23"/>
    <w:rsid w:val="00137286"/>
    <w:rsid w:val="00141681"/>
    <w:rsid w:val="00142CA0"/>
    <w:rsid w:val="00144009"/>
    <w:rsid w:val="00144949"/>
    <w:rsid w:val="00145220"/>
    <w:rsid w:val="00147BB3"/>
    <w:rsid w:val="001534D7"/>
    <w:rsid w:val="00162951"/>
    <w:rsid w:val="001668F7"/>
    <w:rsid w:val="0017145E"/>
    <w:rsid w:val="00174FDC"/>
    <w:rsid w:val="001752FF"/>
    <w:rsid w:val="00176BD1"/>
    <w:rsid w:val="00181DEE"/>
    <w:rsid w:val="00185080"/>
    <w:rsid w:val="00190C8D"/>
    <w:rsid w:val="00193154"/>
    <w:rsid w:val="001A1A44"/>
    <w:rsid w:val="001A4BEC"/>
    <w:rsid w:val="001A52F9"/>
    <w:rsid w:val="001B2103"/>
    <w:rsid w:val="001B5AC9"/>
    <w:rsid w:val="001B7AA5"/>
    <w:rsid w:val="001C20B7"/>
    <w:rsid w:val="001C3894"/>
    <w:rsid w:val="001C42F5"/>
    <w:rsid w:val="001C6B82"/>
    <w:rsid w:val="001C7119"/>
    <w:rsid w:val="001D4EBD"/>
    <w:rsid w:val="001E621F"/>
    <w:rsid w:val="001F0CD6"/>
    <w:rsid w:val="001F2921"/>
    <w:rsid w:val="001F335D"/>
    <w:rsid w:val="001F56CE"/>
    <w:rsid w:val="001F5A9D"/>
    <w:rsid w:val="001F6843"/>
    <w:rsid w:val="001F770D"/>
    <w:rsid w:val="00204A55"/>
    <w:rsid w:val="00207775"/>
    <w:rsid w:val="0021339C"/>
    <w:rsid w:val="002163CF"/>
    <w:rsid w:val="00220393"/>
    <w:rsid w:val="00222675"/>
    <w:rsid w:val="00222CED"/>
    <w:rsid w:val="00224714"/>
    <w:rsid w:val="00234DB6"/>
    <w:rsid w:val="00236567"/>
    <w:rsid w:val="002379EE"/>
    <w:rsid w:val="0024797C"/>
    <w:rsid w:val="00247CD5"/>
    <w:rsid w:val="00250508"/>
    <w:rsid w:val="00254D35"/>
    <w:rsid w:val="00261CC8"/>
    <w:rsid w:val="00262FA0"/>
    <w:rsid w:val="00263EC1"/>
    <w:rsid w:val="00264F83"/>
    <w:rsid w:val="00275155"/>
    <w:rsid w:val="00280280"/>
    <w:rsid w:val="00280BA0"/>
    <w:rsid w:val="00283D5F"/>
    <w:rsid w:val="00285917"/>
    <w:rsid w:val="00287A4B"/>
    <w:rsid w:val="00287AFA"/>
    <w:rsid w:val="002909CE"/>
    <w:rsid w:val="00293F25"/>
    <w:rsid w:val="0029419F"/>
    <w:rsid w:val="00297E99"/>
    <w:rsid w:val="002B3A02"/>
    <w:rsid w:val="002B6C2B"/>
    <w:rsid w:val="002D5E76"/>
    <w:rsid w:val="002E0B98"/>
    <w:rsid w:val="002E2EDF"/>
    <w:rsid w:val="002E53B5"/>
    <w:rsid w:val="002E74DF"/>
    <w:rsid w:val="002F164D"/>
    <w:rsid w:val="002F24D9"/>
    <w:rsid w:val="002F36B2"/>
    <w:rsid w:val="002F401E"/>
    <w:rsid w:val="002F5D8F"/>
    <w:rsid w:val="00303D03"/>
    <w:rsid w:val="003041FB"/>
    <w:rsid w:val="003044A5"/>
    <w:rsid w:val="0030500A"/>
    <w:rsid w:val="00305C71"/>
    <w:rsid w:val="00306CF3"/>
    <w:rsid w:val="0030DC7E"/>
    <w:rsid w:val="00312B68"/>
    <w:rsid w:val="00313DCA"/>
    <w:rsid w:val="00315275"/>
    <w:rsid w:val="003201C1"/>
    <w:rsid w:val="00323C69"/>
    <w:rsid w:val="00327353"/>
    <w:rsid w:val="00330057"/>
    <w:rsid w:val="00332D6B"/>
    <w:rsid w:val="00341628"/>
    <w:rsid w:val="00341C78"/>
    <w:rsid w:val="00342723"/>
    <w:rsid w:val="00345EF3"/>
    <w:rsid w:val="0034731A"/>
    <w:rsid w:val="00350343"/>
    <w:rsid w:val="0035523D"/>
    <w:rsid w:val="0036282F"/>
    <w:rsid w:val="00363517"/>
    <w:rsid w:val="00370CE5"/>
    <w:rsid w:val="0037556C"/>
    <w:rsid w:val="003845E5"/>
    <w:rsid w:val="00384A88"/>
    <w:rsid w:val="0038533A"/>
    <w:rsid w:val="00386837"/>
    <w:rsid w:val="00386FC3"/>
    <w:rsid w:val="003903E4"/>
    <w:rsid w:val="00393749"/>
    <w:rsid w:val="003A27C1"/>
    <w:rsid w:val="003A4859"/>
    <w:rsid w:val="003A7A29"/>
    <w:rsid w:val="003B038A"/>
    <w:rsid w:val="003B0968"/>
    <w:rsid w:val="003B178F"/>
    <w:rsid w:val="003B3D8F"/>
    <w:rsid w:val="003C0A88"/>
    <w:rsid w:val="003C25B6"/>
    <w:rsid w:val="003C36EC"/>
    <w:rsid w:val="003C4A9A"/>
    <w:rsid w:val="003C4EB5"/>
    <w:rsid w:val="003D125C"/>
    <w:rsid w:val="003D2B36"/>
    <w:rsid w:val="003D34AE"/>
    <w:rsid w:val="003D3E1E"/>
    <w:rsid w:val="003E18FC"/>
    <w:rsid w:val="003E4A97"/>
    <w:rsid w:val="003E6650"/>
    <w:rsid w:val="003F2C86"/>
    <w:rsid w:val="003F6CFF"/>
    <w:rsid w:val="004014E4"/>
    <w:rsid w:val="00402FBD"/>
    <w:rsid w:val="004033F1"/>
    <w:rsid w:val="00410445"/>
    <w:rsid w:val="00410C8E"/>
    <w:rsid w:val="00414088"/>
    <w:rsid w:val="0041486C"/>
    <w:rsid w:val="0041658D"/>
    <w:rsid w:val="004226E2"/>
    <w:rsid w:val="00424B23"/>
    <w:rsid w:val="00425C98"/>
    <w:rsid w:val="004264D7"/>
    <w:rsid w:val="00427627"/>
    <w:rsid w:val="00434D4A"/>
    <w:rsid w:val="004406AF"/>
    <w:rsid w:val="004410E7"/>
    <w:rsid w:val="00441446"/>
    <w:rsid w:val="004449CF"/>
    <w:rsid w:val="00445694"/>
    <w:rsid w:val="0044661F"/>
    <w:rsid w:val="004525D6"/>
    <w:rsid w:val="004551E0"/>
    <w:rsid w:val="0046521B"/>
    <w:rsid w:val="00465ACF"/>
    <w:rsid w:val="004674CA"/>
    <w:rsid w:val="0047145C"/>
    <w:rsid w:val="004716FE"/>
    <w:rsid w:val="0047344D"/>
    <w:rsid w:val="00475201"/>
    <w:rsid w:val="004777F4"/>
    <w:rsid w:val="00481785"/>
    <w:rsid w:val="00483085"/>
    <w:rsid w:val="00483E85"/>
    <w:rsid w:val="00486AE3"/>
    <w:rsid w:val="00487577"/>
    <w:rsid w:val="00487EAA"/>
    <w:rsid w:val="0049036B"/>
    <w:rsid w:val="004921C5"/>
    <w:rsid w:val="00493313"/>
    <w:rsid w:val="00494A79"/>
    <w:rsid w:val="00494BDD"/>
    <w:rsid w:val="004950F0"/>
    <w:rsid w:val="004A115D"/>
    <w:rsid w:val="004B0F70"/>
    <w:rsid w:val="004B10B6"/>
    <w:rsid w:val="004B23A3"/>
    <w:rsid w:val="004B40AC"/>
    <w:rsid w:val="004C0DB0"/>
    <w:rsid w:val="004C0DE9"/>
    <w:rsid w:val="004C5B5B"/>
    <w:rsid w:val="004C7646"/>
    <w:rsid w:val="004D0E4D"/>
    <w:rsid w:val="004D49A8"/>
    <w:rsid w:val="004D5434"/>
    <w:rsid w:val="004D754B"/>
    <w:rsid w:val="004E30A3"/>
    <w:rsid w:val="004E5AC7"/>
    <w:rsid w:val="004F3901"/>
    <w:rsid w:val="004F487D"/>
    <w:rsid w:val="004F7893"/>
    <w:rsid w:val="004F7E21"/>
    <w:rsid w:val="00502EAA"/>
    <w:rsid w:val="00505CD3"/>
    <w:rsid w:val="0051095E"/>
    <w:rsid w:val="005119EF"/>
    <w:rsid w:val="005137DB"/>
    <w:rsid w:val="00515305"/>
    <w:rsid w:val="005210C0"/>
    <w:rsid w:val="00521E70"/>
    <w:rsid w:val="00522005"/>
    <w:rsid w:val="00532A33"/>
    <w:rsid w:val="005342B0"/>
    <w:rsid w:val="00536463"/>
    <w:rsid w:val="005430F2"/>
    <w:rsid w:val="00543E06"/>
    <w:rsid w:val="005447A8"/>
    <w:rsid w:val="0054573A"/>
    <w:rsid w:val="0054619F"/>
    <w:rsid w:val="00550CF6"/>
    <w:rsid w:val="00551E59"/>
    <w:rsid w:val="00562109"/>
    <w:rsid w:val="0056262D"/>
    <w:rsid w:val="005679BF"/>
    <w:rsid w:val="00571565"/>
    <w:rsid w:val="00571FD3"/>
    <w:rsid w:val="00573560"/>
    <w:rsid w:val="005738D7"/>
    <w:rsid w:val="00573BD8"/>
    <w:rsid w:val="00573CBA"/>
    <w:rsid w:val="0057451B"/>
    <w:rsid w:val="0057470E"/>
    <w:rsid w:val="00576557"/>
    <w:rsid w:val="00577D1A"/>
    <w:rsid w:val="005818A8"/>
    <w:rsid w:val="0059332F"/>
    <w:rsid w:val="00596264"/>
    <w:rsid w:val="005A13E7"/>
    <w:rsid w:val="005A4F96"/>
    <w:rsid w:val="005A60D3"/>
    <w:rsid w:val="005B404F"/>
    <w:rsid w:val="005B4E92"/>
    <w:rsid w:val="005B5DF7"/>
    <w:rsid w:val="005B61EC"/>
    <w:rsid w:val="005C278A"/>
    <w:rsid w:val="005C3822"/>
    <w:rsid w:val="005C5A19"/>
    <w:rsid w:val="005D0A84"/>
    <w:rsid w:val="005D0AF2"/>
    <w:rsid w:val="005D1CF3"/>
    <w:rsid w:val="005D4E7A"/>
    <w:rsid w:val="005E1620"/>
    <w:rsid w:val="005E33AA"/>
    <w:rsid w:val="005E4825"/>
    <w:rsid w:val="005E4E54"/>
    <w:rsid w:val="005E67D4"/>
    <w:rsid w:val="00605882"/>
    <w:rsid w:val="00614157"/>
    <w:rsid w:val="00615378"/>
    <w:rsid w:val="00615503"/>
    <w:rsid w:val="006176F7"/>
    <w:rsid w:val="00623C5C"/>
    <w:rsid w:val="00630FF0"/>
    <w:rsid w:val="00631116"/>
    <w:rsid w:val="006418F0"/>
    <w:rsid w:val="006438AF"/>
    <w:rsid w:val="00647562"/>
    <w:rsid w:val="0065101F"/>
    <w:rsid w:val="00653944"/>
    <w:rsid w:val="00654058"/>
    <w:rsid w:val="00656D0C"/>
    <w:rsid w:val="006623AF"/>
    <w:rsid w:val="006635CC"/>
    <w:rsid w:val="00671CEF"/>
    <w:rsid w:val="0067460D"/>
    <w:rsid w:val="00677B3B"/>
    <w:rsid w:val="00677B72"/>
    <w:rsid w:val="00680011"/>
    <w:rsid w:val="00680122"/>
    <w:rsid w:val="0068487D"/>
    <w:rsid w:val="006849B1"/>
    <w:rsid w:val="0068503F"/>
    <w:rsid w:val="00687164"/>
    <w:rsid w:val="0069259D"/>
    <w:rsid w:val="00693107"/>
    <w:rsid w:val="00694CAE"/>
    <w:rsid w:val="00696E19"/>
    <w:rsid w:val="006A2C17"/>
    <w:rsid w:val="006A3598"/>
    <w:rsid w:val="006A516A"/>
    <w:rsid w:val="006A6AAD"/>
    <w:rsid w:val="006A6DF2"/>
    <w:rsid w:val="006A6E06"/>
    <w:rsid w:val="006B3A3C"/>
    <w:rsid w:val="006B408C"/>
    <w:rsid w:val="006B71D7"/>
    <w:rsid w:val="006C21FD"/>
    <w:rsid w:val="006C31D2"/>
    <w:rsid w:val="006C625F"/>
    <w:rsid w:val="006C6B4B"/>
    <w:rsid w:val="006C7B5E"/>
    <w:rsid w:val="006D06AF"/>
    <w:rsid w:val="006D3341"/>
    <w:rsid w:val="006D6778"/>
    <w:rsid w:val="006E1C15"/>
    <w:rsid w:val="006E22B9"/>
    <w:rsid w:val="006E6173"/>
    <w:rsid w:val="006F193C"/>
    <w:rsid w:val="006F26D5"/>
    <w:rsid w:val="006F5318"/>
    <w:rsid w:val="007040F4"/>
    <w:rsid w:val="007058D1"/>
    <w:rsid w:val="0071007B"/>
    <w:rsid w:val="0071391B"/>
    <w:rsid w:val="00717290"/>
    <w:rsid w:val="00720843"/>
    <w:rsid w:val="00722CA5"/>
    <w:rsid w:val="0072309F"/>
    <w:rsid w:val="00724749"/>
    <w:rsid w:val="00725850"/>
    <w:rsid w:val="00725D63"/>
    <w:rsid w:val="0073661B"/>
    <w:rsid w:val="00745697"/>
    <w:rsid w:val="007460C9"/>
    <w:rsid w:val="00746DC3"/>
    <w:rsid w:val="007471D8"/>
    <w:rsid w:val="00750A84"/>
    <w:rsid w:val="00751371"/>
    <w:rsid w:val="00753208"/>
    <w:rsid w:val="00753840"/>
    <w:rsid w:val="00753942"/>
    <w:rsid w:val="00765D25"/>
    <w:rsid w:val="00767A25"/>
    <w:rsid w:val="007736C8"/>
    <w:rsid w:val="00773F65"/>
    <w:rsid w:val="0078342B"/>
    <w:rsid w:val="00784AE5"/>
    <w:rsid w:val="00784B90"/>
    <w:rsid w:val="00784B92"/>
    <w:rsid w:val="00787EB6"/>
    <w:rsid w:val="00793172"/>
    <w:rsid w:val="00797192"/>
    <w:rsid w:val="007A2BB8"/>
    <w:rsid w:val="007A2E60"/>
    <w:rsid w:val="007A386D"/>
    <w:rsid w:val="007A5688"/>
    <w:rsid w:val="007A6B92"/>
    <w:rsid w:val="007A6FC9"/>
    <w:rsid w:val="007B162A"/>
    <w:rsid w:val="007B200B"/>
    <w:rsid w:val="007B3D7C"/>
    <w:rsid w:val="007B3DFE"/>
    <w:rsid w:val="007B471C"/>
    <w:rsid w:val="007B4ABC"/>
    <w:rsid w:val="007B5C2F"/>
    <w:rsid w:val="007B6345"/>
    <w:rsid w:val="007B6B52"/>
    <w:rsid w:val="007B6C22"/>
    <w:rsid w:val="007C5009"/>
    <w:rsid w:val="007C5455"/>
    <w:rsid w:val="007C6F0D"/>
    <w:rsid w:val="007D03F6"/>
    <w:rsid w:val="007D2E50"/>
    <w:rsid w:val="007D4A57"/>
    <w:rsid w:val="007D585A"/>
    <w:rsid w:val="007D6F98"/>
    <w:rsid w:val="007E08D5"/>
    <w:rsid w:val="007E2793"/>
    <w:rsid w:val="007E2995"/>
    <w:rsid w:val="007E3065"/>
    <w:rsid w:val="007E6A98"/>
    <w:rsid w:val="007EDF7D"/>
    <w:rsid w:val="007F02A6"/>
    <w:rsid w:val="007F4505"/>
    <w:rsid w:val="007F6976"/>
    <w:rsid w:val="007F7246"/>
    <w:rsid w:val="008116C6"/>
    <w:rsid w:val="008149F6"/>
    <w:rsid w:val="008157E3"/>
    <w:rsid w:val="008166D5"/>
    <w:rsid w:val="008224FA"/>
    <w:rsid w:val="00824FD4"/>
    <w:rsid w:val="008262F0"/>
    <w:rsid w:val="00830EAC"/>
    <w:rsid w:val="00835127"/>
    <w:rsid w:val="0083587B"/>
    <w:rsid w:val="00837B27"/>
    <w:rsid w:val="00842076"/>
    <w:rsid w:val="008423A5"/>
    <w:rsid w:val="00845510"/>
    <w:rsid w:val="00846505"/>
    <w:rsid w:val="00847E75"/>
    <w:rsid w:val="00851D2C"/>
    <w:rsid w:val="008521A8"/>
    <w:rsid w:val="008613BD"/>
    <w:rsid w:val="00870630"/>
    <w:rsid w:val="008707AC"/>
    <w:rsid w:val="00872A41"/>
    <w:rsid w:val="008742E0"/>
    <w:rsid w:val="0087765E"/>
    <w:rsid w:val="0087774F"/>
    <w:rsid w:val="00877AEC"/>
    <w:rsid w:val="008838E3"/>
    <w:rsid w:val="0088563A"/>
    <w:rsid w:val="00892F56"/>
    <w:rsid w:val="008943FD"/>
    <w:rsid w:val="00894E23"/>
    <w:rsid w:val="008C0B04"/>
    <w:rsid w:val="008C373B"/>
    <w:rsid w:val="008D0306"/>
    <w:rsid w:val="008D1119"/>
    <w:rsid w:val="008D1918"/>
    <w:rsid w:val="008D19CC"/>
    <w:rsid w:val="008D2EE7"/>
    <w:rsid w:val="008E43B9"/>
    <w:rsid w:val="008E58CA"/>
    <w:rsid w:val="008E6856"/>
    <w:rsid w:val="008F1846"/>
    <w:rsid w:val="008F196C"/>
    <w:rsid w:val="008F26AA"/>
    <w:rsid w:val="008F3ECE"/>
    <w:rsid w:val="008F4254"/>
    <w:rsid w:val="008F5CCC"/>
    <w:rsid w:val="008F5FE2"/>
    <w:rsid w:val="008F7289"/>
    <w:rsid w:val="009019B6"/>
    <w:rsid w:val="009053AC"/>
    <w:rsid w:val="009101C1"/>
    <w:rsid w:val="00912484"/>
    <w:rsid w:val="009156AA"/>
    <w:rsid w:val="00920190"/>
    <w:rsid w:val="00920AF7"/>
    <w:rsid w:val="009258FB"/>
    <w:rsid w:val="00926932"/>
    <w:rsid w:val="00934FA8"/>
    <w:rsid w:val="00934FC1"/>
    <w:rsid w:val="00936995"/>
    <w:rsid w:val="00940C4B"/>
    <w:rsid w:val="0094507D"/>
    <w:rsid w:val="00947343"/>
    <w:rsid w:val="00950D6D"/>
    <w:rsid w:val="0095390F"/>
    <w:rsid w:val="009548A5"/>
    <w:rsid w:val="0095621A"/>
    <w:rsid w:val="009574B3"/>
    <w:rsid w:val="00961F59"/>
    <w:rsid w:val="00962FE0"/>
    <w:rsid w:val="0096336B"/>
    <w:rsid w:val="009634F2"/>
    <w:rsid w:val="0096514F"/>
    <w:rsid w:val="0096551A"/>
    <w:rsid w:val="009738B9"/>
    <w:rsid w:val="00975060"/>
    <w:rsid w:val="0097799E"/>
    <w:rsid w:val="00980DF9"/>
    <w:rsid w:val="009849C5"/>
    <w:rsid w:val="009905E3"/>
    <w:rsid w:val="0099127C"/>
    <w:rsid w:val="009913D0"/>
    <w:rsid w:val="00991841"/>
    <w:rsid w:val="00993DCF"/>
    <w:rsid w:val="00993E57"/>
    <w:rsid w:val="00994100"/>
    <w:rsid w:val="00997229"/>
    <w:rsid w:val="009A7F68"/>
    <w:rsid w:val="009B3203"/>
    <w:rsid w:val="009B3676"/>
    <w:rsid w:val="009B7CD9"/>
    <w:rsid w:val="009C077C"/>
    <w:rsid w:val="009C0AAA"/>
    <w:rsid w:val="009C3B7A"/>
    <w:rsid w:val="009C4A8B"/>
    <w:rsid w:val="009D0525"/>
    <w:rsid w:val="009D73C5"/>
    <w:rsid w:val="009E14B1"/>
    <w:rsid w:val="009E16B6"/>
    <w:rsid w:val="009F2992"/>
    <w:rsid w:val="009F7C72"/>
    <w:rsid w:val="00A127FC"/>
    <w:rsid w:val="00A1341C"/>
    <w:rsid w:val="00A1364B"/>
    <w:rsid w:val="00A13A61"/>
    <w:rsid w:val="00A14149"/>
    <w:rsid w:val="00A229A5"/>
    <w:rsid w:val="00A23876"/>
    <w:rsid w:val="00A25A57"/>
    <w:rsid w:val="00A271C5"/>
    <w:rsid w:val="00A275A5"/>
    <w:rsid w:val="00A31E62"/>
    <w:rsid w:val="00A32DD6"/>
    <w:rsid w:val="00A3445E"/>
    <w:rsid w:val="00A35604"/>
    <w:rsid w:val="00A35C60"/>
    <w:rsid w:val="00A41FA9"/>
    <w:rsid w:val="00A4567B"/>
    <w:rsid w:val="00A4737B"/>
    <w:rsid w:val="00A507EB"/>
    <w:rsid w:val="00A51474"/>
    <w:rsid w:val="00A53BA1"/>
    <w:rsid w:val="00A606B8"/>
    <w:rsid w:val="00A63392"/>
    <w:rsid w:val="00A64D65"/>
    <w:rsid w:val="00A66883"/>
    <w:rsid w:val="00A7055D"/>
    <w:rsid w:val="00A7300D"/>
    <w:rsid w:val="00A73FCF"/>
    <w:rsid w:val="00A7435A"/>
    <w:rsid w:val="00A755ED"/>
    <w:rsid w:val="00A7581B"/>
    <w:rsid w:val="00A76367"/>
    <w:rsid w:val="00A7650A"/>
    <w:rsid w:val="00A77614"/>
    <w:rsid w:val="00A802DC"/>
    <w:rsid w:val="00A81288"/>
    <w:rsid w:val="00A8401B"/>
    <w:rsid w:val="00A9068C"/>
    <w:rsid w:val="00A9146D"/>
    <w:rsid w:val="00A940BE"/>
    <w:rsid w:val="00A94BCF"/>
    <w:rsid w:val="00AA5B3F"/>
    <w:rsid w:val="00AA6943"/>
    <w:rsid w:val="00AA6BFB"/>
    <w:rsid w:val="00AB088B"/>
    <w:rsid w:val="00AB66F1"/>
    <w:rsid w:val="00AC33B3"/>
    <w:rsid w:val="00AD20BF"/>
    <w:rsid w:val="00AD4F85"/>
    <w:rsid w:val="00AE07AD"/>
    <w:rsid w:val="00AE3B1D"/>
    <w:rsid w:val="00AF06F4"/>
    <w:rsid w:val="00AF0856"/>
    <w:rsid w:val="00AF1784"/>
    <w:rsid w:val="00AF4805"/>
    <w:rsid w:val="00AF646F"/>
    <w:rsid w:val="00AF68C2"/>
    <w:rsid w:val="00B046BC"/>
    <w:rsid w:val="00B11229"/>
    <w:rsid w:val="00B12A7A"/>
    <w:rsid w:val="00B12C20"/>
    <w:rsid w:val="00B12F88"/>
    <w:rsid w:val="00B14A31"/>
    <w:rsid w:val="00B20274"/>
    <w:rsid w:val="00B232BB"/>
    <w:rsid w:val="00B25BDA"/>
    <w:rsid w:val="00B30C69"/>
    <w:rsid w:val="00B32095"/>
    <w:rsid w:val="00B32A92"/>
    <w:rsid w:val="00B3748C"/>
    <w:rsid w:val="00B404E6"/>
    <w:rsid w:val="00B433EA"/>
    <w:rsid w:val="00B433F1"/>
    <w:rsid w:val="00B43A82"/>
    <w:rsid w:val="00B466CE"/>
    <w:rsid w:val="00B51022"/>
    <w:rsid w:val="00B52C1E"/>
    <w:rsid w:val="00B54EAF"/>
    <w:rsid w:val="00B562FB"/>
    <w:rsid w:val="00B573D5"/>
    <w:rsid w:val="00B61C5A"/>
    <w:rsid w:val="00B623D6"/>
    <w:rsid w:val="00B63A21"/>
    <w:rsid w:val="00B65E15"/>
    <w:rsid w:val="00B65FC3"/>
    <w:rsid w:val="00B670BB"/>
    <w:rsid w:val="00B71179"/>
    <w:rsid w:val="00B72787"/>
    <w:rsid w:val="00B73BCA"/>
    <w:rsid w:val="00B73D77"/>
    <w:rsid w:val="00B80C1E"/>
    <w:rsid w:val="00B80DE7"/>
    <w:rsid w:val="00B83545"/>
    <w:rsid w:val="00B83C02"/>
    <w:rsid w:val="00BA49A7"/>
    <w:rsid w:val="00BB540B"/>
    <w:rsid w:val="00BB661F"/>
    <w:rsid w:val="00BB6AC2"/>
    <w:rsid w:val="00BC38F7"/>
    <w:rsid w:val="00BC3A19"/>
    <w:rsid w:val="00BC5013"/>
    <w:rsid w:val="00BC5C40"/>
    <w:rsid w:val="00BC62B6"/>
    <w:rsid w:val="00BC6F07"/>
    <w:rsid w:val="00BD206E"/>
    <w:rsid w:val="00BD30E2"/>
    <w:rsid w:val="00BD6960"/>
    <w:rsid w:val="00BE1A5E"/>
    <w:rsid w:val="00BE675E"/>
    <w:rsid w:val="00BE72AA"/>
    <w:rsid w:val="00BF0C21"/>
    <w:rsid w:val="00BF4A0F"/>
    <w:rsid w:val="00BF709A"/>
    <w:rsid w:val="00BF728C"/>
    <w:rsid w:val="00BF7539"/>
    <w:rsid w:val="00C00570"/>
    <w:rsid w:val="00C02739"/>
    <w:rsid w:val="00C0739F"/>
    <w:rsid w:val="00C122CC"/>
    <w:rsid w:val="00C1325B"/>
    <w:rsid w:val="00C228B7"/>
    <w:rsid w:val="00C236AC"/>
    <w:rsid w:val="00C31656"/>
    <w:rsid w:val="00C323E4"/>
    <w:rsid w:val="00C32866"/>
    <w:rsid w:val="00C35C67"/>
    <w:rsid w:val="00C37319"/>
    <w:rsid w:val="00C4040B"/>
    <w:rsid w:val="00C41D88"/>
    <w:rsid w:val="00C57111"/>
    <w:rsid w:val="00C604A0"/>
    <w:rsid w:val="00C70D9D"/>
    <w:rsid w:val="00C71EC8"/>
    <w:rsid w:val="00C7212C"/>
    <w:rsid w:val="00C746C5"/>
    <w:rsid w:val="00C75CDD"/>
    <w:rsid w:val="00C7623F"/>
    <w:rsid w:val="00C81FA2"/>
    <w:rsid w:val="00C832F0"/>
    <w:rsid w:val="00C837CB"/>
    <w:rsid w:val="00C84ADF"/>
    <w:rsid w:val="00C85683"/>
    <w:rsid w:val="00C90F63"/>
    <w:rsid w:val="00C95851"/>
    <w:rsid w:val="00C972D5"/>
    <w:rsid w:val="00CA2EAA"/>
    <w:rsid w:val="00CA2F3F"/>
    <w:rsid w:val="00CA30B5"/>
    <w:rsid w:val="00CA3979"/>
    <w:rsid w:val="00CA59F4"/>
    <w:rsid w:val="00CB6F4C"/>
    <w:rsid w:val="00CC3CDB"/>
    <w:rsid w:val="00CC5195"/>
    <w:rsid w:val="00CC53B5"/>
    <w:rsid w:val="00CD1E66"/>
    <w:rsid w:val="00CD582A"/>
    <w:rsid w:val="00CE0733"/>
    <w:rsid w:val="00CE1873"/>
    <w:rsid w:val="00CE34BD"/>
    <w:rsid w:val="00CE5D78"/>
    <w:rsid w:val="00CF0616"/>
    <w:rsid w:val="00CF6726"/>
    <w:rsid w:val="00CF6D52"/>
    <w:rsid w:val="00D01D12"/>
    <w:rsid w:val="00D05F8B"/>
    <w:rsid w:val="00D10095"/>
    <w:rsid w:val="00D1236A"/>
    <w:rsid w:val="00D12748"/>
    <w:rsid w:val="00D13C69"/>
    <w:rsid w:val="00D15B0D"/>
    <w:rsid w:val="00D1629A"/>
    <w:rsid w:val="00D2591E"/>
    <w:rsid w:val="00D30D20"/>
    <w:rsid w:val="00D324E0"/>
    <w:rsid w:val="00D337F7"/>
    <w:rsid w:val="00D34848"/>
    <w:rsid w:val="00D36F9B"/>
    <w:rsid w:val="00D36FA2"/>
    <w:rsid w:val="00D419B2"/>
    <w:rsid w:val="00D4388F"/>
    <w:rsid w:val="00D4400E"/>
    <w:rsid w:val="00D4449D"/>
    <w:rsid w:val="00D45249"/>
    <w:rsid w:val="00D4689E"/>
    <w:rsid w:val="00D50672"/>
    <w:rsid w:val="00D546B6"/>
    <w:rsid w:val="00D62186"/>
    <w:rsid w:val="00D65CDD"/>
    <w:rsid w:val="00D66E18"/>
    <w:rsid w:val="00D7061F"/>
    <w:rsid w:val="00D71603"/>
    <w:rsid w:val="00D80D5E"/>
    <w:rsid w:val="00D82CEE"/>
    <w:rsid w:val="00D83183"/>
    <w:rsid w:val="00D83EA9"/>
    <w:rsid w:val="00D84291"/>
    <w:rsid w:val="00D845EB"/>
    <w:rsid w:val="00D8585C"/>
    <w:rsid w:val="00D94C12"/>
    <w:rsid w:val="00D94DB4"/>
    <w:rsid w:val="00DA1D12"/>
    <w:rsid w:val="00DA59C7"/>
    <w:rsid w:val="00DA742A"/>
    <w:rsid w:val="00DB0C76"/>
    <w:rsid w:val="00DB467D"/>
    <w:rsid w:val="00DB758F"/>
    <w:rsid w:val="00DC07AC"/>
    <w:rsid w:val="00DC6305"/>
    <w:rsid w:val="00DD3979"/>
    <w:rsid w:val="00DD4960"/>
    <w:rsid w:val="00DD522A"/>
    <w:rsid w:val="00DD74C5"/>
    <w:rsid w:val="00DE0701"/>
    <w:rsid w:val="00DE184E"/>
    <w:rsid w:val="00DF16CA"/>
    <w:rsid w:val="00DF2E79"/>
    <w:rsid w:val="00DF5B01"/>
    <w:rsid w:val="00DF7C84"/>
    <w:rsid w:val="00E01640"/>
    <w:rsid w:val="00E04656"/>
    <w:rsid w:val="00E053BA"/>
    <w:rsid w:val="00E06D5A"/>
    <w:rsid w:val="00E16ED0"/>
    <w:rsid w:val="00E2043D"/>
    <w:rsid w:val="00E213A6"/>
    <w:rsid w:val="00E21467"/>
    <w:rsid w:val="00E315E7"/>
    <w:rsid w:val="00E33282"/>
    <w:rsid w:val="00E33688"/>
    <w:rsid w:val="00E336C3"/>
    <w:rsid w:val="00E34787"/>
    <w:rsid w:val="00E350D9"/>
    <w:rsid w:val="00E41A09"/>
    <w:rsid w:val="00E445C8"/>
    <w:rsid w:val="00E451A2"/>
    <w:rsid w:val="00E45F3D"/>
    <w:rsid w:val="00E465A0"/>
    <w:rsid w:val="00E472D2"/>
    <w:rsid w:val="00E51337"/>
    <w:rsid w:val="00E51E70"/>
    <w:rsid w:val="00E54DCE"/>
    <w:rsid w:val="00E57A97"/>
    <w:rsid w:val="00E671D7"/>
    <w:rsid w:val="00E714BA"/>
    <w:rsid w:val="00E71B61"/>
    <w:rsid w:val="00E7344D"/>
    <w:rsid w:val="00E73615"/>
    <w:rsid w:val="00E77637"/>
    <w:rsid w:val="00E77FE3"/>
    <w:rsid w:val="00E80FC9"/>
    <w:rsid w:val="00E842F4"/>
    <w:rsid w:val="00E868B0"/>
    <w:rsid w:val="00E912A1"/>
    <w:rsid w:val="00E915A1"/>
    <w:rsid w:val="00E91DA4"/>
    <w:rsid w:val="00E922E5"/>
    <w:rsid w:val="00E97235"/>
    <w:rsid w:val="00EA1BD1"/>
    <w:rsid w:val="00EA5280"/>
    <w:rsid w:val="00EB040C"/>
    <w:rsid w:val="00EB2314"/>
    <w:rsid w:val="00EB7673"/>
    <w:rsid w:val="00EC024C"/>
    <w:rsid w:val="00EC217B"/>
    <w:rsid w:val="00EC3B86"/>
    <w:rsid w:val="00EC48D6"/>
    <w:rsid w:val="00EC6823"/>
    <w:rsid w:val="00EC6C15"/>
    <w:rsid w:val="00ED26DB"/>
    <w:rsid w:val="00ED3D4C"/>
    <w:rsid w:val="00ED5647"/>
    <w:rsid w:val="00EE01C5"/>
    <w:rsid w:val="00EE2D65"/>
    <w:rsid w:val="00EE2F2D"/>
    <w:rsid w:val="00EE3F9E"/>
    <w:rsid w:val="00EE44E9"/>
    <w:rsid w:val="00EE6616"/>
    <w:rsid w:val="00EE7B32"/>
    <w:rsid w:val="00EF18D8"/>
    <w:rsid w:val="00EF443F"/>
    <w:rsid w:val="00EF6278"/>
    <w:rsid w:val="00EF7971"/>
    <w:rsid w:val="00F00C26"/>
    <w:rsid w:val="00F00C95"/>
    <w:rsid w:val="00F00D91"/>
    <w:rsid w:val="00F0143A"/>
    <w:rsid w:val="00F017F1"/>
    <w:rsid w:val="00F0352E"/>
    <w:rsid w:val="00F03D73"/>
    <w:rsid w:val="00F0615B"/>
    <w:rsid w:val="00F063FD"/>
    <w:rsid w:val="00F07B31"/>
    <w:rsid w:val="00F1462B"/>
    <w:rsid w:val="00F158E5"/>
    <w:rsid w:val="00F17ED5"/>
    <w:rsid w:val="00F204D4"/>
    <w:rsid w:val="00F23F19"/>
    <w:rsid w:val="00F24B68"/>
    <w:rsid w:val="00F25900"/>
    <w:rsid w:val="00F263C5"/>
    <w:rsid w:val="00F33036"/>
    <w:rsid w:val="00F37D6D"/>
    <w:rsid w:val="00F41233"/>
    <w:rsid w:val="00F45851"/>
    <w:rsid w:val="00F46968"/>
    <w:rsid w:val="00F46E5A"/>
    <w:rsid w:val="00F479AB"/>
    <w:rsid w:val="00F52042"/>
    <w:rsid w:val="00F52E5D"/>
    <w:rsid w:val="00F53E43"/>
    <w:rsid w:val="00F55BF3"/>
    <w:rsid w:val="00F628FE"/>
    <w:rsid w:val="00F652D7"/>
    <w:rsid w:val="00F65929"/>
    <w:rsid w:val="00F669D0"/>
    <w:rsid w:val="00F67531"/>
    <w:rsid w:val="00F76C32"/>
    <w:rsid w:val="00F8038B"/>
    <w:rsid w:val="00F80E94"/>
    <w:rsid w:val="00F8207B"/>
    <w:rsid w:val="00F82F60"/>
    <w:rsid w:val="00F8308A"/>
    <w:rsid w:val="00F86641"/>
    <w:rsid w:val="00F87D96"/>
    <w:rsid w:val="00F92D30"/>
    <w:rsid w:val="00F96729"/>
    <w:rsid w:val="00F97EF1"/>
    <w:rsid w:val="00FA1CE1"/>
    <w:rsid w:val="00FA1F17"/>
    <w:rsid w:val="00FA448B"/>
    <w:rsid w:val="00FA4F7B"/>
    <w:rsid w:val="00FA7CBA"/>
    <w:rsid w:val="00FA7D23"/>
    <w:rsid w:val="00FB3AEE"/>
    <w:rsid w:val="00FB46D4"/>
    <w:rsid w:val="00FC1B0F"/>
    <w:rsid w:val="00FC1CE9"/>
    <w:rsid w:val="00FC6030"/>
    <w:rsid w:val="00FD1F59"/>
    <w:rsid w:val="00FD2350"/>
    <w:rsid w:val="00FD25B7"/>
    <w:rsid w:val="00FD4EFA"/>
    <w:rsid w:val="00FD77F2"/>
    <w:rsid w:val="00FE3FBD"/>
    <w:rsid w:val="00FE48CD"/>
    <w:rsid w:val="00FE49B3"/>
    <w:rsid w:val="00FF06D4"/>
    <w:rsid w:val="00FF17AC"/>
    <w:rsid w:val="00FF33F7"/>
    <w:rsid w:val="00FF41CC"/>
    <w:rsid w:val="00FF56B9"/>
    <w:rsid w:val="00FF75C0"/>
    <w:rsid w:val="00FF780A"/>
    <w:rsid w:val="0109ECD1"/>
    <w:rsid w:val="012A1B9B"/>
    <w:rsid w:val="01BF349A"/>
    <w:rsid w:val="01D91A5D"/>
    <w:rsid w:val="0298336D"/>
    <w:rsid w:val="02AAB4A9"/>
    <w:rsid w:val="02E54FB8"/>
    <w:rsid w:val="03731302"/>
    <w:rsid w:val="03B37339"/>
    <w:rsid w:val="03F027CE"/>
    <w:rsid w:val="04A3EA2C"/>
    <w:rsid w:val="04CA6614"/>
    <w:rsid w:val="0577AA50"/>
    <w:rsid w:val="05E4C36A"/>
    <w:rsid w:val="05F4F0A0"/>
    <w:rsid w:val="063412A8"/>
    <w:rsid w:val="0668B2E1"/>
    <w:rsid w:val="067862EA"/>
    <w:rsid w:val="06C3683E"/>
    <w:rsid w:val="06D3D08A"/>
    <w:rsid w:val="0720F9C4"/>
    <w:rsid w:val="07E76BFF"/>
    <w:rsid w:val="07F2FA36"/>
    <w:rsid w:val="0846DA8E"/>
    <w:rsid w:val="087B7208"/>
    <w:rsid w:val="0974A66C"/>
    <w:rsid w:val="0A17555E"/>
    <w:rsid w:val="0A87CBE2"/>
    <w:rsid w:val="0AC3B6ED"/>
    <w:rsid w:val="0B63F00E"/>
    <w:rsid w:val="0B785875"/>
    <w:rsid w:val="0BA829A9"/>
    <w:rsid w:val="0BEDC680"/>
    <w:rsid w:val="0C72A416"/>
    <w:rsid w:val="0CF15341"/>
    <w:rsid w:val="0D2D3309"/>
    <w:rsid w:val="0D748C97"/>
    <w:rsid w:val="0E008FEA"/>
    <w:rsid w:val="0E4093FF"/>
    <w:rsid w:val="0E7355DC"/>
    <w:rsid w:val="0F72A065"/>
    <w:rsid w:val="0F77D763"/>
    <w:rsid w:val="1046D5C6"/>
    <w:rsid w:val="1068475E"/>
    <w:rsid w:val="11370BF9"/>
    <w:rsid w:val="1208166D"/>
    <w:rsid w:val="120E1B9B"/>
    <w:rsid w:val="127F06A9"/>
    <w:rsid w:val="129A4CEE"/>
    <w:rsid w:val="13230DF3"/>
    <w:rsid w:val="1328A5EA"/>
    <w:rsid w:val="1386E45E"/>
    <w:rsid w:val="138B2214"/>
    <w:rsid w:val="15C48E25"/>
    <w:rsid w:val="15D140D8"/>
    <w:rsid w:val="15E2E3BA"/>
    <w:rsid w:val="172EF4F4"/>
    <w:rsid w:val="1784B344"/>
    <w:rsid w:val="178795EF"/>
    <w:rsid w:val="1793C346"/>
    <w:rsid w:val="17D64D67"/>
    <w:rsid w:val="185088EC"/>
    <w:rsid w:val="185C8917"/>
    <w:rsid w:val="18ADA4C4"/>
    <w:rsid w:val="19BC45EB"/>
    <w:rsid w:val="1A3E150F"/>
    <w:rsid w:val="1A9FA11E"/>
    <w:rsid w:val="1AF6C05A"/>
    <w:rsid w:val="1B1B9D52"/>
    <w:rsid w:val="1B6B8B16"/>
    <w:rsid w:val="1CAFFDE3"/>
    <w:rsid w:val="1CF15CF6"/>
    <w:rsid w:val="1D1F586B"/>
    <w:rsid w:val="1D2F218C"/>
    <w:rsid w:val="1E1BB0D3"/>
    <w:rsid w:val="1E9BFCE7"/>
    <w:rsid w:val="1EAAE434"/>
    <w:rsid w:val="1FE3F3AC"/>
    <w:rsid w:val="2047C0CB"/>
    <w:rsid w:val="206CEBD5"/>
    <w:rsid w:val="20A4184A"/>
    <w:rsid w:val="20D964A6"/>
    <w:rsid w:val="212EE371"/>
    <w:rsid w:val="2148ACC9"/>
    <w:rsid w:val="21E58C30"/>
    <w:rsid w:val="22010A02"/>
    <w:rsid w:val="22CCC38D"/>
    <w:rsid w:val="246782EE"/>
    <w:rsid w:val="24EEBE2C"/>
    <w:rsid w:val="253140CC"/>
    <w:rsid w:val="25E3E597"/>
    <w:rsid w:val="2632742C"/>
    <w:rsid w:val="269DC9B1"/>
    <w:rsid w:val="276E776F"/>
    <w:rsid w:val="2805E7C5"/>
    <w:rsid w:val="28270125"/>
    <w:rsid w:val="282CFDB3"/>
    <w:rsid w:val="288A2E20"/>
    <w:rsid w:val="294E0E72"/>
    <w:rsid w:val="29984AE1"/>
    <w:rsid w:val="29AD7809"/>
    <w:rsid w:val="29F1925B"/>
    <w:rsid w:val="2B968907"/>
    <w:rsid w:val="2BFCDB40"/>
    <w:rsid w:val="2BFD2035"/>
    <w:rsid w:val="2C014A4C"/>
    <w:rsid w:val="2C2D30EB"/>
    <w:rsid w:val="2C836A3A"/>
    <w:rsid w:val="2C867643"/>
    <w:rsid w:val="2D04F0B4"/>
    <w:rsid w:val="2D2E7162"/>
    <w:rsid w:val="2D32F6ED"/>
    <w:rsid w:val="2D7B40E3"/>
    <w:rsid w:val="2D9173C7"/>
    <w:rsid w:val="2DA957B6"/>
    <w:rsid w:val="2E12E5CC"/>
    <w:rsid w:val="2E84C06F"/>
    <w:rsid w:val="2EC32C5A"/>
    <w:rsid w:val="2F80A709"/>
    <w:rsid w:val="3030429A"/>
    <w:rsid w:val="303DA578"/>
    <w:rsid w:val="3063C379"/>
    <w:rsid w:val="309927AB"/>
    <w:rsid w:val="30CA67D3"/>
    <w:rsid w:val="3110F9DC"/>
    <w:rsid w:val="3165FE49"/>
    <w:rsid w:val="31D9B86D"/>
    <w:rsid w:val="31EB2B83"/>
    <w:rsid w:val="33CD91D9"/>
    <w:rsid w:val="34938B23"/>
    <w:rsid w:val="34984435"/>
    <w:rsid w:val="35D5026B"/>
    <w:rsid w:val="3608F133"/>
    <w:rsid w:val="363D2EAE"/>
    <w:rsid w:val="36881BEF"/>
    <w:rsid w:val="368C2031"/>
    <w:rsid w:val="36D8C92E"/>
    <w:rsid w:val="36EB8881"/>
    <w:rsid w:val="37526A84"/>
    <w:rsid w:val="379BB4B9"/>
    <w:rsid w:val="37E0E92F"/>
    <w:rsid w:val="38839672"/>
    <w:rsid w:val="39025C70"/>
    <w:rsid w:val="393CE0FC"/>
    <w:rsid w:val="3990EDE1"/>
    <w:rsid w:val="39F0088A"/>
    <w:rsid w:val="3A27D158"/>
    <w:rsid w:val="3A2E4C3B"/>
    <w:rsid w:val="3A931E8F"/>
    <w:rsid w:val="3ABAB38B"/>
    <w:rsid w:val="3AC43F9B"/>
    <w:rsid w:val="3B8B0723"/>
    <w:rsid w:val="3B9579B2"/>
    <w:rsid w:val="3C6BA841"/>
    <w:rsid w:val="3CC54545"/>
    <w:rsid w:val="3E58CB74"/>
    <w:rsid w:val="3EE0F2F1"/>
    <w:rsid w:val="3EE2A9BA"/>
    <w:rsid w:val="3F12ACDE"/>
    <w:rsid w:val="3F4CB94E"/>
    <w:rsid w:val="3F4CE4F2"/>
    <w:rsid w:val="40B9775C"/>
    <w:rsid w:val="41F6030D"/>
    <w:rsid w:val="422A5F99"/>
    <w:rsid w:val="425BA8E8"/>
    <w:rsid w:val="42ECD485"/>
    <w:rsid w:val="445307B2"/>
    <w:rsid w:val="4454C046"/>
    <w:rsid w:val="44B5614B"/>
    <w:rsid w:val="453CB74F"/>
    <w:rsid w:val="454E50C7"/>
    <w:rsid w:val="45C0AF3E"/>
    <w:rsid w:val="466341EB"/>
    <w:rsid w:val="477AF063"/>
    <w:rsid w:val="47C4A86E"/>
    <w:rsid w:val="480FB887"/>
    <w:rsid w:val="48360E94"/>
    <w:rsid w:val="4858973F"/>
    <w:rsid w:val="48827CA1"/>
    <w:rsid w:val="48969E1A"/>
    <w:rsid w:val="48CE938E"/>
    <w:rsid w:val="4904B7EE"/>
    <w:rsid w:val="49748A34"/>
    <w:rsid w:val="49CF5668"/>
    <w:rsid w:val="4AA6762B"/>
    <w:rsid w:val="4ADA93BE"/>
    <w:rsid w:val="4B3BC55D"/>
    <w:rsid w:val="4BBFDDCC"/>
    <w:rsid w:val="4CDA0927"/>
    <w:rsid w:val="4CF6FDDD"/>
    <w:rsid w:val="4F3F0ADD"/>
    <w:rsid w:val="4F8D8ECD"/>
    <w:rsid w:val="4F9277AF"/>
    <w:rsid w:val="50423D90"/>
    <w:rsid w:val="50656017"/>
    <w:rsid w:val="50ACD254"/>
    <w:rsid w:val="50BEE435"/>
    <w:rsid w:val="50DE1248"/>
    <w:rsid w:val="512A1457"/>
    <w:rsid w:val="51473938"/>
    <w:rsid w:val="514E2F0F"/>
    <w:rsid w:val="529E3133"/>
    <w:rsid w:val="53014C8F"/>
    <w:rsid w:val="535D7395"/>
    <w:rsid w:val="5361D225"/>
    <w:rsid w:val="539FFA72"/>
    <w:rsid w:val="5575CA8E"/>
    <w:rsid w:val="55836FE2"/>
    <w:rsid w:val="55A0312C"/>
    <w:rsid w:val="55D3CCFE"/>
    <w:rsid w:val="55EE8739"/>
    <w:rsid w:val="569F8CE5"/>
    <w:rsid w:val="56EBDEC8"/>
    <w:rsid w:val="5822C8A3"/>
    <w:rsid w:val="583FF9B2"/>
    <w:rsid w:val="59CE44F8"/>
    <w:rsid w:val="5A00A64A"/>
    <w:rsid w:val="5A6FC7A1"/>
    <w:rsid w:val="5B4B29A4"/>
    <w:rsid w:val="5BEBD265"/>
    <w:rsid w:val="5CBCD823"/>
    <w:rsid w:val="5CE996F3"/>
    <w:rsid w:val="5D30226A"/>
    <w:rsid w:val="5D9EAFD3"/>
    <w:rsid w:val="5E3FFF34"/>
    <w:rsid w:val="5EA72830"/>
    <w:rsid w:val="5F154F02"/>
    <w:rsid w:val="5F8F525E"/>
    <w:rsid w:val="5F91B49A"/>
    <w:rsid w:val="5FC51AC5"/>
    <w:rsid w:val="60DC6672"/>
    <w:rsid w:val="610A76CA"/>
    <w:rsid w:val="61607EF4"/>
    <w:rsid w:val="620DBCF8"/>
    <w:rsid w:val="62F0B7D1"/>
    <w:rsid w:val="62FB0B27"/>
    <w:rsid w:val="63379EC8"/>
    <w:rsid w:val="63406B10"/>
    <w:rsid w:val="6340EAFF"/>
    <w:rsid w:val="636B1A52"/>
    <w:rsid w:val="64561AF6"/>
    <w:rsid w:val="64624AAC"/>
    <w:rsid w:val="6467A3F2"/>
    <w:rsid w:val="64ACC375"/>
    <w:rsid w:val="65C31600"/>
    <w:rsid w:val="65D2BD13"/>
    <w:rsid w:val="662F74E1"/>
    <w:rsid w:val="666596A9"/>
    <w:rsid w:val="667C214A"/>
    <w:rsid w:val="6691E96C"/>
    <w:rsid w:val="66E3C1BB"/>
    <w:rsid w:val="66FB4F87"/>
    <w:rsid w:val="671BB312"/>
    <w:rsid w:val="6724A26D"/>
    <w:rsid w:val="67612B48"/>
    <w:rsid w:val="67B61CA0"/>
    <w:rsid w:val="682A3030"/>
    <w:rsid w:val="6A5C65E8"/>
    <w:rsid w:val="6B231711"/>
    <w:rsid w:val="6C04537F"/>
    <w:rsid w:val="6C65BB97"/>
    <w:rsid w:val="6CC2E73E"/>
    <w:rsid w:val="6D950730"/>
    <w:rsid w:val="6E09AA0B"/>
    <w:rsid w:val="6E53C3AD"/>
    <w:rsid w:val="6EA2043A"/>
    <w:rsid w:val="6EADEFAC"/>
    <w:rsid w:val="6EDB0F9E"/>
    <w:rsid w:val="6F13A4AA"/>
    <w:rsid w:val="6F1E8F9A"/>
    <w:rsid w:val="7053F60A"/>
    <w:rsid w:val="7125A492"/>
    <w:rsid w:val="716A6A99"/>
    <w:rsid w:val="7174A519"/>
    <w:rsid w:val="7195A842"/>
    <w:rsid w:val="72F0CED2"/>
    <w:rsid w:val="730124B2"/>
    <w:rsid w:val="73658CB0"/>
    <w:rsid w:val="73DDB1E0"/>
    <w:rsid w:val="73FD7872"/>
    <w:rsid w:val="740D4E2D"/>
    <w:rsid w:val="7437AB61"/>
    <w:rsid w:val="7458FDA5"/>
    <w:rsid w:val="74C017C2"/>
    <w:rsid w:val="7510EC8E"/>
    <w:rsid w:val="75BA2278"/>
    <w:rsid w:val="7608A1BA"/>
    <w:rsid w:val="774C6589"/>
    <w:rsid w:val="778E49E3"/>
    <w:rsid w:val="778E6A5F"/>
    <w:rsid w:val="78D0E998"/>
    <w:rsid w:val="7919B586"/>
    <w:rsid w:val="796C539A"/>
    <w:rsid w:val="79D38361"/>
    <w:rsid w:val="79E8EAD9"/>
    <w:rsid w:val="7A527F6B"/>
    <w:rsid w:val="7B3AF479"/>
    <w:rsid w:val="7B6F6CA8"/>
    <w:rsid w:val="7C169C59"/>
    <w:rsid w:val="7C5D443C"/>
    <w:rsid w:val="7C955E3B"/>
    <w:rsid w:val="7CA0E594"/>
    <w:rsid w:val="7D601F4D"/>
    <w:rsid w:val="7DDD7CE9"/>
    <w:rsid w:val="7E11AA71"/>
    <w:rsid w:val="7F54A3D5"/>
    <w:rsid w:val="7F762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C16C"/>
  <w15:chartTrackingRefBased/>
  <w15:docId w15:val="{BB495A01-0CAB-4308-88C8-D847D1B4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49"/>
    <w:rPr>
      <w:sz w:val="24"/>
    </w:rPr>
  </w:style>
  <w:style w:type="paragraph" w:styleId="Heading1">
    <w:name w:val="heading 1"/>
    <w:basedOn w:val="Normal"/>
    <w:next w:val="Normal"/>
    <w:link w:val="Heading1Char"/>
    <w:uiPriority w:val="1"/>
    <w:qFormat/>
    <w:rsid w:val="00283D5F"/>
    <w:pPr>
      <w:keepNext/>
      <w:keepLines/>
      <w:spacing w:line="240" w:lineRule="auto"/>
      <w:outlineLvl w:val="0"/>
    </w:pPr>
    <w:rPr>
      <w:rFonts w:ascii="Montserrat" w:eastAsiaTheme="majorEastAsia" w:hAnsi="Montserrat" w:cstheme="majorBidi"/>
      <w:b/>
      <w:bCs/>
      <w:caps/>
      <w:color w:val="00579B" w:themeColor="text2"/>
      <w:sz w:val="72"/>
      <w:szCs w:val="72"/>
    </w:rPr>
  </w:style>
  <w:style w:type="paragraph" w:styleId="Heading2">
    <w:name w:val="heading 2"/>
    <w:basedOn w:val="Normal"/>
    <w:next w:val="Normal"/>
    <w:link w:val="Heading2Char"/>
    <w:uiPriority w:val="1"/>
    <w:qFormat/>
    <w:rsid w:val="00283D5F"/>
    <w:pPr>
      <w:keepNext/>
      <w:keepLines/>
      <w:spacing w:before="400" w:line="240" w:lineRule="auto"/>
      <w:outlineLvl w:val="1"/>
    </w:pPr>
    <w:rPr>
      <w:rFonts w:ascii="Montserrat" w:eastAsiaTheme="majorEastAsia" w:hAnsi="Montserrat" w:cstheme="majorBidi"/>
      <w:b/>
      <w:sz w:val="36"/>
      <w:szCs w:val="36"/>
    </w:rPr>
  </w:style>
  <w:style w:type="paragraph" w:styleId="Heading3">
    <w:name w:val="heading 3"/>
    <w:basedOn w:val="Normal"/>
    <w:next w:val="Normal"/>
    <w:link w:val="Heading3Char"/>
    <w:uiPriority w:val="9"/>
    <w:qFormat/>
    <w:rsid w:val="00283D5F"/>
    <w:pPr>
      <w:keepNext/>
      <w:keepLines/>
      <w:spacing w:before="240" w:after="80" w:line="240" w:lineRule="auto"/>
      <w:outlineLvl w:val="2"/>
    </w:pPr>
    <w:rPr>
      <w:rFonts w:ascii="Montserrat" w:eastAsiaTheme="majorEastAsia" w:hAnsi="Montserrat" w:cstheme="majorBidi"/>
      <w:b/>
      <w:color w:val="00579B" w:themeColor="text2"/>
      <w:sz w:val="32"/>
      <w:szCs w:val="32"/>
    </w:rPr>
  </w:style>
  <w:style w:type="paragraph" w:styleId="Heading4">
    <w:name w:val="heading 4"/>
    <w:basedOn w:val="Normal"/>
    <w:next w:val="Normal"/>
    <w:link w:val="Heading4Char"/>
    <w:uiPriority w:val="18"/>
    <w:qFormat/>
    <w:rsid w:val="00283D5F"/>
    <w:pPr>
      <w:spacing w:before="200" w:after="80" w:line="240" w:lineRule="auto"/>
      <w:outlineLvl w:val="3"/>
    </w:pPr>
    <w:rPr>
      <w:rFonts w:ascii="Montserrat" w:hAnsi="Montserrat"/>
      <w:b/>
      <w:bCs/>
      <w:sz w:val="28"/>
      <w:szCs w:val="28"/>
    </w:rPr>
  </w:style>
  <w:style w:type="paragraph" w:styleId="Heading5">
    <w:name w:val="heading 5"/>
    <w:basedOn w:val="Normal"/>
    <w:next w:val="Normal"/>
    <w:link w:val="Heading5Char"/>
    <w:uiPriority w:val="18"/>
    <w:qFormat/>
    <w:rsid w:val="00193154"/>
    <w:pPr>
      <w:spacing w:before="160" w:after="80" w:line="240" w:lineRule="auto"/>
      <w:outlineLvl w:val="4"/>
    </w:pPr>
    <w:rPr>
      <w:rFonts w:ascii="Montserrat" w:hAnsi="Montserrat"/>
      <w:b/>
      <w:bCs/>
      <w:color w:val="263B80" w:themeColor="accent6"/>
      <w:sz w:val="26"/>
      <w:szCs w:val="25"/>
    </w:rPr>
  </w:style>
  <w:style w:type="paragraph" w:styleId="Heading6">
    <w:name w:val="heading 6"/>
    <w:basedOn w:val="Normal"/>
    <w:next w:val="Normal"/>
    <w:link w:val="Heading6Char"/>
    <w:uiPriority w:val="18"/>
    <w:qFormat/>
    <w:rsid w:val="00193154"/>
    <w:pPr>
      <w:spacing w:before="120" w:after="40" w:line="240" w:lineRule="auto"/>
      <w:outlineLvl w:val="5"/>
    </w:pPr>
    <w:rPr>
      <w:rFonts w:ascii="Montserrat" w:hAnsi="Montserrat"/>
      <w:b/>
      <w:iCs/>
    </w:rPr>
  </w:style>
  <w:style w:type="paragraph" w:styleId="Heading7">
    <w:name w:val="heading 7"/>
    <w:basedOn w:val="Normal"/>
    <w:next w:val="Normal"/>
    <w:link w:val="Heading7Char"/>
    <w:uiPriority w:val="18"/>
    <w:semiHidden/>
    <w:unhideWhenUsed/>
    <w:qFormat/>
    <w:rsid w:val="0087774F"/>
    <w:pPr>
      <w:keepNext/>
      <w:keepLines/>
      <w:spacing w:before="40" w:after="0"/>
      <w:outlineLvl w:val="6"/>
    </w:pPr>
    <w:rPr>
      <w:rFonts w:asciiTheme="majorHAnsi" w:eastAsiaTheme="majorEastAsia" w:hAnsiTheme="majorHAnsi" w:cstheme="majorBidi"/>
      <w:b/>
      <w:bCs/>
      <w:color w:val="002B4D" w:themeColor="accent1" w:themeShade="80"/>
    </w:rPr>
  </w:style>
  <w:style w:type="paragraph" w:styleId="Heading8">
    <w:name w:val="heading 8"/>
    <w:basedOn w:val="Normal"/>
    <w:next w:val="Normal"/>
    <w:link w:val="Heading8Char"/>
    <w:uiPriority w:val="18"/>
    <w:semiHidden/>
    <w:unhideWhenUsed/>
    <w:qFormat/>
    <w:rsid w:val="00283D5F"/>
    <w:pPr>
      <w:keepNext/>
      <w:keepLines/>
      <w:spacing w:before="40" w:after="0"/>
      <w:outlineLvl w:val="7"/>
    </w:pPr>
    <w:rPr>
      <w:rFonts w:asciiTheme="majorHAnsi" w:eastAsiaTheme="majorEastAsia" w:hAnsiTheme="majorHAnsi" w:cstheme="majorBidi"/>
      <w:b/>
      <w:bCs/>
      <w:color w:val="00579B" w:themeColor="text2"/>
    </w:rPr>
  </w:style>
  <w:style w:type="paragraph" w:styleId="Heading9">
    <w:name w:val="heading 9"/>
    <w:basedOn w:val="Normal"/>
    <w:next w:val="Normal"/>
    <w:link w:val="Heading9Char"/>
    <w:uiPriority w:val="18"/>
    <w:semiHidden/>
    <w:unhideWhenUsed/>
    <w:qFormat/>
    <w:rsid w:val="00283D5F"/>
    <w:pPr>
      <w:keepNext/>
      <w:keepLines/>
      <w:spacing w:before="40" w:after="0"/>
      <w:outlineLvl w:val="8"/>
    </w:pPr>
    <w:rPr>
      <w:rFonts w:asciiTheme="majorHAnsi" w:eastAsiaTheme="majorEastAsia" w:hAnsiTheme="majorHAnsi" w:cstheme="majorBidi"/>
      <w:b/>
      <w:bCs/>
      <w:i/>
      <w:iCs/>
      <w:color w:val="00579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3D5F"/>
    <w:rPr>
      <w:rFonts w:ascii="Montserrat" w:eastAsiaTheme="majorEastAsia" w:hAnsi="Montserrat" w:cstheme="majorBidi"/>
      <w:b/>
      <w:bCs/>
      <w:caps/>
      <w:color w:val="00579B" w:themeColor="text2"/>
      <w:sz w:val="72"/>
      <w:szCs w:val="72"/>
    </w:rPr>
  </w:style>
  <w:style w:type="character" w:customStyle="1" w:styleId="Heading2Char">
    <w:name w:val="Heading 2 Char"/>
    <w:basedOn w:val="DefaultParagraphFont"/>
    <w:link w:val="Heading2"/>
    <w:uiPriority w:val="1"/>
    <w:rsid w:val="00393749"/>
    <w:rPr>
      <w:rFonts w:ascii="Montserrat" w:eastAsiaTheme="majorEastAsia" w:hAnsi="Montserrat" w:cstheme="majorBidi"/>
      <w:b/>
      <w:sz w:val="36"/>
      <w:szCs w:val="36"/>
    </w:rPr>
  </w:style>
  <w:style w:type="character" w:customStyle="1" w:styleId="Heading3Char">
    <w:name w:val="Heading 3 Char"/>
    <w:basedOn w:val="DefaultParagraphFont"/>
    <w:link w:val="Heading3"/>
    <w:uiPriority w:val="9"/>
    <w:rsid w:val="00393749"/>
    <w:rPr>
      <w:rFonts w:ascii="Montserrat" w:eastAsiaTheme="majorEastAsia" w:hAnsi="Montserrat" w:cstheme="majorBidi"/>
      <w:b/>
      <w:color w:val="00579B" w:themeColor="text2"/>
      <w:sz w:val="32"/>
      <w:szCs w:val="32"/>
    </w:rPr>
  </w:style>
  <w:style w:type="character" w:customStyle="1" w:styleId="Heading4Char">
    <w:name w:val="Heading 4 Char"/>
    <w:basedOn w:val="DefaultParagraphFont"/>
    <w:link w:val="Heading4"/>
    <w:uiPriority w:val="18"/>
    <w:rsid w:val="00393749"/>
    <w:rPr>
      <w:rFonts w:ascii="Montserrat" w:hAnsi="Montserrat"/>
      <w:b/>
      <w:bCs/>
      <w:sz w:val="28"/>
      <w:szCs w:val="28"/>
    </w:rPr>
  </w:style>
  <w:style w:type="character" w:customStyle="1" w:styleId="Heading5Char">
    <w:name w:val="Heading 5 Char"/>
    <w:basedOn w:val="DefaultParagraphFont"/>
    <w:link w:val="Heading5"/>
    <w:uiPriority w:val="18"/>
    <w:rsid w:val="00193154"/>
    <w:rPr>
      <w:rFonts w:ascii="Montserrat" w:hAnsi="Montserrat"/>
      <w:b/>
      <w:bCs/>
      <w:color w:val="263B80" w:themeColor="accent6"/>
      <w:sz w:val="26"/>
      <w:szCs w:val="25"/>
    </w:rPr>
  </w:style>
  <w:style w:type="character" w:customStyle="1" w:styleId="Heading6Char">
    <w:name w:val="Heading 6 Char"/>
    <w:basedOn w:val="DefaultParagraphFont"/>
    <w:link w:val="Heading6"/>
    <w:uiPriority w:val="18"/>
    <w:rsid w:val="00193154"/>
    <w:rPr>
      <w:rFonts w:ascii="Montserrat" w:hAnsi="Montserrat"/>
      <w:b/>
      <w:iCs/>
      <w:sz w:val="24"/>
    </w:rPr>
  </w:style>
  <w:style w:type="character" w:customStyle="1" w:styleId="Heading7Char">
    <w:name w:val="Heading 7 Char"/>
    <w:basedOn w:val="DefaultParagraphFont"/>
    <w:link w:val="Heading7"/>
    <w:uiPriority w:val="18"/>
    <w:semiHidden/>
    <w:rsid w:val="0087774F"/>
    <w:rPr>
      <w:rFonts w:asciiTheme="majorHAnsi" w:eastAsiaTheme="majorEastAsia" w:hAnsiTheme="majorHAnsi" w:cstheme="majorBidi"/>
      <w:b/>
      <w:bCs/>
      <w:color w:val="002B4D" w:themeColor="accent1" w:themeShade="80"/>
      <w:sz w:val="24"/>
    </w:rPr>
  </w:style>
  <w:style w:type="character" w:customStyle="1" w:styleId="Heading8Char">
    <w:name w:val="Heading 8 Char"/>
    <w:basedOn w:val="DefaultParagraphFont"/>
    <w:link w:val="Heading8"/>
    <w:uiPriority w:val="18"/>
    <w:semiHidden/>
    <w:rsid w:val="00283D5F"/>
    <w:rPr>
      <w:rFonts w:asciiTheme="majorHAnsi" w:eastAsiaTheme="majorEastAsia" w:hAnsiTheme="majorHAnsi" w:cstheme="majorBidi"/>
      <w:b/>
      <w:bCs/>
      <w:color w:val="00579B" w:themeColor="text2"/>
      <w:sz w:val="24"/>
    </w:rPr>
  </w:style>
  <w:style w:type="character" w:customStyle="1" w:styleId="Heading9Char">
    <w:name w:val="Heading 9 Char"/>
    <w:basedOn w:val="DefaultParagraphFont"/>
    <w:link w:val="Heading9"/>
    <w:uiPriority w:val="18"/>
    <w:semiHidden/>
    <w:rsid w:val="00283D5F"/>
    <w:rPr>
      <w:rFonts w:asciiTheme="majorHAnsi" w:eastAsiaTheme="majorEastAsia" w:hAnsiTheme="majorHAnsi" w:cstheme="majorBidi"/>
      <w:b/>
      <w:bCs/>
      <w:i/>
      <w:iCs/>
      <w:color w:val="00579B" w:themeColor="text2"/>
      <w:sz w:val="24"/>
    </w:rPr>
  </w:style>
  <w:style w:type="paragraph" w:styleId="Title">
    <w:name w:val="Title"/>
    <w:basedOn w:val="Normal"/>
    <w:next w:val="Normal"/>
    <w:link w:val="TitleChar"/>
    <w:uiPriority w:val="19"/>
    <w:qFormat/>
    <w:rsid w:val="0087774F"/>
    <w:pPr>
      <w:spacing w:after="0" w:line="204" w:lineRule="auto"/>
      <w:contextualSpacing/>
    </w:pPr>
    <w:rPr>
      <w:rFonts w:ascii="Montserrat" w:eastAsiaTheme="majorEastAsia" w:hAnsi="Montserrat" w:cstheme="majorBidi"/>
      <w:b/>
      <w:caps/>
      <w:color w:val="00579B" w:themeColor="text2"/>
      <w:spacing w:val="-15"/>
      <w:sz w:val="72"/>
      <w:szCs w:val="72"/>
    </w:rPr>
  </w:style>
  <w:style w:type="character" w:customStyle="1" w:styleId="TitleChar">
    <w:name w:val="Title Char"/>
    <w:basedOn w:val="DefaultParagraphFont"/>
    <w:link w:val="Title"/>
    <w:uiPriority w:val="19"/>
    <w:rsid w:val="0087774F"/>
    <w:rPr>
      <w:rFonts w:ascii="Montserrat" w:eastAsiaTheme="majorEastAsia" w:hAnsi="Montserrat" w:cstheme="majorBidi"/>
      <w:b/>
      <w:caps/>
      <w:color w:val="00579B" w:themeColor="text2"/>
      <w:spacing w:val="-15"/>
      <w:sz w:val="72"/>
      <w:szCs w:val="72"/>
    </w:rPr>
  </w:style>
  <w:style w:type="paragraph" w:styleId="Subtitle">
    <w:name w:val="Subtitle"/>
    <w:basedOn w:val="Normal"/>
    <w:next w:val="Normal"/>
    <w:link w:val="SubtitleChar"/>
    <w:uiPriority w:val="19"/>
    <w:qFormat/>
    <w:rsid w:val="00C4040B"/>
    <w:pPr>
      <w:numPr>
        <w:ilvl w:val="1"/>
      </w:numPr>
      <w:spacing w:line="240" w:lineRule="auto"/>
    </w:pPr>
    <w:rPr>
      <w:rFonts w:asciiTheme="majorHAnsi" w:eastAsiaTheme="majorEastAsia" w:hAnsiTheme="majorHAnsi" w:cstheme="majorBidi"/>
      <w:sz w:val="36"/>
      <w:szCs w:val="28"/>
    </w:rPr>
  </w:style>
  <w:style w:type="character" w:customStyle="1" w:styleId="SubtitleChar">
    <w:name w:val="Subtitle Char"/>
    <w:basedOn w:val="DefaultParagraphFont"/>
    <w:link w:val="Subtitle"/>
    <w:uiPriority w:val="19"/>
    <w:rsid w:val="00C4040B"/>
    <w:rPr>
      <w:rFonts w:asciiTheme="majorHAnsi" w:eastAsiaTheme="majorEastAsia" w:hAnsiTheme="majorHAnsi" w:cstheme="majorBidi"/>
      <w:sz w:val="36"/>
      <w:szCs w:val="28"/>
    </w:rPr>
  </w:style>
  <w:style w:type="paragraph" w:styleId="Quote">
    <w:name w:val="Quote"/>
    <w:basedOn w:val="Normal"/>
    <w:next w:val="Normal"/>
    <w:link w:val="QuoteChar"/>
    <w:uiPriority w:val="9"/>
    <w:qFormat/>
    <w:rsid w:val="00E465A0"/>
    <w:pPr>
      <w:spacing w:before="120"/>
      <w:ind w:left="720"/>
    </w:pPr>
    <w:rPr>
      <w:color w:val="00579B" w:themeColor="text2"/>
      <w:szCs w:val="24"/>
    </w:rPr>
  </w:style>
  <w:style w:type="character" w:customStyle="1" w:styleId="QuoteChar">
    <w:name w:val="Quote Char"/>
    <w:basedOn w:val="DefaultParagraphFont"/>
    <w:link w:val="Quote"/>
    <w:uiPriority w:val="9"/>
    <w:rsid w:val="00E465A0"/>
    <w:rPr>
      <w:color w:val="00579B" w:themeColor="text2"/>
      <w:sz w:val="24"/>
      <w:szCs w:val="24"/>
    </w:rPr>
  </w:style>
  <w:style w:type="paragraph" w:styleId="ListParagraph">
    <w:name w:val="List Paragraph"/>
    <w:basedOn w:val="Normal"/>
    <w:uiPriority w:val="34"/>
    <w:qFormat/>
    <w:rsid w:val="00283D5F"/>
    <w:pPr>
      <w:ind w:left="720"/>
      <w:contextualSpacing/>
    </w:pPr>
  </w:style>
  <w:style w:type="character" w:styleId="IntenseEmphasis">
    <w:name w:val="Intense Emphasis"/>
    <w:basedOn w:val="DefaultParagraphFont"/>
    <w:uiPriority w:val="21"/>
    <w:rsid w:val="00E465A0"/>
    <w:rPr>
      <w:b/>
      <w:bCs/>
      <w:i/>
      <w:iCs/>
    </w:rPr>
  </w:style>
  <w:style w:type="paragraph" w:styleId="IntenseQuote">
    <w:name w:val="Intense Quote"/>
    <w:basedOn w:val="Normal"/>
    <w:next w:val="Normal"/>
    <w:link w:val="IntenseQuoteChar"/>
    <w:uiPriority w:val="30"/>
    <w:rsid w:val="00E465A0"/>
    <w:pPr>
      <w:spacing w:before="100" w:beforeAutospacing="1" w:after="240" w:line="240" w:lineRule="auto"/>
      <w:ind w:left="720"/>
      <w:jc w:val="center"/>
    </w:pPr>
    <w:rPr>
      <w:rFonts w:asciiTheme="majorHAnsi" w:eastAsiaTheme="majorEastAsia" w:hAnsiTheme="majorHAnsi" w:cstheme="majorBidi"/>
      <w:color w:val="00579B" w:themeColor="text2"/>
      <w:spacing w:val="-6"/>
      <w:sz w:val="32"/>
      <w:szCs w:val="32"/>
    </w:rPr>
  </w:style>
  <w:style w:type="character" w:customStyle="1" w:styleId="IntenseQuoteChar">
    <w:name w:val="Intense Quote Char"/>
    <w:basedOn w:val="DefaultParagraphFont"/>
    <w:link w:val="IntenseQuote"/>
    <w:uiPriority w:val="30"/>
    <w:rsid w:val="00E465A0"/>
    <w:rPr>
      <w:rFonts w:asciiTheme="majorHAnsi" w:eastAsiaTheme="majorEastAsia" w:hAnsiTheme="majorHAnsi" w:cstheme="majorBidi"/>
      <w:color w:val="00579B" w:themeColor="text2"/>
      <w:spacing w:val="-6"/>
      <w:sz w:val="32"/>
      <w:szCs w:val="32"/>
    </w:rPr>
  </w:style>
  <w:style w:type="character" w:styleId="IntenseReference">
    <w:name w:val="Intense Reference"/>
    <w:basedOn w:val="DefaultParagraphFont"/>
    <w:uiPriority w:val="32"/>
    <w:rsid w:val="00E465A0"/>
    <w:rPr>
      <w:b/>
      <w:bCs/>
      <w:smallCaps/>
      <w:color w:val="00579B" w:themeColor="text2"/>
      <w:u w:val="single"/>
    </w:rPr>
  </w:style>
  <w:style w:type="table" w:styleId="TableGrid">
    <w:name w:val="Table Grid"/>
    <w:basedOn w:val="TableNormal"/>
    <w:uiPriority w:val="39"/>
    <w:rsid w:val="0091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2"/>
    <w:next w:val="Normal"/>
    <w:link w:val="TOCHeadingChar"/>
    <w:uiPriority w:val="39"/>
    <w:unhideWhenUsed/>
    <w:qFormat/>
    <w:rsid w:val="00330057"/>
    <w:pPr>
      <w:outlineLvl w:val="9"/>
    </w:pPr>
  </w:style>
  <w:style w:type="paragraph" w:styleId="TOC2">
    <w:name w:val="toc 2"/>
    <w:basedOn w:val="Normal"/>
    <w:next w:val="Normal"/>
    <w:autoRedefine/>
    <w:uiPriority w:val="39"/>
    <w:unhideWhenUsed/>
    <w:rsid w:val="00E33688"/>
    <w:pPr>
      <w:tabs>
        <w:tab w:val="right" w:leader="dot" w:pos="9350"/>
      </w:tabs>
      <w:spacing w:after="100"/>
      <w:ind w:left="220"/>
    </w:pPr>
    <w:rPr>
      <w:rFonts w:cs="Times New Roman"/>
      <w:sz w:val="22"/>
    </w:rPr>
  </w:style>
  <w:style w:type="paragraph" w:styleId="TOC1">
    <w:name w:val="toc 1"/>
    <w:basedOn w:val="Normal"/>
    <w:next w:val="Normal"/>
    <w:autoRedefine/>
    <w:uiPriority w:val="39"/>
    <w:unhideWhenUsed/>
    <w:rsid w:val="006C6B4B"/>
    <w:pPr>
      <w:spacing w:after="100"/>
    </w:pPr>
    <w:rPr>
      <w:rFonts w:cs="Times New Roman"/>
      <w:sz w:val="22"/>
    </w:rPr>
  </w:style>
  <w:style w:type="paragraph" w:styleId="TOC3">
    <w:name w:val="toc 3"/>
    <w:basedOn w:val="Normal"/>
    <w:next w:val="Normal"/>
    <w:autoRedefine/>
    <w:uiPriority w:val="39"/>
    <w:unhideWhenUsed/>
    <w:rsid w:val="006C6B4B"/>
    <w:pPr>
      <w:spacing w:after="100"/>
      <w:ind w:left="440"/>
    </w:pPr>
    <w:rPr>
      <w:rFonts w:cs="Times New Roman"/>
      <w:sz w:val="22"/>
    </w:rPr>
  </w:style>
  <w:style w:type="character" w:styleId="Hyperlink">
    <w:name w:val="Hyperlink"/>
    <w:basedOn w:val="DefaultParagraphFont"/>
    <w:uiPriority w:val="99"/>
    <w:unhideWhenUsed/>
    <w:rsid w:val="00EF6278"/>
    <w:rPr>
      <w:color w:val="00579B" w:themeColor="hyperlink"/>
      <w:u w:val="single"/>
    </w:rPr>
  </w:style>
  <w:style w:type="paragraph" w:styleId="NoSpacing">
    <w:name w:val="No Spacing"/>
    <w:link w:val="NoSpacingChar"/>
    <w:uiPriority w:val="1"/>
    <w:qFormat/>
    <w:rsid w:val="00283D5F"/>
    <w:pPr>
      <w:spacing w:after="0" w:line="240" w:lineRule="auto"/>
    </w:pPr>
    <w:rPr>
      <w:sz w:val="24"/>
    </w:rPr>
  </w:style>
  <w:style w:type="paragraph" w:styleId="Header">
    <w:name w:val="header"/>
    <w:basedOn w:val="Normal"/>
    <w:link w:val="HeaderChar"/>
    <w:uiPriority w:val="99"/>
    <w:unhideWhenUsed/>
    <w:rsid w:val="00A13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64B"/>
  </w:style>
  <w:style w:type="paragraph" w:styleId="Footer">
    <w:name w:val="footer"/>
    <w:basedOn w:val="Normal"/>
    <w:link w:val="FooterChar"/>
    <w:uiPriority w:val="99"/>
    <w:unhideWhenUsed/>
    <w:rsid w:val="00A13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64B"/>
  </w:style>
  <w:style w:type="paragraph" w:customStyle="1" w:styleId="TableofContents">
    <w:name w:val="Table of Contents"/>
    <w:basedOn w:val="TOCHeading"/>
    <w:link w:val="TableofContentsChar"/>
    <w:rsid w:val="00E33282"/>
  </w:style>
  <w:style w:type="character" w:customStyle="1" w:styleId="TOCHeadingChar">
    <w:name w:val="TOC Heading Char"/>
    <w:basedOn w:val="Heading1Char"/>
    <w:link w:val="TOCHeading"/>
    <w:uiPriority w:val="39"/>
    <w:rsid w:val="00330057"/>
    <w:rPr>
      <w:rFonts w:ascii="Montserrat" w:eastAsiaTheme="majorEastAsia" w:hAnsi="Montserrat" w:cstheme="majorBidi"/>
      <w:b/>
      <w:bCs w:val="0"/>
      <w:caps w:val="0"/>
      <w:color w:val="00579B" w:themeColor="text2"/>
      <w:sz w:val="36"/>
      <w:szCs w:val="36"/>
    </w:rPr>
  </w:style>
  <w:style w:type="character" w:customStyle="1" w:styleId="TableofContentsChar">
    <w:name w:val="Table of Contents Char"/>
    <w:basedOn w:val="TOCHeadingChar"/>
    <w:link w:val="TableofContents"/>
    <w:rsid w:val="00E33282"/>
    <w:rPr>
      <w:rFonts w:asciiTheme="majorHAnsi" w:eastAsiaTheme="majorEastAsia" w:hAnsiTheme="majorHAnsi" w:cstheme="majorBidi"/>
      <w:b/>
      <w:bCs w:val="0"/>
      <w:caps w:val="0"/>
      <w:color w:val="000000" w:themeColor="text1"/>
      <w:spacing w:val="-15"/>
      <w:kern w:val="0"/>
      <w:sz w:val="32"/>
      <w:szCs w:val="32"/>
      <w14:ligatures w14:val="none"/>
    </w:rPr>
  </w:style>
  <w:style w:type="character" w:styleId="UnresolvedMention">
    <w:name w:val="Unresolved Mention"/>
    <w:basedOn w:val="DefaultParagraphFont"/>
    <w:uiPriority w:val="99"/>
    <w:semiHidden/>
    <w:unhideWhenUsed/>
    <w:rsid w:val="00F76C32"/>
    <w:rPr>
      <w:color w:val="605E5C"/>
      <w:shd w:val="clear" w:color="auto" w:fill="E1DFDD"/>
    </w:rPr>
  </w:style>
  <w:style w:type="character" w:styleId="CommentReference">
    <w:name w:val="annotation reference"/>
    <w:basedOn w:val="DefaultParagraphFont"/>
    <w:uiPriority w:val="99"/>
    <w:semiHidden/>
    <w:unhideWhenUsed/>
    <w:rsid w:val="006F193C"/>
    <w:rPr>
      <w:sz w:val="16"/>
      <w:szCs w:val="16"/>
    </w:rPr>
  </w:style>
  <w:style w:type="paragraph" w:styleId="CommentText">
    <w:name w:val="annotation text"/>
    <w:basedOn w:val="Normal"/>
    <w:link w:val="CommentTextChar"/>
    <w:uiPriority w:val="99"/>
    <w:unhideWhenUsed/>
    <w:rsid w:val="006F193C"/>
    <w:pPr>
      <w:spacing w:line="240" w:lineRule="auto"/>
    </w:pPr>
    <w:rPr>
      <w:sz w:val="20"/>
    </w:rPr>
  </w:style>
  <w:style w:type="character" w:customStyle="1" w:styleId="CommentTextChar">
    <w:name w:val="Comment Text Char"/>
    <w:basedOn w:val="DefaultParagraphFont"/>
    <w:link w:val="CommentText"/>
    <w:uiPriority w:val="99"/>
    <w:rsid w:val="006F193C"/>
    <w:rPr>
      <w:sz w:val="20"/>
      <w:szCs w:val="20"/>
    </w:rPr>
  </w:style>
  <w:style w:type="paragraph" w:styleId="CommentSubject">
    <w:name w:val="annotation subject"/>
    <w:basedOn w:val="CommentText"/>
    <w:next w:val="CommentText"/>
    <w:link w:val="CommentSubjectChar"/>
    <w:uiPriority w:val="99"/>
    <w:semiHidden/>
    <w:unhideWhenUsed/>
    <w:rsid w:val="006F193C"/>
    <w:rPr>
      <w:b/>
      <w:bCs/>
    </w:rPr>
  </w:style>
  <w:style w:type="character" w:customStyle="1" w:styleId="CommentSubjectChar">
    <w:name w:val="Comment Subject Char"/>
    <w:basedOn w:val="CommentTextChar"/>
    <w:link w:val="CommentSubject"/>
    <w:uiPriority w:val="99"/>
    <w:semiHidden/>
    <w:rsid w:val="006F193C"/>
    <w:rPr>
      <w:b/>
      <w:bCs/>
      <w:sz w:val="20"/>
      <w:szCs w:val="20"/>
    </w:rPr>
  </w:style>
  <w:style w:type="paragraph" w:styleId="Caption">
    <w:name w:val="caption"/>
    <w:aliases w:val="Figure"/>
    <w:basedOn w:val="Normal"/>
    <w:next w:val="Normal"/>
    <w:uiPriority w:val="35"/>
    <w:semiHidden/>
    <w:unhideWhenUsed/>
    <w:qFormat/>
    <w:rsid w:val="00283D5F"/>
    <w:pPr>
      <w:spacing w:line="240" w:lineRule="auto"/>
    </w:pPr>
    <w:rPr>
      <w:b/>
      <w:bCs/>
      <w:smallCaps/>
      <w:color w:val="595959" w:themeColor="text1" w:themeTint="A6"/>
      <w:spacing w:val="6"/>
    </w:rPr>
  </w:style>
  <w:style w:type="character" w:styleId="Strong">
    <w:name w:val="Strong"/>
    <w:basedOn w:val="DefaultParagraphFont"/>
    <w:uiPriority w:val="1"/>
    <w:qFormat/>
    <w:rsid w:val="00E465A0"/>
    <w:rPr>
      <w:b/>
      <w:bCs/>
    </w:rPr>
  </w:style>
  <w:style w:type="character" w:styleId="Emphasis">
    <w:name w:val="Emphasis"/>
    <w:basedOn w:val="DefaultParagraphFont"/>
    <w:uiPriority w:val="20"/>
    <w:rsid w:val="00E465A0"/>
    <w:rPr>
      <w:i/>
      <w:iCs/>
    </w:rPr>
  </w:style>
  <w:style w:type="character" w:customStyle="1" w:styleId="NoSpacingChar">
    <w:name w:val="No Spacing Char"/>
    <w:basedOn w:val="DefaultParagraphFont"/>
    <w:link w:val="NoSpacing"/>
    <w:uiPriority w:val="1"/>
    <w:rsid w:val="00283D5F"/>
    <w:rPr>
      <w:sz w:val="24"/>
    </w:rPr>
  </w:style>
  <w:style w:type="character" w:styleId="SubtleEmphasis">
    <w:name w:val="Subtle Emphasis"/>
    <w:basedOn w:val="DefaultParagraphFont"/>
    <w:uiPriority w:val="19"/>
    <w:rsid w:val="00E465A0"/>
    <w:rPr>
      <w:i/>
      <w:iCs/>
      <w:color w:val="595959" w:themeColor="text1" w:themeTint="A6"/>
    </w:rPr>
  </w:style>
  <w:style w:type="character" w:styleId="SubtleReference">
    <w:name w:val="Subtle Reference"/>
    <w:basedOn w:val="SubtleEmphasis"/>
    <w:uiPriority w:val="31"/>
    <w:qFormat/>
    <w:rsid w:val="00C4040B"/>
    <w:rPr>
      <w:rFonts w:asciiTheme="minorHAnsi" w:hAnsiTheme="minorHAnsi"/>
      <w:i/>
      <w:iCs/>
      <w:color w:val="00579B" w:themeColor="text2"/>
      <w:sz w:val="22"/>
      <w:szCs w:val="18"/>
    </w:rPr>
  </w:style>
  <w:style w:type="character" w:styleId="BookTitle">
    <w:name w:val="Book Title"/>
    <w:basedOn w:val="DefaultParagraphFont"/>
    <w:uiPriority w:val="33"/>
    <w:rsid w:val="00E465A0"/>
    <w:rPr>
      <w:b/>
      <w:bCs/>
      <w:smallCaps/>
      <w:spacing w:val="10"/>
    </w:rPr>
  </w:style>
  <w:style w:type="table" w:styleId="PlainTable3">
    <w:name w:val="Plain Table 3"/>
    <w:basedOn w:val="TableNormal"/>
    <w:uiPriority w:val="43"/>
    <w:rsid w:val="00B32A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07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E4825"/>
    <w:rPr>
      <w:rFonts w:ascii="Times New Roman" w:hAnsi="Times New Roman" w:cs="Times New Roman"/>
      <w:szCs w:val="24"/>
    </w:rPr>
  </w:style>
  <w:style w:type="paragraph" w:customStyle="1" w:styleId="HeaderShaded">
    <w:name w:val="Header Shaded"/>
    <w:basedOn w:val="Normal"/>
    <w:uiPriority w:val="99"/>
    <w:qFormat/>
    <w:rsid w:val="00562109"/>
    <w:pPr>
      <w:pBdr>
        <w:top w:val="single" w:sz="2" w:space="6" w:color="7E97AD"/>
        <w:left w:val="single" w:sz="2" w:space="20" w:color="7E97AD"/>
        <w:bottom w:val="single" w:sz="2" w:space="6" w:color="7E97AD"/>
        <w:right w:val="single" w:sz="2" w:space="20" w:color="7E97AD"/>
      </w:pBdr>
      <w:shd w:val="clear" w:color="auto" w:fill="7E97AD"/>
      <w:spacing w:before="40" w:after="0" w:line="240" w:lineRule="auto"/>
    </w:pPr>
    <w:rPr>
      <w:rFonts w:ascii="Calibri" w:eastAsia="Times New Roman" w:hAnsi="Calibri" w:cs="Times New Roman"/>
      <w:caps/>
      <w:color w:val="FFFFFF"/>
      <w:kern w:val="20"/>
      <w:sz w:val="40"/>
      <w:lang w:eastAsia="ja-JP"/>
    </w:rPr>
  </w:style>
  <w:style w:type="paragraph" w:styleId="BalloonText">
    <w:name w:val="Balloon Text"/>
    <w:basedOn w:val="Normal"/>
    <w:link w:val="BalloonTextChar"/>
    <w:uiPriority w:val="99"/>
    <w:semiHidden/>
    <w:unhideWhenUsed/>
    <w:rsid w:val="00F80E94"/>
    <w:pPr>
      <w:spacing w:before="40" w:after="0" w:line="240" w:lineRule="auto"/>
    </w:pPr>
    <w:rPr>
      <w:rFonts w:ascii="Tahoma" w:eastAsia="Cambria" w:hAnsi="Tahoma" w:cs="Times New Roman"/>
      <w:sz w:val="16"/>
      <w:lang w:val="x-none" w:eastAsia="x-none"/>
    </w:rPr>
  </w:style>
  <w:style w:type="character" w:customStyle="1" w:styleId="BalloonTextChar">
    <w:name w:val="Balloon Text Char"/>
    <w:basedOn w:val="DefaultParagraphFont"/>
    <w:link w:val="BalloonText"/>
    <w:uiPriority w:val="99"/>
    <w:semiHidden/>
    <w:rsid w:val="00F80E94"/>
    <w:rPr>
      <w:rFonts w:ascii="Tahoma" w:eastAsia="Cambria" w:hAnsi="Tahoma" w:cs="Times New Roman"/>
      <w:sz w:val="16"/>
      <w:lang w:val="x-none" w:eastAsia="x-none"/>
    </w:rPr>
  </w:style>
  <w:style w:type="character" w:styleId="PlaceholderText">
    <w:name w:val="Placeholder Text"/>
    <w:uiPriority w:val="99"/>
    <w:semiHidden/>
    <w:rsid w:val="00F80E94"/>
    <w:rPr>
      <w:color w:val="808080"/>
    </w:rPr>
  </w:style>
  <w:style w:type="paragraph" w:styleId="Bibliography">
    <w:name w:val="Bibliography"/>
    <w:basedOn w:val="Normal"/>
    <w:next w:val="Normal"/>
    <w:uiPriority w:val="37"/>
    <w:semiHidden/>
    <w:unhideWhenUsed/>
    <w:rsid w:val="00F80E94"/>
    <w:pPr>
      <w:spacing w:before="40" w:after="160" w:line="288" w:lineRule="auto"/>
    </w:pPr>
    <w:rPr>
      <w:rFonts w:ascii="Roboto" w:eastAsia="Cambria" w:hAnsi="Roboto" w:cs="Times New Roman"/>
      <w:kern w:val="20"/>
      <w:sz w:val="20"/>
      <w:lang w:eastAsia="ja-JP"/>
    </w:rPr>
  </w:style>
  <w:style w:type="paragraph" w:styleId="BlockText">
    <w:name w:val="Block Text"/>
    <w:basedOn w:val="Normal"/>
    <w:uiPriority w:val="99"/>
    <w:semiHidden/>
    <w:unhideWhenUsed/>
    <w:rsid w:val="00F80E94"/>
    <w:pPr>
      <w:pBdr>
        <w:top w:val="single" w:sz="2" w:space="10" w:color="7E97AD" w:frame="1"/>
        <w:left w:val="single" w:sz="2" w:space="10" w:color="7E97AD" w:frame="1"/>
        <w:bottom w:val="single" w:sz="2" w:space="10" w:color="7E97AD" w:frame="1"/>
        <w:right w:val="single" w:sz="2" w:space="10" w:color="7E97AD" w:frame="1"/>
      </w:pBdr>
      <w:spacing w:before="40" w:after="160" w:line="288" w:lineRule="auto"/>
      <w:ind w:left="1152" w:right="1152"/>
    </w:pPr>
    <w:rPr>
      <w:rFonts w:ascii="Roboto" w:eastAsia="Cambria" w:hAnsi="Roboto" w:cs="Times New Roman"/>
      <w:i/>
      <w:iCs/>
      <w:color w:val="7E97AD"/>
      <w:kern w:val="20"/>
      <w:sz w:val="20"/>
      <w:lang w:eastAsia="ja-JP"/>
    </w:rPr>
  </w:style>
  <w:style w:type="paragraph" w:styleId="BodyText">
    <w:name w:val="Body Text"/>
    <w:basedOn w:val="Normal"/>
    <w:link w:val="BodyTextChar"/>
    <w:uiPriority w:val="1"/>
    <w:unhideWhenUsed/>
    <w:qFormat/>
    <w:rsid w:val="00F80E94"/>
    <w:pPr>
      <w:spacing w:before="40" w:line="288" w:lineRule="auto"/>
    </w:pPr>
    <w:rPr>
      <w:rFonts w:ascii="Roboto" w:eastAsia="Cambria" w:hAnsi="Roboto" w:cs="Times New Roman"/>
      <w:kern w:val="20"/>
      <w:sz w:val="20"/>
      <w:lang w:eastAsia="ja-JP"/>
    </w:rPr>
  </w:style>
  <w:style w:type="character" w:customStyle="1" w:styleId="BodyTextChar">
    <w:name w:val="Body Text Char"/>
    <w:basedOn w:val="DefaultParagraphFont"/>
    <w:link w:val="BodyText"/>
    <w:uiPriority w:val="1"/>
    <w:rsid w:val="00F80E94"/>
    <w:rPr>
      <w:rFonts w:ascii="Roboto" w:eastAsia="Cambria" w:hAnsi="Roboto" w:cs="Times New Roman"/>
      <w:kern w:val="20"/>
      <w:lang w:eastAsia="ja-JP"/>
    </w:rPr>
  </w:style>
  <w:style w:type="paragraph" w:styleId="BodyText2">
    <w:name w:val="Body Text 2"/>
    <w:basedOn w:val="Normal"/>
    <w:link w:val="BodyText2Char"/>
    <w:unhideWhenUsed/>
    <w:rsid w:val="00F80E94"/>
    <w:pPr>
      <w:spacing w:before="40" w:line="480" w:lineRule="auto"/>
    </w:pPr>
    <w:rPr>
      <w:rFonts w:ascii="Roboto" w:eastAsia="Cambria" w:hAnsi="Roboto" w:cs="Times New Roman"/>
      <w:kern w:val="20"/>
      <w:sz w:val="20"/>
      <w:lang w:eastAsia="ja-JP"/>
    </w:rPr>
  </w:style>
  <w:style w:type="character" w:customStyle="1" w:styleId="BodyText2Char">
    <w:name w:val="Body Text 2 Char"/>
    <w:basedOn w:val="DefaultParagraphFont"/>
    <w:link w:val="BodyText2"/>
    <w:rsid w:val="00F80E94"/>
    <w:rPr>
      <w:rFonts w:ascii="Roboto" w:eastAsia="Cambria" w:hAnsi="Roboto" w:cs="Times New Roman"/>
      <w:kern w:val="20"/>
      <w:lang w:eastAsia="ja-JP"/>
    </w:rPr>
  </w:style>
  <w:style w:type="paragraph" w:styleId="BodyText3">
    <w:name w:val="Body Text 3"/>
    <w:basedOn w:val="Normal"/>
    <w:link w:val="BodyText3Char"/>
    <w:uiPriority w:val="99"/>
    <w:semiHidden/>
    <w:unhideWhenUsed/>
    <w:rsid w:val="00F80E94"/>
    <w:pPr>
      <w:spacing w:before="40" w:line="288" w:lineRule="auto"/>
    </w:pPr>
    <w:rPr>
      <w:rFonts w:ascii="Cambria" w:eastAsia="Cambria" w:hAnsi="Cambria" w:cs="Times New Roman"/>
      <w:sz w:val="16"/>
      <w:lang w:val="x-none" w:eastAsia="x-none"/>
    </w:rPr>
  </w:style>
  <w:style w:type="character" w:customStyle="1" w:styleId="BodyText3Char">
    <w:name w:val="Body Text 3 Char"/>
    <w:basedOn w:val="DefaultParagraphFont"/>
    <w:link w:val="BodyText3"/>
    <w:uiPriority w:val="99"/>
    <w:semiHidden/>
    <w:rsid w:val="00F80E94"/>
    <w:rPr>
      <w:rFonts w:ascii="Cambria" w:eastAsia="Cambria" w:hAnsi="Cambria" w:cs="Times New Roman"/>
      <w:sz w:val="16"/>
      <w:lang w:val="x-none" w:eastAsia="x-none"/>
    </w:rPr>
  </w:style>
  <w:style w:type="paragraph" w:styleId="BodyTextFirstIndent">
    <w:name w:val="Body Text First Indent"/>
    <w:basedOn w:val="BodyText"/>
    <w:link w:val="BodyTextFirstIndentChar"/>
    <w:uiPriority w:val="99"/>
    <w:semiHidden/>
    <w:unhideWhenUsed/>
    <w:rsid w:val="00F80E94"/>
    <w:pPr>
      <w:spacing w:after="200"/>
      <w:ind w:firstLine="360"/>
    </w:pPr>
  </w:style>
  <w:style w:type="character" w:customStyle="1" w:styleId="BodyTextFirstIndentChar">
    <w:name w:val="Body Text First Indent Char"/>
    <w:basedOn w:val="BodyTextChar"/>
    <w:link w:val="BodyTextFirstIndent"/>
    <w:uiPriority w:val="99"/>
    <w:semiHidden/>
    <w:rsid w:val="00F80E94"/>
    <w:rPr>
      <w:rFonts w:ascii="Roboto" w:eastAsia="Cambria" w:hAnsi="Roboto" w:cs="Times New Roman"/>
      <w:kern w:val="20"/>
      <w:lang w:eastAsia="ja-JP"/>
    </w:rPr>
  </w:style>
  <w:style w:type="paragraph" w:styleId="BodyTextIndent">
    <w:name w:val="Body Text Indent"/>
    <w:basedOn w:val="Normal"/>
    <w:link w:val="BodyTextIndentChar"/>
    <w:uiPriority w:val="99"/>
    <w:semiHidden/>
    <w:unhideWhenUsed/>
    <w:rsid w:val="00F80E94"/>
    <w:pPr>
      <w:spacing w:before="40" w:line="288" w:lineRule="auto"/>
      <w:ind w:left="360"/>
    </w:pPr>
    <w:rPr>
      <w:rFonts w:ascii="Roboto" w:eastAsia="Cambria" w:hAnsi="Roboto" w:cs="Times New Roman"/>
      <w:kern w:val="20"/>
      <w:sz w:val="20"/>
      <w:lang w:eastAsia="ja-JP"/>
    </w:rPr>
  </w:style>
  <w:style w:type="character" w:customStyle="1" w:styleId="BodyTextIndentChar">
    <w:name w:val="Body Text Indent Char"/>
    <w:basedOn w:val="DefaultParagraphFont"/>
    <w:link w:val="BodyTextIndent"/>
    <w:uiPriority w:val="99"/>
    <w:semiHidden/>
    <w:rsid w:val="00F80E94"/>
    <w:rPr>
      <w:rFonts w:ascii="Roboto" w:eastAsia="Cambria" w:hAnsi="Roboto" w:cs="Times New Roman"/>
      <w:kern w:val="20"/>
      <w:lang w:eastAsia="ja-JP"/>
    </w:rPr>
  </w:style>
  <w:style w:type="paragraph" w:styleId="BodyTextFirstIndent2">
    <w:name w:val="Body Text First Indent 2"/>
    <w:basedOn w:val="BodyTextIndent"/>
    <w:link w:val="BodyTextFirstIndent2Char"/>
    <w:uiPriority w:val="99"/>
    <w:semiHidden/>
    <w:unhideWhenUsed/>
    <w:rsid w:val="00F80E94"/>
    <w:pPr>
      <w:spacing w:after="200"/>
      <w:ind w:firstLine="360"/>
    </w:pPr>
  </w:style>
  <w:style w:type="character" w:customStyle="1" w:styleId="BodyTextFirstIndent2Char">
    <w:name w:val="Body Text First Indent 2 Char"/>
    <w:basedOn w:val="BodyTextIndentChar"/>
    <w:link w:val="BodyTextFirstIndent2"/>
    <w:uiPriority w:val="99"/>
    <w:semiHidden/>
    <w:rsid w:val="00F80E94"/>
    <w:rPr>
      <w:rFonts w:ascii="Roboto" w:eastAsia="Cambria" w:hAnsi="Roboto" w:cs="Times New Roman"/>
      <w:kern w:val="20"/>
      <w:lang w:eastAsia="ja-JP"/>
    </w:rPr>
  </w:style>
  <w:style w:type="paragraph" w:styleId="BodyTextIndent2">
    <w:name w:val="Body Text Indent 2"/>
    <w:basedOn w:val="Normal"/>
    <w:link w:val="BodyTextIndent2Char"/>
    <w:uiPriority w:val="99"/>
    <w:semiHidden/>
    <w:unhideWhenUsed/>
    <w:rsid w:val="00F80E94"/>
    <w:pPr>
      <w:spacing w:before="40" w:line="480" w:lineRule="auto"/>
      <w:ind w:left="360"/>
    </w:pPr>
    <w:rPr>
      <w:rFonts w:ascii="Roboto" w:eastAsia="Cambria" w:hAnsi="Roboto" w:cs="Times New Roman"/>
      <w:kern w:val="20"/>
      <w:sz w:val="20"/>
      <w:lang w:eastAsia="ja-JP"/>
    </w:rPr>
  </w:style>
  <w:style w:type="character" w:customStyle="1" w:styleId="BodyTextIndent2Char">
    <w:name w:val="Body Text Indent 2 Char"/>
    <w:basedOn w:val="DefaultParagraphFont"/>
    <w:link w:val="BodyTextIndent2"/>
    <w:uiPriority w:val="99"/>
    <w:semiHidden/>
    <w:rsid w:val="00F80E94"/>
    <w:rPr>
      <w:rFonts w:ascii="Roboto" w:eastAsia="Cambria" w:hAnsi="Roboto" w:cs="Times New Roman"/>
      <w:kern w:val="20"/>
      <w:lang w:eastAsia="ja-JP"/>
    </w:rPr>
  </w:style>
  <w:style w:type="paragraph" w:styleId="BodyTextIndent3">
    <w:name w:val="Body Text Indent 3"/>
    <w:basedOn w:val="Normal"/>
    <w:link w:val="BodyTextIndent3Char"/>
    <w:uiPriority w:val="99"/>
    <w:semiHidden/>
    <w:unhideWhenUsed/>
    <w:rsid w:val="00F80E94"/>
    <w:pPr>
      <w:spacing w:before="40" w:line="288" w:lineRule="auto"/>
      <w:ind w:left="360"/>
    </w:pPr>
    <w:rPr>
      <w:rFonts w:ascii="Cambria" w:eastAsia="Cambria" w:hAnsi="Cambria" w:cs="Times New Roman"/>
      <w:sz w:val="16"/>
      <w:lang w:val="x-none" w:eastAsia="x-none"/>
    </w:rPr>
  </w:style>
  <w:style w:type="character" w:customStyle="1" w:styleId="BodyTextIndent3Char">
    <w:name w:val="Body Text Indent 3 Char"/>
    <w:basedOn w:val="DefaultParagraphFont"/>
    <w:link w:val="BodyTextIndent3"/>
    <w:uiPriority w:val="99"/>
    <w:semiHidden/>
    <w:rsid w:val="00F80E94"/>
    <w:rPr>
      <w:rFonts w:ascii="Cambria" w:eastAsia="Cambria" w:hAnsi="Cambria" w:cs="Times New Roman"/>
      <w:sz w:val="16"/>
      <w:lang w:val="x-none" w:eastAsia="x-none"/>
    </w:rPr>
  </w:style>
  <w:style w:type="paragraph" w:styleId="Closing">
    <w:name w:val="Closing"/>
    <w:basedOn w:val="Normal"/>
    <w:link w:val="ClosingChar"/>
    <w:uiPriority w:val="99"/>
    <w:semiHidden/>
    <w:unhideWhenUsed/>
    <w:rsid w:val="00F80E94"/>
    <w:pPr>
      <w:spacing w:before="40" w:after="0" w:line="240" w:lineRule="auto"/>
      <w:ind w:left="4320"/>
    </w:pPr>
    <w:rPr>
      <w:rFonts w:ascii="Roboto" w:eastAsia="Cambria" w:hAnsi="Roboto" w:cs="Times New Roman"/>
      <w:kern w:val="20"/>
      <w:sz w:val="20"/>
      <w:lang w:eastAsia="ja-JP"/>
    </w:rPr>
  </w:style>
  <w:style w:type="character" w:customStyle="1" w:styleId="ClosingChar">
    <w:name w:val="Closing Char"/>
    <w:basedOn w:val="DefaultParagraphFont"/>
    <w:link w:val="Closing"/>
    <w:uiPriority w:val="99"/>
    <w:semiHidden/>
    <w:rsid w:val="00F80E94"/>
    <w:rPr>
      <w:rFonts w:ascii="Roboto" w:eastAsia="Cambria" w:hAnsi="Roboto" w:cs="Times New Roman"/>
      <w:kern w:val="20"/>
      <w:lang w:eastAsia="ja-JP"/>
    </w:rPr>
  </w:style>
  <w:style w:type="table" w:styleId="ColorfulGrid">
    <w:name w:val="Colorful Grid"/>
    <w:basedOn w:val="TableNormal"/>
    <w:uiPriority w:val="73"/>
    <w:rsid w:val="00F80E94"/>
    <w:pPr>
      <w:spacing w:after="0" w:line="240" w:lineRule="auto"/>
    </w:pPr>
    <w:rPr>
      <w:rFonts w:ascii="Cambria" w:eastAsia="Cambria" w:hAnsi="Cambria"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80E94"/>
    <w:pPr>
      <w:spacing w:after="0" w:line="240" w:lineRule="auto"/>
    </w:pPr>
    <w:rPr>
      <w:rFonts w:ascii="Cambria" w:eastAsia="Cambria" w:hAnsi="Cambria" w:cs="Times New Roman"/>
      <w:color w:val="000000"/>
    </w:rPr>
    <w:tblPr>
      <w:tblStyleRowBandSize w:val="1"/>
      <w:tblStyleColBandSize w:val="1"/>
      <w:tblBorders>
        <w:insideH w:val="single" w:sz="4" w:space="0" w:color="FFFFFF"/>
      </w:tblBorders>
    </w:tblPr>
    <w:tcPr>
      <w:shd w:val="clear" w:color="auto" w:fill="E5EAEE"/>
    </w:tcPr>
    <w:tblStylePr w:type="firstRow">
      <w:rPr>
        <w:b/>
        <w:bCs/>
      </w:rPr>
      <w:tblPr/>
      <w:tcPr>
        <w:shd w:val="clear" w:color="auto" w:fill="CBD5DE"/>
      </w:tcPr>
    </w:tblStylePr>
    <w:tblStylePr w:type="lastRow">
      <w:rPr>
        <w:b/>
        <w:bCs/>
        <w:color w:val="000000"/>
      </w:rPr>
      <w:tblPr/>
      <w:tcPr>
        <w:shd w:val="clear" w:color="auto" w:fill="CBD5DE"/>
      </w:tcPr>
    </w:tblStylePr>
    <w:tblStylePr w:type="firstCol">
      <w:rPr>
        <w:color w:val="FFFFFF"/>
      </w:rPr>
      <w:tblPr/>
      <w:tcPr>
        <w:shd w:val="clear" w:color="auto" w:fill="577188"/>
      </w:tcPr>
    </w:tblStylePr>
    <w:tblStylePr w:type="lastCol">
      <w:rPr>
        <w:color w:val="FFFFFF"/>
      </w:rPr>
      <w:tblPr/>
      <w:tcPr>
        <w:shd w:val="clear" w:color="auto" w:fill="577188"/>
      </w:tcPr>
    </w:tblStylePr>
    <w:tblStylePr w:type="band1Vert">
      <w:tblPr/>
      <w:tcPr>
        <w:shd w:val="clear" w:color="auto" w:fill="BECBD6"/>
      </w:tcPr>
    </w:tblStylePr>
    <w:tblStylePr w:type="band1Horz">
      <w:tblPr/>
      <w:tcPr>
        <w:shd w:val="clear" w:color="auto" w:fill="BECBD6"/>
      </w:tcPr>
    </w:tblStylePr>
  </w:style>
  <w:style w:type="table" w:styleId="ColorfulGrid-Accent2">
    <w:name w:val="Colorful Grid Accent 2"/>
    <w:basedOn w:val="TableNormal"/>
    <w:uiPriority w:val="73"/>
    <w:rsid w:val="00F80E94"/>
    <w:pPr>
      <w:spacing w:after="0" w:line="240" w:lineRule="auto"/>
    </w:pPr>
    <w:rPr>
      <w:rFonts w:ascii="Cambria" w:eastAsia="Cambria" w:hAnsi="Cambria" w:cs="Times New Roman"/>
      <w:color w:val="000000"/>
    </w:rPr>
    <w:tblPr>
      <w:tblStyleRowBandSize w:val="1"/>
      <w:tblStyleColBandSize w:val="1"/>
      <w:tblBorders>
        <w:insideH w:val="single" w:sz="4" w:space="0" w:color="FFFFFF"/>
      </w:tblBorders>
    </w:tblPr>
    <w:tcPr>
      <w:shd w:val="clear" w:color="auto" w:fill="F4E8DF"/>
    </w:tcPr>
    <w:tblStylePr w:type="firstRow">
      <w:rPr>
        <w:b/>
        <w:bCs/>
      </w:rPr>
      <w:tblPr/>
      <w:tcPr>
        <w:shd w:val="clear" w:color="auto" w:fill="EAD1BF"/>
      </w:tcPr>
    </w:tblStylePr>
    <w:tblStylePr w:type="lastRow">
      <w:rPr>
        <w:b/>
        <w:bCs/>
        <w:color w:val="000000"/>
      </w:rPr>
      <w:tblPr/>
      <w:tcPr>
        <w:shd w:val="clear" w:color="auto" w:fill="EAD1BF"/>
      </w:tcPr>
    </w:tblStylePr>
    <w:tblStylePr w:type="firstCol">
      <w:rPr>
        <w:color w:val="FFFFFF"/>
      </w:rPr>
      <w:tblPr/>
      <w:tcPr>
        <w:shd w:val="clear" w:color="auto" w:fill="AA6736"/>
      </w:tcPr>
    </w:tblStylePr>
    <w:tblStylePr w:type="lastCol">
      <w:rPr>
        <w:color w:val="FFFFFF"/>
      </w:rPr>
      <w:tblPr/>
      <w:tcPr>
        <w:shd w:val="clear" w:color="auto" w:fill="AA6736"/>
      </w:tcPr>
    </w:tblStylePr>
    <w:tblStylePr w:type="band1Vert">
      <w:tblPr/>
      <w:tcPr>
        <w:shd w:val="clear" w:color="auto" w:fill="E5C6AF"/>
      </w:tcPr>
    </w:tblStylePr>
    <w:tblStylePr w:type="band1Horz">
      <w:tblPr/>
      <w:tcPr>
        <w:shd w:val="clear" w:color="auto" w:fill="E5C6AF"/>
      </w:tcPr>
    </w:tblStylePr>
  </w:style>
  <w:style w:type="table" w:styleId="ColorfulGrid-Accent3">
    <w:name w:val="Colorful Grid Accent 3"/>
    <w:basedOn w:val="TableNormal"/>
    <w:uiPriority w:val="73"/>
    <w:rsid w:val="00F80E94"/>
    <w:pPr>
      <w:spacing w:after="0" w:line="240" w:lineRule="auto"/>
    </w:pPr>
    <w:rPr>
      <w:rFonts w:ascii="Cambria" w:eastAsia="Cambria" w:hAnsi="Cambria" w:cs="Times New Roman"/>
      <w:color w:val="000000"/>
    </w:rPr>
    <w:tblPr>
      <w:tblStyleRowBandSize w:val="1"/>
      <w:tblStyleColBandSize w:val="1"/>
      <w:tblBorders>
        <w:insideH w:val="single" w:sz="4" w:space="0" w:color="FFFFFF"/>
      </w:tblBorders>
    </w:tblPr>
    <w:tcPr>
      <w:shd w:val="clear" w:color="auto" w:fill="E5E0DE"/>
    </w:tcPr>
    <w:tblStylePr w:type="firstRow">
      <w:rPr>
        <w:b/>
        <w:bCs/>
      </w:rPr>
      <w:tblPr/>
      <w:tcPr>
        <w:shd w:val="clear" w:color="auto" w:fill="CBC2BD"/>
      </w:tcPr>
    </w:tblStylePr>
    <w:tblStylePr w:type="lastRow">
      <w:rPr>
        <w:b/>
        <w:bCs/>
        <w:color w:val="000000"/>
      </w:rPr>
      <w:tblPr/>
      <w:tcPr>
        <w:shd w:val="clear" w:color="auto" w:fill="CBC2BD"/>
      </w:tcPr>
    </w:tblStylePr>
    <w:tblStylePr w:type="firstCol">
      <w:rPr>
        <w:color w:val="FFFFFF"/>
      </w:rPr>
      <w:tblPr/>
      <w:tcPr>
        <w:shd w:val="clear" w:color="auto" w:fill="5B4F47"/>
      </w:tcPr>
    </w:tblStylePr>
    <w:tblStylePr w:type="lastCol">
      <w:rPr>
        <w:color w:val="FFFFFF"/>
      </w:rPr>
      <w:tblPr/>
      <w:tcPr>
        <w:shd w:val="clear" w:color="auto" w:fill="5B4F47"/>
      </w:tcPr>
    </w:tblStylePr>
    <w:tblStylePr w:type="band1Vert">
      <w:tblPr/>
      <w:tcPr>
        <w:shd w:val="clear" w:color="auto" w:fill="BEB4AD"/>
      </w:tcPr>
    </w:tblStylePr>
    <w:tblStylePr w:type="band1Horz">
      <w:tblPr/>
      <w:tcPr>
        <w:shd w:val="clear" w:color="auto" w:fill="BEB4AD"/>
      </w:tcPr>
    </w:tblStylePr>
  </w:style>
  <w:style w:type="table" w:styleId="ColorfulGrid-Accent4">
    <w:name w:val="Colorful Grid Accent 4"/>
    <w:basedOn w:val="TableNormal"/>
    <w:uiPriority w:val="73"/>
    <w:rsid w:val="00F80E94"/>
    <w:pPr>
      <w:spacing w:after="0" w:line="240" w:lineRule="auto"/>
    </w:pPr>
    <w:rPr>
      <w:rFonts w:ascii="Cambria" w:eastAsia="Cambria" w:hAnsi="Cambria" w:cs="Times New Roman"/>
      <w:color w:val="000000"/>
    </w:rPr>
    <w:tblPr>
      <w:tblStyleRowBandSize w:val="1"/>
      <w:tblStyleColBandSize w:val="1"/>
      <w:tblBorders>
        <w:insideH w:val="single" w:sz="4" w:space="0" w:color="FFFFFF"/>
      </w:tblBorders>
    </w:tblPr>
    <w:tcPr>
      <w:shd w:val="clear" w:color="auto" w:fill="F0E9E1"/>
    </w:tcPr>
    <w:tblStylePr w:type="firstRow">
      <w:rPr>
        <w:b/>
        <w:bCs/>
      </w:rPr>
      <w:tblPr/>
      <w:tcPr>
        <w:shd w:val="clear" w:color="auto" w:fill="E1D3C4"/>
      </w:tcPr>
    </w:tblStylePr>
    <w:tblStylePr w:type="lastRow">
      <w:rPr>
        <w:b/>
        <w:bCs/>
        <w:color w:val="000000"/>
      </w:rPr>
      <w:tblPr/>
      <w:tcPr>
        <w:shd w:val="clear" w:color="auto" w:fill="E1D3C4"/>
      </w:tcPr>
    </w:tblStylePr>
    <w:tblStylePr w:type="firstCol">
      <w:rPr>
        <w:color w:val="FFFFFF"/>
      </w:rPr>
      <w:tblPr/>
      <w:tcPr>
        <w:shd w:val="clear" w:color="auto" w:fill="8E6E49"/>
      </w:tcPr>
    </w:tblStylePr>
    <w:tblStylePr w:type="lastCol">
      <w:rPr>
        <w:color w:val="FFFFFF"/>
      </w:rPr>
      <w:tblPr/>
      <w:tcPr>
        <w:shd w:val="clear" w:color="auto" w:fill="8E6E49"/>
      </w:tcPr>
    </w:tblStylePr>
    <w:tblStylePr w:type="band1Vert">
      <w:tblPr/>
      <w:tcPr>
        <w:shd w:val="clear" w:color="auto" w:fill="D9C9B6"/>
      </w:tcPr>
    </w:tblStylePr>
    <w:tblStylePr w:type="band1Horz">
      <w:tblPr/>
      <w:tcPr>
        <w:shd w:val="clear" w:color="auto" w:fill="D9C9B6"/>
      </w:tcPr>
    </w:tblStylePr>
  </w:style>
  <w:style w:type="table" w:styleId="ColorfulGrid-Accent5">
    <w:name w:val="Colorful Grid Accent 5"/>
    <w:basedOn w:val="TableNormal"/>
    <w:uiPriority w:val="73"/>
    <w:rsid w:val="00F80E94"/>
    <w:pPr>
      <w:spacing w:after="0" w:line="240" w:lineRule="auto"/>
    </w:pPr>
    <w:rPr>
      <w:rFonts w:ascii="Cambria" w:eastAsia="Cambria" w:hAnsi="Cambria" w:cs="Times New Roman"/>
      <w:color w:val="000000"/>
    </w:rPr>
    <w:tblPr>
      <w:tblStyleRowBandSize w:val="1"/>
      <w:tblStyleColBandSize w:val="1"/>
      <w:tblBorders>
        <w:insideH w:val="single" w:sz="4" w:space="0" w:color="FFFFFF"/>
      </w:tblBorders>
    </w:tblPr>
    <w:tcPr>
      <w:shd w:val="clear" w:color="auto" w:fill="DFE4E5"/>
    </w:tcPr>
    <w:tblStylePr w:type="firstRow">
      <w:rPr>
        <w:b/>
        <w:bCs/>
      </w:rPr>
      <w:tblPr/>
      <w:tcPr>
        <w:shd w:val="clear" w:color="auto" w:fill="C1C9CB"/>
      </w:tcPr>
    </w:tblStylePr>
    <w:tblStylePr w:type="lastRow">
      <w:rPr>
        <w:b/>
        <w:bCs/>
        <w:color w:val="000000"/>
      </w:rPr>
      <w:tblPr/>
      <w:tcPr>
        <w:shd w:val="clear" w:color="auto" w:fill="C1C9CB"/>
      </w:tcPr>
    </w:tblStylePr>
    <w:tblStylePr w:type="firstCol">
      <w:rPr>
        <w:color w:val="FFFFFF"/>
      </w:rPr>
      <w:tblPr/>
      <w:tcPr>
        <w:shd w:val="clear" w:color="auto" w:fill="4D595B"/>
      </w:tcPr>
    </w:tblStylePr>
    <w:tblStylePr w:type="lastCol">
      <w:rPr>
        <w:color w:val="FFFFFF"/>
      </w:rPr>
      <w:tblPr/>
      <w:tcPr>
        <w:shd w:val="clear" w:color="auto" w:fill="4D595B"/>
      </w:tcPr>
    </w:tblStylePr>
    <w:tblStylePr w:type="band1Vert">
      <w:tblPr/>
      <w:tcPr>
        <w:shd w:val="clear" w:color="auto" w:fill="B1BCBE"/>
      </w:tcPr>
    </w:tblStylePr>
    <w:tblStylePr w:type="band1Horz">
      <w:tblPr/>
      <w:tcPr>
        <w:shd w:val="clear" w:color="auto" w:fill="B1BCBE"/>
      </w:tcPr>
    </w:tblStylePr>
  </w:style>
  <w:style w:type="table" w:styleId="ColorfulGrid-Accent6">
    <w:name w:val="Colorful Grid Accent 6"/>
    <w:basedOn w:val="TableNormal"/>
    <w:uiPriority w:val="73"/>
    <w:rsid w:val="00F80E94"/>
    <w:pPr>
      <w:spacing w:after="0" w:line="240" w:lineRule="auto"/>
    </w:pPr>
    <w:rPr>
      <w:rFonts w:ascii="Cambria" w:eastAsia="Cambria" w:hAnsi="Cambria" w:cs="Times New Roman"/>
      <w:color w:val="000000"/>
    </w:rPr>
    <w:tblPr>
      <w:tblStyleRowBandSize w:val="1"/>
      <w:tblStyleColBandSize w:val="1"/>
      <w:tblBorders>
        <w:insideH w:val="single" w:sz="4" w:space="0" w:color="FFFFFF"/>
      </w:tblBorders>
    </w:tblPr>
    <w:tcPr>
      <w:shd w:val="clear" w:color="auto" w:fill="EBE9E2"/>
    </w:tcPr>
    <w:tblStylePr w:type="firstRow">
      <w:rPr>
        <w:b/>
        <w:bCs/>
      </w:rPr>
      <w:tblPr/>
      <w:tcPr>
        <w:shd w:val="clear" w:color="auto" w:fill="D7D3C5"/>
      </w:tcPr>
    </w:tblStylePr>
    <w:tblStylePr w:type="lastRow">
      <w:rPr>
        <w:b/>
        <w:bCs/>
        <w:color w:val="000000"/>
      </w:rPr>
      <w:tblPr/>
      <w:tcPr>
        <w:shd w:val="clear" w:color="auto" w:fill="D7D3C5"/>
      </w:tcPr>
    </w:tblStylePr>
    <w:tblStylePr w:type="firstCol">
      <w:rPr>
        <w:color w:val="FFFFFF"/>
      </w:rPr>
      <w:tblPr/>
      <w:tcPr>
        <w:shd w:val="clear" w:color="auto" w:fill="776E51"/>
      </w:tcPr>
    </w:tblStylePr>
    <w:tblStylePr w:type="lastCol">
      <w:rPr>
        <w:color w:val="FFFFFF"/>
      </w:rPr>
      <w:tblPr/>
      <w:tcPr>
        <w:shd w:val="clear" w:color="auto" w:fill="776E51"/>
      </w:tcPr>
    </w:tblStylePr>
    <w:tblStylePr w:type="band1Vert">
      <w:tblPr/>
      <w:tcPr>
        <w:shd w:val="clear" w:color="auto" w:fill="CEC9B7"/>
      </w:tcPr>
    </w:tblStylePr>
    <w:tblStylePr w:type="band1Horz">
      <w:tblPr/>
      <w:tcPr>
        <w:shd w:val="clear" w:color="auto" w:fill="CEC9B7"/>
      </w:tcPr>
    </w:tblStylePr>
  </w:style>
  <w:style w:type="table" w:styleId="ColorfulList">
    <w:name w:val="Colorful List"/>
    <w:basedOn w:val="TableNormal"/>
    <w:uiPriority w:val="72"/>
    <w:rsid w:val="00F80E94"/>
    <w:pPr>
      <w:spacing w:after="0" w:line="240" w:lineRule="auto"/>
    </w:pPr>
    <w:rPr>
      <w:rFonts w:ascii="Cambria" w:eastAsia="Cambria" w:hAnsi="Cambria"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80E94"/>
    <w:pPr>
      <w:spacing w:after="0" w:line="240" w:lineRule="auto"/>
    </w:pPr>
    <w:rPr>
      <w:rFonts w:ascii="Cambria" w:eastAsia="Cambria" w:hAnsi="Cambria" w:cs="Times New Roman"/>
      <w:color w:val="000000"/>
    </w:rPr>
    <w:tblPr>
      <w:tblStyleRowBandSize w:val="1"/>
      <w:tblStyleColBandSize w:val="1"/>
    </w:tblPr>
    <w:tcPr>
      <w:shd w:val="clear" w:color="auto" w:fill="F2F4F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cPr>
    </w:tblStylePr>
    <w:tblStylePr w:type="band1Horz">
      <w:tblPr/>
      <w:tcPr>
        <w:shd w:val="clear" w:color="auto" w:fill="E5EAEE"/>
      </w:tcPr>
    </w:tblStylePr>
  </w:style>
  <w:style w:type="table" w:styleId="ColorfulList-Accent2">
    <w:name w:val="Colorful List Accent 2"/>
    <w:basedOn w:val="TableNormal"/>
    <w:uiPriority w:val="72"/>
    <w:rsid w:val="00F80E94"/>
    <w:pPr>
      <w:spacing w:after="0" w:line="240" w:lineRule="auto"/>
    </w:pPr>
    <w:rPr>
      <w:rFonts w:ascii="Cambria" w:eastAsia="Cambria" w:hAnsi="Cambria" w:cs="Times New Roman"/>
      <w:color w:val="000000"/>
    </w:rPr>
    <w:tblPr>
      <w:tblStyleRowBandSize w:val="1"/>
      <w:tblStyleColBandSize w:val="1"/>
    </w:tblPr>
    <w:tcPr>
      <w:shd w:val="clear" w:color="auto" w:fill="FAF3EF"/>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cPr>
    </w:tblStylePr>
    <w:tblStylePr w:type="band1Horz">
      <w:tblPr/>
      <w:tcPr>
        <w:shd w:val="clear" w:color="auto" w:fill="F4E8DF"/>
      </w:tcPr>
    </w:tblStylePr>
  </w:style>
  <w:style w:type="table" w:styleId="ColorfulList-Accent3">
    <w:name w:val="Colorful List Accent 3"/>
    <w:basedOn w:val="TableNormal"/>
    <w:uiPriority w:val="72"/>
    <w:rsid w:val="00F80E94"/>
    <w:pPr>
      <w:spacing w:after="0" w:line="240" w:lineRule="auto"/>
    </w:pPr>
    <w:rPr>
      <w:rFonts w:ascii="Cambria" w:eastAsia="Cambria" w:hAnsi="Cambria" w:cs="Times New Roman"/>
      <w:color w:val="000000"/>
    </w:rPr>
    <w:tblPr>
      <w:tblStyleRowBandSize w:val="1"/>
      <w:tblStyleColBandSize w:val="1"/>
    </w:tblPr>
    <w:tcPr>
      <w:shd w:val="clear" w:color="auto" w:fill="F2F0EE"/>
    </w:tcPr>
    <w:tblStylePr w:type="firstRow">
      <w:rPr>
        <w:b/>
        <w:bCs/>
        <w:color w:val="FFFFFF"/>
      </w:rPr>
      <w:tblPr/>
      <w:tcPr>
        <w:tcBorders>
          <w:bottom w:val="single" w:sz="12" w:space="0" w:color="FFFFFF"/>
        </w:tcBorders>
        <w:shd w:val="clear" w:color="auto" w:fill="98754E"/>
      </w:tcPr>
    </w:tblStylePr>
    <w:tblStylePr w:type="lastRow">
      <w:rPr>
        <w:b/>
        <w:bCs/>
        <w:color w:val="98754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cPr>
    </w:tblStylePr>
    <w:tblStylePr w:type="band1Horz">
      <w:tblPr/>
      <w:tcPr>
        <w:shd w:val="clear" w:color="auto" w:fill="E5E0DE"/>
      </w:tcPr>
    </w:tblStylePr>
  </w:style>
  <w:style w:type="table" w:styleId="ColorfulList-Accent4">
    <w:name w:val="Colorful List Accent 4"/>
    <w:basedOn w:val="TableNormal"/>
    <w:uiPriority w:val="72"/>
    <w:rsid w:val="00F80E94"/>
    <w:pPr>
      <w:spacing w:after="0" w:line="240" w:lineRule="auto"/>
    </w:pPr>
    <w:rPr>
      <w:rFonts w:ascii="Cambria" w:eastAsia="Cambria" w:hAnsi="Cambria" w:cs="Times New Roman"/>
      <w:color w:val="000000"/>
    </w:rPr>
    <w:tblPr>
      <w:tblStyleRowBandSize w:val="1"/>
      <w:tblStyleColBandSize w:val="1"/>
    </w:tblPr>
    <w:tcPr>
      <w:shd w:val="clear" w:color="auto" w:fill="F7F4F0"/>
    </w:tcPr>
    <w:tblStylePr w:type="firstRow">
      <w:rPr>
        <w:b/>
        <w:bCs/>
        <w:color w:val="FFFFFF"/>
      </w:rPr>
      <w:tblPr/>
      <w:tcPr>
        <w:tcBorders>
          <w:bottom w:val="single" w:sz="12" w:space="0" w:color="FFFFFF"/>
        </w:tcBorders>
        <w:shd w:val="clear" w:color="auto" w:fill="61544C"/>
      </w:tcPr>
    </w:tblStylePr>
    <w:tblStylePr w:type="lastRow">
      <w:rPr>
        <w:b/>
        <w:bCs/>
        <w:color w:val="6154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cPr>
    </w:tblStylePr>
    <w:tblStylePr w:type="band1Horz">
      <w:tblPr/>
      <w:tcPr>
        <w:shd w:val="clear" w:color="auto" w:fill="F0E9E1"/>
      </w:tcPr>
    </w:tblStylePr>
  </w:style>
  <w:style w:type="table" w:styleId="ColorfulList-Accent5">
    <w:name w:val="Colorful List Accent 5"/>
    <w:basedOn w:val="TableNormal"/>
    <w:uiPriority w:val="72"/>
    <w:rsid w:val="00F80E94"/>
    <w:pPr>
      <w:spacing w:after="0" w:line="240" w:lineRule="auto"/>
    </w:pPr>
    <w:rPr>
      <w:rFonts w:ascii="Cambria" w:eastAsia="Cambria" w:hAnsi="Cambria" w:cs="Times New Roman"/>
      <w:color w:val="000000"/>
    </w:rPr>
    <w:tblPr>
      <w:tblStyleRowBandSize w:val="1"/>
      <w:tblStyleColBandSize w:val="1"/>
    </w:tblPr>
    <w:tcPr>
      <w:shd w:val="clear" w:color="auto" w:fill="EFF1F2"/>
    </w:tcPr>
    <w:tblStylePr w:type="firstRow">
      <w:rPr>
        <w:b/>
        <w:bCs/>
        <w:color w:val="FFFFFF"/>
      </w:rPr>
      <w:tblPr/>
      <w:tcPr>
        <w:tcBorders>
          <w:bottom w:val="single" w:sz="12" w:space="0" w:color="FFFFFF"/>
        </w:tcBorders>
        <w:shd w:val="clear" w:color="auto" w:fill="7F7657"/>
      </w:tcPr>
    </w:tblStylePr>
    <w:tblStylePr w:type="lastRow">
      <w:rPr>
        <w:b/>
        <w:bCs/>
        <w:color w:val="7F765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cPr>
    </w:tblStylePr>
    <w:tblStylePr w:type="band1Horz">
      <w:tblPr/>
      <w:tcPr>
        <w:shd w:val="clear" w:color="auto" w:fill="DFE4E5"/>
      </w:tcPr>
    </w:tblStylePr>
  </w:style>
  <w:style w:type="table" w:styleId="ColorfulList-Accent6">
    <w:name w:val="Colorful List Accent 6"/>
    <w:basedOn w:val="TableNormal"/>
    <w:uiPriority w:val="72"/>
    <w:rsid w:val="00F80E94"/>
    <w:pPr>
      <w:spacing w:after="0" w:line="240" w:lineRule="auto"/>
    </w:pPr>
    <w:rPr>
      <w:rFonts w:ascii="Cambria" w:eastAsia="Cambria" w:hAnsi="Cambria" w:cs="Times New Roman"/>
      <w:color w:val="000000"/>
    </w:rPr>
    <w:tblPr>
      <w:tblStyleRowBandSize w:val="1"/>
      <w:tblStyleColBandSize w:val="1"/>
    </w:tblPr>
    <w:tcPr>
      <w:shd w:val="clear" w:color="auto" w:fill="F5F4F0"/>
    </w:tcPr>
    <w:tblStylePr w:type="firstRow">
      <w:rPr>
        <w:b/>
        <w:bCs/>
        <w:color w:val="FFFFFF"/>
      </w:rPr>
      <w:tblPr/>
      <w:tcPr>
        <w:tcBorders>
          <w:bottom w:val="single" w:sz="12" w:space="0" w:color="FFFFFF"/>
        </w:tcBorders>
        <w:shd w:val="clear" w:color="auto" w:fill="525F62"/>
      </w:tcPr>
    </w:tblStylePr>
    <w:tblStylePr w:type="lastRow">
      <w:rPr>
        <w:b/>
        <w:bCs/>
        <w:color w:val="525F6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cPr>
    </w:tblStylePr>
    <w:tblStylePr w:type="band1Horz">
      <w:tblPr/>
      <w:tcPr>
        <w:shd w:val="clear" w:color="auto" w:fill="EBE9E2"/>
      </w:tcPr>
    </w:tblStylePr>
  </w:style>
  <w:style w:type="table" w:styleId="ColorfulShading">
    <w:name w:val="Colorful Shading"/>
    <w:basedOn w:val="TableNormal"/>
    <w:uiPriority w:val="71"/>
    <w:rsid w:val="00F80E94"/>
    <w:pPr>
      <w:spacing w:after="0" w:line="240" w:lineRule="auto"/>
    </w:pPr>
    <w:rPr>
      <w:rFonts w:ascii="Cambria" w:eastAsia="Cambria" w:hAnsi="Cambria" w:cs="Times New Roman"/>
      <w:color w:val="000000"/>
    </w:rPr>
    <w:tblPr>
      <w:tblStyleRowBandSize w:val="1"/>
      <w:tblStyleColBandSize w:val="1"/>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F80E94"/>
    <w:pPr>
      <w:spacing w:after="0" w:line="240" w:lineRule="auto"/>
    </w:pPr>
    <w:rPr>
      <w:rFonts w:ascii="Cambria" w:eastAsia="Cambria" w:hAnsi="Cambria" w:cs="Times New Roman"/>
      <w:color w:val="000000"/>
    </w:rPr>
    <w:tblPr>
      <w:tblStyleRowBandSize w:val="1"/>
      <w:tblStyleColBandSize w:val="1"/>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Pr>
    <w:tcPr>
      <w:shd w:val="clear" w:color="auto" w:fill="F2F4F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55A6D"/>
      </w:tcPr>
    </w:tblStylePr>
    <w:tblStylePr w:type="firstCol">
      <w:rPr>
        <w:color w:val="FFFFFF"/>
      </w:rPr>
      <w:tblPr/>
      <w:tcPr>
        <w:tcBorders>
          <w:top w:val="nil"/>
          <w:left w:val="nil"/>
          <w:bottom w:val="nil"/>
          <w:right w:val="nil"/>
          <w:insideH w:val="single" w:sz="4" w:space="0" w:color="455A6D"/>
          <w:insideV w:val="nil"/>
        </w:tcBorders>
        <w:shd w:val="clear" w:color="auto" w:fill="455A6D"/>
      </w:tcPr>
    </w:tblStylePr>
    <w:tblStylePr w:type="lastCol">
      <w:rPr>
        <w:color w:val="FFFFFF"/>
      </w:rPr>
      <w:tblPr/>
      <w:tcPr>
        <w:tcBorders>
          <w:top w:val="nil"/>
          <w:left w:val="nil"/>
          <w:bottom w:val="nil"/>
          <w:right w:val="nil"/>
          <w:insideH w:val="nil"/>
          <w:insideV w:val="nil"/>
        </w:tcBorders>
        <w:shd w:val="clear" w:color="auto" w:fill="455A6D"/>
      </w:tcPr>
    </w:tblStylePr>
    <w:tblStylePr w:type="band1Vert">
      <w:tblPr/>
      <w:tcPr>
        <w:shd w:val="clear" w:color="auto" w:fill="CBD5DE"/>
      </w:tcPr>
    </w:tblStylePr>
    <w:tblStylePr w:type="band1Horz">
      <w:tblPr/>
      <w:tcPr>
        <w:shd w:val="clear" w:color="auto" w:fill="BECBD6"/>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80E94"/>
    <w:pPr>
      <w:spacing w:after="0" w:line="240" w:lineRule="auto"/>
    </w:pPr>
    <w:rPr>
      <w:rFonts w:ascii="Cambria" w:eastAsia="Cambria" w:hAnsi="Cambria" w:cs="Times New Roman"/>
      <w:color w:val="000000"/>
    </w:rPr>
    <w:tblPr>
      <w:tblStyleRowBandSize w:val="1"/>
      <w:tblStyleColBandSize w:val="1"/>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8522B"/>
      </w:tcPr>
    </w:tblStylePr>
    <w:tblStylePr w:type="firstCol">
      <w:rPr>
        <w:color w:val="FFFFFF"/>
      </w:rPr>
      <w:tblPr/>
      <w:tcPr>
        <w:tcBorders>
          <w:top w:val="nil"/>
          <w:left w:val="nil"/>
          <w:bottom w:val="nil"/>
          <w:right w:val="nil"/>
          <w:insideH w:val="single" w:sz="4" w:space="0" w:color="88522B"/>
          <w:insideV w:val="nil"/>
        </w:tcBorders>
        <w:shd w:val="clear" w:color="auto" w:fill="88522B"/>
      </w:tcPr>
    </w:tblStylePr>
    <w:tblStylePr w:type="lastCol">
      <w:rPr>
        <w:color w:val="FFFFFF"/>
      </w:rPr>
      <w:tblPr/>
      <w:tcPr>
        <w:tcBorders>
          <w:top w:val="nil"/>
          <w:left w:val="nil"/>
          <w:bottom w:val="nil"/>
          <w:right w:val="nil"/>
          <w:insideH w:val="nil"/>
          <w:insideV w:val="nil"/>
        </w:tcBorders>
        <w:shd w:val="clear" w:color="auto" w:fill="88522B"/>
      </w:tcPr>
    </w:tblStylePr>
    <w:tblStylePr w:type="band1Vert">
      <w:tblPr/>
      <w:tcPr>
        <w:shd w:val="clear" w:color="auto" w:fill="EAD1BF"/>
      </w:tcPr>
    </w:tblStylePr>
    <w:tblStylePr w:type="band1Horz">
      <w:tblPr/>
      <w:tcPr>
        <w:shd w:val="clear" w:color="auto" w:fill="E5C6AF"/>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80E94"/>
    <w:pPr>
      <w:spacing w:after="0" w:line="240" w:lineRule="auto"/>
    </w:pPr>
    <w:rPr>
      <w:rFonts w:ascii="Cambria" w:eastAsia="Cambria" w:hAnsi="Cambria" w:cs="Times New Roman"/>
      <w:color w:val="000000"/>
    </w:rPr>
    <w:tblPr>
      <w:tblStyleRowBandSize w:val="1"/>
      <w:tblStyleColBandSize w:val="1"/>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b/>
        <w:bCs/>
      </w:rPr>
      <w:tblPr/>
      <w:tcPr>
        <w:tcBorders>
          <w:top w:val="nil"/>
          <w:left w:val="nil"/>
          <w:bottom w:val="single" w:sz="24" w:space="0" w:color="B4936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93F39"/>
      </w:tcPr>
    </w:tblStylePr>
    <w:tblStylePr w:type="firstCol">
      <w:rPr>
        <w:color w:val="FFFFFF"/>
      </w:rPr>
      <w:tblPr/>
      <w:tcPr>
        <w:tcBorders>
          <w:top w:val="nil"/>
          <w:left w:val="nil"/>
          <w:bottom w:val="nil"/>
          <w:right w:val="nil"/>
          <w:insideH w:val="single" w:sz="4" w:space="0" w:color="493F39"/>
          <w:insideV w:val="nil"/>
        </w:tcBorders>
        <w:shd w:val="clear" w:color="auto" w:fill="493F39"/>
      </w:tcPr>
    </w:tblStylePr>
    <w:tblStylePr w:type="lastCol">
      <w:rPr>
        <w:color w:val="FFFFFF"/>
      </w:rPr>
      <w:tblPr/>
      <w:tcPr>
        <w:tcBorders>
          <w:top w:val="nil"/>
          <w:left w:val="nil"/>
          <w:bottom w:val="nil"/>
          <w:right w:val="nil"/>
          <w:insideH w:val="nil"/>
          <w:insideV w:val="nil"/>
        </w:tcBorders>
        <w:shd w:val="clear" w:color="auto" w:fill="493F39"/>
      </w:tcPr>
    </w:tblStylePr>
    <w:tblStylePr w:type="band1Vert">
      <w:tblPr/>
      <w:tcPr>
        <w:shd w:val="clear" w:color="auto" w:fill="CBC2BD"/>
      </w:tcPr>
    </w:tblStylePr>
    <w:tblStylePr w:type="band1Horz">
      <w:tblPr/>
      <w:tcPr>
        <w:shd w:val="clear" w:color="auto" w:fill="BEB4AD"/>
      </w:tcPr>
    </w:tblStylePr>
  </w:style>
  <w:style w:type="table" w:styleId="ColorfulShading-Accent4">
    <w:name w:val="Colorful Shading Accent 4"/>
    <w:basedOn w:val="TableNormal"/>
    <w:uiPriority w:val="71"/>
    <w:rsid w:val="00F80E94"/>
    <w:pPr>
      <w:spacing w:after="0" w:line="240" w:lineRule="auto"/>
    </w:pPr>
    <w:rPr>
      <w:rFonts w:ascii="Cambria" w:eastAsia="Cambria" w:hAnsi="Cambria" w:cs="Times New Roman"/>
      <w:color w:val="000000"/>
    </w:rPr>
    <w:tblPr>
      <w:tblStyleRowBandSize w:val="1"/>
      <w:tblStyleColBandSize w:val="1"/>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b/>
        <w:bCs/>
      </w:rPr>
      <w:tblPr/>
      <w:tcPr>
        <w:tcBorders>
          <w:top w:val="nil"/>
          <w:left w:val="nil"/>
          <w:bottom w:val="single" w:sz="24" w:space="0" w:color="7A6A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583B"/>
      </w:tcPr>
    </w:tblStylePr>
    <w:tblStylePr w:type="firstCol">
      <w:rPr>
        <w:color w:val="FFFFFF"/>
      </w:rPr>
      <w:tblPr/>
      <w:tcPr>
        <w:tcBorders>
          <w:top w:val="nil"/>
          <w:left w:val="nil"/>
          <w:bottom w:val="nil"/>
          <w:right w:val="nil"/>
          <w:insideH w:val="single" w:sz="4" w:space="0" w:color="72583B"/>
          <w:insideV w:val="nil"/>
        </w:tcBorders>
        <w:shd w:val="clear" w:color="auto" w:fill="72583B"/>
      </w:tcPr>
    </w:tblStylePr>
    <w:tblStylePr w:type="lastCol">
      <w:rPr>
        <w:color w:val="FFFFFF"/>
      </w:rPr>
      <w:tblPr/>
      <w:tcPr>
        <w:tcBorders>
          <w:top w:val="nil"/>
          <w:left w:val="nil"/>
          <w:bottom w:val="nil"/>
          <w:right w:val="nil"/>
          <w:insideH w:val="nil"/>
          <w:insideV w:val="nil"/>
        </w:tcBorders>
        <w:shd w:val="clear" w:color="auto" w:fill="72583B"/>
      </w:tcPr>
    </w:tblStylePr>
    <w:tblStylePr w:type="band1Vert">
      <w:tblPr/>
      <w:tcPr>
        <w:shd w:val="clear" w:color="auto" w:fill="E1D3C4"/>
      </w:tcPr>
    </w:tblStylePr>
    <w:tblStylePr w:type="band1Horz">
      <w:tblPr/>
      <w:tcPr>
        <w:shd w:val="clear" w:color="auto" w:fill="D9C9B6"/>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80E94"/>
    <w:pPr>
      <w:spacing w:after="0" w:line="240" w:lineRule="auto"/>
    </w:pPr>
    <w:rPr>
      <w:rFonts w:ascii="Cambria" w:eastAsia="Cambria" w:hAnsi="Cambria" w:cs="Times New Roman"/>
      <w:color w:val="000000"/>
    </w:rPr>
    <w:tblPr>
      <w:tblStyleRowBandSize w:val="1"/>
      <w:tblStyleColBandSize w:val="1"/>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Pr>
    <w:tcPr>
      <w:shd w:val="clear" w:color="auto" w:fill="EFF1F2"/>
    </w:tcPr>
    <w:tblStylePr w:type="firstRow">
      <w:rPr>
        <w:b/>
        <w:bCs/>
      </w:rPr>
      <w:tblPr/>
      <w:tcPr>
        <w:tcBorders>
          <w:top w:val="nil"/>
          <w:left w:val="nil"/>
          <w:bottom w:val="single" w:sz="24" w:space="0" w:color="9D93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4749"/>
      </w:tcPr>
    </w:tblStylePr>
    <w:tblStylePr w:type="firstCol">
      <w:rPr>
        <w:color w:val="FFFFFF"/>
      </w:rPr>
      <w:tblPr/>
      <w:tcPr>
        <w:tcBorders>
          <w:top w:val="nil"/>
          <w:left w:val="nil"/>
          <w:bottom w:val="nil"/>
          <w:right w:val="nil"/>
          <w:insideH w:val="single" w:sz="4" w:space="0" w:color="3D4749"/>
          <w:insideV w:val="nil"/>
        </w:tcBorders>
        <w:shd w:val="clear" w:color="auto" w:fill="3D4749"/>
      </w:tcPr>
    </w:tblStylePr>
    <w:tblStylePr w:type="lastCol">
      <w:rPr>
        <w:color w:val="FFFFFF"/>
      </w:rPr>
      <w:tblPr/>
      <w:tcPr>
        <w:tcBorders>
          <w:top w:val="nil"/>
          <w:left w:val="nil"/>
          <w:bottom w:val="nil"/>
          <w:right w:val="nil"/>
          <w:insideH w:val="nil"/>
          <w:insideV w:val="nil"/>
        </w:tcBorders>
        <w:shd w:val="clear" w:color="auto" w:fill="3D4749"/>
      </w:tcPr>
    </w:tblStylePr>
    <w:tblStylePr w:type="band1Vert">
      <w:tblPr/>
      <w:tcPr>
        <w:shd w:val="clear" w:color="auto" w:fill="C1C9CB"/>
      </w:tcPr>
    </w:tblStylePr>
    <w:tblStylePr w:type="band1Horz">
      <w:tblPr/>
      <w:tcPr>
        <w:shd w:val="clear" w:color="auto" w:fill="B1BCBE"/>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80E94"/>
    <w:pPr>
      <w:spacing w:after="0" w:line="240" w:lineRule="auto"/>
    </w:pPr>
    <w:rPr>
      <w:rFonts w:ascii="Cambria" w:eastAsia="Cambria" w:hAnsi="Cambria" w:cs="Times New Roman"/>
      <w:color w:val="000000"/>
    </w:rPr>
    <w:tblPr>
      <w:tblStyleRowBandSize w:val="1"/>
      <w:tblStyleColBandSize w:val="1"/>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b/>
        <w:bCs/>
      </w:rPr>
      <w:tblPr/>
      <w:tcPr>
        <w:tcBorders>
          <w:top w:val="nil"/>
          <w:left w:val="nil"/>
          <w:bottom w:val="single" w:sz="24" w:space="0" w:color="67787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5841"/>
      </w:tcPr>
    </w:tblStylePr>
    <w:tblStylePr w:type="firstCol">
      <w:rPr>
        <w:color w:val="FFFFFF"/>
      </w:rPr>
      <w:tblPr/>
      <w:tcPr>
        <w:tcBorders>
          <w:top w:val="nil"/>
          <w:left w:val="nil"/>
          <w:bottom w:val="nil"/>
          <w:right w:val="nil"/>
          <w:insideH w:val="single" w:sz="4" w:space="0" w:color="5F5841"/>
          <w:insideV w:val="nil"/>
        </w:tcBorders>
        <w:shd w:val="clear" w:color="auto" w:fill="5F5841"/>
      </w:tcPr>
    </w:tblStylePr>
    <w:tblStylePr w:type="lastCol">
      <w:rPr>
        <w:color w:val="FFFFFF"/>
      </w:rPr>
      <w:tblPr/>
      <w:tcPr>
        <w:tcBorders>
          <w:top w:val="nil"/>
          <w:left w:val="nil"/>
          <w:bottom w:val="nil"/>
          <w:right w:val="nil"/>
          <w:insideH w:val="nil"/>
          <w:insideV w:val="nil"/>
        </w:tcBorders>
        <w:shd w:val="clear" w:color="auto" w:fill="5F5841"/>
      </w:tcPr>
    </w:tblStylePr>
    <w:tblStylePr w:type="band1Vert">
      <w:tblPr/>
      <w:tcPr>
        <w:shd w:val="clear" w:color="auto" w:fill="D7D3C5"/>
      </w:tcPr>
    </w:tblStylePr>
    <w:tblStylePr w:type="band1Horz">
      <w:tblPr/>
      <w:tcPr>
        <w:shd w:val="clear" w:color="auto" w:fill="CEC9B7"/>
      </w:tcPr>
    </w:tblStylePr>
    <w:tblStylePr w:type="neCell">
      <w:rPr>
        <w:color w:val="000000"/>
      </w:rPr>
    </w:tblStylePr>
    <w:tblStylePr w:type="nwCell">
      <w:rPr>
        <w:color w:val="000000"/>
      </w:rPr>
    </w:tblStylePr>
  </w:style>
  <w:style w:type="table" w:styleId="DarkList">
    <w:name w:val="Dark List"/>
    <w:basedOn w:val="TableNormal"/>
    <w:uiPriority w:val="70"/>
    <w:rsid w:val="00F80E94"/>
    <w:pPr>
      <w:spacing w:after="0" w:line="240" w:lineRule="auto"/>
    </w:pPr>
    <w:rPr>
      <w:rFonts w:ascii="Cambria" w:eastAsia="Cambria" w:hAnsi="Cambria" w:cs="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80E94"/>
    <w:pPr>
      <w:spacing w:after="0" w:line="240" w:lineRule="auto"/>
    </w:pPr>
    <w:rPr>
      <w:rFonts w:ascii="Cambria" w:eastAsia="Cambria" w:hAnsi="Cambria" w:cs="Times New Roman"/>
      <w:color w:val="FFFFFF"/>
    </w:rPr>
    <w:tblPr>
      <w:tblStyleRowBandSize w:val="1"/>
      <w:tblStyleColBandSize w:val="1"/>
    </w:tblPr>
    <w:tcPr>
      <w:shd w:val="clear" w:color="auto" w:fill="7E97A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94B5A"/>
      </w:tcPr>
    </w:tblStylePr>
    <w:tblStylePr w:type="firstCol">
      <w:tblPr/>
      <w:tcPr>
        <w:tcBorders>
          <w:top w:val="nil"/>
          <w:left w:val="nil"/>
          <w:bottom w:val="nil"/>
          <w:right w:val="single" w:sz="18" w:space="0" w:color="FFFFFF"/>
          <w:insideH w:val="nil"/>
          <w:insideV w:val="nil"/>
        </w:tcBorders>
        <w:shd w:val="clear" w:color="auto" w:fill="577188"/>
      </w:tcPr>
    </w:tblStylePr>
    <w:tblStylePr w:type="lastCol">
      <w:tblPr/>
      <w:tcPr>
        <w:tcBorders>
          <w:top w:val="nil"/>
          <w:left w:val="single" w:sz="18" w:space="0" w:color="FFFFFF"/>
          <w:bottom w:val="nil"/>
          <w:right w:val="nil"/>
          <w:insideH w:val="nil"/>
          <w:insideV w:val="nil"/>
        </w:tcBorders>
        <w:shd w:val="clear" w:color="auto" w:fill="577188"/>
      </w:tcPr>
    </w:tblStylePr>
    <w:tblStylePr w:type="band1Vert">
      <w:tblPr/>
      <w:tcPr>
        <w:tcBorders>
          <w:top w:val="nil"/>
          <w:left w:val="nil"/>
          <w:bottom w:val="nil"/>
          <w:right w:val="nil"/>
          <w:insideH w:val="nil"/>
          <w:insideV w:val="nil"/>
        </w:tcBorders>
        <w:shd w:val="clear" w:color="auto" w:fill="577188"/>
      </w:tcPr>
    </w:tblStylePr>
    <w:tblStylePr w:type="band1Horz">
      <w:tblPr/>
      <w:tcPr>
        <w:tcBorders>
          <w:top w:val="nil"/>
          <w:left w:val="nil"/>
          <w:bottom w:val="nil"/>
          <w:right w:val="nil"/>
          <w:insideH w:val="nil"/>
          <w:insideV w:val="nil"/>
        </w:tcBorders>
        <w:shd w:val="clear" w:color="auto" w:fill="577188"/>
      </w:tcPr>
    </w:tblStylePr>
  </w:style>
  <w:style w:type="table" w:styleId="DarkList-Accent2">
    <w:name w:val="Dark List Accent 2"/>
    <w:basedOn w:val="TableNormal"/>
    <w:uiPriority w:val="70"/>
    <w:rsid w:val="00F80E94"/>
    <w:pPr>
      <w:spacing w:after="0" w:line="240" w:lineRule="auto"/>
    </w:pPr>
    <w:rPr>
      <w:rFonts w:ascii="Cambria" w:eastAsia="Cambria" w:hAnsi="Cambria" w:cs="Times New Roman"/>
      <w:color w:val="FFFFFF"/>
    </w:rPr>
    <w:tblPr>
      <w:tblStyleRowBandSize w:val="1"/>
      <w:tblStyleColBandSize w:val="1"/>
    </w:tblPr>
    <w:tcPr>
      <w:shd w:val="clear" w:color="auto" w:fill="CC8E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14424"/>
      </w:tcPr>
    </w:tblStylePr>
    <w:tblStylePr w:type="firstCol">
      <w:tblPr/>
      <w:tcPr>
        <w:tcBorders>
          <w:top w:val="nil"/>
          <w:left w:val="nil"/>
          <w:bottom w:val="nil"/>
          <w:right w:val="single" w:sz="18" w:space="0" w:color="FFFFFF"/>
          <w:insideH w:val="nil"/>
          <w:insideV w:val="nil"/>
        </w:tcBorders>
        <w:shd w:val="clear" w:color="auto" w:fill="AA6736"/>
      </w:tcPr>
    </w:tblStylePr>
    <w:tblStylePr w:type="lastCol">
      <w:tblPr/>
      <w:tcPr>
        <w:tcBorders>
          <w:top w:val="nil"/>
          <w:left w:val="single" w:sz="18" w:space="0" w:color="FFFFFF"/>
          <w:bottom w:val="nil"/>
          <w:right w:val="nil"/>
          <w:insideH w:val="nil"/>
          <w:insideV w:val="nil"/>
        </w:tcBorders>
        <w:shd w:val="clear" w:color="auto" w:fill="AA6736"/>
      </w:tcPr>
    </w:tblStylePr>
    <w:tblStylePr w:type="band1Vert">
      <w:tblPr/>
      <w:tcPr>
        <w:tcBorders>
          <w:top w:val="nil"/>
          <w:left w:val="nil"/>
          <w:bottom w:val="nil"/>
          <w:right w:val="nil"/>
          <w:insideH w:val="nil"/>
          <w:insideV w:val="nil"/>
        </w:tcBorders>
        <w:shd w:val="clear" w:color="auto" w:fill="AA6736"/>
      </w:tcPr>
    </w:tblStylePr>
    <w:tblStylePr w:type="band1Horz">
      <w:tblPr/>
      <w:tcPr>
        <w:tcBorders>
          <w:top w:val="nil"/>
          <w:left w:val="nil"/>
          <w:bottom w:val="nil"/>
          <w:right w:val="nil"/>
          <w:insideH w:val="nil"/>
          <w:insideV w:val="nil"/>
        </w:tcBorders>
        <w:shd w:val="clear" w:color="auto" w:fill="AA6736"/>
      </w:tcPr>
    </w:tblStylePr>
  </w:style>
  <w:style w:type="table" w:styleId="DarkList-Accent3">
    <w:name w:val="Dark List Accent 3"/>
    <w:basedOn w:val="TableNormal"/>
    <w:uiPriority w:val="70"/>
    <w:rsid w:val="00F80E94"/>
    <w:pPr>
      <w:spacing w:after="0" w:line="240" w:lineRule="auto"/>
    </w:pPr>
    <w:rPr>
      <w:rFonts w:ascii="Cambria" w:eastAsia="Cambria" w:hAnsi="Cambria" w:cs="Times New Roman"/>
      <w:color w:val="FFFFFF"/>
    </w:rPr>
    <w:tblPr>
      <w:tblStyleRowBandSize w:val="1"/>
      <w:tblStyleColBandSize w:val="1"/>
    </w:tblPr>
    <w:tcPr>
      <w:shd w:val="clear" w:color="auto" w:fill="7A6A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342F"/>
      </w:tcPr>
    </w:tblStylePr>
    <w:tblStylePr w:type="firstCol">
      <w:tblPr/>
      <w:tcPr>
        <w:tcBorders>
          <w:top w:val="nil"/>
          <w:left w:val="nil"/>
          <w:bottom w:val="nil"/>
          <w:right w:val="single" w:sz="18" w:space="0" w:color="FFFFFF"/>
          <w:insideH w:val="nil"/>
          <w:insideV w:val="nil"/>
        </w:tcBorders>
        <w:shd w:val="clear" w:color="auto" w:fill="5B4F47"/>
      </w:tcPr>
    </w:tblStylePr>
    <w:tblStylePr w:type="lastCol">
      <w:tblPr/>
      <w:tcPr>
        <w:tcBorders>
          <w:top w:val="nil"/>
          <w:left w:val="single" w:sz="18" w:space="0" w:color="FFFFFF"/>
          <w:bottom w:val="nil"/>
          <w:right w:val="nil"/>
          <w:insideH w:val="nil"/>
          <w:insideV w:val="nil"/>
        </w:tcBorders>
        <w:shd w:val="clear" w:color="auto" w:fill="5B4F47"/>
      </w:tcPr>
    </w:tblStylePr>
    <w:tblStylePr w:type="band1Vert">
      <w:tblPr/>
      <w:tcPr>
        <w:tcBorders>
          <w:top w:val="nil"/>
          <w:left w:val="nil"/>
          <w:bottom w:val="nil"/>
          <w:right w:val="nil"/>
          <w:insideH w:val="nil"/>
          <w:insideV w:val="nil"/>
        </w:tcBorders>
        <w:shd w:val="clear" w:color="auto" w:fill="5B4F47"/>
      </w:tcPr>
    </w:tblStylePr>
    <w:tblStylePr w:type="band1Horz">
      <w:tblPr/>
      <w:tcPr>
        <w:tcBorders>
          <w:top w:val="nil"/>
          <w:left w:val="nil"/>
          <w:bottom w:val="nil"/>
          <w:right w:val="nil"/>
          <w:insideH w:val="nil"/>
          <w:insideV w:val="nil"/>
        </w:tcBorders>
        <w:shd w:val="clear" w:color="auto" w:fill="5B4F47"/>
      </w:tcPr>
    </w:tblStylePr>
  </w:style>
  <w:style w:type="table" w:styleId="DarkList-Accent4">
    <w:name w:val="Dark List Accent 4"/>
    <w:basedOn w:val="TableNormal"/>
    <w:uiPriority w:val="70"/>
    <w:rsid w:val="00F80E94"/>
    <w:pPr>
      <w:spacing w:after="0" w:line="240" w:lineRule="auto"/>
    </w:pPr>
    <w:rPr>
      <w:rFonts w:ascii="Cambria" w:eastAsia="Cambria" w:hAnsi="Cambria" w:cs="Times New Roman"/>
      <w:color w:val="FFFFFF"/>
    </w:rPr>
    <w:tblPr>
      <w:tblStyleRowBandSize w:val="1"/>
      <w:tblStyleColBandSize w:val="1"/>
    </w:tblPr>
    <w:tcPr>
      <w:shd w:val="clear" w:color="auto" w:fill="B4936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E4930"/>
      </w:tcPr>
    </w:tblStylePr>
    <w:tblStylePr w:type="firstCol">
      <w:tblPr/>
      <w:tcPr>
        <w:tcBorders>
          <w:top w:val="nil"/>
          <w:left w:val="nil"/>
          <w:bottom w:val="nil"/>
          <w:right w:val="single" w:sz="18" w:space="0" w:color="FFFFFF"/>
          <w:insideH w:val="nil"/>
          <w:insideV w:val="nil"/>
        </w:tcBorders>
        <w:shd w:val="clear" w:color="auto" w:fill="8E6E49"/>
      </w:tcPr>
    </w:tblStylePr>
    <w:tblStylePr w:type="lastCol">
      <w:tblPr/>
      <w:tcPr>
        <w:tcBorders>
          <w:top w:val="nil"/>
          <w:left w:val="single" w:sz="18" w:space="0" w:color="FFFFFF"/>
          <w:bottom w:val="nil"/>
          <w:right w:val="nil"/>
          <w:insideH w:val="nil"/>
          <w:insideV w:val="nil"/>
        </w:tcBorders>
        <w:shd w:val="clear" w:color="auto" w:fill="8E6E49"/>
      </w:tcPr>
    </w:tblStylePr>
    <w:tblStylePr w:type="band1Vert">
      <w:tblPr/>
      <w:tcPr>
        <w:tcBorders>
          <w:top w:val="nil"/>
          <w:left w:val="nil"/>
          <w:bottom w:val="nil"/>
          <w:right w:val="nil"/>
          <w:insideH w:val="nil"/>
          <w:insideV w:val="nil"/>
        </w:tcBorders>
        <w:shd w:val="clear" w:color="auto" w:fill="8E6E49"/>
      </w:tcPr>
    </w:tblStylePr>
    <w:tblStylePr w:type="band1Horz">
      <w:tblPr/>
      <w:tcPr>
        <w:tcBorders>
          <w:top w:val="nil"/>
          <w:left w:val="nil"/>
          <w:bottom w:val="nil"/>
          <w:right w:val="nil"/>
          <w:insideH w:val="nil"/>
          <w:insideV w:val="nil"/>
        </w:tcBorders>
        <w:shd w:val="clear" w:color="auto" w:fill="8E6E49"/>
      </w:tcPr>
    </w:tblStylePr>
  </w:style>
  <w:style w:type="table" w:styleId="DarkList-Accent5">
    <w:name w:val="Dark List Accent 5"/>
    <w:basedOn w:val="TableNormal"/>
    <w:uiPriority w:val="70"/>
    <w:rsid w:val="00F80E94"/>
    <w:pPr>
      <w:spacing w:after="0" w:line="240" w:lineRule="auto"/>
    </w:pPr>
    <w:rPr>
      <w:rFonts w:ascii="Cambria" w:eastAsia="Cambria" w:hAnsi="Cambria" w:cs="Times New Roman"/>
      <w:color w:val="FFFFFF"/>
    </w:rPr>
    <w:tblPr>
      <w:tblStyleRowBandSize w:val="1"/>
      <w:tblStyleColBandSize w:val="1"/>
    </w:tblPr>
    <w:tcPr>
      <w:shd w:val="clear" w:color="auto" w:fill="67787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33B3D"/>
      </w:tcPr>
    </w:tblStylePr>
    <w:tblStylePr w:type="firstCol">
      <w:tblPr/>
      <w:tcPr>
        <w:tcBorders>
          <w:top w:val="nil"/>
          <w:left w:val="nil"/>
          <w:bottom w:val="nil"/>
          <w:right w:val="single" w:sz="18" w:space="0" w:color="FFFFFF"/>
          <w:insideH w:val="nil"/>
          <w:insideV w:val="nil"/>
        </w:tcBorders>
        <w:shd w:val="clear" w:color="auto" w:fill="4D595B"/>
      </w:tcPr>
    </w:tblStylePr>
    <w:tblStylePr w:type="lastCol">
      <w:tblPr/>
      <w:tcPr>
        <w:tcBorders>
          <w:top w:val="nil"/>
          <w:left w:val="single" w:sz="18" w:space="0" w:color="FFFFFF"/>
          <w:bottom w:val="nil"/>
          <w:right w:val="nil"/>
          <w:insideH w:val="nil"/>
          <w:insideV w:val="nil"/>
        </w:tcBorders>
        <w:shd w:val="clear" w:color="auto" w:fill="4D595B"/>
      </w:tcPr>
    </w:tblStylePr>
    <w:tblStylePr w:type="band1Vert">
      <w:tblPr/>
      <w:tcPr>
        <w:tcBorders>
          <w:top w:val="nil"/>
          <w:left w:val="nil"/>
          <w:bottom w:val="nil"/>
          <w:right w:val="nil"/>
          <w:insideH w:val="nil"/>
          <w:insideV w:val="nil"/>
        </w:tcBorders>
        <w:shd w:val="clear" w:color="auto" w:fill="4D595B"/>
      </w:tcPr>
    </w:tblStylePr>
    <w:tblStylePr w:type="band1Horz">
      <w:tblPr/>
      <w:tcPr>
        <w:tcBorders>
          <w:top w:val="nil"/>
          <w:left w:val="nil"/>
          <w:bottom w:val="nil"/>
          <w:right w:val="nil"/>
          <w:insideH w:val="nil"/>
          <w:insideV w:val="nil"/>
        </w:tcBorders>
        <w:shd w:val="clear" w:color="auto" w:fill="4D595B"/>
      </w:tcPr>
    </w:tblStylePr>
  </w:style>
  <w:style w:type="table" w:styleId="DarkList-Accent6">
    <w:name w:val="Dark List Accent 6"/>
    <w:basedOn w:val="TableNormal"/>
    <w:uiPriority w:val="70"/>
    <w:rsid w:val="00F80E94"/>
    <w:pPr>
      <w:spacing w:after="0" w:line="240" w:lineRule="auto"/>
    </w:pPr>
    <w:rPr>
      <w:rFonts w:ascii="Cambria" w:eastAsia="Cambria" w:hAnsi="Cambria" w:cs="Times New Roman"/>
      <w:color w:val="FFFFFF"/>
    </w:rPr>
    <w:tblPr>
      <w:tblStyleRowBandSize w:val="1"/>
      <w:tblStyleColBandSize w:val="1"/>
    </w:tblPr>
    <w:tcPr>
      <w:shd w:val="clear" w:color="auto" w:fill="9D93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4936"/>
      </w:tcPr>
    </w:tblStylePr>
    <w:tblStylePr w:type="firstCol">
      <w:tblPr/>
      <w:tcPr>
        <w:tcBorders>
          <w:top w:val="nil"/>
          <w:left w:val="nil"/>
          <w:bottom w:val="nil"/>
          <w:right w:val="single" w:sz="18" w:space="0" w:color="FFFFFF"/>
          <w:insideH w:val="nil"/>
          <w:insideV w:val="nil"/>
        </w:tcBorders>
        <w:shd w:val="clear" w:color="auto" w:fill="776E51"/>
      </w:tcPr>
    </w:tblStylePr>
    <w:tblStylePr w:type="lastCol">
      <w:tblPr/>
      <w:tcPr>
        <w:tcBorders>
          <w:top w:val="nil"/>
          <w:left w:val="single" w:sz="18" w:space="0" w:color="FFFFFF"/>
          <w:bottom w:val="nil"/>
          <w:right w:val="nil"/>
          <w:insideH w:val="nil"/>
          <w:insideV w:val="nil"/>
        </w:tcBorders>
        <w:shd w:val="clear" w:color="auto" w:fill="776E51"/>
      </w:tcPr>
    </w:tblStylePr>
    <w:tblStylePr w:type="band1Vert">
      <w:tblPr/>
      <w:tcPr>
        <w:tcBorders>
          <w:top w:val="nil"/>
          <w:left w:val="nil"/>
          <w:bottom w:val="nil"/>
          <w:right w:val="nil"/>
          <w:insideH w:val="nil"/>
          <w:insideV w:val="nil"/>
        </w:tcBorders>
        <w:shd w:val="clear" w:color="auto" w:fill="776E51"/>
      </w:tcPr>
    </w:tblStylePr>
    <w:tblStylePr w:type="band1Horz">
      <w:tblPr/>
      <w:tcPr>
        <w:tcBorders>
          <w:top w:val="nil"/>
          <w:left w:val="nil"/>
          <w:bottom w:val="nil"/>
          <w:right w:val="nil"/>
          <w:insideH w:val="nil"/>
          <w:insideV w:val="nil"/>
        </w:tcBorders>
        <w:shd w:val="clear" w:color="auto" w:fill="776E51"/>
      </w:tcPr>
    </w:tblStylePr>
  </w:style>
  <w:style w:type="paragraph" w:styleId="Date">
    <w:name w:val="Date"/>
    <w:basedOn w:val="Normal"/>
    <w:next w:val="Normal"/>
    <w:link w:val="DateChar"/>
    <w:uiPriority w:val="99"/>
    <w:semiHidden/>
    <w:unhideWhenUsed/>
    <w:rsid w:val="00F80E94"/>
    <w:pPr>
      <w:spacing w:before="40" w:after="160" w:line="288" w:lineRule="auto"/>
    </w:pPr>
    <w:rPr>
      <w:rFonts w:ascii="Roboto" w:eastAsia="Cambria" w:hAnsi="Roboto" w:cs="Times New Roman"/>
      <w:kern w:val="20"/>
      <w:sz w:val="20"/>
      <w:lang w:eastAsia="ja-JP"/>
    </w:rPr>
  </w:style>
  <w:style w:type="character" w:customStyle="1" w:styleId="DateChar">
    <w:name w:val="Date Char"/>
    <w:basedOn w:val="DefaultParagraphFont"/>
    <w:link w:val="Date"/>
    <w:uiPriority w:val="99"/>
    <w:semiHidden/>
    <w:rsid w:val="00F80E94"/>
    <w:rPr>
      <w:rFonts w:ascii="Roboto" w:eastAsia="Cambria" w:hAnsi="Roboto" w:cs="Times New Roman"/>
      <w:kern w:val="20"/>
      <w:lang w:eastAsia="ja-JP"/>
    </w:rPr>
  </w:style>
  <w:style w:type="paragraph" w:styleId="DocumentMap">
    <w:name w:val="Document Map"/>
    <w:basedOn w:val="Normal"/>
    <w:link w:val="DocumentMapChar"/>
    <w:uiPriority w:val="99"/>
    <w:semiHidden/>
    <w:unhideWhenUsed/>
    <w:rsid w:val="00F80E94"/>
    <w:pPr>
      <w:spacing w:before="40" w:after="0" w:line="240" w:lineRule="auto"/>
    </w:pPr>
    <w:rPr>
      <w:rFonts w:ascii="Tahoma" w:eastAsia="Cambria" w:hAnsi="Tahoma" w:cs="Times New Roman"/>
      <w:sz w:val="16"/>
      <w:lang w:val="x-none" w:eastAsia="x-none"/>
    </w:rPr>
  </w:style>
  <w:style w:type="character" w:customStyle="1" w:styleId="DocumentMapChar">
    <w:name w:val="Document Map Char"/>
    <w:basedOn w:val="DefaultParagraphFont"/>
    <w:link w:val="DocumentMap"/>
    <w:uiPriority w:val="99"/>
    <w:semiHidden/>
    <w:rsid w:val="00F80E94"/>
    <w:rPr>
      <w:rFonts w:ascii="Tahoma" w:eastAsia="Cambria" w:hAnsi="Tahoma" w:cs="Times New Roman"/>
      <w:sz w:val="16"/>
      <w:lang w:val="x-none" w:eastAsia="x-none"/>
    </w:rPr>
  </w:style>
  <w:style w:type="paragraph" w:styleId="E-mailSignature">
    <w:name w:val="E-mail Signature"/>
    <w:basedOn w:val="Normal"/>
    <w:link w:val="E-mailSignatureChar"/>
    <w:uiPriority w:val="99"/>
    <w:semiHidden/>
    <w:unhideWhenUsed/>
    <w:rsid w:val="00F80E94"/>
    <w:pPr>
      <w:spacing w:before="40" w:after="0" w:line="240" w:lineRule="auto"/>
    </w:pPr>
    <w:rPr>
      <w:rFonts w:ascii="Roboto" w:eastAsia="Cambria" w:hAnsi="Roboto" w:cs="Times New Roman"/>
      <w:kern w:val="20"/>
      <w:sz w:val="20"/>
      <w:lang w:eastAsia="ja-JP"/>
    </w:rPr>
  </w:style>
  <w:style w:type="character" w:customStyle="1" w:styleId="E-mailSignatureChar">
    <w:name w:val="E-mail Signature Char"/>
    <w:basedOn w:val="DefaultParagraphFont"/>
    <w:link w:val="E-mailSignature"/>
    <w:uiPriority w:val="99"/>
    <w:semiHidden/>
    <w:rsid w:val="00F80E94"/>
    <w:rPr>
      <w:rFonts w:ascii="Roboto" w:eastAsia="Cambria" w:hAnsi="Roboto" w:cs="Times New Roman"/>
      <w:kern w:val="20"/>
      <w:lang w:eastAsia="ja-JP"/>
    </w:rPr>
  </w:style>
  <w:style w:type="character" w:styleId="EndnoteReference">
    <w:name w:val="endnote reference"/>
    <w:uiPriority w:val="99"/>
    <w:semiHidden/>
    <w:unhideWhenUsed/>
    <w:rsid w:val="00F80E94"/>
    <w:rPr>
      <w:vertAlign w:val="superscript"/>
    </w:rPr>
  </w:style>
  <w:style w:type="paragraph" w:styleId="EndnoteText">
    <w:name w:val="endnote text"/>
    <w:basedOn w:val="Normal"/>
    <w:link w:val="EndnoteTextChar"/>
    <w:uiPriority w:val="99"/>
    <w:semiHidden/>
    <w:unhideWhenUsed/>
    <w:rsid w:val="00F80E94"/>
    <w:pPr>
      <w:spacing w:before="40" w:after="0" w:line="240" w:lineRule="auto"/>
    </w:pPr>
    <w:rPr>
      <w:rFonts w:ascii="Cambria" w:eastAsia="Cambria" w:hAnsi="Cambria" w:cs="Times New Roman"/>
      <w:sz w:val="20"/>
      <w:lang w:val="x-none" w:eastAsia="x-none"/>
    </w:rPr>
  </w:style>
  <w:style w:type="character" w:customStyle="1" w:styleId="EndnoteTextChar">
    <w:name w:val="Endnote Text Char"/>
    <w:basedOn w:val="DefaultParagraphFont"/>
    <w:link w:val="EndnoteText"/>
    <w:uiPriority w:val="99"/>
    <w:semiHidden/>
    <w:rsid w:val="00F80E94"/>
    <w:rPr>
      <w:rFonts w:ascii="Cambria" w:eastAsia="Cambria" w:hAnsi="Cambria" w:cs="Times New Roman"/>
      <w:lang w:val="x-none" w:eastAsia="x-none"/>
    </w:rPr>
  </w:style>
  <w:style w:type="paragraph" w:styleId="EnvelopeAddress">
    <w:name w:val="envelope address"/>
    <w:basedOn w:val="Normal"/>
    <w:uiPriority w:val="99"/>
    <w:semiHidden/>
    <w:unhideWhenUsed/>
    <w:rsid w:val="00F80E94"/>
    <w:pPr>
      <w:framePr w:w="7920" w:h="1980" w:hRule="exact" w:hSpace="180" w:wrap="auto" w:hAnchor="page" w:xAlign="center" w:yAlign="bottom"/>
      <w:spacing w:before="40" w:after="0" w:line="240" w:lineRule="auto"/>
      <w:ind w:left="2880"/>
    </w:pPr>
    <w:rPr>
      <w:rFonts w:ascii="Calibri" w:eastAsia="Times New Roman" w:hAnsi="Calibri" w:cs="Times New Roman"/>
      <w:kern w:val="20"/>
      <w:lang w:eastAsia="ja-JP"/>
    </w:rPr>
  </w:style>
  <w:style w:type="paragraph" w:styleId="EnvelopeReturn">
    <w:name w:val="envelope return"/>
    <w:basedOn w:val="Normal"/>
    <w:uiPriority w:val="99"/>
    <w:semiHidden/>
    <w:unhideWhenUsed/>
    <w:rsid w:val="00F80E94"/>
    <w:pPr>
      <w:spacing w:before="40" w:after="0" w:line="240" w:lineRule="auto"/>
    </w:pPr>
    <w:rPr>
      <w:rFonts w:ascii="Calibri" w:eastAsia="Times New Roman" w:hAnsi="Calibri" w:cs="Times New Roman"/>
      <w:kern w:val="20"/>
      <w:sz w:val="20"/>
      <w:lang w:eastAsia="ja-JP"/>
    </w:rPr>
  </w:style>
  <w:style w:type="character" w:styleId="FollowedHyperlink">
    <w:name w:val="FollowedHyperlink"/>
    <w:uiPriority w:val="99"/>
    <w:semiHidden/>
    <w:unhideWhenUsed/>
    <w:rsid w:val="00F80E94"/>
    <w:rPr>
      <w:color w:val="969696"/>
      <w:u w:val="single"/>
    </w:rPr>
  </w:style>
  <w:style w:type="character" w:styleId="FootnoteReference">
    <w:name w:val="footnote reference"/>
    <w:uiPriority w:val="99"/>
    <w:semiHidden/>
    <w:unhideWhenUsed/>
    <w:rsid w:val="00F80E94"/>
    <w:rPr>
      <w:vertAlign w:val="superscript"/>
    </w:rPr>
  </w:style>
  <w:style w:type="paragraph" w:styleId="FootnoteText">
    <w:name w:val="footnote text"/>
    <w:basedOn w:val="Normal"/>
    <w:link w:val="FootnoteTextChar"/>
    <w:uiPriority w:val="99"/>
    <w:semiHidden/>
    <w:unhideWhenUsed/>
    <w:rsid w:val="00F80E94"/>
    <w:pPr>
      <w:spacing w:before="40" w:after="0" w:line="240" w:lineRule="auto"/>
    </w:pPr>
    <w:rPr>
      <w:rFonts w:ascii="Cambria" w:eastAsia="Cambria" w:hAnsi="Cambria" w:cs="Times New Roman"/>
      <w:sz w:val="20"/>
      <w:lang w:val="x-none" w:eastAsia="x-none"/>
    </w:rPr>
  </w:style>
  <w:style w:type="character" w:customStyle="1" w:styleId="FootnoteTextChar">
    <w:name w:val="Footnote Text Char"/>
    <w:basedOn w:val="DefaultParagraphFont"/>
    <w:link w:val="FootnoteText"/>
    <w:uiPriority w:val="99"/>
    <w:semiHidden/>
    <w:rsid w:val="00F80E94"/>
    <w:rPr>
      <w:rFonts w:ascii="Cambria" w:eastAsia="Cambria" w:hAnsi="Cambria" w:cs="Times New Roman"/>
      <w:lang w:val="x-none" w:eastAsia="x-none"/>
    </w:rPr>
  </w:style>
  <w:style w:type="character" w:styleId="HTMLAcronym">
    <w:name w:val="HTML Acronym"/>
    <w:basedOn w:val="DefaultParagraphFont"/>
    <w:uiPriority w:val="99"/>
    <w:semiHidden/>
    <w:unhideWhenUsed/>
    <w:rsid w:val="00F80E94"/>
  </w:style>
  <w:style w:type="paragraph" w:styleId="HTMLAddress">
    <w:name w:val="HTML Address"/>
    <w:basedOn w:val="Normal"/>
    <w:link w:val="HTMLAddressChar"/>
    <w:uiPriority w:val="99"/>
    <w:semiHidden/>
    <w:unhideWhenUsed/>
    <w:rsid w:val="00F80E94"/>
    <w:pPr>
      <w:spacing w:before="40" w:after="0" w:line="240" w:lineRule="auto"/>
    </w:pPr>
    <w:rPr>
      <w:rFonts w:ascii="Cambria" w:eastAsia="Cambria" w:hAnsi="Cambria" w:cs="Times New Roman"/>
      <w:i/>
      <w:iCs/>
      <w:sz w:val="20"/>
      <w:lang w:val="x-none" w:eastAsia="x-none"/>
    </w:rPr>
  </w:style>
  <w:style w:type="character" w:customStyle="1" w:styleId="HTMLAddressChar">
    <w:name w:val="HTML Address Char"/>
    <w:basedOn w:val="DefaultParagraphFont"/>
    <w:link w:val="HTMLAddress"/>
    <w:uiPriority w:val="99"/>
    <w:semiHidden/>
    <w:rsid w:val="00F80E94"/>
    <w:rPr>
      <w:rFonts w:ascii="Cambria" w:eastAsia="Cambria" w:hAnsi="Cambria" w:cs="Times New Roman"/>
      <w:i/>
      <w:iCs/>
      <w:lang w:val="x-none" w:eastAsia="x-none"/>
    </w:rPr>
  </w:style>
  <w:style w:type="character" w:styleId="HTMLCite">
    <w:name w:val="HTML Cite"/>
    <w:uiPriority w:val="99"/>
    <w:semiHidden/>
    <w:unhideWhenUsed/>
    <w:rsid w:val="00F80E94"/>
    <w:rPr>
      <w:i/>
      <w:iCs/>
    </w:rPr>
  </w:style>
  <w:style w:type="character" w:styleId="HTMLCode">
    <w:name w:val="HTML Code"/>
    <w:uiPriority w:val="99"/>
    <w:semiHidden/>
    <w:unhideWhenUsed/>
    <w:rsid w:val="00F80E94"/>
    <w:rPr>
      <w:rFonts w:ascii="Consolas" w:hAnsi="Consolas" w:cs="Consolas"/>
      <w:sz w:val="20"/>
    </w:rPr>
  </w:style>
  <w:style w:type="character" w:styleId="HTMLDefinition">
    <w:name w:val="HTML Definition"/>
    <w:uiPriority w:val="99"/>
    <w:semiHidden/>
    <w:unhideWhenUsed/>
    <w:rsid w:val="00F80E94"/>
    <w:rPr>
      <w:i/>
      <w:iCs/>
    </w:rPr>
  </w:style>
  <w:style w:type="character" w:styleId="HTMLKeyboard">
    <w:name w:val="HTML Keyboard"/>
    <w:uiPriority w:val="99"/>
    <w:semiHidden/>
    <w:unhideWhenUsed/>
    <w:rsid w:val="00F80E94"/>
    <w:rPr>
      <w:rFonts w:ascii="Consolas" w:hAnsi="Consolas" w:cs="Consolas"/>
      <w:sz w:val="20"/>
    </w:rPr>
  </w:style>
  <w:style w:type="paragraph" w:styleId="HTMLPreformatted">
    <w:name w:val="HTML Preformatted"/>
    <w:basedOn w:val="Normal"/>
    <w:link w:val="HTMLPreformattedChar"/>
    <w:uiPriority w:val="99"/>
    <w:semiHidden/>
    <w:unhideWhenUsed/>
    <w:rsid w:val="00F80E94"/>
    <w:pPr>
      <w:spacing w:before="40" w:after="0" w:line="240" w:lineRule="auto"/>
    </w:pPr>
    <w:rPr>
      <w:rFonts w:ascii="Consolas" w:eastAsia="Cambria" w:hAnsi="Consolas" w:cs="Times New Roman"/>
      <w:sz w:val="20"/>
      <w:lang w:val="x-none" w:eastAsia="x-none"/>
    </w:rPr>
  </w:style>
  <w:style w:type="character" w:customStyle="1" w:styleId="HTMLPreformattedChar">
    <w:name w:val="HTML Preformatted Char"/>
    <w:basedOn w:val="DefaultParagraphFont"/>
    <w:link w:val="HTMLPreformatted"/>
    <w:uiPriority w:val="99"/>
    <w:semiHidden/>
    <w:rsid w:val="00F80E94"/>
    <w:rPr>
      <w:rFonts w:ascii="Consolas" w:eastAsia="Cambria" w:hAnsi="Consolas" w:cs="Times New Roman"/>
      <w:lang w:val="x-none" w:eastAsia="x-none"/>
    </w:rPr>
  </w:style>
  <w:style w:type="character" w:styleId="HTMLSample">
    <w:name w:val="HTML Sample"/>
    <w:uiPriority w:val="99"/>
    <w:semiHidden/>
    <w:unhideWhenUsed/>
    <w:rsid w:val="00F80E94"/>
    <w:rPr>
      <w:rFonts w:ascii="Consolas" w:hAnsi="Consolas" w:cs="Consolas"/>
      <w:sz w:val="24"/>
    </w:rPr>
  </w:style>
  <w:style w:type="character" w:styleId="HTMLTypewriter">
    <w:name w:val="HTML Typewriter"/>
    <w:uiPriority w:val="99"/>
    <w:semiHidden/>
    <w:unhideWhenUsed/>
    <w:rsid w:val="00F80E94"/>
    <w:rPr>
      <w:rFonts w:ascii="Consolas" w:hAnsi="Consolas" w:cs="Consolas"/>
      <w:sz w:val="20"/>
    </w:rPr>
  </w:style>
  <w:style w:type="character" w:styleId="HTMLVariable">
    <w:name w:val="HTML Variable"/>
    <w:uiPriority w:val="99"/>
    <w:semiHidden/>
    <w:unhideWhenUsed/>
    <w:rsid w:val="00F80E94"/>
    <w:rPr>
      <w:i/>
      <w:iCs/>
    </w:rPr>
  </w:style>
  <w:style w:type="paragraph" w:styleId="Index1">
    <w:name w:val="index 1"/>
    <w:basedOn w:val="Normal"/>
    <w:next w:val="Normal"/>
    <w:autoRedefine/>
    <w:uiPriority w:val="99"/>
    <w:semiHidden/>
    <w:unhideWhenUsed/>
    <w:rsid w:val="00F80E94"/>
    <w:pPr>
      <w:spacing w:before="40" w:after="0" w:line="240" w:lineRule="auto"/>
      <w:ind w:left="220" w:hanging="220"/>
    </w:pPr>
    <w:rPr>
      <w:rFonts w:ascii="Roboto" w:eastAsia="Cambria" w:hAnsi="Roboto" w:cs="Times New Roman"/>
      <w:kern w:val="20"/>
      <w:sz w:val="20"/>
      <w:lang w:eastAsia="ja-JP"/>
    </w:rPr>
  </w:style>
  <w:style w:type="paragraph" w:styleId="Index2">
    <w:name w:val="index 2"/>
    <w:basedOn w:val="Normal"/>
    <w:next w:val="Normal"/>
    <w:autoRedefine/>
    <w:uiPriority w:val="99"/>
    <w:semiHidden/>
    <w:unhideWhenUsed/>
    <w:rsid w:val="00F80E94"/>
    <w:pPr>
      <w:spacing w:before="40" w:after="0" w:line="240" w:lineRule="auto"/>
      <w:ind w:left="440" w:hanging="220"/>
    </w:pPr>
    <w:rPr>
      <w:rFonts w:ascii="Roboto" w:eastAsia="Cambria" w:hAnsi="Roboto" w:cs="Times New Roman"/>
      <w:kern w:val="20"/>
      <w:sz w:val="20"/>
      <w:lang w:eastAsia="ja-JP"/>
    </w:rPr>
  </w:style>
  <w:style w:type="paragraph" w:styleId="Index3">
    <w:name w:val="index 3"/>
    <w:basedOn w:val="Normal"/>
    <w:next w:val="Normal"/>
    <w:autoRedefine/>
    <w:uiPriority w:val="99"/>
    <w:semiHidden/>
    <w:unhideWhenUsed/>
    <w:rsid w:val="00F80E94"/>
    <w:pPr>
      <w:spacing w:before="40" w:after="0" w:line="240" w:lineRule="auto"/>
      <w:ind w:left="660" w:hanging="220"/>
    </w:pPr>
    <w:rPr>
      <w:rFonts w:ascii="Roboto" w:eastAsia="Cambria" w:hAnsi="Roboto" w:cs="Times New Roman"/>
      <w:kern w:val="20"/>
      <w:sz w:val="20"/>
      <w:lang w:eastAsia="ja-JP"/>
    </w:rPr>
  </w:style>
  <w:style w:type="paragraph" w:styleId="Index4">
    <w:name w:val="index 4"/>
    <w:basedOn w:val="Normal"/>
    <w:next w:val="Normal"/>
    <w:autoRedefine/>
    <w:uiPriority w:val="99"/>
    <w:semiHidden/>
    <w:unhideWhenUsed/>
    <w:rsid w:val="00F80E94"/>
    <w:pPr>
      <w:spacing w:before="40" w:after="0" w:line="240" w:lineRule="auto"/>
      <w:ind w:left="880" w:hanging="220"/>
    </w:pPr>
    <w:rPr>
      <w:rFonts w:ascii="Roboto" w:eastAsia="Cambria" w:hAnsi="Roboto" w:cs="Times New Roman"/>
      <w:kern w:val="20"/>
      <w:sz w:val="20"/>
      <w:lang w:eastAsia="ja-JP"/>
    </w:rPr>
  </w:style>
  <w:style w:type="paragraph" w:styleId="Index5">
    <w:name w:val="index 5"/>
    <w:basedOn w:val="Normal"/>
    <w:next w:val="Normal"/>
    <w:autoRedefine/>
    <w:uiPriority w:val="99"/>
    <w:semiHidden/>
    <w:unhideWhenUsed/>
    <w:rsid w:val="00F80E94"/>
    <w:pPr>
      <w:spacing w:before="40" w:after="0" w:line="240" w:lineRule="auto"/>
      <w:ind w:left="1100" w:hanging="220"/>
    </w:pPr>
    <w:rPr>
      <w:rFonts w:ascii="Roboto" w:eastAsia="Cambria" w:hAnsi="Roboto" w:cs="Times New Roman"/>
      <w:kern w:val="20"/>
      <w:sz w:val="20"/>
      <w:lang w:eastAsia="ja-JP"/>
    </w:rPr>
  </w:style>
  <w:style w:type="paragraph" w:styleId="Index6">
    <w:name w:val="index 6"/>
    <w:basedOn w:val="Normal"/>
    <w:next w:val="Normal"/>
    <w:autoRedefine/>
    <w:uiPriority w:val="99"/>
    <w:semiHidden/>
    <w:unhideWhenUsed/>
    <w:rsid w:val="00F80E94"/>
    <w:pPr>
      <w:spacing w:before="40" w:after="0" w:line="240" w:lineRule="auto"/>
      <w:ind w:left="1320" w:hanging="220"/>
    </w:pPr>
    <w:rPr>
      <w:rFonts w:ascii="Roboto" w:eastAsia="Cambria" w:hAnsi="Roboto" w:cs="Times New Roman"/>
      <w:kern w:val="20"/>
      <w:sz w:val="20"/>
      <w:lang w:eastAsia="ja-JP"/>
    </w:rPr>
  </w:style>
  <w:style w:type="paragraph" w:styleId="Index7">
    <w:name w:val="index 7"/>
    <w:basedOn w:val="Normal"/>
    <w:next w:val="Normal"/>
    <w:autoRedefine/>
    <w:uiPriority w:val="99"/>
    <w:semiHidden/>
    <w:unhideWhenUsed/>
    <w:rsid w:val="00F80E94"/>
    <w:pPr>
      <w:spacing w:before="40" w:after="0" w:line="240" w:lineRule="auto"/>
      <w:ind w:left="1540" w:hanging="220"/>
    </w:pPr>
    <w:rPr>
      <w:rFonts w:ascii="Roboto" w:eastAsia="Cambria" w:hAnsi="Roboto" w:cs="Times New Roman"/>
      <w:kern w:val="20"/>
      <w:sz w:val="20"/>
      <w:lang w:eastAsia="ja-JP"/>
    </w:rPr>
  </w:style>
  <w:style w:type="paragraph" w:styleId="Index8">
    <w:name w:val="index 8"/>
    <w:basedOn w:val="Normal"/>
    <w:next w:val="Normal"/>
    <w:autoRedefine/>
    <w:uiPriority w:val="99"/>
    <w:semiHidden/>
    <w:unhideWhenUsed/>
    <w:rsid w:val="00F80E94"/>
    <w:pPr>
      <w:spacing w:before="40" w:after="0" w:line="240" w:lineRule="auto"/>
      <w:ind w:left="1760" w:hanging="220"/>
    </w:pPr>
    <w:rPr>
      <w:rFonts w:ascii="Roboto" w:eastAsia="Cambria" w:hAnsi="Roboto" w:cs="Times New Roman"/>
      <w:kern w:val="20"/>
      <w:sz w:val="20"/>
      <w:lang w:eastAsia="ja-JP"/>
    </w:rPr>
  </w:style>
  <w:style w:type="paragraph" w:styleId="Index9">
    <w:name w:val="index 9"/>
    <w:basedOn w:val="Normal"/>
    <w:next w:val="Normal"/>
    <w:autoRedefine/>
    <w:uiPriority w:val="99"/>
    <w:semiHidden/>
    <w:unhideWhenUsed/>
    <w:rsid w:val="00F80E94"/>
    <w:pPr>
      <w:spacing w:before="40" w:after="0" w:line="240" w:lineRule="auto"/>
      <w:ind w:left="1980" w:hanging="220"/>
    </w:pPr>
    <w:rPr>
      <w:rFonts w:ascii="Roboto" w:eastAsia="Cambria" w:hAnsi="Roboto" w:cs="Times New Roman"/>
      <w:kern w:val="20"/>
      <w:sz w:val="20"/>
      <w:lang w:eastAsia="ja-JP"/>
    </w:rPr>
  </w:style>
  <w:style w:type="paragraph" w:styleId="IndexHeading">
    <w:name w:val="index heading"/>
    <w:basedOn w:val="Normal"/>
    <w:next w:val="Index1"/>
    <w:uiPriority w:val="99"/>
    <w:semiHidden/>
    <w:unhideWhenUsed/>
    <w:rsid w:val="00F80E94"/>
    <w:pPr>
      <w:spacing w:before="40" w:after="160" w:line="288" w:lineRule="auto"/>
    </w:pPr>
    <w:rPr>
      <w:rFonts w:ascii="Calibri" w:eastAsia="Times New Roman" w:hAnsi="Calibri" w:cs="Times New Roman"/>
      <w:b/>
      <w:bCs/>
      <w:kern w:val="20"/>
      <w:sz w:val="20"/>
      <w:lang w:eastAsia="ja-JP"/>
    </w:rPr>
  </w:style>
  <w:style w:type="table" w:styleId="LightGrid">
    <w:name w:val="Light Grid"/>
    <w:basedOn w:val="TableNormal"/>
    <w:uiPriority w:val="62"/>
    <w:rsid w:val="00F80E94"/>
    <w:pPr>
      <w:spacing w:after="0" w:line="240" w:lineRule="auto"/>
    </w:pPr>
    <w:rPr>
      <w:rFonts w:ascii="Cambria" w:eastAsia="Cambria" w:hAnsi="Cambria"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80E94"/>
    <w:pPr>
      <w:spacing w:after="0" w:line="240" w:lineRule="auto"/>
    </w:pPr>
    <w:rPr>
      <w:rFonts w:ascii="Cambria" w:eastAsia="Cambria" w:hAnsi="Cambria" w:cs="Times New Roman"/>
    </w:rPr>
    <w:tblPr>
      <w:tblStyleRowBandSize w:val="1"/>
      <w:tblStyleColBandSize w:val="1"/>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7E97AD"/>
          <w:left w:val="single" w:sz="8" w:space="0" w:color="7E97AD"/>
          <w:bottom w:val="single" w:sz="18" w:space="0" w:color="7E97AD"/>
          <w:right w:val="single" w:sz="8" w:space="0" w:color="7E97AD"/>
          <w:insideH w:val="nil"/>
          <w:insideV w:val="single" w:sz="8" w:space="0" w:color="7E97A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7E97AD"/>
          <w:left w:val="single" w:sz="8" w:space="0" w:color="7E97AD"/>
          <w:bottom w:val="single" w:sz="8" w:space="0" w:color="7E97AD"/>
          <w:right w:val="single" w:sz="8" w:space="0" w:color="7E97AD"/>
          <w:insideH w:val="nil"/>
          <w:insideV w:val="single" w:sz="8" w:space="0" w:color="7E97A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7E97AD"/>
          <w:left w:val="single" w:sz="8" w:space="0" w:color="7E97AD"/>
          <w:bottom w:val="single" w:sz="8" w:space="0" w:color="7E97AD"/>
          <w:right w:val="single" w:sz="8" w:space="0" w:color="7E97AD"/>
        </w:tcBorders>
      </w:tcPr>
    </w:tblStylePr>
    <w:tblStylePr w:type="band1Vert">
      <w:tblPr/>
      <w:tcPr>
        <w:tcBorders>
          <w:top w:val="single" w:sz="8" w:space="0" w:color="7E97AD"/>
          <w:left w:val="single" w:sz="8" w:space="0" w:color="7E97AD"/>
          <w:bottom w:val="single" w:sz="8" w:space="0" w:color="7E97AD"/>
          <w:right w:val="single" w:sz="8" w:space="0" w:color="7E97AD"/>
        </w:tcBorders>
        <w:shd w:val="clear" w:color="auto" w:fill="DFE5EA"/>
      </w:tcPr>
    </w:tblStylePr>
    <w:tblStylePr w:type="band1Horz">
      <w:tblPr/>
      <w:tcPr>
        <w:tcBorders>
          <w:top w:val="single" w:sz="8" w:space="0" w:color="7E97AD"/>
          <w:left w:val="single" w:sz="8" w:space="0" w:color="7E97AD"/>
          <w:bottom w:val="single" w:sz="8" w:space="0" w:color="7E97AD"/>
          <w:right w:val="single" w:sz="8" w:space="0" w:color="7E97AD"/>
          <w:insideV w:val="single" w:sz="8" w:space="0" w:color="7E97AD"/>
        </w:tcBorders>
        <w:shd w:val="clear" w:color="auto" w:fill="DFE5EA"/>
      </w:tcPr>
    </w:tblStylePr>
    <w:tblStylePr w:type="band2Horz">
      <w:tblPr/>
      <w:tcPr>
        <w:tcBorders>
          <w:top w:val="single" w:sz="8" w:space="0" w:color="7E97AD"/>
          <w:left w:val="single" w:sz="8" w:space="0" w:color="7E97AD"/>
          <w:bottom w:val="single" w:sz="8" w:space="0" w:color="7E97AD"/>
          <w:right w:val="single" w:sz="8" w:space="0" w:color="7E97AD"/>
          <w:insideV w:val="single" w:sz="8" w:space="0" w:color="7E97AD"/>
        </w:tcBorders>
      </w:tcPr>
    </w:tblStylePr>
  </w:style>
  <w:style w:type="table" w:styleId="LightGrid-Accent2">
    <w:name w:val="Light Grid Accent 2"/>
    <w:basedOn w:val="TableNormal"/>
    <w:uiPriority w:val="62"/>
    <w:rsid w:val="00F80E94"/>
    <w:pPr>
      <w:spacing w:after="0" w:line="240" w:lineRule="auto"/>
    </w:pPr>
    <w:rPr>
      <w:rFonts w:ascii="Cambria" w:eastAsia="Cambria" w:hAnsi="Cambria" w:cs="Times New Roman"/>
    </w:rPr>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CC8E60"/>
          <w:left w:val="single" w:sz="8" w:space="0" w:color="CC8E60"/>
          <w:bottom w:val="single" w:sz="18" w:space="0" w:color="CC8E60"/>
          <w:right w:val="single" w:sz="8" w:space="0" w:color="CC8E60"/>
          <w:insideH w:val="nil"/>
          <w:insideV w:val="single" w:sz="8" w:space="0" w:color="CC8E60"/>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CC8E60"/>
          <w:left w:val="single" w:sz="8" w:space="0" w:color="CC8E60"/>
          <w:bottom w:val="single" w:sz="8" w:space="0" w:color="CC8E60"/>
          <w:right w:val="single" w:sz="8" w:space="0" w:color="CC8E60"/>
          <w:insideH w:val="nil"/>
          <w:insideV w:val="single" w:sz="8" w:space="0" w:color="CC8E60"/>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C8E60"/>
          <w:left w:val="single" w:sz="8" w:space="0" w:color="CC8E60"/>
          <w:bottom w:val="single" w:sz="8" w:space="0" w:color="CC8E60"/>
          <w:right w:val="single" w:sz="8" w:space="0" w:color="CC8E60"/>
        </w:tcBorders>
      </w:tcPr>
    </w:tblStylePr>
    <w:tblStylePr w:type="band1Vert">
      <w:tblPr/>
      <w:tcPr>
        <w:tcBorders>
          <w:top w:val="single" w:sz="8" w:space="0" w:color="CC8E60"/>
          <w:left w:val="single" w:sz="8" w:space="0" w:color="CC8E60"/>
          <w:bottom w:val="single" w:sz="8" w:space="0" w:color="CC8E60"/>
          <w:right w:val="single" w:sz="8" w:space="0" w:color="CC8E60"/>
        </w:tcBorders>
        <w:shd w:val="clear" w:color="auto" w:fill="F2E2D7"/>
      </w:tcPr>
    </w:tblStylePr>
    <w:tblStylePr w:type="band1Horz">
      <w:tblPr/>
      <w:tcPr>
        <w:tcBorders>
          <w:top w:val="single" w:sz="8" w:space="0" w:color="CC8E60"/>
          <w:left w:val="single" w:sz="8" w:space="0" w:color="CC8E60"/>
          <w:bottom w:val="single" w:sz="8" w:space="0" w:color="CC8E60"/>
          <w:right w:val="single" w:sz="8" w:space="0" w:color="CC8E60"/>
          <w:insideV w:val="single" w:sz="8" w:space="0" w:color="CC8E60"/>
        </w:tcBorders>
        <w:shd w:val="clear" w:color="auto" w:fill="F2E2D7"/>
      </w:tcPr>
    </w:tblStylePr>
    <w:tblStylePr w:type="band2Horz">
      <w:tblPr/>
      <w:tcPr>
        <w:tcBorders>
          <w:top w:val="single" w:sz="8" w:space="0" w:color="CC8E60"/>
          <w:left w:val="single" w:sz="8" w:space="0" w:color="CC8E60"/>
          <w:bottom w:val="single" w:sz="8" w:space="0" w:color="CC8E60"/>
          <w:right w:val="single" w:sz="8" w:space="0" w:color="CC8E60"/>
          <w:insideV w:val="single" w:sz="8" w:space="0" w:color="CC8E60"/>
        </w:tcBorders>
      </w:tcPr>
    </w:tblStylePr>
  </w:style>
  <w:style w:type="table" w:styleId="LightGrid-Accent3">
    <w:name w:val="Light Grid Accent 3"/>
    <w:basedOn w:val="TableNormal"/>
    <w:uiPriority w:val="62"/>
    <w:rsid w:val="00F80E94"/>
    <w:pPr>
      <w:spacing w:after="0" w:line="240" w:lineRule="auto"/>
    </w:pPr>
    <w:rPr>
      <w:rFonts w:ascii="Cambria" w:eastAsia="Cambria" w:hAnsi="Cambria" w:cs="Times New Roman"/>
    </w:rPr>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7A6A60"/>
          <w:left w:val="single" w:sz="8" w:space="0" w:color="7A6A60"/>
          <w:bottom w:val="single" w:sz="18" w:space="0" w:color="7A6A60"/>
          <w:right w:val="single" w:sz="8" w:space="0" w:color="7A6A60"/>
          <w:insideH w:val="nil"/>
          <w:insideV w:val="single" w:sz="8" w:space="0" w:color="7A6A60"/>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7A6A60"/>
          <w:left w:val="single" w:sz="8" w:space="0" w:color="7A6A60"/>
          <w:bottom w:val="single" w:sz="8" w:space="0" w:color="7A6A60"/>
          <w:right w:val="single" w:sz="8" w:space="0" w:color="7A6A60"/>
          <w:insideH w:val="nil"/>
          <w:insideV w:val="single" w:sz="8" w:space="0" w:color="7A6A60"/>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7A6A60"/>
          <w:left w:val="single" w:sz="8" w:space="0" w:color="7A6A60"/>
          <w:bottom w:val="single" w:sz="8" w:space="0" w:color="7A6A60"/>
          <w:right w:val="single" w:sz="8" w:space="0" w:color="7A6A60"/>
        </w:tcBorders>
      </w:tcPr>
    </w:tblStylePr>
    <w:tblStylePr w:type="band1Vert">
      <w:tblPr/>
      <w:tcPr>
        <w:tcBorders>
          <w:top w:val="single" w:sz="8" w:space="0" w:color="7A6A60"/>
          <w:left w:val="single" w:sz="8" w:space="0" w:color="7A6A60"/>
          <w:bottom w:val="single" w:sz="8" w:space="0" w:color="7A6A60"/>
          <w:right w:val="single" w:sz="8" w:space="0" w:color="7A6A60"/>
        </w:tcBorders>
        <w:shd w:val="clear" w:color="auto" w:fill="DFD9D6"/>
      </w:tcPr>
    </w:tblStylePr>
    <w:tblStylePr w:type="band1Horz">
      <w:tblPr/>
      <w:tcPr>
        <w:tcBorders>
          <w:top w:val="single" w:sz="8" w:space="0" w:color="7A6A60"/>
          <w:left w:val="single" w:sz="8" w:space="0" w:color="7A6A60"/>
          <w:bottom w:val="single" w:sz="8" w:space="0" w:color="7A6A60"/>
          <w:right w:val="single" w:sz="8" w:space="0" w:color="7A6A60"/>
          <w:insideV w:val="single" w:sz="8" w:space="0" w:color="7A6A60"/>
        </w:tcBorders>
        <w:shd w:val="clear" w:color="auto" w:fill="DFD9D6"/>
      </w:tcPr>
    </w:tblStylePr>
    <w:tblStylePr w:type="band2Horz">
      <w:tblPr/>
      <w:tcPr>
        <w:tcBorders>
          <w:top w:val="single" w:sz="8" w:space="0" w:color="7A6A60"/>
          <w:left w:val="single" w:sz="8" w:space="0" w:color="7A6A60"/>
          <w:bottom w:val="single" w:sz="8" w:space="0" w:color="7A6A60"/>
          <w:right w:val="single" w:sz="8" w:space="0" w:color="7A6A60"/>
          <w:insideV w:val="single" w:sz="8" w:space="0" w:color="7A6A60"/>
        </w:tcBorders>
      </w:tcPr>
    </w:tblStylePr>
  </w:style>
  <w:style w:type="table" w:styleId="LightGrid-Accent4">
    <w:name w:val="Light Grid Accent 4"/>
    <w:basedOn w:val="TableNormal"/>
    <w:uiPriority w:val="62"/>
    <w:rsid w:val="00F80E94"/>
    <w:pPr>
      <w:spacing w:after="0" w:line="240" w:lineRule="auto"/>
    </w:pPr>
    <w:rPr>
      <w:rFonts w:ascii="Cambria" w:eastAsia="Cambria" w:hAnsi="Cambria" w:cs="Times New Roman"/>
    </w:rPr>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B4936D"/>
          <w:left w:val="single" w:sz="8" w:space="0" w:color="B4936D"/>
          <w:bottom w:val="single" w:sz="18" w:space="0" w:color="B4936D"/>
          <w:right w:val="single" w:sz="8" w:space="0" w:color="B4936D"/>
          <w:insideH w:val="nil"/>
          <w:insideV w:val="single" w:sz="8" w:space="0" w:color="B4936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B4936D"/>
          <w:left w:val="single" w:sz="8" w:space="0" w:color="B4936D"/>
          <w:bottom w:val="single" w:sz="8" w:space="0" w:color="B4936D"/>
          <w:right w:val="single" w:sz="8" w:space="0" w:color="B4936D"/>
          <w:insideH w:val="nil"/>
          <w:insideV w:val="single" w:sz="8" w:space="0" w:color="B4936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B4936D"/>
          <w:left w:val="single" w:sz="8" w:space="0" w:color="B4936D"/>
          <w:bottom w:val="single" w:sz="8" w:space="0" w:color="B4936D"/>
          <w:right w:val="single" w:sz="8" w:space="0" w:color="B4936D"/>
        </w:tcBorders>
      </w:tcPr>
    </w:tblStylePr>
    <w:tblStylePr w:type="band1Vert">
      <w:tblPr/>
      <w:tcPr>
        <w:tcBorders>
          <w:top w:val="single" w:sz="8" w:space="0" w:color="B4936D"/>
          <w:left w:val="single" w:sz="8" w:space="0" w:color="B4936D"/>
          <w:bottom w:val="single" w:sz="8" w:space="0" w:color="B4936D"/>
          <w:right w:val="single" w:sz="8" w:space="0" w:color="B4936D"/>
        </w:tcBorders>
        <w:shd w:val="clear" w:color="auto" w:fill="ECE4DA"/>
      </w:tcPr>
    </w:tblStylePr>
    <w:tblStylePr w:type="band1Horz">
      <w:tblPr/>
      <w:tcPr>
        <w:tcBorders>
          <w:top w:val="single" w:sz="8" w:space="0" w:color="B4936D"/>
          <w:left w:val="single" w:sz="8" w:space="0" w:color="B4936D"/>
          <w:bottom w:val="single" w:sz="8" w:space="0" w:color="B4936D"/>
          <w:right w:val="single" w:sz="8" w:space="0" w:color="B4936D"/>
          <w:insideV w:val="single" w:sz="8" w:space="0" w:color="B4936D"/>
        </w:tcBorders>
        <w:shd w:val="clear" w:color="auto" w:fill="ECE4DA"/>
      </w:tcPr>
    </w:tblStylePr>
    <w:tblStylePr w:type="band2Horz">
      <w:tblPr/>
      <w:tcPr>
        <w:tcBorders>
          <w:top w:val="single" w:sz="8" w:space="0" w:color="B4936D"/>
          <w:left w:val="single" w:sz="8" w:space="0" w:color="B4936D"/>
          <w:bottom w:val="single" w:sz="8" w:space="0" w:color="B4936D"/>
          <w:right w:val="single" w:sz="8" w:space="0" w:color="B4936D"/>
          <w:insideV w:val="single" w:sz="8" w:space="0" w:color="B4936D"/>
        </w:tcBorders>
      </w:tcPr>
    </w:tblStylePr>
  </w:style>
  <w:style w:type="table" w:styleId="LightGrid-Accent5">
    <w:name w:val="Light Grid Accent 5"/>
    <w:basedOn w:val="TableNormal"/>
    <w:uiPriority w:val="62"/>
    <w:rsid w:val="00F80E94"/>
    <w:pPr>
      <w:spacing w:after="0" w:line="240" w:lineRule="auto"/>
    </w:pPr>
    <w:rPr>
      <w:rFonts w:ascii="Cambria" w:eastAsia="Cambria" w:hAnsi="Cambria" w:cs="Times New Roman"/>
    </w:rPr>
    <w:tblPr>
      <w:tblStyleRowBandSize w:val="1"/>
      <w:tblStyleColBandSize w:val="1"/>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67787B"/>
          <w:left w:val="single" w:sz="8" w:space="0" w:color="67787B"/>
          <w:bottom w:val="single" w:sz="18" w:space="0" w:color="67787B"/>
          <w:right w:val="single" w:sz="8" w:space="0" w:color="67787B"/>
          <w:insideH w:val="nil"/>
          <w:insideV w:val="single" w:sz="8" w:space="0" w:color="67787B"/>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67787B"/>
          <w:left w:val="single" w:sz="8" w:space="0" w:color="67787B"/>
          <w:bottom w:val="single" w:sz="8" w:space="0" w:color="67787B"/>
          <w:right w:val="single" w:sz="8" w:space="0" w:color="67787B"/>
          <w:insideH w:val="nil"/>
          <w:insideV w:val="single" w:sz="8" w:space="0" w:color="67787B"/>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67787B"/>
          <w:left w:val="single" w:sz="8" w:space="0" w:color="67787B"/>
          <w:bottom w:val="single" w:sz="8" w:space="0" w:color="67787B"/>
          <w:right w:val="single" w:sz="8" w:space="0" w:color="67787B"/>
        </w:tcBorders>
      </w:tcPr>
    </w:tblStylePr>
    <w:tblStylePr w:type="band1Vert">
      <w:tblPr/>
      <w:tcPr>
        <w:tcBorders>
          <w:top w:val="single" w:sz="8" w:space="0" w:color="67787B"/>
          <w:left w:val="single" w:sz="8" w:space="0" w:color="67787B"/>
          <w:bottom w:val="single" w:sz="8" w:space="0" w:color="67787B"/>
          <w:right w:val="single" w:sz="8" w:space="0" w:color="67787B"/>
        </w:tcBorders>
        <w:shd w:val="clear" w:color="auto" w:fill="D8DEDF"/>
      </w:tcPr>
    </w:tblStylePr>
    <w:tblStylePr w:type="band1Horz">
      <w:tblPr/>
      <w:tcPr>
        <w:tcBorders>
          <w:top w:val="single" w:sz="8" w:space="0" w:color="67787B"/>
          <w:left w:val="single" w:sz="8" w:space="0" w:color="67787B"/>
          <w:bottom w:val="single" w:sz="8" w:space="0" w:color="67787B"/>
          <w:right w:val="single" w:sz="8" w:space="0" w:color="67787B"/>
          <w:insideV w:val="single" w:sz="8" w:space="0" w:color="67787B"/>
        </w:tcBorders>
        <w:shd w:val="clear" w:color="auto" w:fill="D8DEDF"/>
      </w:tcPr>
    </w:tblStylePr>
    <w:tblStylePr w:type="band2Horz">
      <w:tblPr/>
      <w:tcPr>
        <w:tcBorders>
          <w:top w:val="single" w:sz="8" w:space="0" w:color="67787B"/>
          <w:left w:val="single" w:sz="8" w:space="0" w:color="67787B"/>
          <w:bottom w:val="single" w:sz="8" w:space="0" w:color="67787B"/>
          <w:right w:val="single" w:sz="8" w:space="0" w:color="67787B"/>
          <w:insideV w:val="single" w:sz="8" w:space="0" w:color="67787B"/>
        </w:tcBorders>
      </w:tcPr>
    </w:tblStylePr>
  </w:style>
  <w:style w:type="table" w:styleId="LightGrid-Accent6">
    <w:name w:val="Light Grid Accent 6"/>
    <w:basedOn w:val="TableNormal"/>
    <w:uiPriority w:val="62"/>
    <w:rsid w:val="00F80E94"/>
    <w:pPr>
      <w:spacing w:after="0" w:line="240" w:lineRule="auto"/>
    </w:pPr>
    <w:rPr>
      <w:rFonts w:ascii="Cambria" w:eastAsia="Cambria" w:hAnsi="Cambria" w:cs="Times New Roman"/>
    </w:rPr>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9D936F"/>
          <w:left w:val="single" w:sz="8" w:space="0" w:color="9D936F"/>
          <w:bottom w:val="single" w:sz="18" w:space="0" w:color="9D936F"/>
          <w:right w:val="single" w:sz="8" w:space="0" w:color="9D936F"/>
          <w:insideH w:val="nil"/>
          <w:insideV w:val="single" w:sz="8" w:space="0" w:color="9D936F"/>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9D936F"/>
          <w:left w:val="single" w:sz="8" w:space="0" w:color="9D936F"/>
          <w:bottom w:val="single" w:sz="8" w:space="0" w:color="9D936F"/>
          <w:right w:val="single" w:sz="8" w:space="0" w:color="9D936F"/>
          <w:insideH w:val="nil"/>
          <w:insideV w:val="single" w:sz="8" w:space="0" w:color="9D936F"/>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9D936F"/>
          <w:left w:val="single" w:sz="8" w:space="0" w:color="9D936F"/>
          <w:bottom w:val="single" w:sz="8" w:space="0" w:color="9D936F"/>
          <w:right w:val="single" w:sz="8" w:space="0" w:color="9D936F"/>
        </w:tcBorders>
      </w:tcPr>
    </w:tblStylePr>
    <w:tblStylePr w:type="band1Vert">
      <w:tblPr/>
      <w:tcPr>
        <w:tcBorders>
          <w:top w:val="single" w:sz="8" w:space="0" w:color="9D936F"/>
          <w:left w:val="single" w:sz="8" w:space="0" w:color="9D936F"/>
          <w:bottom w:val="single" w:sz="8" w:space="0" w:color="9D936F"/>
          <w:right w:val="single" w:sz="8" w:space="0" w:color="9D936F"/>
        </w:tcBorders>
        <w:shd w:val="clear" w:color="auto" w:fill="E6E4DB"/>
      </w:tcPr>
    </w:tblStylePr>
    <w:tblStylePr w:type="band1Horz">
      <w:tblPr/>
      <w:tcPr>
        <w:tcBorders>
          <w:top w:val="single" w:sz="8" w:space="0" w:color="9D936F"/>
          <w:left w:val="single" w:sz="8" w:space="0" w:color="9D936F"/>
          <w:bottom w:val="single" w:sz="8" w:space="0" w:color="9D936F"/>
          <w:right w:val="single" w:sz="8" w:space="0" w:color="9D936F"/>
          <w:insideV w:val="single" w:sz="8" w:space="0" w:color="9D936F"/>
        </w:tcBorders>
        <w:shd w:val="clear" w:color="auto" w:fill="E6E4DB"/>
      </w:tcPr>
    </w:tblStylePr>
    <w:tblStylePr w:type="band2Horz">
      <w:tblPr/>
      <w:tcPr>
        <w:tcBorders>
          <w:top w:val="single" w:sz="8" w:space="0" w:color="9D936F"/>
          <w:left w:val="single" w:sz="8" w:space="0" w:color="9D936F"/>
          <w:bottom w:val="single" w:sz="8" w:space="0" w:color="9D936F"/>
          <w:right w:val="single" w:sz="8" w:space="0" w:color="9D936F"/>
          <w:insideV w:val="single" w:sz="8" w:space="0" w:color="9D936F"/>
        </w:tcBorders>
      </w:tcPr>
    </w:tblStylePr>
  </w:style>
  <w:style w:type="table" w:styleId="LightList">
    <w:name w:val="Light List"/>
    <w:basedOn w:val="TableNormal"/>
    <w:uiPriority w:val="61"/>
    <w:rsid w:val="00F80E94"/>
    <w:pPr>
      <w:spacing w:after="0" w:line="240" w:lineRule="auto"/>
    </w:pPr>
    <w:rPr>
      <w:rFonts w:ascii="Cambria" w:eastAsia="Cambria" w:hAnsi="Cambria"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80E94"/>
    <w:pPr>
      <w:spacing w:after="0" w:line="240" w:lineRule="auto"/>
    </w:pPr>
    <w:rPr>
      <w:rFonts w:ascii="Cambria" w:eastAsia="Cambria" w:hAnsi="Cambria" w:cs="Times New Roman"/>
    </w:rPr>
    <w:tblPr>
      <w:tblStyleRowBandSize w:val="1"/>
      <w:tblStyleColBandSize w:val="1"/>
      <w:tblBorders>
        <w:top w:val="single" w:sz="8" w:space="0" w:color="7E97AD"/>
        <w:left w:val="single" w:sz="8" w:space="0" w:color="7E97AD"/>
        <w:bottom w:val="single" w:sz="8" w:space="0" w:color="7E97AD"/>
        <w:right w:val="single" w:sz="8" w:space="0" w:color="7E97AD"/>
      </w:tblBorders>
    </w:tblPr>
    <w:tblStylePr w:type="firstRow">
      <w:pPr>
        <w:spacing w:before="0" w:after="0" w:line="240" w:lineRule="auto"/>
      </w:pPr>
      <w:rPr>
        <w:b/>
        <w:bCs/>
        <w:color w:val="FFFFFF"/>
      </w:rPr>
      <w:tblPr/>
      <w:tcPr>
        <w:shd w:val="clear" w:color="auto" w:fill="7E97AD"/>
      </w:tcPr>
    </w:tblStylePr>
    <w:tblStylePr w:type="lastRow">
      <w:pPr>
        <w:spacing w:before="0" w:after="0" w:line="240" w:lineRule="auto"/>
      </w:pPr>
      <w:rPr>
        <w:b/>
        <w:bCs/>
      </w:rPr>
      <w:tblPr/>
      <w:tcPr>
        <w:tcBorders>
          <w:top w:val="double" w:sz="6" w:space="0" w:color="7E97AD"/>
          <w:left w:val="single" w:sz="8" w:space="0" w:color="7E97AD"/>
          <w:bottom w:val="single" w:sz="8" w:space="0" w:color="7E97AD"/>
          <w:right w:val="single" w:sz="8" w:space="0" w:color="7E97AD"/>
        </w:tcBorders>
      </w:tcPr>
    </w:tblStylePr>
    <w:tblStylePr w:type="firstCol">
      <w:rPr>
        <w:b/>
        <w:bCs/>
      </w:rPr>
    </w:tblStylePr>
    <w:tblStylePr w:type="lastCol">
      <w:rPr>
        <w:b/>
        <w:bCs/>
      </w:rPr>
    </w:tblStylePr>
    <w:tblStylePr w:type="band1Vert">
      <w:tblPr/>
      <w:tcPr>
        <w:tcBorders>
          <w:top w:val="single" w:sz="8" w:space="0" w:color="7E97AD"/>
          <w:left w:val="single" w:sz="8" w:space="0" w:color="7E97AD"/>
          <w:bottom w:val="single" w:sz="8" w:space="0" w:color="7E97AD"/>
          <w:right w:val="single" w:sz="8" w:space="0" w:color="7E97AD"/>
        </w:tcBorders>
      </w:tcPr>
    </w:tblStylePr>
    <w:tblStylePr w:type="band1Horz">
      <w:tblPr/>
      <w:tcPr>
        <w:tcBorders>
          <w:top w:val="single" w:sz="8" w:space="0" w:color="7E97AD"/>
          <w:left w:val="single" w:sz="8" w:space="0" w:color="7E97AD"/>
          <w:bottom w:val="single" w:sz="8" w:space="0" w:color="7E97AD"/>
          <w:right w:val="single" w:sz="8" w:space="0" w:color="7E97AD"/>
        </w:tcBorders>
      </w:tcPr>
    </w:tblStylePr>
  </w:style>
  <w:style w:type="table" w:styleId="LightList-Accent2">
    <w:name w:val="Light List Accent 2"/>
    <w:basedOn w:val="TableNormal"/>
    <w:uiPriority w:val="61"/>
    <w:rsid w:val="00F80E94"/>
    <w:pPr>
      <w:spacing w:after="0" w:line="240" w:lineRule="auto"/>
    </w:pPr>
    <w:rPr>
      <w:rFonts w:ascii="Cambria" w:eastAsia="Cambria" w:hAnsi="Cambria" w:cs="Times New Roman"/>
    </w:rPr>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pPr>
        <w:spacing w:before="0" w:after="0" w:line="240" w:lineRule="auto"/>
      </w:pPr>
      <w:rPr>
        <w:b/>
        <w:bCs/>
        <w:color w:val="FFFFFF"/>
      </w:rPr>
      <w:tblPr/>
      <w:tcPr>
        <w:shd w:val="clear" w:color="auto" w:fill="CC8E60"/>
      </w:tcPr>
    </w:tblStylePr>
    <w:tblStylePr w:type="lastRow">
      <w:pPr>
        <w:spacing w:before="0" w:after="0" w:line="240" w:lineRule="auto"/>
      </w:pPr>
      <w:rPr>
        <w:b/>
        <w:bCs/>
      </w:rPr>
      <w:tblPr/>
      <w:tcPr>
        <w:tcBorders>
          <w:top w:val="double" w:sz="6" w:space="0" w:color="CC8E60"/>
          <w:left w:val="single" w:sz="8" w:space="0" w:color="CC8E60"/>
          <w:bottom w:val="single" w:sz="8" w:space="0" w:color="CC8E60"/>
          <w:right w:val="single" w:sz="8" w:space="0" w:color="CC8E60"/>
        </w:tcBorders>
      </w:tcPr>
    </w:tblStylePr>
    <w:tblStylePr w:type="firstCol">
      <w:rPr>
        <w:b/>
        <w:bCs/>
      </w:rPr>
    </w:tblStylePr>
    <w:tblStylePr w:type="lastCol">
      <w:rPr>
        <w:b/>
        <w:bCs/>
      </w:rPr>
    </w:tblStylePr>
    <w:tblStylePr w:type="band1Vert">
      <w:tblPr/>
      <w:tcPr>
        <w:tcBorders>
          <w:top w:val="single" w:sz="8" w:space="0" w:color="CC8E60"/>
          <w:left w:val="single" w:sz="8" w:space="0" w:color="CC8E60"/>
          <w:bottom w:val="single" w:sz="8" w:space="0" w:color="CC8E60"/>
          <w:right w:val="single" w:sz="8" w:space="0" w:color="CC8E60"/>
        </w:tcBorders>
      </w:tcPr>
    </w:tblStylePr>
    <w:tblStylePr w:type="band1Horz">
      <w:tblPr/>
      <w:tcPr>
        <w:tcBorders>
          <w:top w:val="single" w:sz="8" w:space="0" w:color="CC8E60"/>
          <w:left w:val="single" w:sz="8" w:space="0" w:color="CC8E60"/>
          <w:bottom w:val="single" w:sz="8" w:space="0" w:color="CC8E60"/>
          <w:right w:val="single" w:sz="8" w:space="0" w:color="CC8E60"/>
        </w:tcBorders>
      </w:tcPr>
    </w:tblStylePr>
  </w:style>
  <w:style w:type="table" w:styleId="LightList-Accent3">
    <w:name w:val="Light List Accent 3"/>
    <w:basedOn w:val="TableNormal"/>
    <w:uiPriority w:val="61"/>
    <w:rsid w:val="00F80E94"/>
    <w:pPr>
      <w:spacing w:after="0" w:line="240" w:lineRule="auto"/>
    </w:pPr>
    <w:rPr>
      <w:rFonts w:ascii="Cambria" w:eastAsia="Cambria" w:hAnsi="Cambria" w:cs="Times New Roman"/>
    </w:rPr>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pPr>
        <w:spacing w:before="0" w:after="0" w:line="240" w:lineRule="auto"/>
      </w:pPr>
      <w:rPr>
        <w:b/>
        <w:bCs/>
        <w:color w:val="FFFFFF"/>
      </w:rPr>
      <w:tblPr/>
      <w:tcPr>
        <w:shd w:val="clear" w:color="auto" w:fill="7A6A60"/>
      </w:tcPr>
    </w:tblStylePr>
    <w:tblStylePr w:type="lastRow">
      <w:pPr>
        <w:spacing w:before="0" w:after="0" w:line="240" w:lineRule="auto"/>
      </w:pPr>
      <w:rPr>
        <w:b/>
        <w:bCs/>
      </w:rPr>
      <w:tblPr/>
      <w:tcPr>
        <w:tcBorders>
          <w:top w:val="double" w:sz="6" w:space="0" w:color="7A6A60"/>
          <w:left w:val="single" w:sz="8" w:space="0" w:color="7A6A60"/>
          <w:bottom w:val="single" w:sz="8" w:space="0" w:color="7A6A60"/>
          <w:right w:val="single" w:sz="8" w:space="0" w:color="7A6A60"/>
        </w:tcBorders>
      </w:tcPr>
    </w:tblStylePr>
    <w:tblStylePr w:type="firstCol">
      <w:rPr>
        <w:b/>
        <w:bCs/>
      </w:rPr>
    </w:tblStylePr>
    <w:tblStylePr w:type="lastCol">
      <w:rPr>
        <w:b/>
        <w:bCs/>
      </w:rPr>
    </w:tblStylePr>
    <w:tblStylePr w:type="band1Vert">
      <w:tblPr/>
      <w:tcPr>
        <w:tcBorders>
          <w:top w:val="single" w:sz="8" w:space="0" w:color="7A6A60"/>
          <w:left w:val="single" w:sz="8" w:space="0" w:color="7A6A60"/>
          <w:bottom w:val="single" w:sz="8" w:space="0" w:color="7A6A60"/>
          <w:right w:val="single" w:sz="8" w:space="0" w:color="7A6A60"/>
        </w:tcBorders>
      </w:tcPr>
    </w:tblStylePr>
    <w:tblStylePr w:type="band1Horz">
      <w:tblPr/>
      <w:tcPr>
        <w:tcBorders>
          <w:top w:val="single" w:sz="8" w:space="0" w:color="7A6A60"/>
          <w:left w:val="single" w:sz="8" w:space="0" w:color="7A6A60"/>
          <w:bottom w:val="single" w:sz="8" w:space="0" w:color="7A6A60"/>
          <w:right w:val="single" w:sz="8" w:space="0" w:color="7A6A60"/>
        </w:tcBorders>
      </w:tcPr>
    </w:tblStylePr>
  </w:style>
  <w:style w:type="table" w:styleId="LightList-Accent4">
    <w:name w:val="Light List Accent 4"/>
    <w:basedOn w:val="TableNormal"/>
    <w:uiPriority w:val="61"/>
    <w:rsid w:val="00F80E94"/>
    <w:pPr>
      <w:spacing w:after="0" w:line="240" w:lineRule="auto"/>
    </w:pPr>
    <w:rPr>
      <w:rFonts w:ascii="Cambria" w:eastAsia="Cambria" w:hAnsi="Cambria" w:cs="Times New Roman"/>
    </w:rPr>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pPr>
        <w:spacing w:before="0" w:after="0" w:line="240" w:lineRule="auto"/>
      </w:pPr>
      <w:rPr>
        <w:b/>
        <w:bCs/>
        <w:color w:val="FFFFFF"/>
      </w:rPr>
      <w:tblPr/>
      <w:tcPr>
        <w:shd w:val="clear" w:color="auto" w:fill="B4936D"/>
      </w:tcPr>
    </w:tblStylePr>
    <w:tblStylePr w:type="lastRow">
      <w:pPr>
        <w:spacing w:before="0" w:after="0" w:line="240" w:lineRule="auto"/>
      </w:pPr>
      <w:rPr>
        <w:b/>
        <w:bCs/>
      </w:rPr>
      <w:tblPr/>
      <w:tcPr>
        <w:tcBorders>
          <w:top w:val="double" w:sz="6" w:space="0" w:color="B4936D"/>
          <w:left w:val="single" w:sz="8" w:space="0" w:color="B4936D"/>
          <w:bottom w:val="single" w:sz="8" w:space="0" w:color="B4936D"/>
          <w:right w:val="single" w:sz="8" w:space="0" w:color="B4936D"/>
        </w:tcBorders>
      </w:tcPr>
    </w:tblStylePr>
    <w:tblStylePr w:type="firstCol">
      <w:rPr>
        <w:b/>
        <w:bCs/>
      </w:rPr>
    </w:tblStylePr>
    <w:tblStylePr w:type="lastCol">
      <w:rPr>
        <w:b/>
        <w:bCs/>
      </w:rPr>
    </w:tblStylePr>
    <w:tblStylePr w:type="band1Vert">
      <w:tblPr/>
      <w:tcPr>
        <w:tcBorders>
          <w:top w:val="single" w:sz="8" w:space="0" w:color="B4936D"/>
          <w:left w:val="single" w:sz="8" w:space="0" w:color="B4936D"/>
          <w:bottom w:val="single" w:sz="8" w:space="0" w:color="B4936D"/>
          <w:right w:val="single" w:sz="8" w:space="0" w:color="B4936D"/>
        </w:tcBorders>
      </w:tcPr>
    </w:tblStylePr>
    <w:tblStylePr w:type="band1Horz">
      <w:tblPr/>
      <w:tcPr>
        <w:tcBorders>
          <w:top w:val="single" w:sz="8" w:space="0" w:color="B4936D"/>
          <w:left w:val="single" w:sz="8" w:space="0" w:color="B4936D"/>
          <w:bottom w:val="single" w:sz="8" w:space="0" w:color="B4936D"/>
          <w:right w:val="single" w:sz="8" w:space="0" w:color="B4936D"/>
        </w:tcBorders>
      </w:tcPr>
    </w:tblStylePr>
  </w:style>
  <w:style w:type="table" w:styleId="LightList-Accent5">
    <w:name w:val="Light List Accent 5"/>
    <w:basedOn w:val="TableNormal"/>
    <w:uiPriority w:val="61"/>
    <w:rsid w:val="00F80E94"/>
    <w:pPr>
      <w:spacing w:after="0" w:line="240" w:lineRule="auto"/>
    </w:pPr>
    <w:rPr>
      <w:rFonts w:ascii="Cambria" w:eastAsia="Cambria" w:hAnsi="Cambria" w:cs="Times New Roman"/>
    </w:rPr>
    <w:tblPr>
      <w:tblStyleRowBandSize w:val="1"/>
      <w:tblStyleColBandSize w:val="1"/>
      <w:tblBorders>
        <w:top w:val="single" w:sz="8" w:space="0" w:color="67787B"/>
        <w:left w:val="single" w:sz="8" w:space="0" w:color="67787B"/>
        <w:bottom w:val="single" w:sz="8" w:space="0" w:color="67787B"/>
        <w:right w:val="single" w:sz="8" w:space="0" w:color="67787B"/>
      </w:tblBorders>
    </w:tblPr>
    <w:tblStylePr w:type="firstRow">
      <w:pPr>
        <w:spacing w:before="0" w:after="0" w:line="240" w:lineRule="auto"/>
      </w:pPr>
      <w:rPr>
        <w:b/>
        <w:bCs/>
        <w:color w:val="FFFFFF"/>
      </w:rPr>
      <w:tblPr/>
      <w:tcPr>
        <w:shd w:val="clear" w:color="auto" w:fill="67787B"/>
      </w:tcPr>
    </w:tblStylePr>
    <w:tblStylePr w:type="lastRow">
      <w:pPr>
        <w:spacing w:before="0" w:after="0" w:line="240" w:lineRule="auto"/>
      </w:pPr>
      <w:rPr>
        <w:b/>
        <w:bCs/>
      </w:rPr>
      <w:tblPr/>
      <w:tcPr>
        <w:tcBorders>
          <w:top w:val="double" w:sz="6" w:space="0" w:color="67787B"/>
          <w:left w:val="single" w:sz="8" w:space="0" w:color="67787B"/>
          <w:bottom w:val="single" w:sz="8" w:space="0" w:color="67787B"/>
          <w:right w:val="single" w:sz="8" w:space="0" w:color="67787B"/>
        </w:tcBorders>
      </w:tcPr>
    </w:tblStylePr>
    <w:tblStylePr w:type="firstCol">
      <w:rPr>
        <w:b/>
        <w:bCs/>
      </w:rPr>
    </w:tblStylePr>
    <w:tblStylePr w:type="lastCol">
      <w:rPr>
        <w:b/>
        <w:bCs/>
      </w:rPr>
    </w:tblStylePr>
    <w:tblStylePr w:type="band1Vert">
      <w:tblPr/>
      <w:tcPr>
        <w:tcBorders>
          <w:top w:val="single" w:sz="8" w:space="0" w:color="67787B"/>
          <w:left w:val="single" w:sz="8" w:space="0" w:color="67787B"/>
          <w:bottom w:val="single" w:sz="8" w:space="0" w:color="67787B"/>
          <w:right w:val="single" w:sz="8" w:space="0" w:color="67787B"/>
        </w:tcBorders>
      </w:tcPr>
    </w:tblStylePr>
    <w:tblStylePr w:type="band1Horz">
      <w:tblPr/>
      <w:tcPr>
        <w:tcBorders>
          <w:top w:val="single" w:sz="8" w:space="0" w:color="67787B"/>
          <w:left w:val="single" w:sz="8" w:space="0" w:color="67787B"/>
          <w:bottom w:val="single" w:sz="8" w:space="0" w:color="67787B"/>
          <w:right w:val="single" w:sz="8" w:space="0" w:color="67787B"/>
        </w:tcBorders>
      </w:tcPr>
    </w:tblStylePr>
  </w:style>
  <w:style w:type="table" w:styleId="LightList-Accent6">
    <w:name w:val="Light List Accent 6"/>
    <w:basedOn w:val="TableNormal"/>
    <w:uiPriority w:val="61"/>
    <w:rsid w:val="00F80E94"/>
    <w:pPr>
      <w:spacing w:after="0" w:line="240" w:lineRule="auto"/>
    </w:pPr>
    <w:rPr>
      <w:rFonts w:ascii="Cambria" w:eastAsia="Cambria" w:hAnsi="Cambria" w:cs="Times New Roman"/>
    </w:rPr>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pPr>
        <w:spacing w:before="0" w:after="0" w:line="240" w:lineRule="auto"/>
      </w:pPr>
      <w:rPr>
        <w:b/>
        <w:bCs/>
        <w:color w:val="FFFFFF"/>
      </w:rPr>
      <w:tblPr/>
      <w:tcPr>
        <w:shd w:val="clear" w:color="auto" w:fill="9D936F"/>
      </w:tcPr>
    </w:tblStylePr>
    <w:tblStylePr w:type="lastRow">
      <w:pPr>
        <w:spacing w:before="0" w:after="0" w:line="240" w:lineRule="auto"/>
      </w:pPr>
      <w:rPr>
        <w:b/>
        <w:bCs/>
      </w:rPr>
      <w:tblPr/>
      <w:tcPr>
        <w:tcBorders>
          <w:top w:val="double" w:sz="6" w:space="0" w:color="9D936F"/>
          <w:left w:val="single" w:sz="8" w:space="0" w:color="9D936F"/>
          <w:bottom w:val="single" w:sz="8" w:space="0" w:color="9D936F"/>
          <w:right w:val="single" w:sz="8" w:space="0" w:color="9D936F"/>
        </w:tcBorders>
      </w:tcPr>
    </w:tblStylePr>
    <w:tblStylePr w:type="firstCol">
      <w:rPr>
        <w:b/>
        <w:bCs/>
      </w:rPr>
    </w:tblStylePr>
    <w:tblStylePr w:type="lastCol">
      <w:rPr>
        <w:b/>
        <w:bCs/>
      </w:rPr>
    </w:tblStylePr>
    <w:tblStylePr w:type="band1Vert">
      <w:tblPr/>
      <w:tcPr>
        <w:tcBorders>
          <w:top w:val="single" w:sz="8" w:space="0" w:color="9D936F"/>
          <w:left w:val="single" w:sz="8" w:space="0" w:color="9D936F"/>
          <w:bottom w:val="single" w:sz="8" w:space="0" w:color="9D936F"/>
          <w:right w:val="single" w:sz="8" w:space="0" w:color="9D936F"/>
        </w:tcBorders>
      </w:tcPr>
    </w:tblStylePr>
    <w:tblStylePr w:type="band1Horz">
      <w:tblPr/>
      <w:tcPr>
        <w:tcBorders>
          <w:top w:val="single" w:sz="8" w:space="0" w:color="9D936F"/>
          <w:left w:val="single" w:sz="8" w:space="0" w:color="9D936F"/>
          <w:bottom w:val="single" w:sz="8" w:space="0" w:color="9D936F"/>
          <w:right w:val="single" w:sz="8" w:space="0" w:color="9D936F"/>
        </w:tcBorders>
      </w:tcPr>
    </w:tblStylePr>
  </w:style>
  <w:style w:type="table" w:styleId="LightShading">
    <w:name w:val="Light Shading"/>
    <w:basedOn w:val="TableNormal"/>
    <w:uiPriority w:val="60"/>
    <w:rsid w:val="00F80E94"/>
    <w:pPr>
      <w:spacing w:after="0" w:line="240" w:lineRule="auto"/>
    </w:pPr>
    <w:rPr>
      <w:rFonts w:ascii="Cambria" w:eastAsia="Cambria"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80E94"/>
    <w:pPr>
      <w:spacing w:after="0" w:line="240" w:lineRule="auto"/>
    </w:pPr>
    <w:rPr>
      <w:rFonts w:ascii="Cambria" w:eastAsia="Cambria" w:hAnsi="Cambria" w:cs="Times New Roman"/>
      <w:color w:val="577188"/>
    </w:rPr>
    <w:tblPr>
      <w:tblStyleRowBandSize w:val="1"/>
      <w:tblStyleColBandSize w:val="1"/>
      <w:tblBorders>
        <w:top w:val="single" w:sz="8" w:space="0" w:color="7E97AD"/>
        <w:bottom w:val="single" w:sz="8" w:space="0" w:color="7E97AD"/>
      </w:tblBorders>
    </w:tblPr>
    <w:tblStylePr w:type="fir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la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cPr>
    </w:tblStylePr>
    <w:tblStylePr w:type="band1Horz">
      <w:tblPr/>
      <w:tcPr>
        <w:tcBorders>
          <w:left w:val="nil"/>
          <w:right w:val="nil"/>
          <w:insideH w:val="nil"/>
          <w:insideV w:val="nil"/>
        </w:tcBorders>
        <w:shd w:val="clear" w:color="auto" w:fill="DFE5EA"/>
      </w:tcPr>
    </w:tblStylePr>
  </w:style>
  <w:style w:type="table" w:styleId="LightShading-Accent2">
    <w:name w:val="Light Shading Accent 2"/>
    <w:basedOn w:val="TableNormal"/>
    <w:uiPriority w:val="60"/>
    <w:rsid w:val="00F80E94"/>
    <w:pPr>
      <w:spacing w:after="0" w:line="240" w:lineRule="auto"/>
    </w:pPr>
    <w:rPr>
      <w:rFonts w:ascii="Cambria" w:eastAsia="Cambria" w:hAnsi="Cambria" w:cs="Times New Roman"/>
      <w:color w:val="AA6736"/>
    </w:rPr>
    <w:tblPr>
      <w:tblStyleRowBandSize w:val="1"/>
      <w:tblStyleColBandSize w:val="1"/>
      <w:tblBorders>
        <w:top w:val="single" w:sz="8" w:space="0" w:color="CC8E60"/>
        <w:bottom w:val="single" w:sz="8" w:space="0" w:color="CC8E60"/>
      </w:tblBorders>
    </w:tblPr>
    <w:tblStylePr w:type="fir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la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cPr>
    </w:tblStylePr>
    <w:tblStylePr w:type="band1Horz">
      <w:tblPr/>
      <w:tcPr>
        <w:tcBorders>
          <w:left w:val="nil"/>
          <w:right w:val="nil"/>
          <w:insideH w:val="nil"/>
          <w:insideV w:val="nil"/>
        </w:tcBorders>
        <w:shd w:val="clear" w:color="auto" w:fill="F2E2D7"/>
      </w:tcPr>
    </w:tblStylePr>
  </w:style>
  <w:style w:type="table" w:styleId="LightShading-Accent3">
    <w:name w:val="Light Shading Accent 3"/>
    <w:basedOn w:val="TableNormal"/>
    <w:uiPriority w:val="60"/>
    <w:rsid w:val="00F80E94"/>
    <w:pPr>
      <w:spacing w:after="0" w:line="240" w:lineRule="auto"/>
    </w:pPr>
    <w:rPr>
      <w:rFonts w:ascii="Cambria" w:eastAsia="Cambria" w:hAnsi="Cambria" w:cs="Times New Roman"/>
      <w:color w:val="5B4F47"/>
    </w:rPr>
    <w:tblPr>
      <w:tblStyleRowBandSize w:val="1"/>
      <w:tblStyleColBandSize w:val="1"/>
      <w:tblBorders>
        <w:top w:val="single" w:sz="8" w:space="0" w:color="7A6A60"/>
        <w:bottom w:val="single" w:sz="8" w:space="0" w:color="7A6A60"/>
      </w:tblBorders>
    </w:tblPr>
    <w:tblStylePr w:type="fir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la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cPr>
    </w:tblStylePr>
    <w:tblStylePr w:type="band1Horz">
      <w:tblPr/>
      <w:tcPr>
        <w:tcBorders>
          <w:left w:val="nil"/>
          <w:right w:val="nil"/>
          <w:insideH w:val="nil"/>
          <w:insideV w:val="nil"/>
        </w:tcBorders>
        <w:shd w:val="clear" w:color="auto" w:fill="DFD9D6"/>
      </w:tcPr>
    </w:tblStylePr>
  </w:style>
  <w:style w:type="table" w:styleId="LightShading-Accent4">
    <w:name w:val="Light Shading Accent 4"/>
    <w:basedOn w:val="TableNormal"/>
    <w:uiPriority w:val="60"/>
    <w:rsid w:val="00F80E94"/>
    <w:pPr>
      <w:spacing w:after="0" w:line="240" w:lineRule="auto"/>
    </w:pPr>
    <w:rPr>
      <w:rFonts w:ascii="Cambria" w:eastAsia="Cambria" w:hAnsi="Cambria" w:cs="Times New Roman"/>
      <w:color w:val="8E6E49"/>
    </w:rPr>
    <w:tblPr>
      <w:tblStyleRowBandSize w:val="1"/>
      <w:tblStyleColBandSize w:val="1"/>
      <w:tblBorders>
        <w:top w:val="single" w:sz="8" w:space="0" w:color="B4936D"/>
        <w:bottom w:val="single" w:sz="8" w:space="0" w:color="B4936D"/>
      </w:tblBorders>
    </w:tblPr>
    <w:tblStylePr w:type="fir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la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cPr>
    </w:tblStylePr>
    <w:tblStylePr w:type="band1Horz">
      <w:tblPr/>
      <w:tcPr>
        <w:tcBorders>
          <w:left w:val="nil"/>
          <w:right w:val="nil"/>
          <w:insideH w:val="nil"/>
          <w:insideV w:val="nil"/>
        </w:tcBorders>
        <w:shd w:val="clear" w:color="auto" w:fill="ECE4DA"/>
      </w:tcPr>
    </w:tblStylePr>
  </w:style>
  <w:style w:type="table" w:styleId="LightShading-Accent5">
    <w:name w:val="Light Shading Accent 5"/>
    <w:basedOn w:val="TableNormal"/>
    <w:uiPriority w:val="60"/>
    <w:rsid w:val="00F80E94"/>
    <w:pPr>
      <w:spacing w:after="0" w:line="240" w:lineRule="auto"/>
    </w:pPr>
    <w:rPr>
      <w:rFonts w:ascii="Cambria" w:eastAsia="Cambria" w:hAnsi="Cambria" w:cs="Times New Roman"/>
      <w:color w:val="4D595B"/>
    </w:rPr>
    <w:tblPr>
      <w:tblStyleRowBandSize w:val="1"/>
      <w:tblStyleColBandSize w:val="1"/>
      <w:tblBorders>
        <w:top w:val="single" w:sz="8" w:space="0" w:color="67787B"/>
        <w:bottom w:val="single" w:sz="8" w:space="0" w:color="67787B"/>
      </w:tblBorders>
    </w:tblPr>
    <w:tblStylePr w:type="fir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la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cPr>
    </w:tblStylePr>
    <w:tblStylePr w:type="band1Horz">
      <w:tblPr/>
      <w:tcPr>
        <w:tcBorders>
          <w:left w:val="nil"/>
          <w:right w:val="nil"/>
          <w:insideH w:val="nil"/>
          <w:insideV w:val="nil"/>
        </w:tcBorders>
        <w:shd w:val="clear" w:color="auto" w:fill="D8DEDF"/>
      </w:tcPr>
    </w:tblStylePr>
  </w:style>
  <w:style w:type="table" w:styleId="LightShading-Accent6">
    <w:name w:val="Light Shading Accent 6"/>
    <w:basedOn w:val="TableNormal"/>
    <w:uiPriority w:val="60"/>
    <w:rsid w:val="00F80E94"/>
    <w:pPr>
      <w:spacing w:after="0" w:line="240" w:lineRule="auto"/>
    </w:pPr>
    <w:rPr>
      <w:rFonts w:ascii="Cambria" w:eastAsia="Cambria" w:hAnsi="Cambria" w:cs="Times New Roman"/>
      <w:color w:val="776E51"/>
    </w:rPr>
    <w:tblPr>
      <w:tblStyleRowBandSize w:val="1"/>
      <w:tblStyleColBandSize w:val="1"/>
      <w:tblBorders>
        <w:top w:val="single" w:sz="8" w:space="0" w:color="9D936F"/>
        <w:bottom w:val="single" w:sz="8" w:space="0" w:color="9D936F"/>
      </w:tblBorders>
    </w:tblPr>
    <w:tblStylePr w:type="fir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la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cPr>
    </w:tblStylePr>
    <w:tblStylePr w:type="band1Horz">
      <w:tblPr/>
      <w:tcPr>
        <w:tcBorders>
          <w:left w:val="nil"/>
          <w:right w:val="nil"/>
          <w:insideH w:val="nil"/>
          <w:insideV w:val="nil"/>
        </w:tcBorders>
        <w:shd w:val="clear" w:color="auto" w:fill="E6E4DB"/>
      </w:tcPr>
    </w:tblStylePr>
  </w:style>
  <w:style w:type="character" w:styleId="LineNumber">
    <w:name w:val="line number"/>
    <w:basedOn w:val="DefaultParagraphFont"/>
    <w:uiPriority w:val="99"/>
    <w:semiHidden/>
    <w:unhideWhenUsed/>
    <w:rsid w:val="00F80E94"/>
  </w:style>
  <w:style w:type="paragraph" w:styleId="List">
    <w:name w:val="List"/>
    <w:basedOn w:val="Normal"/>
    <w:uiPriority w:val="99"/>
    <w:semiHidden/>
    <w:unhideWhenUsed/>
    <w:rsid w:val="00F80E94"/>
    <w:pPr>
      <w:spacing w:before="40" w:after="160" w:line="288" w:lineRule="auto"/>
      <w:ind w:left="360" w:hanging="360"/>
      <w:contextualSpacing/>
    </w:pPr>
    <w:rPr>
      <w:rFonts w:ascii="Roboto" w:eastAsia="Cambria" w:hAnsi="Roboto" w:cs="Times New Roman"/>
      <w:kern w:val="20"/>
      <w:sz w:val="20"/>
      <w:lang w:eastAsia="ja-JP"/>
    </w:rPr>
  </w:style>
  <w:style w:type="paragraph" w:styleId="List2">
    <w:name w:val="List 2"/>
    <w:basedOn w:val="Normal"/>
    <w:uiPriority w:val="99"/>
    <w:semiHidden/>
    <w:unhideWhenUsed/>
    <w:rsid w:val="00F80E94"/>
    <w:pPr>
      <w:spacing w:before="40" w:after="160" w:line="288" w:lineRule="auto"/>
      <w:ind w:left="720" w:hanging="360"/>
      <w:contextualSpacing/>
    </w:pPr>
    <w:rPr>
      <w:rFonts w:ascii="Roboto" w:eastAsia="Cambria" w:hAnsi="Roboto" w:cs="Times New Roman"/>
      <w:kern w:val="20"/>
      <w:sz w:val="20"/>
      <w:lang w:eastAsia="ja-JP"/>
    </w:rPr>
  </w:style>
  <w:style w:type="paragraph" w:styleId="List3">
    <w:name w:val="List 3"/>
    <w:basedOn w:val="Normal"/>
    <w:uiPriority w:val="99"/>
    <w:semiHidden/>
    <w:unhideWhenUsed/>
    <w:rsid w:val="00F80E94"/>
    <w:pPr>
      <w:spacing w:before="40" w:after="160" w:line="288" w:lineRule="auto"/>
      <w:ind w:left="1080" w:hanging="360"/>
      <w:contextualSpacing/>
    </w:pPr>
    <w:rPr>
      <w:rFonts w:ascii="Roboto" w:eastAsia="Cambria" w:hAnsi="Roboto" w:cs="Times New Roman"/>
      <w:kern w:val="20"/>
      <w:sz w:val="20"/>
      <w:lang w:eastAsia="ja-JP"/>
    </w:rPr>
  </w:style>
  <w:style w:type="paragraph" w:styleId="List4">
    <w:name w:val="List 4"/>
    <w:basedOn w:val="Normal"/>
    <w:uiPriority w:val="99"/>
    <w:semiHidden/>
    <w:unhideWhenUsed/>
    <w:rsid w:val="00F80E94"/>
    <w:pPr>
      <w:spacing w:before="40" w:after="160" w:line="288" w:lineRule="auto"/>
      <w:ind w:left="1440" w:hanging="360"/>
      <w:contextualSpacing/>
    </w:pPr>
    <w:rPr>
      <w:rFonts w:ascii="Roboto" w:eastAsia="Cambria" w:hAnsi="Roboto" w:cs="Times New Roman"/>
      <w:kern w:val="20"/>
      <w:sz w:val="20"/>
      <w:lang w:eastAsia="ja-JP"/>
    </w:rPr>
  </w:style>
  <w:style w:type="paragraph" w:styleId="List5">
    <w:name w:val="List 5"/>
    <w:basedOn w:val="Normal"/>
    <w:uiPriority w:val="99"/>
    <w:semiHidden/>
    <w:unhideWhenUsed/>
    <w:rsid w:val="00F80E94"/>
    <w:pPr>
      <w:spacing w:before="40" w:after="160" w:line="288" w:lineRule="auto"/>
      <w:ind w:left="1800" w:hanging="360"/>
      <w:contextualSpacing/>
    </w:pPr>
    <w:rPr>
      <w:rFonts w:ascii="Roboto" w:eastAsia="Cambria" w:hAnsi="Roboto" w:cs="Times New Roman"/>
      <w:kern w:val="20"/>
      <w:sz w:val="20"/>
      <w:lang w:eastAsia="ja-JP"/>
    </w:rPr>
  </w:style>
  <w:style w:type="paragraph" w:styleId="ListBullet">
    <w:name w:val="List Bullet"/>
    <w:basedOn w:val="Normal"/>
    <w:uiPriority w:val="1"/>
    <w:unhideWhenUsed/>
    <w:qFormat/>
    <w:rsid w:val="00F80E94"/>
    <w:pPr>
      <w:numPr>
        <w:numId w:val="1"/>
      </w:numPr>
      <w:spacing w:before="40" w:after="0" w:line="288" w:lineRule="auto"/>
    </w:pPr>
    <w:rPr>
      <w:rFonts w:ascii="Roboto" w:eastAsia="Cambria" w:hAnsi="Roboto" w:cs="Times New Roman"/>
      <w:kern w:val="20"/>
      <w:sz w:val="20"/>
      <w:lang w:eastAsia="ja-JP"/>
    </w:rPr>
  </w:style>
  <w:style w:type="paragraph" w:styleId="ListBullet2">
    <w:name w:val="List Bullet 2"/>
    <w:basedOn w:val="Normal"/>
    <w:uiPriority w:val="99"/>
    <w:semiHidden/>
    <w:unhideWhenUsed/>
    <w:rsid w:val="00F80E94"/>
    <w:pPr>
      <w:numPr>
        <w:numId w:val="2"/>
      </w:numPr>
      <w:tabs>
        <w:tab w:val="clear" w:pos="720"/>
      </w:tabs>
      <w:spacing w:before="40" w:after="160" w:line="288" w:lineRule="auto"/>
      <w:ind w:left="0" w:firstLine="0"/>
      <w:contextualSpacing/>
    </w:pPr>
    <w:rPr>
      <w:rFonts w:ascii="Roboto" w:eastAsia="Cambria" w:hAnsi="Roboto" w:cs="Times New Roman"/>
      <w:kern w:val="20"/>
      <w:sz w:val="20"/>
      <w:lang w:eastAsia="ja-JP"/>
    </w:rPr>
  </w:style>
  <w:style w:type="paragraph" w:styleId="ListBullet3">
    <w:name w:val="List Bullet 3"/>
    <w:basedOn w:val="Normal"/>
    <w:uiPriority w:val="99"/>
    <w:semiHidden/>
    <w:unhideWhenUsed/>
    <w:rsid w:val="00F80E94"/>
    <w:pPr>
      <w:numPr>
        <w:numId w:val="3"/>
      </w:numPr>
      <w:tabs>
        <w:tab w:val="clear" w:pos="1080"/>
      </w:tabs>
      <w:spacing w:before="40" w:after="160" w:line="288" w:lineRule="auto"/>
      <w:ind w:left="0" w:firstLine="0"/>
      <w:contextualSpacing/>
    </w:pPr>
    <w:rPr>
      <w:rFonts w:ascii="Roboto" w:eastAsia="Cambria" w:hAnsi="Roboto" w:cs="Times New Roman"/>
      <w:kern w:val="20"/>
      <w:sz w:val="20"/>
      <w:lang w:eastAsia="ja-JP"/>
    </w:rPr>
  </w:style>
  <w:style w:type="paragraph" w:styleId="ListBullet4">
    <w:name w:val="List Bullet 4"/>
    <w:basedOn w:val="Normal"/>
    <w:uiPriority w:val="99"/>
    <w:semiHidden/>
    <w:unhideWhenUsed/>
    <w:rsid w:val="00F80E94"/>
    <w:pPr>
      <w:numPr>
        <w:numId w:val="4"/>
      </w:numPr>
      <w:tabs>
        <w:tab w:val="clear" w:pos="1440"/>
      </w:tabs>
      <w:spacing w:before="40" w:after="160" w:line="288" w:lineRule="auto"/>
      <w:ind w:left="0" w:firstLine="0"/>
      <w:contextualSpacing/>
    </w:pPr>
    <w:rPr>
      <w:rFonts w:ascii="Roboto" w:eastAsia="Cambria" w:hAnsi="Roboto" w:cs="Times New Roman"/>
      <w:kern w:val="20"/>
      <w:sz w:val="20"/>
      <w:lang w:eastAsia="ja-JP"/>
    </w:rPr>
  </w:style>
  <w:style w:type="paragraph" w:styleId="ListBullet5">
    <w:name w:val="List Bullet 5"/>
    <w:basedOn w:val="Normal"/>
    <w:uiPriority w:val="99"/>
    <w:semiHidden/>
    <w:unhideWhenUsed/>
    <w:rsid w:val="00F80E94"/>
    <w:pPr>
      <w:numPr>
        <w:numId w:val="5"/>
      </w:numPr>
      <w:tabs>
        <w:tab w:val="clear" w:pos="1800"/>
      </w:tabs>
      <w:spacing w:before="40" w:after="160" w:line="288" w:lineRule="auto"/>
      <w:ind w:left="0" w:firstLine="0"/>
      <w:contextualSpacing/>
    </w:pPr>
    <w:rPr>
      <w:rFonts w:ascii="Roboto" w:eastAsia="Cambria" w:hAnsi="Roboto" w:cs="Times New Roman"/>
      <w:kern w:val="20"/>
      <w:sz w:val="20"/>
      <w:lang w:eastAsia="ja-JP"/>
    </w:rPr>
  </w:style>
  <w:style w:type="paragraph" w:styleId="ListContinue">
    <w:name w:val="List Continue"/>
    <w:basedOn w:val="Normal"/>
    <w:uiPriority w:val="99"/>
    <w:semiHidden/>
    <w:unhideWhenUsed/>
    <w:rsid w:val="00F80E94"/>
    <w:pPr>
      <w:spacing w:before="40" w:line="288" w:lineRule="auto"/>
      <w:ind w:left="360"/>
      <w:contextualSpacing/>
    </w:pPr>
    <w:rPr>
      <w:rFonts w:ascii="Roboto" w:eastAsia="Cambria" w:hAnsi="Roboto" w:cs="Times New Roman"/>
      <w:kern w:val="20"/>
      <w:sz w:val="20"/>
      <w:lang w:eastAsia="ja-JP"/>
    </w:rPr>
  </w:style>
  <w:style w:type="paragraph" w:styleId="ListContinue2">
    <w:name w:val="List Continue 2"/>
    <w:basedOn w:val="Normal"/>
    <w:uiPriority w:val="99"/>
    <w:semiHidden/>
    <w:unhideWhenUsed/>
    <w:rsid w:val="00F80E94"/>
    <w:pPr>
      <w:spacing w:before="40" w:line="288" w:lineRule="auto"/>
      <w:ind w:left="720"/>
      <w:contextualSpacing/>
    </w:pPr>
    <w:rPr>
      <w:rFonts w:ascii="Roboto" w:eastAsia="Cambria" w:hAnsi="Roboto" w:cs="Times New Roman"/>
      <w:kern w:val="20"/>
      <w:sz w:val="20"/>
      <w:lang w:eastAsia="ja-JP"/>
    </w:rPr>
  </w:style>
  <w:style w:type="paragraph" w:styleId="ListContinue3">
    <w:name w:val="List Continue 3"/>
    <w:basedOn w:val="Normal"/>
    <w:uiPriority w:val="99"/>
    <w:semiHidden/>
    <w:unhideWhenUsed/>
    <w:rsid w:val="00F80E94"/>
    <w:pPr>
      <w:spacing w:before="40" w:line="288" w:lineRule="auto"/>
      <w:ind w:left="1080"/>
      <w:contextualSpacing/>
    </w:pPr>
    <w:rPr>
      <w:rFonts w:ascii="Roboto" w:eastAsia="Cambria" w:hAnsi="Roboto" w:cs="Times New Roman"/>
      <w:kern w:val="20"/>
      <w:sz w:val="20"/>
      <w:lang w:eastAsia="ja-JP"/>
    </w:rPr>
  </w:style>
  <w:style w:type="paragraph" w:styleId="ListContinue4">
    <w:name w:val="List Continue 4"/>
    <w:basedOn w:val="Normal"/>
    <w:uiPriority w:val="99"/>
    <w:semiHidden/>
    <w:unhideWhenUsed/>
    <w:rsid w:val="00F80E94"/>
    <w:pPr>
      <w:spacing w:before="40" w:line="288" w:lineRule="auto"/>
      <w:ind w:left="1440"/>
      <w:contextualSpacing/>
    </w:pPr>
    <w:rPr>
      <w:rFonts w:ascii="Roboto" w:eastAsia="Cambria" w:hAnsi="Roboto" w:cs="Times New Roman"/>
      <w:kern w:val="20"/>
      <w:sz w:val="20"/>
      <w:lang w:eastAsia="ja-JP"/>
    </w:rPr>
  </w:style>
  <w:style w:type="paragraph" w:styleId="ListContinue5">
    <w:name w:val="List Continue 5"/>
    <w:basedOn w:val="Normal"/>
    <w:uiPriority w:val="99"/>
    <w:semiHidden/>
    <w:unhideWhenUsed/>
    <w:rsid w:val="00F80E94"/>
    <w:pPr>
      <w:spacing w:before="40" w:line="288" w:lineRule="auto"/>
      <w:ind w:left="1800"/>
      <w:contextualSpacing/>
    </w:pPr>
    <w:rPr>
      <w:rFonts w:ascii="Roboto" w:eastAsia="Cambria" w:hAnsi="Roboto" w:cs="Times New Roman"/>
      <w:kern w:val="20"/>
      <w:sz w:val="20"/>
      <w:lang w:eastAsia="ja-JP"/>
    </w:rPr>
  </w:style>
  <w:style w:type="paragraph" w:styleId="ListNumber">
    <w:name w:val="List Number"/>
    <w:basedOn w:val="Normal"/>
    <w:uiPriority w:val="1"/>
    <w:unhideWhenUsed/>
    <w:qFormat/>
    <w:rsid w:val="00F80E94"/>
    <w:pPr>
      <w:numPr>
        <w:numId w:val="12"/>
      </w:numPr>
      <w:tabs>
        <w:tab w:val="clear" w:pos="360"/>
      </w:tabs>
      <w:spacing w:before="40" w:after="160" w:line="288" w:lineRule="auto"/>
      <w:ind w:left="0" w:firstLine="0"/>
      <w:contextualSpacing/>
    </w:pPr>
    <w:rPr>
      <w:rFonts w:ascii="Roboto" w:eastAsia="Cambria" w:hAnsi="Roboto" w:cs="Times New Roman"/>
      <w:kern w:val="20"/>
      <w:sz w:val="20"/>
      <w:lang w:eastAsia="ja-JP"/>
    </w:rPr>
  </w:style>
  <w:style w:type="paragraph" w:styleId="ListNumber2">
    <w:name w:val="List Number 2"/>
    <w:basedOn w:val="Normal"/>
    <w:uiPriority w:val="1"/>
    <w:unhideWhenUsed/>
    <w:qFormat/>
    <w:rsid w:val="00F80E94"/>
    <w:pPr>
      <w:numPr>
        <w:ilvl w:val="1"/>
        <w:numId w:val="7"/>
      </w:numPr>
      <w:tabs>
        <w:tab w:val="clear" w:pos="792"/>
      </w:tabs>
      <w:spacing w:before="40" w:after="160" w:line="288" w:lineRule="auto"/>
      <w:ind w:left="0" w:firstLine="0"/>
      <w:contextualSpacing/>
    </w:pPr>
    <w:rPr>
      <w:rFonts w:ascii="Roboto" w:eastAsia="Cambria" w:hAnsi="Roboto" w:cs="Times New Roman"/>
      <w:kern w:val="20"/>
      <w:sz w:val="20"/>
      <w:lang w:eastAsia="ja-JP"/>
    </w:rPr>
  </w:style>
  <w:style w:type="paragraph" w:styleId="ListNumber3">
    <w:name w:val="List Number 3"/>
    <w:basedOn w:val="Normal"/>
    <w:uiPriority w:val="18"/>
    <w:unhideWhenUsed/>
    <w:qFormat/>
    <w:rsid w:val="00F80E94"/>
    <w:pPr>
      <w:numPr>
        <w:ilvl w:val="2"/>
        <w:numId w:val="7"/>
      </w:numPr>
      <w:spacing w:before="40" w:after="160" w:line="288" w:lineRule="auto"/>
      <w:ind w:left="0" w:firstLine="0"/>
      <w:contextualSpacing/>
    </w:pPr>
    <w:rPr>
      <w:rFonts w:ascii="Roboto" w:eastAsia="Cambria" w:hAnsi="Roboto" w:cs="Times New Roman"/>
      <w:kern w:val="20"/>
      <w:sz w:val="20"/>
      <w:lang w:eastAsia="ja-JP"/>
    </w:rPr>
  </w:style>
  <w:style w:type="paragraph" w:styleId="ListNumber4">
    <w:name w:val="List Number 4"/>
    <w:basedOn w:val="Normal"/>
    <w:uiPriority w:val="18"/>
    <w:semiHidden/>
    <w:unhideWhenUsed/>
    <w:rsid w:val="00F80E94"/>
    <w:pPr>
      <w:numPr>
        <w:ilvl w:val="3"/>
        <w:numId w:val="7"/>
      </w:numPr>
      <w:spacing w:before="40" w:after="160" w:line="288" w:lineRule="auto"/>
      <w:ind w:left="0" w:firstLine="0"/>
      <w:contextualSpacing/>
    </w:pPr>
    <w:rPr>
      <w:rFonts w:ascii="Roboto" w:eastAsia="Cambria" w:hAnsi="Roboto" w:cs="Times New Roman"/>
      <w:kern w:val="20"/>
      <w:sz w:val="20"/>
      <w:lang w:eastAsia="ja-JP"/>
    </w:rPr>
  </w:style>
  <w:style w:type="paragraph" w:styleId="ListNumber5">
    <w:name w:val="List Number 5"/>
    <w:basedOn w:val="Normal"/>
    <w:uiPriority w:val="18"/>
    <w:semiHidden/>
    <w:unhideWhenUsed/>
    <w:rsid w:val="00F80E94"/>
    <w:pPr>
      <w:numPr>
        <w:ilvl w:val="4"/>
        <w:numId w:val="7"/>
      </w:numPr>
      <w:spacing w:before="40" w:after="160" w:line="288" w:lineRule="auto"/>
      <w:ind w:left="0" w:firstLine="0"/>
      <w:contextualSpacing/>
    </w:pPr>
    <w:rPr>
      <w:rFonts w:ascii="Roboto" w:eastAsia="Cambria" w:hAnsi="Roboto" w:cs="Times New Roman"/>
      <w:kern w:val="20"/>
      <w:sz w:val="20"/>
      <w:lang w:eastAsia="ja-JP"/>
    </w:rPr>
  </w:style>
  <w:style w:type="paragraph" w:styleId="MacroText">
    <w:name w:val="macro"/>
    <w:link w:val="MacroTextChar"/>
    <w:uiPriority w:val="99"/>
    <w:semiHidden/>
    <w:unhideWhenUsed/>
    <w:rsid w:val="00F80E94"/>
    <w:pPr>
      <w:tabs>
        <w:tab w:val="left" w:pos="480"/>
        <w:tab w:val="left" w:pos="960"/>
        <w:tab w:val="left" w:pos="1440"/>
        <w:tab w:val="left" w:pos="1920"/>
        <w:tab w:val="left" w:pos="2400"/>
        <w:tab w:val="left" w:pos="2880"/>
        <w:tab w:val="left" w:pos="3360"/>
        <w:tab w:val="left" w:pos="3840"/>
        <w:tab w:val="left" w:pos="4320"/>
      </w:tabs>
      <w:spacing w:before="40" w:after="0" w:line="300" w:lineRule="auto"/>
    </w:pPr>
    <w:rPr>
      <w:rFonts w:ascii="Consolas" w:eastAsia="Cambria" w:hAnsi="Consolas" w:cs="Consolas"/>
    </w:rPr>
  </w:style>
  <w:style w:type="character" w:customStyle="1" w:styleId="MacroTextChar">
    <w:name w:val="Macro Text Char"/>
    <w:basedOn w:val="DefaultParagraphFont"/>
    <w:link w:val="MacroText"/>
    <w:uiPriority w:val="99"/>
    <w:semiHidden/>
    <w:rsid w:val="00F80E94"/>
    <w:rPr>
      <w:rFonts w:ascii="Consolas" w:eastAsia="Cambria" w:hAnsi="Consolas" w:cs="Consolas"/>
    </w:rPr>
  </w:style>
  <w:style w:type="table" w:styleId="MediumGrid1">
    <w:name w:val="Medium Grid 1"/>
    <w:basedOn w:val="TableNormal"/>
    <w:uiPriority w:val="67"/>
    <w:rsid w:val="00F80E94"/>
    <w:pPr>
      <w:spacing w:after="0" w:line="240" w:lineRule="auto"/>
    </w:pPr>
    <w:rPr>
      <w:rFonts w:ascii="Cambria" w:eastAsia="Cambria" w:hAnsi="Cambria"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80E94"/>
    <w:pPr>
      <w:spacing w:after="0" w:line="240" w:lineRule="auto"/>
    </w:pPr>
    <w:rPr>
      <w:rFonts w:ascii="Cambria" w:eastAsia="Cambria" w:hAnsi="Cambria" w:cs="Times New Roman"/>
    </w:rPr>
    <w:tblPr>
      <w:tblStyleRowBandSize w:val="1"/>
      <w:tblStyleColBandSize w:val="1"/>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Pr>
    <w:tcPr>
      <w:shd w:val="clear" w:color="auto" w:fill="DFE5EA"/>
    </w:tcPr>
    <w:tblStylePr w:type="firstRow">
      <w:rPr>
        <w:b/>
        <w:bCs/>
      </w:rPr>
    </w:tblStylePr>
    <w:tblStylePr w:type="lastRow">
      <w:rPr>
        <w:b/>
        <w:bCs/>
      </w:rPr>
      <w:tblPr/>
      <w:tcPr>
        <w:tcBorders>
          <w:top w:val="single" w:sz="18" w:space="0" w:color="9EB0C1"/>
        </w:tcBorders>
      </w:tcPr>
    </w:tblStylePr>
    <w:tblStylePr w:type="firstCol">
      <w:rPr>
        <w:b/>
        <w:bCs/>
      </w:rPr>
    </w:tblStylePr>
    <w:tblStylePr w:type="lastCol">
      <w:rPr>
        <w:b/>
        <w:bCs/>
      </w:rPr>
    </w:tblStylePr>
    <w:tblStylePr w:type="band1Vert">
      <w:tblPr/>
      <w:tcPr>
        <w:shd w:val="clear" w:color="auto" w:fill="BECBD6"/>
      </w:tcPr>
    </w:tblStylePr>
    <w:tblStylePr w:type="band1Horz">
      <w:tblPr/>
      <w:tcPr>
        <w:shd w:val="clear" w:color="auto" w:fill="BECBD6"/>
      </w:tcPr>
    </w:tblStylePr>
  </w:style>
  <w:style w:type="table" w:styleId="MediumGrid1-Accent2">
    <w:name w:val="Medium Grid 1 Accent 2"/>
    <w:basedOn w:val="TableNormal"/>
    <w:uiPriority w:val="67"/>
    <w:rsid w:val="00F80E94"/>
    <w:pPr>
      <w:spacing w:after="0" w:line="240" w:lineRule="auto"/>
    </w:pPr>
    <w:rPr>
      <w:rFonts w:ascii="Cambria" w:eastAsia="Cambria" w:hAnsi="Cambria" w:cs="Times New Roman"/>
    </w:rPr>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b/>
        <w:bCs/>
      </w:rPr>
    </w:tblStylePr>
    <w:tblStylePr w:type="lastRow">
      <w:rPr>
        <w:b/>
        <w:bCs/>
      </w:rPr>
      <w:tblPr/>
      <w:tcPr>
        <w:tcBorders>
          <w:top w:val="single" w:sz="18" w:space="0" w:color="D8AA87"/>
        </w:tcBorders>
      </w:tcPr>
    </w:tblStylePr>
    <w:tblStylePr w:type="firstCol">
      <w:rPr>
        <w:b/>
        <w:bCs/>
      </w:rPr>
    </w:tblStylePr>
    <w:tblStylePr w:type="lastCol">
      <w:rPr>
        <w:b/>
        <w:bCs/>
      </w:rPr>
    </w:tblStylePr>
    <w:tblStylePr w:type="band1Vert">
      <w:tblPr/>
      <w:tcPr>
        <w:shd w:val="clear" w:color="auto" w:fill="E5C6AF"/>
      </w:tcPr>
    </w:tblStylePr>
    <w:tblStylePr w:type="band1Horz">
      <w:tblPr/>
      <w:tcPr>
        <w:shd w:val="clear" w:color="auto" w:fill="E5C6AF"/>
      </w:tcPr>
    </w:tblStylePr>
  </w:style>
  <w:style w:type="table" w:styleId="MediumGrid1-Accent3">
    <w:name w:val="Medium Grid 1 Accent 3"/>
    <w:basedOn w:val="TableNormal"/>
    <w:uiPriority w:val="67"/>
    <w:rsid w:val="00F80E94"/>
    <w:pPr>
      <w:spacing w:after="0" w:line="240" w:lineRule="auto"/>
    </w:pPr>
    <w:rPr>
      <w:rFonts w:ascii="Cambria" w:eastAsia="Cambria" w:hAnsi="Cambria" w:cs="Times New Roman"/>
    </w:rPr>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b/>
        <w:bCs/>
      </w:rPr>
    </w:tblStylePr>
    <w:tblStylePr w:type="lastRow">
      <w:rPr>
        <w:b/>
        <w:bCs/>
      </w:rPr>
      <w:tblPr/>
      <w:tcPr>
        <w:tcBorders>
          <w:top w:val="single" w:sz="18" w:space="0" w:color="9E8E84"/>
        </w:tcBorders>
      </w:tcPr>
    </w:tblStylePr>
    <w:tblStylePr w:type="firstCol">
      <w:rPr>
        <w:b/>
        <w:bCs/>
      </w:rPr>
    </w:tblStylePr>
    <w:tblStylePr w:type="lastCol">
      <w:rPr>
        <w:b/>
        <w:bCs/>
      </w:rPr>
    </w:tblStylePr>
    <w:tblStylePr w:type="band1Vert">
      <w:tblPr/>
      <w:tcPr>
        <w:shd w:val="clear" w:color="auto" w:fill="BEB4AD"/>
      </w:tcPr>
    </w:tblStylePr>
    <w:tblStylePr w:type="band1Horz">
      <w:tblPr/>
      <w:tcPr>
        <w:shd w:val="clear" w:color="auto" w:fill="BEB4AD"/>
      </w:tcPr>
    </w:tblStylePr>
  </w:style>
  <w:style w:type="table" w:styleId="MediumGrid1-Accent4">
    <w:name w:val="Medium Grid 1 Accent 4"/>
    <w:basedOn w:val="TableNormal"/>
    <w:uiPriority w:val="67"/>
    <w:rsid w:val="00F80E94"/>
    <w:pPr>
      <w:spacing w:after="0" w:line="240" w:lineRule="auto"/>
    </w:pPr>
    <w:rPr>
      <w:rFonts w:ascii="Cambria" w:eastAsia="Cambria" w:hAnsi="Cambria" w:cs="Times New Roman"/>
    </w:rPr>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b/>
        <w:bCs/>
      </w:rPr>
    </w:tblStylePr>
    <w:tblStylePr w:type="lastRow">
      <w:rPr>
        <w:b/>
        <w:bCs/>
      </w:rPr>
      <w:tblPr/>
      <w:tcPr>
        <w:tcBorders>
          <w:top w:val="single" w:sz="18" w:space="0" w:color="C6AD91"/>
        </w:tcBorders>
      </w:tcPr>
    </w:tblStylePr>
    <w:tblStylePr w:type="firstCol">
      <w:rPr>
        <w:b/>
        <w:bCs/>
      </w:rPr>
    </w:tblStylePr>
    <w:tblStylePr w:type="lastCol">
      <w:rPr>
        <w:b/>
        <w:bCs/>
      </w:rPr>
    </w:tblStylePr>
    <w:tblStylePr w:type="band1Vert">
      <w:tblPr/>
      <w:tcPr>
        <w:shd w:val="clear" w:color="auto" w:fill="D9C9B6"/>
      </w:tcPr>
    </w:tblStylePr>
    <w:tblStylePr w:type="band1Horz">
      <w:tblPr/>
      <w:tcPr>
        <w:shd w:val="clear" w:color="auto" w:fill="D9C9B6"/>
      </w:tcPr>
    </w:tblStylePr>
  </w:style>
  <w:style w:type="table" w:styleId="MediumGrid1-Accent5">
    <w:name w:val="Medium Grid 1 Accent 5"/>
    <w:basedOn w:val="TableNormal"/>
    <w:uiPriority w:val="67"/>
    <w:rsid w:val="00F80E94"/>
    <w:pPr>
      <w:spacing w:after="0" w:line="240" w:lineRule="auto"/>
    </w:pPr>
    <w:rPr>
      <w:rFonts w:ascii="Cambria" w:eastAsia="Cambria" w:hAnsi="Cambria" w:cs="Times New Roman"/>
    </w:rPr>
    <w:tblPr>
      <w:tblStyleRowBandSize w:val="1"/>
      <w:tblStyleColBandSize w:val="1"/>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Pr>
    <w:tcPr>
      <w:shd w:val="clear" w:color="auto" w:fill="D8DEDF"/>
    </w:tcPr>
    <w:tblStylePr w:type="firstRow">
      <w:rPr>
        <w:b/>
        <w:bCs/>
      </w:rPr>
    </w:tblStylePr>
    <w:tblStylePr w:type="lastRow">
      <w:rPr>
        <w:b/>
        <w:bCs/>
      </w:rPr>
      <w:tblPr/>
      <w:tcPr>
        <w:tcBorders>
          <w:top w:val="single" w:sz="18" w:space="0" w:color="8B9B9E"/>
        </w:tcBorders>
      </w:tcPr>
    </w:tblStylePr>
    <w:tblStylePr w:type="firstCol">
      <w:rPr>
        <w:b/>
        <w:bCs/>
      </w:rPr>
    </w:tblStylePr>
    <w:tblStylePr w:type="lastCol">
      <w:rPr>
        <w:b/>
        <w:bCs/>
      </w:rPr>
    </w:tblStylePr>
    <w:tblStylePr w:type="band1Vert">
      <w:tblPr/>
      <w:tcPr>
        <w:shd w:val="clear" w:color="auto" w:fill="B1BCBE"/>
      </w:tcPr>
    </w:tblStylePr>
    <w:tblStylePr w:type="band1Horz">
      <w:tblPr/>
      <w:tcPr>
        <w:shd w:val="clear" w:color="auto" w:fill="B1BCBE"/>
      </w:tcPr>
    </w:tblStylePr>
  </w:style>
  <w:style w:type="table" w:styleId="MediumGrid1-Accent6">
    <w:name w:val="Medium Grid 1 Accent 6"/>
    <w:basedOn w:val="TableNormal"/>
    <w:uiPriority w:val="67"/>
    <w:rsid w:val="00F80E94"/>
    <w:pPr>
      <w:spacing w:after="0" w:line="240" w:lineRule="auto"/>
    </w:pPr>
    <w:rPr>
      <w:rFonts w:ascii="Cambria" w:eastAsia="Cambria" w:hAnsi="Cambria" w:cs="Times New Roman"/>
    </w:rPr>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b/>
        <w:bCs/>
      </w:rPr>
    </w:tblStylePr>
    <w:tblStylePr w:type="lastRow">
      <w:rPr>
        <w:b/>
        <w:bCs/>
      </w:rPr>
      <w:tblPr/>
      <w:tcPr>
        <w:tcBorders>
          <w:top w:val="single" w:sz="18" w:space="0" w:color="B5AE93"/>
        </w:tcBorders>
      </w:tcPr>
    </w:tblStylePr>
    <w:tblStylePr w:type="firstCol">
      <w:rPr>
        <w:b/>
        <w:bCs/>
      </w:rPr>
    </w:tblStylePr>
    <w:tblStylePr w:type="lastCol">
      <w:rPr>
        <w:b/>
        <w:bCs/>
      </w:rPr>
    </w:tblStylePr>
    <w:tblStylePr w:type="band1Vert">
      <w:tblPr/>
      <w:tcPr>
        <w:shd w:val="clear" w:color="auto" w:fill="CEC9B7"/>
      </w:tcPr>
    </w:tblStylePr>
    <w:tblStylePr w:type="band1Horz">
      <w:tblPr/>
      <w:tcPr>
        <w:shd w:val="clear" w:color="auto" w:fill="CEC9B7"/>
      </w:tcPr>
    </w:tblStylePr>
  </w:style>
  <w:style w:type="table" w:styleId="MediumGrid2">
    <w:name w:val="Medium Grid 2"/>
    <w:basedOn w:val="TableNormal"/>
    <w:uiPriority w:val="68"/>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cPr>
      <w:shd w:val="clear" w:color="auto" w:fill="DFE5EA"/>
    </w:tcPr>
    <w:tblStylePr w:type="firstRow">
      <w:rPr>
        <w:b/>
        <w:bCs/>
        <w:color w:val="000000"/>
      </w:rPr>
      <w:tblPr/>
      <w:tcPr>
        <w:shd w:val="clear" w:color="auto" w:fill="F2F4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AEE"/>
      </w:tcPr>
    </w:tblStylePr>
    <w:tblStylePr w:type="band1Vert">
      <w:tblPr/>
      <w:tcPr>
        <w:shd w:val="clear" w:color="auto" w:fill="BECBD6"/>
      </w:tcPr>
    </w:tblStylePr>
    <w:tblStylePr w:type="band1Horz">
      <w:tblPr/>
      <w:tcPr>
        <w:tcBorders>
          <w:insideH w:val="single" w:sz="6" w:space="0" w:color="7E97AD"/>
          <w:insideV w:val="single" w:sz="6" w:space="0" w:color="7E97AD"/>
        </w:tcBorders>
        <w:shd w:val="clear" w:color="auto" w:fill="BECBD6"/>
      </w:tcPr>
    </w:tblStylePr>
    <w:tblStylePr w:type="nwCell">
      <w:tblPr/>
      <w:tcPr>
        <w:shd w:val="clear" w:color="auto" w:fill="FFFFFF"/>
      </w:tcPr>
    </w:tblStylePr>
  </w:style>
  <w:style w:type="table" w:styleId="MediumGrid2-Accent2">
    <w:name w:val="Medium Grid 2 Accent 2"/>
    <w:basedOn w:val="TableNormal"/>
    <w:uiPriority w:val="68"/>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b/>
        <w:bCs/>
        <w:color w:val="000000"/>
      </w:rPr>
      <w:tblPr/>
      <w:tcPr>
        <w:shd w:val="clear" w:color="auto" w:fill="FAF3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E8DF"/>
      </w:tcPr>
    </w:tblStylePr>
    <w:tblStylePr w:type="band1Vert">
      <w:tblPr/>
      <w:tcPr>
        <w:shd w:val="clear" w:color="auto" w:fill="E5C6AF"/>
      </w:tcPr>
    </w:tblStylePr>
    <w:tblStylePr w:type="band1Horz">
      <w:tblPr/>
      <w:tcPr>
        <w:tcBorders>
          <w:insideH w:val="single" w:sz="6" w:space="0" w:color="CC8E60"/>
          <w:insideV w:val="single" w:sz="6" w:space="0" w:color="CC8E60"/>
        </w:tcBorders>
        <w:shd w:val="clear" w:color="auto" w:fill="E5C6AF"/>
      </w:tcPr>
    </w:tblStylePr>
    <w:tblStylePr w:type="nwCell">
      <w:tblPr/>
      <w:tcPr>
        <w:shd w:val="clear" w:color="auto" w:fill="FFFFFF"/>
      </w:tcPr>
    </w:tblStylePr>
  </w:style>
  <w:style w:type="table" w:styleId="MediumGrid2-Accent3">
    <w:name w:val="Medium Grid 2 Accent 3"/>
    <w:basedOn w:val="TableNormal"/>
    <w:uiPriority w:val="68"/>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b/>
        <w:bCs/>
        <w:color w:val="000000"/>
      </w:rPr>
      <w:tblPr/>
      <w:tcPr>
        <w:shd w:val="clear" w:color="auto" w:fill="F2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0DE"/>
      </w:tcPr>
    </w:tblStylePr>
    <w:tblStylePr w:type="band1Vert">
      <w:tblPr/>
      <w:tcPr>
        <w:shd w:val="clear" w:color="auto" w:fill="BEB4AD"/>
      </w:tcPr>
    </w:tblStylePr>
    <w:tblStylePr w:type="band1Horz">
      <w:tblPr/>
      <w:tcPr>
        <w:tcBorders>
          <w:insideH w:val="single" w:sz="6" w:space="0" w:color="7A6A60"/>
          <w:insideV w:val="single" w:sz="6" w:space="0" w:color="7A6A60"/>
        </w:tcBorders>
        <w:shd w:val="clear" w:color="auto" w:fill="BEB4AD"/>
      </w:tcPr>
    </w:tblStylePr>
    <w:tblStylePr w:type="nwCell">
      <w:tblPr/>
      <w:tcPr>
        <w:shd w:val="clear" w:color="auto" w:fill="FFFFFF"/>
      </w:tcPr>
    </w:tblStylePr>
  </w:style>
  <w:style w:type="table" w:styleId="MediumGrid2-Accent4">
    <w:name w:val="Medium Grid 2 Accent 4"/>
    <w:basedOn w:val="TableNormal"/>
    <w:uiPriority w:val="68"/>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b/>
        <w:bCs/>
        <w:color w:val="000000"/>
      </w:rPr>
      <w:tblPr/>
      <w:tcPr>
        <w:shd w:val="clear" w:color="auto" w:fill="F7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9E1"/>
      </w:tcPr>
    </w:tblStylePr>
    <w:tblStylePr w:type="band1Vert">
      <w:tblPr/>
      <w:tcPr>
        <w:shd w:val="clear" w:color="auto" w:fill="D9C9B6"/>
      </w:tcPr>
    </w:tblStylePr>
    <w:tblStylePr w:type="band1Horz">
      <w:tblPr/>
      <w:tcPr>
        <w:tcBorders>
          <w:insideH w:val="single" w:sz="6" w:space="0" w:color="B4936D"/>
          <w:insideV w:val="single" w:sz="6" w:space="0" w:color="B4936D"/>
        </w:tcBorders>
        <w:shd w:val="clear" w:color="auto" w:fill="D9C9B6"/>
      </w:tcPr>
    </w:tblStylePr>
    <w:tblStylePr w:type="nwCell">
      <w:tblPr/>
      <w:tcPr>
        <w:shd w:val="clear" w:color="auto" w:fill="FFFFFF"/>
      </w:tcPr>
    </w:tblStylePr>
  </w:style>
  <w:style w:type="table" w:styleId="MediumGrid2-Accent5">
    <w:name w:val="Medium Grid 2 Accent 5"/>
    <w:basedOn w:val="TableNormal"/>
    <w:uiPriority w:val="68"/>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cPr>
      <w:shd w:val="clear" w:color="auto" w:fill="D8DEDF"/>
    </w:tcPr>
    <w:tblStylePr w:type="firstRow">
      <w:rPr>
        <w:b/>
        <w:bCs/>
        <w:color w:val="000000"/>
      </w:rPr>
      <w:tblPr/>
      <w:tcPr>
        <w:shd w:val="clear" w:color="auto" w:fill="EFF1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E4E5"/>
      </w:tcPr>
    </w:tblStylePr>
    <w:tblStylePr w:type="band1Vert">
      <w:tblPr/>
      <w:tcPr>
        <w:shd w:val="clear" w:color="auto" w:fill="B1BCBE"/>
      </w:tcPr>
    </w:tblStylePr>
    <w:tblStylePr w:type="band1Horz">
      <w:tblPr/>
      <w:tcPr>
        <w:tcBorders>
          <w:insideH w:val="single" w:sz="6" w:space="0" w:color="67787B"/>
          <w:insideV w:val="single" w:sz="6" w:space="0" w:color="67787B"/>
        </w:tcBorders>
        <w:shd w:val="clear" w:color="auto" w:fill="B1BCBE"/>
      </w:tcPr>
    </w:tblStylePr>
    <w:tblStylePr w:type="nwCell">
      <w:tblPr/>
      <w:tcPr>
        <w:shd w:val="clear" w:color="auto" w:fill="FFFFFF"/>
      </w:tcPr>
    </w:tblStylePr>
  </w:style>
  <w:style w:type="table" w:styleId="MediumGrid2-Accent6">
    <w:name w:val="Medium Grid 2 Accent 6"/>
    <w:basedOn w:val="TableNormal"/>
    <w:uiPriority w:val="68"/>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b/>
        <w:bCs/>
        <w:color w:val="000000"/>
      </w:rPr>
      <w:tblPr/>
      <w:tcPr>
        <w:shd w:val="clear" w:color="auto" w:fill="F5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9E2"/>
      </w:tcPr>
    </w:tblStylePr>
    <w:tblStylePr w:type="band1Vert">
      <w:tblPr/>
      <w:tcPr>
        <w:shd w:val="clear" w:color="auto" w:fill="CEC9B7"/>
      </w:tcPr>
    </w:tblStylePr>
    <w:tblStylePr w:type="band1Horz">
      <w:tblPr/>
      <w:tcPr>
        <w:tcBorders>
          <w:insideH w:val="single" w:sz="6" w:space="0" w:color="9D936F"/>
          <w:insideV w:val="single" w:sz="6" w:space="0" w:color="9D936F"/>
        </w:tcBorders>
        <w:shd w:val="clear" w:color="auto" w:fill="CEC9B7"/>
      </w:tcPr>
    </w:tblStylePr>
    <w:tblStylePr w:type="nwCell">
      <w:tblPr/>
      <w:tcPr>
        <w:shd w:val="clear" w:color="auto" w:fill="FFFFFF"/>
      </w:tcPr>
    </w:tblStylePr>
  </w:style>
  <w:style w:type="table" w:styleId="MediumGrid3">
    <w:name w:val="Medium Grid 3"/>
    <w:basedOn w:val="TableNormal"/>
    <w:uiPriority w:val="69"/>
    <w:rsid w:val="00F80E94"/>
    <w:pPr>
      <w:spacing w:after="0" w:line="240" w:lineRule="auto"/>
    </w:pPr>
    <w:rPr>
      <w:rFonts w:ascii="Cambria" w:eastAsia="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80E94"/>
    <w:pPr>
      <w:spacing w:after="0" w:line="240" w:lineRule="auto"/>
    </w:pPr>
    <w:rPr>
      <w:rFonts w:ascii="Cambria" w:eastAsia="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E97A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E97A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E97A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E97A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BD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BD6"/>
      </w:tcPr>
    </w:tblStylePr>
  </w:style>
  <w:style w:type="table" w:styleId="MediumGrid3-Accent2">
    <w:name w:val="Medium Grid 3 Accent 2"/>
    <w:basedOn w:val="TableNormal"/>
    <w:uiPriority w:val="69"/>
    <w:rsid w:val="00F80E94"/>
    <w:pPr>
      <w:spacing w:after="0" w:line="240" w:lineRule="auto"/>
    </w:pPr>
    <w:rPr>
      <w:rFonts w:ascii="Cambria" w:eastAsia="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C8E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C8E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C8E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C8E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5C6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5C6AF"/>
      </w:tcPr>
    </w:tblStylePr>
  </w:style>
  <w:style w:type="table" w:styleId="MediumGrid3-Accent3">
    <w:name w:val="Medium Grid 3 Accent 3"/>
    <w:basedOn w:val="TableNormal"/>
    <w:uiPriority w:val="69"/>
    <w:rsid w:val="00F80E94"/>
    <w:pPr>
      <w:spacing w:after="0" w:line="240" w:lineRule="auto"/>
    </w:pPr>
    <w:rPr>
      <w:rFonts w:ascii="Cambria" w:eastAsia="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6A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6A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6A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6A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B4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B4AD"/>
      </w:tcPr>
    </w:tblStylePr>
  </w:style>
  <w:style w:type="table" w:styleId="MediumGrid3-Accent4">
    <w:name w:val="Medium Grid 3 Accent 4"/>
    <w:basedOn w:val="TableNormal"/>
    <w:uiPriority w:val="69"/>
    <w:rsid w:val="00F80E94"/>
    <w:pPr>
      <w:spacing w:after="0" w:line="240" w:lineRule="auto"/>
    </w:pPr>
    <w:rPr>
      <w:rFonts w:ascii="Cambria" w:eastAsia="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4936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4936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4936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4936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9C9B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9C9B6"/>
      </w:tcPr>
    </w:tblStylePr>
  </w:style>
  <w:style w:type="table" w:styleId="MediumGrid3-Accent5">
    <w:name w:val="Medium Grid 3 Accent 5"/>
    <w:basedOn w:val="TableNormal"/>
    <w:uiPriority w:val="69"/>
    <w:rsid w:val="00F80E94"/>
    <w:pPr>
      <w:spacing w:after="0" w:line="240" w:lineRule="auto"/>
    </w:pPr>
    <w:rPr>
      <w:rFonts w:ascii="Cambria" w:eastAsia="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E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7787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7787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7787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7787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1BCB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1BCBE"/>
      </w:tcPr>
    </w:tblStylePr>
  </w:style>
  <w:style w:type="table" w:styleId="MediumGrid3-Accent6">
    <w:name w:val="Medium Grid 3 Accent 6"/>
    <w:basedOn w:val="TableNormal"/>
    <w:uiPriority w:val="69"/>
    <w:rsid w:val="00F80E94"/>
    <w:pPr>
      <w:spacing w:after="0" w:line="240" w:lineRule="auto"/>
    </w:pPr>
    <w:rPr>
      <w:rFonts w:ascii="Cambria" w:eastAsia="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3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3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3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3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9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9B7"/>
      </w:tcPr>
    </w:tblStylePr>
  </w:style>
  <w:style w:type="table" w:styleId="MediumList1">
    <w:name w:val="Medium List 1"/>
    <w:basedOn w:val="TableNormal"/>
    <w:uiPriority w:val="65"/>
    <w:rsid w:val="00F80E94"/>
    <w:pPr>
      <w:spacing w:after="0" w:line="240" w:lineRule="auto"/>
    </w:pPr>
    <w:rPr>
      <w:rFonts w:ascii="Cambria" w:eastAsia="Cambria"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Unicode MS" w:eastAsia="Times New Roman" w:hAnsi="Arial Unicode MS" w:cs="Times New Roman"/>
      </w:rPr>
      <w:tblPr/>
      <w:tcPr>
        <w:tcBorders>
          <w:top w:val="nil"/>
          <w:bottom w:val="single" w:sz="8" w:space="0" w:color="000000"/>
        </w:tcBorders>
      </w:tcPr>
    </w:tblStylePr>
    <w:tblStylePr w:type="lastRow">
      <w:rPr>
        <w:b/>
        <w:bCs/>
        <w:color w:val="1F212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80E94"/>
    <w:pPr>
      <w:spacing w:after="0" w:line="240" w:lineRule="auto"/>
    </w:pPr>
    <w:rPr>
      <w:rFonts w:ascii="Cambria" w:eastAsia="Cambria" w:hAnsi="Cambria" w:cs="Times New Roman"/>
      <w:color w:val="000000"/>
    </w:rPr>
    <w:tblPr>
      <w:tblStyleRowBandSize w:val="1"/>
      <w:tblStyleColBandSize w:val="1"/>
      <w:tblBorders>
        <w:top w:val="single" w:sz="8" w:space="0" w:color="7E97AD"/>
        <w:bottom w:val="single" w:sz="8" w:space="0" w:color="7E97AD"/>
      </w:tblBorders>
    </w:tblPr>
    <w:tblStylePr w:type="firstRow">
      <w:rPr>
        <w:rFonts w:ascii="Arial Unicode MS" w:eastAsia="Times New Roman" w:hAnsi="Arial Unicode MS" w:cs="Times New Roman"/>
      </w:rPr>
      <w:tblPr/>
      <w:tcPr>
        <w:tcBorders>
          <w:top w:val="nil"/>
          <w:bottom w:val="single" w:sz="8" w:space="0" w:color="7E97AD"/>
        </w:tcBorders>
      </w:tcPr>
    </w:tblStylePr>
    <w:tblStylePr w:type="lastRow">
      <w:rPr>
        <w:b/>
        <w:bCs/>
        <w:color w:val="1F2123"/>
      </w:rPr>
      <w:tblPr/>
      <w:tcPr>
        <w:tcBorders>
          <w:top w:val="single" w:sz="8" w:space="0" w:color="7E97AD"/>
          <w:bottom w:val="single" w:sz="8" w:space="0" w:color="7E97AD"/>
        </w:tcBorders>
      </w:tcPr>
    </w:tblStylePr>
    <w:tblStylePr w:type="firstCol">
      <w:rPr>
        <w:b/>
        <w:bCs/>
      </w:rPr>
    </w:tblStylePr>
    <w:tblStylePr w:type="lastCol">
      <w:rPr>
        <w:b/>
        <w:bCs/>
      </w:rPr>
      <w:tblPr/>
      <w:tcPr>
        <w:tcBorders>
          <w:top w:val="single" w:sz="8" w:space="0" w:color="7E97AD"/>
          <w:bottom w:val="single" w:sz="8" w:space="0" w:color="7E97AD"/>
        </w:tcBorders>
      </w:tcPr>
    </w:tblStylePr>
    <w:tblStylePr w:type="band1Vert">
      <w:tblPr/>
      <w:tcPr>
        <w:shd w:val="clear" w:color="auto" w:fill="DFE5EA"/>
      </w:tcPr>
    </w:tblStylePr>
    <w:tblStylePr w:type="band1Horz">
      <w:tblPr/>
      <w:tcPr>
        <w:shd w:val="clear" w:color="auto" w:fill="DFE5EA"/>
      </w:tcPr>
    </w:tblStylePr>
  </w:style>
  <w:style w:type="table" w:styleId="MediumList1-Accent2">
    <w:name w:val="Medium List 1 Accent 2"/>
    <w:basedOn w:val="TableNormal"/>
    <w:uiPriority w:val="65"/>
    <w:rsid w:val="00F80E94"/>
    <w:pPr>
      <w:spacing w:after="0" w:line="240" w:lineRule="auto"/>
    </w:pPr>
    <w:rPr>
      <w:rFonts w:ascii="Cambria" w:eastAsia="Cambria" w:hAnsi="Cambria" w:cs="Times New Roman"/>
      <w:color w:val="000000"/>
    </w:rPr>
    <w:tblPr>
      <w:tblStyleRowBandSize w:val="1"/>
      <w:tblStyleColBandSize w:val="1"/>
      <w:tblBorders>
        <w:top w:val="single" w:sz="8" w:space="0" w:color="CC8E60"/>
        <w:bottom w:val="single" w:sz="8" w:space="0" w:color="CC8E60"/>
      </w:tblBorders>
    </w:tblPr>
    <w:tblStylePr w:type="firstRow">
      <w:rPr>
        <w:rFonts w:ascii="Arial Unicode MS" w:eastAsia="Times New Roman" w:hAnsi="Arial Unicode MS" w:cs="Times New Roman"/>
      </w:rPr>
      <w:tblPr/>
      <w:tcPr>
        <w:tcBorders>
          <w:top w:val="nil"/>
          <w:bottom w:val="single" w:sz="8" w:space="0" w:color="CC8E60"/>
        </w:tcBorders>
      </w:tcPr>
    </w:tblStylePr>
    <w:tblStylePr w:type="lastRow">
      <w:rPr>
        <w:b/>
        <w:bCs/>
        <w:color w:val="1F2123"/>
      </w:rPr>
      <w:tblPr/>
      <w:tcPr>
        <w:tcBorders>
          <w:top w:val="single" w:sz="8" w:space="0" w:color="CC8E60"/>
          <w:bottom w:val="single" w:sz="8" w:space="0" w:color="CC8E60"/>
        </w:tcBorders>
      </w:tcPr>
    </w:tblStylePr>
    <w:tblStylePr w:type="firstCol">
      <w:rPr>
        <w:b/>
        <w:bCs/>
      </w:rPr>
    </w:tblStylePr>
    <w:tblStylePr w:type="lastCol">
      <w:rPr>
        <w:b/>
        <w:bCs/>
      </w:rPr>
      <w:tblPr/>
      <w:tcPr>
        <w:tcBorders>
          <w:top w:val="single" w:sz="8" w:space="0" w:color="CC8E60"/>
          <w:bottom w:val="single" w:sz="8" w:space="0" w:color="CC8E60"/>
        </w:tcBorders>
      </w:tcPr>
    </w:tblStylePr>
    <w:tblStylePr w:type="band1Vert">
      <w:tblPr/>
      <w:tcPr>
        <w:shd w:val="clear" w:color="auto" w:fill="F2E2D7"/>
      </w:tcPr>
    </w:tblStylePr>
    <w:tblStylePr w:type="band1Horz">
      <w:tblPr/>
      <w:tcPr>
        <w:shd w:val="clear" w:color="auto" w:fill="F2E2D7"/>
      </w:tcPr>
    </w:tblStylePr>
  </w:style>
  <w:style w:type="table" w:styleId="MediumList1-Accent3">
    <w:name w:val="Medium List 1 Accent 3"/>
    <w:basedOn w:val="TableNormal"/>
    <w:uiPriority w:val="65"/>
    <w:rsid w:val="00F80E94"/>
    <w:pPr>
      <w:spacing w:after="0" w:line="240" w:lineRule="auto"/>
    </w:pPr>
    <w:rPr>
      <w:rFonts w:ascii="Cambria" w:eastAsia="Cambria" w:hAnsi="Cambria" w:cs="Times New Roman"/>
      <w:color w:val="000000"/>
    </w:rPr>
    <w:tblPr>
      <w:tblStyleRowBandSize w:val="1"/>
      <w:tblStyleColBandSize w:val="1"/>
      <w:tblBorders>
        <w:top w:val="single" w:sz="8" w:space="0" w:color="7A6A60"/>
        <w:bottom w:val="single" w:sz="8" w:space="0" w:color="7A6A60"/>
      </w:tblBorders>
    </w:tblPr>
    <w:tblStylePr w:type="firstRow">
      <w:rPr>
        <w:rFonts w:ascii="Arial Unicode MS" w:eastAsia="Times New Roman" w:hAnsi="Arial Unicode MS" w:cs="Times New Roman"/>
      </w:rPr>
      <w:tblPr/>
      <w:tcPr>
        <w:tcBorders>
          <w:top w:val="nil"/>
          <w:bottom w:val="single" w:sz="8" w:space="0" w:color="7A6A60"/>
        </w:tcBorders>
      </w:tcPr>
    </w:tblStylePr>
    <w:tblStylePr w:type="lastRow">
      <w:rPr>
        <w:b/>
        <w:bCs/>
        <w:color w:val="1F2123"/>
      </w:rPr>
      <w:tblPr/>
      <w:tcPr>
        <w:tcBorders>
          <w:top w:val="single" w:sz="8" w:space="0" w:color="7A6A60"/>
          <w:bottom w:val="single" w:sz="8" w:space="0" w:color="7A6A60"/>
        </w:tcBorders>
      </w:tcPr>
    </w:tblStylePr>
    <w:tblStylePr w:type="firstCol">
      <w:rPr>
        <w:b/>
        <w:bCs/>
      </w:rPr>
    </w:tblStylePr>
    <w:tblStylePr w:type="lastCol">
      <w:rPr>
        <w:b/>
        <w:bCs/>
      </w:rPr>
      <w:tblPr/>
      <w:tcPr>
        <w:tcBorders>
          <w:top w:val="single" w:sz="8" w:space="0" w:color="7A6A60"/>
          <w:bottom w:val="single" w:sz="8" w:space="0" w:color="7A6A60"/>
        </w:tcBorders>
      </w:tcPr>
    </w:tblStylePr>
    <w:tblStylePr w:type="band1Vert">
      <w:tblPr/>
      <w:tcPr>
        <w:shd w:val="clear" w:color="auto" w:fill="DFD9D6"/>
      </w:tcPr>
    </w:tblStylePr>
    <w:tblStylePr w:type="band1Horz">
      <w:tblPr/>
      <w:tcPr>
        <w:shd w:val="clear" w:color="auto" w:fill="DFD9D6"/>
      </w:tcPr>
    </w:tblStylePr>
  </w:style>
  <w:style w:type="table" w:styleId="MediumList1-Accent4">
    <w:name w:val="Medium List 1 Accent 4"/>
    <w:basedOn w:val="TableNormal"/>
    <w:uiPriority w:val="65"/>
    <w:rsid w:val="00F80E94"/>
    <w:pPr>
      <w:spacing w:after="0" w:line="240" w:lineRule="auto"/>
    </w:pPr>
    <w:rPr>
      <w:rFonts w:ascii="Cambria" w:eastAsia="Cambria" w:hAnsi="Cambria" w:cs="Times New Roman"/>
      <w:color w:val="000000"/>
    </w:rPr>
    <w:tblPr>
      <w:tblStyleRowBandSize w:val="1"/>
      <w:tblStyleColBandSize w:val="1"/>
      <w:tblBorders>
        <w:top w:val="single" w:sz="8" w:space="0" w:color="B4936D"/>
        <w:bottom w:val="single" w:sz="8" w:space="0" w:color="B4936D"/>
      </w:tblBorders>
    </w:tblPr>
    <w:tblStylePr w:type="firstRow">
      <w:rPr>
        <w:rFonts w:ascii="Arial Unicode MS" w:eastAsia="Times New Roman" w:hAnsi="Arial Unicode MS" w:cs="Times New Roman"/>
      </w:rPr>
      <w:tblPr/>
      <w:tcPr>
        <w:tcBorders>
          <w:top w:val="nil"/>
          <w:bottom w:val="single" w:sz="8" w:space="0" w:color="B4936D"/>
        </w:tcBorders>
      </w:tcPr>
    </w:tblStylePr>
    <w:tblStylePr w:type="lastRow">
      <w:rPr>
        <w:b/>
        <w:bCs/>
        <w:color w:val="1F2123"/>
      </w:rPr>
      <w:tblPr/>
      <w:tcPr>
        <w:tcBorders>
          <w:top w:val="single" w:sz="8" w:space="0" w:color="B4936D"/>
          <w:bottom w:val="single" w:sz="8" w:space="0" w:color="B4936D"/>
        </w:tcBorders>
      </w:tcPr>
    </w:tblStylePr>
    <w:tblStylePr w:type="firstCol">
      <w:rPr>
        <w:b/>
        <w:bCs/>
      </w:rPr>
    </w:tblStylePr>
    <w:tblStylePr w:type="lastCol">
      <w:rPr>
        <w:b/>
        <w:bCs/>
      </w:rPr>
      <w:tblPr/>
      <w:tcPr>
        <w:tcBorders>
          <w:top w:val="single" w:sz="8" w:space="0" w:color="B4936D"/>
          <w:bottom w:val="single" w:sz="8" w:space="0" w:color="B4936D"/>
        </w:tcBorders>
      </w:tcPr>
    </w:tblStylePr>
    <w:tblStylePr w:type="band1Vert">
      <w:tblPr/>
      <w:tcPr>
        <w:shd w:val="clear" w:color="auto" w:fill="ECE4DA"/>
      </w:tcPr>
    </w:tblStylePr>
    <w:tblStylePr w:type="band1Horz">
      <w:tblPr/>
      <w:tcPr>
        <w:shd w:val="clear" w:color="auto" w:fill="ECE4DA"/>
      </w:tcPr>
    </w:tblStylePr>
  </w:style>
  <w:style w:type="table" w:styleId="MediumList1-Accent5">
    <w:name w:val="Medium List 1 Accent 5"/>
    <w:basedOn w:val="TableNormal"/>
    <w:uiPriority w:val="65"/>
    <w:rsid w:val="00F80E94"/>
    <w:pPr>
      <w:spacing w:after="0" w:line="240" w:lineRule="auto"/>
    </w:pPr>
    <w:rPr>
      <w:rFonts w:ascii="Cambria" w:eastAsia="Cambria" w:hAnsi="Cambria" w:cs="Times New Roman"/>
      <w:color w:val="000000"/>
    </w:rPr>
    <w:tblPr>
      <w:tblStyleRowBandSize w:val="1"/>
      <w:tblStyleColBandSize w:val="1"/>
      <w:tblBorders>
        <w:top w:val="single" w:sz="8" w:space="0" w:color="67787B"/>
        <w:bottom w:val="single" w:sz="8" w:space="0" w:color="67787B"/>
      </w:tblBorders>
    </w:tblPr>
    <w:tblStylePr w:type="firstRow">
      <w:rPr>
        <w:rFonts w:ascii="Arial Unicode MS" w:eastAsia="Times New Roman" w:hAnsi="Arial Unicode MS" w:cs="Times New Roman"/>
      </w:rPr>
      <w:tblPr/>
      <w:tcPr>
        <w:tcBorders>
          <w:top w:val="nil"/>
          <w:bottom w:val="single" w:sz="8" w:space="0" w:color="67787B"/>
        </w:tcBorders>
      </w:tcPr>
    </w:tblStylePr>
    <w:tblStylePr w:type="lastRow">
      <w:rPr>
        <w:b/>
        <w:bCs/>
        <w:color w:val="1F2123"/>
      </w:rPr>
      <w:tblPr/>
      <w:tcPr>
        <w:tcBorders>
          <w:top w:val="single" w:sz="8" w:space="0" w:color="67787B"/>
          <w:bottom w:val="single" w:sz="8" w:space="0" w:color="67787B"/>
        </w:tcBorders>
      </w:tcPr>
    </w:tblStylePr>
    <w:tblStylePr w:type="firstCol">
      <w:rPr>
        <w:b/>
        <w:bCs/>
      </w:rPr>
    </w:tblStylePr>
    <w:tblStylePr w:type="lastCol">
      <w:rPr>
        <w:b/>
        <w:bCs/>
      </w:rPr>
      <w:tblPr/>
      <w:tcPr>
        <w:tcBorders>
          <w:top w:val="single" w:sz="8" w:space="0" w:color="67787B"/>
          <w:bottom w:val="single" w:sz="8" w:space="0" w:color="67787B"/>
        </w:tcBorders>
      </w:tcPr>
    </w:tblStylePr>
    <w:tblStylePr w:type="band1Vert">
      <w:tblPr/>
      <w:tcPr>
        <w:shd w:val="clear" w:color="auto" w:fill="D8DEDF"/>
      </w:tcPr>
    </w:tblStylePr>
    <w:tblStylePr w:type="band1Horz">
      <w:tblPr/>
      <w:tcPr>
        <w:shd w:val="clear" w:color="auto" w:fill="D8DEDF"/>
      </w:tcPr>
    </w:tblStylePr>
  </w:style>
  <w:style w:type="table" w:styleId="MediumList1-Accent6">
    <w:name w:val="Medium List 1 Accent 6"/>
    <w:basedOn w:val="TableNormal"/>
    <w:uiPriority w:val="65"/>
    <w:rsid w:val="00F80E94"/>
    <w:pPr>
      <w:spacing w:after="0" w:line="240" w:lineRule="auto"/>
    </w:pPr>
    <w:rPr>
      <w:rFonts w:ascii="Cambria" w:eastAsia="Cambria" w:hAnsi="Cambria" w:cs="Times New Roman"/>
      <w:color w:val="000000"/>
    </w:rPr>
    <w:tblPr>
      <w:tblStyleRowBandSize w:val="1"/>
      <w:tblStyleColBandSize w:val="1"/>
      <w:tblBorders>
        <w:top w:val="single" w:sz="8" w:space="0" w:color="9D936F"/>
        <w:bottom w:val="single" w:sz="8" w:space="0" w:color="9D936F"/>
      </w:tblBorders>
    </w:tblPr>
    <w:tblStylePr w:type="firstRow">
      <w:rPr>
        <w:rFonts w:ascii="Arial Unicode MS" w:eastAsia="Times New Roman" w:hAnsi="Arial Unicode MS" w:cs="Times New Roman"/>
      </w:rPr>
      <w:tblPr/>
      <w:tcPr>
        <w:tcBorders>
          <w:top w:val="nil"/>
          <w:bottom w:val="single" w:sz="8" w:space="0" w:color="9D936F"/>
        </w:tcBorders>
      </w:tcPr>
    </w:tblStylePr>
    <w:tblStylePr w:type="lastRow">
      <w:rPr>
        <w:b/>
        <w:bCs/>
        <w:color w:val="1F2123"/>
      </w:rPr>
      <w:tblPr/>
      <w:tcPr>
        <w:tcBorders>
          <w:top w:val="single" w:sz="8" w:space="0" w:color="9D936F"/>
          <w:bottom w:val="single" w:sz="8" w:space="0" w:color="9D936F"/>
        </w:tcBorders>
      </w:tcPr>
    </w:tblStylePr>
    <w:tblStylePr w:type="firstCol">
      <w:rPr>
        <w:b/>
        <w:bCs/>
      </w:rPr>
    </w:tblStylePr>
    <w:tblStylePr w:type="lastCol">
      <w:rPr>
        <w:b/>
        <w:bCs/>
      </w:rPr>
      <w:tblPr/>
      <w:tcPr>
        <w:tcBorders>
          <w:top w:val="single" w:sz="8" w:space="0" w:color="9D936F"/>
          <w:bottom w:val="single" w:sz="8" w:space="0" w:color="9D936F"/>
        </w:tcBorders>
      </w:tcPr>
    </w:tblStylePr>
    <w:tblStylePr w:type="band1Vert">
      <w:tblPr/>
      <w:tcPr>
        <w:shd w:val="clear" w:color="auto" w:fill="E6E4DB"/>
      </w:tcPr>
    </w:tblStylePr>
    <w:tblStylePr w:type="band1Horz">
      <w:tblPr/>
      <w:tcPr>
        <w:shd w:val="clear" w:color="auto" w:fill="E6E4DB"/>
      </w:tcPr>
    </w:tblStylePr>
  </w:style>
  <w:style w:type="table" w:styleId="MediumList2">
    <w:name w:val="Medium List 2"/>
    <w:basedOn w:val="TableNormal"/>
    <w:uiPriority w:val="66"/>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7E97AD"/>
        <w:left w:val="single" w:sz="8" w:space="0" w:color="7E97AD"/>
        <w:bottom w:val="single" w:sz="8" w:space="0" w:color="7E97AD"/>
        <w:right w:val="single" w:sz="8" w:space="0" w:color="7E97AD"/>
      </w:tblBorders>
    </w:tblPr>
    <w:tblStylePr w:type="firstRow">
      <w:rPr>
        <w:sz w:val="24"/>
        <w:szCs w:val="24"/>
      </w:rPr>
      <w:tblPr/>
      <w:tcPr>
        <w:tcBorders>
          <w:top w:val="nil"/>
          <w:left w:val="nil"/>
          <w:bottom w:val="single" w:sz="24" w:space="0" w:color="7E97AD"/>
          <w:right w:val="nil"/>
          <w:insideH w:val="nil"/>
          <w:insideV w:val="nil"/>
        </w:tcBorders>
        <w:shd w:val="clear" w:color="auto" w:fill="FFFFFF"/>
      </w:tcPr>
    </w:tblStylePr>
    <w:tblStylePr w:type="lastRow">
      <w:tblPr/>
      <w:tcPr>
        <w:tcBorders>
          <w:top w:val="single" w:sz="8" w:space="0" w:color="7E97AD"/>
          <w:left w:val="nil"/>
          <w:bottom w:val="nil"/>
          <w:right w:val="nil"/>
          <w:insideH w:val="nil"/>
          <w:insideV w:val="nil"/>
        </w:tcBorders>
        <w:shd w:val="clear" w:color="auto" w:fill="FFFFFF"/>
      </w:tcPr>
    </w:tblStylePr>
    <w:tblStylePr w:type="firstCol">
      <w:tblPr/>
      <w:tcPr>
        <w:tcBorders>
          <w:top w:val="nil"/>
          <w:left w:val="nil"/>
          <w:bottom w:val="nil"/>
          <w:right w:val="single" w:sz="8" w:space="0" w:color="7E97AD"/>
          <w:insideH w:val="nil"/>
          <w:insideV w:val="nil"/>
        </w:tcBorders>
        <w:shd w:val="clear" w:color="auto" w:fill="FFFFFF"/>
      </w:tcPr>
    </w:tblStylePr>
    <w:tblStylePr w:type="lastCol">
      <w:tblPr/>
      <w:tcPr>
        <w:tcBorders>
          <w:top w:val="nil"/>
          <w:left w:val="single" w:sz="8" w:space="0" w:color="7E97A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5EA"/>
      </w:tcPr>
    </w:tblStylePr>
    <w:tblStylePr w:type="band1Horz">
      <w:tblPr/>
      <w:tcPr>
        <w:tcBorders>
          <w:top w:val="nil"/>
          <w:bottom w:val="nil"/>
          <w:insideH w:val="nil"/>
          <w:insideV w:val="nil"/>
        </w:tcBorders>
        <w:shd w:val="clear" w:color="auto" w:fill="DFE5EA"/>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rPr>
        <w:sz w:val="24"/>
        <w:szCs w:val="24"/>
      </w:rPr>
      <w:tblPr/>
      <w:tcPr>
        <w:tcBorders>
          <w:top w:val="nil"/>
          <w:left w:val="nil"/>
          <w:bottom w:val="single" w:sz="24" w:space="0" w:color="CC8E60"/>
          <w:right w:val="nil"/>
          <w:insideH w:val="nil"/>
          <w:insideV w:val="nil"/>
        </w:tcBorders>
        <w:shd w:val="clear" w:color="auto" w:fill="FFFFFF"/>
      </w:tcPr>
    </w:tblStylePr>
    <w:tblStylePr w:type="lastRow">
      <w:tblPr/>
      <w:tcPr>
        <w:tcBorders>
          <w:top w:val="single" w:sz="8" w:space="0" w:color="CC8E60"/>
          <w:left w:val="nil"/>
          <w:bottom w:val="nil"/>
          <w:right w:val="nil"/>
          <w:insideH w:val="nil"/>
          <w:insideV w:val="nil"/>
        </w:tcBorders>
        <w:shd w:val="clear" w:color="auto" w:fill="FFFFFF"/>
      </w:tcPr>
    </w:tblStylePr>
    <w:tblStylePr w:type="firstCol">
      <w:tblPr/>
      <w:tcPr>
        <w:tcBorders>
          <w:top w:val="nil"/>
          <w:left w:val="nil"/>
          <w:bottom w:val="nil"/>
          <w:right w:val="single" w:sz="8" w:space="0" w:color="CC8E60"/>
          <w:insideH w:val="nil"/>
          <w:insideV w:val="nil"/>
        </w:tcBorders>
        <w:shd w:val="clear" w:color="auto" w:fill="FFFFFF"/>
      </w:tcPr>
    </w:tblStylePr>
    <w:tblStylePr w:type="lastCol">
      <w:tblPr/>
      <w:tcPr>
        <w:tcBorders>
          <w:top w:val="nil"/>
          <w:left w:val="single" w:sz="8" w:space="0" w:color="CC8E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E2D7"/>
      </w:tcPr>
    </w:tblStylePr>
    <w:tblStylePr w:type="band1Horz">
      <w:tblPr/>
      <w:tcPr>
        <w:tcBorders>
          <w:top w:val="nil"/>
          <w:bottom w:val="nil"/>
          <w:insideH w:val="nil"/>
          <w:insideV w:val="nil"/>
        </w:tcBorders>
        <w:shd w:val="clear" w:color="auto" w:fill="F2E2D7"/>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rPr>
        <w:sz w:val="24"/>
        <w:szCs w:val="24"/>
      </w:rPr>
      <w:tblPr/>
      <w:tcPr>
        <w:tcBorders>
          <w:top w:val="nil"/>
          <w:left w:val="nil"/>
          <w:bottom w:val="single" w:sz="24" w:space="0" w:color="7A6A60"/>
          <w:right w:val="nil"/>
          <w:insideH w:val="nil"/>
          <w:insideV w:val="nil"/>
        </w:tcBorders>
        <w:shd w:val="clear" w:color="auto" w:fill="FFFFFF"/>
      </w:tcPr>
    </w:tblStylePr>
    <w:tblStylePr w:type="lastRow">
      <w:tblPr/>
      <w:tcPr>
        <w:tcBorders>
          <w:top w:val="single" w:sz="8" w:space="0" w:color="7A6A60"/>
          <w:left w:val="nil"/>
          <w:bottom w:val="nil"/>
          <w:right w:val="nil"/>
          <w:insideH w:val="nil"/>
          <w:insideV w:val="nil"/>
        </w:tcBorders>
        <w:shd w:val="clear" w:color="auto" w:fill="FFFFFF"/>
      </w:tcPr>
    </w:tblStylePr>
    <w:tblStylePr w:type="firstCol">
      <w:tblPr/>
      <w:tcPr>
        <w:tcBorders>
          <w:top w:val="nil"/>
          <w:left w:val="nil"/>
          <w:bottom w:val="nil"/>
          <w:right w:val="single" w:sz="8" w:space="0" w:color="7A6A60"/>
          <w:insideH w:val="nil"/>
          <w:insideV w:val="nil"/>
        </w:tcBorders>
        <w:shd w:val="clear" w:color="auto" w:fill="FFFFFF"/>
      </w:tcPr>
    </w:tblStylePr>
    <w:tblStylePr w:type="lastCol">
      <w:tblPr/>
      <w:tcPr>
        <w:tcBorders>
          <w:top w:val="nil"/>
          <w:left w:val="single" w:sz="8" w:space="0" w:color="7A6A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9D6"/>
      </w:tcPr>
    </w:tblStylePr>
    <w:tblStylePr w:type="band1Horz">
      <w:tblPr/>
      <w:tcPr>
        <w:tcBorders>
          <w:top w:val="nil"/>
          <w:bottom w:val="nil"/>
          <w:insideH w:val="nil"/>
          <w:insideV w:val="nil"/>
        </w:tcBorders>
        <w:shd w:val="clear" w:color="auto" w:fill="DFD9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rPr>
        <w:sz w:val="24"/>
        <w:szCs w:val="24"/>
      </w:rPr>
      <w:tblPr/>
      <w:tcPr>
        <w:tcBorders>
          <w:top w:val="nil"/>
          <w:left w:val="nil"/>
          <w:bottom w:val="single" w:sz="24" w:space="0" w:color="B4936D"/>
          <w:right w:val="nil"/>
          <w:insideH w:val="nil"/>
          <w:insideV w:val="nil"/>
        </w:tcBorders>
        <w:shd w:val="clear" w:color="auto" w:fill="FFFFFF"/>
      </w:tcPr>
    </w:tblStylePr>
    <w:tblStylePr w:type="lastRow">
      <w:tblPr/>
      <w:tcPr>
        <w:tcBorders>
          <w:top w:val="single" w:sz="8" w:space="0" w:color="B4936D"/>
          <w:left w:val="nil"/>
          <w:bottom w:val="nil"/>
          <w:right w:val="nil"/>
          <w:insideH w:val="nil"/>
          <w:insideV w:val="nil"/>
        </w:tcBorders>
        <w:shd w:val="clear" w:color="auto" w:fill="FFFFFF"/>
      </w:tcPr>
    </w:tblStylePr>
    <w:tblStylePr w:type="firstCol">
      <w:tblPr/>
      <w:tcPr>
        <w:tcBorders>
          <w:top w:val="nil"/>
          <w:left w:val="nil"/>
          <w:bottom w:val="nil"/>
          <w:right w:val="single" w:sz="8" w:space="0" w:color="B4936D"/>
          <w:insideH w:val="nil"/>
          <w:insideV w:val="nil"/>
        </w:tcBorders>
        <w:shd w:val="clear" w:color="auto" w:fill="FFFFFF"/>
      </w:tcPr>
    </w:tblStylePr>
    <w:tblStylePr w:type="lastCol">
      <w:tblPr/>
      <w:tcPr>
        <w:tcBorders>
          <w:top w:val="nil"/>
          <w:left w:val="single" w:sz="8" w:space="0" w:color="B4936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4DA"/>
      </w:tcPr>
    </w:tblStylePr>
    <w:tblStylePr w:type="band1Horz">
      <w:tblPr/>
      <w:tcPr>
        <w:tcBorders>
          <w:top w:val="nil"/>
          <w:bottom w:val="nil"/>
          <w:insideH w:val="nil"/>
          <w:insideV w:val="nil"/>
        </w:tcBorders>
        <w:shd w:val="clear" w:color="auto" w:fill="ECE4DA"/>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67787B"/>
        <w:left w:val="single" w:sz="8" w:space="0" w:color="67787B"/>
        <w:bottom w:val="single" w:sz="8" w:space="0" w:color="67787B"/>
        <w:right w:val="single" w:sz="8" w:space="0" w:color="67787B"/>
      </w:tblBorders>
    </w:tblPr>
    <w:tblStylePr w:type="firstRow">
      <w:rPr>
        <w:sz w:val="24"/>
        <w:szCs w:val="24"/>
      </w:rPr>
      <w:tblPr/>
      <w:tcPr>
        <w:tcBorders>
          <w:top w:val="nil"/>
          <w:left w:val="nil"/>
          <w:bottom w:val="single" w:sz="24" w:space="0" w:color="67787B"/>
          <w:right w:val="nil"/>
          <w:insideH w:val="nil"/>
          <w:insideV w:val="nil"/>
        </w:tcBorders>
        <w:shd w:val="clear" w:color="auto" w:fill="FFFFFF"/>
      </w:tcPr>
    </w:tblStylePr>
    <w:tblStylePr w:type="lastRow">
      <w:tblPr/>
      <w:tcPr>
        <w:tcBorders>
          <w:top w:val="single" w:sz="8" w:space="0" w:color="67787B"/>
          <w:left w:val="nil"/>
          <w:bottom w:val="nil"/>
          <w:right w:val="nil"/>
          <w:insideH w:val="nil"/>
          <w:insideV w:val="nil"/>
        </w:tcBorders>
        <w:shd w:val="clear" w:color="auto" w:fill="FFFFFF"/>
      </w:tcPr>
    </w:tblStylePr>
    <w:tblStylePr w:type="firstCol">
      <w:tblPr/>
      <w:tcPr>
        <w:tcBorders>
          <w:top w:val="nil"/>
          <w:left w:val="nil"/>
          <w:bottom w:val="nil"/>
          <w:right w:val="single" w:sz="8" w:space="0" w:color="67787B"/>
          <w:insideH w:val="nil"/>
          <w:insideV w:val="nil"/>
        </w:tcBorders>
        <w:shd w:val="clear" w:color="auto" w:fill="FFFFFF"/>
      </w:tcPr>
    </w:tblStylePr>
    <w:tblStylePr w:type="lastCol">
      <w:tblPr/>
      <w:tcPr>
        <w:tcBorders>
          <w:top w:val="nil"/>
          <w:left w:val="single" w:sz="8" w:space="0" w:color="67787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EDF"/>
      </w:tcPr>
    </w:tblStylePr>
    <w:tblStylePr w:type="band1Horz">
      <w:tblPr/>
      <w:tcPr>
        <w:tcBorders>
          <w:top w:val="nil"/>
          <w:bottom w:val="nil"/>
          <w:insideH w:val="nil"/>
          <w:insideV w:val="nil"/>
        </w:tcBorders>
        <w:shd w:val="clear" w:color="auto" w:fill="D8DEDF"/>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80E94"/>
    <w:pPr>
      <w:spacing w:after="0" w:line="240" w:lineRule="auto"/>
    </w:pPr>
    <w:rPr>
      <w:rFonts w:ascii="Calibri" w:eastAsia="Times New Roman" w:hAnsi="Calibri" w:cs="Times New Roman"/>
      <w:color w:val="000000"/>
    </w:rPr>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rPr>
        <w:sz w:val="24"/>
        <w:szCs w:val="24"/>
      </w:rPr>
      <w:tblPr/>
      <w:tcPr>
        <w:tcBorders>
          <w:top w:val="nil"/>
          <w:left w:val="nil"/>
          <w:bottom w:val="single" w:sz="24" w:space="0" w:color="9D936F"/>
          <w:right w:val="nil"/>
          <w:insideH w:val="nil"/>
          <w:insideV w:val="nil"/>
        </w:tcBorders>
        <w:shd w:val="clear" w:color="auto" w:fill="FFFFFF"/>
      </w:tcPr>
    </w:tblStylePr>
    <w:tblStylePr w:type="lastRow">
      <w:tblPr/>
      <w:tcPr>
        <w:tcBorders>
          <w:top w:val="single" w:sz="8" w:space="0" w:color="9D936F"/>
          <w:left w:val="nil"/>
          <w:bottom w:val="nil"/>
          <w:right w:val="nil"/>
          <w:insideH w:val="nil"/>
          <w:insideV w:val="nil"/>
        </w:tcBorders>
        <w:shd w:val="clear" w:color="auto" w:fill="FFFFFF"/>
      </w:tcPr>
    </w:tblStylePr>
    <w:tblStylePr w:type="firstCol">
      <w:tblPr/>
      <w:tcPr>
        <w:tcBorders>
          <w:top w:val="nil"/>
          <w:left w:val="nil"/>
          <w:bottom w:val="nil"/>
          <w:right w:val="single" w:sz="8" w:space="0" w:color="9D936F"/>
          <w:insideH w:val="nil"/>
          <w:insideV w:val="nil"/>
        </w:tcBorders>
        <w:shd w:val="clear" w:color="auto" w:fill="FFFFFF"/>
      </w:tcPr>
    </w:tblStylePr>
    <w:tblStylePr w:type="lastCol">
      <w:tblPr/>
      <w:tcPr>
        <w:tcBorders>
          <w:top w:val="nil"/>
          <w:left w:val="single" w:sz="8" w:space="0" w:color="9D93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4DB"/>
      </w:tcPr>
    </w:tblStylePr>
    <w:tblStylePr w:type="band1Horz">
      <w:tblPr/>
      <w:tcPr>
        <w:tcBorders>
          <w:top w:val="nil"/>
          <w:bottom w:val="nil"/>
          <w:insideH w:val="nil"/>
          <w:insideV w:val="nil"/>
        </w:tcBorders>
        <w:shd w:val="clear" w:color="auto" w:fill="E6E4DB"/>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80E94"/>
    <w:pPr>
      <w:spacing w:after="0" w:line="240" w:lineRule="auto"/>
    </w:pPr>
    <w:rPr>
      <w:rFonts w:ascii="Cambria" w:eastAsia="Cambria" w:hAnsi="Cambria"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80E94"/>
    <w:pPr>
      <w:spacing w:after="0" w:line="240" w:lineRule="auto"/>
    </w:pPr>
    <w:rPr>
      <w:rFonts w:ascii="Cambria" w:eastAsia="Cambria" w:hAnsi="Cambria" w:cs="Times New Roman"/>
    </w:rPr>
    <w:tblPr>
      <w:tblStyleRowBandSize w:val="1"/>
      <w:tblStyleColBandSize w:val="1"/>
      <w:tblBorders>
        <w:top w:val="single" w:sz="8" w:space="0" w:color="9EB0C1"/>
        <w:left w:val="single" w:sz="8" w:space="0" w:color="9EB0C1"/>
        <w:bottom w:val="single" w:sz="8" w:space="0" w:color="9EB0C1"/>
        <w:right w:val="single" w:sz="8" w:space="0" w:color="9EB0C1"/>
        <w:insideH w:val="single" w:sz="8" w:space="0" w:color="9EB0C1"/>
      </w:tblBorders>
    </w:tblPr>
    <w:tblStylePr w:type="firstRow">
      <w:pPr>
        <w:spacing w:before="0" w:after="0" w:line="240" w:lineRule="auto"/>
      </w:pPr>
      <w:rPr>
        <w:b/>
        <w:bCs/>
        <w:color w:val="FFFFFF"/>
      </w:rPr>
      <w:tblPr/>
      <w:tcPr>
        <w:tcBorders>
          <w:top w:val="single" w:sz="8" w:space="0" w:color="9EB0C1"/>
          <w:left w:val="single" w:sz="8" w:space="0" w:color="9EB0C1"/>
          <w:bottom w:val="single" w:sz="8" w:space="0" w:color="9EB0C1"/>
          <w:right w:val="single" w:sz="8" w:space="0" w:color="9EB0C1"/>
          <w:insideH w:val="nil"/>
          <w:insideV w:val="nil"/>
        </w:tcBorders>
        <w:shd w:val="clear" w:color="auto" w:fill="7E97AD"/>
      </w:tcPr>
    </w:tblStylePr>
    <w:tblStylePr w:type="lastRow">
      <w:pPr>
        <w:spacing w:before="0" w:after="0" w:line="240" w:lineRule="auto"/>
      </w:pPr>
      <w:rPr>
        <w:b/>
        <w:bCs/>
      </w:rPr>
      <w:tblPr/>
      <w:tcPr>
        <w:tcBorders>
          <w:top w:val="double" w:sz="6" w:space="0" w:color="9EB0C1"/>
          <w:left w:val="single" w:sz="8" w:space="0" w:color="9EB0C1"/>
          <w:bottom w:val="single" w:sz="8" w:space="0" w:color="9EB0C1"/>
          <w:right w:val="single" w:sz="8" w:space="0" w:color="9EB0C1"/>
          <w:insideH w:val="nil"/>
          <w:insideV w:val="nil"/>
        </w:tcBorders>
      </w:tcPr>
    </w:tblStylePr>
    <w:tblStylePr w:type="firstCol">
      <w:rPr>
        <w:b/>
        <w:bCs/>
      </w:rPr>
    </w:tblStylePr>
    <w:tblStylePr w:type="lastCol">
      <w:rPr>
        <w:b/>
        <w:bCs/>
      </w:rPr>
    </w:tblStylePr>
    <w:tblStylePr w:type="band1Vert">
      <w:tblPr/>
      <w:tcPr>
        <w:shd w:val="clear" w:color="auto" w:fill="DFE5EA"/>
      </w:tcPr>
    </w:tblStylePr>
    <w:tblStylePr w:type="band1Horz">
      <w:tblPr/>
      <w:tcPr>
        <w:tcBorders>
          <w:insideH w:val="nil"/>
          <w:insideV w:val="nil"/>
        </w:tcBorders>
        <w:shd w:val="clear" w:color="auto" w:fill="DFE5EA"/>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80E94"/>
    <w:pPr>
      <w:spacing w:after="0" w:line="240" w:lineRule="auto"/>
    </w:pPr>
    <w:rPr>
      <w:rFonts w:ascii="Cambria" w:eastAsia="Cambria" w:hAnsi="Cambria" w:cs="Times New Roman"/>
    </w:rPr>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line="240" w:lineRule="auto"/>
      </w:pPr>
      <w:rPr>
        <w:b/>
        <w:bCs/>
        <w:color w:val="FFFFFF"/>
      </w:rPr>
      <w:tblPr/>
      <w:tcPr>
        <w:tcBorders>
          <w:top w:val="single" w:sz="8" w:space="0" w:color="D8AA87"/>
          <w:left w:val="single" w:sz="8" w:space="0" w:color="D8AA87"/>
          <w:bottom w:val="single" w:sz="8" w:space="0" w:color="D8AA87"/>
          <w:right w:val="single" w:sz="8" w:space="0" w:color="D8AA87"/>
          <w:insideH w:val="nil"/>
          <w:insideV w:val="nil"/>
        </w:tcBorders>
        <w:shd w:val="clear" w:color="auto" w:fill="CC8E60"/>
      </w:tcPr>
    </w:tblStylePr>
    <w:tblStylePr w:type="lastRow">
      <w:pPr>
        <w:spacing w:before="0" w:after="0" w:line="240" w:lineRule="auto"/>
      </w:pPr>
      <w:rPr>
        <w:b/>
        <w:bCs/>
      </w:rPr>
      <w:tblPr/>
      <w:tcPr>
        <w:tcBorders>
          <w:top w:val="double" w:sz="6" w:space="0" w:color="D8AA87"/>
          <w:left w:val="single" w:sz="8" w:space="0" w:color="D8AA87"/>
          <w:bottom w:val="single" w:sz="8" w:space="0" w:color="D8AA87"/>
          <w:right w:val="single" w:sz="8" w:space="0" w:color="D8AA87"/>
          <w:insideH w:val="nil"/>
          <w:insideV w:val="nil"/>
        </w:tcBorders>
      </w:tcPr>
    </w:tblStylePr>
    <w:tblStylePr w:type="firstCol">
      <w:rPr>
        <w:b/>
        <w:bCs/>
      </w:rPr>
    </w:tblStylePr>
    <w:tblStylePr w:type="lastCol">
      <w:rPr>
        <w:b/>
        <w:bCs/>
      </w:rPr>
    </w:tblStylePr>
    <w:tblStylePr w:type="band1Vert">
      <w:tblPr/>
      <w:tcPr>
        <w:shd w:val="clear" w:color="auto" w:fill="F2E2D7"/>
      </w:tcPr>
    </w:tblStylePr>
    <w:tblStylePr w:type="band1Horz">
      <w:tblPr/>
      <w:tcPr>
        <w:tcBorders>
          <w:insideH w:val="nil"/>
          <w:insideV w:val="nil"/>
        </w:tcBorders>
        <w:shd w:val="clear" w:color="auto" w:fill="F2E2D7"/>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80E94"/>
    <w:pPr>
      <w:spacing w:after="0" w:line="240" w:lineRule="auto"/>
    </w:pPr>
    <w:rPr>
      <w:rFonts w:ascii="Cambria" w:eastAsia="Cambria" w:hAnsi="Cambria" w:cs="Times New Roman"/>
    </w:rPr>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line="240" w:lineRule="auto"/>
      </w:pPr>
      <w:rPr>
        <w:b/>
        <w:bCs/>
        <w:color w:val="FFFFFF"/>
      </w:rPr>
      <w:tblPr/>
      <w:tcPr>
        <w:tcBorders>
          <w:top w:val="single" w:sz="8" w:space="0" w:color="9E8E84"/>
          <w:left w:val="single" w:sz="8" w:space="0" w:color="9E8E84"/>
          <w:bottom w:val="single" w:sz="8" w:space="0" w:color="9E8E84"/>
          <w:right w:val="single" w:sz="8" w:space="0" w:color="9E8E84"/>
          <w:insideH w:val="nil"/>
          <w:insideV w:val="nil"/>
        </w:tcBorders>
        <w:shd w:val="clear" w:color="auto" w:fill="7A6A60"/>
      </w:tcPr>
    </w:tblStylePr>
    <w:tblStylePr w:type="lastRow">
      <w:pPr>
        <w:spacing w:before="0" w:after="0" w:line="240" w:lineRule="auto"/>
      </w:pPr>
      <w:rPr>
        <w:b/>
        <w:bCs/>
      </w:rPr>
      <w:tblPr/>
      <w:tcPr>
        <w:tcBorders>
          <w:top w:val="double" w:sz="6" w:space="0" w:color="9E8E84"/>
          <w:left w:val="single" w:sz="8" w:space="0" w:color="9E8E84"/>
          <w:bottom w:val="single" w:sz="8" w:space="0" w:color="9E8E84"/>
          <w:right w:val="single" w:sz="8" w:space="0" w:color="9E8E84"/>
          <w:insideH w:val="nil"/>
          <w:insideV w:val="nil"/>
        </w:tcBorders>
      </w:tcPr>
    </w:tblStylePr>
    <w:tblStylePr w:type="firstCol">
      <w:rPr>
        <w:b/>
        <w:bCs/>
      </w:rPr>
    </w:tblStylePr>
    <w:tblStylePr w:type="lastCol">
      <w:rPr>
        <w:b/>
        <w:bCs/>
      </w:rPr>
    </w:tblStylePr>
    <w:tblStylePr w:type="band1Vert">
      <w:tblPr/>
      <w:tcPr>
        <w:shd w:val="clear" w:color="auto" w:fill="DFD9D6"/>
      </w:tcPr>
    </w:tblStylePr>
    <w:tblStylePr w:type="band1Horz">
      <w:tblPr/>
      <w:tcPr>
        <w:tcBorders>
          <w:insideH w:val="nil"/>
          <w:insideV w:val="nil"/>
        </w:tcBorders>
        <w:shd w:val="clear" w:color="auto" w:fill="DFD9D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80E94"/>
    <w:pPr>
      <w:spacing w:after="0" w:line="240" w:lineRule="auto"/>
    </w:pPr>
    <w:rPr>
      <w:rFonts w:ascii="Cambria" w:eastAsia="Cambria" w:hAnsi="Cambria" w:cs="Times New Roman"/>
    </w:rPr>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line="240" w:lineRule="auto"/>
      </w:pPr>
      <w:rPr>
        <w:b/>
        <w:bCs/>
        <w:color w:val="FFFFFF"/>
      </w:rPr>
      <w:tblPr/>
      <w:tcPr>
        <w:tcBorders>
          <w:top w:val="single" w:sz="8" w:space="0" w:color="C6AD91"/>
          <w:left w:val="single" w:sz="8" w:space="0" w:color="C6AD91"/>
          <w:bottom w:val="single" w:sz="8" w:space="0" w:color="C6AD91"/>
          <w:right w:val="single" w:sz="8" w:space="0" w:color="C6AD91"/>
          <w:insideH w:val="nil"/>
          <w:insideV w:val="nil"/>
        </w:tcBorders>
        <w:shd w:val="clear" w:color="auto" w:fill="B4936D"/>
      </w:tcPr>
    </w:tblStylePr>
    <w:tblStylePr w:type="lastRow">
      <w:pPr>
        <w:spacing w:before="0" w:after="0" w:line="240" w:lineRule="auto"/>
      </w:pPr>
      <w:rPr>
        <w:b/>
        <w:bCs/>
      </w:rPr>
      <w:tblPr/>
      <w:tcPr>
        <w:tcBorders>
          <w:top w:val="double" w:sz="6" w:space="0" w:color="C6AD91"/>
          <w:left w:val="single" w:sz="8" w:space="0" w:color="C6AD91"/>
          <w:bottom w:val="single" w:sz="8" w:space="0" w:color="C6AD91"/>
          <w:right w:val="single" w:sz="8" w:space="0" w:color="C6AD91"/>
          <w:insideH w:val="nil"/>
          <w:insideV w:val="nil"/>
        </w:tcBorders>
      </w:tcPr>
    </w:tblStylePr>
    <w:tblStylePr w:type="firstCol">
      <w:rPr>
        <w:b/>
        <w:bCs/>
      </w:rPr>
    </w:tblStylePr>
    <w:tblStylePr w:type="lastCol">
      <w:rPr>
        <w:b/>
        <w:bCs/>
      </w:rPr>
    </w:tblStylePr>
    <w:tblStylePr w:type="band1Vert">
      <w:tblPr/>
      <w:tcPr>
        <w:shd w:val="clear" w:color="auto" w:fill="ECE4DA"/>
      </w:tcPr>
    </w:tblStylePr>
    <w:tblStylePr w:type="band1Horz">
      <w:tblPr/>
      <w:tcPr>
        <w:tcBorders>
          <w:insideH w:val="nil"/>
          <w:insideV w:val="nil"/>
        </w:tcBorders>
        <w:shd w:val="clear" w:color="auto" w:fill="ECE4DA"/>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80E94"/>
    <w:pPr>
      <w:spacing w:after="0" w:line="240" w:lineRule="auto"/>
    </w:pPr>
    <w:rPr>
      <w:rFonts w:ascii="Cambria" w:eastAsia="Cambria" w:hAnsi="Cambria" w:cs="Times New Roman"/>
    </w:rPr>
    <w:tblPr>
      <w:tblStyleRowBandSize w:val="1"/>
      <w:tblStyleColBandSize w:val="1"/>
      <w:tblBorders>
        <w:top w:val="single" w:sz="8" w:space="0" w:color="8B9B9E"/>
        <w:left w:val="single" w:sz="8" w:space="0" w:color="8B9B9E"/>
        <w:bottom w:val="single" w:sz="8" w:space="0" w:color="8B9B9E"/>
        <w:right w:val="single" w:sz="8" w:space="0" w:color="8B9B9E"/>
        <w:insideH w:val="single" w:sz="8" w:space="0" w:color="8B9B9E"/>
      </w:tblBorders>
    </w:tblPr>
    <w:tblStylePr w:type="firstRow">
      <w:pPr>
        <w:spacing w:before="0" w:after="0" w:line="240" w:lineRule="auto"/>
      </w:pPr>
      <w:rPr>
        <w:b/>
        <w:bCs/>
        <w:color w:val="FFFFFF"/>
      </w:rPr>
      <w:tblPr/>
      <w:tcPr>
        <w:tcBorders>
          <w:top w:val="single" w:sz="8" w:space="0" w:color="8B9B9E"/>
          <w:left w:val="single" w:sz="8" w:space="0" w:color="8B9B9E"/>
          <w:bottom w:val="single" w:sz="8" w:space="0" w:color="8B9B9E"/>
          <w:right w:val="single" w:sz="8" w:space="0" w:color="8B9B9E"/>
          <w:insideH w:val="nil"/>
          <w:insideV w:val="nil"/>
        </w:tcBorders>
        <w:shd w:val="clear" w:color="auto" w:fill="67787B"/>
      </w:tcPr>
    </w:tblStylePr>
    <w:tblStylePr w:type="lastRow">
      <w:pPr>
        <w:spacing w:before="0" w:after="0" w:line="240" w:lineRule="auto"/>
      </w:pPr>
      <w:rPr>
        <w:b/>
        <w:bCs/>
      </w:rPr>
      <w:tblPr/>
      <w:tcPr>
        <w:tcBorders>
          <w:top w:val="double" w:sz="6" w:space="0" w:color="8B9B9E"/>
          <w:left w:val="single" w:sz="8" w:space="0" w:color="8B9B9E"/>
          <w:bottom w:val="single" w:sz="8" w:space="0" w:color="8B9B9E"/>
          <w:right w:val="single" w:sz="8" w:space="0" w:color="8B9B9E"/>
          <w:insideH w:val="nil"/>
          <w:insideV w:val="nil"/>
        </w:tcBorders>
      </w:tcPr>
    </w:tblStylePr>
    <w:tblStylePr w:type="firstCol">
      <w:rPr>
        <w:b/>
        <w:bCs/>
      </w:rPr>
    </w:tblStylePr>
    <w:tblStylePr w:type="lastCol">
      <w:rPr>
        <w:b/>
        <w:bCs/>
      </w:rPr>
    </w:tblStylePr>
    <w:tblStylePr w:type="band1Vert">
      <w:tblPr/>
      <w:tcPr>
        <w:shd w:val="clear" w:color="auto" w:fill="D8DEDF"/>
      </w:tcPr>
    </w:tblStylePr>
    <w:tblStylePr w:type="band1Horz">
      <w:tblPr/>
      <w:tcPr>
        <w:tcBorders>
          <w:insideH w:val="nil"/>
          <w:insideV w:val="nil"/>
        </w:tcBorders>
        <w:shd w:val="clear" w:color="auto" w:fill="D8DED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80E94"/>
    <w:pPr>
      <w:spacing w:after="0" w:line="240" w:lineRule="auto"/>
    </w:pPr>
    <w:rPr>
      <w:rFonts w:ascii="Cambria" w:eastAsia="Cambria" w:hAnsi="Cambria" w:cs="Times New Roman"/>
    </w:rPr>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line="240" w:lineRule="auto"/>
      </w:pPr>
      <w:rPr>
        <w:b/>
        <w:bCs/>
        <w:color w:val="FFFFFF"/>
      </w:rPr>
      <w:tblPr/>
      <w:tcPr>
        <w:tcBorders>
          <w:top w:val="single" w:sz="8" w:space="0" w:color="B5AE93"/>
          <w:left w:val="single" w:sz="8" w:space="0" w:color="B5AE93"/>
          <w:bottom w:val="single" w:sz="8" w:space="0" w:color="B5AE93"/>
          <w:right w:val="single" w:sz="8" w:space="0" w:color="B5AE93"/>
          <w:insideH w:val="nil"/>
          <w:insideV w:val="nil"/>
        </w:tcBorders>
        <w:shd w:val="clear" w:color="auto" w:fill="9D936F"/>
      </w:tcPr>
    </w:tblStylePr>
    <w:tblStylePr w:type="lastRow">
      <w:pPr>
        <w:spacing w:before="0" w:after="0" w:line="240" w:lineRule="auto"/>
      </w:pPr>
      <w:rPr>
        <w:b/>
        <w:bCs/>
      </w:rPr>
      <w:tblPr/>
      <w:tcPr>
        <w:tcBorders>
          <w:top w:val="double" w:sz="6" w:space="0" w:color="B5AE93"/>
          <w:left w:val="single" w:sz="8" w:space="0" w:color="B5AE93"/>
          <w:bottom w:val="single" w:sz="8" w:space="0" w:color="B5AE93"/>
          <w:right w:val="single" w:sz="8" w:space="0" w:color="B5AE93"/>
          <w:insideH w:val="nil"/>
          <w:insideV w:val="nil"/>
        </w:tcBorders>
      </w:tcPr>
    </w:tblStylePr>
    <w:tblStylePr w:type="firstCol">
      <w:rPr>
        <w:b/>
        <w:bCs/>
      </w:rPr>
    </w:tblStylePr>
    <w:tblStylePr w:type="lastCol">
      <w:rPr>
        <w:b/>
        <w:bCs/>
      </w:rPr>
    </w:tblStylePr>
    <w:tblStylePr w:type="band1Vert">
      <w:tblPr/>
      <w:tcPr>
        <w:shd w:val="clear" w:color="auto" w:fill="E6E4DB"/>
      </w:tcPr>
    </w:tblStylePr>
    <w:tblStylePr w:type="band1Horz">
      <w:tblPr/>
      <w:tcPr>
        <w:tcBorders>
          <w:insideH w:val="nil"/>
          <w:insideV w:val="nil"/>
        </w:tcBorders>
        <w:shd w:val="clear" w:color="auto" w:fill="E6E4DB"/>
      </w:tcPr>
    </w:tblStylePr>
    <w:tblStylePr w:type="band2Horz">
      <w:tblPr/>
      <w:tcPr>
        <w:tcBorders>
          <w:insideH w:val="nil"/>
          <w:insideV w:val="nil"/>
        </w:tcBorders>
      </w:tcPr>
    </w:tblStylePr>
  </w:style>
  <w:style w:type="table" w:styleId="MediumShading2">
    <w:name w:val="Medium Shading 2"/>
    <w:basedOn w:val="TableNormal"/>
    <w:uiPriority w:val="64"/>
    <w:rsid w:val="00F80E94"/>
    <w:pPr>
      <w:spacing w:after="0" w:line="240" w:lineRule="auto"/>
    </w:pPr>
    <w:rPr>
      <w:rFonts w:ascii="Cambria" w:eastAsia="Cambria"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80E94"/>
    <w:pPr>
      <w:spacing w:after="0" w:line="240" w:lineRule="auto"/>
    </w:pPr>
    <w:rPr>
      <w:rFonts w:ascii="Cambria" w:eastAsia="Cambria"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E97A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E97AD"/>
      </w:tcPr>
    </w:tblStylePr>
    <w:tblStylePr w:type="lastCol">
      <w:rPr>
        <w:b/>
        <w:bCs/>
        <w:color w:val="FFFFFF"/>
      </w:rPr>
      <w:tblPr/>
      <w:tcPr>
        <w:tcBorders>
          <w:left w:val="nil"/>
          <w:right w:val="nil"/>
          <w:insideH w:val="nil"/>
          <w:insideV w:val="nil"/>
        </w:tcBorders>
        <w:shd w:val="clear" w:color="auto" w:fill="7E97A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80E94"/>
    <w:pPr>
      <w:spacing w:after="0" w:line="240" w:lineRule="auto"/>
    </w:pPr>
    <w:rPr>
      <w:rFonts w:ascii="Cambria" w:eastAsia="Cambria"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C8E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C8E60"/>
      </w:tcPr>
    </w:tblStylePr>
    <w:tblStylePr w:type="lastCol">
      <w:rPr>
        <w:b/>
        <w:bCs/>
        <w:color w:val="FFFFFF"/>
      </w:rPr>
      <w:tblPr/>
      <w:tcPr>
        <w:tcBorders>
          <w:left w:val="nil"/>
          <w:right w:val="nil"/>
          <w:insideH w:val="nil"/>
          <w:insideV w:val="nil"/>
        </w:tcBorders>
        <w:shd w:val="clear" w:color="auto" w:fill="CC8E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80E94"/>
    <w:pPr>
      <w:spacing w:after="0" w:line="240" w:lineRule="auto"/>
    </w:pPr>
    <w:rPr>
      <w:rFonts w:ascii="Cambria" w:eastAsia="Cambria"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6A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6A60"/>
      </w:tcPr>
    </w:tblStylePr>
    <w:tblStylePr w:type="lastCol">
      <w:rPr>
        <w:b/>
        <w:bCs/>
        <w:color w:val="FFFFFF"/>
      </w:rPr>
      <w:tblPr/>
      <w:tcPr>
        <w:tcBorders>
          <w:left w:val="nil"/>
          <w:right w:val="nil"/>
          <w:insideH w:val="nil"/>
          <w:insideV w:val="nil"/>
        </w:tcBorders>
        <w:shd w:val="clear" w:color="auto" w:fill="7A6A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80E94"/>
    <w:pPr>
      <w:spacing w:after="0" w:line="240" w:lineRule="auto"/>
    </w:pPr>
    <w:rPr>
      <w:rFonts w:ascii="Cambria" w:eastAsia="Cambria"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4936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4936D"/>
      </w:tcPr>
    </w:tblStylePr>
    <w:tblStylePr w:type="lastCol">
      <w:rPr>
        <w:b/>
        <w:bCs/>
        <w:color w:val="FFFFFF"/>
      </w:rPr>
      <w:tblPr/>
      <w:tcPr>
        <w:tcBorders>
          <w:left w:val="nil"/>
          <w:right w:val="nil"/>
          <w:insideH w:val="nil"/>
          <w:insideV w:val="nil"/>
        </w:tcBorders>
        <w:shd w:val="clear" w:color="auto" w:fill="B4936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80E94"/>
    <w:pPr>
      <w:spacing w:after="0" w:line="240" w:lineRule="auto"/>
    </w:pPr>
    <w:rPr>
      <w:rFonts w:ascii="Cambria" w:eastAsia="Cambria"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7787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7787B"/>
      </w:tcPr>
    </w:tblStylePr>
    <w:tblStylePr w:type="lastCol">
      <w:rPr>
        <w:b/>
        <w:bCs/>
        <w:color w:val="FFFFFF"/>
      </w:rPr>
      <w:tblPr/>
      <w:tcPr>
        <w:tcBorders>
          <w:left w:val="nil"/>
          <w:right w:val="nil"/>
          <w:insideH w:val="nil"/>
          <w:insideV w:val="nil"/>
        </w:tcBorders>
        <w:shd w:val="clear" w:color="auto" w:fill="67787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80E94"/>
    <w:pPr>
      <w:spacing w:after="0" w:line="240" w:lineRule="auto"/>
    </w:pPr>
    <w:rPr>
      <w:rFonts w:ascii="Cambria" w:eastAsia="Cambria"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D93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D936F"/>
      </w:tcPr>
    </w:tblStylePr>
    <w:tblStylePr w:type="lastCol">
      <w:rPr>
        <w:b/>
        <w:bCs/>
        <w:color w:val="FFFFFF"/>
      </w:rPr>
      <w:tblPr/>
      <w:tcPr>
        <w:tcBorders>
          <w:left w:val="nil"/>
          <w:right w:val="nil"/>
          <w:insideH w:val="nil"/>
          <w:insideV w:val="nil"/>
        </w:tcBorders>
        <w:shd w:val="clear" w:color="auto" w:fill="9D93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80E94"/>
    <w:pPr>
      <w:pBdr>
        <w:top w:val="single" w:sz="6" w:space="1" w:color="auto"/>
        <w:left w:val="single" w:sz="6" w:space="1" w:color="auto"/>
        <w:bottom w:val="single" w:sz="6" w:space="1" w:color="auto"/>
        <w:right w:val="single" w:sz="6" w:space="1" w:color="auto"/>
      </w:pBdr>
      <w:shd w:val="pct20" w:color="auto" w:fill="auto"/>
      <w:spacing w:before="40" w:after="0" w:line="240" w:lineRule="auto"/>
      <w:ind w:left="1080" w:hanging="1080"/>
    </w:pPr>
    <w:rPr>
      <w:rFonts w:ascii="Calibri" w:eastAsia="Times New Roman" w:hAnsi="Calibri" w:cs="Times New Roman"/>
      <w:lang w:val="x-none" w:eastAsia="x-none"/>
    </w:rPr>
  </w:style>
  <w:style w:type="character" w:customStyle="1" w:styleId="MessageHeaderChar">
    <w:name w:val="Message Header Char"/>
    <w:basedOn w:val="DefaultParagraphFont"/>
    <w:link w:val="MessageHeader"/>
    <w:uiPriority w:val="99"/>
    <w:semiHidden/>
    <w:rsid w:val="00F80E94"/>
    <w:rPr>
      <w:rFonts w:ascii="Calibri" w:eastAsia="Times New Roman" w:hAnsi="Calibri" w:cs="Times New Roman"/>
      <w:sz w:val="24"/>
      <w:shd w:val="pct20" w:color="auto" w:fill="auto"/>
      <w:lang w:val="x-none" w:eastAsia="x-none"/>
    </w:rPr>
  </w:style>
  <w:style w:type="paragraph" w:styleId="NormalIndent">
    <w:name w:val="Normal Indent"/>
    <w:basedOn w:val="Normal"/>
    <w:uiPriority w:val="99"/>
    <w:semiHidden/>
    <w:unhideWhenUsed/>
    <w:rsid w:val="00F80E94"/>
    <w:pPr>
      <w:spacing w:before="40" w:after="160" w:line="288" w:lineRule="auto"/>
      <w:ind w:left="720"/>
    </w:pPr>
    <w:rPr>
      <w:rFonts w:ascii="Roboto" w:eastAsia="Cambria" w:hAnsi="Roboto" w:cs="Times New Roman"/>
      <w:kern w:val="20"/>
      <w:sz w:val="20"/>
      <w:lang w:eastAsia="ja-JP"/>
    </w:rPr>
  </w:style>
  <w:style w:type="paragraph" w:styleId="NoteHeading">
    <w:name w:val="Note Heading"/>
    <w:basedOn w:val="Normal"/>
    <w:next w:val="Normal"/>
    <w:link w:val="NoteHeadingChar"/>
    <w:uiPriority w:val="99"/>
    <w:semiHidden/>
    <w:unhideWhenUsed/>
    <w:rsid w:val="00F80E94"/>
    <w:pPr>
      <w:spacing w:before="40" w:after="0" w:line="240" w:lineRule="auto"/>
    </w:pPr>
    <w:rPr>
      <w:rFonts w:ascii="Roboto" w:eastAsia="Cambria" w:hAnsi="Roboto" w:cs="Times New Roman"/>
      <w:kern w:val="20"/>
      <w:sz w:val="20"/>
      <w:lang w:eastAsia="ja-JP"/>
    </w:rPr>
  </w:style>
  <w:style w:type="character" w:customStyle="1" w:styleId="NoteHeadingChar">
    <w:name w:val="Note Heading Char"/>
    <w:basedOn w:val="DefaultParagraphFont"/>
    <w:link w:val="NoteHeading"/>
    <w:uiPriority w:val="99"/>
    <w:semiHidden/>
    <w:rsid w:val="00F80E94"/>
    <w:rPr>
      <w:rFonts w:ascii="Roboto" w:eastAsia="Cambria" w:hAnsi="Roboto" w:cs="Times New Roman"/>
      <w:kern w:val="20"/>
      <w:lang w:eastAsia="ja-JP"/>
    </w:rPr>
  </w:style>
  <w:style w:type="character" w:styleId="PageNumber">
    <w:name w:val="page number"/>
    <w:basedOn w:val="DefaultParagraphFont"/>
    <w:uiPriority w:val="99"/>
    <w:semiHidden/>
    <w:unhideWhenUsed/>
    <w:rsid w:val="00F80E94"/>
  </w:style>
  <w:style w:type="paragraph" w:styleId="PlainText">
    <w:name w:val="Plain Text"/>
    <w:basedOn w:val="Normal"/>
    <w:link w:val="PlainTextChar"/>
    <w:unhideWhenUsed/>
    <w:rsid w:val="00F80E94"/>
    <w:pPr>
      <w:spacing w:before="40" w:after="0" w:line="240" w:lineRule="auto"/>
    </w:pPr>
    <w:rPr>
      <w:rFonts w:ascii="Consolas" w:eastAsia="Cambria" w:hAnsi="Consolas" w:cs="Times New Roman"/>
      <w:sz w:val="21"/>
      <w:lang w:val="x-none" w:eastAsia="x-none"/>
    </w:rPr>
  </w:style>
  <w:style w:type="character" w:customStyle="1" w:styleId="PlainTextChar">
    <w:name w:val="Plain Text Char"/>
    <w:basedOn w:val="DefaultParagraphFont"/>
    <w:link w:val="PlainText"/>
    <w:rsid w:val="00F80E94"/>
    <w:rPr>
      <w:rFonts w:ascii="Consolas" w:eastAsia="Cambria" w:hAnsi="Consolas" w:cs="Times New Roman"/>
      <w:sz w:val="21"/>
      <w:lang w:val="x-none" w:eastAsia="x-none"/>
    </w:rPr>
  </w:style>
  <w:style w:type="paragraph" w:styleId="Salutation">
    <w:name w:val="Salutation"/>
    <w:basedOn w:val="Normal"/>
    <w:next w:val="Normal"/>
    <w:link w:val="SalutationChar"/>
    <w:uiPriority w:val="99"/>
    <w:semiHidden/>
    <w:unhideWhenUsed/>
    <w:rsid w:val="00F80E94"/>
    <w:pPr>
      <w:spacing w:before="40" w:after="160" w:line="288" w:lineRule="auto"/>
    </w:pPr>
    <w:rPr>
      <w:rFonts w:ascii="Roboto" w:eastAsia="Cambria" w:hAnsi="Roboto" w:cs="Times New Roman"/>
      <w:kern w:val="20"/>
      <w:sz w:val="20"/>
      <w:lang w:eastAsia="ja-JP"/>
    </w:rPr>
  </w:style>
  <w:style w:type="character" w:customStyle="1" w:styleId="SalutationChar">
    <w:name w:val="Salutation Char"/>
    <w:basedOn w:val="DefaultParagraphFont"/>
    <w:link w:val="Salutation"/>
    <w:uiPriority w:val="99"/>
    <w:semiHidden/>
    <w:rsid w:val="00F80E94"/>
    <w:rPr>
      <w:rFonts w:ascii="Roboto" w:eastAsia="Cambria" w:hAnsi="Roboto" w:cs="Times New Roman"/>
      <w:kern w:val="20"/>
      <w:lang w:eastAsia="ja-JP"/>
    </w:rPr>
  </w:style>
  <w:style w:type="paragraph" w:styleId="Signature">
    <w:name w:val="Signature"/>
    <w:basedOn w:val="Normal"/>
    <w:link w:val="SignatureChar"/>
    <w:uiPriority w:val="20"/>
    <w:unhideWhenUsed/>
    <w:qFormat/>
    <w:rsid w:val="00F80E94"/>
    <w:pPr>
      <w:spacing w:before="720" w:after="0" w:line="312" w:lineRule="auto"/>
      <w:contextualSpacing/>
    </w:pPr>
    <w:rPr>
      <w:rFonts w:ascii="Cambria" w:eastAsia="Cambria" w:hAnsi="Cambria" w:cs="Times New Roman"/>
      <w:kern w:val="20"/>
      <w:sz w:val="20"/>
      <w:lang w:val="x-none" w:eastAsia="x-none"/>
    </w:rPr>
  </w:style>
  <w:style w:type="character" w:customStyle="1" w:styleId="SignatureChar">
    <w:name w:val="Signature Char"/>
    <w:basedOn w:val="DefaultParagraphFont"/>
    <w:link w:val="Signature"/>
    <w:uiPriority w:val="20"/>
    <w:rsid w:val="00F80E94"/>
    <w:rPr>
      <w:rFonts w:ascii="Cambria" w:eastAsia="Cambria" w:hAnsi="Cambria" w:cs="Times New Roman"/>
      <w:kern w:val="20"/>
      <w:lang w:val="x-none" w:eastAsia="x-none"/>
    </w:rPr>
  </w:style>
  <w:style w:type="table" w:styleId="Table3Deffects1">
    <w:name w:val="Table 3D effects 1"/>
    <w:basedOn w:val="TableNormal"/>
    <w:uiPriority w:val="99"/>
    <w:semiHidden/>
    <w:unhideWhenUsed/>
    <w:rsid w:val="00F80E94"/>
    <w:pPr>
      <w:spacing w:after="0" w:line="300" w:lineRule="auto"/>
    </w:pPr>
    <w:rPr>
      <w:rFonts w:ascii="Cambria" w:eastAsia="Cambria" w:hAnsi="Cambria"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0E94"/>
    <w:pPr>
      <w:spacing w:after="0" w:line="300" w:lineRule="auto"/>
    </w:pPr>
    <w:rPr>
      <w:rFonts w:ascii="Cambria" w:eastAsia="Cambria" w:hAnsi="Cambria"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0E94"/>
    <w:pPr>
      <w:spacing w:after="0" w:line="300" w:lineRule="auto"/>
    </w:pPr>
    <w:rPr>
      <w:rFonts w:ascii="Cambria" w:eastAsia="Cambria" w:hAnsi="Cambria"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0E94"/>
    <w:pPr>
      <w:spacing w:after="0" w:line="300" w:lineRule="auto"/>
    </w:pPr>
    <w:rPr>
      <w:rFonts w:ascii="Cambria" w:eastAsia="Cambria" w:hAnsi="Cambria"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0E94"/>
    <w:pPr>
      <w:spacing w:after="0" w:line="300" w:lineRule="auto"/>
    </w:pPr>
    <w:rPr>
      <w:rFonts w:ascii="Cambria" w:eastAsia="Cambria" w:hAnsi="Cambria"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0E94"/>
    <w:pPr>
      <w:spacing w:after="0" w:line="300" w:lineRule="auto"/>
    </w:pPr>
    <w:rPr>
      <w:rFonts w:ascii="Cambria" w:eastAsia="Cambria" w:hAnsi="Cambria"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0E94"/>
    <w:pPr>
      <w:spacing w:after="0" w:line="300" w:lineRule="auto"/>
    </w:pPr>
    <w:rPr>
      <w:rFonts w:ascii="Cambria" w:eastAsia="Cambria" w:hAnsi="Cambria"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0E94"/>
    <w:pPr>
      <w:spacing w:after="0" w:line="300" w:lineRule="auto"/>
    </w:pPr>
    <w:rPr>
      <w:rFonts w:ascii="Cambria" w:eastAsia="Cambria" w:hAnsi="Cambria"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0E94"/>
    <w:pPr>
      <w:spacing w:after="0" w:line="300" w:lineRule="auto"/>
    </w:pPr>
    <w:rPr>
      <w:rFonts w:ascii="Cambria" w:eastAsia="Cambria"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0E94"/>
    <w:pPr>
      <w:spacing w:after="0" w:line="300" w:lineRule="auto"/>
    </w:pPr>
    <w:rPr>
      <w:rFonts w:ascii="Cambria" w:eastAsia="Cambria"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0E94"/>
    <w:pPr>
      <w:spacing w:after="0" w:line="300" w:lineRule="auto"/>
    </w:pPr>
    <w:rPr>
      <w:rFonts w:ascii="Cambria" w:eastAsia="Cambria"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0E94"/>
    <w:pPr>
      <w:spacing w:after="0" w:line="300" w:lineRule="auto"/>
    </w:pPr>
    <w:rPr>
      <w:rFonts w:ascii="Cambria" w:eastAsia="Cambria"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0E94"/>
    <w:pPr>
      <w:spacing w:after="0" w:line="300" w:lineRule="auto"/>
    </w:pPr>
    <w:rPr>
      <w:rFonts w:ascii="Cambria" w:eastAsia="Cambria"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0E94"/>
    <w:pPr>
      <w:spacing w:after="0" w:line="300" w:lineRule="auto"/>
    </w:pPr>
    <w:rPr>
      <w:rFonts w:ascii="Cambria" w:eastAsia="Cambria"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0E94"/>
    <w:pPr>
      <w:spacing w:after="0" w:line="300" w:lineRule="auto"/>
    </w:pPr>
    <w:rPr>
      <w:rFonts w:ascii="Cambria" w:eastAsia="Cambria"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0E94"/>
    <w:pPr>
      <w:spacing w:after="0" w:line="300" w:lineRule="auto"/>
    </w:pPr>
    <w:rPr>
      <w:rFonts w:ascii="Cambria" w:eastAsia="Cambria"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0E94"/>
    <w:pPr>
      <w:spacing w:after="0" w:line="300" w:lineRule="auto"/>
    </w:pPr>
    <w:rPr>
      <w:rFonts w:ascii="Cambria" w:eastAsia="Cambria" w:hAnsi="Cambria"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0E94"/>
    <w:pPr>
      <w:spacing w:after="0" w:line="300" w:lineRule="auto"/>
    </w:pPr>
    <w:rPr>
      <w:rFonts w:ascii="Cambria" w:eastAsia="Cambria" w:hAnsi="Cambria"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0E94"/>
    <w:pPr>
      <w:spacing w:after="0" w:line="300" w:lineRule="auto"/>
    </w:pPr>
    <w:rPr>
      <w:rFonts w:ascii="Cambria" w:eastAsia="Cambria" w:hAnsi="Cambria"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0E94"/>
    <w:pPr>
      <w:spacing w:after="0" w:line="300" w:lineRule="auto"/>
    </w:pPr>
    <w:rPr>
      <w:rFonts w:ascii="Cambria" w:eastAsia="Cambria"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80E94"/>
    <w:pPr>
      <w:spacing w:after="0" w:line="300" w:lineRule="auto"/>
    </w:pPr>
    <w:rPr>
      <w:rFonts w:ascii="Cambria" w:eastAsia="Cambria"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0E94"/>
    <w:pPr>
      <w:spacing w:after="0" w:line="300" w:lineRule="auto"/>
    </w:pPr>
    <w:rPr>
      <w:rFonts w:ascii="Cambria" w:eastAsia="Cambria"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0E94"/>
    <w:pPr>
      <w:spacing w:after="0" w:line="300" w:lineRule="auto"/>
    </w:pPr>
    <w:rPr>
      <w:rFonts w:ascii="Cambria" w:eastAsia="Cambria" w:hAnsi="Cambria"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0E94"/>
    <w:pPr>
      <w:spacing w:after="0" w:line="300" w:lineRule="auto"/>
    </w:pPr>
    <w:rPr>
      <w:rFonts w:ascii="Cambria" w:eastAsia="Cambria" w:hAnsi="Cambria"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0E94"/>
    <w:pPr>
      <w:spacing w:after="0" w:line="300" w:lineRule="auto"/>
    </w:pPr>
    <w:rPr>
      <w:rFonts w:ascii="Cambria" w:eastAsia="Cambria" w:hAnsi="Cambria"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0E94"/>
    <w:pPr>
      <w:spacing w:after="0" w:line="300" w:lineRule="auto"/>
    </w:pPr>
    <w:rPr>
      <w:rFonts w:ascii="Cambria" w:eastAsia="Cambria" w:hAnsi="Cambria"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0E94"/>
    <w:pPr>
      <w:spacing w:before="40" w:after="0" w:line="288" w:lineRule="auto"/>
      <w:ind w:left="220" w:hanging="220"/>
    </w:pPr>
    <w:rPr>
      <w:rFonts w:ascii="Roboto" w:eastAsia="Cambria" w:hAnsi="Roboto" w:cs="Times New Roman"/>
      <w:kern w:val="20"/>
      <w:sz w:val="20"/>
      <w:lang w:eastAsia="ja-JP"/>
    </w:rPr>
  </w:style>
  <w:style w:type="paragraph" w:styleId="TableofFigures">
    <w:name w:val="table of figures"/>
    <w:basedOn w:val="Normal"/>
    <w:next w:val="Normal"/>
    <w:uiPriority w:val="99"/>
    <w:semiHidden/>
    <w:unhideWhenUsed/>
    <w:rsid w:val="00F80E94"/>
    <w:pPr>
      <w:spacing w:before="40" w:after="0" w:line="288" w:lineRule="auto"/>
    </w:pPr>
    <w:rPr>
      <w:rFonts w:ascii="Roboto" w:eastAsia="Cambria" w:hAnsi="Roboto" w:cs="Times New Roman"/>
      <w:kern w:val="20"/>
      <w:sz w:val="20"/>
      <w:lang w:eastAsia="ja-JP"/>
    </w:rPr>
  </w:style>
  <w:style w:type="table" w:styleId="TableProfessional">
    <w:name w:val="Table Professional"/>
    <w:basedOn w:val="TableNormal"/>
    <w:uiPriority w:val="99"/>
    <w:semiHidden/>
    <w:unhideWhenUsed/>
    <w:rsid w:val="00F80E94"/>
    <w:pPr>
      <w:spacing w:after="0" w:line="300" w:lineRule="auto"/>
    </w:pPr>
    <w:rPr>
      <w:rFonts w:ascii="Cambria" w:eastAsia="Cambria"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0E94"/>
    <w:pPr>
      <w:spacing w:after="0" w:line="300" w:lineRule="auto"/>
    </w:pPr>
    <w:rPr>
      <w:rFonts w:ascii="Cambria" w:eastAsia="Cambria"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0E94"/>
    <w:pPr>
      <w:spacing w:after="0" w:line="300" w:lineRule="auto"/>
    </w:pPr>
    <w:rPr>
      <w:rFonts w:ascii="Cambria" w:eastAsia="Cambria"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0E94"/>
    <w:pPr>
      <w:spacing w:after="0" w:line="300" w:lineRule="auto"/>
    </w:pPr>
    <w:rPr>
      <w:rFonts w:ascii="Cambria" w:eastAsia="Cambria"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0E94"/>
    <w:pPr>
      <w:spacing w:after="0" w:line="300" w:lineRule="auto"/>
    </w:pPr>
    <w:rPr>
      <w:rFonts w:ascii="Cambria" w:eastAsia="Cambria"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0E94"/>
    <w:pPr>
      <w:spacing w:after="0" w:line="30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0E94"/>
    <w:pPr>
      <w:spacing w:after="0" w:line="300" w:lineRule="auto"/>
    </w:pPr>
    <w:rPr>
      <w:rFonts w:ascii="Cambria" w:eastAsia="Cambria"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0E94"/>
    <w:pPr>
      <w:spacing w:after="0" w:line="300" w:lineRule="auto"/>
    </w:pPr>
    <w:rPr>
      <w:rFonts w:ascii="Cambria" w:eastAsia="Cambria"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0E94"/>
    <w:pPr>
      <w:spacing w:after="0" w:line="300" w:lineRule="auto"/>
    </w:pPr>
    <w:rPr>
      <w:rFonts w:ascii="Cambria" w:eastAsia="Cambria"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80E94"/>
    <w:pPr>
      <w:spacing w:before="120" w:after="160" w:line="288" w:lineRule="auto"/>
    </w:pPr>
    <w:rPr>
      <w:rFonts w:ascii="Calibri" w:eastAsia="Times New Roman" w:hAnsi="Calibri" w:cs="Times New Roman"/>
      <w:b/>
      <w:bCs/>
      <w:kern w:val="20"/>
      <w:lang w:eastAsia="ja-JP"/>
    </w:rPr>
  </w:style>
  <w:style w:type="paragraph" w:styleId="TOC4">
    <w:name w:val="toc 4"/>
    <w:basedOn w:val="Normal"/>
    <w:next w:val="Normal"/>
    <w:autoRedefine/>
    <w:uiPriority w:val="39"/>
    <w:unhideWhenUsed/>
    <w:rsid w:val="00F80E94"/>
    <w:pPr>
      <w:spacing w:after="0" w:line="288" w:lineRule="auto"/>
      <w:ind w:left="600"/>
    </w:pPr>
    <w:rPr>
      <w:rFonts w:ascii="Calibri" w:eastAsia="Cambria" w:hAnsi="Calibri" w:cs="Times New Roman"/>
      <w:kern w:val="20"/>
      <w:sz w:val="18"/>
      <w:szCs w:val="18"/>
      <w:lang w:eastAsia="ja-JP"/>
    </w:rPr>
  </w:style>
  <w:style w:type="paragraph" w:styleId="TOC5">
    <w:name w:val="toc 5"/>
    <w:basedOn w:val="Normal"/>
    <w:next w:val="Normal"/>
    <w:autoRedefine/>
    <w:uiPriority w:val="39"/>
    <w:unhideWhenUsed/>
    <w:rsid w:val="00F80E94"/>
    <w:pPr>
      <w:spacing w:after="0" w:line="288" w:lineRule="auto"/>
      <w:ind w:left="800"/>
    </w:pPr>
    <w:rPr>
      <w:rFonts w:ascii="Calibri" w:eastAsia="Cambria" w:hAnsi="Calibri" w:cs="Times New Roman"/>
      <w:kern w:val="20"/>
      <w:sz w:val="18"/>
      <w:szCs w:val="18"/>
      <w:lang w:eastAsia="ja-JP"/>
    </w:rPr>
  </w:style>
  <w:style w:type="paragraph" w:styleId="TOC6">
    <w:name w:val="toc 6"/>
    <w:basedOn w:val="Normal"/>
    <w:next w:val="Normal"/>
    <w:autoRedefine/>
    <w:uiPriority w:val="39"/>
    <w:unhideWhenUsed/>
    <w:rsid w:val="00F80E94"/>
    <w:pPr>
      <w:spacing w:after="0" w:line="288" w:lineRule="auto"/>
      <w:ind w:left="1000"/>
    </w:pPr>
    <w:rPr>
      <w:rFonts w:ascii="Calibri" w:eastAsia="Cambria" w:hAnsi="Calibri" w:cs="Times New Roman"/>
      <w:kern w:val="20"/>
      <w:sz w:val="18"/>
      <w:szCs w:val="18"/>
      <w:lang w:eastAsia="ja-JP"/>
    </w:rPr>
  </w:style>
  <w:style w:type="paragraph" w:styleId="TOC7">
    <w:name w:val="toc 7"/>
    <w:basedOn w:val="Normal"/>
    <w:next w:val="Normal"/>
    <w:autoRedefine/>
    <w:uiPriority w:val="39"/>
    <w:unhideWhenUsed/>
    <w:rsid w:val="00F80E94"/>
    <w:pPr>
      <w:spacing w:after="0" w:line="288" w:lineRule="auto"/>
      <w:ind w:left="1200"/>
    </w:pPr>
    <w:rPr>
      <w:rFonts w:ascii="Calibri" w:eastAsia="Cambria" w:hAnsi="Calibri" w:cs="Times New Roman"/>
      <w:kern w:val="20"/>
      <w:sz w:val="18"/>
      <w:szCs w:val="18"/>
      <w:lang w:eastAsia="ja-JP"/>
    </w:rPr>
  </w:style>
  <w:style w:type="paragraph" w:styleId="TOC8">
    <w:name w:val="toc 8"/>
    <w:basedOn w:val="Normal"/>
    <w:next w:val="Normal"/>
    <w:autoRedefine/>
    <w:uiPriority w:val="39"/>
    <w:unhideWhenUsed/>
    <w:rsid w:val="00F80E94"/>
    <w:pPr>
      <w:spacing w:after="0" w:line="288" w:lineRule="auto"/>
      <w:ind w:left="1400"/>
    </w:pPr>
    <w:rPr>
      <w:rFonts w:ascii="Calibri" w:eastAsia="Cambria" w:hAnsi="Calibri" w:cs="Times New Roman"/>
      <w:kern w:val="20"/>
      <w:sz w:val="18"/>
      <w:szCs w:val="18"/>
      <w:lang w:eastAsia="ja-JP"/>
    </w:rPr>
  </w:style>
  <w:style w:type="paragraph" w:styleId="TOC9">
    <w:name w:val="toc 9"/>
    <w:basedOn w:val="Normal"/>
    <w:next w:val="Normal"/>
    <w:autoRedefine/>
    <w:uiPriority w:val="39"/>
    <w:unhideWhenUsed/>
    <w:rsid w:val="00F80E94"/>
    <w:pPr>
      <w:spacing w:after="0" w:line="288" w:lineRule="auto"/>
      <w:ind w:left="1600"/>
    </w:pPr>
    <w:rPr>
      <w:rFonts w:ascii="Calibri" w:eastAsia="Cambria" w:hAnsi="Calibri" w:cs="Times New Roman"/>
      <w:kern w:val="20"/>
      <w:sz w:val="18"/>
      <w:szCs w:val="18"/>
      <w:lang w:eastAsia="ja-JP"/>
    </w:rPr>
  </w:style>
  <w:style w:type="paragraph" w:customStyle="1" w:styleId="TableHeading">
    <w:name w:val="Table Heading"/>
    <w:basedOn w:val="Normal"/>
    <w:uiPriority w:val="10"/>
    <w:qFormat/>
    <w:rsid w:val="00F80E94"/>
    <w:pPr>
      <w:keepNext/>
      <w:pBdr>
        <w:top w:val="single" w:sz="4" w:space="1" w:color="7E97AD"/>
        <w:left w:val="single" w:sz="4" w:space="6" w:color="7E97AD"/>
        <w:bottom w:val="single" w:sz="4" w:space="2" w:color="7E97AD"/>
        <w:right w:val="single" w:sz="4" w:space="6" w:color="7E97AD"/>
      </w:pBdr>
      <w:shd w:val="clear" w:color="auto" w:fill="7E97AD"/>
      <w:spacing w:before="160" w:after="160" w:line="240" w:lineRule="auto"/>
      <w:ind w:left="144" w:right="144"/>
    </w:pPr>
    <w:rPr>
      <w:rFonts w:ascii="Roboto" w:eastAsia="Times New Roman" w:hAnsi="Roboto" w:cs="Times New Roman"/>
      <w:caps/>
      <w:color w:val="FFFFFF"/>
      <w:kern w:val="20"/>
      <w:lang w:eastAsia="ja-JP"/>
    </w:rPr>
  </w:style>
  <w:style w:type="paragraph" w:customStyle="1" w:styleId="CompanyInfo">
    <w:name w:val="Company Info"/>
    <w:basedOn w:val="Normal"/>
    <w:uiPriority w:val="2"/>
    <w:qFormat/>
    <w:rsid w:val="00F80E94"/>
    <w:pPr>
      <w:spacing w:before="40" w:after="40" w:line="288" w:lineRule="auto"/>
    </w:pPr>
    <w:rPr>
      <w:rFonts w:ascii="Roboto" w:eastAsia="Cambria" w:hAnsi="Roboto" w:cs="Times New Roman"/>
      <w:kern w:val="20"/>
      <w:sz w:val="20"/>
      <w:lang w:eastAsia="ja-JP"/>
    </w:rPr>
  </w:style>
  <w:style w:type="table" w:customStyle="1" w:styleId="FinancialTable">
    <w:name w:val="Financial Table"/>
    <w:basedOn w:val="TableNormal"/>
    <w:uiPriority w:val="99"/>
    <w:rsid w:val="00F80E94"/>
    <w:pPr>
      <w:spacing w:after="0" w:line="240" w:lineRule="auto"/>
      <w:ind w:left="144" w:right="144"/>
      <w:jc w:val="right"/>
    </w:pPr>
    <w:rPr>
      <w:rFonts w:ascii="Cambria" w:eastAsia="Cambria" w:hAnsi="Cambria" w:cs="Times New Roman"/>
    </w:rPr>
    <w:tblPr>
      <w:tblBorders>
        <w:insideH w:val="single" w:sz="4" w:space="0" w:color="D9D9D9"/>
      </w:tblBorders>
      <w:tblCellMar>
        <w:left w:w="0" w:type="dxa"/>
        <w:right w:w="0" w:type="dxa"/>
      </w:tblCellMar>
    </w:tblPr>
    <w:tcPr>
      <w:vAlign w:val="center"/>
    </w:tcPr>
    <w:tblStylePr w:type="firstRow">
      <w:pPr>
        <w:wordWrap/>
        <w:jc w:val="right"/>
      </w:pPr>
      <w:rPr>
        <w:rFonts w:ascii="Arial Unicode MS" w:hAnsi="Arial Unicode MS"/>
        <w:b w:val="0"/>
        <w:caps/>
        <w:smallCaps w:val="0"/>
        <w:color w:val="7E97AD"/>
        <w:sz w:val="22"/>
      </w:rPr>
      <w:tblPr/>
      <w:tcPr>
        <w:vAlign w:val="bottom"/>
      </w:tcPr>
    </w:tblStylePr>
    <w:tblStylePr w:type="firstCol">
      <w:pPr>
        <w:wordWrap/>
        <w:jc w:val="left"/>
      </w:pPr>
      <w:rPr>
        <w:b/>
      </w:rPr>
    </w:tblStylePr>
  </w:style>
  <w:style w:type="numbering" w:customStyle="1" w:styleId="AnnualReport">
    <w:name w:val="Annual Report"/>
    <w:uiPriority w:val="99"/>
    <w:rsid w:val="00F80E94"/>
    <w:pPr>
      <w:numPr>
        <w:numId w:val="6"/>
      </w:numPr>
    </w:pPr>
  </w:style>
  <w:style w:type="paragraph" w:customStyle="1" w:styleId="Abstract">
    <w:name w:val="Abstract"/>
    <w:basedOn w:val="Normal"/>
    <w:uiPriority w:val="20"/>
    <w:qFormat/>
    <w:rsid w:val="00F80E94"/>
    <w:pPr>
      <w:spacing w:before="360" w:after="0" w:line="240" w:lineRule="auto"/>
      <w:ind w:left="432" w:right="1080"/>
    </w:pPr>
    <w:rPr>
      <w:rFonts w:ascii="Roboto" w:eastAsia="Cambria" w:hAnsi="Roboto" w:cs="Times New Roman"/>
      <w:i/>
      <w:iCs/>
      <w:color w:val="7F7F7F"/>
      <w:kern w:val="20"/>
      <w:sz w:val="28"/>
      <w:lang w:eastAsia="ja-JP"/>
    </w:rPr>
  </w:style>
  <w:style w:type="paragraph" w:customStyle="1" w:styleId="TableText">
    <w:name w:val="Table Text"/>
    <w:basedOn w:val="Normal"/>
    <w:uiPriority w:val="10"/>
    <w:qFormat/>
    <w:rsid w:val="00F80E94"/>
    <w:pPr>
      <w:spacing w:before="60" w:after="60" w:line="240" w:lineRule="auto"/>
      <w:ind w:left="144" w:right="144"/>
    </w:pPr>
    <w:rPr>
      <w:rFonts w:ascii="Roboto" w:eastAsia="Cambria" w:hAnsi="Roboto" w:cs="Times New Roman"/>
      <w:kern w:val="20"/>
      <w:sz w:val="20"/>
      <w:lang w:eastAsia="ja-JP"/>
    </w:rPr>
  </w:style>
  <w:style w:type="paragraph" w:customStyle="1" w:styleId="TableReverseHeading">
    <w:name w:val="Table Reverse Heading"/>
    <w:basedOn w:val="Normal"/>
    <w:uiPriority w:val="10"/>
    <w:qFormat/>
    <w:rsid w:val="00F80E94"/>
    <w:pPr>
      <w:spacing w:before="40" w:after="40" w:line="240" w:lineRule="auto"/>
      <w:ind w:left="144" w:right="144"/>
    </w:pPr>
    <w:rPr>
      <w:rFonts w:ascii="Calibri" w:eastAsia="Times New Roman" w:hAnsi="Calibri" w:cs="Times New Roman"/>
      <w:caps/>
      <w:color w:val="FFFFFF"/>
      <w:kern w:val="20"/>
      <w:lang w:eastAsia="ja-JP"/>
    </w:rPr>
  </w:style>
  <w:style w:type="paragraph" w:customStyle="1" w:styleId="TableParagraph">
    <w:name w:val="Table Paragraph"/>
    <w:basedOn w:val="Normal"/>
    <w:uiPriority w:val="1"/>
    <w:qFormat/>
    <w:rsid w:val="00F80E94"/>
    <w:pPr>
      <w:widowControl w:val="0"/>
      <w:autoSpaceDE w:val="0"/>
      <w:autoSpaceDN w:val="0"/>
      <w:adjustRightInd w:val="0"/>
      <w:spacing w:after="0" w:line="240" w:lineRule="auto"/>
    </w:pPr>
    <w:rPr>
      <w:rFonts w:ascii="Roboto" w:eastAsia="Times New Roman" w:hAnsi="Roboto" w:cs="Times New Roman"/>
      <w:szCs w:val="24"/>
    </w:rPr>
  </w:style>
  <w:style w:type="numbering" w:customStyle="1" w:styleId="NoList1">
    <w:name w:val="No List1"/>
    <w:next w:val="NoList"/>
    <w:uiPriority w:val="99"/>
    <w:semiHidden/>
    <w:unhideWhenUsed/>
    <w:rsid w:val="00F80E94"/>
  </w:style>
  <w:style w:type="numbering" w:customStyle="1" w:styleId="NoList2">
    <w:name w:val="No List2"/>
    <w:next w:val="NoList"/>
    <w:uiPriority w:val="99"/>
    <w:semiHidden/>
    <w:unhideWhenUsed/>
    <w:rsid w:val="00F80E94"/>
  </w:style>
  <w:style w:type="paragraph" w:styleId="Revision">
    <w:name w:val="Revision"/>
    <w:hidden/>
    <w:uiPriority w:val="99"/>
    <w:semiHidden/>
    <w:rsid w:val="00F80E94"/>
    <w:pPr>
      <w:spacing w:after="0"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F80E94"/>
  </w:style>
  <w:style w:type="paragraph" w:customStyle="1" w:styleId="Default">
    <w:name w:val="Default"/>
    <w:rsid w:val="00F80E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wP">
    <w:name w:val="Body w/P"/>
    <w:rsid w:val="00F80E94"/>
    <w:pPr>
      <w:spacing w:after="72" w:line="240" w:lineRule="auto"/>
    </w:pPr>
    <w:rPr>
      <w:rFonts w:ascii="AGaramond" w:eastAsia="Times New Roman" w:hAnsi="AGaramond" w:cs="Times New Roman"/>
      <w:sz w:val="24"/>
    </w:rPr>
  </w:style>
  <w:style w:type="table" w:customStyle="1" w:styleId="TableGrid10">
    <w:name w:val="Table Grid1"/>
    <w:basedOn w:val="TableNormal"/>
    <w:next w:val="TableGrid"/>
    <w:uiPriority w:val="59"/>
    <w:rsid w:val="00F80E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Name">
    <w:name w:val="Section Name"/>
    <w:basedOn w:val="Normal"/>
    <w:rsid w:val="00F80E94"/>
    <w:pPr>
      <w:spacing w:after="0" w:line="240" w:lineRule="auto"/>
      <w:jc w:val="center"/>
    </w:pPr>
    <w:rPr>
      <w:rFonts w:ascii="Roboto" w:eastAsia="Times New Roman" w:hAnsi="Roboto" w:cs="Times New Roman"/>
      <w:b/>
      <w:i/>
      <w:szCs w:val="24"/>
      <w:u w:val="single"/>
    </w:rPr>
  </w:style>
  <w:style w:type="numbering" w:customStyle="1" w:styleId="NoList4">
    <w:name w:val="No List4"/>
    <w:next w:val="NoList"/>
    <w:uiPriority w:val="99"/>
    <w:semiHidden/>
    <w:unhideWhenUsed/>
    <w:rsid w:val="00F80E94"/>
  </w:style>
  <w:style w:type="numbering" w:customStyle="1" w:styleId="NoList5">
    <w:name w:val="No List5"/>
    <w:next w:val="NoList"/>
    <w:uiPriority w:val="99"/>
    <w:semiHidden/>
    <w:unhideWhenUsed/>
    <w:rsid w:val="00F80E94"/>
  </w:style>
  <w:style w:type="numbering" w:customStyle="1" w:styleId="NoList11">
    <w:name w:val="No List11"/>
    <w:next w:val="NoList"/>
    <w:uiPriority w:val="99"/>
    <w:semiHidden/>
    <w:unhideWhenUsed/>
    <w:rsid w:val="00F80E94"/>
  </w:style>
  <w:style w:type="numbering" w:customStyle="1" w:styleId="NoList111">
    <w:name w:val="No List111"/>
    <w:next w:val="NoList"/>
    <w:uiPriority w:val="99"/>
    <w:semiHidden/>
    <w:unhideWhenUsed/>
    <w:rsid w:val="00F80E94"/>
  </w:style>
  <w:style w:type="numbering" w:customStyle="1" w:styleId="NoList21">
    <w:name w:val="No List21"/>
    <w:next w:val="NoList"/>
    <w:uiPriority w:val="99"/>
    <w:semiHidden/>
    <w:unhideWhenUsed/>
    <w:rsid w:val="00F80E94"/>
  </w:style>
  <w:style w:type="numbering" w:customStyle="1" w:styleId="NoList31">
    <w:name w:val="No List31"/>
    <w:next w:val="NoList"/>
    <w:uiPriority w:val="99"/>
    <w:semiHidden/>
    <w:unhideWhenUsed/>
    <w:rsid w:val="00F80E94"/>
  </w:style>
  <w:style w:type="numbering" w:customStyle="1" w:styleId="NoList41">
    <w:name w:val="No List41"/>
    <w:next w:val="NoList"/>
    <w:uiPriority w:val="99"/>
    <w:semiHidden/>
    <w:unhideWhenUsed/>
    <w:rsid w:val="00F80E94"/>
  </w:style>
  <w:style w:type="numbering" w:customStyle="1" w:styleId="NoList6">
    <w:name w:val="No List6"/>
    <w:next w:val="NoList"/>
    <w:uiPriority w:val="99"/>
    <w:semiHidden/>
    <w:unhideWhenUsed/>
    <w:rsid w:val="00F80E94"/>
  </w:style>
  <w:style w:type="table" w:customStyle="1" w:styleId="TableGrid20">
    <w:name w:val="Table Grid2"/>
    <w:basedOn w:val="TableNormal"/>
    <w:next w:val="TableGrid"/>
    <w:uiPriority w:val="39"/>
    <w:rsid w:val="00F80E94"/>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E94"/>
    <w:pPr>
      <w:spacing w:after="0" w:line="240" w:lineRule="auto"/>
    </w:pPr>
    <w:rPr>
      <w:rFonts w:ascii="Calibri" w:eastAsiaTheme="minorHAnsi" w:hAnsi="Calibri" w:cs="Calibri"/>
      <w:sz w:val="22"/>
      <w:szCs w:val="22"/>
    </w:rPr>
  </w:style>
  <w:style w:type="paragraph" w:customStyle="1" w:styleId="paragraph">
    <w:name w:val="paragraph"/>
    <w:basedOn w:val="Normal"/>
    <w:rsid w:val="00F80E94"/>
    <w:pPr>
      <w:spacing w:before="100" w:beforeAutospacing="1" w:after="100" w:afterAutospacing="1" w:line="240" w:lineRule="auto"/>
    </w:pPr>
    <w:rPr>
      <w:rFonts w:ascii="Roboto" w:eastAsia="Times New Roman" w:hAnsi="Roboto" w:cs="Times New Roman"/>
      <w:szCs w:val="24"/>
    </w:rPr>
  </w:style>
  <w:style w:type="character" w:customStyle="1" w:styleId="normaltextrun">
    <w:name w:val="normaltextrun"/>
    <w:basedOn w:val="DefaultParagraphFont"/>
    <w:rsid w:val="00F80E94"/>
  </w:style>
  <w:style w:type="character" w:customStyle="1" w:styleId="eop">
    <w:name w:val="eop"/>
    <w:basedOn w:val="DefaultParagraphFont"/>
    <w:rsid w:val="00F80E94"/>
  </w:style>
  <w:style w:type="character" w:styleId="Mention">
    <w:name w:val="Mention"/>
    <w:basedOn w:val="DefaultParagraphFont"/>
    <w:uiPriority w:val="99"/>
    <w:unhideWhenUsed/>
    <w:rsid w:val="00F80E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ath.swartwout@das.oregon.gov" TargetMode="External"/><Relationship Id="rId21" Type="http://schemas.openxmlformats.org/officeDocument/2006/relationships/hyperlink" Target="https://www.oregon.gov/eis/Pages/ai-advisory-council.aspx" TargetMode="External"/><Relationship Id="rId42" Type="http://schemas.openxmlformats.org/officeDocument/2006/relationships/hyperlink" Target="mailto:dustin.ball@das.oregon.gov" TargetMode="External"/><Relationship Id="rId47" Type="http://schemas.openxmlformats.org/officeDocument/2006/relationships/hyperlink" Target="mailto:john.c.fagan@state.or.us" TargetMode="External"/><Relationship Id="rId63" Type="http://schemas.openxmlformats.org/officeDocument/2006/relationships/hyperlink" Target="mailto:Jeffrey.R.Rhoades@employ.oregon.gov" TargetMode="External"/><Relationship Id="rId68"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hyperlink" Target="https://www.oregon.gov/das/Financial/Pages/Budgetinstruct.aspx" TargetMode="External"/><Relationship Id="rId29" Type="http://schemas.openxmlformats.org/officeDocument/2006/relationships/hyperlink" Target="mailto:res.info@das.oregon.gov" TargetMode="External"/><Relationship Id="rId11" Type="http://schemas.openxmlformats.org/officeDocument/2006/relationships/header" Target="header1.xml"/><Relationship Id="rId24" Type="http://schemas.openxmlformats.org/officeDocument/2006/relationships/hyperlink" Target="mailto:chro.hr@das.oregon.gov" TargetMode="External"/><Relationship Id="rId32" Type="http://schemas.openxmlformats.org/officeDocument/2006/relationships/hyperlink" Target="mailto:jeremy.w.miller@das.oregon.gov" TargetMode="External"/><Relationship Id="rId37" Type="http://schemas.openxmlformats.org/officeDocument/2006/relationships/hyperlink" Target="mailto:dan.wright@das.oregon.gov" TargetMode="External"/><Relationship Id="rId40" Type="http://schemas.openxmlformats.org/officeDocument/2006/relationships/hyperlink" Target="mailto:shelly.hoffman@das.oregon.gov" TargetMode="External"/><Relationship Id="rId45" Type="http://schemas.openxmlformats.org/officeDocument/2006/relationships/hyperlink" Target="https://www.oregon.gov/library/operations/Documents/BudgetsAndReports/GSAssessmentFAQ.pdf" TargetMode="External"/><Relationship Id="rId53" Type="http://schemas.openxmlformats.org/officeDocument/2006/relationships/hyperlink" Target="mailto:michael.hickam@sos.oregon.gov" TargetMode="External"/><Relationship Id="rId58" Type="http://schemas.openxmlformats.org/officeDocument/2006/relationships/image" Target="media/image8.emf"/><Relationship Id="rId66" Type="http://schemas.openxmlformats.org/officeDocument/2006/relationships/image" Target="media/image10.emf"/><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mailto:Kristin.nopp-swartz@osp.oregon.gov" TargetMode="External"/><Relationship Id="rId19" Type="http://schemas.openxmlformats.org/officeDocument/2006/relationships/hyperlink" Target="mailto:cfo.info@das.oregon.gov" TargetMode="External"/><Relationship Id="rId14" Type="http://schemas.openxmlformats.org/officeDocument/2006/relationships/footer" Target="footer2.xml"/><Relationship Id="rId22" Type="http://schemas.openxmlformats.org/officeDocument/2006/relationships/hyperlink" Target="mailto:paula.a.taylor@das.oregon.gov" TargetMode="External"/><Relationship Id="rId27" Type="http://schemas.openxmlformats.org/officeDocument/2006/relationships/hyperlink" Target="mailto:res.info@das.oregon.gov" TargetMode="External"/><Relationship Id="rId30" Type="http://schemas.openxmlformats.org/officeDocument/2006/relationships/hyperlink" Target="mailto:scott.nebeker@das.oregon.gov" TargetMode="External"/><Relationship Id="rId35" Type="http://schemas.openxmlformats.org/officeDocument/2006/relationships/hyperlink" Target="mailto:fleet.office@das.oregon.gov" TargetMode="External"/><Relationship Id="rId43" Type="http://schemas.openxmlformats.org/officeDocument/2006/relationships/hyperlink" Target="mailto:todd.albert@pra.oregon.gov" TargetMode="External"/><Relationship Id="rId48" Type="http://schemas.openxmlformats.org/officeDocument/2006/relationships/hyperlink" Target="mailto:Susan.Myers@ogec.oregon.gov" TargetMode="External"/><Relationship Id="rId56" Type="http://schemas.openxmlformats.org/officeDocument/2006/relationships/image" Target="media/image6.emf"/><Relationship Id="rId64" Type="http://schemas.openxmlformats.org/officeDocument/2006/relationships/hyperlink" Target="mailto:ali.h.hassoun@oha.oregon.gov" TargetMode="External"/><Relationship Id="rId69" Type="http://schemas.openxmlformats.org/officeDocument/2006/relationships/image" Target="media/image13.emf"/><Relationship Id="rId8" Type="http://schemas.openxmlformats.org/officeDocument/2006/relationships/webSettings" Target="webSettings.xml"/><Relationship Id="rId51" Type="http://schemas.openxmlformats.org/officeDocument/2006/relationships/hyperlink" Target="mailto:michael.hickam@sos.oregon.gov"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avid.black@das.oregon.gov" TargetMode="External"/><Relationship Id="rId25" Type="http://schemas.openxmlformats.org/officeDocument/2006/relationships/hyperlink" Target="mailto:renee.r.royston@das.oregon.gov" TargetMode="External"/><Relationship Id="rId33" Type="http://schemas.openxmlformats.org/officeDocument/2006/relationships/hyperlink" Target="mailto:daniel.christensen@das.oregon.gov" TargetMode="External"/><Relationship Id="rId38" Type="http://schemas.openxmlformats.org/officeDocument/2006/relationships/hyperlink" Target="https://www.oregon.gov/DAS/FleetPark/Pages/rates.aspx" TargetMode="External"/><Relationship Id="rId46" Type="http://schemas.openxmlformats.org/officeDocument/2006/relationships/hyperlink" Target="mailto:ben.plant@das.oregon.gov" TargetMode="External"/><Relationship Id="rId59" Type="http://schemas.openxmlformats.org/officeDocument/2006/relationships/image" Target="media/image9.emf"/><Relationship Id="rId67" Type="http://schemas.openxmlformats.org/officeDocument/2006/relationships/image" Target="media/image11.emf"/><Relationship Id="rId20" Type="http://schemas.openxmlformats.org/officeDocument/2006/relationships/hyperlink" Target="mailto:fabiola.flores@das.oregon.gov" TargetMode="External"/><Relationship Id="rId41" Type="http://schemas.openxmlformats.org/officeDocument/2006/relationships/hyperlink" Target="mailto:brad.cunningham@das.oregon.gov" TargetMode="External"/><Relationship Id="rId54" Type="http://schemas.openxmlformats.org/officeDocument/2006/relationships/image" Target="media/image4.emf"/><Relationship Id="rId62" Type="http://schemas.openxmlformats.org/officeDocument/2006/relationships/hyperlink" Target="http://oce.oregon.gov/" TargetMode="External"/><Relationship Id="rId70" Type="http://schemas.openxmlformats.org/officeDocument/2006/relationships/image" Target="media/image14.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icelist.dasapp.oregon.gov/" TargetMode="External"/><Relationship Id="rId23" Type="http://schemas.openxmlformats.org/officeDocument/2006/relationships/hyperlink" Target="mailto:eric.sexton@das.oregon.gov" TargetMode="External"/><Relationship Id="rId28" Type="http://schemas.openxmlformats.org/officeDocument/2006/relationships/image" Target="media/image2.emf"/><Relationship Id="rId36" Type="http://schemas.openxmlformats.org/officeDocument/2006/relationships/hyperlink" Target="https://www.oregon.gov/das/fleetpark/pages/index.aspx" TargetMode="External"/><Relationship Id="rId49" Type="http://schemas.openxmlformats.org/officeDocument/2006/relationships/hyperlink" Target="mailto:das.billing@das.oregon.gov" TargetMode="External"/><Relationship Id="rId57" Type="http://schemas.openxmlformats.org/officeDocument/2006/relationships/image" Target="media/image7.emf"/><Relationship Id="rId10" Type="http://schemas.openxmlformats.org/officeDocument/2006/relationships/endnotes" Target="endnotes.xml"/><Relationship Id="rId31" Type="http://schemas.openxmlformats.org/officeDocument/2006/relationships/image" Target="media/image3.emf"/><Relationship Id="rId44" Type="http://schemas.openxmlformats.org/officeDocument/2006/relationships/hyperlink" Target="mailto:Edina.HAISLIP@biz.oregon.gov" TargetMode="External"/><Relationship Id="rId52" Type="http://schemas.openxmlformats.org/officeDocument/2006/relationships/hyperlink" Target="mailto:michael.hickam@sos.oregon.gov" TargetMode="External"/><Relationship Id="rId60" Type="http://schemas.openxmlformats.org/officeDocument/2006/relationships/hyperlink" Target="mailto:matthew.smith@ost.state.or.us" TargetMode="External"/><Relationship Id="rId65" Type="http://schemas.openxmlformats.org/officeDocument/2006/relationships/hyperlink" Target="mailto:William.chapman@oem.oregon.gov" TargetMode="External"/><Relationship Id="rId73"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katie.thiel@das.oregon.gov" TargetMode="External"/><Relationship Id="rId39" Type="http://schemas.openxmlformats.org/officeDocument/2006/relationships/hyperlink" Target="mailto:tim.hendrix@das.oregon.gov" TargetMode="External"/><Relationship Id="rId34" Type="http://schemas.openxmlformats.org/officeDocument/2006/relationships/hyperlink" Target="https://www.oregon.gov/das/FleetPark/Pages/rates.aspx" TargetMode="External"/><Relationship Id="rId50" Type="http://schemas.openxmlformats.org/officeDocument/2006/relationships/hyperlink" Target="mailto:michael.hickam@sos.oregon.gov" TargetMode="External"/><Relationship Id="rId55" Type="http://schemas.openxmlformats.org/officeDocument/2006/relationships/image" Target="media/image5.emf"/><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15.em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AS\Office_Templates\DAS%20Reports\Report%20Template.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0579B"/>
      </a:dk2>
      <a:lt2>
        <a:srgbClr val="FFFFFF"/>
      </a:lt2>
      <a:accent1>
        <a:srgbClr val="00579B"/>
      </a:accent1>
      <a:accent2>
        <a:srgbClr val="618B5D"/>
      </a:accent2>
      <a:accent3>
        <a:srgbClr val="425F3F"/>
      </a:accent3>
      <a:accent4>
        <a:srgbClr val="E7E6E6"/>
      </a:accent4>
      <a:accent5>
        <a:srgbClr val="E1B924"/>
      </a:accent5>
      <a:accent6>
        <a:srgbClr val="263B80"/>
      </a:accent6>
      <a:hlink>
        <a:srgbClr val="00579B"/>
      </a:hlink>
      <a:folHlink>
        <a:srgbClr val="1A8C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itle xmlns="efde67e2-bd96-45fc-ad28-2d1d0cc84757">
      <Url xsi:nil="true"/>
      <Description xsi:nil="true"/>
    </Document_x0020_Title>
    <Sub_x002d_topic xmlns="efde67e2-bd96-45fc-ad28-2d1d0cc84757" xsi:nil="true"/>
    <Number xmlns="efde67e2-bd96-45fc-ad28-2d1d0cc84757" xsi:nil="true"/>
    <Topic xmlns="efde67e2-bd96-45fc-ad28-2d1d0cc84757">(Empty)</Topic>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06C7E7E5753048BAEDF530717DD892" ma:contentTypeVersion="7" ma:contentTypeDescription="Create a new document." ma:contentTypeScope="" ma:versionID="5f8949e5aaa248e6d06af9c2526a511d">
  <xsd:schema xmlns:xsd="http://www.w3.org/2001/XMLSchema" xmlns:xs="http://www.w3.org/2001/XMLSchema" xmlns:p="http://schemas.microsoft.com/office/2006/metadata/properties" xmlns:ns1="http://schemas.microsoft.com/sharepoint/v3" xmlns:ns2="efde67e2-bd96-45fc-ad28-2d1d0cc84757" xmlns:ns3="c11a4dd1-9999-41de-ad6b-508521c3559d" targetNamespace="http://schemas.microsoft.com/office/2006/metadata/properties" ma:root="true" ma:fieldsID="6380f48e4c6527655b90ed53392613f9" ns1:_="" ns2:_="" ns3:_="">
    <xsd:import namespace="http://schemas.microsoft.com/sharepoint/v3"/>
    <xsd:import namespace="efde67e2-bd96-45fc-ad28-2d1d0cc84757"/>
    <xsd:import namespace="c11a4dd1-9999-41de-ad6b-508521c3559d"/>
    <xsd:element name="properties">
      <xsd:complexType>
        <xsd:sequence>
          <xsd:element name="documentManagement">
            <xsd:complexType>
              <xsd:all>
                <xsd:element ref="ns2:Topic" minOccurs="0"/>
                <xsd:element ref="ns2:Sub_x002d_topic" minOccurs="0"/>
                <xsd:element ref="ns1:PublishingStartDate" minOccurs="0"/>
                <xsd:element ref="ns1:PublishingExpirationDate" minOccurs="0"/>
                <xsd:element ref="ns2:Number" minOccurs="0"/>
                <xsd:element ref="ns2:Document_x0020_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de67e2-bd96-45fc-ad28-2d1d0cc84757" elementFormDefault="qualified">
    <xsd:import namespace="http://schemas.microsoft.com/office/2006/documentManagement/types"/>
    <xsd:import namespace="http://schemas.microsoft.com/office/infopath/2007/PartnerControls"/>
    <xsd:element name="Topic" ma:index="2" nillable="true" ma:displayName="Topic" ma:default="(Empty)" ma:format="Dropdown" ma:internalName="Topic">
      <xsd:simpleType>
        <xsd:union memberTypes="dms:Text">
          <xsd:simpleType>
            <xsd:restriction base="dms:Choice">
              <xsd:enumeration value="(Empty)"/>
              <xsd:enumeration value="Budget Instructions"/>
              <xsd:enumeration value="Budget Process"/>
              <xsd:enumeration value="E-Board/IJWM"/>
              <xsd:enumeration value="OAR"/>
              <xsd:enumeration value="SABRS"/>
              <xsd:enumeration value="CPC"/>
            </xsd:restriction>
          </xsd:simpleType>
        </xsd:union>
      </xsd:simpleType>
    </xsd:element>
    <xsd:element name="Sub_x002d_topic" ma:index="3" nillable="true" ma:displayName="Sub-topic" ma:default="(Empty)" ma:format="Dropdown" ma:internalName="Sub_x002d_topic">
      <xsd:simpleType>
        <xsd:union memberTypes="dms:Text">
          <xsd:simpleType>
            <xsd:restriction base="dms:Choice">
              <xsd:enumeration value="(Empty)"/>
              <xsd:enumeration value="Allotment Process"/>
              <xsd:enumeration value="Budget Development"/>
              <xsd:enumeration value="Budget Execution"/>
              <xsd:enumeration value="Budget Kick-off"/>
              <xsd:enumeration value="Form"/>
              <xsd:enumeration value="Legislative Concepts"/>
              <xsd:enumeration value="Operations"/>
              <xsd:enumeration value="Web Sources"/>
              <xsd:enumeration value="Other"/>
            </xsd:restriction>
          </xsd:simpleType>
        </xsd:union>
      </xsd:simpleType>
    </xsd:element>
    <xsd:element name="Number" ma:index="12" nillable="true" ma:displayName="Number" ma:internalName="Number">
      <xsd:simpleType>
        <xsd:restriction base="dms:Text">
          <xsd:maxLength value="255"/>
        </xsd:restriction>
      </xsd:simpleType>
    </xsd:element>
    <xsd:element name="Document_x0020_Title" ma:index="13" nillable="true" ma:displayName="Document Title" ma:description="Type the fill name of the document and link to the short document file name" ma:format="Hyperlink" ma:internalName="Document_x0020_Tit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47BBD-3C17-41E5-9E91-A7F9F0378411}">
  <ds:schemaRefs>
    <ds:schemaRef ds:uri="http://schemas.openxmlformats.org/officeDocument/2006/bibliography"/>
  </ds:schemaRefs>
</ds:datastoreItem>
</file>

<file path=customXml/itemProps2.xml><?xml version="1.0" encoding="utf-8"?>
<ds:datastoreItem xmlns:ds="http://schemas.openxmlformats.org/officeDocument/2006/customXml" ds:itemID="{FF5BCDFA-D52A-4F49-9B32-C21345F23CB0}">
  <ds:schemaRefs>
    <ds:schemaRef ds:uri="http://schemas.microsoft.com/sharepoint/v3/contenttype/forms"/>
  </ds:schemaRefs>
</ds:datastoreItem>
</file>

<file path=customXml/itemProps3.xml><?xml version="1.0" encoding="utf-8"?>
<ds:datastoreItem xmlns:ds="http://schemas.openxmlformats.org/officeDocument/2006/customXml" ds:itemID="{D463035E-2D64-4EA1-B12F-6E1070B01A2C}">
  <ds:schemaRef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3e440c17-e69b-4dd7-9584-534a5032930a"/>
    <ds:schemaRef ds:uri="http://schemas.microsoft.com/office/2006/metadata/properties"/>
    <ds:schemaRef ds:uri="http://purl.org/dc/terms/"/>
    <ds:schemaRef ds:uri="http://purl.org/dc/dcmitype/"/>
    <ds:schemaRef ds:uri="424f0506-520d-44ef-97fd-5c7a5deadf0e"/>
  </ds:schemaRefs>
</ds:datastoreItem>
</file>

<file path=customXml/itemProps4.xml><?xml version="1.0" encoding="utf-8"?>
<ds:datastoreItem xmlns:ds="http://schemas.openxmlformats.org/officeDocument/2006/customXml" ds:itemID="{E6BE3796-78CB-4EC3-9AD6-9DAED8A5E11C}"/>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Report Template</Template>
  <TotalTime>172</TotalTime>
  <Pages>65</Pages>
  <Words>15871</Words>
  <Characters>97294</Characters>
  <Application>Microsoft Office Word</Application>
  <DocSecurity>0</DocSecurity>
  <Lines>2316</Lines>
  <Paragraphs>1216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111949</CharactersWithSpaces>
  <SharedDoc>false</SharedDoc>
  <HLinks>
    <vt:vector size="444" baseType="variant">
      <vt:variant>
        <vt:i4>5898350</vt:i4>
      </vt:variant>
      <vt:variant>
        <vt:i4>303</vt:i4>
      </vt:variant>
      <vt:variant>
        <vt:i4>0</vt:i4>
      </vt:variant>
      <vt:variant>
        <vt:i4>5</vt:i4>
      </vt:variant>
      <vt:variant>
        <vt:lpwstr>mailto:William.chapman@oem.oregon.gov</vt:lpwstr>
      </vt:variant>
      <vt:variant>
        <vt:lpwstr/>
      </vt:variant>
      <vt:variant>
        <vt:i4>3276891</vt:i4>
      </vt:variant>
      <vt:variant>
        <vt:i4>300</vt:i4>
      </vt:variant>
      <vt:variant>
        <vt:i4>0</vt:i4>
      </vt:variant>
      <vt:variant>
        <vt:i4>5</vt:i4>
      </vt:variant>
      <vt:variant>
        <vt:lpwstr>mailto:ali.h.hassoun@oha.oregon.gov</vt:lpwstr>
      </vt:variant>
      <vt:variant>
        <vt:lpwstr/>
      </vt:variant>
      <vt:variant>
        <vt:i4>2293852</vt:i4>
      </vt:variant>
      <vt:variant>
        <vt:i4>297</vt:i4>
      </vt:variant>
      <vt:variant>
        <vt:i4>0</vt:i4>
      </vt:variant>
      <vt:variant>
        <vt:i4>5</vt:i4>
      </vt:variant>
      <vt:variant>
        <vt:lpwstr>mailto:Jeffrey.R.Rhoades@employ.oregon.gov</vt:lpwstr>
      </vt:variant>
      <vt:variant>
        <vt:lpwstr/>
      </vt:variant>
      <vt:variant>
        <vt:i4>2752558</vt:i4>
      </vt:variant>
      <vt:variant>
        <vt:i4>294</vt:i4>
      </vt:variant>
      <vt:variant>
        <vt:i4>0</vt:i4>
      </vt:variant>
      <vt:variant>
        <vt:i4>5</vt:i4>
      </vt:variant>
      <vt:variant>
        <vt:lpwstr>http://oce.oregon.gov/</vt:lpwstr>
      </vt:variant>
      <vt:variant>
        <vt:lpwstr/>
      </vt:variant>
      <vt:variant>
        <vt:i4>852084</vt:i4>
      </vt:variant>
      <vt:variant>
        <vt:i4>291</vt:i4>
      </vt:variant>
      <vt:variant>
        <vt:i4>0</vt:i4>
      </vt:variant>
      <vt:variant>
        <vt:i4>5</vt:i4>
      </vt:variant>
      <vt:variant>
        <vt:lpwstr>mailto:Kristin.nopp-swartz@osp.oregon.gov</vt:lpwstr>
      </vt:variant>
      <vt:variant>
        <vt:lpwstr/>
      </vt:variant>
      <vt:variant>
        <vt:i4>4718649</vt:i4>
      </vt:variant>
      <vt:variant>
        <vt:i4>288</vt:i4>
      </vt:variant>
      <vt:variant>
        <vt:i4>0</vt:i4>
      </vt:variant>
      <vt:variant>
        <vt:i4>5</vt:i4>
      </vt:variant>
      <vt:variant>
        <vt:lpwstr>mailto:matthew.smith@ost.state.or.us</vt:lpwstr>
      </vt:variant>
      <vt:variant>
        <vt:lpwstr/>
      </vt:variant>
      <vt:variant>
        <vt:i4>6291531</vt:i4>
      </vt:variant>
      <vt:variant>
        <vt:i4>285</vt:i4>
      </vt:variant>
      <vt:variant>
        <vt:i4>0</vt:i4>
      </vt:variant>
      <vt:variant>
        <vt:i4>5</vt:i4>
      </vt:variant>
      <vt:variant>
        <vt:lpwstr>mailto:michael.hickam@sos.oregon.gov</vt:lpwstr>
      </vt:variant>
      <vt:variant>
        <vt:lpwstr/>
      </vt:variant>
      <vt:variant>
        <vt:i4>6291531</vt:i4>
      </vt:variant>
      <vt:variant>
        <vt:i4>282</vt:i4>
      </vt:variant>
      <vt:variant>
        <vt:i4>0</vt:i4>
      </vt:variant>
      <vt:variant>
        <vt:i4>5</vt:i4>
      </vt:variant>
      <vt:variant>
        <vt:lpwstr>mailto:michael.hickam@sos.oregon.gov</vt:lpwstr>
      </vt:variant>
      <vt:variant>
        <vt:lpwstr/>
      </vt:variant>
      <vt:variant>
        <vt:i4>6291531</vt:i4>
      </vt:variant>
      <vt:variant>
        <vt:i4>279</vt:i4>
      </vt:variant>
      <vt:variant>
        <vt:i4>0</vt:i4>
      </vt:variant>
      <vt:variant>
        <vt:i4>5</vt:i4>
      </vt:variant>
      <vt:variant>
        <vt:lpwstr>mailto:michael.hickam@sos.oregon.gov</vt:lpwstr>
      </vt:variant>
      <vt:variant>
        <vt:lpwstr/>
      </vt:variant>
      <vt:variant>
        <vt:i4>6291531</vt:i4>
      </vt:variant>
      <vt:variant>
        <vt:i4>276</vt:i4>
      </vt:variant>
      <vt:variant>
        <vt:i4>0</vt:i4>
      </vt:variant>
      <vt:variant>
        <vt:i4>5</vt:i4>
      </vt:variant>
      <vt:variant>
        <vt:lpwstr>mailto:michael.hickam@sos.oregon.gov</vt:lpwstr>
      </vt:variant>
      <vt:variant>
        <vt:lpwstr/>
      </vt:variant>
      <vt:variant>
        <vt:i4>4587645</vt:i4>
      </vt:variant>
      <vt:variant>
        <vt:i4>273</vt:i4>
      </vt:variant>
      <vt:variant>
        <vt:i4>0</vt:i4>
      </vt:variant>
      <vt:variant>
        <vt:i4>5</vt:i4>
      </vt:variant>
      <vt:variant>
        <vt:lpwstr>mailto:das.billing@das.oregon.gov</vt:lpwstr>
      </vt:variant>
      <vt:variant>
        <vt:lpwstr/>
      </vt:variant>
      <vt:variant>
        <vt:i4>3735579</vt:i4>
      </vt:variant>
      <vt:variant>
        <vt:i4>270</vt:i4>
      </vt:variant>
      <vt:variant>
        <vt:i4>0</vt:i4>
      </vt:variant>
      <vt:variant>
        <vt:i4>5</vt:i4>
      </vt:variant>
      <vt:variant>
        <vt:lpwstr>mailto:Susan.Myers@ogec.oregon.gov</vt:lpwstr>
      </vt:variant>
      <vt:variant>
        <vt:lpwstr/>
      </vt:variant>
      <vt:variant>
        <vt:i4>589937</vt:i4>
      </vt:variant>
      <vt:variant>
        <vt:i4>267</vt:i4>
      </vt:variant>
      <vt:variant>
        <vt:i4>0</vt:i4>
      </vt:variant>
      <vt:variant>
        <vt:i4>5</vt:i4>
      </vt:variant>
      <vt:variant>
        <vt:lpwstr>mailto:john.c.fagan@state.or.us</vt:lpwstr>
      </vt:variant>
      <vt:variant>
        <vt:lpwstr/>
      </vt:variant>
      <vt:variant>
        <vt:i4>3670032</vt:i4>
      </vt:variant>
      <vt:variant>
        <vt:i4>264</vt:i4>
      </vt:variant>
      <vt:variant>
        <vt:i4>0</vt:i4>
      </vt:variant>
      <vt:variant>
        <vt:i4>5</vt:i4>
      </vt:variant>
      <vt:variant>
        <vt:lpwstr>mailto:ben.plant@das.oregon.gov</vt:lpwstr>
      </vt:variant>
      <vt:variant>
        <vt:lpwstr/>
      </vt:variant>
      <vt:variant>
        <vt:i4>5046287</vt:i4>
      </vt:variant>
      <vt:variant>
        <vt:i4>261</vt:i4>
      </vt:variant>
      <vt:variant>
        <vt:i4>0</vt:i4>
      </vt:variant>
      <vt:variant>
        <vt:i4>5</vt:i4>
      </vt:variant>
      <vt:variant>
        <vt:lpwstr>https://www.oregon.gov/library/operations/Documents/BudgetsAndReports/GSAssessmentFAQ.pdf</vt:lpwstr>
      </vt:variant>
      <vt:variant>
        <vt:lpwstr/>
      </vt:variant>
      <vt:variant>
        <vt:i4>3014670</vt:i4>
      </vt:variant>
      <vt:variant>
        <vt:i4>258</vt:i4>
      </vt:variant>
      <vt:variant>
        <vt:i4>0</vt:i4>
      </vt:variant>
      <vt:variant>
        <vt:i4>5</vt:i4>
      </vt:variant>
      <vt:variant>
        <vt:lpwstr>mailto:Edina.HAISLIP@biz.oregon.gov</vt:lpwstr>
      </vt:variant>
      <vt:variant>
        <vt:lpwstr/>
      </vt:variant>
      <vt:variant>
        <vt:i4>1310768</vt:i4>
      </vt:variant>
      <vt:variant>
        <vt:i4>255</vt:i4>
      </vt:variant>
      <vt:variant>
        <vt:i4>0</vt:i4>
      </vt:variant>
      <vt:variant>
        <vt:i4>5</vt:i4>
      </vt:variant>
      <vt:variant>
        <vt:lpwstr>mailto:todd.albert@pra.oregon.gov</vt:lpwstr>
      </vt:variant>
      <vt:variant>
        <vt:lpwstr/>
      </vt:variant>
      <vt:variant>
        <vt:i4>786488</vt:i4>
      </vt:variant>
      <vt:variant>
        <vt:i4>252</vt:i4>
      </vt:variant>
      <vt:variant>
        <vt:i4>0</vt:i4>
      </vt:variant>
      <vt:variant>
        <vt:i4>5</vt:i4>
      </vt:variant>
      <vt:variant>
        <vt:lpwstr>mailto:dustin.ball@das.oregon.gov</vt:lpwstr>
      </vt:variant>
      <vt:variant>
        <vt:lpwstr/>
      </vt:variant>
      <vt:variant>
        <vt:i4>786477</vt:i4>
      </vt:variant>
      <vt:variant>
        <vt:i4>249</vt:i4>
      </vt:variant>
      <vt:variant>
        <vt:i4>0</vt:i4>
      </vt:variant>
      <vt:variant>
        <vt:i4>5</vt:i4>
      </vt:variant>
      <vt:variant>
        <vt:lpwstr>mailto:brad.cunningham@das.oregon.gov</vt:lpwstr>
      </vt:variant>
      <vt:variant>
        <vt:lpwstr/>
      </vt:variant>
      <vt:variant>
        <vt:i4>3866633</vt:i4>
      </vt:variant>
      <vt:variant>
        <vt:i4>246</vt:i4>
      </vt:variant>
      <vt:variant>
        <vt:i4>0</vt:i4>
      </vt:variant>
      <vt:variant>
        <vt:i4>5</vt:i4>
      </vt:variant>
      <vt:variant>
        <vt:lpwstr>mailto:shelly.hoffman@das.oregon.gov</vt:lpwstr>
      </vt:variant>
      <vt:variant>
        <vt:lpwstr/>
      </vt:variant>
      <vt:variant>
        <vt:i4>4456566</vt:i4>
      </vt:variant>
      <vt:variant>
        <vt:i4>243</vt:i4>
      </vt:variant>
      <vt:variant>
        <vt:i4>0</vt:i4>
      </vt:variant>
      <vt:variant>
        <vt:i4>5</vt:i4>
      </vt:variant>
      <vt:variant>
        <vt:lpwstr>mailto:tim.hendrix@das.oregon.gov</vt:lpwstr>
      </vt:variant>
      <vt:variant>
        <vt:lpwstr/>
      </vt:variant>
      <vt:variant>
        <vt:i4>4718675</vt:i4>
      </vt:variant>
      <vt:variant>
        <vt:i4>240</vt:i4>
      </vt:variant>
      <vt:variant>
        <vt:i4>0</vt:i4>
      </vt:variant>
      <vt:variant>
        <vt:i4>5</vt:i4>
      </vt:variant>
      <vt:variant>
        <vt:lpwstr>https://www.oregon.gov/DAS/FleetPark/Pages/rates.aspx</vt:lpwstr>
      </vt:variant>
      <vt:variant>
        <vt:lpwstr/>
      </vt:variant>
      <vt:variant>
        <vt:i4>8061015</vt:i4>
      </vt:variant>
      <vt:variant>
        <vt:i4>237</vt:i4>
      </vt:variant>
      <vt:variant>
        <vt:i4>0</vt:i4>
      </vt:variant>
      <vt:variant>
        <vt:i4>5</vt:i4>
      </vt:variant>
      <vt:variant>
        <vt:lpwstr>mailto:dan.wright@das.oregon.gov</vt:lpwstr>
      </vt:variant>
      <vt:variant>
        <vt:lpwstr/>
      </vt:variant>
      <vt:variant>
        <vt:i4>4718684</vt:i4>
      </vt:variant>
      <vt:variant>
        <vt:i4>234</vt:i4>
      </vt:variant>
      <vt:variant>
        <vt:i4>0</vt:i4>
      </vt:variant>
      <vt:variant>
        <vt:i4>5</vt:i4>
      </vt:variant>
      <vt:variant>
        <vt:lpwstr>https://www.oregon.gov/das/fleetpark/pages/index.aspx</vt:lpwstr>
      </vt:variant>
      <vt:variant>
        <vt:lpwstr/>
      </vt:variant>
      <vt:variant>
        <vt:i4>1703988</vt:i4>
      </vt:variant>
      <vt:variant>
        <vt:i4>231</vt:i4>
      </vt:variant>
      <vt:variant>
        <vt:i4>0</vt:i4>
      </vt:variant>
      <vt:variant>
        <vt:i4>5</vt:i4>
      </vt:variant>
      <vt:variant>
        <vt:lpwstr>mailto:fleet.office@das.oregon.gov</vt:lpwstr>
      </vt:variant>
      <vt:variant>
        <vt:lpwstr/>
      </vt:variant>
      <vt:variant>
        <vt:i4>4718675</vt:i4>
      </vt:variant>
      <vt:variant>
        <vt:i4>228</vt:i4>
      </vt:variant>
      <vt:variant>
        <vt:i4>0</vt:i4>
      </vt:variant>
      <vt:variant>
        <vt:i4>5</vt:i4>
      </vt:variant>
      <vt:variant>
        <vt:lpwstr>https://www.oregon.gov/das/FleetPark/Pages/rates.aspx</vt:lpwstr>
      </vt:variant>
      <vt:variant>
        <vt:lpwstr/>
      </vt:variant>
      <vt:variant>
        <vt:i4>3670023</vt:i4>
      </vt:variant>
      <vt:variant>
        <vt:i4>225</vt:i4>
      </vt:variant>
      <vt:variant>
        <vt:i4>0</vt:i4>
      </vt:variant>
      <vt:variant>
        <vt:i4>5</vt:i4>
      </vt:variant>
      <vt:variant>
        <vt:lpwstr>mailto:daniel.christensen@das.oregon.gov</vt:lpwstr>
      </vt:variant>
      <vt:variant>
        <vt:lpwstr/>
      </vt:variant>
      <vt:variant>
        <vt:i4>5439539</vt:i4>
      </vt:variant>
      <vt:variant>
        <vt:i4>222</vt:i4>
      </vt:variant>
      <vt:variant>
        <vt:i4>0</vt:i4>
      </vt:variant>
      <vt:variant>
        <vt:i4>5</vt:i4>
      </vt:variant>
      <vt:variant>
        <vt:lpwstr>mailto:jeremy.w.miller@das.oregon.gov</vt:lpwstr>
      </vt:variant>
      <vt:variant>
        <vt:lpwstr/>
      </vt:variant>
      <vt:variant>
        <vt:i4>2883589</vt:i4>
      </vt:variant>
      <vt:variant>
        <vt:i4>219</vt:i4>
      </vt:variant>
      <vt:variant>
        <vt:i4>0</vt:i4>
      </vt:variant>
      <vt:variant>
        <vt:i4>5</vt:i4>
      </vt:variant>
      <vt:variant>
        <vt:lpwstr>mailto:scott.nebeker@das.oregon.gov</vt:lpwstr>
      </vt:variant>
      <vt:variant>
        <vt:lpwstr/>
      </vt:variant>
      <vt:variant>
        <vt:i4>589875</vt:i4>
      </vt:variant>
      <vt:variant>
        <vt:i4>216</vt:i4>
      </vt:variant>
      <vt:variant>
        <vt:i4>0</vt:i4>
      </vt:variant>
      <vt:variant>
        <vt:i4>5</vt:i4>
      </vt:variant>
      <vt:variant>
        <vt:lpwstr>mailto:res.info@das.oregon.gov</vt:lpwstr>
      </vt:variant>
      <vt:variant>
        <vt:lpwstr/>
      </vt:variant>
      <vt:variant>
        <vt:i4>589875</vt:i4>
      </vt:variant>
      <vt:variant>
        <vt:i4>213</vt:i4>
      </vt:variant>
      <vt:variant>
        <vt:i4>0</vt:i4>
      </vt:variant>
      <vt:variant>
        <vt:i4>5</vt:i4>
      </vt:variant>
      <vt:variant>
        <vt:lpwstr>mailto:res.info@das.oregon.gov</vt:lpwstr>
      </vt:variant>
      <vt:variant>
        <vt:lpwstr/>
      </vt:variant>
      <vt:variant>
        <vt:i4>5046369</vt:i4>
      </vt:variant>
      <vt:variant>
        <vt:i4>210</vt:i4>
      </vt:variant>
      <vt:variant>
        <vt:i4>0</vt:i4>
      </vt:variant>
      <vt:variant>
        <vt:i4>5</vt:i4>
      </vt:variant>
      <vt:variant>
        <vt:lpwstr>mailto:heath.swartwout@das.oregon.gov</vt:lpwstr>
      </vt:variant>
      <vt:variant>
        <vt:lpwstr/>
      </vt:variant>
      <vt:variant>
        <vt:i4>4915242</vt:i4>
      </vt:variant>
      <vt:variant>
        <vt:i4>207</vt:i4>
      </vt:variant>
      <vt:variant>
        <vt:i4>0</vt:i4>
      </vt:variant>
      <vt:variant>
        <vt:i4>5</vt:i4>
      </vt:variant>
      <vt:variant>
        <vt:lpwstr>mailto:renee.r.royston@das.oregon.gov</vt:lpwstr>
      </vt:variant>
      <vt:variant>
        <vt:lpwstr/>
      </vt:variant>
      <vt:variant>
        <vt:i4>1835062</vt:i4>
      </vt:variant>
      <vt:variant>
        <vt:i4>204</vt:i4>
      </vt:variant>
      <vt:variant>
        <vt:i4>0</vt:i4>
      </vt:variant>
      <vt:variant>
        <vt:i4>5</vt:i4>
      </vt:variant>
      <vt:variant>
        <vt:lpwstr>mailto:chro.hr@das.oregon.gov</vt:lpwstr>
      </vt:variant>
      <vt:variant>
        <vt:lpwstr/>
      </vt:variant>
      <vt:variant>
        <vt:i4>786476</vt:i4>
      </vt:variant>
      <vt:variant>
        <vt:i4>201</vt:i4>
      </vt:variant>
      <vt:variant>
        <vt:i4>0</vt:i4>
      </vt:variant>
      <vt:variant>
        <vt:i4>5</vt:i4>
      </vt:variant>
      <vt:variant>
        <vt:lpwstr>mailto:eric.sexton@das.oregon.gov</vt:lpwstr>
      </vt:variant>
      <vt:variant>
        <vt:lpwstr/>
      </vt:variant>
      <vt:variant>
        <vt:i4>6291467</vt:i4>
      </vt:variant>
      <vt:variant>
        <vt:i4>198</vt:i4>
      </vt:variant>
      <vt:variant>
        <vt:i4>0</vt:i4>
      </vt:variant>
      <vt:variant>
        <vt:i4>5</vt:i4>
      </vt:variant>
      <vt:variant>
        <vt:lpwstr>mailto:paula.a.taylor@das.oregon.gov</vt:lpwstr>
      </vt:variant>
      <vt:variant>
        <vt:lpwstr/>
      </vt:variant>
      <vt:variant>
        <vt:i4>983105</vt:i4>
      </vt:variant>
      <vt:variant>
        <vt:i4>195</vt:i4>
      </vt:variant>
      <vt:variant>
        <vt:i4>0</vt:i4>
      </vt:variant>
      <vt:variant>
        <vt:i4>5</vt:i4>
      </vt:variant>
      <vt:variant>
        <vt:lpwstr>https://www.oregon.gov/eis/Pages/ai-advisory-council.aspx</vt:lpwstr>
      </vt:variant>
      <vt:variant>
        <vt:lpwstr/>
      </vt:variant>
      <vt:variant>
        <vt:i4>6357086</vt:i4>
      </vt:variant>
      <vt:variant>
        <vt:i4>192</vt:i4>
      </vt:variant>
      <vt:variant>
        <vt:i4>0</vt:i4>
      </vt:variant>
      <vt:variant>
        <vt:i4>5</vt:i4>
      </vt:variant>
      <vt:variant>
        <vt:lpwstr>mailto:fabiola.flores@das.oregon.gov</vt:lpwstr>
      </vt:variant>
      <vt:variant>
        <vt:lpwstr/>
      </vt:variant>
      <vt:variant>
        <vt:i4>262192</vt:i4>
      </vt:variant>
      <vt:variant>
        <vt:i4>189</vt:i4>
      </vt:variant>
      <vt:variant>
        <vt:i4>0</vt:i4>
      </vt:variant>
      <vt:variant>
        <vt:i4>5</vt:i4>
      </vt:variant>
      <vt:variant>
        <vt:lpwstr>mailto:cfo.info@das.oregon.gov</vt:lpwstr>
      </vt:variant>
      <vt:variant>
        <vt:lpwstr/>
      </vt:variant>
      <vt:variant>
        <vt:i4>5898354</vt:i4>
      </vt:variant>
      <vt:variant>
        <vt:i4>186</vt:i4>
      </vt:variant>
      <vt:variant>
        <vt:i4>0</vt:i4>
      </vt:variant>
      <vt:variant>
        <vt:i4>5</vt:i4>
      </vt:variant>
      <vt:variant>
        <vt:lpwstr>mailto:katie.thiel@das.oregon.gov</vt:lpwstr>
      </vt:variant>
      <vt:variant>
        <vt:lpwstr/>
      </vt:variant>
      <vt:variant>
        <vt:i4>5177456</vt:i4>
      </vt:variant>
      <vt:variant>
        <vt:i4>183</vt:i4>
      </vt:variant>
      <vt:variant>
        <vt:i4>0</vt:i4>
      </vt:variant>
      <vt:variant>
        <vt:i4>5</vt:i4>
      </vt:variant>
      <vt:variant>
        <vt:lpwstr>mailto:david.black@das.oregon.gov</vt:lpwstr>
      </vt:variant>
      <vt:variant>
        <vt:lpwstr/>
      </vt:variant>
      <vt:variant>
        <vt:i4>8323175</vt:i4>
      </vt:variant>
      <vt:variant>
        <vt:i4>180</vt:i4>
      </vt:variant>
      <vt:variant>
        <vt:i4>0</vt:i4>
      </vt:variant>
      <vt:variant>
        <vt:i4>5</vt:i4>
      </vt:variant>
      <vt:variant>
        <vt:lpwstr>https://www.oregon.gov/das/Financial/Pages/Budgetinstruct.aspx</vt:lpwstr>
      </vt:variant>
      <vt:variant>
        <vt:lpwstr/>
      </vt:variant>
      <vt:variant>
        <vt:i4>4849666</vt:i4>
      </vt:variant>
      <vt:variant>
        <vt:i4>177</vt:i4>
      </vt:variant>
      <vt:variant>
        <vt:i4>0</vt:i4>
      </vt:variant>
      <vt:variant>
        <vt:i4>5</vt:i4>
      </vt:variant>
      <vt:variant>
        <vt:lpwstr>https://pricelist.dasapp.oregon.gov/</vt:lpwstr>
      </vt:variant>
      <vt:variant>
        <vt:lpwstr/>
      </vt:variant>
      <vt:variant>
        <vt:i4>1310772</vt:i4>
      </vt:variant>
      <vt:variant>
        <vt:i4>170</vt:i4>
      </vt:variant>
      <vt:variant>
        <vt:i4>0</vt:i4>
      </vt:variant>
      <vt:variant>
        <vt:i4>5</vt:i4>
      </vt:variant>
      <vt:variant>
        <vt:lpwstr/>
      </vt:variant>
      <vt:variant>
        <vt:lpwstr>_Toc226554504</vt:lpwstr>
      </vt:variant>
      <vt:variant>
        <vt:i4>1310772</vt:i4>
      </vt:variant>
      <vt:variant>
        <vt:i4>164</vt:i4>
      </vt:variant>
      <vt:variant>
        <vt:i4>0</vt:i4>
      </vt:variant>
      <vt:variant>
        <vt:i4>5</vt:i4>
      </vt:variant>
      <vt:variant>
        <vt:lpwstr/>
      </vt:variant>
      <vt:variant>
        <vt:lpwstr>_Toc226554503</vt:lpwstr>
      </vt:variant>
      <vt:variant>
        <vt:i4>1310772</vt:i4>
      </vt:variant>
      <vt:variant>
        <vt:i4>158</vt:i4>
      </vt:variant>
      <vt:variant>
        <vt:i4>0</vt:i4>
      </vt:variant>
      <vt:variant>
        <vt:i4>5</vt:i4>
      </vt:variant>
      <vt:variant>
        <vt:lpwstr/>
      </vt:variant>
      <vt:variant>
        <vt:lpwstr>_Toc226554502</vt:lpwstr>
      </vt:variant>
      <vt:variant>
        <vt:i4>1310772</vt:i4>
      </vt:variant>
      <vt:variant>
        <vt:i4>152</vt:i4>
      </vt:variant>
      <vt:variant>
        <vt:i4>0</vt:i4>
      </vt:variant>
      <vt:variant>
        <vt:i4>5</vt:i4>
      </vt:variant>
      <vt:variant>
        <vt:lpwstr/>
      </vt:variant>
      <vt:variant>
        <vt:lpwstr>_Toc226554501</vt:lpwstr>
      </vt:variant>
      <vt:variant>
        <vt:i4>1310772</vt:i4>
      </vt:variant>
      <vt:variant>
        <vt:i4>146</vt:i4>
      </vt:variant>
      <vt:variant>
        <vt:i4>0</vt:i4>
      </vt:variant>
      <vt:variant>
        <vt:i4>5</vt:i4>
      </vt:variant>
      <vt:variant>
        <vt:lpwstr/>
      </vt:variant>
      <vt:variant>
        <vt:lpwstr>_Toc226554500</vt:lpwstr>
      </vt:variant>
      <vt:variant>
        <vt:i4>1900597</vt:i4>
      </vt:variant>
      <vt:variant>
        <vt:i4>140</vt:i4>
      </vt:variant>
      <vt:variant>
        <vt:i4>0</vt:i4>
      </vt:variant>
      <vt:variant>
        <vt:i4>5</vt:i4>
      </vt:variant>
      <vt:variant>
        <vt:lpwstr/>
      </vt:variant>
      <vt:variant>
        <vt:lpwstr>_Toc226554499</vt:lpwstr>
      </vt:variant>
      <vt:variant>
        <vt:i4>1900597</vt:i4>
      </vt:variant>
      <vt:variant>
        <vt:i4>134</vt:i4>
      </vt:variant>
      <vt:variant>
        <vt:i4>0</vt:i4>
      </vt:variant>
      <vt:variant>
        <vt:i4>5</vt:i4>
      </vt:variant>
      <vt:variant>
        <vt:lpwstr/>
      </vt:variant>
      <vt:variant>
        <vt:lpwstr>_Toc226554498</vt:lpwstr>
      </vt:variant>
      <vt:variant>
        <vt:i4>1900597</vt:i4>
      </vt:variant>
      <vt:variant>
        <vt:i4>128</vt:i4>
      </vt:variant>
      <vt:variant>
        <vt:i4>0</vt:i4>
      </vt:variant>
      <vt:variant>
        <vt:i4>5</vt:i4>
      </vt:variant>
      <vt:variant>
        <vt:lpwstr/>
      </vt:variant>
      <vt:variant>
        <vt:lpwstr>_Toc226554497</vt:lpwstr>
      </vt:variant>
      <vt:variant>
        <vt:i4>1900597</vt:i4>
      </vt:variant>
      <vt:variant>
        <vt:i4>122</vt:i4>
      </vt:variant>
      <vt:variant>
        <vt:i4>0</vt:i4>
      </vt:variant>
      <vt:variant>
        <vt:i4>5</vt:i4>
      </vt:variant>
      <vt:variant>
        <vt:lpwstr/>
      </vt:variant>
      <vt:variant>
        <vt:lpwstr>_Toc226554496</vt:lpwstr>
      </vt:variant>
      <vt:variant>
        <vt:i4>1900597</vt:i4>
      </vt:variant>
      <vt:variant>
        <vt:i4>116</vt:i4>
      </vt:variant>
      <vt:variant>
        <vt:i4>0</vt:i4>
      </vt:variant>
      <vt:variant>
        <vt:i4>5</vt:i4>
      </vt:variant>
      <vt:variant>
        <vt:lpwstr/>
      </vt:variant>
      <vt:variant>
        <vt:lpwstr>_Toc226554495</vt:lpwstr>
      </vt:variant>
      <vt:variant>
        <vt:i4>1900597</vt:i4>
      </vt:variant>
      <vt:variant>
        <vt:i4>110</vt:i4>
      </vt:variant>
      <vt:variant>
        <vt:i4>0</vt:i4>
      </vt:variant>
      <vt:variant>
        <vt:i4>5</vt:i4>
      </vt:variant>
      <vt:variant>
        <vt:lpwstr/>
      </vt:variant>
      <vt:variant>
        <vt:lpwstr>_Toc226554494</vt:lpwstr>
      </vt:variant>
      <vt:variant>
        <vt:i4>1900597</vt:i4>
      </vt:variant>
      <vt:variant>
        <vt:i4>104</vt:i4>
      </vt:variant>
      <vt:variant>
        <vt:i4>0</vt:i4>
      </vt:variant>
      <vt:variant>
        <vt:i4>5</vt:i4>
      </vt:variant>
      <vt:variant>
        <vt:lpwstr/>
      </vt:variant>
      <vt:variant>
        <vt:lpwstr>_Toc226554493</vt:lpwstr>
      </vt:variant>
      <vt:variant>
        <vt:i4>1900597</vt:i4>
      </vt:variant>
      <vt:variant>
        <vt:i4>98</vt:i4>
      </vt:variant>
      <vt:variant>
        <vt:i4>0</vt:i4>
      </vt:variant>
      <vt:variant>
        <vt:i4>5</vt:i4>
      </vt:variant>
      <vt:variant>
        <vt:lpwstr/>
      </vt:variant>
      <vt:variant>
        <vt:lpwstr>_Toc226554492</vt:lpwstr>
      </vt:variant>
      <vt:variant>
        <vt:i4>1900597</vt:i4>
      </vt:variant>
      <vt:variant>
        <vt:i4>92</vt:i4>
      </vt:variant>
      <vt:variant>
        <vt:i4>0</vt:i4>
      </vt:variant>
      <vt:variant>
        <vt:i4>5</vt:i4>
      </vt:variant>
      <vt:variant>
        <vt:lpwstr/>
      </vt:variant>
      <vt:variant>
        <vt:lpwstr>_Toc226554491</vt:lpwstr>
      </vt:variant>
      <vt:variant>
        <vt:i4>1900597</vt:i4>
      </vt:variant>
      <vt:variant>
        <vt:i4>86</vt:i4>
      </vt:variant>
      <vt:variant>
        <vt:i4>0</vt:i4>
      </vt:variant>
      <vt:variant>
        <vt:i4>5</vt:i4>
      </vt:variant>
      <vt:variant>
        <vt:lpwstr/>
      </vt:variant>
      <vt:variant>
        <vt:lpwstr>_Toc226554490</vt:lpwstr>
      </vt:variant>
      <vt:variant>
        <vt:i4>1835061</vt:i4>
      </vt:variant>
      <vt:variant>
        <vt:i4>80</vt:i4>
      </vt:variant>
      <vt:variant>
        <vt:i4>0</vt:i4>
      </vt:variant>
      <vt:variant>
        <vt:i4>5</vt:i4>
      </vt:variant>
      <vt:variant>
        <vt:lpwstr/>
      </vt:variant>
      <vt:variant>
        <vt:lpwstr>_Toc226554489</vt:lpwstr>
      </vt:variant>
      <vt:variant>
        <vt:i4>1835061</vt:i4>
      </vt:variant>
      <vt:variant>
        <vt:i4>74</vt:i4>
      </vt:variant>
      <vt:variant>
        <vt:i4>0</vt:i4>
      </vt:variant>
      <vt:variant>
        <vt:i4>5</vt:i4>
      </vt:variant>
      <vt:variant>
        <vt:lpwstr/>
      </vt:variant>
      <vt:variant>
        <vt:lpwstr>_Toc226554488</vt:lpwstr>
      </vt:variant>
      <vt:variant>
        <vt:i4>1835061</vt:i4>
      </vt:variant>
      <vt:variant>
        <vt:i4>68</vt:i4>
      </vt:variant>
      <vt:variant>
        <vt:i4>0</vt:i4>
      </vt:variant>
      <vt:variant>
        <vt:i4>5</vt:i4>
      </vt:variant>
      <vt:variant>
        <vt:lpwstr/>
      </vt:variant>
      <vt:variant>
        <vt:lpwstr>_Toc226554487</vt:lpwstr>
      </vt:variant>
      <vt:variant>
        <vt:i4>1835061</vt:i4>
      </vt:variant>
      <vt:variant>
        <vt:i4>62</vt:i4>
      </vt:variant>
      <vt:variant>
        <vt:i4>0</vt:i4>
      </vt:variant>
      <vt:variant>
        <vt:i4>5</vt:i4>
      </vt:variant>
      <vt:variant>
        <vt:lpwstr/>
      </vt:variant>
      <vt:variant>
        <vt:lpwstr>_Toc226554486</vt:lpwstr>
      </vt:variant>
      <vt:variant>
        <vt:i4>1835061</vt:i4>
      </vt:variant>
      <vt:variant>
        <vt:i4>56</vt:i4>
      </vt:variant>
      <vt:variant>
        <vt:i4>0</vt:i4>
      </vt:variant>
      <vt:variant>
        <vt:i4>5</vt:i4>
      </vt:variant>
      <vt:variant>
        <vt:lpwstr/>
      </vt:variant>
      <vt:variant>
        <vt:lpwstr>_Toc226554485</vt:lpwstr>
      </vt:variant>
      <vt:variant>
        <vt:i4>1835061</vt:i4>
      </vt:variant>
      <vt:variant>
        <vt:i4>50</vt:i4>
      </vt:variant>
      <vt:variant>
        <vt:i4>0</vt:i4>
      </vt:variant>
      <vt:variant>
        <vt:i4>5</vt:i4>
      </vt:variant>
      <vt:variant>
        <vt:lpwstr/>
      </vt:variant>
      <vt:variant>
        <vt:lpwstr>_Toc226554484</vt:lpwstr>
      </vt:variant>
      <vt:variant>
        <vt:i4>1835061</vt:i4>
      </vt:variant>
      <vt:variant>
        <vt:i4>44</vt:i4>
      </vt:variant>
      <vt:variant>
        <vt:i4>0</vt:i4>
      </vt:variant>
      <vt:variant>
        <vt:i4>5</vt:i4>
      </vt:variant>
      <vt:variant>
        <vt:lpwstr/>
      </vt:variant>
      <vt:variant>
        <vt:lpwstr>_Toc226554483</vt:lpwstr>
      </vt:variant>
      <vt:variant>
        <vt:i4>1835061</vt:i4>
      </vt:variant>
      <vt:variant>
        <vt:i4>38</vt:i4>
      </vt:variant>
      <vt:variant>
        <vt:i4>0</vt:i4>
      </vt:variant>
      <vt:variant>
        <vt:i4>5</vt:i4>
      </vt:variant>
      <vt:variant>
        <vt:lpwstr/>
      </vt:variant>
      <vt:variant>
        <vt:lpwstr>_Toc226554482</vt:lpwstr>
      </vt:variant>
      <vt:variant>
        <vt:i4>1835061</vt:i4>
      </vt:variant>
      <vt:variant>
        <vt:i4>32</vt:i4>
      </vt:variant>
      <vt:variant>
        <vt:i4>0</vt:i4>
      </vt:variant>
      <vt:variant>
        <vt:i4>5</vt:i4>
      </vt:variant>
      <vt:variant>
        <vt:lpwstr/>
      </vt:variant>
      <vt:variant>
        <vt:lpwstr>_Toc226554481</vt:lpwstr>
      </vt:variant>
      <vt:variant>
        <vt:i4>1835061</vt:i4>
      </vt:variant>
      <vt:variant>
        <vt:i4>26</vt:i4>
      </vt:variant>
      <vt:variant>
        <vt:i4>0</vt:i4>
      </vt:variant>
      <vt:variant>
        <vt:i4>5</vt:i4>
      </vt:variant>
      <vt:variant>
        <vt:lpwstr/>
      </vt:variant>
      <vt:variant>
        <vt:lpwstr>_Toc226554480</vt:lpwstr>
      </vt:variant>
      <vt:variant>
        <vt:i4>1245237</vt:i4>
      </vt:variant>
      <vt:variant>
        <vt:i4>20</vt:i4>
      </vt:variant>
      <vt:variant>
        <vt:i4>0</vt:i4>
      </vt:variant>
      <vt:variant>
        <vt:i4>5</vt:i4>
      </vt:variant>
      <vt:variant>
        <vt:lpwstr/>
      </vt:variant>
      <vt:variant>
        <vt:lpwstr>_Toc226554479</vt:lpwstr>
      </vt:variant>
      <vt:variant>
        <vt:i4>1245237</vt:i4>
      </vt:variant>
      <vt:variant>
        <vt:i4>14</vt:i4>
      </vt:variant>
      <vt:variant>
        <vt:i4>0</vt:i4>
      </vt:variant>
      <vt:variant>
        <vt:i4>5</vt:i4>
      </vt:variant>
      <vt:variant>
        <vt:lpwstr/>
      </vt:variant>
      <vt:variant>
        <vt:lpwstr>_Toc226554478</vt:lpwstr>
      </vt:variant>
      <vt:variant>
        <vt:i4>1245237</vt:i4>
      </vt:variant>
      <vt:variant>
        <vt:i4>8</vt:i4>
      </vt:variant>
      <vt:variant>
        <vt:i4>0</vt:i4>
      </vt:variant>
      <vt:variant>
        <vt:i4>5</vt:i4>
      </vt:variant>
      <vt:variant>
        <vt:lpwstr/>
      </vt:variant>
      <vt:variant>
        <vt:lpwstr>_Toc226554477</vt:lpwstr>
      </vt:variant>
      <vt:variant>
        <vt:i4>1245237</vt:i4>
      </vt:variant>
      <vt:variant>
        <vt:i4>2</vt:i4>
      </vt:variant>
      <vt:variant>
        <vt:i4>0</vt:i4>
      </vt:variant>
      <vt:variant>
        <vt:i4>5</vt:i4>
      </vt:variant>
      <vt:variant>
        <vt:lpwstr/>
      </vt:variant>
      <vt:variant>
        <vt:lpwstr>_Toc226554476</vt:lpwstr>
      </vt:variant>
      <vt:variant>
        <vt:i4>6291495</vt:i4>
      </vt:variant>
      <vt:variant>
        <vt:i4>3</vt:i4>
      </vt:variant>
      <vt:variant>
        <vt:i4>0</vt:i4>
      </vt:variant>
      <vt:variant>
        <vt:i4>5</vt:i4>
      </vt:variant>
      <vt:variant>
        <vt:lpwstr>https://stateoforegon.sharepoint.com/sites/DAS/SitePages/Communications-Manual.aspx</vt:lpwstr>
      </vt:variant>
      <vt:variant>
        <vt:lpwstr>headings</vt:lpwstr>
      </vt:variant>
      <vt:variant>
        <vt:i4>786509</vt:i4>
      </vt:variant>
      <vt:variant>
        <vt:i4>0</vt:i4>
      </vt:variant>
      <vt:variant>
        <vt:i4>0</vt:i4>
      </vt:variant>
      <vt:variant>
        <vt:i4>5</vt:i4>
      </vt:variant>
      <vt:variant>
        <vt:lpwstr>https://stateoforegon.sharepoint.com/sites/DAS/SitePages/Communications-Manual.aspx</vt:lpwstr>
      </vt:variant>
      <vt:variant>
        <vt:lpwstr>meaningful-link-text-to-display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2027-2029 Agency Request Budget Pricelist</dc:title>
  <dc:subject/>
  <dc:creator>CORDLE Jazmine * DAS</dc:creator>
  <cp:keywords/>
  <dc:description/>
  <cp:lastModifiedBy>BALL Dustin * DAS</cp:lastModifiedBy>
  <cp:revision>14</cp:revision>
  <dcterms:created xsi:type="dcterms:W3CDTF">2026-04-09T15:07:00Z</dcterms:created>
  <dcterms:modified xsi:type="dcterms:W3CDTF">2026-04-15T22:48:00Z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0x0101006306C7E7E5753048BAEDF530717DD892</vt:lpwstr>
  </property>
</Properties>
</file>