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589698</wp:posOffset>
            </wp:positionH>
            <wp:positionV relativeFrom="paragraph">
              <wp:posOffset>-171209</wp:posOffset>
            </wp:positionV>
            <wp:extent cx="1632027" cy="35240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027" cy="352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.759998pt;margin-top:25.427841pt;width:530.65pt;height:122.65pt;mso-position-horizontal-relative:page;mso-position-vertical-relative:paragraph;z-index:-15812608" id="docshapegroup4" coordorigin="955,509" coordsize="10613,2453">
            <v:shape style="position:absolute;left:955;top:508;width:10613;height:2453" id="docshape5" coordorigin="955,509" coordsize="10613,2453" path="m970,552l955,552,955,828,955,1082,955,1334,955,1586,955,1841,955,2093,955,2347,955,2599,955,2875,970,2875,970,2599,970,2347,970,2093,970,1841,970,1586,970,1334,970,1082,970,828,970,552xm11496,552l11481,552,11481,828,11481,1082,11481,1334,11481,1586,11481,1841,11481,2093,11481,2347,11481,2599,11481,2875,998,2875,998,2599,998,2347,998,2093,998,1841,998,1586,998,1334,998,1082,998,828,998,552,984,552,984,828,984,1082,984,1334,984,1586,984,1841,984,2093,984,2347,984,2599,984,2875,984,2889,998,2889,11481,2889,11496,2889,11496,2875,11496,2599,11496,2347,11496,2093,11496,1841,11496,1586,11496,1334,11496,1082,11496,828,11496,552xm11496,537l11481,537,998,537,984,537,984,552,998,552,11481,552,11496,552,11496,537xm11524,552l11510,552,11510,828,11510,1082,11510,1334,11510,1586,11510,1841,11510,2093,11510,2347,11510,2599,11510,2875,11524,2875,11524,2599,11524,2347,11524,2093,11524,1841,11524,1586,11524,1334,11524,1082,11524,828,11524,552xm11524,509l11510,509,11481,509,998,509,970,509,955,509,955,523,955,552,970,552,970,523,998,523,11481,523,11510,523,11510,552,11524,552,11524,523,11524,509xm11568,552l11524,552,11524,828,11524,1082,11524,1334,11524,1586,11524,1841,11524,2093,11524,2347,11524,2599,11524,2875,11524,2918,11524,2918,11524,2904,11524,2875,11510,2875,11510,2904,11481,2904,998,2904,970,2904,970,2875,955,2875,955,2904,955,2918,970,2918,998,2918,998,2961,11481,2961,11524,2961,11568,2961,11568,2961,11568,2875,11568,2599,11568,2347,11568,2093,11568,1841,11568,1586,11568,1334,11568,1082,11568,828,11568,552xe" filled="true" fillcolor="#000000" stroked="false">
              <v:path arrowok="t"/>
              <v:fill type="solid"/>
            </v:shape>
            <v:shape style="position:absolute;left:1135;top:2156;width:10080;height:36" id="docshape6" coordorigin="1135,2157" coordsize="10080,36" path="m1135,2192l11215,2193m1135,2157l11215,2158e" filled="false" stroked="true" strokeweight="1pt" strokecolor="#000000">
              <v:path arrowok="t"/>
              <v:stroke dashstyle="solid"/>
            </v:shape>
            <v:shape style="position:absolute;left:955;top:508;width:10613;height:2453" type="#_x0000_t202" id="docshape7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177"/>
                      <w:ind w:left="182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APPROVED: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Signature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on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file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with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the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Chief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Human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Resources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Office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State</w:t>
      </w:r>
      <w:r>
        <w:rPr>
          <w:spacing w:val="-4"/>
        </w:rPr>
        <w:t> </w:t>
      </w:r>
      <w:r>
        <w:rPr/>
        <w:t>HR</w:t>
      </w:r>
      <w:r>
        <w:rPr>
          <w:spacing w:val="-2"/>
        </w:rPr>
        <w:t> Policy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4"/>
        </w:rPr>
      </w:pPr>
    </w:p>
    <w:tbl>
      <w:tblPr>
        <w:tblW w:w="0" w:type="auto"/>
        <w:jc w:val="left"/>
        <w:tblInd w:w="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3985"/>
        <w:gridCol w:w="3239"/>
        <w:gridCol w:w="1509"/>
      </w:tblGrid>
      <w:tr>
        <w:trPr>
          <w:trHeight w:val="375" w:hRule="atLeast"/>
        </w:trPr>
        <w:tc>
          <w:tcPr>
            <w:tcW w:w="1274" w:type="dxa"/>
          </w:tcPr>
          <w:p>
            <w:pPr>
              <w:pStyle w:val="TableParagraph"/>
              <w:spacing w:line="247" w:lineRule="exact" w:befor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SUBJECT:</w:t>
            </w:r>
          </w:p>
        </w:tc>
        <w:tc>
          <w:tcPr>
            <w:tcW w:w="3985" w:type="dxa"/>
          </w:tcPr>
          <w:p>
            <w:pPr>
              <w:pStyle w:val="TableParagraph"/>
              <w:spacing w:line="247" w:lineRule="exact" w:before="0"/>
              <w:ind w:left="125"/>
              <w:rPr>
                <w:sz w:val="22"/>
              </w:rPr>
            </w:pPr>
            <w:r>
              <w:rPr>
                <w:sz w:val="22"/>
              </w:rPr>
              <w:t>Merit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System</w:t>
            </w:r>
          </w:p>
        </w:tc>
        <w:tc>
          <w:tcPr>
            <w:tcW w:w="3239" w:type="dxa"/>
          </w:tcPr>
          <w:p>
            <w:pPr>
              <w:pStyle w:val="TableParagraph"/>
              <w:spacing w:line="247" w:lineRule="exact" w:before="0"/>
              <w:ind w:left="8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NUMBER:</w:t>
            </w:r>
          </w:p>
        </w:tc>
        <w:tc>
          <w:tcPr>
            <w:tcW w:w="1509" w:type="dxa"/>
          </w:tcPr>
          <w:p>
            <w:pPr>
              <w:pStyle w:val="TableParagraph"/>
              <w:spacing w:line="247" w:lineRule="exact" w:before="0"/>
              <w:ind w:left="0"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20.005.05</w:t>
            </w:r>
          </w:p>
        </w:tc>
      </w:tr>
      <w:tr>
        <w:trPr>
          <w:trHeight w:val="375" w:hRule="atLeast"/>
        </w:trPr>
        <w:tc>
          <w:tcPr>
            <w:tcW w:w="1274" w:type="dxa"/>
          </w:tcPr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DIVISION:</w:t>
            </w:r>
          </w:p>
        </w:tc>
        <w:tc>
          <w:tcPr>
            <w:tcW w:w="3985" w:type="dxa"/>
          </w:tcPr>
          <w:p>
            <w:pPr>
              <w:pStyle w:val="TableParagraph"/>
              <w:spacing w:line="233" w:lineRule="exact"/>
              <w:ind w:left="125"/>
              <w:rPr>
                <w:sz w:val="22"/>
              </w:rPr>
            </w:pPr>
            <w:r>
              <w:rPr>
                <w:sz w:val="22"/>
              </w:rPr>
              <w:t>Chief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Office</w:t>
            </w:r>
          </w:p>
        </w:tc>
        <w:tc>
          <w:tcPr>
            <w:tcW w:w="3239" w:type="dxa"/>
          </w:tcPr>
          <w:p>
            <w:pPr>
              <w:pStyle w:val="TableParagraph"/>
              <w:spacing w:line="233" w:lineRule="exact"/>
              <w:ind w:left="821"/>
              <w:rPr>
                <w:b/>
                <w:sz w:val="22"/>
              </w:rPr>
            </w:pPr>
            <w:r>
              <w:rPr>
                <w:b/>
                <w:sz w:val="22"/>
              </w:rPr>
              <w:t>EFFECTIVE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DATE:</w:t>
            </w:r>
          </w:p>
        </w:tc>
        <w:tc>
          <w:tcPr>
            <w:tcW w:w="1509" w:type="dxa"/>
          </w:tcPr>
          <w:p>
            <w:pPr>
              <w:pStyle w:val="TableParagraph"/>
              <w:spacing w:line="233" w:lineRule="exact"/>
              <w:ind w:left="0"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2/01/2019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8652"/>
      </w:tblGrid>
      <w:tr>
        <w:trPr>
          <w:trHeight w:val="1136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ind w:right="4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POLICY </w:t>
            </w:r>
            <w:r>
              <w:rPr>
                <w:b/>
                <w:spacing w:val="-2"/>
                <w:sz w:val="22"/>
                <w:u w:val="single"/>
              </w:rPr>
              <w:t>STATEMENT:</w:t>
            </w:r>
          </w:p>
        </w:tc>
        <w:tc>
          <w:tcPr>
            <w:tcW w:w="8652" w:type="dxa"/>
          </w:tcPr>
          <w:p>
            <w:pPr>
              <w:pStyle w:val="TableParagraph"/>
              <w:spacing w:before="0"/>
              <w:ind w:left="116"/>
              <w:rPr>
                <w:sz w:val="22"/>
              </w:rPr>
            </w:pPr>
            <w:r>
              <w:rPr>
                <w:sz w:val="22"/>
              </w:rPr>
              <w:t>Oregon state government maintains a merit pay system to encourage outstanding 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employees.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monetary increases to employees based on meritorious service, contribution to the mission and goals and organizational accomplishments.</w:t>
            </w:r>
          </w:p>
        </w:tc>
      </w:tr>
      <w:tr>
        <w:trPr>
          <w:trHeight w:val="506" w:hRule="atLeast"/>
        </w:trPr>
        <w:tc>
          <w:tcPr>
            <w:tcW w:w="191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AUTHORITY:</w:t>
            </w:r>
          </w:p>
        </w:tc>
        <w:tc>
          <w:tcPr>
            <w:tcW w:w="8652" w:type="dxa"/>
          </w:tcPr>
          <w:p>
            <w:pPr>
              <w:pStyle w:val="TableParagraph"/>
              <w:spacing w:before="124"/>
              <w:ind w:left="116"/>
              <w:rPr>
                <w:sz w:val="22"/>
              </w:rPr>
            </w:pPr>
            <w:r>
              <w:rPr>
                <w:sz w:val="22"/>
              </w:rPr>
              <w:t>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240.145;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240.235;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240.240;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240.250;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240.430</w:t>
            </w:r>
          </w:p>
        </w:tc>
      </w:tr>
      <w:tr>
        <w:trPr>
          <w:trHeight w:val="758" w:hRule="atLeast"/>
        </w:trPr>
        <w:tc>
          <w:tcPr>
            <w:tcW w:w="191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APPLICABILITY:</w:t>
            </w:r>
          </w:p>
        </w:tc>
        <w:tc>
          <w:tcPr>
            <w:tcW w:w="8652" w:type="dxa"/>
          </w:tcPr>
          <w:p>
            <w:pPr>
              <w:pStyle w:val="TableParagraph"/>
              <w:spacing w:before="124"/>
              <w:ind w:left="116"/>
              <w:rPr>
                <w:sz w:val="22"/>
              </w:rPr>
            </w:pPr>
            <w:r>
              <w:rPr>
                <w:sz w:val="22"/>
              </w:rPr>
              <w:t>Classified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unrepresented,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unclassified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unclassified unrepresented employees</w:t>
            </w:r>
          </w:p>
        </w:tc>
      </w:tr>
      <w:tr>
        <w:trPr>
          <w:trHeight w:val="506" w:hRule="atLeast"/>
        </w:trPr>
        <w:tc>
          <w:tcPr>
            <w:tcW w:w="191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ATTACHMENTS:</w:t>
            </w:r>
          </w:p>
        </w:tc>
        <w:tc>
          <w:tcPr>
            <w:tcW w:w="8652" w:type="dxa"/>
          </w:tcPr>
          <w:p>
            <w:pPr>
              <w:pStyle w:val="TableParagraph"/>
              <w:spacing w:before="124"/>
              <w:ind w:left="116"/>
              <w:rPr>
                <w:sz w:val="22"/>
              </w:rPr>
            </w:pPr>
            <w:r>
              <w:rPr>
                <w:spacing w:val="-4"/>
                <w:sz w:val="22"/>
              </w:rPr>
              <w:t>None</w:t>
            </w:r>
          </w:p>
        </w:tc>
      </w:tr>
      <w:tr>
        <w:trPr>
          <w:trHeight w:val="505" w:hRule="atLeast"/>
        </w:trPr>
        <w:tc>
          <w:tcPr>
            <w:tcW w:w="191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DEFINITIONS:</w:t>
            </w:r>
          </w:p>
        </w:tc>
        <w:tc>
          <w:tcPr>
            <w:tcW w:w="8652" w:type="dxa"/>
          </w:tcPr>
          <w:p>
            <w:pPr>
              <w:pStyle w:val="TableParagraph"/>
              <w:spacing w:before="124"/>
              <w:ind w:left="116"/>
              <w:rPr>
                <w:sz w:val="22"/>
              </w:rPr>
            </w:pPr>
            <w:r>
              <w:rPr>
                <w:sz w:val="22"/>
              </w:rPr>
              <w:t>Also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10.000.01,</w:t>
            </w:r>
            <w:r>
              <w:rPr>
                <w:spacing w:val="-2"/>
                <w:sz w:val="22"/>
              </w:rPr>
              <w:t> Definitions</w:t>
            </w:r>
          </w:p>
        </w:tc>
      </w:tr>
      <w:tr>
        <w:trPr>
          <w:trHeight w:val="374" w:hRule="atLeast"/>
        </w:trPr>
        <w:tc>
          <w:tcPr>
            <w:tcW w:w="1914" w:type="dxa"/>
          </w:tcPr>
          <w:p>
            <w:pPr>
              <w:pStyle w:val="TableParagraph"/>
              <w:spacing w:line="233" w:lineRule="exact" w:before="1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POLICY:</w:t>
            </w:r>
          </w:p>
        </w:tc>
        <w:tc>
          <w:tcPr>
            <w:tcW w:w="865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94" w:after="0"/>
        <w:ind w:left="507" w:right="786" w:hanging="360"/>
        <w:jc w:val="left"/>
        <w:rPr>
          <w:sz w:val="22"/>
        </w:rPr>
      </w:pPr>
      <w:r>
        <w:rPr>
          <w:sz w:val="22"/>
        </w:rPr>
        <w:t>This policy</w:t>
      </w:r>
      <w:r>
        <w:rPr>
          <w:spacing w:val="-2"/>
          <w:sz w:val="22"/>
        </w:rPr>
        <w:t> </w:t>
      </w:r>
      <w:r>
        <w:rPr>
          <w:sz w:val="22"/>
        </w:rPr>
        <w:t>represents</w:t>
      </w:r>
      <w:r>
        <w:rPr>
          <w:spacing w:val="-1"/>
          <w:sz w:val="22"/>
        </w:rPr>
        <w:t> </w:t>
      </w:r>
      <w:r>
        <w:rPr>
          <w:sz w:val="22"/>
        </w:rPr>
        <w:t>the state</w:t>
      </w:r>
      <w:r>
        <w:rPr>
          <w:spacing w:val="-2"/>
          <w:sz w:val="22"/>
        </w:rPr>
        <w:t> </w:t>
      </w:r>
      <w:r>
        <w:rPr>
          <w:sz w:val="22"/>
        </w:rPr>
        <w:t>standard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orderly</w:t>
      </w:r>
      <w:r>
        <w:rPr>
          <w:spacing w:val="-2"/>
          <w:sz w:val="22"/>
        </w:rPr>
        <w:t> </w:t>
      </w:r>
      <w:r>
        <w:rPr>
          <w:sz w:val="22"/>
        </w:rPr>
        <w:t>progression of an</w:t>
      </w:r>
      <w:r>
        <w:rPr>
          <w:spacing w:val="-2"/>
          <w:sz w:val="22"/>
        </w:rPr>
        <w:t> </w:t>
      </w:r>
      <w:r>
        <w:rPr>
          <w:sz w:val="22"/>
        </w:rPr>
        <w:t>employee's pay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 established minimum to the maximum of the salary range based on documented meritorious </w:t>
      </w:r>
      <w:r>
        <w:rPr>
          <w:spacing w:val="-2"/>
          <w:sz w:val="22"/>
        </w:rPr>
        <w:t>performance.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868" w:val="left" w:leader="none"/>
        </w:tabs>
        <w:spacing w:line="240" w:lineRule="auto" w:before="0" w:after="0"/>
        <w:ind w:left="867" w:right="525" w:hanging="361"/>
        <w:jc w:val="left"/>
        <w:rPr>
          <w:sz w:val="22"/>
        </w:rPr>
      </w:pPr>
      <w:r>
        <w:rPr>
          <w:sz w:val="22"/>
        </w:rPr>
        <w:t>Appointing authorities must document merit pay increases (also known as step increases), demonstrating</w:t>
      </w:r>
      <w:r>
        <w:rPr>
          <w:spacing w:val="-5"/>
          <w:sz w:val="22"/>
        </w:rPr>
        <w:t> </w:t>
      </w:r>
      <w:r>
        <w:rPr>
          <w:sz w:val="22"/>
        </w:rPr>
        <w:t>employees’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performance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organizational</w:t>
      </w:r>
      <w:r>
        <w:rPr>
          <w:spacing w:val="-5"/>
          <w:sz w:val="22"/>
        </w:rPr>
        <w:t> </w:t>
      </w:r>
      <w:r>
        <w:rPr>
          <w:sz w:val="22"/>
        </w:rPr>
        <w:t>accomplishments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enter</w:t>
      </w:r>
      <w:r>
        <w:rPr>
          <w:spacing w:val="-4"/>
          <w:sz w:val="22"/>
        </w:rPr>
        <w:t> </w:t>
      </w:r>
      <w:r>
        <w:rPr>
          <w:sz w:val="22"/>
        </w:rPr>
        <w:t>such increases into the state HR information system.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868" w:val="left" w:leader="none"/>
        </w:tabs>
        <w:spacing w:line="240" w:lineRule="auto" w:before="0" w:after="0"/>
        <w:ind w:left="867" w:right="403" w:hanging="361"/>
        <w:jc w:val="left"/>
        <w:rPr>
          <w:sz w:val="22"/>
        </w:rPr>
      </w:pPr>
      <w:r>
        <w:rPr>
          <w:sz w:val="22"/>
        </w:rPr>
        <w:t>Agency</w:t>
      </w:r>
      <w:r>
        <w:rPr>
          <w:spacing w:val="-4"/>
          <w:sz w:val="22"/>
        </w:rPr>
        <w:t> </w:t>
      </w:r>
      <w:r>
        <w:rPr>
          <w:sz w:val="22"/>
        </w:rPr>
        <w:t>heads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merit</w:t>
      </w:r>
      <w:r>
        <w:rPr>
          <w:spacing w:val="-3"/>
          <w:sz w:val="22"/>
        </w:rPr>
        <w:t> </w:t>
      </w:r>
      <w:r>
        <w:rPr>
          <w:sz w:val="22"/>
        </w:rPr>
        <w:t>pay</w:t>
      </w:r>
      <w:r>
        <w:rPr>
          <w:spacing w:val="-3"/>
          <w:sz w:val="22"/>
        </w:rPr>
        <w:t> </w:t>
      </w:r>
      <w:r>
        <w:rPr>
          <w:sz w:val="22"/>
        </w:rPr>
        <w:t>increases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budgeted</w:t>
      </w:r>
      <w:r>
        <w:rPr>
          <w:spacing w:val="-4"/>
          <w:sz w:val="22"/>
        </w:rPr>
        <w:t> </w:t>
      </w:r>
      <w:r>
        <w:rPr>
          <w:sz w:val="22"/>
        </w:rPr>
        <w:t>salary</w:t>
      </w:r>
      <w:r>
        <w:rPr>
          <w:spacing w:val="-3"/>
          <w:sz w:val="22"/>
        </w:rPr>
        <w:t> </w:t>
      </w:r>
      <w:r>
        <w:rPr>
          <w:sz w:val="22"/>
        </w:rPr>
        <w:t>parameters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funding and legislatively approved salary policies.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0" w:after="0"/>
        <w:ind w:left="507" w:right="0" w:hanging="361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Clarification: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868" w:val="left" w:leader="none"/>
        </w:tabs>
        <w:spacing w:line="240" w:lineRule="auto" w:before="0" w:after="0"/>
        <w:ind w:left="867" w:right="291" w:hanging="361"/>
        <w:jc w:val="left"/>
        <w:rPr>
          <w:sz w:val="22"/>
        </w:rPr>
      </w:pPr>
      <w:r>
        <w:rPr>
          <w:sz w:val="22"/>
        </w:rPr>
        <w:t>Salary rates generate from the salary range assigned to each employee’s job under the state’s compensation</w:t>
      </w:r>
      <w:r>
        <w:rPr>
          <w:spacing w:val="-3"/>
          <w:sz w:val="22"/>
        </w:rPr>
        <w:t> </w:t>
      </w:r>
      <w:r>
        <w:rPr>
          <w:sz w:val="22"/>
        </w:rPr>
        <w:t>plan.</w:t>
      </w:r>
      <w:r>
        <w:rPr>
          <w:spacing w:val="40"/>
          <w:sz w:val="22"/>
        </w:rPr>
        <w:t> </w:t>
      </w:r>
      <w:r>
        <w:rPr>
          <w:sz w:val="22"/>
        </w:rPr>
        <w:t>Increases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salaries</w:t>
      </w:r>
      <w:r>
        <w:rPr>
          <w:spacing w:val="-5"/>
          <w:sz w:val="22"/>
        </w:rPr>
        <w:t> </w:t>
      </w:r>
      <w:r>
        <w:rPr>
          <w:sz w:val="22"/>
        </w:rPr>
        <w:t>advance</w:t>
      </w:r>
      <w:r>
        <w:rPr>
          <w:spacing w:val="-3"/>
          <w:sz w:val="22"/>
        </w:rPr>
        <w:t> </w:t>
      </w:r>
      <w:r>
        <w:rPr>
          <w:sz w:val="22"/>
        </w:rPr>
        <w:t>employees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step,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equivalent</w:t>
      </w:r>
      <w:r>
        <w:rPr>
          <w:spacing w:val="-1"/>
          <w:sz w:val="22"/>
        </w:rPr>
        <w:t> </w:t>
      </w:r>
      <w:r>
        <w:rPr>
          <w:sz w:val="22"/>
        </w:rPr>
        <w:t>thereof,</w:t>
      </w:r>
      <w:r>
        <w:rPr>
          <w:spacing w:val="-1"/>
          <w:sz w:val="22"/>
        </w:rPr>
        <w:t> </w:t>
      </w:r>
      <w:r>
        <w:rPr>
          <w:sz w:val="22"/>
        </w:rPr>
        <w:t>in the salary range. Refer to State HR Policy 20.005.10, Pay Practices for increases as a result of an equity adjustment.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68" w:val="left" w:leader="none"/>
        </w:tabs>
        <w:spacing w:line="240" w:lineRule="auto" w:before="0" w:after="0"/>
        <w:ind w:left="867" w:right="525" w:hanging="361"/>
        <w:jc w:val="left"/>
        <w:rPr>
          <w:sz w:val="22"/>
        </w:rPr>
      </w:pPr>
      <w:r>
        <w:rPr>
          <w:sz w:val="22"/>
        </w:rPr>
        <w:t>Generally,</w:t>
      </w:r>
      <w:r>
        <w:rPr>
          <w:spacing w:val="-2"/>
          <w:sz w:val="22"/>
        </w:rPr>
        <w:t> </w:t>
      </w:r>
      <w:r>
        <w:rPr>
          <w:sz w:val="22"/>
        </w:rPr>
        <w:t>eligibility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merit</w:t>
      </w:r>
      <w:r>
        <w:rPr>
          <w:spacing w:val="-4"/>
          <w:sz w:val="22"/>
        </w:rPr>
        <w:t> </w:t>
      </w:r>
      <w:r>
        <w:rPr>
          <w:sz w:val="22"/>
        </w:rPr>
        <w:t>pay</w:t>
      </w:r>
      <w:r>
        <w:rPr>
          <w:spacing w:val="-5"/>
          <w:sz w:val="22"/>
        </w:rPr>
        <w:t> </w:t>
      </w:r>
      <w:r>
        <w:rPr>
          <w:sz w:val="22"/>
        </w:rPr>
        <w:t>increases</w:t>
      </w:r>
      <w:r>
        <w:rPr>
          <w:spacing w:val="-8"/>
          <w:sz w:val="22"/>
        </w:rPr>
        <w:t> </w:t>
      </w:r>
      <w:r>
        <w:rPr>
          <w:sz w:val="22"/>
        </w:rPr>
        <w:t>follows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12 month</w:t>
      </w:r>
      <w:r>
        <w:rPr>
          <w:spacing w:val="-3"/>
          <w:sz w:val="22"/>
        </w:rPr>
        <w:t> </w:t>
      </w:r>
      <w:r>
        <w:rPr>
          <w:sz w:val="22"/>
        </w:rPr>
        <w:t>cycle</w:t>
      </w:r>
      <w:r>
        <w:rPr>
          <w:spacing w:val="-2"/>
          <w:sz w:val="22"/>
        </w:rPr>
        <w:t> </w:t>
      </w:r>
      <w:r>
        <w:rPr>
          <w:sz w:val="22"/>
        </w:rPr>
        <w:t>and,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warranted,</w:t>
      </w:r>
      <w:r>
        <w:rPr>
          <w:spacing w:val="-2"/>
          <w:sz w:val="22"/>
        </w:rPr>
        <w:t> </w:t>
      </w:r>
      <w:r>
        <w:rPr>
          <w:sz w:val="22"/>
        </w:rPr>
        <w:t>employees receive a merit pay increase on their annual salary eligibility date.</w:t>
      </w:r>
      <w:r>
        <w:rPr>
          <w:spacing w:val="40"/>
          <w:sz w:val="22"/>
        </w:rPr>
        <w:t> </w:t>
      </w:r>
      <w:r>
        <w:rPr>
          <w:sz w:val="22"/>
        </w:rPr>
        <w:t>Salary</w:t>
      </w:r>
      <w:r>
        <w:rPr>
          <w:spacing w:val="-2"/>
          <w:sz w:val="22"/>
        </w:rPr>
        <w:t> </w:t>
      </w:r>
      <w:r>
        <w:rPr>
          <w:sz w:val="22"/>
        </w:rPr>
        <w:t>eligibility dates are also discussed in State HR Policy 20.005.10, Pay Practices.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footer="521" w:header="0" w:top="1100" w:bottom="720" w:left="760" w:right="560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pict>
          <v:group style="width:530.65pt;height:52.85pt;mso-position-horizontal-relative:char;mso-position-vertical-relative:line" id="docshapegroup8" coordorigin="0,0" coordsize="10613,1057">
            <v:shape style="position:absolute;left:0;top:0;width:10613;height:1057" id="docshape9" coordorigin="0,0" coordsize="10613,1057" path="m10540,29l10526,29,10526,43,10526,113,10526,298,10526,298,10526,970,43,970,43,298,43,298,43,113,43,43,10526,43,10526,29,43,29,29,29,29,43,29,113,29,298,29,298,29,970,29,984,43,984,10526,984,10540,984,10540,970,10540,298,10540,298,10540,113,10540,43,10540,29xm10612,1013l10612,1013,10612,970,10612,298,10612,298,10612,113,10612,43,10569,43,10569,14,10569,0,10569,0,10526,0,43,0,0,0,0,0,0,14,0,43,0,113,0,298,0,298,0,970,14,970,14,298,14,298,14,113,14,43,14,14,43,14,10526,14,10555,14,10555,43,10555,113,10555,298,10555,298,10555,970,10569,970,10569,970,10555,970,10555,999,10526,999,43,999,14,999,14,970,0,970,0,999,0,1013,14,1013,43,1013,43,1056,10526,1056,10569,1056,10612,1056,10612,1056,10612,1013xe" filled="true" fillcolor="#000000" stroked="false">
              <v:path arrowok="t"/>
              <v:fill type="solid"/>
            </v:shape>
            <v:shape style="position:absolute;left:4693;top:113;width:1209;height:180" type="#_x0000_t202" id="docshape10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  <w:u w:val="single"/>
                      </w:rPr>
                      <w:t>State</w:t>
                    </w:r>
                    <w:r>
                      <w:rPr>
                        <w:b/>
                        <w:spacing w:val="-4"/>
                        <w:sz w:val="16"/>
                        <w:u w:val="single"/>
                      </w:rPr>
                      <w:t> </w:t>
                    </w:r>
                    <w:r>
                      <w:rPr>
                        <w:b/>
                        <w:sz w:val="16"/>
                        <w:u w:val="single"/>
                      </w:rPr>
                      <w:t>HR</w:t>
                    </w:r>
                    <w:r>
                      <w:rPr>
                        <w:b/>
                        <w:spacing w:val="-2"/>
                        <w:sz w:val="16"/>
                        <w:u w:val="single"/>
                      </w:rPr>
                      <w:t> Policy</w:t>
                    </w:r>
                  </w:p>
                </w:txbxContent>
              </v:textbox>
              <w10:wrap type="none"/>
            </v:shape>
            <v:shape style="position:absolute;left:182;top:311;width:1841;height:247" type="#_x0000_t202" id="docshape11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Merit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Pay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System</w:t>
                    </w:r>
                  </w:p>
                </w:txbxContent>
              </v:textbox>
              <w10:wrap type="none"/>
            </v:shape>
            <v:shape style="position:absolute;left:8824;top:311;width:1002;height:247" type="#_x0000_t202" id="docshape1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20.005.05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1"/>
          <w:numId w:val="1"/>
        </w:numPr>
        <w:tabs>
          <w:tab w:pos="868" w:val="left" w:leader="none"/>
        </w:tabs>
        <w:spacing w:line="240" w:lineRule="auto" w:before="94" w:after="0"/>
        <w:ind w:left="867" w:right="170" w:hanging="361"/>
        <w:jc w:val="left"/>
        <w:rPr>
          <w:sz w:val="22"/>
        </w:rPr>
      </w:pPr>
      <w:r>
        <w:rPr>
          <w:sz w:val="22"/>
        </w:rPr>
        <w:t>An appointing authority may grant a one-step special merit increase, which is an unscheduled increase for exceptional individual performance or other valid reasons.</w:t>
      </w:r>
      <w:r>
        <w:rPr>
          <w:spacing w:val="40"/>
          <w:sz w:val="22"/>
        </w:rPr>
        <w:t> </w:t>
      </w:r>
      <w:r>
        <w:rPr>
          <w:sz w:val="22"/>
        </w:rPr>
        <w:t>A special merit increase shall not exceed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top</w:t>
      </w:r>
      <w:r>
        <w:rPr>
          <w:spacing w:val="-2"/>
          <w:sz w:val="22"/>
        </w:rPr>
        <w:t> </w:t>
      </w:r>
      <w:r>
        <w:rPr>
          <w:sz w:val="22"/>
        </w:rPr>
        <w:t>step</w:t>
      </w:r>
      <w:r>
        <w:rPr>
          <w:spacing w:val="-4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employee’s</w:t>
      </w:r>
      <w:r>
        <w:rPr>
          <w:spacing w:val="-1"/>
          <w:sz w:val="22"/>
        </w:rPr>
        <w:t> </w:t>
      </w:r>
      <w:r>
        <w:rPr>
          <w:sz w:val="22"/>
        </w:rPr>
        <w:t>salary</w:t>
      </w:r>
      <w:r>
        <w:rPr>
          <w:spacing w:val="-3"/>
          <w:sz w:val="22"/>
        </w:rPr>
        <w:t> </w:t>
      </w:r>
      <w:r>
        <w:rPr>
          <w:sz w:val="22"/>
        </w:rPr>
        <w:t>range.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employee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receive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one special merit increase in a two-year period unless the employee changes agency or position.</w:t>
      </w:r>
      <w:r>
        <w:rPr>
          <w:spacing w:val="40"/>
          <w:sz w:val="22"/>
        </w:rPr>
        <w:t> </w:t>
      </w:r>
      <w:r>
        <w:rPr>
          <w:sz w:val="22"/>
        </w:rPr>
        <w:t>A special merit increase normally does not affect the employee's eligibility for a six month or annual merit increase.</w:t>
      </w:r>
    </w:p>
    <w:p>
      <w:pPr>
        <w:pStyle w:val="BodyText"/>
      </w:pPr>
    </w:p>
    <w:p>
      <w:pPr>
        <w:pStyle w:val="BodyText"/>
        <w:ind w:left="1227" w:right="174" w:hanging="360"/>
      </w:pPr>
      <w:r>
        <w:rPr/>
        <w:t>(A) An agency must report to the CHRO when granting special merit increases. The report must include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employee’s</w:t>
      </w:r>
      <w:r>
        <w:rPr>
          <w:spacing w:val="-2"/>
        </w:rPr>
        <w:t> </w:t>
      </w:r>
      <w:r>
        <w:rPr/>
        <w:t>name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number,</w:t>
      </w:r>
      <w:r>
        <w:rPr>
          <w:spacing w:val="-4"/>
        </w:rPr>
        <w:t> </w:t>
      </w:r>
      <w:r>
        <w:rPr/>
        <w:t>classification,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title,</w:t>
      </w:r>
      <w:r>
        <w:rPr>
          <w:spacing w:val="-4"/>
        </w:rPr>
        <w:t> </w:t>
      </w:r>
      <w:r>
        <w:rPr/>
        <w:t>salary</w:t>
      </w:r>
      <w:r>
        <w:rPr>
          <w:spacing w:val="-4"/>
        </w:rPr>
        <w:t> </w:t>
      </w:r>
      <w:r>
        <w:rPr/>
        <w:t>eligibility</w:t>
      </w:r>
      <w:r>
        <w:rPr>
          <w:spacing w:val="-5"/>
        </w:rPr>
        <w:t> </w:t>
      </w:r>
      <w:r>
        <w:rPr/>
        <w:t>date, any prior special merit increases awarded to the employee and a statement of justification. Multiple employees’ special merit increases may appear in the same report to the CHRO.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868" w:val="left" w:leader="none"/>
        </w:tabs>
        <w:spacing w:line="240" w:lineRule="auto" w:before="0" w:after="0"/>
        <w:ind w:left="867" w:right="0" w:hanging="361"/>
        <w:jc w:val="left"/>
        <w:rPr>
          <w:sz w:val="22"/>
        </w:rPr>
      </w:pPr>
      <w:r>
        <w:rPr>
          <w:sz w:val="22"/>
        </w:rPr>
        <w:t>Leave</w:t>
      </w:r>
      <w:r>
        <w:rPr>
          <w:spacing w:val="-5"/>
          <w:sz w:val="22"/>
        </w:rPr>
        <w:t> </w:t>
      </w:r>
      <w:r>
        <w:rPr>
          <w:sz w:val="22"/>
        </w:rPr>
        <w:t>without</w:t>
      </w:r>
      <w:r>
        <w:rPr>
          <w:spacing w:val="-4"/>
          <w:sz w:val="22"/>
        </w:rPr>
        <w:t> </w:t>
      </w:r>
      <w:r>
        <w:rPr>
          <w:sz w:val="22"/>
        </w:rPr>
        <w:t>pay</w:t>
      </w:r>
      <w:r>
        <w:rPr>
          <w:spacing w:val="-7"/>
          <w:sz w:val="22"/>
        </w:rPr>
        <w:t> </w:t>
      </w:r>
      <w:r>
        <w:rPr>
          <w:sz w:val="22"/>
        </w:rPr>
        <w:t>resulting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job-incurred</w:t>
      </w:r>
      <w:r>
        <w:rPr>
          <w:spacing w:val="-7"/>
          <w:sz w:val="22"/>
        </w:rPr>
        <w:t> </w:t>
      </w: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z w:val="22"/>
        </w:rPr>
        <w:t>loss,</w:t>
      </w:r>
      <w:r>
        <w:rPr>
          <w:spacing w:val="-6"/>
          <w:sz w:val="22"/>
        </w:rPr>
        <w:t> </w:t>
      </w:r>
      <w:r>
        <w:rPr>
          <w:sz w:val="22"/>
        </w:rPr>
        <w:t>military</w:t>
      </w:r>
      <w:r>
        <w:rPr>
          <w:spacing w:val="-6"/>
          <w:sz w:val="22"/>
        </w:rPr>
        <w:t> </w:t>
      </w:r>
      <w:r>
        <w:rPr>
          <w:sz w:val="22"/>
        </w:rPr>
        <w:t>leave</w:t>
      </w:r>
      <w:r>
        <w:rPr>
          <w:spacing w:val="-5"/>
          <w:sz w:val="22"/>
        </w:rPr>
        <w:t> </w:t>
      </w:r>
      <w:r>
        <w:rPr>
          <w:sz w:val="22"/>
        </w:rPr>
        <w:t>covered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State</w:t>
      </w:r>
      <w:r>
        <w:rPr>
          <w:spacing w:val="-5"/>
          <w:sz w:val="22"/>
        </w:rPr>
        <w:t> </w:t>
      </w:r>
      <w:r>
        <w:rPr>
          <w:sz w:val="22"/>
        </w:rPr>
        <w:t>HR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Policy</w:t>
      </w:r>
    </w:p>
    <w:p>
      <w:pPr>
        <w:pStyle w:val="BodyText"/>
        <w:spacing w:before="1"/>
        <w:ind w:left="867" w:right="174"/>
      </w:pPr>
      <w:r>
        <w:rPr/>
        <w:t>60.000.25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qualifying</w:t>
      </w:r>
      <w:r>
        <w:rPr>
          <w:spacing w:val="-2"/>
        </w:rPr>
        <w:t> </w:t>
      </w:r>
      <w:r>
        <w:rPr/>
        <w:t>family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medical</w:t>
      </w:r>
      <w:r>
        <w:rPr>
          <w:spacing w:val="-3"/>
        </w:rPr>
        <w:t> </w:t>
      </w:r>
      <w:r>
        <w:rPr/>
        <w:t>leave</w:t>
      </w:r>
      <w:r>
        <w:rPr>
          <w:spacing w:val="-2"/>
        </w:rPr>
        <w:t> </w:t>
      </w:r>
      <w:r>
        <w:rPr/>
        <w:t>covered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State</w:t>
      </w:r>
      <w:r>
        <w:rPr>
          <w:spacing w:val="-1"/>
        </w:rPr>
        <w:t> </w:t>
      </w:r>
      <w:r>
        <w:rPr/>
        <w:t>HR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/>
        <w:t>60.000.15,</w:t>
      </w:r>
      <w:r>
        <w:rPr>
          <w:spacing w:val="-3"/>
        </w:rPr>
        <w:t> </w:t>
      </w:r>
      <w:r>
        <w:rPr/>
        <w:t>does not affect an employee's salary eligibility date.</w:t>
      </w:r>
    </w:p>
    <w:sectPr>
      <w:pgSz w:w="12240" w:h="15840"/>
      <w:pgMar w:header="0" w:footer="521" w:top="760" w:bottom="720" w:left="7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360001pt;margin-top:754.959473pt;width:81.95pt;height:13.1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Policy:</w:t>
                </w:r>
                <w:r>
                  <w:rPr>
                    <w:b/>
                    <w:spacing w:val="-7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20.005.05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90.329987pt;margin-top:754.959473pt;width:30.1pt;height:13.15pt;mso-position-horizontal-relative:page;mso-position-vertical-relative:page;z-index:-15812608" type="#_x0000_t202" id="docshape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sz w:val="20"/>
                  </w:rPr>
                  <w:t>1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of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pacing w:val="-10"/>
                    <w:sz w:val="20"/>
                  </w:rPr>
                  <w:fldChar w:fldCharType="begin"/>
                </w:r>
                <w:r>
                  <w:rPr>
                    <w:b/>
                    <w:spacing w:val="-10"/>
                    <w:sz w:val="20"/>
                  </w:rPr>
                  <w:instrText> NUMPAGES </w:instrText>
                </w:r>
                <w:r>
                  <w:rPr>
                    <w:b/>
                    <w:spacing w:val="-10"/>
                    <w:sz w:val="20"/>
                  </w:rPr>
                  <w:fldChar w:fldCharType="separate"/>
                </w:r>
                <w:r>
                  <w:rPr>
                    <w:b/>
                    <w:spacing w:val="-10"/>
                    <w:sz w:val="20"/>
                  </w:rPr>
                  <w:t>2</w:t>
                </w:r>
                <w:r>
                  <w:rPr>
                    <w:b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83.179993pt;margin-top:754.959473pt;width:94.2pt;height:13.15pt;mso-position-horizontal-relative:page;mso-position-vertical-relative:page;z-index:-15812096" type="#_x0000_t202" id="docshape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Effective:</w:t>
                </w:r>
                <w:r>
                  <w:rPr>
                    <w:b/>
                    <w:spacing w:val="-1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2/01/2019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507" w:hanging="39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67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right="498"/>
      <w:jc w:val="right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7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2"/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>Procedural Rules</Sub_x002d_Category>
    <Description0 xmlns="e93a1355-dcbd-4ee6-87a8-44e09f1824ca">20-005-05-Merit-Pay-System-2023-Draft </Description0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295D09B7-2909-4ABB-A853-1FAD64A24F53}"/>
</file>

<file path=customXml/itemProps2.xml><?xml version="1.0" encoding="utf-8"?>
<ds:datastoreItem xmlns:ds="http://schemas.openxmlformats.org/officeDocument/2006/customXml" ds:itemID="{D9B2FCDF-B02D-4245-9F01-F2BF4B095058}"/>
</file>

<file path=customXml/itemProps3.xml><?xml version="1.0" encoding="utf-8"?>
<ds:datastoreItem xmlns:ds="http://schemas.openxmlformats.org/officeDocument/2006/customXml" ds:itemID="{EE18CD9B-CC14-4F0B-BC97-15A9C237A8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20-005-05-Merit-Pay-System-2023-Draft </dc:title>
  <dc:creator>State of Oregon DAS</dc:creator>
  <dcterms:created xsi:type="dcterms:W3CDTF">2023-05-15T18:34:45Z</dcterms:created>
  <dcterms:modified xsi:type="dcterms:W3CDTF">2023-05-15T18:34:45Z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0x01010006B76FC3C857F240A9C2E4F15016144F</vt:lpwstr>
  </property>
</Properties>
</file>