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22" w:type="dxa"/>
        <w:tblInd w:w="-9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40"/>
        <w:gridCol w:w="2940"/>
        <w:gridCol w:w="2940"/>
        <w:gridCol w:w="2940"/>
        <w:gridCol w:w="2940"/>
        <w:gridCol w:w="222"/>
      </w:tblGrid>
      <w:tr w:rsidR="00B1166F" w:rsidRPr="00B1166F" w14:paraId="64536BCD" w14:textId="77777777" w:rsidTr="008B3D2C">
        <w:trPr>
          <w:gridAfter w:val="1"/>
          <w:wAfter w:w="222" w:type="dxa"/>
          <w:trHeight w:val="42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A8CAA"/>
            <w:vAlign w:val="center"/>
            <w:hideMark/>
          </w:tcPr>
          <w:p w14:paraId="688AACEA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Qualifying Condition/Reason for Leave</w:t>
            </w:r>
          </w:p>
        </w:tc>
        <w:tc>
          <w:tcPr>
            <w:tcW w:w="1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579B"/>
            <w:noWrap/>
            <w:vAlign w:val="center"/>
            <w:hideMark/>
          </w:tcPr>
          <w:p w14:paraId="2B187529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Separate Leave Options Available</w:t>
            </w:r>
          </w:p>
        </w:tc>
      </w:tr>
      <w:tr w:rsidR="00B1166F" w:rsidRPr="00B1166F" w14:paraId="1C2BE8BA" w14:textId="77777777" w:rsidTr="005F6420">
        <w:trPr>
          <w:gridAfter w:val="1"/>
          <w:wAfter w:w="222" w:type="dxa"/>
          <w:trHeight w:val="344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A8CAA"/>
            <w:vAlign w:val="center"/>
            <w:hideMark/>
          </w:tcPr>
          <w:p w14:paraId="6F5B835E" w14:textId="77777777" w:rsidR="00B1166F" w:rsidRPr="00B1166F" w:rsidRDefault="00B1166F" w:rsidP="00B1166F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noWrap/>
            <w:vAlign w:val="center"/>
            <w:hideMark/>
          </w:tcPr>
          <w:p w14:paraId="24CB9C92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FMLA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noWrap/>
            <w:vAlign w:val="center"/>
            <w:hideMark/>
          </w:tcPr>
          <w:p w14:paraId="3242446A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OFLA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noWrap/>
            <w:vAlign w:val="center"/>
            <w:hideMark/>
          </w:tcPr>
          <w:p w14:paraId="334752E7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Paid Leave Oregon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noWrap/>
            <w:vAlign w:val="center"/>
            <w:hideMark/>
          </w:tcPr>
          <w:p w14:paraId="52442AD4" w14:textId="77777777" w:rsidR="00B1166F" w:rsidRPr="00B1166F" w:rsidRDefault="00B1166F" w:rsidP="00B1166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</w:pPr>
            <w:r w:rsidRPr="00B1166F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Short Term Disability</w:t>
            </w:r>
          </w:p>
        </w:tc>
      </w:tr>
      <w:tr w:rsidR="00B1166F" w:rsidRPr="00B1166F" w14:paraId="6417BDD9" w14:textId="77777777" w:rsidTr="005F6420">
        <w:trPr>
          <w:gridAfter w:val="1"/>
          <w:wAfter w:w="222" w:type="dxa"/>
          <w:trHeight w:val="87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5B8BD5A6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To tend to the employee's own serious health condition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3658" w14:textId="436F9D32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D2C" w14:textId="20F1EDDC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  <w:r w:rsidR="00A6072C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43D" w14:textId="2BEE5C89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4ED" w14:textId="7260D0C1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13 weeks for each event as determined by insurance provider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B1166F" w:rsidRPr="00B1166F" w14:paraId="5649C13E" w14:textId="77777777" w:rsidTr="005F6420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7DDB214B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To tend to the serious health condition of the employee's: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36ED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D0587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E74F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B7E51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1166F" w:rsidRPr="00B1166F" w14:paraId="1D1B5F8E" w14:textId="77777777" w:rsidTr="00E45116">
        <w:trPr>
          <w:gridAfter w:val="1"/>
          <w:wAfter w:w="222" w:type="dxa"/>
          <w:trHeight w:val="232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CDD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Spouse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637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Up to 12 weeks in a 52-week period. </w:t>
            </w: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br/>
              <w:t>*Husband or wife as defined under Oregon state law and a same sex spouse of an employee if they are married in a state that legally recognizes same sex marriage.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673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AF61" w14:textId="04CC482B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  <w:p w14:paraId="77A65E53" w14:textId="073565EA" w:rsidR="00E45116" w:rsidRPr="00D45F19" w:rsidRDefault="00E45116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*Spouse or domestic partner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C6E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5E957490" w14:textId="77777777" w:rsidTr="00E45116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8B06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Parent or in loco parentis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080" w14:textId="209E2A9A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  <w:p w14:paraId="743B471C" w14:textId="3F135B5E" w:rsidR="00A6072C" w:rsidRPr="00D45F19" w:rsidRDefault="00A6072C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*Biological or adoptive mother or father, or an individual who stood in loco parentis when the employee was a child.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E686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E75" w14:textId="2D6C3378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94F6523" w14:textId="1CE1D2E8" w:rsidR="00E45116" w:rsidRPr="00D45F19" w:rsidRDefault="00E45116" w:rsidP="00B1166F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theme="minorHAnsi"/>
                <w:kern w:val="0"/>
                <w14:ligatures w14:val="none"/>
              </w:rPr>
              <w:t>*B</w:t>
            </w:r>
            <w:r w:rsidRPr="00D45F19">
              <w:rPr>
                <w:rFonts w:ascii="Roboto" w:hAnsi="Roboto" w:cstheme="minorHAnsi"/>
              </w:rPr>
              <w:t>iological, adoptive, stepparent, foster parent, or legal guardian, the parent of your spouse or domestic partner, or your parent’s spouse or domestic partner.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F456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3CACFE5D" w14:textId="77777777" w:rsidTr="00E45116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2C1" w14:textId="43296103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Child</w:t>
            </w:r>
            <w:r w:rsidR="00E45116"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7295" w14:textId="026C1125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  <w:p w14:paraId="38FBB2CE" w14:textId="457993E5" w:rsidR="00A6072C" w:rsidRPr="00D45F19" w:rsidRDefault="00A6072C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*</w:t>
            </w:r>
            <w:r w:rsidR="002C3DC7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17 years of age or younger, or incapable of self-care. </w:t>
            </w: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Biological, adopted, foster or stepchild, a legal ward, or a child of an employee standing in loco parentis.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79F" w14:textId="63FDF229" w:rsidR="00B1166F" w:rsidRPr="00D45F19" w:rsidRDefault="002C3DC7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53B" w14:textId="055C5D30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theme="minorHAnsi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theme="minorHAnsi"/>
                <w:kern w:val="0"/>
                <w14:ligatures w14:val="none"/>
              </w:rPr>
              <w:t>.</w:t>
            </w:r>
          </w:p>
          <w:p w14:paraId="561F0FFC" w14:textId="42283E10" w:rsidR="00E45116" w:rsidRPr="00D45F19" w:rsidRDefault="00E45116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theme="minorHAnsi"/>
                <w:kern w:val="0"/>
                <w14:ligatures w14:val="none"/>
              </w:rPr>
              <w:t>*B</w:t>
            </w:r>
            <w:r w:rsidRPr="00D45F19">
              <w:rPr>
                <w:rFonts w:ascii="Roboto" w:hAnsi="Roboto" w:cstheme="minorHAnsi"/>
              </w:rPr>
              <w:t>iological, adopted, stepchild, or foster child, your spouse or domestic partner’s child, or the child’s spouse or domestic partner.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C7E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2C3DC7" w:rsidRPr="00B1166F" w14:paraId="02AAD1A5" w14:textId="77777777" w:rsidTr="002C3DC7">
        <w:trPr>
          <w:gridAfter w:val="1"/>
          <w:wAfter w:w="222" w:type="dxa"/>
          <w:trHeight w:val="43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513EF4E9" w14:textId="2BF77D02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lastRenderedPageBreak/>
              <w:t>Qualifying Condition/Reason for Leave</w:t>
            </w: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579B"/>
            <w:vAlign w:val="center"/>
          </w:tcPr>
          <w:p w14:paraId="4299003C" w14:textId="78994009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Separate Leave Options Available</w:t>
            </w:r>
          </w:p>
        </w:tc>
      </w:tr>
      <w:tr w:rsidR="002C3DC7" w:rsidRPr="00B1166F" w14:paraId="1858D4A0" w14:textId="77777777" w:rsidTr="002C3DC7">
        <w:trPr>
          <w:gridAfter w:val="1"/>
          <w:wAfter w:w="222" w:type="dxa"/>
          <w:trHeight w:val="435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6F323FC5" w14:textId="77777777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75C568C4" w14:textId="79273282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FMLA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31511F50" w14:textId="6FC99026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OFLA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102B2080" w14:textId="22ABE370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Paid Leave Oregon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618A7935" w14:textId="37410D3D" w:rsidR="002C3DC7" w:rsidRPr="002C3DC7" w:rsidRDefault="002C3DC7" w:rsidP="002C3DC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2C3DC7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Short Term Disability</w:t>
            </w:r>
          </w:p>
        </w:tc>
      </w:tr>
      <w:tr w:rsidR="00B1166F" w:rsidRPr="00B1166F" w14:paraId="0C4AAA23" w14:textId="77777777" w:rsidTr="00E45116">
        <w:trPr>
          <w:gridAfter w:val="1"/>
          <w:wAfter w:w="222" w:type="dxa"/>
          <w:trHeight w:val="87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FF4A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Sibling or stepsibling, or sibling or stepsibling's spouse/domestic partner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A674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18C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6CA" w14:textId="3028EF2C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F8E8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783DC86D" w14:textId="77777777" w:rsidTr="00E45116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9A1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Grandparent or grandparent's spouse/domestic partner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3FB5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1C3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DBF7" w14:textId="0908C2E1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82C1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7A783C31" w14:textId="77777777" w:rsidTr="00E45116">
        <w:trPr>
          <w:gridAfter w:val="1"/>
          <w:wAfter w:w="222" w:type="dxa"/>
          <w:trHeight w:val="14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524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  <w:t>Any individual related by blood or affinity whose close association with a covered individual is the equivalent of a family relationship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68D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50F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63C" w14:textId="0212063A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A52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36E6D720" w14:textId="77777777" w:rsidTr="008B3D2C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71AA0AAD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Parental Leave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7D3" w14:textId="3E1E359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F8F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CD9" w14:textId="25CA1E55" w:rsidR="00195924" w:rsidRPr="00D45F19" w:rsidRDefault="00B1166F" w:rsidP="00D45F1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</w:t>
            </w:r>
            <w:r w:rsidR="009F019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.</w:t>
            </w:r>
            <w:r w:rsidR="00D45F19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Plus,</w:t>
            </w:r>
            <w:r w:rsidR="00195924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an additional 2 weeks for pregnancy related conditions.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9E4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B1166F" w:rsidRPr="00B1166F" w14:paraId="0ADD39EA" w14:textId="77777777" w:rsidTr="008B3D2C">
        <w:trPr>
          <w:gridAfter w:val="1"/>
          <w:wAfter w:w="222" w:type="dxa"/>
          <w:trHeight w:val="174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50D7C269" w14:textId="6A9C899E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Leave</w:t>
            </w:r>
            <w:r w:rsidR="00A6072C"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to Care for a Child</w:t>
            </w: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(</w:t>
            </w:r>
            <w:r w:rsidR="002C3DC7"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Non-serious. </w:t>
            </w: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17 years of age or younger, or incapable of </w:t>
            </w:r>
            <w:r w:rsidR="00A6072C"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self-care</w:t>
            </w: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) (</w:t>
            </w:r>
            <w:r w:rsidR="00A6072C"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Sick Child Leave</w:t>
            </w: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38B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677" w14:textId="634E90DA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period. Includes all illnesses, injuries, or conditions that require home care.</w:t>
            </w:r>
            <w:r w:rsidR="00A6072C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Includes absence to care for a child whose school or childcare provider has been closed in conjunction with a statewide public health emergency declared by a public health official.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B34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3ED5" w14:textId="77777777" w:rsidR="00B1166F" w:rsidRPr="00D45F19" w:rsidRDefault="00B1166F" w:rsidP="00B1166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5F6420" w14:paraId="4401033C" w14:textId="77777777" w:rsidTr="008B3D2C">
        <w:trPr>
          <w:gridAfter w:val="1"/>
          <w:wAfter w:w="222" w:type="dxa"/>
          <w:trHeight w:val="660"/>
        </w:trPr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3E3C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C34A6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CAEA1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43DAA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E813F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</w:tr>
      <w:tr w:rsidR="008B3D2C" w:rsidRPr="005F6420" w14:paraId="1CF76986" w14:textId="77777777" w:rsidTr="008B3D2C">
        <w:trPr>
          <w:gridAfter w:val="1"/>
          <w:wAfter w:w="222" w:type="dxa"/>
          <w:trHeight w:val="660"/>
        </w:trPr>
        <w:tc>
          <w:tcPr>
            <w:tcW w:w="2940" w:type="dxa"/>
            <w:tcBorders>
              <w:top w:val="nil"/>
            </w:tcBorders>
            <w:shd w:val="clear" w:color="auto" w:fill="auto"/>
            <w:vAlign w:val="center"/>
          </w:tcPr>
          <w:p w14:paraId="7DF81E97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</w:tcBorders>
            <w:shd w:val="clear" w:color="auto" w:fill="auto"/>
            <w:vAlign w:val="center"/>
          </w:tcPr>
          <w:p w14:paraId="32BA8EDA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</w:tcBorders>
            <w:shd w:val="clear" w:color="auto" w:fill="auto"/>
            <w:vAlign w:val="center"/>
          </w:tcPr>
          <w:p w14:paraId="3A070EBF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</w:tcBorders>
            <w:shd w:val="clear" w:color="auto" w:fill="auto"/>
            <w:vAlign w:val="center"/>
          </w:tcPr>
          <w:p w14:paraId="3BCD8F27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</w:tcBorders>
            <w:shd w:val="clear" w:color="auto" w:fill="auto"/>
            <w:vAlign w:val="center"/>
          </w:tcPr>
          <w:p w14:paraId="57F995DF" w14:textId="77777777" w:rsidR="008B3D2C" w:rsidRPr="00B1166F" w:rsidRDefault="008B3D2C" w:rsidP="009F019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</w:p>
        </w:tc>
      </w:tr>
      <w:tr w:rsidR="008B3D2C" w:rsidRPr="005F6420" w14:paraId="0A499592" w14:textId="77777777" w:rsidTr="008B3D2C">
        <w:trPr>
          <w:gridAfter w:val="1"/>
          <w:wAfter w:w="222" w:type="dxa"/>
          <w:trHeight w:val="615"/>
        </w:trPr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433F6B38" w14:textId="087304CC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Qualifying Condition/Reason for Leave</w:t>
            </w:r>
          </w:p>
        </w:tc>
        <w:tc>
          <w:tcPr>
            <w:tcW w:w="117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579B"/>
            <w:vAlign w:val="center"/>
          </w:tcPr>
          <w:p w14:paraId="3F06FDF6" w14:textId="4F257C96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Separate Leave Options Available</w:t>
            </w:r>
          </w:p>
        </w:tc>
      </w:tr>
      <w:tr w:rsidR="008B3D2C" w:rsidRPr="005F6420" w14:paraId="0A856577" w14:textId="77777777" w:rsidTr="008B3D2C">
        <w:trPr>
          <w:gridAfter w:val="1"/>
          <w:wAfter w:w="222" w:type="dxa"/>
          <w:trHeight w:val="570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244DF5A1" w14:textId="77777777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5DD4E333" w14:textId="67C28C1B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FMLA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4B1D00D4" w14:textId="2D85E324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OFLA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32B5B509" w14:textId="0467B52C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Paid Leave Oregon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7FEEE2F2" w14:textId="199E0B57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Short Term Disability</w:t>
            </w:r>
          </w:p>
        </w:tc>
      </w:tr>
      <w:tr w:rsidR="008B3D2C" w:rsidRPr="005F6420" w14:paraId="7D44B108" w14:textId="77777777" w:rsidTr="005F6420">
        <w:trPr>
          <w:gridAfter w:val="1"/>
          <w:wAfter w:w="222" w:type="dxa"/>
          <w:trHeight w:val="17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</w:tcPr>
          <w:p w14:paraId="00E1712B" w14:textId="14E1269C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Pre</w:t>
            </w: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:shd w:val="clear" w:color="auto" w:fill="F37221"/>
                <w14:ligatures w14:val="none"/>
              </w:rPr>
              <w:t>gnancy Related Disability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2090" w14:textId="10C5810E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1905" w14:textId="1CFD5DAC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Up to 12 weeks in a 52-week period.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988D" w14:textId="14D592C8" w:rsidR="008B3D2C" w:rsidRPr="00D45F19" w:rsidRDefault="00195924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3ADB" w14:textId="1094885B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13 weeks for each event as determined by insurance provider.</w:t>
            </w:r>
          </w:p>
        </w:tc>
      </w:tr>
      <w:tr w:rsidR="008B3D2C" w:rsidRPr="00B1166F" w14:paraId="4B601E56" w14:textId="77777777" w:rsidTr="00A63AB6">
        <w:trPr>
          <w:gridAfter w:val="1"/>
          <w:wAfter w:w="222" w:type="dxa"/>
          <w:trHeight w:val="23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51B65ADA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Military Family Leave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F76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BC8" w14:textId="0601DD54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Up to 14 working days per deployment related to the deployment of an employee’s spouse or same-gender domestic partner. The 14 days is included in the 12-week </w:t>
            </w: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br/>
              <w:t xml:space="preserve">OFLA entitlement per 52-week period.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04B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78E2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B1166F" w14:paraId="15BAC088" w14:textId="77777777" w:rsidTr="00A63AB6">
        <w:trPr>
          <w:gridAfter w:val="1"/>
          <w:wAfter w:w="222" w:type="dxa"/>
          <w:trHeight w:val="14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4178B7D6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Bereavement Leave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A7A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D14" w14:textId="642D00EA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hAnsi="Roboto" w:cstheme="minorHAnsi"/>
              </w:rPr>
              <w:t>Up</w:t>
            </w:r>
            <w:r w:rsidRPr="00D45F19">
              <w:rPr>
                <w:rFonts w:ascii="Roboto" w:hAnsi="Roboto" w:cstheme="minorHAnsi"/>
                <w:spacing w:val="-4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to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two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weeks</w:t>
            </w:r>
            <w:r w:rsidRPr="00D45F19">
              <w:rPr>
                <w:rFonts w:ascii="Roboto" w:hAnsi="Roboto" w:cstheme="minorHAnsi"/>
                <w:spacing w:val="-1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per</w:t>
            </w:r>
            <w:r w:rsidRPr="00D45F19">
              <w:rPr>
                <w:rFonts w:ascii="Roboto" w:hAnsi="Roboto" w:cstheme="minorHAnsi"/>
                <w:spacing w:val="-3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family</w:t>
            </w:r>
            <w:r w:rsidRPr="00D45F19">
              <w:rPr>
                <w:rFonts w:ascii="Roboto" w:hAnsi="Roboto" w:cstheme="minorHAnsi"/>
                <w:spacing w:val="-4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member, for a maximum of four weeks total,</w:t>
            </w:r>
            <w:r w:rsidRPr="00D45F19">
              <w:rPr>
                <w:rFonts w:ascii="Roboto" w:hAnsi="Roboto" w:cstheme="minorHAnsi"/>
                <w:spacing w:val="-3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in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a</w:t>
            </w:r>
            <w:r w:rsidRPr="00D45F19">
              <w:rPr>
                <w:rFonts w:ascii="Roboto" w:hAnsi="Roboto" w:cstheme="minorHAnsi"/>
                <w:spacing w:val="-4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52-week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period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(to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be</w:t>
            </w:r>
            <w:r w:rsidRPr="00D45F19">
              <w:rPr>
                <w:rFonts w:ascii="Roboto" w:hAnsi="Roboto" w:cstheme="minorHAnsi"/>
                <w:spacing w:val="-4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taken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within</w:t>
            </w:r>
            <w:r w:rsidRPr="00D45F19">
              <w:rPr>
                <w:rFonts w:ascii="Roboto" w:hAnsi="Roboto" w:cstheme="minorHAnsi"/>
                <w:spacing w:val="-1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60 days of notification of the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death) to</w:t>
            </w:r>
            <w:r w:rsidRPr="00D45F19">
              <w:rPr>
                <w:rFonts w:ascii="Roboto" w:hAnsi="Roboto" w:cstheme="minorHAnsi"/>
                <w:spacing w:val="-2"/>
              </w:rPr>
              <w:t xml:space="preserve"> </w:t>
            </w:r>
            <w:r w:rsidRPr="00D45F19">
              <w:rPr>
                <w:rFonts w:ascii="Roboto" w:hAnsi="Roboto" w:cstheme="minorHAnsi"/>
              </w:rPr>
              <w:t>deal with the death of a family member by: attending the funeral or alternative to a funeral, making arrangements necessitated by the death, o</w:t>
            </w:r>
            <w:r w:rsidRPr="00D45F19">
              <w:rPr>
                <w:rFonts w:ascii="Roboto" w:hAnsi="Roboto" w:cstheme="minorHAnsi"/>
                <w:spacing w:val="-2"/>
              </w:rPr>
              <w:t>r grieving.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B2D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F0E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B1166F" w14:paraId="316CBCD4" w14:textId="77777777" w:rsidTr="00A63AB6">
        <w:trPr>
          <w:gridAfter w:val="1"/>
          <w:wAfter w:w="222" w:type="dxa"/>
          <w:trHeight w:val="580"/>
        </w:trPr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638F70AD" w14:textId="05828E9E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  <w:bookmarkStart w:id="0" w:name="_Hlk165472325"/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lastRenderedPageBreak/>
              <w:t>Qualifying Condition/Reason for Leave</w:t>
            </w:r>
          </w:p>
        </w:tc>
        <w:tc>
          <w:tcPr>
            <w:tcW w:w="117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579B"/>
            <w:vAlign w:val="center"/>
          </w:tcPr>
          <w:p w14:paraId="621DEF28" w14:textId="34C028D6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Separate Leave Options Available</w:t>
            </w:r>
          </w:p>
        </w:tc>
      </w:tr>
      <w:tr w:rsidR="008B3D2C" w:rsidRPr="00B1166F" w14:paraId="5466316B" w14:textId="77777777" w:rsidTr="008B3D2C">
        <w:trPr>
          <w:gridAfter w:val="1"/>
          <w:wAfter w:w="222" w:type="dxa"/>
          <w:trHeight w:val="580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3EE94911" w14:textId="77777777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16A4D42A" w14:textId="2926A56E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FMLA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4C6C1192" w14:textId="4AA533D8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OFLA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68EADE5C" w14:textId="3EC2B8DD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Paid Leave Oregon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156164D6" w14:textId="4F3AD67E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Short Term Disability</w:t>
            </w:r>
          </w:p>
        </w:tc>
      </w:tr>
      <w:bookmarkEnd w:id="0"/>
      <w:tr w:rsidR="008B3D2C" w:rsidRPr="00B1166F" w14:paraId="1E2EC124" w14:textId="77777777" w:rsidTr="005F6420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3878F015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Qualifying Exigency Leave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24D5" w14:textId="1A0A55B9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 to attend to qualifying exigencies when the employee’s spouse, parent, son or daughter is on active duty or called into active duty in support of a contingency of operation for the military.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2A0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D9F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C39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B1166F" w14:paraId="6D0E7B5A" w14:textId="77777777" w:rsidTr="005F6420">
        <w:trPr>
          <w:gridAfter w:val="1"/>
          <w:wAfter w:w="222" w:type="dxa"/>
          <w:trHeight w:val="580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  <w:hideMark/>
          </w:tcPr>
          <w:p w14:paraId="02B4546E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Military Caregiver Leave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A4F9" w14:textId="0C174395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theme="minorHAnsi"/>
                <w:color w:val="000000"/>
                <w:kern w:val="0"/>
                <w14:ligatures w14:val="none"/>
              </w:rPr>
              <w:t xml:space="preserve">Up to 26 weeks in a 52-week period </w:t>
            </w:r>
            <w:r w:rsidRPr="00D45F19">
              <w:rPr>
                <w:rFonts w:ascii="Roboto" w:hAnsi="Roboto" w:cstheme="minorHAnsi"/>
              </w:rPr>
              <w:t>to care for the employee’s spouse, parent, son or daughter of any age, or next of kin who is a covered service member with a serious injury or illness incurred in the line of duty on active duty, or a veteran discharged under other than dishonorable conditions within five years of receiving medical treatment, recuperation or therapy for a serious injury or illness.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A53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1EB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DF3" w14:textId="77777777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5F6420" w14:paraId="6FA9B99D" w14:textId="77777777" w:rsidTr="005F6420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</w:tcPr>
          <w:p w14:paraId="3B05BD95" w14:textId="3CD67884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Foster or Adoption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CEF3" w14:textId="20A4153C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 (included in Parental Leave).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35FD" w14:textId="54B4BD5C" w:rsidR="008B3D2C" w:rsidRPr="00D45F19" w:rsidRDefault="00ED5DE6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1277" w14:textId="252F4ADD" w:rsidR="008B3D2C" w:rsidRPr="00D45F19" w:rsidRDefault="005979F2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Up to </w:t>
            </w:r>
            <w:r w:rsidR="00ED5DE6"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12 weeks in a 52-week period to </w:t>
            </w:r>
            <w:r w:rsidR="00ED5DE6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complete necessary activities before adopting a child or having a foster care child join your home.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13C1" w14:textId="3EF2F161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5F6420" w14:paraId="7931A439" w14:textId="77777777" w:rsidTr="008B3D2C">
        <w:trPr>
          <w:gridAfter w:val="1"/>
          <w:wAfter w:w="222" w:type="dxa"/>
          <w:trHeight w:val="52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A8CAA"/>
            <w:vAlign w:val="center"/>
          </w:tcPr>
          <w:p w14:paraId="0B1424DA" w14:textId="186948F8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lastRenderedPageBreak/>
              <w:t>Qualifying Condition/Reason for Leave</w:t>
            </w: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579B"/>
            <w:vAlign w:val="center"/>
          </w:tcPr>
          <w:p w14:paraId="1565B085" w14:textId="69CC76EF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Separate Leave Options Available</w:t>
            </w:r>
          </w:p>
        </w:tc>
      </w:tr>
      <w:tr w:rsidR="008B3D2C" w:rsidRPr="005F6420" w14:paraId="423E17B6" w14:textId="77777777" w:rsidTr="008B3D2C">
        <w:trPr>
          <w:gridAfter w:val="1"/>
          <w:wAfter w:w="222" w:type="dxa"/>
          <w:trHeight w:val="525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</w:tcPr>
          <w:p w14:paraId="47F92597" w14:textId="77777777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3C23E626" w14:textId="72C76F75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FMLA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484126E8" w14:textId="680BD543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OFLA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067E69BA" w14:textId="29014BA0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Paid Leave Oregon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18B5D"/>
            <w:vAlign w:val="center"/>
          </w:tcPr>
          <w:p w14:paraId="3AAAB713" w14:textId="31BEFC43" w:rsidR="008B3D2C" w:rsidRPr="008B3D2C" w:rsidRDefault="008B3D2C" w:rsidP="008B3D2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14:ligatures w14:val="none"/>
              </w:rPr>
            </w:pPr>
            <w:r w:rsidRPr="008B3D2C">
              <w:rPr>
                <w:rFonts w:ascii="Montserrat" w:eastAsia="Times New Roman" w:hAnsi="Montserrat" w:cs="Calibri"/>
                <w:b/>
                <w:bCs/>
                <w:color w:val="FFFFFF"/>
                <w:kern w:val="0"/>
                <w14:ligatures w14:val="none"/>
              </w:rPr>
              <w:t>Short Term Disability</w:t>
            </w:r>
          </w:p>
        </w:tc>
      </w:tr>
      <w:tr w:rsidR="008B3D2C" w:rsidRPr="005F6420" w14:paraId="01763F11" w14:textId="77777777" w:rsidTr="005F6420">
        <w:trPr>
          <w:gridAfter w:val="1"/>
          <w:wAfter w:w="222" w:type="dxa"/>
          <w:trHeight w:val="5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221"/>
            <w:vAlign w:val="center"/>
          </w:tcPr>
          <w:p w14:paraId="0109EFDD" w14:textId="493F7DB4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b/>
                <w:bCs/>
                <w:color w:val="FFFFFF" w:themeColor="background1"/>
                <w:kern w:val="0"/>
                <w14:ligatures w14:val="none"/>
              </w:rPr>
              <w:t>Safe Leave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9EB0" w14:textId="2B04F004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  <w:r w:rsidR="00F97DAD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– unless it is for medical appointments.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C8FD" w14:textId="4A90AB35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  <w:r w:rsidR="00F97DAD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 xml:space="preserve"> – unless the reason is a qualifying condition.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6B73" w14:textId="22F3B141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Up to 12 weeks in a 52-week period to care for yourself or your child if you or your child are survivors of sexual assault, domestic violence, harassment, bias crimes, or stalking.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F6F0" w14:textId="043A6109" w:rsidR="008B3D2C" w:rsidRPr="00D45F19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</w:pPr>
            <w:r w:rsidRPr="00D45F19">
              <w:rPr>
                <w:rFonts w:ascii="Roboto" w:eastAsia="Times New Roman" w:hAnsi="Roboto" w:cs="Calibri"/>
                <w:color w:val="000000"/>
                <w:kern w:val="0"/>
                <w14:ligatures w14:val="none"/>
              </w:rPr>
              <w:t>N/A</w:t>
            </w:r>
          </w:p>
        </w:tc>
      </w:tr>
      <w:tr w:rsidR="008B3D2C" w:rsidRPr="00B1166F" w14:paraId="702869BE" w14:textId="77777777" w:rsidTr="00E45116">
        <w:trPr>
          <w:trHeight w:val="290"/>
        </w:trPr>
        <w:tc>
          <w:tcPr>
            <w:tcW w:w="14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1253B7" w14:textId="77777777" w:rsidR="008B3D2C" w:rsidRPr="00B1166F" w:rsidRDefault="008B3D2C" w:rsidP="008B3D2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4E72" w14:textId="77777777" w:rsidR="008B3D2C" w:rsidRPr="00B1166F" w:rsidRDefault="008B3D2C" w:rsidP="008B3D2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5F69BC" w14:textId="77777777" w:rsidR="00B903E1" w:rsidRPr="005F6420" w:rsidRDefault="00B903E1">
      <w:pPr>
        <w:rPr>
          <w:rFonts w:ascii="Roboto" w:hAnsi="Roboto"/>
        </w:rPr>
      </w:pPr>
    </w:p>
    <w:sectPr w:rsidR="00B903E1" w:rsidRPr="005F6420" w:rsidSect="00E7417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A8F27" w14:textId="77777777" w:rsidR="00E7417E" w:rsidRDefault="00E7417E" w:rsidP="00B1166F">
      <w:pPr>
        <w:spacing w:after="0" w:line="240" w:lineRule="auto"/>
      </w:pPr>
      <w:r>
        <w:separator/>
      </w:r>
    </w:p>
  </w:endnote>
  <w:endnote w:type="continuationSeparator" w:id="0">
    <w:p w14:paraId="58F9A49B" w14:textId="77777777" w:rsidR="00E7417E" w:rsidRDefault="00E7417E" w:rsidP="00B1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9DD6" w14:textId="5E5302DD" w:rsidR="00B1166F" w:rsidRDefault="00B1166F">
    <w:pPr>
      <w:pStyle w:val="Footer"/>
    </w:pPr>
    <w:r w:rsidRPr="00B1166F">
      <w:t>If the condition qualifies under</w:t>
    </w:r>
    <w:r w:rsidR="002C3DC7">
      <w:t xml:space="preserve"> FMLA and another leave type</w:t>
    </w:r>
    <w:r w:rsidRPr="00B1166F">
      <w:t xml:space="preserve">, the leaves run concurrently. </w:t>
    </w:r>
    <w:r w:rsidR="002C3DC7">
      <w:t xml:space="preserve">OFLA and Paid Leave Oregon </w:t>
    </w:r>
    <w:r w:rsidR="0088480E">
      <w:t>do not</w:t>
    </w:r>
    <w:r w:rsidR="002C3DC7">
      <w:t xml:space="preserve"> run concurrently. </w:t>
    </w:r>
    <w:r w:rsidRPr="00B1166F">
      <w:t>There are different eligibility requirements for each leave type. Please refer to State HR Policies 60.000.15, 60.000.03, and 60.000.04 for additional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DAD08" w14:textId="77777777" w:rsidR="00E7417E" w:rsidRDefault="00E7417E" w:rsidP="00B1166F">
      <w:pPr>
        <w:spacing w:after="0" w:line="240" w:lineRule="auto"/>
      </w:pPr>
      <w:r>
        <w:separator/>
      </w:r>
    </w:p>
  </w:footnote>
  <w:footnote w:type="continuationSeparator" w:id="0">
    <w:p w14:paraId="5E068E66" w14:textId="77777777" w:rsidR="00E7417E" w:rsidRDefault="00E7417E" w:rsidP="00B1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91ACF" w14:textId="35A006BC" w:rsidR="0088480E" w:rsidRPr="005F6420" w:rsidRDefault="00B1166F" w:rsidP="00B1166F">
    <w:pPr>
      <w:pStyle w:val="Header"/>
      <w:jc w:val="right"/>
      <w:rPr>
        <w:rFonts w:ascii="Montserrat" w:hAnsi="Montserrat"/>
      </w:rPr>
    </w:pPr>
    <w:r w:rsidRPr="00B1166F">
      <w:rPr>
        <w:rFonts w:ascii="Montserrat" w:eastAsia="Times New Roman" w:hAnsi="Montserrat" w:cs="Calibri"/>
        <w:b/>
        <w:bCs/>
        <w:color w:val="000000"/>
        <w:kern w:val="0"/>
        <w14:ligatures w14:val="none"/>
      </w:rPr>
      <w:t xml:space="preserve">Leave Options </w:t>
    </w:r>
    <w:r w:rsidRPr="00B1166F">
      <w:rPr>
        <w:rFonts w:ascii="Montserrat" w:eastAsia="Times New Roman" w:hAnsi="Montserrat" w:cs="Calibri"/>
        <w:color w:val="000000"/>
        <w:kern w:val="0"/>
        <w14:ligatures w14:val="none"/>
      </w:rPr>
      <w:t xml:space="preserve">(for qualifying conditions) </w:t>
    </w:r>
    <w:r w:rsidR="00C11D68">
      <w:rPr>
        <w:rFonts w:ascii="Montserrat" w:eastAsia="Times New Roman" w:hAnsi="Montserrat" w:cs="Calibri"/>
        <w:color w:val="000000"/>
        <w:kern w:val="0"/>
        <w14:ligatures w14:val="none"/>
      </w:rPr>
      <w:t>-</w:t>
    </w:r>
    <w:r w:rsidR="00A63AB6">
      <w:rPr>
        <w:rFonts w:ascii="Montserrat" w:eastAsia="Times New Roman" w:hAnsi="Montserrat" w:cs="Calibri"/>
        <w:color w:val="000000"/>
        <w:kern w:val="0"/>
        <w14:ligatures w14:val="none"/>
      </w:rPr>
      <w:t xml:space="preserve"> </w:t>
    </w:r>
    <w:r w:rsidR="0088480E">
      <w:rPr>
        <w:rFonts w:ascii="Montserrat" w:eastAsia="Times New Roman" w:hAnsi="Montserrat" w:cs="Calibri"/>
        <w:color w:val="000000"/>
        <w:kern w:val="0"/>
        <w14:ligatures w14:val="none"/>
      </w:rPr>
      <w:t xml:space="preserve">Effective </w:t>
    </w:r>
    <w:r w:rsidR="00ED5DE6">
      <w:rPr>
        <w:rFonts w:ascii="Montserrat" w:eastAsia="Times New Roman" w:hAnsi="Montserrat" w:cs="Calibri"/>
        <w:color w:val="000000"/>
        <w:kern w:val="0"/>
        <w14:ligatures w14:val="none"/>
      </w:rPr>
      <w:t>January 1</w:t>
    </w:r>
    <w:r w:rsidR="0088480E">
      <w:rPr>
        <w:rFonts w:ascii="Montserrat" w:eastAsia="Times New Roman" w:hAnsi="Montserrat" w:cs="Calibri"/>
        <w:color w:val="000000"/>
        <w:kern w:val="0"/>
        <w14:ligatures w14:val="none"/>
      </w:rPr>
      <w:t>, 202</w:t>
    </w:r>
    <w:r w:rsidR="00ED5DE6">
      <w:rPr>
        <w:rFonts w:ascii="Montserrat" w:eastAsia="Times New Roman" w:hAnsi="Montserrat" w:cs="Calibri"/>
        <w:color w:val="000000"/>
        <w:kern w:val="0"/>
        <w14:ligatures w14:val="none"/>
      </w:rPr>
      <w:t>5</w:t>
    </w:r>
  </w:p>
  <w:p w14:paraId="4BEE0CC4" w14:textId="77777777" w:rsidR="00B1166F" w:rsidRPr="005F6420" w:rsidRDefault="00B1166F">
    <w:pPr>
      <w:pStyle w:val="Header"/>
      <w:rPr>
        <w:rFonts w:ascii="Montserrat" w:hAnsi="Montserr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6C"/>
    <w:rsid w:val="000052A1"/>
    <w:rsid w:val="000515D4"/>
    <w:rsid w:val="00067E8B"/>
    <w:rsid w:val="00080FDD"/>
    <w:rsid w:val="000C5C5E"/>
    <w:rsid w:val="001811F8"/>
    <w:rsid w:val="00195924"/>
    <w:rsid w:val="0023607E"/>
    <w:rsid w:val="002C3DC7"/>
    <w:rsid w:val="00387FB9"/>
    <w:rsid w:val="00393D9A"/>
    <w:rsid w:val="003F4BE8"/>
    <w:rsid w:val="00410539"/>
    <w:rsid w:val="004E5B44"/>
    <w:rsid w:val="00533824"/>
    <w:rsid w:val="005979F2"/>
    <w:rsid w:val="005A698A"/>
    <w:rsid w:val="005D49C6"/>
    <w:rsid w:val="005F0B07"/>
    <w:rsid w:val="005F6420"/>
    <w:rsid w:val="006219D0"/>
    <w:rsid w:val="00626217"/>
    <w:rsid w:val="00626272"/>
    <w:rsid w:val="006447B1"/>
    <w:rsid w:val="006475EF"/>
    <w:rsid w:val="00656461"/>
    <w:rsid w:val="007732A9"/>
    <w:rsid w:val="0088480E"/>
    <w:rsid w:val="008A5636"/>
    <w:rsid w:val="008B3D2C"/>
    <w:rsid w:val="008E3D5E"/>
    <w:rsid w:val="009F0196"/>
    <w:rsid w:val="00A01DC2"/>
    <w:rsid w:val="00A13E07"/>
    <w:rsid w:val="00A3644C"/>
    <w:rsid w:val="00A6072C"/>
    <w:rsid w:val="00A63AB6"/>
    <w:rsid w:val="00AE1201"/>
    <w:rsid w:val="00B01760"/>
    <w:rsid w:val="00B1166F"/>
    <w:rsid w:val="00B803C1"/>
    <w:rsid w:val="00B84ED1"/>
    <w:rsid w:val="00B903E1"/>
    <w:rsid w:val="00BC5E07"/>
    <w:rsid w:val="00C11D68"/>
    <w:rsid w:val="00D45F19"/>
    <w:rsid w:val="00DE02C6"/>
    <w:rsid w:val="00E4016C"/>
    <w:rsid w:val="00E45116"/>
    <w:rsid w:val="00E54116"/>
    <w:rsid w:val="00E7417E"/>
    <w:rsid w:val="00E84758"/>
    <w:rsid w:val="00EA4A20"/>
    <w:rsid w:val="00ED5DE6"/>
    <w:rsid w:val="00F03F95"/>
    <w:rsid w:val="00F83362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ADAD"/>
  <w15:docId w15:val="{B001B368-D147-4A04-B8CC-6638748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66F"/>
  </w:style>
  <w:style w:type="paragraph" w:styleId="Footer">
    <w:name w:val="footer"/>
    <w:basedOn w:val="Normal"/>
    <w:link w:val="FooterChar"/>
    <w:uiPriority w:val="99"/>
    <w:unhideWhenUsed/>
    <w:rsid w:val="00B1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66F"/>
  </w:style>
  <w:style w:type="paragraph" w:styleId="ListParagraph">
    <w:name w:val="List Paragraph"/>
    <w:basedOn w:val="Normal"/>
    <w:uiPriority w:val="34"/>
    <w:qFormat/>
    <w:rsid w:val="00A6072C"/>
    <w:pPr>
      <w:ind w:left="720"/>
      <w:contextualSpacing/>
    </w:pPr>
  </w:style>
  <w:style w:type="paragraph" w:styleId="Revision">
    <w:name w:val="Revision"/>
    <w:hidden/>
    <w:uiPriority w:val="99"/>
    <w:semiHidden/>
    <w:rsid w:val="008848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4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Employee Leave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19A83-BEBA-405B-9D16-FA803B5BF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C242C-69C3-4B28-82AF-F791A0A1C6C3}">
  <ds:schemaRefs>
    <ds:schemaRef ds:uri="http://schemas.microsoft.com/office/2006/metadata/properties"/>
    <ds:schemaRef ds:uri="http://schemas.microsoft.com/office/infopath/2007/PartnerControls"/>
    <ds:schemaRef ds:uri="e93a1355-dcbd-4ee6-87a8-44e09f1824c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2EFF5F-6328-4C5E-879D-F91E9A33D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ULSTAD Ashlie * DAS</dc:creator>
  <cp:keywords/>
  <dc:description/>
  <cp:lastModifiedBy>SORGENFRIE Taylor * DAS</cp:lastModifiedBy>
  <cp:revision>2</cp:revision>
  <dcterms:created xsi:type="dcterms:W3CDTF">2025-01-09T17:11:00Z</dcterms:created>
  <dcterms:modified xsi:type="dcterms:W3CDTF">2025-01-09T17:11:00Z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2024-04-29T23:25:07Z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c641e0de-4708-4983-ab21-f5bace735017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0x01010006B76FC3C857F240A9C2E4F15016144F</vt:lpwstr>
  </property>
</Properties>
</file>