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DF" w:rsidRPr="003356BF" w:rsidRDefault="003413DF" w:rsidP="000B2F9C">
      <w:pPr>
        <w:pStyle w:val="Header"/>
        <w:tabs>
          <w:tab w:val="left" w:pos="5760"/>
        </w:tabs>
        <w:rPr>
          <w:b/>
        </w:rPr>
      </w:pPr>
      <w:bookmarkStart w:id="0" w:name="_GoBack"/>
      <w:bookmarkEnd w:id="0"/>
      <w:r w:rsidRPr="003356BF">
        <w:rPr>
          <w:b/>
        </w:rPr>
        <w:t>Position Number</w:t>
      </w:r>
      <w:r w:rsidR="00B4390B" w:rsidRPr="003356BF">
        <w:rPr>
          <w:b/>
        </w:rPr>
        <w:t>(s)</w:t>
      </w:r>
      <w:r w:rsidR="003356BF" w:rsidRPr="003356BF">
        <w:rPr>
          <w:b/>
        </w:rPr>
        <w:t>:</w:t>
      </w:r>
      <w:r w:rsidR="00B4390B">
        <w:t xml:space="preserve"> </w:t>
      </w:r>
      <w:r w:rsidR="00B2516F">
        <w:t>__________________________</w:t>
      </w:r>
      <w:r w:rsidR="000B2F9C">
        <w:t xml:space="preserve">     </w:t>
      </w:r>
      <w:r w:rsidRPr="003356BF">
        <w:rPr>
          <w:b/>
        </w:rPr>
        <w:t>Classification</w:t>
      </w:r>
      <w:r w:rsidR="008A4EEE" w:rsidRPr="003356BF">
        <w:rPr>
          <w:b/>
        </w:rPr>
        <w:t xml:space="preserve"> T</w:t>
      </w:r>
      <w:r w:rsidRPr="003356BF">
        <w:rPr>
          <w:b/>
        </w:rPr>
        <w:t xml:space="preserve">itle and </w:t>
      </w:r>
      <w:r w:rsidR="008A4EEE" w:rsidRPr="003356BF">
        <w:rPr>
          <w:b/>
        </w:rPr>
        <w:t>N</w:t>
      </w:r>
      <w:r w:rsidRPr="003356BF">
        <w:rPr>
          <w:b/>
        </w:rPr>
        <w:t>umber</w:t>
      </w:r>
      <w:r w:rsidR="003356BF" w:rsidRPr="003356BF">
        <w:rPr>
          <w:b/>
        </w:rPr>
        <w:t>:</w:t>
      </w:r>
      <w:r>
        <w:t xml:space="preserve"> </w:t>
      </w:r>
      <w:r w:rsidR="00B2516F">
        <w:t>__________________</w:t>
      </w:r>
      <w:r w:rsidR="000B2F9C">
        <w:t xml:space="preserve">__________________     </w:t>
      </w:r>
      <w:r w:rsidRPr="003356BF">
        <w:rPr>
          <w:b/>
        </w:rPr>
        <w:t>Employee’s Name</w:t>
      </w:r>
      <w:r w:rsidR="00F172B0" w:rsidRPr="003356BF">
        <w:rPr>
          <w:b/>
        </w:rPr>
        <w:t>(s)</w:t>
      </w:r>
      <w:r w:rsidRPr="003356BF">
        <w:rPr>
          <w:b/>
        </w:rPr>
        <w:t xml:space="preserve"> (or vacant)</w:t>
      </w:r>
      <w:r w:rsidR="003356BF" w:rsidRPr="003356BF">
        <w:rPr>
          <w:b/>
        </w:rPr>
        <w:t>:</w:t>
      </w:r>
      <w:r w:rsidRPr="003356BF">
        <w:rPr>
          <w:b/>
        </w:rPr>
        <w:t xml:space="preserve"> </w:t>
      </w:r>
      <w:r w:rsidR="000B2F9C">
        <w:rPr>
          <w:b/>
        </w:rPr>
        <w:t>_</w:t>
      </w:r>
      <w:r w:rsidR="00B2516F">
        <w:rPr>
          <w:b/>
        </w:rPr>
        <w:t>________________________</w:t>
      </w:r>
      <w:r w:rsidR="000B2F9C">
        <w:rPr>
          <w:b/>
        </w:rPr>
        <w:t>_______</w:t>
      </w:r>
    </w:p>
    <w:p w:rsidR="003413DF" w:rsidRPr="00B4390B" w:rsidRDefault="003413DF" w:rsidP="003413DF">
      <w:pPr>
        <w:pStyle w:val="Header"/>
        <w:rPr>
          <w:sz w:val="16"/>
          <w:szCs w:val="16"/>
        </w:rPr>
      </w:pPr>
    </w:p>
    <w:p w:rsidR="00B2516F" w:rsidRPr="000B2F9C" w:rsidRDefault="003413DF" w:rsidP="00CE060C">
      <w:pPr>
        <w:pStyle w:val="Header"/>
        <w:rPr>
          <w:rFonts w:cstheme="minorHAnsi"/>
        </w:rPr>
      </w:pPr>
      <w:r w:rsidRPr="000B2F9C">
        <w:rPr>
          <w:rFonts w:cstheme="minorHAnsi"/>
          <w:b/>
        </w:rPr>
        <w:t>Instructions:</w:t>
      </w:r>
      <w:r w:rsidRPr="000B2F9C">
        <w:rPr>
          <w:rFonts w:cstheme="minorHAnsi"/>
        </w:rPr>
        <w:t xml:space="preserve"> </w:t>
      </w:r>
      <w:r w:rsidR="00B52384" w:rsidRPr="000B2F9C">
        <w:rPr>
          <w:rFonts w:cstheme="minorHAnsi"/>
        </w:rPr>
        <w:t>R</w:t>
      </w:r>
      <w:r w:rsidRPr="000B2F9C">
        <w:rPr>
          <w:rFonts w:cstheme="minorHAnsi"/>
        </w:rPr>
        <w:t xml:space="preserve">eview the position description to determine which </w:t>
      </w:r>
      <w:r w:rsidR="006B1FA6" w:rsidRPr="000B2F9C">
        <w:rPr>
          <w:rFonts w:cstheme="minorHAnsi"/>
        </w:rPr>
        <w:t xml:space="preserve">service type </w:t>
      </w:r>
      <w:r w:rsidRPr="000B2F9C">
        <w:rPr>
          <w:rFonts w:cstheme="minorHAnsi"/>
        </w:rPr>
        <w:t>the position falls</w:t>
      </w:r>
      <w:r w:rsidR="00B52384" w:rsidRPr="000B2F9C">
        <w:rPr>
          <w:rFonts w:cstheme="minorHAnsi"/>
        </w:rPr>
        <w:t xml:space="preserve"> within</w:t>
      </w:r>
      <w:r w:rsidRPr="000B2F9C">
        <w:rPr>
          <w:rFonts w:cstheme="minorHAnsi"/>
        </w:rPr>
        <w:t xml:space="preserve">.  </w:t>
      </w:r>
      <w:r w:rsidR="00B52384" w:rsidRPr="000B2F9C">
        <w:rPr>
          <w:rFonts w:cstheme="minorHAnsi"/>
        </w:rPr>
        <w:t>After</w:t>
      </w:r>
      <w:r w:rsidRPr="000B2F9C">
        <w:rPr>
          <w:rFonts w:cstheme="minorHAnsi"/>
        </w:rPr>
        <w:t xml:space="preserve"> </w:t>
      </w:r>
      <w:r w:rsidR="00820191" w:rsidRPr="000B2F9C">
        <w:rPr>
          <w:rFonts w:cstheme="minorHAnsi"/>
        </w:rPr>
        <w:t>review,</w:t>
      </w:r>
      <w:r w:rsidRPr="000B2F9C">
        <w:rPr>
          <w:rFonts w:cstheme="minorHAnsi"/>
        </w:rPr>
        <w:t xml:space="preserve"> </w:t>
      </w:r>
      <w:r w:rsidR="00B2516F" w:rsidRPr="000B2F9C">
        <w:rPr>
          <w:rFonts w:cstheme="minorHAnsi"/>
        </w:rPr>
        <w:t xml:space="preserve">1) </w:t>
      </w:r>
      <w:r w:rsidRPr="000B2F9C">
        <w:rPr>
          <w:rFonts w:cstheme="minorHAnsi"/>
        </w:rPr>
        <w:t xml:space="preserve">mark the appropriate </w:t>
      </w:r>
      <w:r w:rsidR="006B1FA6" w:rsidRPr="000B2F9C">
        <w:rPr>
          <w:rFonts w:cstheme="minorHAnsi"/>
        </w:rPr>
        <w:t>service type</w:t>
      </w:r>
      <w:r w:rsidR="00B2516F" w:rsidRPr="000B2F9C">
        <w:rPr>
          <w:rFonts w:cstheme="minorHAnsi"/>
        </w:rPr>
        <w:t xml:space="preserve"> and then 2) the basis for the management designation.  </w:t>
      </w:r>
      <w:r w:rsidRPr="000B2F9C">
        <w:rPr>
          <w:rFonts w:cstheme="minorHAnsi"/>
        </w:rPr>
        <w:t xml:space="preserve">If the position </w:t>
      </w:r>
      <w:r w:rsidR="006B1FA6" w:rsidRPr="000B2F9C">
        <w:rPr>
          <w:rFonts w:cstheme="minorHAnsi"/>
        </w:rPr>
        <w:t xml:space="preserve">fails to meet </w:t>
      </w:r>
      <w:r w:rsidRPr="000B2F9C">
        <w:rPr>
          <w:rFonts w:cstheme="minorHAnsi"/>
        </w:rPr>
        <w:t xml:space="preserve">any of the categories below, the position </w:t>
      </w:r>
      <w:r w:rsidR="003356BF" w:rsidRPr="000B2F9C">
        <w:rPr>
          <w:rFonts w:cstheme="minorHAnsi"/>
        </w:rPr>
        <w:t>should</w:t>
      </w:r>
      <w:r w:rsidR="006B1FA6" w:rsidRPr="000B2F9C">
        <w:rPr>
          <w:rFonts w:cstheme="minorHAnsi"/>
        </w:rPr>
        <w:t xml:space="preserve"> be coded as</w:t>
      </w:r>
      <w:r w:rsidRPr="000B2F9C">
        <w:rPr>
          <w:rFonts w:cstheme="minorHAnsi"/>
        </w:rPr>
        <w:t xml:space="preserve"> </w:t>
      </w:r>
      <w:r w:rsidR="006B1FA6" w:rsidRPr="000B2F9C">
        <w:rPr>
          <w:rFonts w:cstheme="minorHAnsi"/>
        </w:rPr>
        <w:t>CLASSIFIED</w:t>
      </w:r>
      <w:r w:rsidR="00512311">
        <w:rPr>
          <w:rFonts w:cstheme="minorHAnsi"/>
        </w:rPr>
        <w:t xml:space="preserve"> SERVICE</w:t>
      </w:r>
      <w:r w:rsidR="003356BF" w:rsidRPr="000B2F9C">
        <w:rPr>
          <w:rFonts w:cstheme="minorHAnsi"/>
        </w:rPr>
        <w:t>.</w:t>
      </w:r>
    </w:p>
    <w:p w:rsidR="00702220" w:rsidRPr="000B2F9C" w:rsidRDefault="00B2516F" w:rsidP="00D543EB">
      <w:pPr>
        <w:pStyle w:val="Header"/>
        <w:numPr>
          <w:ilvl w:val="0"/>
          <w:numId w:val="3"/>
        </w:numPr>
        <w:rPr>
          <w:b/>
          <w:sz w:val="32"/>
          <w:szCs w:val="32"/>
        </w:rPr>
      </w:pPr>
      <w:r w:rsidRPr="000B2F9C">
        <w:rPr>
          <w:b/>
          <w:sz w:val="32"/>
          <w:szCs w:val="32"/>
        </w:rPr>
        <w:t>Position Service Type</w:t>
      </w:r>
    </w:p>
    <w:p w:rsidR="00702220" w:rsidRDefault="002264EA" w:rsidP="00CE060C">
      <w:pPr>
        <w:pStyle w:val="Header"/>
        <w:numPr>
          <w:ilvl w:val="0"/>
          <w:numId w:val="5"/>
        </w:numPr>
        <w:spacing w:after="120" w:line="240" w:lineRule="exact"/>
        <w:rPr>
          <w:rFonts w:ascii="Arial" w:hAnsi="Arial" w:cs="Arial"/>
          <w:b/>
        </w:rPr>
      </w:pPr>
      <w:r w:rsidRPr="00CC51E4">
        <w:rPr>
          <w:rFonts w:cstheme="minorHAnsi"/>
          <w:b/>
        </w:rPr>
        <w:t>______ Unclassified (Executive) Service:</w:t>
      </w:r>
      <w:r w:rsidRPr="00CC51E4">
        <w:rPr>
          <w:rFonts w:cstheme="minorHAnsi"/>
        </w:rPr>
        <w:t xml:space="preserve"> Defined in </w:t>
      </w:r>
      <w:r w:rsidR="00CC51E4">
        <w:rPr>
          <w:rFonts w:cstheme="minorHAnsi"/>
        </w:rPr>
        <w:t>ORS 240.205</w:t>
      </w:r>
      <w:r w:rsidRPr="00CC51E4">
        <w:rPr>
          <w:rFonts w:cstheme="minorHAnsi"/>
        </w:rPr>
        <w:t xml:space="preserve"> as 1) one executive officer and secretary for a board/commission; 2) department director, agency head, or full-time salaried board/commission member appointed by the Governor</w:t>
      </w:r>
      <w:r w:rsidR="00512311" w:rsidRPr="00CC51E4">
        <w:rPr>
          <w:rFonts w:cstheme="minorHAnsi"/>
        </w:rPr>
        <w:t xml:space="preserve"> and one secretary</w:t>
      </w:r>
      <w:r w:rsidRPr="00CC51E4">
        <w:rPr>
          <w:rFonts w:cstheme="minorHAnsi"/>
        </w:rPr>
        <w:t>; 3) division administrator</w:t>
      </w:r>
      <w:r w:rsidR="00512311" w:rsidRPr="00CC51E4">
        <w:rPr>
          <w:rFonts w:cstheme="minorHAnsi"/>
        </w:rPr>
        <w:t xml:space="preserve"> within a state department appointed by director/agency head with Governor approval and one secretary; 4) principal assistants, deputies, and one secretary (Note: Deputy reports to a director, agency head, or administrator listed in items 1) to 3).</w:t>
      </w:r>
      <w:r w:rsidR="00CC51E4" w:rsidRPr="00CC51E4">
        <w:rPr>
          <w:rFonts w:cstheme="minorHAnsi"/>
        </w:rPr>
        <w:t xml:space="preserve"> Principal assistant is a manager of a major agency organizational component reporting directly to an executive/administrative officer listed in items 1) to 3)</w:t>
      </w:r>
      <w:r w:rsidR="00CC51E4">
        <w:rPr>
          <w:rFonts w:cstheme="minorHAnsi"/>
        </w:rPr>
        <w:t xml:space="preserve"> AND with the approval of the DAS Director; or 5) employees in the Governor’s Office.</w:t>
      </w:r>
    </w:p>
    <w:p w:rsidR="00716671" w:rsidRDefault="00ED0B59" w:rsidP="00716671">
      <w:pPr>
        <w:pStyle w:val="Header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cstheme="minorHAnsi"/>
          <w:b/>
        </w:rPr>
        <w:t>______ Management Service:</w:t>
      </w:r>
      <w:r>
        <w:rPr>
          <w:rFonts w:cstheme="minorHAnsi"/>
        </w:rPr>
        <w:t xml:space="preserve"> </w:t>
      </w:r>
      <w:r w:rsidR="0054441B">
        <w:rPr>
          <w:rFonts w:cstheme="minorHAnsi"/>
        </w:rPr>
        <w:t>Defined in ORS 240.212, p</w:t>
      </w:r>
      <w:r>
        <w:rPr>
          <w:rFonts w:cstheme="minorHAnsi"/>
        </w:rPr>
        <w:t>ositions in state service, not in the exempt or unclassified service, determined to be supervisory, managerial, or confidential. (See below.)</w:t>
      </w:r>
    </w:p>
    <w:p w:rsidR="004E0B60" w:rsidRPr="001E4EE5" w:rsidRDefault="00B52384" w:rsidP="000126A0">
      <w:pPr>
        <w:pStyle w:val="Header"/>
        <w:numPr>
          <w:ilvl w:val="0"/>
          <w:numId w:val="3"/>
        </w:numPr>
      </w:pPr>
      <w:r w:rsidRPr="00D558C8">
        <w:rPr>
          <w:b/>
          <w:sz w:val="32"/>
          <w:szCs w:val="32"/>
        </w:rPr>
        <w:t>Basis for Management Designation</w:t>
      </w:r>
      <w:r w:rsidRPr="00D558C8">
        <w:rPr>
          <w:sz w:val="32"/>
          <w:szCs w:val="32"/>
        </w:rPr>
        <w:t xml:space="preserve">                                                         </w:t>
      </w:r>
      <w:r w:rsidR="001E4EE5">
        <w:tab/>
      </w:r>
      <w:r w:rsidR="001E4EE5">
        <w:tab/>
      </w:r>
      <w:r w:rsidR="001E4EE5">
        <w:tab/>
        <w:t xml:space="preserve">   </w:t>
      </w:r>
      <w:r>
        <w:tab/>
        <w:t xml:space="preserve">                 </w:t>
      </w:r>
      <w:r w:rsidR="001E4EE5">
        <w:t xml:space="preserve">                                                                               </w:t>
      </w:r>
      <w:r w:rsidR="00702220">
        <w:t xml:space="preserve">                                   </w:t>
      </w:r>
    </w:p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6186"/>
        <w:gridCol w:w="6186"/>
        <w:gridCol w:w="6186"/>
      </w:tblGrid>
      <w:tr w:rsidR="00A66375" w:rsidTr="0054441B"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A66375" w:rsidRPr="000126A0" w:rsidRDefault="00A66375" w:rsidP="007166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6A0">
              <w:rPr>
                <w:rFonts w:ascii="Arial" w:hAnsi="Arial" w:cs="Arial"/>
                <w:b/>
                <w:sz w:val="24"/>
                <w:szCs w:val="24"/>
              </w:rPr>
              <w:t>Supervisory ______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A66375" w:rsidRPr="000126A0" w:rsidRDefault="00A66375" w:rsidP="007166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6A0">
              <w:rPr>
                <w:rFonts w:ascii="Arial" w:hAnsi="Arial" w:cs="Arial"/>
                <w:b/>
                <w:sz w:val="24"/>
                <w:szCs w:val="24"/>
              </w:rPr>
              <w:t>Managerial ______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A66375" w:rsidRPr="000126A0" w:rsidRDefault="00A66375" w:rsidP="007166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6A0">
              <w:rPr>
                <w:rFonts w:ascii="Arial" w:hAnsi="Arial" w:cs="Arial"/>
                <w:b/>
                <w:sz w:val="24"/>
                <w:szCs w:val="24"/>
              </w:rPr>
              <w:t>Confidential ______</w:t>
            </w:r>
          </w:p>
        </w:tc>
      </w:tr>
      <w:tr w:rsidR="0054441B" w:rsidTr="00A66375"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41B" w:rsidRPr="0054441B" w:rsidRDefault="0054441B" w:rsidP="0071667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41B" w:rsidRPr="0054441B" w:rsidRDefault="0054441B" w:rsidP="0071667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41B" w:rsidRPr="0054441B" w:rsidRDefault="0054441B" w:rsidP="0071667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66375" w:rsidTr="00A71AD8">
        <w:trPr>
          <w:trHeight w:val="6758"/>
        </w:trPr>
        <w:tc>
          <w:tcPr>
            <w:tcW w:w="6186" w:type="dxa"/>
            <w:tcBorders>
              <w:top w:val="single" w:sz="4" w:space="0" w:color="auto"/>
              <w:bottom w:val="single" w:sz="4" w:space="0" w:color="auto"/>
            </w:tcBorders>
          </w:tcPr>
          <w:p w:rsidR="00A66375" w:rsidRPr="00B4390B" w:rsidRDefault="00A66375" w:rsidP="007166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Supervisory Designation:</w:t>
            </w:r>
          </w:p>
          <w:p w:rsidR="00A66375" w:rsidRPr="00B4390B" w:rsidRDefault="00A66375" w:rsidP="00716671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>A position meets the requirement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4390B">
              <w:rPr>
                <w:rFonts w:ascii="Arial" w:hAnsi="Arial" w:cs="Arial"/>
                <w:sz w:val="20"/>
                <w:szCs w:val="20"/>
              </w:rPr>
              <w:t xml:space="preserve"> of the supervisory designa</w:t>
            </w:r>
            <w:r>
              <w:rPr>
                <w:rFonts w:ascii="Arial" w:hAnsi="Arial" w:cs="Arial"/>
                <w:sz w:val="20"/>
                <w:szCs w:val="20"/>
              </w:rPr>
              <w:t xml:space="preserve">tion </w:t>
            </w:r>
            <w:r w:rsidRPr="00B4390B">
              <w:rPr>
                <w:rFonts w:ascii="Arial" w:hAnsi="Arial" w:cs="Arial"/>
                <w:sz w:val="20"/>
                <w:szCs w:val="20"/>
              </w:rPr>
              <w:t>when:</w:t>
            </w:r>
          </w:p>
          <w:p w:rsidR="00A66375" w:rsidRDefault="00A66375" w:rsidP="00716671">
            <w:pPr>
              <w:ind w:left="606" w:hanging="606"/>
              <w:rPr>
                <w:rFonts w:ascii="Arial" w:hAnsi="Arial" w:cs="Arial"/>
                <w:sz w:val="20"/>
                <w:szCs w:val="20"/>
              </w:rPr>
            </w:pPr>
          </w:p>
          <w:p w:rsidR="00A66375" w:rsidRDefault="00A66375" w:rsidP="007166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 xml:space="preserve">The person in the position has the authority to do </w:t>
            </w:r>
            <w:r w:rsidRPr="00D558C8">
              <w:rPr>
                <w:rFonts w:ascii="Arial" w:hAnsi="Arial" w:cs="Arial"/>
                <w:b/>
                <w:sz w:val="20"/>
                <w:szCs w:val="20"/>
              </w:rPr>
              <w:t>ONE OR MORE</w:t>
            </w:r>
            <w:r w:rsidRPr="00D558C8">
              <w:rPr>
                <w:rFonts w:ascii="Arial" w:hAnsi="Arial" w:cs="Arial"/>
                <w:sz w:val="20"/>
                <w:szCs w:val="20"/>
              </w:rPr>
              <w:t xml:space="preserve"> of the following in the interest of the employer:</w:t>
            </w:r>
          </w:p>
          <w:p w:rsidR="00A66375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375" w:rsidRPr="00E81196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Hire, transfer, suspend, lay off, recall, promote, discharge, assign, reward or discipline other employees, or responsibility to direct them, or to adjust their grievances, or to effectively recommend such action(s).</w:t>
            </w:r>
          </w:p>
          <w:p w:rsidR="00A66375" w:rsidRPr="00B4390B" w:rsidRDefault="00A66375" w:rsidP="00716671">
            <w:pPr>
              <w:ind w:left="606" w:hanging="606"/>
              <w:rPr>
                <w:rFonts w:ascii="Arial" w:hAnsi="Arial" w:cs="Arial"/>
                <w:sz w:val="20"/>
                <w:szCs w:val="20"/>
              </w:rPr>
            </w:pPr>
          </w:p>
          <w:p w:rsidR="00A66375" w:rsidRPr="00B4390B" w:rsidRDefault="00A66375" w:rsidP="0071667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390B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</w:p>
          <w:p w:rsidR="00A66375" w:rsidRDefault="00A66375" w:rsidP="00716671">
            <w:pPr>
              <w:ind w:left="606" w:hanging="606"/>
              <w:rPr>
                <w:rFonts w:ascii="Arial" w:hAnsi="Arial" w:cs="Arial"/>
                <w:sz w:val="20"/>
                <w:szCs w:val="20"/>
              </w:rPr>
            </w:pPr>
          </w:p>
          <w:p w:rsidR="00A66375" w:rsidRPr="000126A0" w:rsidRDefault="00A66375" w:rsidP="007166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126A0">
              <w:rPr>
                <w:rFonts w:ascii="Arial" w:hAnsi="Arial" w:cs="Arial"/>
                <w:sz w:val="20"/>
                <w:szCs w:val="20"/>
              </w:rPr>
              <w:t>The exercise of the authority is not of a merely routine or</w:t>
            </w:r>
          </w:p>
          <w:p w:rsidR="00A66375" w:rsidRPr="000126A0" w:rsidRDefault="00A66375" w:rsidP="0071667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26A0">
              <w:rPr>
                <w:rFonts w:ascii="Arial" w:hAnsi="Arial" w:cs="Arial"/>
                <w:sz w:val="20"/>
                <w:szCs w:val="20"/>
              </w:rPr>
              <w:t>clerical</w:t>
            </w:r>
            <w:proofErr w:type="gramEnd"/>
            <w:r w:rsidRPr="000126A0">
              <w:rPr>
                <w:rFonts w:ascii="Arial" w:hAnsi="Arial" w:cs="Arial"/>
                <w:sz w:val="20"/>
                <w:szCs w:val="20"/>
              </w:rPr>
              <w:t xml:space="preserve"> nature but requires the use of independent judgment.</w:t>
            </w:r>
          </w:p>
          <w:p w:rsidR="00A66375" w:rsidRDefault="00A66375" w:rsidP="00716671">
            <w:pPr>
              <w:ind w:left="1212" w:hanging="60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66375" w:rsidRPr="00B4390B" w:rsidRDefault="00A66375" w:rsidP="00716671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390B">
              <w:rPr>
                <w:rFonts w:ascii="Arial" w:hAnsi="Arial" w:cs="Arial"/>
                <w:b/>
                <w:i/>
                <w:sz w:val="20"/>
                <w:szCs w:val="20"/>
              </w:rPr>
              <w:t>Note:</w:t>
            </w:r>
            <w:r w:rsidRPr="00B4390B">
              <w:rPr>
                <w:rFonts w:ascii="Arial" w:hAnsi="Arial" w:cs="Arial"/>
                <w:i/>
                <w:sz w:val="20"/>
                <w:szCs w:val="20"/>
              </w:rPr>
              <w:t xml:space="preserve"> A nurse, charge nurse or similar nursing position may not be deemed to be supervisory unless that position has traditionally been classified as supervisory. </w:t>
            </w:r>
          </w:p>
          <w:p w:rsidR="00A66375" w:rsidRPr="00B4390B" w:rsidRDefault="00A66375" w:rsidP="00716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auto"/>
              <w:bottom w:val="single" w:sz="4" w:space="0" w:color="auto"/>
            </w:tcBorders>
          </w:tcPr>
          <w:p w:rsidR="00A66375" w:rsidRPr="00B4390B" w:rsidRDefault="00A66375" w:rsidP="007166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Managerial Designation:</w:t>
            </w:r>
          </w:p>
          <w:p w:rsidR="00A66375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>A position meets the requirement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4390B">
              <w:rPr>
                <w:rFonts w:ascii="Arial" w:hAnsi="Arial" w:cs="Arial"/>
                <w:sz w:val="20"/>
                <w:szCs w:val="20"/>
              </w:rPr>
              <w:t xml:space="preserve"> of the managerial designation when the person in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position has the authority to:</w:t>
            </w:r>
          </w:p>
          <w:p w:rsidR="00A66375" w:rsidRPr="00B4390B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375" w:rsidRPr="00D558C8" w:rsidRDefault="00A66375" w:rsidP="007166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Determine the service or product to be produced by the agency, such as:</w:t>
            </w:r>
          </w:p>
          <w:p w:rsidR="00A66375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>Policy</w:t>
            </w:r>
          </w:p>
          <w:p w:rsidR="00A66375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>Implement or discontinue programs</w:t>
            </w:r>
          </w:p>
          <w:p w:rsidR="00A66375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>Institute or change fees</w:t>
            </w:r>
          </w:p>
          <w:p w:rsidR="00A66375" w:rsidRPr="00B4390B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375" w:rsidRPr="00B4390B" w:rsidRDefault="00A66375" w:rsidP="00716671">
            <w:pPr>
              <w:ind w:left="1440" w:firstLine="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390B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  <w:p w:rsidR="00A66375" w:rsidRPr="00B4390B" w:rsidRDefault="00A66375" w:rsidP="00716671">
            <w:pPr>
              <w:ind w:left="1440" w:firstLine="720"/>
              <w:rPr>
                <w:rFonts w:ascii="Arial" w:hAnsi="Arial" w:cs="Arial"/>
                <w:sz w:val="20"/>
                <w:szCs w:val="20"/>
              </w:rPr>
            </w:pPr>
          </w:p>
          <w:p w:rsidR="00A66375" w:rsidRPr="00D558C8" w:rsidRDefault="00A66375" w:rsidP="007166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Determine the terms upon which the service or product to be offered</w:t>
            </w:r>
          </w:p>
          <w:p w:rsidR="00A66375" w:rsidRPr="00B4390B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375" w:rsidRPr="00B4390B" w:rsidRDefault="00A66375" w:rsidP="00716671">
            <w:pPr>
              <w:ind w:left="1440" w:firstLine="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390B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  <w:p w:rsidR="00A66375" w:rsidRPr="00B4390B" w:rsidRDefault="00A66375" w:rsidP="00716671">
            <w:pPr>
              <w:ind w:left="1440" w:firstLine="720"/>
              <w:rPr>
                <w:rFonts w:ascii="Arial" w:hAnsi="Arial" w:cs="Arial"/>
                <w:sz w:val="20"/>
                <w:szCs w:val="20"/>
              </w:rPr>
            </w:pPr>
          </w:p>
          <w:p w:rsidR="00A66375" w:rsidRPr="00D558C8" w:rsidRDefault="00A66375" w:rsidP="007166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Determine who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service or product will serve</w:t>
            </w:r>
          </w:p>
          <w:p w:rsidR="00A66375" w:rsidRPr="00B4390B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375" w:rsidRPr="00B4390B" w:rsidRDefault="00A66375" w:rsidP="00716671">
            <w:pPr>
              <w:ind w:left="1440" w:firstLine="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390B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  <w:p w:rsidR="00A66375" w:rsidRPr="00B4390B" w:rsidRDefault="00A66375" w:rsidP="00716671">
            <w:pPr>
              <w:rPr>
                <w:rFonts w:ascii="Arial" w:hAnsi="Arial" w:cs="Arial"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6375" w:rsidRPr="00D558C8" w:rsidRDefault="00A66375" w:rsidP="007166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 xml:space="preserve">Is a non-supervisory Human Resource employee who advises and makes recommendations to management and supervisory staff or an Appointing Authority </w:t>
            </w:r>
          </w:p>
          <w:p w:rsidR="00A66375" w:rsidRPr="00B4390B" w:rsidRDefault="00A66375" w:rsidP="00716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auto"/>
              <w:bottom w:val="single" w:sz="4" w:space="0" w:color="auto"/>
            </w:tcBorders>
          </w:tcPr>
          <w:p w:rsidR="00A66375" w:rsidRPr="00B4390B" w:rsidRDefault="00A66375" w:rsidP="007166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Confidential Designation:</w:t>
            </w:r>
          </w:p>
          <w:p w:rsidR="00A66375" w:rsidRDefault="00A66375" w:rsidP="00716671">
            <w:pPr>
              <w:rPr>
                <w:rFonts w:ascii="Arial" w:hAnsi="Arial" w:cs="Arial"/>
                <w:sz w:val="16"/>
                <w:szCs w:val="16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>A position meets the requirement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4390B">
              <w:rPr>
                <w:rFonts w:ascii="Arial" w:hAnsi="Arial" w:cs="Arial"/>
                <w:sz w:val="20"/>
                <w:szCs w:val="20"/>
              </w:rPr>
              <w:t xml:space="preserve">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confidential designation when:</w:t>
            </w:r>
          </w:p>
          <w:p w:rsidR="00A66375" w:rsidRPr="00D558C8" w:rsidRDefault="00A66375" w:rsidP="007166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 xml:space="preserve">The person in the position makes decisions in the collective bargaining process </w:t>
            </w:r>
          </w:p>
          <w:p w:rsidR="00A66375" w:rsidRPr="0054441B" w:rsidRDefault="00A66375" w:rsidP="00716671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A66375" w:rsidRPr="00B4390B" w:rsidRDefault="00A66375" w:rsidP="0071667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390B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  <w:p w:rsidR="00A66375" w:rsidRPr="0054441B" w:rsidRDefault="00A66375" w:rsidP="00716671">
            <w:pPr>
              <w:rPr>
                <w:rFonts w:ascii="Arial" w:hAnsi="Arial" w:cs="Arial"/>
                <w:sz w:val="18"/>
                <w:szCs w:val="18"/>
              </w:rPr>
            </w:pPr>
          </w:p>
          <w:p w:rsidR="00A66375" w:rsidRPr="00D558C8" w:rsidRDefault="00A66375" w:rsidP="007166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The person in this position is required to assist a decision maker(s) in the collective bargaining process in areas such as:</w:t>
            </w:r>
          </w:p>
          <w:p w:rsidR="00A66375" w:rsidRPr="00B4390B" w:rsidRDefault="00A66375" w:rsidP="00716671">
            <w:pPr>
              <w:ind w:left="720" w:hanging="720"/>
              <w:rPr>
                <w:rFonts w:ascii="Arial" w:hAnsi="Arial" w:cs="Arial"/>
                <w:sz w:val="16"/>
                <w:szCs w:val="16"/>
              </w:rPr>
            </w:pPr>
          </w:p>
          <w:p w:rsidR="00A66375" w:rsidRPr="00D558C8" w:rsidRDefault="00A66375" w:rsidP="00716671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Research bargaining concepts</w:t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A66375" w:rsidRPr="00D558C8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Develop bargaining concepts</w:t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A66375" w:rsidRPr="00D558C8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Compiles bargaining concepts</w:t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A66375" w:rsidRPr="00D558C8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Prepares materials for bargaining concepts</w:t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A66375" w:rsidRPr="00D558C8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Computes costs to agency’s bargaining concepts</w:t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A66375" w:rsidRPr="00D558C8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Makes recommendations regarding bargaining concepts</w:t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A66375" w:rsidRPr="00D558C8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Takes notes during collective bargaining</w:t>
            </w:r>
          </w:p>
          <w:p w:rsidR="00A66375" w:rsidRPr="00B4390B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A66375" w:rsidRPr="00D558C8" w:rsidRDefault="00A66375" w:rsidP="0071667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58C8">
              <w:rPr>
                <w:rFonts w:ascii="Arial" w:hAnsi="Arial" w:cs="Arial"/>
                <w:sz w:val="20"/>
                <w:szCs w:val="20"/>
              </w:rPr>
              <w:t>Takes minutes and/or types minutes from collective bargaining</w:t>
            </w:r>
          </w:p>
          <w:p w:rsidR="00A66375" w:rsidRPr="00B4390B" w:rsidRDefault="00A66375" w:rsidP="0071667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3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90B">
              <w:rPr>
                <w:rFonts w:ascii="Arial" w:hAnsi="Arial" w:cs="Arial"/>
                <w:b/>
                <w:i/>
                <w:sz w:val="20"/>
                <w:szCs w:val="20"/>
              </w:rPr>
              <w:t>Note:</w:t>
            </w:r>
            <w:r w:rsidRPr="00B4390B">
              <w:rPr>
                <w:rFonts w:ascii="Arial" w:hAnsi="Arial" w:cs="Arial"/>
                <w:i/>
                <w:sz w:val="20"/>
                <w:szCs w:val="20"/>
              </w:rPr>
              <w:t xml:space="preserve"> There are no confidential employees in an agency where the employees are not represented by a union.</w:t>
            </w:r>
          </w:p>
        </w:tc>
      </w:tr>
    </w:tbl>
    <w:p w:rsidR="003413DF" w:rsidRDefault="003413DF" w:rsidP="00A71AD8">
      <w:pPr>
        <w:spacing w:after="0" w:line="240" w:lineRule="auto"/>
        <w:rPr>
          <w:rFonts w:ascii="Arial" w:hAnsi="Arial" w:cs="Arial"/>
        </w:rPr>
      </w:pPr>
    </w:p>
    <w:sectPr w:rsidR="003413DF" w:rsidSect="0054441B">
      <w:headerReference w:type="default" r:id="rId11"/>
      <w:pgSz w:w="20160" w:h="12240" w:orient="landscape" w:code="5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1D" w:rsidRDefault="00516B1D" w:rsidP="00D463EB">
      <w:pPr>
        <w:spacing w:after="0" w:line="240" w:lineRule="auto"/>
      </w:pPr>
      <w:r>
        <w:separator/>
      </w:r>
    </w:p>
  </w:endnote>
  <w:endnote w:type="continuationSeparator" w:id="0">
    <w:p w:rsidR="00516B1D" w:rsidRDefault="00516B1D" w:rsidP="00D4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1D" w:rsidRDefault="00516B1D" w:rsidP="00D463EB">
      <w:pPr>
        <w:spacing w:after="0" w:line="240" w:lineRule="auto"/>
      </w:pPr>
      <w:r>
        <w:separator/>
      </w:r>
    </w:p>
  </w:footnote>
  <w:footnote w:type="continuationSeparator" w:id="0">
    <w:p w:rsidR="00516B1D" w:rsidRDefault="00516B1D" w:rsidP="00D4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56" w:rsidRPr="003356BF" w:rsidRDefault="009F0056" w:rsidP="009F0056">
    <w:pPr>
      <w:pStyle w:val="Header"/>
      <w:jc w:val="center"/>
      <w:rPr>
        <w:rFonts w:ascii="Arial" w:hAnsi="Arial" w:cs="Arial"/>
        <w:b/>
        <w:sz w:val="24"/>
        <w:szCs w:val="24"/>
        <w:u w:val="single"/>
      </w:rPr>
    </w:pPr>
    <w:r w:rsidRPr="003356BF">
      <w:rPr>
        <w:rFonts w:ascii="Arial" w:hAnsi="Arial" w:cs="Arial"/>
        <w:b/>
        <w:sz w:val="24"/>
        <w:szCs w:val="24"/>
        <w:u w:val="single"/>
      </w:rPr>
      <w:t>Management Designation Checklist</w:t>
    </w:r>
  </w:p>
  <w:p w:rsidR="009F0056" w:rsidRDefault="009F0056" w:rsidP="009F00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C0A"/>
    <w:multiLevelType w:val="hybridMultilevel"/>
    <w:tmpl w:val="0DF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81F"/>
    <w:multiLevelType w:val="hybridMultilevel"/>
    <w:tmpl w:val="AC6AC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D61FE"/>
    <w:multiLevelType w:val="hybridMultilevel"/>
    <w:tmpl w:val="BC4C63D6"/>
    <w:lvl w:ilvl="0" w:tplc="E3C20D5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A75FB"/>
    <w:multiLevelType w:val="hybridMultilevel"/>
    <w:tmpl w:val="8B9EB14C"/>
    <w:lvl w:ilvl="0" w:tplc="543E3B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2037F"/>
    <w:multiLevelType w:val="hybridMultilevel"/>
    <w:tmpl w:val="094E3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EB"/>
    <w:rsid w:val="000126A0"/>
    <w:rsid w:val="000733B4"/>
    <w:rsid w:val="000B2F9C"/>
    <w:rsid w:val="000C1009"/>
    <w:rsid w:val="0013289B"/>
    <w:rsid w:val="00142612"/>
    <w:rsid w:val="001B2CBC"/>
    <w:rsid w:val="001E4EE5"/>
    <w:rsid w:val="001F2305"/>
    <w:rsid w:val="002264EA"/>
    <w:rsid w:val="00246684"/>
    <w:rsid w:val="0025557E"/>
    <w:rsid w:val="00263615"/>
    <w:rsid w:val="00296316"/>
    <w:rsid w:val="002B037C"/>
    <w:rsid w:val="00310F1E"/>
    <w:rsid w:val="003356BF"/>
    <w:rsid w:val="003413DF"/>
    <w:rsid w:val="00381AF0"/>
    <w:rsid w:val="003878BC"/>
    <w:rsid w:val="00397D6F"/>
    <w:rsid w:val="003A1B5A"/>
    <w:rsid w:val="003C7C07"/>
    <w:rsid w:val="003D5C18"/>
    <w:rsid w:val="004240E8"/>
    <w:rsid w:val="00465BD4"/>
    <w:rsid w:val="00481A7C"/>
    <w:rsid w:val="004E0B60"/>
    <w:rsid w:val="00512311"/>
    <w:rsid w:val="00516B1D"/>
    <w:rsid w:val="0054441B"/>
    <w:rsid w:val="005D300B"/>
    <w:rsid w:val="00610FC3"/>
    <w:rsid w:val="00617407"/>
    <w:rsid w:val="00662E6B"/>
    <w:rsid w:val="00664266"/>
    <w:rsid w:val="0067554C"/>
    <w:rsid w:val="006B1FA6"/>
    <w:rsid w:val="00702220"/>
    <w:rsid w:val="00703C99"/>
    <w:rsid w:val="00716671"/>
    <w:rsid w:val="00747486"/>
    <w:rsid w:val="007C10DD"/>
    <w:rsid w:val="007D5B3E"/>
    <w:rsid w:val="008148D4"/>
    <w:rsid w:val="00820191"/>
    <w:rsid w:val="008A4EEE"/>
    <w:rsid w:val="008C7CCC"/>
    <w:rsid w:val="00915983"/>
    <w:rsid w:val="009F0056"/>
    <w:rsid w:val="009F7E0F"/>
    <w:rsid w:val="00A16B2D"/>
    <w:rsid w:val="00A64DCC"/>
    <w:rsid w:val="00A66375"/>
    <w:rsid w:val="00A71AD8"/>
    <w:rsid w:val="00AC2222"/>
    <w:rsid w:val="00B103DD"/>
    <w:rsid w:val="00B2516F"/>
    <w:rsid w:val="00B4390B"/>
    <w:rsid w:val="00B52384"/>
    <w:rsid w:val="00C97CD4"/>
    <w:rsid w:val="00CA40EE"/>
    <w:rsid w:val="00CC51E4"/>
    <w:rsid w:val="00CE060C"/>
    <w:rsid w:val="00D463EB"/>
    <w:rsid w:val="00D547EB"/>
    <w:rsid w:val="00D558C8"/>
    <w:rsid w:val="00DF0B5B"/>
    <w:rsid w:val="00E271BE"/>
    <w:rsid w:val="00E65888"/>
    <w:rsid w:val="00E81196"/>
    <w:rsid w:val="00EB23E7"/>
    <w:rsid w:val="00EC30EB"/>
    <w:rsid w:val="00ED0B59"/>
    <w:rsid w:val="00EE24C2"/>
    <w:rsid w:val="00EF7D7C"/>
    <w:rsid w:val="00F00750"/>
    <w:rsid w:val="00F172B0"/>
    <w:rsid w:val="00F8235A"/>
    <w:rsid w:val="00F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D160B16-7310-42AF-A153-D137573A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EB"/>
  </w:style>
  <w:style w:type="paragraph" w:styleId="Footer">
    <w:name w:val="footer"/>
    <w:basedOn w:val="Normal"/>
    <w:link w:val="FooterChar"/>
    <w:uiPriority w:val="99"/>
    <w:unhideWhenUsed/>
    <w:rsid w:val="00D4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3EB"/>
  </w:style>
  <w:style w:type="paragraph" w:styleId="BalloonText">
    <w:name w:val="Balloon Text"/>
    <w:basedOn w:val="Normal"/>
    <w:link w:val="BalloonTextChar"/>
    <w:uiPriority w:val="99"/>
    <w:semiHidden/>
    <w:unhideWhenUsed/>
    <w:rsid w:val="006B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390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0075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5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tools</Tags>
    <Sub_x002d_Category xmlns="e93a1355-dcbd-4ee6-87a8-44e09f1824ca" xsi:nil="true"/>
    <Category xmlns="e93a1355-dcbd-4ee6-87a8-44e09f1824ca">Class/Comp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3967F-A042-4FDC-864F-5D4D41B2928E}"/>
</file>

<file path=customXml/itemProps2.xml><?xml version="1.0" encoding="utf-8"?>
<ds:datastoreItem xmlns:ds="http://schemas.openxmlformats.org/officeDocument/2006/customXml" ds:itemID="{D538EEEE-CBA6-4934-A548-7A46F7E54EB0}"/>
</file>

<file path=customXml/itemProps3.xml><?xml version="1.0" encoding="utf-8"?>
<ds:datastoreItem xmlns:ds="http://schemas.openxmlformats.org/officeDocument/2006/customXml" ds:itemID="{2518A894-6AC3-4354-ACBA-662DF46E2522}"/>
</file>

<file path=customXml/itemProps4.xml><?xml version="1.0" encoding="utf-8"?>
<ds:datastoreItem xmlns:ds="http://schemas.openxmlformats.org/officeDocument/2006/customXml" ds:itemID="{B86E02E8-B4F4-4931-AF0D-219544F982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cforest</dc:creator>
  <cp:keywords/>
  <dc:description/>
  <cp:lastModifiedBy>POOLE Bonnie * CHRO</cp:lastModifiedBy>
  <cp:revision>2</cp:revision>
  <cp:lastPrinted>2011-11-22T00:50:00Z</cp:lastPrinted>
  <dcterms:created xsi:type="dcterms:W3CDTF">2016-01-08T19:52:00Z</dcterms:created>
  <dcterms:modified xsi:type="dcterms:W3CDTF">2016-01-08T19:52:00Z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13400</vt:r8>
  </property>
  <property fmtid="{D5CDD505-2E9C-101B-9397-08002B2CF9AE}" pid="4" name="related document">
    <vt:lpwstr/>
  </property>
  <property fmtid="{D5CDD505-2E9C-101B-9397-08002B2CF9AE}" pid="7" name="Category">
    <vt:lpwstr>Class/Comp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