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9988B" w14:textId="28F39F2E" w:rsidR="00AD52F3" w:rsidRPr="00367DDF" w:rsidRDefault="00AD52F3" w:rsidP="00AD52F3">
      <w:pPr>
        <w:pStyle w:val="Title"/>
        <w:jc w:val="left"/>
        <w:rPr>
          <w:rFonts w:ascii="Montserrat" w:hAnsi="Montserrat"/>
          <w:u w:val="single"/>
        </w:rPr>
      </w:pPr>
      <w:r w:rsidRPr="00367DDF">
        <w:rPr>
          <w:rFonts w:ascii="Montserrat" w:hAnsi="Montserrat"/>
          <w:u w:val="single"/>
        </w:rPr>
        <w:t>QUALIFYING PURPOSES UNDER FMLA</w:t>
      </w:r>
    </w:p>
    <w:p w14:paraId="26A758A5" w14:textId="77777777" w:rsidR="00AD52F3" w:rsidRPr="00367DDF" w:rsidRDefault="00AD52F3">
      <w:pPr>
        <w:rPr>
          <w:rFonts w:ascii="Roboto" w:hAnsi="Roboto"/>
        </w:rPr>
      </w:pPr>
    </w:p>
    <w:tbl>
      <w:tblPr>
        <w:tblW w:w="10080" w:type="dxa"/>
        <w:tblLayout w:type="fixed"/>
        <w:tblCellMar>
          <w:left w:w="115" w:type="dxa"/>
          <w:right w:w="115" w:type="dxa"/>
        </w:tblCellMar>
        <w:tblLook w:val="0600" w:firstRow="0" w:lastRow="0" w:firstColumn="0" w:lastColumn="0" w:noHBand="1" w:noVBand="1"/>
      </w:tblPr>
      <w:tblGrid>
        <w:gridCol w:w="630"/>
        <w:gridCol w:w="9450"/>
      </w:tblGrid>
      <w:tr w:rsidR="00AD52F3" w:rsidRPr="00367DDF" w14:paraId="5B888CDF" w14:textId="77777777" w:rsidTr="00AD52F3">
        <w:trPr>
          <w:trHeight w:val="297"/>
        </w:trPr>
        <w:tc>
          <w:tcPr>
            <w:tcW w:w="10080" w:type="dxa"/>
            <w:gridSpan w:val="2"/>
          </w:tcPr>
          <w:p w14:paraId="7BBB4D11" w14:textId="77777777" w:rsidR="00AD52F3" w:rsidRPr="00367DDF" w:rsidRDefault="00AD52F3" w:rsidP="00ED1F53">
            <w:pPr>
              <w:pStyle w:val="ListNumber"/>
              <w:rPr>
                <w:rFonts w:ascii="Roboto" w:hAnsi="Roboto"/>
                <w:b/>
                <w:bCs/>
              </w:rPr>
            </w:pPr>
            <w:r w:rsidRPr="00367DDF">
              <w:rPr>
                <w:rFonts w:ascii="Roboto" w:hAnsi="Roboto"/>
                <w:b/>
                <w:bCs/>
              </w:rPr>
              <w:t>To tend to the employee’s own serious health condition</w:t>
            </w:r>
          </w:p>
        </w:tc>
      </w:tr>
      <w:tr w:rsidR="00AD52F3" w:rsidRPr="00367DDF" w14:paraId="7A611FF8" w14:textId="77777777" w:rsidTr="00AD52F3">
        <w:tc>
          <w:tcPr>
            <w:tcW w:w="10080" w:type="dxa"/>
            <w:gridSpan w:val="2"/>
          </w:tcPr>
          <w:p w14:paraId="20911F0E" w14:textId="77777777" w:rsidR="00AD52F3" w:rsidRPr="00367DDF" w:rsidRDefault="00AD52F3" w:rsidP="00ED1F53">
            <w:pPr>
              <w:pStyle w:val="ListNumber"/>
              <w:rPr>
                <w:rFonts w:ascii="Roboto" w:hAnsi="Roboto"/>
                <w:b/>
                <w:bCs/>
              </w:rPr>
            </w:pPr>
            <w:r w:rsidRPr="00367DDF">
              <w:rPr>
                <w:rFonts w:ascii="Roboto" w:hAnsi="Roboto"/>
                <w:b/>
                <w:bCs/>
              </w:rPr>
              <w:t xml:space="preserve">To tend to the serious health condition of the employee’s: </w:t>
            </w:r>
          </w:p>
        </w:tc>
      </w:tr>
      <w:tr w:rsidR="00AD52F3" w:rsidRPr="00367DDF" w14:paraId="743685C3" w14:textId="77777777" w:rsidTr="00AD52F3">
        <w:tc>
          <w:tcPr>
            <w:tcW w:w="630" w:type="dxa"/>
            <w:vAlign w:val="center"/>
          </w:tcPr>
          <w:p w14:paraId="7B145CA9"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5733AB11" w14:textId="77777777" w:rsidR="00AD52F3" w:rsidRPr="00367DDF" w:rsidRDefault="00AD52F3" w:rsidP="00ED1F53">
            <w:pPr>
              <w:pStyle w:val="ListNumber2"/>
              <w:numPr>
                <w:ilvl w:val="0"/>
                <w:numId w:val="0"/>
              </w:numPr>
              <w:rPr>
                <w:rFonts w:ascii="Roboto" w:hAnsi="Roboto"/>
              </w:rPr>
            </w:pPr>
            <w:r w:rsidRPr="00367DDF">
              <w:rPr>
                <w:rFonts w:ascii="Roboto" w:hAnsi="Roboto"/>
              </w:rPr>
              <w:t>Spouse: husband or wife as defined under Oregon state law and a same sex spouse of an employee if they are married in a state that legally recognizes same sex marriage.</w:t>
            </w:r>
          </w:p>
        </w:tc>
      </w:tr>
      <w:tr w:rsidR="00AD52F3" w:rsidRPr="00367DDF" w14:paraId="267016B5" w14:textId="77777777" w:rsidTr="00AD52F3">
        <w:tc>
          <w:tcPr>
            <w:tcW w:w="630" w:type="dxa"/>
            <w:vAlign w:val="center"/>
          </w:tcPr>
          <w:p w14:paraId="6AB67AD4"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759313EB" w14:textId="77777777" w:rsidR="00AD52F3" w:rsidRPr="00367DDF" w:rsidRDefault="00AD52F3" w:rsidP="00ED1F53">
            <w:pPr>
              <w:pStyle w:val="ListNumber2"/>
              <w:numPr>
                <w:ilvl w:val="0"/>
                <w:numId w:val="0"/>
              </w:numPr>
              <w:rPr>
                <w:rFonts w:ascii="Roboto" w:hAnsi="Roboto"/>
              </w:rPr>
            </w:pPr>
            <w:r w:rsidRPr="00367DDF">
              <w:rPr>
                <w:rFonts w:ascii="Roboto" w:hAnsi="Roboto"/>
              </w:rPr>
              <w:t>Parent: the employee’s biological or adoptive mother or father, or an individual who stood in loco parentis1 (in place of a parent) when the employee was a child.</w:t>
            </w:r>
          </w:p>
        </w:tc>
      </w:tr>
      <w:tr w:rsidR="00AD52F3" w:rsidRPr="00367DDF" w14:paraId="47A99AF6" w14:textId="77777777" w:rsidTr="00AD52F3">
        <w:trPr>
          <w:trHeight w:val="270"/>
        </w:trPr>
        <w:tc>
          <w:tcPr>
            <w:tcW w:w="630" w:type="dxa"/>
            <w:vAlign w:val="center"/>
          </w:tcPr>
          <w:p w14:paraId="3523ECC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3E406684" w14:textId="77777777" w:rsidR="00AD52F3" w:rsidRPr="00367DDF" w:rsidRDefault="00AD52F3" w:rsidP="00ED1F53">
            <w:pPr>
              <w:pStyle w:val="ListNumber2"/>
              <w:numPr>
                <w:ilvl w:val="0"/>
                <w:numId w:val="0"/>
              </w:numPr>
              <w:rPr>
                <w:rFonts w:ascii="Roboto" w:hAnsi="Roboto"/>
              </w:rPr>
            </w:pPr>
            <w:r w:rsidRPr="00367DDF">
              <w:rPr>
                <w:rFonts w:ascii="Roboto" w:hAnsi="Roboto"/>
              </w:rPr>
              <w:t>Child: The employee’s biological, adopted, foster or stepchild, a legal ward, or a child of an employee standing in loco parentis. The child must be 17 years of age or younger. The age limit does not apply if the child is incapable of self-care because of a mental or physical disability under the ADA as interpreted by the EEOC per 29 C.F.R. § 825.122(d) (2).</w:t>
            </w:r>
          </w:p>
        </w:tc>
      </w:tr>
      <w:tr w:rsidR="00AD52F3" w:rsidRPr="00367DDF" w14:paraId="3FD674A8" w14:textId="77777777" w:rsidTr="00AD52F3">
        <w:trPr>
          <w:trHeight w:val="270"/>
        </w:trPr>
        <w:tc>
          <w:tcPr>
            <w:tcW w:w="10080" w:type="dxa"/>
            <w:gridSpan w:val="2"/>
            <w:vAlign w:val="center"/>
          </w:tcPr>
          <w:p w14:paraId="50AAB45F" w14:textId="77777777" w:rsidR="00AD52F3" w:rsidRPr="00367DDF" w:rsidRDefault="00AD52F3" w:rsidP="00ED1F53">
            <w:pPr>
              <w:pStyle w:val="ListNumber"/>
              <w:rPr>
                <w:rFonts w:ascii="Roboto" w:hAnsi="Roboto"/>
                <w:b/>
                <w:bCs/>
              </w:rPr>
            </w:pPr>
            <w:r w:rsidRPr="00367DDF">
              <w:rPr>
                <w:rFonts w:ascii="Roboto" w:hAnsi="Roboto"/>
                <w:b/>
                <w:bCs/>
              </w:rPr>
              <w:t>Parental Leave</w:t>
            </w:r>
          </w:p>
        </w:tc>
      </w:tr>
      <w:tr w:rsidR="00AD52F3" w:rsidRPr="00367DDF" w14:paraId="3A7A1FF3" w14:textId="77777777" w:rsidTr="00AD52F3">
        <w:trPr>
          <w:trHeight w:val="270"/>
        </w:trPr>
        <w:tc>
          <w:tcPr>
            <w:tcW w:w="630" w:type="dxa"/>
            <w:vAlign w:val="center"/>
          </w:tcPr>
          <w:p w14:paraId="21462A33"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BCD9FDA" w14:textId="77777777" w:rsidR="00AD52F3" w:rsidRPr="00367DDF" w:rsidRDefault="00AD52F3" w:rsidP="00ED1F53">
            <w:pPr>
              <w:pStyle w:val="ListNumber2"/>
              <w:numPr>
                <w:ilvl w:val="0"/>
                <w:numId w:val="0"/>
              </w:numPr>
              <w:rPr>
                <w:rFonts w:ascii="Roboto" w:hAnsi="Roboto"/>
              </w:rPr>
            </w:pPr>
            <w:r w:rsidRPr="00367DDF">
              <w:rPr>
                <w:rFonts w:ascii="Roboto" w:hAnsi="Roboto"/>
              </w:rPr>
              <w:t>To care for the employee’s newborn, newly adopted child, or newly placed foster child.</w:t>
            </w:r>
          </w:p>
        </w:tc>
      </w:tr>
      <w:tr w:rsidR="00AD52F3" w:rsidRPr="00367DDF" w14:paraId="7D95756F" w14:textId="77777777" w:rsidTr="00AD52F3">
        <w:trPr>
          <w:trHeight w:val="270"/>
        </w:trPr>
        <w:tc>
          <w:tcPr>
            <w:tcW w:w="10080" w:type="dxa"/>
            <w:gridSpan w:val="2"/>
            <w:vAlign w:val="center"/>
          </w:tcPr>
          <w:p w14:paraId="7A287821" w14:textId="77777777" w:rsidR="00AD52F3" w:rsidRPr="00367DDF" w:rsidRDefault="00AD52F3" w:rsidP="00ED1F53">
            <w:pPr>
              <w:pStyle w:val="ListNumber"/>
              <w:rPr>
                <w:rFonts w:ascii="Roboto" w:hAnsi="Roboto"/>
                <w:b/>
                <w:bCs/>
              </w:rPr>
            </w:pPr>
            <w:r w:rsidRPr="00367DDF">
              <w:rPr>
                <w:rFonts w:ascii="Roboto" w:hAnsi="Roboto"/>
                <w:b/>
                <w:bCs/>
              </w:rPr>
              <w:t>Qualifying Exigency Leave</w:t>
            </w:r>
          </w:p>
        </w:tc>
      </w:tr>
      <w:tr w:rsidR="00AD52F3" w:rsidRPr="00367DDF" w14:paraId="1B6F220C" w14:textId="77777777" w:rsidTr="00AD52F3">
        <w:trPr>
          <w:trHeight w:val="270"/>
        </w:trPr>
        <w:tc>
          <w:tcPr>
            <w:tcW w:w="630" w:type="dxa"/>
            <w:vAlign w:val="center"/>
          </w:tcPr>
          <w:p w14:paraId="69C70F72"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4A86674" w14:textId="77777777" w:rsidR="00AD52F3" w:rsidRPr="00367DDF" w:rsidRDefault="00AD52F3" w:rsidP="00ED1F53">
            <w:pPr>
              <w:pStyle w:val="ListNumber2"/>
              <w:numPr>
                <w:ilvl w:val="0"/>
                <w:numId w:val="0"/>
              </w:numPr>
              <w:rPr>
                <w:rFonts w:ascii="Roboto" w:hAnsi="Roboto"/>
              </w:rPr>
            </w:pPr>
            <w:r w:rsidRPr="00367DDF">
              <w:rPr>
                <w:rFonts w:ascii="Roboto" w:hAnsi="Roboto"/>
              </w:rPr>
              <w:t>To attend to qualifying exigencies when the employee’s spouse, parent, son, or daughter is on active duty or called into active duty in support of a contingency operation for the military.</w:t>
            </w:r>
          </w:p>
        </w:tc>
      </w:tr>
      <w:tr w:rsidR="00AD52F3" w:rsidRPr="00367DDF" w14:paraId="0A7E7A3A" w14:textId="77777777" w:rsidTr="00AD52F3">
        <w:trPr>
          <w:trHeight w:val="270"/>
        </w:trPr>
        <w:tc>
          <w:tcPr>
            <w:tcW w:w="10080" w:type="dxa"/>
            <w:gridSpan w:val="2"/>
            <w:vAlign w:val="center"/>
          </w:tcPr>
          <w:p w14:paraId="1179D8CA" w14:textId="77777777" w:rsidR="00AD52F3" w:rsidRPr="00367DDF" w:rsidRDefault="00AD52F3" w:rsidP="00ED1F53">
            <w:pPr>
              <w:pStyle w:val="ListNumber"/>
              <w:rPr>
                <w:rFonts w:ascii="Roboto" w:hAnsi="Roboto"/>
                <w:b/>
                <w:bCs/>
              </w:rPr>
            </w:pPr>
            <w:r w:rsidRPr="00367DDF">
              <w:rPr>
                <w:rFonts w:ascii="Roboto" w:hAnsi="Roboto"/>
                <w:b/>
                <w:bCs/>
              </w:rPr>
              <w:t>Military Caregiver Leave</w:t>
            </w:r>
          </w:p>
        </w:tc>
      </w:tr>
      <w:tr w:rsidR="00AD52F3" w:rsidRPr="00367DDF" w14:paraId="4468793E" w14:textId="77777777" w:rsidTr="00AD52F3">
        <w:trPr>
          <w:trHeight w:val="270"/>
        </w:trPr>
        <w:tc>
          <w:tcPr>
            <w:tcW w:w="630" w:type="dxa"/>
            <w:vAlign w:val="center"/>
          </w:tcPr>
          <w:p w14:paraId="3123C96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44F349F1" w14:textId="77777777" w:rsidR="00AD52F3" w:rsidRPr="00367DDF" w:rsidRDefault="00AD52F3" w:rsidP="00ED1F53">
            <w:pPr>
              <w:pStyle w:val="ListNumber2"/>
              <w:numPr>
                <w:ilvl w:val="0"/>
                <w:numId w:val="0"/>
              </w:numPr>
              <w:rPr>
                <w:rFonts w:ascii="Roboto" w:hAnsi="Roboto"/>
              </w:rPr>
            </w:pPr>
            <w:r w:rsidRPr="00367DDF">
              <w:rPr>
                <w:rFonts w:ascii="Roboto" w:hAnsi="Roboto"/>
              </w:rPr>
              <w:t>[Up to 26 weeks (1040 hours for a full-time employee who works 40 hours per week) in a single 12-month period] to care for the employee’s spouse, parent, son or daughter of any age, or next of kin who is a covered service member with a serious injury or illness incurred in the line of duty on active duty, or a veteran discharged under other than dishonorable conditions within five years of receiving medical treatment, recuperation or therapy for a serious injury or illness.</w:t>
            </w:r>
          </w:p>
        </w:tc>
      </w:tr>
      <w:tr w:rsidR="00AD52F3" w:rsidRPr="00367DDF" w14:paraId="794CA11C" w14:textId="77777777" w:rsidTr="00AD52F3">
        <w:trPr>
          <w:trHeight w:val="270"/>
        </w:trPr>
        <w:tc>
          <w:tcPr>
            <w:tcW w:w="630" w:type="dxa"/>
            <w:vAlign w:val="center"/>
          </w:tcPr>
          <w:p w14:paraId="77001F6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5AC2ABFB" w14:textId="46734AC8" w:rsidR="00AD52F3" w:rsidRPr="00367DDF" w:rsidRDefault="00F67380" w:rsidP="00ED1F53">
            <w:pPr>
              <w:pStyle w:val="ListNumber2"/>
              <w:numPr>
                <w:ilvl w:val="0"/>
                <w:numId w:val="0"/>
              </w:numPr>
              <w:rPr>
                <w:rFonts w:ascii="Roboto" w:hAnsi="Roboto"/>
              </w:rPr>
            </w:pPr>
            <w:r w:rsidRPr="00367DDF">
              <w:rPr>
                <w:rFonts w:ascii="Roboto" w:hAnsi="Roboto"/>
              </w:rPr>
              <w:t>The single 12-month period is applied on the following basis: per covered service member, per injury or illness. This includes (is not in addition to) time used for other FMLA-qualifying purposes during the 12- month period.</w:t>
            </w:r>
          </w:p>
        </w:tc>
      </w:tr>
    </w:tbl>
    <w:p w14:paraId="0E8617E4" w14:textId="77777777" w:rsidR="000B5562" w:rsidRPr="00367DDF" w:rsidRDefault="000B5562" w:rsidP="000B5562">
      <w:pPr>
        <w:rPr>
          <w:rFonts w:ascii="Roboto" w:hAnsi="Roboto"/>
        </w:rPr>
      </w:pPr>
      <w:r w:rsidRPr="00367DDF">
        <w:rPr>
          <w:rFonts w:ascii="Roboto" w:hAnsi="Roboto"/>
          <w:b/>
          <w:bCs/>
        </w:rPr>
        <w:lastRenderedPageBreak/>
        <w:t xml:space="preserve">Refer to DAS statewide </w:t>
      </w:r>
      <w:r>
        <w:rPr>
          <w:rFonts w:ascii="Roboto" w:hAnsi="Roboto"/>
          <w:b/>
          <w:bCs/>
        </w:rPr>
        <w:t>Family and Medical Leave P</w:t>
      </w:r>
      <w:r w:rsidRPr="00367DDF">
        <w:rPr>
          <w:rFonts w:ascii="Roboto" w:hAnsi="Roboto"/>
          <w:b/>
          <w:bCs/>
        </w:rPr>
        <w:t>olicy 60.000.15 for additional information.</w:t>
      </w:r>
    </w:p>
    <w:p w14:paraId="4A0A4251" w14:textId="77777777" w:rsidR="00410FB4" w:rsidRPr="00367DDF" w:rsidRDefault="00410FB4" w:rsidP="00AD52F3">
      <w:pPr>
        <w:rPr>
          <w:rFonts w:ascii="Roboto" w:hAnsi="Roboto"/>
        </w:rPr>
      </w:pPr>
    </w:p>
    <w:p w14:paraId="70B024C3" w14:textId="301C35D3" w:rsidR="00AD52F3" w:rsidRPr="00367DDF" w:rsidRDefault="00AD52F3" w:rsidP="00AD52F3">
      <w:pPr>
        <w:pStyle w:val="Title"/>
        <w:jc w:val="left"/>
        <w:rPr>
          <w:rFonts w:ascii="Montserrat" w:hAnsi="Montserrat"/>
          <w:u w:val="single"/>
        </w:rPr>
      </w:pPr>
      <w:r w:rsidRPr="00367DDF">
        <w:rPr>
          <w:rFonts w:ascii="Montserrat" w:hAnsi="Montserrat"/>
          <w:u w:val="single"/>
        </w:rPr>
        <w:t>QUALIFYING PURPOSES UNDER OFLA</w:t>
      </w:r>
    </w:p>
    <w:p w14:paraId="791F4C57" w14:textId="77777777" w:rsidR="00AD52F3" w:rsidRPr="00367DDF" w:rsidRDefault="00AD52F3" w:rsidP="00AD52F3">
      <w:pPr>
        <w:rPr>
          <w:rFonts w:ascii="Roboto" w:hAnsi="Roboto"/>
        </w:rPr>
      </w:pPr>
    </w:p>
    <w:tbl>
      <w:tblPr>
        <w:tblW w:w="10080" w:type="dxa"/>
        <w:tblLayout w:type="fixed"/>
        <w:tblCellMar>
          <w:left w:w="115" w:type="dxa"/>
          <w:right w:w="115" w:type="dxa"/>
        </w:tblCellMar>
        <w:tblLook w:val="0600" w:firstRow="0" w:lastRow="0" w:firstColumn="0" w:lastColumn="0" w:noHBand="1" w:noVBand="1"/>
      </w:tblPr>
      <w:tblGrid>
        <w:gridCol w:w="10080"/>
      </w:tblGrid>
      <w:tr w:rsidR="00AD52F3" w:rsidRPr="00367DDF" w14:paraId="4F3AB878" w14:textId="77777777" w:rsidTr="00DA484A">
        <w:trPr>
          <w:trHeight w:val="297"/>
        </w:trPr>
        <w:tc>
          <w:tcPr>
            <w:tcW w:w="10080" w:type="dxa"/>
          </w:tcPr>
          <w:tbl>
            <w:tblPr>
              <w:tblW w:w="10080" w:type="dxa"/>
              <w:tblLayout w:type="fixed"/>
              <w:tblCellMar>
                <w:left w:w="115" w:type="dxa"/>
                <w:right w:w="115" w:type="dxa"/>
              </w:tblCellMar>
              <w:tblLook w:val="0600" w:firstRow="0" w:lastRow="0" w:firstColumn="0" w:lastColumn="0" w:noHBand="1" w:noVBand="1"/>
            </w:tblPr>
            <w:tblGrid>
              <w:gridCol w:w="630"/>
              <w:gridCol w:w="9450"/>
            </w:tblGrid>
            <w:tr w:rsidR="00CE6457" w:rsidRPr="00367DDF" w14:paraId="1E51E194" w14:textId="77777777" w:rsidTr="00DA484A">
              <w:trPr>
                <w:trHeight w:val="270"/>
              </w:trPr>
              <w:tc>
                <w:tcPr>
                  <w:tcW w:w="10080" w:type="dxa"/>
                  <w:gridSpan w:val="2"/>
                  <w:vAlign w:val="center"/>
                </w:tcPr>
                <w:p w14:paraId="03D1AFCC" w14:textId="1D4DECBC" w:rsidR="00CE6457" w:rsidRPr="006F3CFE" w:rsidRDefault="00CE6457" w:rsidP="00DA484A">
                  <w:pPr>
                    <w:pStyle w:val="ListNumber"/>
                    <w:numPr>
                      <w:ilvl w:val="0"/>
                      <w:numId w:val="8"/>
                    </w:numPr>
                    <w:rPr>
                      <w:rFonts w:ascii="Roboto" w:hAnsi="Roboto"/>
                      <w:b/>
                      <w:bCs/>
                    </w:rPr>
                  </w:pPr>
                  <w:r w:rsidRPr="006F3CFE">
                    <w:rPr>
                      <w:rFonts w:ascii="Roboto" w:hAnsi="Roboto"/>
                      <w:b/>
                      <w:bCs/>
                    </w:rPr>
                    <w:t>Leave to Care for a Child (Serious and Non-serious, 17 years of age or younger, or incapable of self-care)</w:t>
                  </w:r>
                </w:p>
              </w:tc>
            </w:tr>
            <w:tr w:rsidR="00CE6457" w:rsidRPr="00367DDF" w14:paraId="76633EDC" w14:textId="77777777" w:rsidTr="00DA484A">
              <w:trPr>
                <w:trHeight w:val="270"/>
              </w:trPr>
              <w:tc>
                <w:tcPr>
                  <w:tcW w:w="630" w:type="dxa"/>
                  <w:vAlign w:val="center"/>
                </w:tcPr>
                <w:p w14:paraId="4647B4A5" w14:textId="5B285029" w:rsidR="00CE6457" w:rsidRPr="00AB6A6E" w:rsidRDefault="00CE6457" w:rsidP="00DA484A">
                  <w:pPr>
                    <w:pStyle w:val="Checkbox"/>
                    <w:numPr>
                      <w:ilvl w:val="0"/>
                      <w:numId w:val="9"/>
                    </w:numPr>
                    <w:jc w:val="right"/>
                    <w:rPr>
                      <w:rFonts w:ascii="Roboto" w:hAnsi="Roboto"/>
                      <w:sz w:val="16"/>
                      <w:szCs w:val="16"/>
                    </w:rPr>
                  </w:pPr>
                </w:p>
              </w:tc>
              <w:tc>
                <w:tcPr>
                  <w:tcW w:w="9450" w:type="dxa"/>
                </w:tcPr>
                <w:p w14:paraId="086CEF12" w14:textId="77777777" w:rsidR="00CE6457" w:rsidRPr="00DA484A" w:rsidRDefault="00CE6457" w:rsidP="006F3CFE">
                  <w:pPr>
                    <w:rPr>
                      <w:rFonts w:ascii="Roboto" w:hAnsi="Roboto"/>
                      <w:color w:val="595959" w:themeColor="text1" w:themeTint="A6"/>
                    </w:rPr>
                  </w:pPr>
                  <w:r w:rsidRPr="00DA484A">
                    <w:rPr>
                      <w:rFonts w:ascii="Roboto" w:hAnsi="Roboto"/>
                      <w:color w:val="595959" w:themeColor="text1" w:themeTint="A6"/>
                    </w:rPr>
                    <w:t>Up to 12 weeks in a 52-week period. Includes all illnesses, injuries, or conditions that require home care. Includes absence to care for a child whose school or childcare provider has been closed in conjunction with a statewide public health emergency declared by a public health official.</w:t>
                  </w:r>
                </w:p>
                <w:p w14:paraId="47E9FB87" w14:textId="77777777" w:rsidR="006F3CFE" w:rsidRPr="00DA484A" w:rsidRDefault="006F3CFE" w:rsidP="00DA484A">
                  <w:pPr>
                    <w:rPr>
                      <w:rFonts w:ascii="Roboto" w:hAnsi="Roboto"/>
                    </w:rPr>
                  </w:pPr>
                </w:p>
              </w:tc>
            </w:tr>
            <w:tr w:rsidR="00CE6457" w:rsidRPr="00367DDF" w14:paraId="3DCFB862" w14:textId="77777777" w:rsidTr="00DA484A">
              <w:trPr>
                <w:trHeight w:val="270"/>
              </w:trPr>
              <w:tc>
                <w:tcPr>
                  <w:tcW w:w="10080" w:type="dxa"/>
                  <w:gridSpan w:val="2"/>
                  <w:vAlign w:val="center"/>
                </w:tcPr>
                <w:p w14:paraId="071CB461" w14:textId="2A6C1D97" w:rsidR="00CE6457" w:rsidRPr="006F3CFE" w:rsidRDefault="00CE6457" w:rsidP="00DA484A">
                  <w:pPr>
                    <w:pStyle w:val="ListNumber"/>
                    <w:numPr>
                      <w:ilvl w:val="0"/>
                      <w:numId w:val="8"/>
                    </w:numPr>
                    <w:rPr>
                      <w:rFonts w:ascii="Roboto" w:hAnsi="Roboto"/>
                      <w:b/>
                      <w:bCs/>
                    </w:rPr>
                  </w:pPr>
                  <w:r w:rsidRPr="006F3CFE">
                    <w:rPr>
                      <w:rFonts w:ascii="Roboto" w:hAnsi="Roboto"/>
                      <w:b/>
                      <w:bCs/>
                    </w:rPr>
                    <w:t>Foster or Adoption</w:t>
                  </w:r>
                </w:p>
                <w:p w14:paraId="734092B3" w14:textId="77777777" w:rsidR="00CE6457" w:rsidRPr="00DA484A" w:rsidRDefault="00CE6457" w:rsidP="00CE6457">
                  <w:pPr>
                    <w:pStyle w:val="ListParagraph"/>
                    <w:numPr>
                      <w:ilvl w:val="0"/>
                      <w:numId w:val="7"/>
                    </w:numPr>
                    <w:rPr>
                      <w:color w:val="595959" w:themeColor="text1" w:themeTint="A6"/>
                    </w:rPr>
                  </w:pPr>
                  <w:r w:rsidRPr="00DA484A">
                    <w:rPr>
                      <w:rFonts w:ascii="Roboto" w:eastAsia="Times New Roman" w:hAnsi="Roboto" w:cs="Calibri"/>
                      <w:color w:val="595959" w:themeColor="text1" w:themeTint="A6"/>
                    </w:rPr>
                    <w:t>Up to two (2) additional weeks to effectuate the legal process required for placement of a foster child or adoption of a child between July 1, 2024, and December 31, 2024.</w:t>
                  </w:r>
                </w:p>
                <w:p w14:paraId="0F48D657" w14:textId="77777777" w:rsidR="00CE6457" w:rsidRPr="00DA484A" w:rsidRDefault="00CE6457" w:rsidP="00CE6457">
                  <w:pPr>
                    <w:pStyle w:val="ListParagraph"/>
                    <w:rPr>
                      <w:color w:val="595959" w:themeColor="text1" w:themeTint="A6"/>
                    </w:rPr>
                  </w:pPr>
                </w:p>
                <w:p w14:paraId="78537E13" w14:textId="77777777" w:rsidR="00CE6457" w:rsidRPr="006F3CFE" w:rsidRDefault="00CE6457" w:rsidP="00DA484A">
                  <w:pPr>
                    <w:pStyle w:val="ListNumber"/>
                    <w:numPr>
                      <w:ilvl w:val="0"/>
                      <w:numId w:val="8"/>
                    </w:numPr>
                    <w:rPr>
                      <w:rFonts w:ascii="Roboto" w:hAnsi="Roboto"/>
                      <w:b/>
                      <w:bCs/>
                    </w:rPr>
                  </w:pPr>
                  <w:r w:rsidRPr="006F3CFE">
                    <w:rPr>
                      <w:rFonts w:ascii="Roboto" w:hAnsi="Roboto"/>
                      <w:b/>
                      <w:bCs/>
                    </w:rPr>
                    <w:t>Pregnancy Related Disability</w:t>
                  </w:r>
                </w:p>
                <w:p w14:paraId="3618A121" w14:textId="77777777" w:rsidR="00CE6457" w:rsidRPr="00DA484A" w:rsidRDefault="00CE6457" w:rsidP="00CE6457">
                  <w:pPr>
                    <w:pStyle w:val="ListParagraph"/>
                    <w:numPr>
                      <w:ilvl w:val="0"/>
                      <w:numId w:val="6"/>
                    </w:numPr>
                    <w:rPr>
                      <w:rFonts w:ascii="Roboto" w:hAnsi="Roboto"/>
                      <w:color w:val="595959" w:themeColor="text1" w:themeTint="A6"/>
                    </w:rPr>
                  </w:pPr>
                  <w:r w:rsidRPr="00DA484A">
                    <w:rPr>
                      <w:rFonts w:ascii="Roboto" w:hAnsi="Roboto"/>
                      <w:color w:val="595959" w:themeColor="text1" w:themeTint="A6"/>
                    </w:rPr>
                    <w:t>Up to 12 additional weeks in a 52-week period.</w:t>
                  </w:r>
                </w:p>
                <w:p w14:paraId="69EA3D23" w14:textId="77777777" w:rsidR="00CE6457" w:rsidRPr="00DA484A" w:rsidRDefault="00CE6457" w:rsidP="00CE6457">
                  <w:pPr>
                    <w:pStyle w:val="ListParagraph"/>
                    <w:rPr>
                      <w:rFonts w:ascii="Roboto" w:hAnsi="Roboto"/>
                      <w:color w:val="595959" w:themeColor="text1" w:themeTint="A6"/>
                    </w:rPr>
                  </w:pPr>
                </w:p>
                <w:p w14:paraId="5A3852DC" w14:textId="77777777" w:rsidR="00CE6457" w:rsidRPr="006F3CFE" w:rsidRDefault="00CE6457" w:rsidP="00DA484A">
                  <w:pPr>
                    <w:pStyle w:val="ListNumber"/>
                    <w:numPr>
                      <w:ilvl w:val="0"/>
                      <w:numId w:val="8"/>
                    </w:numPr>
                    <w:rPr>
                      <w:rFonts w:ascii="Roboto" w:hAnsi="Roboto"/>
                      <w:b/>
                      <w:bCs/>
                    </w:rPr>
                  </w:pPr>
                  <w:r w:rsidRPr="006F3CFE">
                    <w:rPr>
                      <w:rFonts w:ascii="Roboto" w:hAnsi="Roboto"/>
                      <w:b/>
                      <w:bCs/>
                    </w:rPr>
                    <w:t>Military Family Leave</w:t>
                  </w:r>
                </w:p>
              </w:tc>
            </w:tr>
            <w:tr w:rsidR="00CE6457" w:rsidRPr="00367DDF" w14:paraId="2E844BDE" w14:textId="77777777" w:rsidTr="00DA484A">
              <w:trPr>
                <w:trHeight w:val="270"/>
              </w:trPr>
              <w:tc>
                <w:tcPr>
                  <w:tcW w:w="630" w:type="dxa"/>
                  <w:vAlign w:val="center"/>
                </w:tcPr>
                <w:p w14:paraId="64E1681B" w14:textId="77777777" w:rsidR="00CE6457" w:rsidRPr="00367DDF" w:rsidRDefault="00CE6457" w:rsidP="00CE6457">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3663D237" w14:textId="77777777" w:rsidR="00CE6457" w:rsidRPr="006F3CFE" w:rsidRDefault="00CE6457" w:rsidP="00CE6457">
                  <w:pPr>
                    <w:pStyle w:val="ListNumber2"/>
                    <w:numPr>
                      <w:ilvl w:val="0"/>
                      <w:numId w:val="0"/>
                    </w:numPr>
                    <w:rPr>
                      <w:rFonts w:ascii="Roboto" w:hAnsi="Roboto"/>
                    </w:rPr>
                  </w:pPr>
                  <w:r w:rsidRPr="00DA484A">
                    <w:rPr>
                      <w:rFonts w:ascii="Roboto" w:eastAsia="Times New Roman" w:hAnsi="Roboto" w:cs="Calibri"/>
                    </w:rPr>
                    <w:t xml:space="preserve">Up to 14 working days per deployment related to the deployment of an employee’s spouse or same-gender domestic partner. The 14 days is included in the 12-week </w:t>
                  </w:r>
                  <w:r w:rsidRPr="00DA484A">
                    <w:rPr>
                      <w:rFonts w:ascii="Roboto" w:eastAsia="Times New Roman" w:hAnsi="Roboto" w:cs="Calibri"/>
                    </w:rPr>
                    <w:br/>
                    <w:t>OFLA entitlement per 52-week period.</w:t>
                  </w:r>
                </w:p>
              </w:tc>
            </w:tr>
            <w:tr w:rsidR="00CE6457" w:rsidRPr="00367DDF" w14:paraId="771432CA" w14:textId="77777777" w:rsidTr="00DA484A">
              <w:trPr>
                <w:trHeight w:val="270"/>
              </w:trPr>
              <w:tc>
                <w:tcPr>
                  <w:tcW w:w="10080" w:type="dxa"/>
                  <w:gridSpan w:val="2"/>
                  <w:vAlign w:val="center"/>
                </w:tcPr>
                <w:p w14:paraId="245F4CDB" w14:textId="2AECDF47" w:rsidR="00CE6457" w:rsidRPr="000B5562" w:rsidRDefault="00CE6457" w:rsidP="00DA484A">
                  <w:pPr>
                    <w:pStyle w:val="ListParagraph"/>
                    <w:numPr>
                      <w:ilvl w:val="0"/>
                      <w:numId w:val="8"/>
                    </w:numPr>
                    <w:rPr>
                      <w:rFonts w:ascii="Roboto" w:hAnsi="Roboto"/>
                      <w:b/>
                      <w:bCs/>
                    </w:rPr>
                  </w:pPr>
                  <w:r w:rsidRPr="00DA484A">
                    <w:rPr>
                      <w:rFonts w:ascii="Roboto" w:hAnsi="Roboto"/>
                      <w:b/>
                      <w:bCs/>
                      <w:color w:val="595959" w:themeColor="text1" w:themeTint="A6"/>
                    </w:rPr>
                    <w:t>Bereavement Leave</w:t>
                  </w:r>
                </w:p>
              </w:tc>
            </w:tr>
            <w:tr w:rsidR="00CE6457" w:rsidRPr="00367DDF" w14:paraId="177508B4" w14:textId="77777777" w:rsidTr="00DA484A">
              <w:trPr>
                <w:trHeight w:val="270"/>
              </w:trPr>
              <w:tc>
                <w:tcPr>
                  <w:tcW w:w="630" w:type="dxa"/>
                  <w:vAlign w:val="center"/>
                </w:tcPr>
                <w:p w14:paraId="5CED694A" w14:textId="77777777" w:rsidR="00CE6457" w:rsidRPr="00367DDF" w:rsidRDefault="00CE6457" w:rsidP="00CE6457">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AED2A1B" w14:textId="4E9AAD9A" w:rsidR="00CE6457" w:rsidRPr="006F3CFE" w:rsidRDefault="00CE6457" w:rsidP="00CE6457">
                  <w:pPr>
                    <w:pStyle w:val="ListNumber2"/>
                    <w:numPr>
                      <w:ilvl w:val="0"/>
                      <w:numId w:val="0"/>
                    </w:numPr>
                    <w:rPr>
                      <w:rFonts w:ascii="Roboto" w:hAnsi="Roboto"/>
                    </w:rPr>
                  </w:pPr>
                  <w:r w:rsidRPr="006F3CFE">
                    <w:rPr>
                      <w:rFonts w:ascii="Roboto" w:hAnsi="Roboto" w:cstheme="minorHAnsi"/>
                    </w:rPr>
                    <w:t>Up</w:t>
                  </w:r>
                  <w:r w:rsidRPr="006F3CFE">
                    <w:rPr>
                      <w:rFonts w:ascii="Roboto" w:hAnsi="Roboto" w:cstheme="minorHAnsi"/>
                      <w:spacing w:val="-4"/>
                    </w:rPr>
                    <w:t xml:space="preserve"> </w:t>
                  </w:r>
                  <w:r w:rsidRPr="006F3CFE">
                    <w:rPr>
                      <w:rFonts w:ascii="Roboto" w:hAnsi="Roboto" w:cstheme="minorHAnsi"/>
                    </w:rPr>
                    <w:t>to</w:t>
                  </w:r>
                  <w:r w:rsidRPr="006F3CFE">
                    <w:rPr>
                      <w:rFonts w:ascii="Roboto" w:hAnsi="Roboto" w:cstheme="minorHAnsi"/>
                      <w:spacing w:val="-2"/>
                    </w:rPr>
                    <w:t xml:space="preserve"> </w:t>
                  </w:r>
                  <w:r w:rsidRPr="006F3CFE">
                    <w:rPr>
                      <w:rFonts w:ascii="Roboto" w:hAnsi="Roboto" w:cstheme="minorHAnsi"/>
                    </w:rPr>
                    <w:t>two</w:t>
                  </w:r>
                  <w:r w:rsidRPr="006F3CFE">
                    <w:rPr>
                      <w:rFonts w:ascii="Roboto" w:hAnsi="Roboto" w:cstheme="minorHAnsi"/>
                      <w:spacing w:val="-2"/>
                    </w:rPr>
                    <w:t xml:space="preserve"> </w:t>
                  </w:r>
                  <w:r w:rsidR="006F3CFE" w:rsidRPr="006F3CFE">
                    <w:rPr>
                      <w:rFonts w:ascii="Roboto" w:hAnsi="Roboto" w:cstheme="minorHAnsi"/>
                      <w:spacing w:val="-2"/>
                    </w:rPr>
                    <w:t xml:space="preserve">(2) </w:t>
                  </w:r>
                  <w:r w:rsidRPr="006F3CFE">
                    <w:rPr>
                      <w:rFonts w:ascii="Roboto" w:hAnsi="Roboto" w:cstheme="minorHAnsi"/>
                    </w:rPr>
                    <w:t>weeks</w:t>
                  </w:r>
                  <w:r w:rsidRPr="006F3CFE">
                    <w:rPr>
                      <w:rFonts w:ascii="Roboto" w:hAnsi="Roboto" w:cstheme="minorHAnsi"/>
                      <w:spacing w:val="-1"/>
                    </w:rPr>
                    <w:t xml:space="preserve"> </w:t>
                  </w:r>
                  <w:r w:rsidRPr="006F3CFE">
                    <w:rPr>
                      <w:rFonts w:ascii="Roboto" w:hAnsi="Roboto" w:cstheme="minorHAnsi"/>
                    </w:rPr>
                    <w:t>per</w:t>
                  </w:r>
                  <w:r w:rsidRPr="006F3CFE">
                    <w:rPr>
                      <w:rFonts w:ascii="Roboto" w:hAnsi="Roboto" w:cstheme="minorHAnsi"/>
                      <w:spacing w:val="-3"/>
                    </w:rPr>
                    <w:t xml:space="preserve"> </w:t>
                  </w:r>
                  <w:r w:rsidRPr="006F3CFE">
                    <w:rPr>
                      <w:rFonts w:ascii="Roboto" w:hAnsi="Roboto" w:cstheme="minorHAnsi"/>
                    </w:rPr>
                    <w:t>family</w:t>
                  </w:r>
                  <w:r w:rsidRPr="006F3CFE">
                    <w:rPr>
                      <w:rFonts w:ascii="Roboto" w:hAnsi="Roboto" w:cstheme="minorHAnsi"/>
                      <w:spacing w:val="-4"/>
                    </w:rPr>
                    <w:t xml:space="preserve"> </w:t>
                  </w:r>
                  <w:r w:rsidR="00AB6A6E" w:rsidRPr="006F3CFE">
                    <w:rPr>
                      <w:rFonts w:ascii="Roboto" w:hAnsi="Roboto" w:cstheme="minorHAnsi"/>
                    </w:rPr>
                    <w:t>member in</w:t>
                  </w:r>
                  <w:r w:rsidRPr="006F3CFE">
                    <w:rPr>
                      <w:rFonts w:ascii="Roboto" w:hAnsi="Roboto" w:cstheme="minorHAnsi"/>
                      <w:spacing w:val="-2"/>
                    </w:rPr>
                    <w:t xml:space="preserve"> </w:t>
                  </w:r>
                  <w:r w:rsidRPr="006F3CFE">
                    <w:rPr>
                      <w:rFonts w:ascii="Roboto" w:hAnsi="Roboto" w:cstheme="minorHAnsi"/>
                    </w:rPr>
                    <w:t>a</w:t>
                  </w:r>
                  <w:r w:rsidRPr="006F3CFE">
                    <w:rPr>
                      <w:rFonts w:ascii="Roboto" w:hAnsi="Roboto" w:cstheme="minorHAnsi"/>
                      <w:spacing w:val="-4"/>
                    </w:rPr>
                    <w:t xml:space="preserve"> </w:t>
                  </w:r>
                  <w:r w:rsidRPr="006F3CFE">
                    <w:rPr>
                      <w:rFonts w:ascii="Roboto" w:hAnsi="Roboto" w:cstheme="minorHAnsi"/>
                    </w:rPr>
                    <w:t>52-week</w:t>
                  </w:r>
                  <w:r w:rsidRPr="006F3CFE">
                    <w:rPr>
                      <w:rFonts w:ascii="Roboto" w:hAnsi="Roboto" w:cstheme="minorHAnsi"/>
                      <w:spacing w:val="-2"/>
                    </w:rPr>
                    <w:t xml:space="preserve"> </w:t>
                  </w:r>
                  <w:r w:rsidRPr="006F3CFE">
                    <w:rPr>
                      <w:rFonts w:ascii="Roboto" w:hAnsi="Roboto" w:cstheme="minorHAnsi"/>
                    </w:rPr>
                    <w:t>period</w:t>
                  </w:r>
                  <w:r w:rsidRPr="006F3CFE">
                    <w:rPr>
                      <w:rFonts w:ascii="Roboto" w:hAnsi="Roboto" w:cstheme="minorHAnsi"/>
                      <w:spacing w:val="-2"/>
                    </w:rPr>
                    <w:t xml:space="preserve"> </w:t>
                  </w:r>
                  <w:r w:rsidRPr="006F3CFE">
                    <w:rPr>
                      <w:rFonts w:ascii="Roboto" w:hAnsi="Roboto" w:cstheme="minorHAnsi"/>
                    </w:rPr>
                    <w:t>(to</w:t>
                  </w:r>
                  <w:r w:rsidRPr="006F3CFE">
                    <w:rPr>
                      <w:rFonts w:ascii="Roboto" w:hAnsi="Roboto" w:cstheme="minorHAnsi"/>
                      <w:spacing w:val="-2"/>
                    </w:rPr>
                    <w:t xml:space="preserve"> </w:t>
                  </w:r>
                  <w:r w:rsidRPr="006F3CFE">
                    <w:rPr>
                      <w:rFonts w:ascii="Roboto" w:hAnsi="Roboto" w:cstheme="minorHAnsi"/>
                    </w:rPr>
                    <w:t>be</w:t>
                  </w:r>
                  <w:r w:rsidRPr="006F3CFE">
                    <w:rPr>
                      <w:rFonts w:ascii="Roboto" w:hAnsi="Roboto" w:cstheme="minorHAnsi"/>
                      <w:spacing w:val="-4"/>
                    </w:rPr>
                    <w:t xml:space="preserve"> </w:t>
                  </w:r>
                  <w:r w:rsidRPr="006F3CFE">
                    <w:rPr>
                      <w:rFonts w:ascii="Roboto" w:hAnsi="Roboto" w:cstheme="minorHAnsi"/>
                    </w:rPr>
                    <w:t>taken</w:t>
                  </w:r>
                  <w:r w:rsidRPr="006F3CFE">
                    <w:rPr>
                      <w:rFonts w:ascii="Roboto" w:hAnsi="Roboto" w:cstheme="minorHAnsi"/>
                      <w:spacing w:val="-2"/>
                    </w:rPr>
                    <w:t xml:space="preserve"> </w:t>
                  </w:r>
                  <w:r w:rsidRPr="006F3CFE">
                    <w:rPr>
                      <w:rFonts w:ascii="Roboto" w:hAnsi="Roboto" w:cstheme="minorHAnsi"/>
                    </w:rPr>
                    <w:t>within</w:t>
                  </w:r>
                  <w:r w:rsidRPr="006F3CFE">
                    <w:rPr>
                      <w:rFonts w:ascii="Roboto" w:hAnsi="Roboto" w:cstheme="minorHAnsi"/>
                      <w:spacing w:val="-1"/>
                    </w:rPr>
                    <w:t xml:space="preserve"> </w:t>
                  </w:r>
                  <w:r w:rsidRPr="006F3CFE">
                    <w:rPr>
                      <w:rFonts w:ascii="Roboto" w:hAnsi="Roboto" w:cstheme="minorHAnsi"/>
                    </w:rPr>
                    <w:t>60 days of notification of the</w:t>
                  </w:r>
                  <w:r w:rsidRPr="006F3CFE">
                    <w:rPr>
                      <w:rFonts w:ascii="Roboto" w:hAnsi="Roboto" w:cstheme="minorHAnsi"/>
                      <w:spacing w:val="-2"/>
                    </w:rPr>
                    <w:t xml:space="preserve"> </w:t>
                  </w:r>
                  <w:r w:rsidRPr="006F3CFE">
                    <w:rPr>
                      <w:rFonts w:ascii="Roboto" w:hAnsi="Roboto" w:cstheme="minorHAnsi"/>
                    </w:rPr>
                    <w:t>death) to</w:t>
                  </w:r>
                  <w:r w:rsidRPr="006F3CFE">
                    <w:rPr>
                      <w:rFonts w:ascii="Roboto" w:hAnsi="Roboto" w:cstheme="minorHAnsi"/>
                      <w:spacing w:val="-2"/>
                    </w:rPr>
                    <w:t xml:space="preserve"> </w:t>
                  </w:r>
                  <w:r w:rsidRPr="006F3CFE">
                    <w:rPr>
                      <w:rFonts w:ascii="Roboto" w:hAnsi="Roboto" w:cstheme="minorHAnsi"/>
                    </w:rPr>
                    <w:t>deal with the death of a family member by: attending the funeral or alternative to a funeral, making arrangements necessitated by the death, o</w:t>
                  </w:r>
                  <w:r w:rsidRPr="006F3CFE">
                    <w:rPr>
                      <w:rFonts w:ascii="Roboto" w:hAnsi="Roboto" w:cstheme="minorHAnsi"/>
                      <w:spacing w:val="-2"/>
                    </w:rPr>
                    <w:t>r grieving.</w:t>
                  </w:r>
                </w:p>
              </w:tc>
            </w:tr>
          </w:tbl>
          <w:p w14:paraId="7FDBB262" w14:textId="77777777" w:rsidR="00CE6457" w:rsidRDefault="00CE6457" w:rsidP="00CE6457">
            <w:pPr>
              <w:rPr>
                <w:rFonts w:ascii="Roboto" w:hAnsi="Roboto"/>
              </w:rPr>
            </w:pPr>
          </w:p>
          <w:p w14:paraId="76D32516" w14:textId="3960799E" w:rsidR="000B5562" w:rsidRPr="007E6F90" w:rsidRDefault="000B5562" w:rsidP="00CE6457">
            <w:pPr>
              <w:rPr>
                <w:rFonts w:ascii="Roboto" w:hAnsi="Roboto"/>
                <w:b/>
                <w:bCs/>
              </w:rPr>
            </w:pPr>
            <w:r w:rsidRPr="007E6F90">
              <w:rPr>
                <w:rFonts w:ascii="Roboto" w:hAnsi="Roboto"/>
                <w:b/>
                <w:bCs/>
              </w:rPr>
              <w:t>Refer to DAS statewide Oregon Family Leave Act Policy 60.000.03 for additional information.</w:t>
            </w:r>
          </w:p>
          <w:p w14:paraId="30A1EE2B" w14:textId="3A446B17" w:rsidR="00AD52F3" w:rsidRPr="00367DDF" w:rsidRDefault="00AD52F3" w:rsidP="00DA484A">
            <w:pPr>
              <w:pStyle w:val="ListNumber"/>
              <w:numPr>
                <w:ilvl w:val="0"/>
                <w:numId w:val="0"/>
              </w:numPr>
              <w:rPr>
                <w:rFonts w:ascii="Roboto" w:hAnsi="Roboto"/>
                <w:b/>
                <w:bCs/>
              </w:rPr>
            </w:pPr>
          </w:p>
        </w:tc>
      </w:tr>
    </w:tbl>
    <w:p w14:paraId="3960CB0D" w14:textId="77777777" w:rsidR="00AD52F3" w:rsidRPr="00367DDF" w:rsidRDefault="00AD52F3" w:rsidP="00AD52F3">
      <w:pPr>
        <w:rPr>
          <w:rFonts w:ascii="Roboto" w:hAnsi="Roboto"/>
        </w:rPr>
      </w:pPr>
    </w:p>
    <w:sectPr w:rsidR="00AD52F3" w:rsidRPr="00367DDF" w:rsidSect="00542B7A">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E2EA7" w14:textId="77777777" w:rsidR="009D28FC" w:rsidRDefault="009D28FC" w:rsidP="00542B7A">
      <w:r>
        <w:separator/>
      </w:r>
    </w:p>
  </w:endnote>
  <w:endnote w:type="continuationSeparator" w:id="0">
    <w:p w14:paraId="0A7F6AA1" w14:textId="77777777" w:rsidR="009D28FC" w:rsidRDefault="009D28FC"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521F" w14:textId="43E9C06F" w:rsidR="00542B7A" w:rsidRPr="00367DDF" w:rsidRDefault="00367DDF" w:rsidP="008E4AC0">
    <w:pPr>
      <w:pStyle w:val="Footer"/>
      <w:tabs>
        <w:tab w:val="center" w:pos="4320"/>
      </w:tabs>
      <w:jc w:val="right"/>
      <w:rPr>
        <w:rFonts w:ascii="Roboto" w:hAnsi="Roboto"/>
        <w:iCs/>
        <w:sz w:val="16"/>
        <w:szCs w:val="16"/>
      </w:rPr>
    </w:pPr>
    <w:r>
      <w:rPr>
        <w:rFonts w:ascii="Roboto" w:hAnsi="Roboto"/>
        <w:iCs/>
        <w:sz w:val="16"/>
        <w:szCs w:val="16"/>
      </w:rPr>
      <w:t>Version 06.24.24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3D90" w14:textId="1B50C626" w:rsidR="008E4AC0" w:rsidRPr="00367DDF" w:rsidRDefault="008E4AC0">
    <w:pPr>
      <w:pStyle w:val="Footer"/>
      <w:rPr>
        <w:rFonts w:ascii="Roboto" w:hAnsi="Roboto"/>
        <w:sz w:val="16"/>
        <w:szCs w:val="16"/>
      </w:rPr>
    </w:pPr>
    <w:r w:rsidRPr="00367DDF">
      <w:rPr>
        <w:rFonts w:ascii="Roboto" w:hAnsi="Roboto"/>
        <w:sz w:val="16"/>
        <w:szCs w:val="16"/>
      </w:rPr>
      <w:ptab w:relativeTo="margin" w:alignment="right" w:leader="none"/>
    </w:r>
    <w:r w:rsidR="00367DDF">
      <w:rPr>
        <w:rFonts w:ascii="Roboto" w:hAnsi="Roboto"/>
        <w:sz w:val="16"/>
        <w:szCs w:val="16"/>
      </w:rPr>
      <w:t>Version 06.24.24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7CD9" w14:textId="77777777" w:rsidR="009D28FC" w:rsidRDefault="009D28FC" w:rsidP="00542B7A">
      <w:r>
        <w:separator/>
      </w:r>
    </w:p>
  </w:footnote>
  <w:footnote w:type="continuationSeparator" w:id="0">
    <w:p w14:paraId="3CD33431" w14:textId="77777777" w:rsidR="009D28FC" w:rsidRDefault="009D28FC"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6FE8" w14:textId="77777777" w:rsidR="003D4DE8" w:rsidRDefault="003D4DE8" w:rsidP="003D4DE8">
    <w:pPr>
      <w:pStyle w:val="Header"/>
      <w:spacing w:before="240"/>
    </w:pPr>
  </w:p>
  <w:p w14:paraId="1995DB05"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7E79D94D" wp14:editId="239256B6">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649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401541C9" wp14:editId="0A89824E">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CC4DD2"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5858AC59" wp14:editId="5CD8AD25">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100F0B40"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2C2F4229"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2C09E34E"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1261FAF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53E557C1"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58AC59"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100F0B40"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2C2F4229"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2C09E34E"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1261FAF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53E557C1"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7F7743F9" wp14:editId="1D779800">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926368"/>
    <w:multiLevelType w:val="hybridMultilevel"/>
    <w:tmpl w:val="D362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801BE9"/>
    <w:multiLevelType w:val="hybridMultilevel"/>
    <w:tmpl w:val="E9C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28C1828"/>
    <w:multiLevelType w:val="multilevel"/>
    <w:tmpl w:val="39E208A2"/>
    <w:lvl w:ilvl="0">
      <w:start w:val="1"/>
      <w:numFmt w:val="decimal"/>
      <w:pStyle w:val="ListNumber"/>
      <w:lvlText w:val="%1."/>
      <w:lvlJc w:val="left"/>
      <w:pPr>
        <w:ind w:left="360" w:hanging="360"/>
      </w:pPr>
      <w:rPr>
        <w:rFonts w:hint="default"/>
        <w:b/>
        <w:color w:val="595959" w:themeColor="text1" w:themeTint="A6"/>
        <w:u w:color="00579B" w:themeColor="accent1"/>
      </w:rPr>
    </w:lvl>
    <w:lvl w:ilvl="1">
      <w:start w:val="1"/>
      <w:numFmt w:val="lowerLetter"/>
      <w:pStyle w:val="ListNumber2"/>
      <w:lvlText w:val="%2."/>
      <w:lvlJc w:val="left"/>
      <w:pPr>
        <w:ind w:left="360" w:hanging="360"/>
      </w:pPr>
      <w:rPr>
        <w:rFonts w:hint="default"/>
        <w:color w:val="618B5D"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5B68B8"/>
    <w:multiLevelType w:val="hybridMultilevel"/>
    <w:tmpl w:val="65F6FAFA"/>
    <w:lvl w:ilvl="0" w:tplc="F3D278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17DFC"/>
    <w:multiLevelType w:val="hybridMultilevel"/>
    <w:tmpl w:val="014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756173">
    <w:abstractNumId w:val="0"/>
  </w:num>
  <w:num w:numId="2" w16cid:durableId="531722261">
    <w:abstractNumId w:val="2"/>
  </w:num>
  <w:num w:numId="3" w16cid:durableId="1281842643">
    <w:abstractNumId w:val="4"/>
  </w:num>
  <w:num w:numId="4" w16cid:durableId="1384259003">
    <w:abstractNumId w:val="5"/>
  </w:num>
  <w:num w:numId="5" w16cid:durableId="1907492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50376">
    <w:abstractNumId w:val="3"/>
  </w:num>
  <w:num w:numId="7" w16cid:durableId="789711067">
    <w:abstractNumId w:val="7"/>
  </w:num>
  <w:num w:numId="8" w16cid:durableId="1588222233">
    <w:abstractNumId w:val="1"/>
  </w:num>
  <w:num w:numId="9" w16cid:durableId="811215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B5562"/>
    <w:rsid w:val="000F31ED"/>
    <w:rsid w:val="001641CA"/>
    <w:rsid w:val="00340340"/>
    <w:rsid w:val="00367DDF"/>
    <w:rsid w:val="003D4DE8"/>
    <w:rsid w:val="003F535A"/>
    <w:rsid w:val="00410FB4"/>
    <w:rsid w:val="004377F6"/>
    <w:rsid w:val="0044380C"/>
    <w:rsid w:val="00542B7A"/>
    <w:rsid w:val="006F3CFE"/>
    <w:rsid w:val="00710400"/>
    <w:rsid w:val="00777418"/>
    <w:rsid w:val="007C0F90"/>
    <w:rsid w:val="007E6F90"/>
    <w:rsid w:val="0085404B"/>
    <w:rsid w:val="008E4AC0"/>
    <w:rsid w:val="00902F74"/>
    <w:rsid w:val="009052BF"/>
    <w:rsid w:val="00930E8C"/>
    <w:rsid w:val="009D28FC"/>
    <w:rsid w:val="009F034D"/>
    <w:rsid w:val="00A01109"/>
    <w:rsid w:val="00A60B0D"/>
    <w:rsid w:val="00A95774"/>
    <w:rsid w:val="00AB6A6E"/>
    <w:rsid w:val="00AD52F3"/>
    <w:rsid w:val="00AF1382"/>
    <w:rsid w:val="00C34DC5"/>
    <w:rsid w:val="00C833FD"/>
    <w:rsid w:val="00C967B5"/>
    <w:rsid w:val="00CE063B"/>
    <w:rsid w:val="00CE6457"/>
    <w:rsid w:val="00CF03C9"/>
    <w:rsid w:val="00D6041F"/>
    <w:rsid w:val="00D8533A"/>
    <w:rsid w:val="00DA484A"/>
    <w:rsid w:val="00DC0323"/>
    <w:rsid w:val="00DC435F"/>
    <w:rsid w:val="00E34C8F"/>
    <w:rsid w:val="00E86053"/>
    <w:rsid w:val="00F13BFC"/>
    <w:rsid w:val="00F4151B"/>
    <w:rsid w:val="00F67380"/>
    <w:rsid w:val="00F7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666F"/>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D6041F"/>
    <w:rPr>
      <w:color w:val="808080"/>
    </w:rPr>
  </w:style>
  <w:style w:type="paragraph" w:styleId="ListNumber">
    <w:name w:val="List Number"/>
    <w:basedOn w:val="Normal"/>
    <w:uiPriority w:val="99"/>
    <w:qFormat/>
    <w:rsid w:val="00AD52F3"/>
    <w:pPr>
      <w:numPr>
        <w:numId w:val="4"/>
      </w:numPr>
      <w:spacing w:after="120" w:line="276" w:lineRule="auto"/>
    </w:pPr>
    <w:rPr>
      <w:rFonts w:eastAsiaTheme="minorHAnsi" w:cstheme="minorBidi"/>
      <w:color w:val="595959" w:themeColor="text1" w:themeTint="A6"/>
      <w:szCs w:val="22"/>
    </w:rPr>
  </w:style>
  <w:style w:type="paragraph" w:styleId="ListNumber2">
    <w:name w:val="List Number 2"/>
    <w:basedOn w:val="Normal"/>
    <w:uiPriority w:val="99"/>
    <w:qFormat/>
    <w:rsid w:val="00AD52F3"/>
    <w:pPr>
      <w:numPr>
        <w:ilvl w:val="1"/>
        <w:numId w:val="4"/>
      </w:numPr>
      <w:spacing w:after="120" w:line="271" w:lineRule="auto"/>
    </w:pPr>
    <w:rPr>
      <w:rFonts w:eastAsiaTheme="minorHAnsi" w:cstheme="minorBidi"/>
      <w:color w:val="595959" w:themeColor="text1" w:themeTint="A6"/>
      <w:szCs w:val="22"/>
    </w:rPr>
  </w:style>
  <w:style w:type="paragraph" w:customStyle="1" w:styleId="Checkbox">
    <w:name w:val="Checkbox"/>
    <w:basedOn w:val="Normal"/>
    <w:qFormat/>
    <w:rsid w:val="00AD52F3"/>
    <w:pPr>
      <w:spacing w:line="288" w:lineRule="auto"/>
    </w:pPr>
    <w:rPr>
      <w:rFonts w:eastAsiaTheme="minorHAnsi" w:cstheme="minorBidi"/>
      <w:color w:val="595959" w:themeColor="text1" w:themeTint="A6"/>
      <w:szCs w:val="22"/>
    </w:rPr>
  </w:style>
  <w:style w:type="paragraph" w:styleId="Revision">
    <w:name w:val="Revision"/>
    <w:hidden/>
    <w:uiPriority w:val="99"/>
    <w:semiHidden/>
    <w:rsid w:val="00367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5BB1CD-FABC-4F55-BC26-1E788E2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8501D-B3D5-453D-9DD2-9EAB518BC8B6}">
  <ds:schemaRefs>
    <ds:schemaRef ds:uri="http://schemas.microsoft.com/sharepoint/v3/contenttype/forms"/>
  </ds:schemaRefs>
</ds:datastoreItem>
</file>

<file path=customXml/itemProps4.xml><?xml version="1.0" encoding="utf-8"?>
<ds:datastoreItem xmlns:ds="http://schemas.openxmlformats.org/officeDocument/2006/customXml" ds:itemID="{2F2F6D32-7F46-467D-AE44-F030E76A67D1}">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GARCELLANO Michael R * DAS</cp:lastModifiedBy>
  <cp:revision>10</cp:revision>
  <dcterms:created xsi:type="dcterms:W3CDTF">2024-01-11T19:11:00Z</dcterms:created>
  <dcterms:modified xsi:type="dcterms:W3CDTF">2024-06-26T20:50:00Z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2024-01-10T23:56:32Z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b89e354a-36c5-418d-87fa-399f3f3abff9</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