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6492" w14:textId="77777777" w:rsidR="005356F6" w:rsidRPr="009F7399" w:rsidRDefault="0091534A" w:rsidP="001B352D">
      <w:pPr>
        <w:spacing w:line="240" w:lineRule="auto"/>
        <w:jc w:val="center"/>
        <w:rPr>
          <w:b/>
          <w:sz w:val="28"/>
          <w:szCs w:val="28"/>
        </w:rPr>
      </w:pPr>
      <w:r w:rsidRPr="009F7399">
        <w:rPr>
          <w:b/>
          <w:sz w:val="28"/>
          <w:szCs w:val="28"/>
        </w:rPr>
        <w:t>Other Funds Revenue Report</w:t>
      </w:r>
    </w:p>
    <w:p w14:paraId="5978EB70" w14:textId="35D792E5" w:rsidR="0091534A" w:rsidRPr="009F7399" w:rsidRDefault="001E12BA" w:rsidP="001B352D">
      <w:pPr>
        <w:spacing w:line="240" w:lineRule="auto"/>
        <w:jc w:val="center"/>
        <w:rPr>
          <w:b/>
          <w:sz w:val="28"/>
          <w:szCs w:val="28"/>
        </w:rPr>
      </w:pPr>
      <w:r>
        <w:rPr>
          <w:b/>
          <w:sz w:val="28"/>
          <w:szCs w:val="28"/>
        </w:rPr>
        <w:t>May 2023</w:t>
      </w:r>
    </w:p>
    <w:p w14:paraId="0EECFC96" w14:textId="77777777" w:rsidR="0091534A" w:rsidRPr="009F7399" w:rsidRDefault="0091534A" w:rsidP="001B352D">
      <w:pPr>
        <w:spacing w:line="240" w:lineRule="auto"/>
        <w:rPr>
          <w:b/>
          <w:sz w:val="28"/>
          <w:szCs w:val="28"/>
        </w:rPr>
      </w:pPr>
    </w:p>
    <w:p w14:paraId="34A2C941" w14:textId="77777777" w:rsidR="0091534A" w:rsidRPr="009F7399" w:rsidRDefault="00C215D3" w:rsidP="001B352D">
      <w:pPr>
        <w:spacing w:line="240" w:lineRule="auto"/>
        <w:rPr>
          <w:b/>
          <w:sz w:val="24"/>
          <w:szCs w:val="24"/>
        </w:rPr>
      </w:pPr>
      <w:r w:rsidRPr="009F7399">
        <w:rPr>
          <w:b/>
          <w:sz w:val="24"/>
          <w:szCs w:val="24"/>
        </w:rPr>
        <w:t xml:space="preserve">I. </w:t>
      </w:r>
      <w:r w:rsidR="0091534A" w:rsidRPr="009F7399">
        <w:rPr>
          <w:b/>
          <w:sz w:val="24"/>
          <w:szCs w:val="24"/>
        </w:rPr>
        <w:t>Introduction</w:t>
      </w:r>
    </w:p>
    <w:p w14:paraId="640F9662" w14:textId="77777777" w:rsidR="001F64C0" w:rsidRPr="009F7399" w:rsidRDefault="0091534A" w:rsidP="001B352D">
      <w:pPr>
        <w:spacing w:line="240" w:lineRule="auto"/>
        <w:rPr>
          <w:sz w:val="24"/>
          <w:szCs w:val="24"/>
        </w:rPr>
      </w:pPr>
      <w:r w:rsidRPr="009F7399">
        <w:rPr>
          <w:sz w:val="24"/>
          <w:szCs w:val="24"/>
        </w:rPr>
        <w:t>This report presents historical and projected Other Funds revenues collected by state agencies.  Other Funds are a significant component in the overall state revenue picture, comprised of General Fund, Lottery Funds, Other Funds, and Federal Funds</w:t>
      </w:r>
      <w:r w:rsidR="003343E8">
        <w:rPr>
          <w:rStyle w:val="FootnoteReference"/>
          <w:sz w:val="24"/>
          <w:szCs w:val="24"/>
        </w:rPr>
        <w:footnoteReference w:id="1"/>
      </w:r>
      <w:r w:rsidRPr="009F7399">
        <w:rPr>
          <w:sz w:val="24"/>
          <w:szCs w:val="24"/>
        </w:rPr>
        <w:t xml:space="preserve"> revenues.</w:t>
      </w:r>
      <w:r w:rsidR="00A87C1B" w:rsidRPr="009F7399">
        <w:rPr>
          <w:sz w:val="24"/>
          <w:szCs w:val="24"/>
        </w:rPr>
        <w:t xml:space="preserve">  Other Funds are generally derived from taxes, fees and charges related to specific activities, as well as interest and investment income.  </w:t>
      </w:r>
      <w:r w:rsidR="00ED4B28" w:rsidRPr="009F7399">
        <w:rPr>
          <w:sz w:val="24"/>
          <w:szCs w:val="24"/>
        </w:rPr>
        <w:t xml:space="preserve">The figures presented in this report </w:t>
      </w:r>
      <w:r w:rsidR="00C06CB0" w:rsidRPr="009F7399">
        <w:rPr>
          <w:sz w:val="24"/>
          <w:szCs w:val="24"/>
        </w:rPr>
        <w:t xml:space="preserve">are tabulated solely from cash deposits </w:t>
      </w:r>
      <w:r w:rsidR="00C06CB0">
        <w:rPr>
          <w:sz w:val="24"/>
          <w:szCs w:val="24"/>
        </w:rPr>
        <w:t xml:space="preserve">and </w:t>
      </w:r>
      <w:r w:rsidR="00ED4B28" w:rsidRPr="009F7399">
        <w:rPr>
          <w:sz w:val="24"/>
          <w:szCs w:val="24"/>
        </w:rPr>
        <w:t>do not include proceeds from borrowing or trans</w:t>
      </w:r>
      <w:r w:rsidR="00C06CB0">
        <w:rPr>
          <w:sz w:val="24"/>
          <w:szCs w:val="24"/>
        </w:rPr>
        <w:t>fers between state agencies</w:t>
      </w:r>
      <w:r w:rsidR="00ED4B28" w:rsidRPr="009F7399">
        <w:rPr>
          <w:sz w:val="24"/>
          <w:szCs w:val="24"/>
        </w:rPr>
        <w:t xml:space="preserve">.  Due to </w:t>
      </w:r>
      <w:r w:rsidR="00AA1503">
        <w:rPr>
          <w:sz w:val="24"/>
          <w:szCs w:val="24"/>
        </w:rPr>
        <w:t xml:space="preserve">general accounting </w:t>
      </w:r>
      <w:r w:rsidR="00C761BA">
        <w:rPr>
          <w:sz w:val="24"/>
          <w:szCs w:val="24"/>
        </w:rPr>
        <w:t>practices, which</w:t>
      </w:r>
      <w:r w:rsidR="00AA1503">
        <w:rPr>
          <w:sz w:val="24"/>
          <w:szCs w:val="24"/>
        </w:rPr>
        <w:t xml:space="preserve"> often involve accruals</w:t>
      </w:r>
      <w:r w:rsidR="00ED4B28" w:rsidRPr="009F7399">
        <w:rPr>
          <w:sz w:val="24"/>
          <w:szCs w:val="24"/>
        </w:rPr>
        <w:t xml:space="preserve">, figures presented herein may not match data presented elsewhere, particularly statewide and agency financial reports. </w:t>
      </w:r>
      <w:r w:rsidR="006A27EA">
        <w:rPr>
          <w:sz w:val="24"/>
          <w:szCs w:val="24"/>
        </w:rPr>
        <w:t xml:space="preserve"> In addition, the purpose of this report is to provide a general understanding of Other Funds revenues, particularly relative magnitudes and rough trends.  </w:t>
      </w:r>
      <w:r w:rsidR="006A27EA" w:rsidRPr="00853E50">
        <w:rPr>
          <w:sz w:val="24"/>
          <w:szCs w:val="24"/>
        </w:rPr>
        <w:t>The figures presented should not be used for material budgeting or other financial purposes.</w:t>
      </w:r>
      <w:r w:rsidR="00ED4B28" w:rsidRPr="00853E50">
        <w:rPr>
          <w:sz w:val="24"/>
          <w:szCs w:val="24"/>
        </w:rPr>
        <w:t xml:space="preserve"> </w:t>
      </w:r>
    </w:p>
    <w:p w14:paraId="45090A4A" w14:textId="77777777" w:rsidR="00A327D2" w:rsidRPr="009F7399" w:rsidRDefault="00A327D2" w:rsidP="001B352D">
      <w:pPr>
        <w:spacing w:line="240" w:lineRule="auto"/>
        <w:rPr>
          <w:sz w:val="24"/>
          <w:szCs w:val="24"/>
        </w:rPr>
      </w:pPr>
      <w:r w:rsidRPr="009F7399">
        <w:rPr>
          <w:sz w:val="24"/>
          <w:szCs w:val="24"/>
        </w:rPr>
        <w:t xml:space="preserve">This report is </w:t>
      </w:r>
      <w:r w:rsidR="00D507F4">
        <w:rPr>
          <w:sz w:val="24"/>
          <w:szCs w:val="24"/>
        </w:rPr>
        <w:t>produced</w:t>
      </w:r>
      <w:r w:rsidRPr="009F7399">
        <w:rPr>
          <w:sz w:val="24"/>
          <w:szCs w:val="24"/>
        </w:rPr>
        <w:t xml:space="preserve"> by the Office of Economic Analysis</w:t>
      </w:r>
      <w:r w:rsidR="000F52CB">
        <w:rPr>
          <w:sz w:val="24"/>
          <w:szCs w:val="24"/>
        </w:rPr>
        <w:t xml:space="preserve"> </w:t>
      </w:r>
      <w:r w:rsidR="00D507F4">
        <w:rPr>
          <w:sz w:val="24"/>
          <w:szCs w:val="24"/>
        </w:rPr>
        <w:t>and released along with the Economic and Revenue forecast in</w:t>
      </w:r>
      <w:r w:rsidR="000F52CB">
        <w:rPr>
          <w:sz w:val="24"/>
          <w:szCs w:val="24"/>
        </w:rPr>
        <w:t xml:space="preserve"> November</w:t>
      </w:r>
      <w:r w:rsidR="003D02BF">
        <w:rPr>
          <w:sz w:val="24"/>
          <w:szCs w:val="24"/>
        </w:rPr>
        <w:t xml:space="preserve"> and </w:t>
      </w:r>
      <w:r w:rsidR="00FA4A6C">
        <w:rPr>
          <w:sz w:val="24"/>
          <w:szCs w:val="24"/>
        </w:rPr>
        <w:t>May of</w:t>
      </w:r>
      <w:r w:rsidR="000F52CB">
        <w:rPr>
          <w:sz w:val="24"/>
          <w:szCs w:val="24"/>
        </w:rPr>
        <w:t xml:space="preserve"> each year</w:t>
      </w:r>
      <w:r w:rsidRPr="009F7399">
        <w:rPr>
          <w:rStyle w:val="FootnoteReference"/>
          <w:sz w:val="24"/>
          <w:szCs w:val="24"/>
        </w:rPr>
        <w:footnoteReference w:id="2"/>
      </w:r>
      <w:r w:rsidRPr="009F7399">
        <w:rPr>
          <w:sz w:val="24"/>
          <w:szCs w:val="24"/>
        </w:rPr>
        <w:t>.</w:t>
      </w:r>
    </w:p>
    <w:p w14:paraId="06DC86D0" w14:textId="77777777" w:rsidR="00A87C1B" w:rsidRPr="009F7399" w:rsidRDefault="00C215D3" w:rsidP="001B352D">
      <w:pPr>
        <w:spacing w:line="240" w:lineRule="auto"/>
        <w:rPr>
          <w:b/>
          <w:sz w:val="24"/>
          <w:szCs w:val="24"/>
        </w:rPr>
      </w:pPr>
      <w:r w:rsidRPr="009F7399">
        <w:rPr>
          <w:b/>
          <w:sz w:val="24"/>
          <w:szCs w:val="24"/>
        </w:rPr>
        <w:t xml:space="preserve">II. </w:t>
      </w:r>
      <w:r w:rsidR="00A87C1B" w:rsidRPr="009F7399">
        <w:rPr>
          <w:b/>
          <w:sz w:val="24"/>
          <w:szCs w:val="24"/>
        </w:rPr>
        <w:t>Statewide Other Funds Revenues</w:t>
      </w:r>
    </w:p>
    <w:p w14:paraId="552C8971" w14:textId="6BF1B690" w:rsidR="00ED4B28" w:rsidRPr="009F7399" w:rsidRDefault="00A87C1B" w:rsidP="001B352D">
      <w:pPr>
        <w:spacing w:line="240" w:lineRule="auto"/>
        <w:rPr>
          <w:sz w:val="24"/>
          <w:szCs w:val="24"/>
        </w:rPr>
      </w:pPr>
      <w:r w:rsidRPr="009F7399">
        <w:rPr>
          <w:sz w:val="24"/>
          <w:szCs w:val="24"/>
        </w:rPr>
        <w:t>The following table</w:t>
      </w:r>
      <w:r w:rsidR="00660BFA" w:rsidRPr="009F7399">
        <w:rPr>
          <w:sz w:val="24"/>
          <w:szCs w:val="24"/>
        </w:rPr>
        <w:t xml:space="preserve"> 1</w:t>
      </w:r>
      <w:r w:rsidRPr="009F7399">
        <w:rPr>
          <w:sz w:val="24"/>
          <w:szCs w:val="24"/>
        </w:rPr>
        <w:t xml:space="preserve"> presents Other Funds revenues by agency.  Fiscal years </w:t>
      </w:r>
      <w:r w:rsidR="009C6CD5">
        <w:rPr>
          <w:sz w:val="24"/>
          <w:szCs w:val="24"/>
        </w:rPr>
        <w:t>2020</w:t>
      </w:r>
      <w:r w:rsidRPr="009F7399">
        <w:rPr>
          <w:sz w:val="24"/>
          <w:szCs w:val="24"/>
        </w:rPr>
        <w:t xml:space="preserve"> through </w:t>
      </w:r>
      <w:r w:rsidR="009C6CD5">
        <w:rPr>
          <w:sz w:val="24"/>
          <w:szCs w:val="24"/>
        </w:rPr>
        <w:t>2022</w:t>
      </w:r>
      <w:r w:rsidRPr="009F7399">
        <w:rPr>
          <w:sz w:val="24"/>
          <w:szCs w:val="24"/>
        </w:rPr>
        <w:t xml:space="preserve"> are actual revenues received based on accounting data.  Fiscal year </w:t>
      </w:r>
      <w:r w:rsidR="009C6CD5">
        <w:rPr>
          <w:sz w:val="24"/>
          <w:szCs w:val="24"/>
        </w:rPr>
        <w:t>2023</w:t>
      </w:r>
      <w:r w:rsidRPr="009F7399">
        <w:rPr>
          <w:sz w:val="24"/>
          <w:szCs w:val="24"/>
        </w:rPr>
        <w:t xml:space="preserve"> figures are estimates based on accounting data through </w:t>
      </w:r>
      <w:r w:rsidR="001E12BA">
        <w:rPr>
          <w:sz w:val="24"/>
          <w:szCs w:val="24"/>
        </w:rPr>
        <w:t>March 2023</w:t>
      </w:r>
      <w:r w:rsidRPr="009F7399">
        <w:rPr>
          <w:sz w:val="24"/>
          <w:szCs w:val="24"/>
        </w:rPr>
        <w:t xml:space="preserve">, assuming that the growth observed for the first </w:t>
      </w:r>
      <w:r w:rsidR="001E12BA">
        <w:rPr>
          <w:sz w:val="24"/>
          <w:szCs w:val="24"/>
        </w:rPr>
        <w:t>nine</w:t>
      </w:r>
      <w:r w:rsidRPr="009F7399">
        <w:rPr>
          <w:sz w:val="24"/>
          <w:szCs w:val="24"/>
        </w:rPr>
        <w:t xml:space="preserve"> months of FY </w:t>
      </w:r>
      <w:r w:rsidR="00A002EF">
        <w:rPr>
          <w:sz w:val="24"/>
          <w:szCs w:val="24"/>
        </w:rPr>
        <w:t>202</w:t>
      </w:r>
      <w:r w:rsidR="009C6CD5">
        <w:rPr>
          <w:sz w:val="24"/>
          <w:szCs w:val="24"/>
        </w:rPr>
        <w:t>3</w:t>
      </w:r>
      <w:r w:rsidRPr="009F7399">
        <w:rPr>
          <w:sz w:val="24"/>
          <w:szCs w:val="24"/>
        </w:rPr>
        <w:t xml:space="preserve"> versus FY </w:t>
      </w:r>
      <w:r w:rsidR="00A002EF">
        <w:rPr>
          <w:sz w:val="24"/>
          <w:szCs w:val="24"/>
        </w:rPr>
        <w:t>202</w:t>
      </w:r>
      <w:r w:rsidR="009C6CD5">
        <w:rPr>
          <w:sz w:val="24"/>
          <w:szCs w:val="24"/>
        </w:rPr>
        <w:t>2</w:t>
      </w:r>
      <w:r w:rsidRPr="009F7399">
        <w:rPr>
          <w:sz w:val="24"/>
          <w:szCs w:val="24"/>
        </w:rPr>
        <w:t xml:space="preserve"> hold</w:t>
      </w:r>
      <w:r w:rsidR="00B51EDC">
        <w:rPr>
          <w:sz w:val="24"/>
          <w:szCs w:val="24"/>
        </w:rPr>
        <w:t>s</w:t>
      </w:r>
      <w:r w:rsidRPr="009F7399">
        <w:rPr>
          <w:sz w:val="24"/>
          <w:szCs w:val="24"/>
        </w:rPr>
        <w:t xml:space="preserve"> for the fiscal</w:t>
      </w:r>
      <w:r w:rsidR="000D451C">
        <w:rPr>
          <w:sz w:val="24"/>
          <w:szCs w:val="24"/>
        </w:rPr>
        <w:t xml:space="preserve"> year as a whole.  </w:t>
      </w:r>
      <w:r w:rsidR="000B0CC5">
        <w:rPr>
          <w:sz w:val="24"/>
          <w:szCs w:val="24"/>
        </w:rPr>
        <w:t xml:space="preserve">Where such estimates are </w:t>
      </w:r>
      <w:r w:rsidR="005451F7">
        <w:rPr>
          <w:sz w:val="24"/>
          <w:szCs w:val="24"/>
        </w:rPr>
        <w:t xml:space="preserve">significantly </w:t>
      </w:r>
      <w:r w:rsidR="000B0CC5">
        <w:rPr>
          <w:sz w:val="24"/>
          <w:szCs w:val="24"/>
        </w:rPr>
        <w:t xml:space="preserve">out of line with historical trends, interpolations are used to compute reasonable values.  </w:t>
      </w:r>
      <w:r w:rsidR="00393B83">
        <w:rPr>
          <w:sz w:val="24"/>
          <w:szCs w:val="24"/>
        </w:rPr>
        <w:t>Fiscal year</w:t>
      </w:r>
      <w:r w:rsidR="009C6CD5">
        <w:rPr>
          <w:sz w:val="24"/>
          <w:szCs w:val="24"/>
        </w:rPr>
        <w:t>s</w:t>
      </w:r>
      <w:r w:rsidR="00393B83">
        <w:rPr>
          <w:sz w:val="24"/>
          <w:szCs w:val="24"/>
        </w:rPr>
        <w:t xml:space="preserve"> 202</w:t>
      </w:r>
      <w:r w:rsidR="009C6CD5">
        <w:rPr>
          <w:sz w:val="24"/>
          <w:szCs w:val="24"/>
        </w:rPr>
        <w:t>4 and 2025</w:t>
      </w:r>
      <w:r w:rsidRPr="009F7399">
        <w:rPr>
          <w:sz w:val="24"/>
          <w:szCs w:val="24"/>
        </w:rPr>
        <w:t xml:space="preserve"> figures are derived from the projections entered into the state’s budget system for the </w:t>
      </w:r>
      <w:r w:rsidR="00BB2CCC">
        <w:rPr>
          <w:sz w:val="24"/>
          <w:szCs w:val="24"/>
        </w:rPr>
        <w:t xml:space="preserve">development of the </w:t>
      </w:r>
      <w:r w:rsidR="00393B83">
        <w:rPr>
          <w:sz w:val="24"/>
          <w:szCs w:val="24"/>
        </w:rPr>
        <w:t>202</w:t>
      </w:r>
      <w:r w:rsidR="009C6CD5">
        <w:rPr>
          <w:sz w:val="24"/>
          <w:szCs w:val="24"/>
        </w:rPr>
        <w:t>3</w:t>
      </w:r>
      <w:r w:rsidR="00393B83">
        <w:rPr>
          <w:sz w:val="24"/>
          <w:szCs w:val="24"/>
        </w:rPr>
        <w:t>-2</w:t>
      </w:r>
      <w:r w:rsidR="009C6CD5">
        <w:rPr>
          <w:sz w:val="24"/>
          <w:szCs w:val="24"/>
        </w:rPr>
        <w:t>5</w:t>
      </w:r>
      <w:r w:rsidRPr="009F7399">
        <w:rPr>
          <w:sz w:val="24"/>
          <w:szCs w:val="24"/>
        </w:rPr>
        <w:t xml:space="preserve"> </w:t>
      </w:r>
      <w:r w:rsidR="004D59ED">
        <w:rPr>
          <w:sz w:val="24"/>
          <w:szCs w:val="24"/>
        </w:rPr>
        <w:t>Legislatively Adopted Budget</w:t>
      </w:r>
      <w:r w:rsidR="00B87872">
        <w:rPr>
          <w:rStyle w:val="FootnoteReference"/>
          <w:sz w:val="24"/>
          <w:szCs w:val="24"/>
        </w:rPr>
        <w:footnoteReference w:id="3"/>
      </w:r>
      <w:r w:rsidRPr="009F7399">
        <w:rPr>
          <w:sz w:val="24"/>
          <w:szCs w:val="24"/>
        </w:rPr>
        <w:t xml:space="preserve">.  </w:t>
      </w:r>
      <w:r w:rsidR="00271593">
        <w:rPr>
          <w:sz w:val="24"/>
          <w:szCs w:val="24"/>
        </w:rPr>
        <w:t>The biennial total is split</w:t>
      </w:r>
      <w:r w:rsidR="000D451C">
        <w:rPr>
          <w:sz w:val="24"/>
          <w:szCs w:val="24"/>
        </w:rPr>
        <w:t xml:space="preserve"> </w:t>
      </w:r>
      <w:r w:rsidR="00ED4B28" w:rsidRPr="009F7399">
        <w:rPr>
          <w:sz w:val="24"/>
          <w:szCs w:val="24"/>
        </w:rPr>
        <w:t>such that the growth rate in the second fiscal year equals historical averages.</w:t>
      </w:r>
      <w:r w:rsidR="00393B83">
        <w:rPr>
          <w:sz w:val="24"/>
          <w:szCs w:val="24"/>
        </w:rPr>
        <w:t xml:space="preserve"> </w:t>
      </w:r>
    </w:p>
    <w:p w14:paraId="03BE66BC" w14:textId="29774118" w:rsidR="00BA7E50" w:rsidRDefault="008F745C" w:rsidP="00C75C45">
      <w:pPr>
        <w:spacing w:line="240" w:lineRule="auto"/>
        <w:rPr>
          <w:sz w:val="24"/>
          <w:szCs w:val="24"/>
        </w:rPr>
      </w:pPr>
      <w:r w:rsidRPr="009F7399">
        <w:rPr>
          <w:sz w:val="24"/>
          <w:szCs w:val="24"/>
        </w:rPr>
        <w:t xml:space="preserve">Due to the significant fraction of Other Funds revenues received by the Public Employees Retirement System, which are in turn due primarily to returns on investments, the year-to-year growth rates in </w:t>
      </w:r>
      <w:r w:rsidR="004406B4">
        <w:rPr>
          <w:sz w:val="24"/>
          <w:szCs w:val="24"/>
        </w:rPr>
        <w:t xml:space="preserve">overall </w:t>
      </w:r>
      <w:r w:rsidRPr="009F7399">
        <w:rPr>
          <w:sz w:val="24"/>
          <w:szCs w:val="24"/>
        </w:rPr>
        <w:t>Other Funds revenues are largely reflective of stock market performance</w:t>
      </w:r>
      <w:r w:rsidR="009C6CD5">
        <w:rPr>
          <w:sz w:val="24"/>
          <w:szCs w:val="24"/>
        </w:rPr>
        <w:t xml:space="preserve">.  In addition, the revenue projections for the 2023-25 biennium were developed in </w:t>
      </w:r>
      <w:r w:rsidR="009C6CD5">
        <w:rPr>
          <w:sz w:val="24"/>
          <w:szCs w:val="24"/>
        </w:rPr>
        <w:lastRenderedPageBreak/>
        <w:t>Spring 2022 at a time of high inflation and may reflect considerable uncertainty present at the time.</w:t>
      </w:r>
    </w:p>
    <w:p w14:paraId="5931D0F9" w14:textId="616F3E85" w:rsidR="00660BFA" w:rsidRPr="00853E50" w:rsidRDefault="00660BFA" w:rsidP="001B352D">
      <w:pPr>
        <w:spacing w:line="240" w:lineRule="auto"/>
        <w:rPr>
          <w:b/>
          <w:sz w:val="24"/>
          <w:szCs w:val="24"/>
        </w:rPr>
      </w:pPr>
      <w:r w:rsidRPr="00853E50">
        <w:rPr>
          <w:b/>
          <w:sz w:val="24"/>
          <w:szCs w:val="24"/>
        </w:rPr>
        <w:t>Table 1</w:t>
      </w:r>
    </w:p>
    <w:p w14:paraId="672AC310" w14:textId="7BF49F8A" w:rsidR="008F745C" w:rsidRPr="009F7399" w:rsidRDefault="00AB0812" w:rsidP="00853E50">
      <w:pPr>
        <w:spacing w:line="240" w:lineRule="auto"/>
        <w:rPr>
          <w:sz w:val="24"/>
          <w:szCs w:val="24"/>
        </w:rPr>
      </w:pPr>
      <w:r w:rsidRPr="00AB0812">
        <w:drawing>
          <wp:inline distT="0" distB="0" distL="0" distR="0" wp14:anchorId="09017CD0" wp14:editId="314A4B7D">
            <wp:extent cx="5943600" cy="4381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p w14:paraId="6E8A1826" w14:textId="77777777" w:rsidR="00853E50" w:rsidRDefault="00853E50">
      <w:pPr>
        <w:rPr>
          <w:sz w:val="24"/>
          <w:szCs w:val="24"/>
        </w:rPr>
      </w:pPr>
      <w:r>
        <w:rPr>
          <w:sz w:val="24"/>
          <w:szCs w:val="24"/>
        </w:rPr>
        <w:br w:type="page"/>
      </w:r>
    </w:p>
    <w:p w14:paraId="42CD53C1" w14:textId="0E3A2440" w:rsidR="00660BFA" w:rsidRDefault="00660BFA">
      <w:pPr>
        <w:rPr>
          <w:b/>
          <w:sz w:val="24"/>
          <w:szCs w:val="24"/>
        </w:rPr>
      </w:pPr>
      <w:r w:rsidRPr="00853E50">
        <w:rPr>
          <w:b/>
          <w:sz w:val="24"/>
          <w:szCs w:val="24"/>
        </w:rPr>
        <w:lastRenderedPageBreak/>
        <w:t>Table 2</w:t>
      </w:r>
    </w:p>
    <w:p w14:paraId="5A12E6F5" w14:textId="6A23E79D" w:rsidR="00937B5C" w:rsidRDefault="00AB0812" w:rsidP="000E4EC4">
      <w:pPr>
        <w:spacing w:line="240" w:lineRule="auto"/>
        <w:rPr>
          <w:sz w:val="24"/>
          <w:szCs w:val="24"/>
        </w:rPr>
      </w:pPr>
      <w:r w:rsidRPr="00AB0812">
        <w:drawing>
          <wp:inline distT="0" distB="0" distL="0" distR="0" wp14:anchorId="2C7494DD" wp14:editId="5AF2E751">
            <wp:extent cx="5943600" cy="41186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18610"/>
                    </a:xfrm>
                    <a:prstGeom prst="rect">
                      <a:avLst/>
                    </a:prstGeom>
                    <a:noFill/>
                    <a:ln>
                      <a:noFill/>
                    </a:ln>
                  </pic:spPr>
                </pic:pic>
              </a:graphicData>
            </a:graphic>
          </wp:inline>
        </w:drawing>
      </w:r>
    </w:p>
    <w:p w14:paraId="223328A9" w14:textId="2B1F9149" w:rsidR="00937B5C" w:rsidRDefault="00896A29" w:rsidP="000E4EC4">
      <w:pPr>
        <w:spacing w:line="240" w:lineRule="auto"/>
        <w:rPr>
          <w:sz w:val="24"/>
          <w:szCs w:val="24"/>
        </w:rPr>
      </w:pPr>
      <w:r>
        <w:rPr>
          <w:sz w:val="24"/>
          <w:szCs w:val="24"/>
        </w:rPr>
        <w:t xml:space="preserve">As noted above, returns on investment holdings </w:t>
      </w:r>
      <w:r w:rsidR="004B5AE9">
        <w:rPr>
          <w:sz w:val="24"/>
          <w:szCs w:val="24"/>
        </w:rPr>
        <w:t>accounted for almost a third</w:t>
      </w:r>
      <w:r>
        <w:rPr>
          <w:sz w:val="24"/>
          <w:szCs w:val="24"/>
        </w:rPr>
        <w:t xml:space="preserve"> of all Other Funds revenues received statewide in fiscal year 202</w:t>
      </w:r>
      <w:r w:rsidR="000B53A2">
        <w:rPr>
          <w:sz w:val="24"/>
          <w:szCs w:val="24"/>
        </w:rPr>
        <w:t>2</w:t>
      </w:r>
      <w:r>
        <w:rPr>
          <w:sz w:val="24"/>
          <w:szCs w:val="24"/>
        </w:rPr>
        <w:t>.  Contributions to the Public Employees Retirement System are the second largest revenue stream.  The majority of Other R</w:t>
      </w:r>
      <w:r w:rsidR="009B29EE">
        <w:rPr>
          <w:sz w:val="24"/>
          <w:szCs w:val="24"/>
        </w:rPr>
        <w:t>evenues and Administrative Charges</w:t>
      </w:r>
      <w:r>
        <w:rPr>
          <w:sz w:val="24"/>
          <w:szCs w:val="24"/>
        </w:rPr>
        <w:t xml:space="preserve"> relate to health insurance premiums received by the Oregon Health Authority on behalf of state employees and Oregon educators.   </w:t>
      </w:r>
      <w:r w:rsidR="009B29EE">
        <w:rPr>
          <w:sz w:val="24"/>
          <w:szCs w:val="24"/>
        </w:rPr>
        <w:t xml:space="preserve">Finally, it should be noted that Federal dollars received as reimbursement for state expenses are classified as Other Fund revenues.  </w:t>
      </w:r>
    </w:p>
    <w:p w14:paraId="75155902" w14:textId="5CE6E47A" w:rsidR="000B53A2" w:rsidRDefault="000B53A2" w:rsidP="000E4EC4">
      <w:pPr>
        <w:spacing w:line="240" w:lineRule="auto"/>
        <w:rPr>
          <w:sz w:val="24"/>
          <w:szCs w:val="24"/>
        </w:rPr>
      </w:pPr>
      <w:r>
        <w:rPr>
          <w:sz w:val="24"/>
          <w:szCs w:val="24"/>
        </w:rPr>
        <w:t xml:space="preserve">A </w:t>
      </w:r>
      <w:r w:rsidR="001E12BA">
        <w:rPr>
          <w:sz w:val="24"/>
          <w:szCs w:val="24"/>
        </w:rPr>
        <w:t>few</w:t>
      </w:r>
      <w:r>
        <w:rPr>
          <w:sz w:val="24"/>
          <w:szCs w:val="24"/>
        </w:rPr>
        <w:t xml:space="preserve"> significant increases projected for the 2023-25 biennium are worth characterizing.  </w:t>
      </w:r>
      <w:r w:rsidR="001E12BA">
        <w:rPr>
          <w:sz w:val="24"/>
          <w:szCs w:val="24"/>
        </w:rPr>
        <w:t xml:space="preserve">First, investment returns on account balances are expected to recover from the downturn in stock markets experienced during fiscal year 2023.  </w:t>
      </w:r>
      <w:r>
        <w:rPr>
          <w:sz w:val="24"/>
          <w:szCs w:val="24"/>
        </w:rPr>
        <w:t xml:space="preserve">The advent of the Paid Leave Oregon program in the Employment Department (see page </w:t>
      </w:r>
      <w:r w:rsidR="00E53753">
        <w:rPr>
          <w:sz w:val="24"/>
          <w:szCs w:val="24"/>
        </w:rPr>
        <w:t>6</w:t>
      </w:r>
      <w:r>
        <w:rPr>
          <w:sz w:val="24"/>
          <w:szCs w:val="24"/>
        </w:rPr>
        <w:t xml:space="preserve">) will result in a near doubling of Employment Taxes next biennium.  </w:t>
      </w:r>
      <w:r w:rsidR="001E12BA">
        <w:rPr>
          <w:sz w:val="24"/>
          <w:szCs w:val="24"/>
        </w:rPr>
        <w:t>Finally, t</w:t>
      </w:r>
      <w:r>
        <w:rPr>
          <w:sz w:val="24"/>
          <w:szCs w:val="24"/>
        </w:rPr>
        <w:t xml:space="preserve">he passage of the federal </w:t>
      </w:r>
      <w:r w:rsidR="00E53753">
        <w:rPr>
          <w:sz w:val="24"/>
          <w:szCs w:val="24"/>
        </w:rPr>
        <w:t xml:space="preserve">Infrastructure Investment and Jobs </w:t>
      </w:r>
      <w:r>
        <w:rPr>
          <w:sz w:val="24"/>
          <w:szCs w:val="24"/>
        </w:rPr>
        <w:t>Act</w:t>
      </w:r>
      <w:r w:rsidR="00E53753">
        <w:rPr>
          <w:sz w:val="24"/>
          <w:szCs w:val="24"/>
        </w:rPr>
        <w:t xml:space="preserve"> (2021)</w:t>
      </w:r>
      <w:r>
        <w:rPr>
          <w:sz w:val="24"/>
          <w:szCs w:val="24"/>
        </w:rPr>
        <w:t xml:space="preserve"> </w:t>
      </w:r>
      <w:r w:rsidR="00504CE2">
        <w:rPr>
          <w:sz w:val="24"/>
          <w:szCs w:val="24"/>
        </w:rPr>
        <w:t>is responsible for the sizable increase in Federal Revenue beginning in fiscal year 2024.</w:t>
      </w:r>
    </w:p>
    <w:p w14:paraId="46AD7F5B" w14:textId="0DB91346" w:rsidR="00733EC5" w:rsidRDefault="00733EC5" w:rsidP="00733EC5">
      <w:pPr>
        <w:spacing w:line="240" w:lineRule="auto"/>
        <w:rPr>
          <w:sz w:val="24"/>
          <w:szCs w:val="24"/>
        </w:rPr>
      </w:pPr>
      <w:r>
        <w:rPr>
          <w:sz w:val="24"/>
          <w:szCs w:val="24"/>
        </w:rPr>
        <w:t xml:space="preserve">The graphic below illustrates Other Fund revenues over time.  Historical data are limited by the availability in the Statewide Financial Management System, however.  Revenues were relatively flat from fiscal year 2018 to 2020, the latter year due largely to the effects of the Covid-19 pandemic.  Collections grew significantly over the ensuing two fiscal years as both the economy and markets recovered, but also due to federal stimulus.  The downturn in equity markets </w:t>
      </w:r>
      <w:r>
        <w:rPr>
          <w:sz w:val="24"/>
          <w:szCs w:val="24"/>
        </w:rPr>
        <w:lastRenderedPageBreak/>
        <w:t>brought down revenues in fiscal year 2023, however receipts are expected to bounce back over the next two years as noted above.</w:t>
      </w:r>
    </w:p>
    <w:p w14:paraId="3F9FB3F6" w14:textId="2ED853F3" w:rsidR="00733EC5" w:rsidRDefault="00733EC5" w:rsidP="000E4EC4">
      <w:pPr>
        <w:spacing w:line="240" w:lineRule="auto"/>
        <w:rPr>
          <w:sz w:val="24"/>
          <w:szCs w:val="24"/>
        </w:rPr>
      </w:pPr>
      <w:r w:rsidRPr="00733EC5">
        <w:rPr>
          <w:noProof/>
          <w:sz w:val="24"/>
          <w:szCs w:val="24"/>
        </w:rPr>
        <mc:AlternateContent>
          <mc:Choice Requires="wps">
            <w:drawing>
              <wp:anchor distT="45720" distB="45720" distL="114300" distR="114300" simplePos="0" relativeHeight="251659264" behindDoc="0" locked="0" layoutInCell="1" allowOverlap="1" wp14:anchorId="3C194F2B" wp14:editId="77667261">
                <wp:simplePos x="0" y="0"/>
                <wp:positionH relativeFrom="column">
                  <wp:posOffset>47625</wp:posOffset>
                </wp:positionH>
                <wp:positionV relativeFrom="paragraph">
                  <wp:posOffset>95250</wp:posOffset>
                </wp:positionV>
                <wp:extent cx="5715000" cy="4448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8175"/>
                        </a:xfrm>
                        <a:prstGeom prst="rect">
                          <a:avLst/>
                        </a:prstGeom>
                        <a:solidFill>
                          <a:srgbClr val="FFFFFF"/>
                        </a:solidFill>
                        <a:ln w="9525">
                          <a:solidFill>
                            <a:srgbClr val="000000"/>
                          </a:solidFill>
                          <a:miter lim="800000"/>
                          <a:headEnd/>
                          <a:tailEnd/>
                        </a:ln>
                      </wps:spPr>
                      <wps:txbx>
                        <w:txbxContent>
                          <w:p w14:paraId="4676254B" w14:textId="1D2F76C0" w:rsidR="00733EC5" w:rsidRDefault="00733EC5">
                            <w:r>
                              <w:t>Chart 1</w:t>
                            </w:r>
                          </w:p>
                          <w:p w14:paraId="40EB6949" w14:textId="55340788" w:rsidR="00733EC5" w:rsidRDefault="00AB0812">
                            <w:r w:rsidRPr="00AB0812">
                              <w:drawing>
                                <wp:inline distT="0" distB="0" distL="0" distR="0" wp14:anchorId="07D1ECC9" wp14:editId="202C0E79">
                                  <wp:extent cx="5505450" cy="40290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4029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94F2B" id="_x0000_t202" coordsize="21600,21600" o:spt="202" path="m,l,21600r21600,l21600,xe">
                <v:stroke joinstyle="miter"/>
                <v:path gradientshapeok="t" o:connecttype="rect"/>
              </v:shapetype>
              <v:shape id="Text Box 2" o:spid="_x0000_s1026" type="#_x0000_t202" style="position:absolute;margin-left:3.75pt;margin-top:7.5pt;width:450pt;height:3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">
                <v:textbox>
                  <w:txbxContent>
                    <w:p w14:paraId="4676254B" w14:textId="1D2F76C0" w:rsidR="00733EC5" w:rsidRDefault="00733EC5">
                      <w:r>
                        <w:t>Chart 1</w:t>
                      </w:r>
                    </w:p>
                    <w:p w14:paraId="40EB6949" w14:textId="55340788" w:rsidR="00733EC5" w:rsidRDefault="00AB0812">
                      <w:r w:rsidRPr="00AB0812">
                        <w:drawing>
                          <wp:inline distT="0" distB="0" distL="0" distR="0" wp14:anchorId="07D1ECC9" wp14:editId="202C0E79">
                            <wp:extent cx="5505450" cy="40290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4029075"/>
                                    </a:xfrm>
                                    <a:prstGeom prst="rect">
                                      <a:avLst/>
                                    </a:prstGeom>
                                    <a:noFill/>
                                    <a:ln>
                                      <a:noFill/>
                                    </a:ln>
                                  </pic:spPr>
                                </pic:pic>
                              </a:graphicData>
                            </a:graphic>
                          </wp:inline>
                        </w:drawing>
                      </w:r>
                    </w:p>
                  </w:txbxContent>
                </v:textbox>
                <w10:wrap type="square"/>
              </v:shape>
            </w:pict>
          </mc:Fallback>
        </mc:AlternateContent>
      </w:r>
    </w:p>
    <w:p w14:paraId="16ED6C26" w14:textId="77777777" w:rsidR="000E4EC4" w:rsidRPr="009F7399" w:rsidRDefault="000E4EC4" w:rsidP="000E4EC4">
      <w:pPr>
        <w:spacing w:line="240" w:lineRule="auto"/>
        <w:rPr>
          <w:sz w:val="24"/>
          <w:szCs w:val="24"/>
        </w:rPr>
      </w:pPr>
      <w:r w:rsidRPr="009F7399">
        <w:rPr>
          <w:sz w:val="24"/>
          <w:szCs w:val="24"/>
        </w:rPr>
        <w:t xml:space="preserve">The following sections present each of the </w:t>
      </w:r>
      <w:r>
        <w:rPr>
          <w:sz w:val="24"/>
          <w:szCs w:val="24"/>
        </w:rPr>
        <w:t>listed</w:t>
      </w:r>
      <w:r w:rsidRPr="009F7399">
        <w:rPr>
          <w:sz w:val="24"/>
          <w:szCs w:val="24"/>
        </w:rPr>
        <w:t xml:space="preserve"> agencies</w:t>
      </w:r>
      <w:r>
        <w:rPr>
          <w:sz w:val="24"/>
          <w:szCs w:val="24"/>
        </w:rPr>
        <w:t>’</w:t>
      </w:r>
      <w:r w:rsidRPr="009F7399">
        <w:rPr>
          <w:sz w:val="24"/>
          <w:szCs w:val="24"/>
        </w:rPr>
        <w:t xml:space="preserve"> Other Funds revenues in detail.</w:t>
      </w:r>
    </w:p>
    <w:p w14:paraId="2D5AA062" w14:textId="77777777" w:rsidR="004F0803" w:rsidRDefault="004F0803">
      <w:pPr>
        <w:rPr>
          <w:sz w:val="24"/>
          <w:szCs w:val="24"/>
        </w:rPr>
      </w:pPr>
      <w:r>
        <w:rPr>
          <w:sz w:val="24"/>
          <w:szCs w:val="24"/>
        </w:rPr>
        <w:br w:type="page"/>
      </w:r>
    </w:p>
    <w:p w14:paraId="08C79A62" w14:textId="77777777" w:rsidR="001F64C0" w:rsidRPr="009F7399" w:rsidRDefault="00C215D3" w:rsidP="001B352D">
      <w:pPr>
        <w:spacing w:line="240" w:lineRule="auto"/>
        <w:rPr>
          <w:sz w:val="24"/>
          <w:szCs w:val="24"/>
        </w:rPr>
      </w:pPr>
      <w:r w:rsidRPr="009F7399">
        <w:rPr>
          <w:sz w:val="24"/>
          <w:szCs w:val="24"/>
        </w:rPr>
        <w:lastRenderedPageBreak/>
        <w:t xml:space="preserve">III. </w:t>
      </w:r>
      <w:r w:rsidR="009F7399" w:rsidRPr="009F7399">
        <w:rPr>
          <w:sz w:val="24"/>
          <w:szCs w:val="24"/>
        </w:rPr>
        <w:t>Major Agencies Detail</w:t>
      </w:r>
    </w:p>
    <w:p w14:paraId="6C7A5FB7" w14:textId="77777777" w:rsidR="0004467D" w:rsidRPr="009F7399" w:rsidRDefault="0004467D" w:rsidP="001B352D">
      <w:pPr>
        <w:spacing w:line="240" w:lineRule="auto"/>
        <w:rPr>
          <w:b/>
          <w:sz w:val="24"/>
          <w:szCs w:val="24"/>
          <w:u w:val="single"/>
        </w:rPr>
      </w:pPr>
      <w:r w:rsidRPr="009F7399">
        <w:rPr>
          <w:b/>
          <w:sz w:val="24"/>
          <w:szCs w:val="24"/>
          <w:u w:val="single"/>
        </w:rPr>
        <w:t>Public Employees Retirement System</w:t>
      </w:r>
    </w:p>
    <w:p w14:paraId="2DB6DF93" w14:textId="47E8D831" w:rsidR="00A26773" w:rsidRPr="009F7399" w:rsidRDefault="00A26773" w:rsidP="003531F8">
      <w:pPr>
        <w:spacing w:line="240" w:lineRule="auto"/>
        <w:rPr>
          <w:sz w:val="24"/>
          <w:szCs w:val="24"/>
        </w:rPr>
      </w:pPr>
      <w:r w:rsidRPr="009F7399">
        <w:rPr>
          <w:sz w:val="24"/>
          <w:szCs w:val="24"/>
        </w:rPr>
        <w:t xml:space="preserve">The majority of Other Funds revenue collected by </w:t>
      </w:r>
      <w:r w:rsidR="000674BD">
        <w:rPr>
          <w:sz w:val="24"/>
          <w:szCs w:val="24"/>
        </w:rPr>
        <w:t>the Public Employees Retirement System (PERS)</w:t>
      </w:r>
      <w:r w:rsidRPr="009F7399">
        <w:rPr>
          <w:sz w:val="24"/>
          <w:szCs w:val="24"/>
        </w:rPr>
        <w:t xml:space="preserve"> are derived from investment of retirement account holdings.  The other significant source of revenue are contributions to the system by covered employe</w:t>
      </w:r>
      <w:r w:rsidR="00193535">
        <w:rPr>
          <w:sz w:val="24"/>
          <w:szCs w:val="24"/>
        </w:rPr>
        <w:t>r</w:t>
      </w:r>
      <w:r w:rsidRPr="009F7399">
        <w:rPr>
          <w:sz w:val="24"/>
          <w:szCs w:val="24"/>
        </w:rPr>
        <w:t>s.</w:t>
      </w:r>
      <w:r w:rsidR="003531F8">
        <w:rPr>
          <w:sz w:val="24"/>
          <w:szCs w:val="24"/>
        </w:rPr>
        <w:t xml:space="preserve">  Insurance premiums are received from PERS retirees purchasing health insurance through the department.  The department</w:t>
      </w:r>
      <w:r w:rsidR="003531F8" w:rsidRPr="003531F8">
        <w:rPr>
          <w:sz w:val="24"/>
          <w:szCs w:val="24"/>
        </w:rPr>
        <w:t xml:space="preserve"> derives revenues to fund administrative activities for the Deferred Compensation Program primarily through a</w:t>
      </w:r>
      <w:r w:rsidR="003531F8">
        <w:rPr>
          <w:sz w:val="24"/>
          <w:szCs w:val="24"/>
        </w:rPr>
        <w:t xml:space="preserve"> </w:t>
      </w:r>
      <w:r w:rsidR="003531F8" w:rsidRPr="003531F8">
        <w:rPr>
          <w:sz w:val="24"/>
          <w:szCs w:val="24"/>
        </w:rPr>
        <w:t>participant fee.</w:t>
      </w:r>
    </w:p>
    <w:p w14:paraId="5BABDA0D" w14:textId="5DC8BA7B" w:rsidR="0004467D" w:rsidRPr="009F7399" w:rsidRDefault="00A055E8" w:rsidP="001B352D">
      <w:pPr>
        <w:spacing w:line="240" w:lineRule="auto"/>
        <w:rPr>
          <w:sz w:val="24"/>
          <w:szCs w:val="24"/>
        </w:rPr>
      </w:pPr>
      <w:r w:rsidRPr="00A055E8">
        <w:drawing>
          <wp:inline distT="0" distB="0" distL="0" distR="0" wp14:anchorId="22462573" wp14:editId="771DF461">
            <wp:extent cx="5943600" cy="1753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53235"/>
                    </a:xfrm>
                    <a:prstGeom prst="rect">
                      <a:avLst/>
                    </a:prstGeom>
                    <a:noFill/>
                    <a:ln>
                      <a:noFill/>
                    </a:ln>
                  </pic:spPr>
                </pic:pic>
              </a:graphicData>
            </a:graphic>
          </wp:inline>
        </w:drawing>
      </w:r>
    </w:p>
    <w:p w14:paraId="0C844075" w14:textId="77777777" w:rsidR="00D2251C" w:rsidRDefault="00D2251C" w:rsidP="001B352D">
      <w:pPr>
        <w:spacing w:line="240" w:lineRule="auto"/>
        <w:rPr>
          <w:b/>
          <w:sz w:val="24"/>
          <w:szCs w:val="24"/>
          <w:u w:val="single"/>
        </w:rPr>
      </w:pPr>
    </w:p>
    <w:p w14:paraId="6AD901C8" w14:textId="62059DD1" w:rsidR="0004467D" w:rsidRPr="009F7399" w:rsidRDefault="0004467D" w:rsidP="001B352D">
      <w:pPr>
        <w:spacing w:line="240" w:lineRule="auto"/>
        <w:rPr>
          <w:b/>
          <w:sz w:val="24"/>
          <w:szCs w:val="24"/>
          <w:u w:val="single"/>
        </w:rPr>
      </w:pPr>
      <w:r w:rsidRPr="009F7399">
        <w:rPr>
          <w:b/>
          <w:sz w:val="24"/>
          <w:szCs w:val="24"/>
          <w:u w:val="single"/>
        </w:rPr>
        <w:t>Oregon Health Authority</w:t>
      </w:r>
    </w:p>
    <w:p w14:paraId="2226466D" w14:textId="77777777" w:rsidR="00B07157" w:rsidRPr="00B07157" w:rsidRDefault="00B07157" w:rsidP="00B07157">
      <w:pPr>
        <w:spacing w:line="240" w:lineRule="auto"/>
        <w:rPr>
          <w:sz w:val="24"/>
          <w:szCs w:val="24"/>
        </w:rPr>
      </w:pPr>
      <w:r w:rsidRPr="00B07157">
        <w:rPr>
          <w:sz w:val="24"/>
          <w:szCs w:val="24"/>
        </w:rPr>
        <w:t xml:space="preserve">A significant source of revenue for the Oregon Health Authority (OHA), captured in the administrative and service charges </w:t>
      </w:r>
      <w:r w:rsidR="004D77FE" w:rsidRPr="00B07157">
        <w:rPr>
          <w:sz w:val="24"/>
          <w:szCs w:val="24"/>
        </w:rPr>
        <w:t>category</w:t>
      </w:r>
      <w:r w:rsidRPr="00B07157">
        <w:rPr>
          <w:sz w:val="24"/>
          <w:szCs w:val="24"/>
        </w:rPr>
        <w:t xml:space="preserve"> are premiums paid on behalf of state employees (PEBB) and employees in the state K-12 education system (OEBB).</w:t>
      </w:r>
    </w:p>
    <w:p w14:paraId="31688550" w14:textId="71C5D6CE" w:rsidR="00B07157" w:rsidRDefault="00B07157" w:rsidP="00B07157">
      <w:pPr>
        <w:spacing w:line="240" w:lineRule="auto"/>
        <w:rPr>
          <w:sz w:val="24"/>
          <w:szCs w:val="24"/>
        </w:rPr>
      </w:pPr>
      <w:r w:rsidRPr="00B07157">
        <w:rPr>
          <w:sz w:val="24"/>
          <w:szCs w:val="24"/>
        </w:rPr>
        <w:t>The largest sources of revenues in the other revenue category are tobacco taxes, tobacco master settlement agreement payments, a transfer from Oregon Health &amp; Sciences University (OHSU), and insurer taxes. This category also includes revenue from beer, wine, and retail marijuana taxes.</w:t>
      </w:r>
    </w:p>
    <w:p w14:paraId="11CF0D01" w14:textId="77777777" w:rsidR="00B07157" w:rsidRPr="00B07157" w:rsidRDefault="00B51EDC" w:rsidP="00B07157">
      <w:pPr>
        <w:spacing w:line="240" w:lineRule="auto"/>
        <w:rPr>
          <w:sz w:val="24"/>
          <w:szCs w:val="24"/>
        </w:rPr>
      </w:pPr>
      <w:r>
        <w:rPr>
          <w:sz w:val="24"/>
          <w:szCs w:val="24"/>
        </w:rPr>
        <w:t>As a result of House Bill 2010 (2019), Oregon currently assesses a</w:t>
      </w:r>
      <w:r w:rsidR="00B07157" w:rsidRPr="00B07157">
        <w:rPr>
          <w:sz w:val="24"/>
          <w:szCs w:val="24"/>
        </w:rPr>
        <w:t xml:space="preserve"> 2.0 percent</w:t>
      </w:r>
      <w:r>
        <w:rPr>
          <w:sz w:val="24"/>
          <w:szCs w:val="24"/>
        </w:rPr>
        <w:t xml:space="preserve"> tax on insurer and managed care premiums</w:t>
      </w:r>
      <w:r w:rsidR="00B07157" w:rsidRPr="00B07157">
        <w:rPr>
          <w:sz w:val="24"/>
          <w:szCs w:val="24"/>
        </w:rPr>
        <w:t xml:space="preserve"> and broadens the tax base by including stop-loss coverage effective January 1, 2020.  A portion of these revenues supports the Oregon Health Plan. The insurer tax will sunset on December 31, 2026.</w:t>
      </w:r>
    </w:p>
    <w:p w14:paraId="10AD5E84" w14:textId="70BB392F" w:rsidR="003207EF" w:rsidRDefault="00A055E8" w:rsidP="00B07157">
      <w:pPr>
        <w:spacing w:line="240" w:lineRule="auto"/>
        <w:rPr>
          <w:sz w:val="24"/>
          <w:szCs w:val="24"/>
        </w:rPr>
      </w:pPr>
      <w:r w:rsidRPr="00A055E8">
        <w:lastRenderedPageBreak/>
        <w:drawing>
          <wp:inline distT="0" distB="0" distL="0" distR="0" wp14:anchorId="706026B9" wp14:editId="303DF527">
            <wp:extent cx="5943600" cy="259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593975"/>
                    </a:xfrm>
                    <a:prstGeom prst="rect">
                      <a:avLst/>
                    </a:prstGeom>
                    <a:noFill/>
                    <a:ln>
                      <a:noFill/>
                    </a:ln>
                  </pic:spPr>
                </pic:pic>
              </a:graphicData>
            </a:graphic>
          </wp:inline>
        </w:drawing>
      </w:r>
    </w:p>
    <w:p w14:paraId="4F32A904" w14:textId="2A3364C3" w:rsidR="00A26773" w:rsidRPr="009F7399" w:rsidRDefault="00B07157" w:rsidP="00B07157">
      <w:pPr>
        <w:spacing w:line="240" w:lineRule="auto"/>
        <w:rPr>
          <w:sz w:val="24"/>
          <w:szCs w:val="24"/>
        </w:rPr>
      </w:pPr>
      <w:r w:rsidRPr="00B07157">
        <w:rPr>
          <w:sz w:val="24"/>
          <w:szCs w:val="24"/>
        </w:rPr>
        <w:t>OHA also collects fees, captured in the licenses and fees category, through the Health Licensing Office for licenses, registrations, and renewals; the Public Health division for licensing of facilities, registration of X-ray equipment, and testing and certification of Emergency Medical Technicians; and the Health Policy and Analytics division for the Conrad J-1 Visa Program (ORS 409.745), the Primary Care Provider Loan repayment program, Health Care Workforce Data Collection and Reporting, and health care data reporting.</w:t>
      </w:r>
    </w:p>
    <w:p w14:paraId="6066C7A3" w14:textId="77777777" w:rsidR="00D2251C" w:rsidRDefault="00D2251C" w:rsidP="001B352D">
      <w:pPr>
        <w:spacing w:line="240" w:lineRule="auto"/>
        <w:rPr>
          <w:b/>
          <w:sz w:val="24"/>
          <w:szCs w:val="24"/>
          <w:u w:val="single"/>
        </w:rPr>
      </w:pPr>
    </w:p>
    <w:p w14:paraId="1DC60252" w14:textId="2F3A088D" w:rsidR="001B352D" w:rsidRPr="009F7399" w:rsidRDefault="001B352D" w:rsidP="001B352D">
      <w:pPr>
        <w:spacing w:line="240" w:lineRule="auto"/>
        <w:rPr>
          <w:b/>
          <w:sz w:val="24"/>
          <w:szCs w:val="24"/>
          <w:u w:val="single"/>
        </w:rPr>
      </w:pPr>
      <w:r w:rsidRPr="009F7399">
        <w:rPr>
          <w:b/>
          <w:sz w:val="24"/>
          <w:szCs w:val="24"/>
          <w:u w:val="single"/>
        </w:rPr>
        <w:t>Department of Transportation</w:t>
      </w:r>
    </w:p>
    <w:p w14:paraId="5053CDD1" w14:textId="59A8A26F" w:rsidR="00815795" w:rsidRPr="00815795" w:rsidRDefault="00815795" w:rsidP="00815795">
      <w:pPr>
        <w:spacing w:line="240" w:lineRule="auto"/>
        <w:rPr>
          <w:sz w:val="24"/>
          <w:szCs w:val="24"/>
        </w:rPr>
      </w:pPr>
      <w:r w:rsidRPr="00815795">
        <w:rPr>
          <w:sz w:val="24"/>
          <w:szCs w:val="24"/>
        </w:rPr>
        <w:t>The Department of Transportation’s</w:t>
      </w:r>
      <w:r w:rsidR="000674BD">
        <w:rPr>
          <w:sz w:val="24"/>
          <w:szCs w:val="24"/>
        </w:rPr>
        <w:t xml:space="preserve"> (ODOT)</w:t>
      </w:r>
      <w:r w:rsidRPr="00815795">
        <w:rPr>
          <w:sz w:val="24"/>
          <w:szCs w:val="24"/>
        </w:rPr>
        <w:t xml:space="preserve"> primary sources of revenue are the taxes and fees assessed on fuel and vehicles. The single largest source is the Motor Fuels Tax. This is the tax per gallon on fuel paid by all vehicles 26,000 lbs. and under. In lieu of a fuels tax, heavy vehicles above 26,000 lbs. are assessed a mileage tax based on weight and axle combination, called the Weight-mile Tax. These two taxes comprise the user fees. In addition, ODOT collects registration and title fees for light and heavy vehicles, and license and permit fees for drivers.</w:t>
      </w:r>
    </w:p>
    <w:p w14:paraId="3A0BB673" w14:textId="15CAEBDD" w:rsidR="00815795" w:rsidRPr="00815795" w:rsidRDefault="00FE0117" w:rsidP="00815795">
      <w:pPr>
        <w:spacing w:line="240" w:lineRule="auto"/>
        <w:rPr>
          <w:sz w:val="24"/>
          <w:szCs w:val="24"/>
        </w:rPr>
      </w:pPr>
      <w:r>
        <w:rPr>
          <w:sz w:val="24"/>
          <w:szCs w:val="24"/>
        </w:rPr>
        <w:t>An additional large</w:t>
      </w:r>
      <w:r w:rsidR="00815795" w:rsidRPr="00815795">
        <w:rPr>
          <w:sz w:val="24"/>
          <w:szCs w:val="24"/>
        </w:rPr>
        <w:t xml:space="preserve"> source of revenue is Federal funds. These funds are primarily available for use on road and bridge construction. These funds are made available to states through passage of federal authorizations</w:t>
      </w:r>
      <w:r w:rsidR="006F22E2">
        <w:rPr>
          <w:sz w:val="24"/>
          <w:szCs w:val="24"/>
        </w:rPr>
        <w:t xml:space="preserve"> (e.g., the Infrastructure Investment and Jobs Act of 2021)</w:t>
      </w:r>
      <w:r w:rsidR="00815795" w:rsidRPr="00815795">
        <w:rPr>
          <w:sz w:val="24"/>
          <w:szCs w:val="24"/>
        </w:rPr>
        <w:t>.</w:t>
      </w:r>
    </w:p>
    <w:p w14:paraId="03B406E7" w14:textId="14E7F5EC" w:rsidR="003207EF" w:rsidRDefault="00FC3D16" w:rsidP="00815795">
      <w:pPr>
        <w:spacing w:line="240" w:lineRule="auto"/>
        <w:rPr>
          <w:sz w:val="24"/>
          <w:szCs w:val="24"/>
        </w:rPr>
      </w:pPr>
      <w:r w:rsidRPr="00FC3D16">
        <w:rPr>
          <w:noProof/>
        </w:rPr>
        <w:lastRenderedPageBreak/>
        <w:drawing>
          <wp:inline distT="0" distB="0" distL="0" distR="0" wp14:anchorId="24E11749" wp14:editId="58B97BF1">
            <wp:extent cx="5943600" cy="24142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14270"/>
                    </a:xfrm>
                    <a:prstGeom prst="rect">
                      <a:avLst/>
                    </a:prstGeom>
                    <a:noFill/>
                    <a:ln>
                      <a:noFill/>
                    </a:ln>
                  </pic:spPr>
                </pic:pic>
              </a:graphicData>
            </a:graphic>
          </wp:inline>
        </w:drawing>
      </w:r>
    </w:p>
    <w:p w14:paraId="6CC33CF5" w14:textId="2A145A63" w:rsidR="002728EB" w:rsidRDefault="00815795" w:rsidP="001E12BA">
      <w:pPr>
        <w:spacing w:line="240" w:lineRule="auto"/>
        <w:rPr>
          <w:sz w:val="24"/>
          <w:szCs w:val="24"/>
        </w:rPr>
      </w:pPr>
      <w:r w:rsidRPr="00815795">
        <w:rPr>
          <w:sz w:val="24"/>
          <w:szCs w:val="24"/>
        </w:rPr>
        <w:t>Other Revenue includes DMV record sales income, fines and forfeiture, recovery from property damage to highway infrastructure, property rentals, court restitutions and settlements.</w:t>
      </w:r>
      <w:r w:rsidR="006F22E2">
        <w:rPr>
          <w:sz w:val="24"/>
          <w:szCs w:val="24"/>
        </w:rPr>
        <w:t xml:space="preserve">  </w:t>
      </w:r>
      <w:r w:rsidRPr="00815795">
        <w:rPr>
          <w:sz w:val="24"/>
          <w:szCs w:val="24"/>
        </w:rPr>
        <w:t xml:space="preserve">Lastly, ODOT charges fees to recover costs for a variety of services. Examples include billboard signs, material testing, </w:t>
      </w:r>
      <w:r>
        <w:rPr>
          <w:sz w:val="24"/>
          <w:szCs w:val="24"/>
        </w:rPr>
        <w:t>and</w:t>
      </w:r>
      <w:r w:rsidRPr="00815795">
        <w:rPr>
          <w:sz w:val="24"/>
          <w:szCs w:val="24"/>
        </w:rPr>
        <w:t xml:space="preserve"> fuel sales</w:t>
      </w:r>
      <w:r w:rsidR="000F52CB" w:rsidRPr="00815795">
        <w:rPr>
          <w:sz w:val="24"/>
          <w:szCs w:val="24"/>
        </w:rPr>
        <w:t>, fleet</w:t>
      </w:r>
      <w:r w:rsidRPr="00815795">
        <w:rPr>
          <w:sz w:val="24"/>
          <w:szCs w:val="24"/>
        </w:rPr>
        <w:t xml:space="preserve"> services and other lab services.</w:t>
      </w:r>
    </w:p>
    <w:p w14:paraId="29EA19BE" w14:textId="4AB9A7BB" w:rsidR="001F1AB0" w:rsidRDefault="001F1AB0" w:rsidP="001F1AB0">
      <w:pPr>
        <w:rPr>
          <w:b/>
          <w:sz w:val="24"/>
          <w:szCs w:val="24"/>
          <w:u w:val="single"/>
        </w:rPr>
      </w:pPr>
      <w:r>
        <w:rPr>
          <w:b/>
          <w:sz w:val="24"/>
          <w:szCs w:val="24"/>
          <w:u w:val="single"/>
        </w:rPr>
        <w:t>Employment Department</w:t>
      </w:r>
    </w:p>
    <w:p w14:paraId="14EA6624" w14:textId="65BCD115" w:rsidR="001F1AB0" w:rsidRDefault="009903ED" w:rsidP="001F1AB0">
      <w:pPr>
        <w:rPr>
          <w:sz w:val="24"/>
          <w:szCs w:val="24"/>
        </w:rPr>
      </w:pPr>
      <w:r w:rsidRPr="00030854">
        <w:rPr>
          <w:sz w:val="24"/>
          <w:szCs w:val="24"/>
        </w:rPr>
        <w:t xml:space="preserve">The majority of the </w:t>
      </w:r>
      <w:r w:rsidR="000674BD">
        <w:rPr>
          <w:sz w:val="24"/>
          <w:szCs w:val="24"/>
        </w:rPr>
        <w:t>Employment D</w:t>
      </w:r>
      <w:r w:rsidRPr="00030854">
        <w:rPr>
          <w:sz w:val="24"/>
          <w:szCs w:val="24"/>
        </w:rPr>
        <w:t xml:space="preserve">epartment’s </w:t>
      </w:r>
      <w:r w:rsidR="000674BD">
        <w:rPr>
          <w:sz w:val="24"/>
          <w:szCs w:val="24"/>
        </w:rPr>
        <w:t xml:space="preserve">(OED) </w:t>
      </w:r>
      <w:r w:rsidRPr="00030854">
        <w:rPr>
          <w:sz w:val="24"/>
          <w:szCs w:val="24"/>
        </w:rPr>
        <w:t xml:space="preserve">revenues are employer contributions for the unemployment insurance program.  </w:t>
      </w:r>
      <w:r w:rsidR="006F22E2">
        <w:rPr>
          <w:sz w:val="24"/>
          <w:szCs w:val="24"/>
        </w:rPr>
        <w:t xml:space="preserve">The large increase for 2023-25 owes to the inauguration of the Paid Leave Oregon program.  </w:t>
      </w:r>
      <w:r w:rsidRPr="00030854">
        <w:rPr>
          <w:sz w:val="24"/>
          <w:szCs w:val="24"/>
        </w:rPr>
        <w:t xml:space="preserve">The department also receives significant amounts of investment returns on account holdings.  </w:t>
      </w:r>
    </w:p>
    <w:p w14:paraId="1F959547" w14:textId="49FE8085" w:rsidR="00FC3D16" w:rsidRPr="00030854" w:rsidRDefault="009928B6" w:rsidP="001F1AB0">
      <w:pPr>
        <w:rPr>
          <w:sz w:val="24"/>
          <w:szCs w:val="24"/>
        </w:rPr>
      </w:pPr>
      <w:r w:rsidRPr="009928B6">
        <w:rPr>
          <w:noProof/>
        </w:rPr>
        <w:drawing>
          <wp:inline distT="0" distB="0" distL="0" distR="0" wp14:anchorId="2B6C7CDA" wp14:editId="7566821E">
            <wp:extent cx="5943600" cy="19475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47545"/>
                    </a:xfrm>
                    <a:prstGeom prst="rect">
                      <a:avLst/>
                    </a:prstGeom>
                    <a:noFill/>
                    <a:ln>
                      <a:noFill/>
                    </a:ln>
                  </pic:spPr>
                </pic:pic>
              </a:graphicData>
            </a:graphic>
          </wp:inline>
        </w:drawing>
      </w:r>
    </w:p>
    <w:p w14:paraId="7F5D3DEE" w14:textId="77777777" w:rsidR="00030854" w:rsidRPr="00030854" w:rsidRDefault="00030854" w:rsidP="00030854">
      <w:pPr>
        <w:rPr>
          <w:sz w:val="24"/>
          <w:szCs w:val="24"/>
        </w:rPr>
      </w:pPr>
      <w:r w:rsidRPr="00030854">
        <w:rPr>
          <w:b/>
          <w:bCs/>
        </w:rPr>
        <w:t>Charges for Service</w:t>
      </w:r>
      <w:r w:rsidRPr="00030854">
        <w:t xml:space="preserve"> - The Office of Administrative Hearings receives cost-based payments for services provided to state agencies, counties, cities, boards, and commissions. Charges to each customer are based on their actual use of services. The department also receives penalty and interest income that is charged against employers’ delinquent payment of taxes.  Funds also result from an agency partnership plan with other state agencies and the Federal Government for reimbursement of state funds used for employment and training of SNAP clients.</w:t>
      </w:r>
    </w:p>
    <w:p w14:paraId="371DBEE9" w14:textId="0C799EDA" w:rsidR="00030854" w:rsidRPr="00030854" w:rsidRDefault="00030854" w:rsidP="00030854">
      <w:pPr>
        <w:autoSpaceDE w:val="0"/>
        <w:autoSpaceDN w:val="0"/>
      </w:pPr>
      <w:r w:rsidRPr="00030854">
        <w:rPr>
          <w:b/>
          <w:bCs/>
        </w:rPr>
        <w:lastRenderedPageBreak/>
        <w:t>Other Revenue</w:t>
      </w:r>
      <w:r w:rsidRPr="00030854">
        <w:t xml:space="preserve"> - </w:t>
      </w:r>
      <w:r w:rsidR="000674BD">
        <w:t>OED</w:t>
      </w:r>
      <w:r w:rsidRPr="00030854">
        <w:t xml:space="preserve"> receives interest on the Unemployment Insurance Trust </w:t>
      </w:r>
      <w:r w:rsidR="004D77FE" w:rsidRPr="00030854">
        <w:t>Fund, which</w:t>
      </w:r>
      <w:r w:rsidRPr="00030854">
        <w:t xml:space="preserve"> is held by the U.S. Treasury. This interest is reinvested in the Unemployment Insurance Trust Fund and used to pay benefits to claimants.</w:t>
      </w:r>
    </w:p>
    <w:p w14:paraId="136BF245" w14:textId="77777777" w:rsidR="00D2251C" w:rsidRDefault="00D2251C" w:rsidP="001B352D">
      <w:pPr>
        <w:spacing w:line="240" w:lineRule="auto"/>
        <w:rPr>
          <w:b/>
          <w:sz w:val="24"/>
          <w:szCs w:val="24"/>
          <w:u w:val="single"/>
        </w:rPr>
      </w:pPr>
    </w:p>
    <w:p w14:paraId="0D2F6B62" w14:textId="3F7F5851" w:rsidR="001B352D" w:rsidRPr="009F7399" w:rsidRDefault="001B352D" w:rsidP="001B352D">
      <w:pPr>
        <w:spacing w:line="240" w:lineRule="auto"/>
        <w:rPr>
          <w:b/>
          <w:sz w:val="24"/>
          <w:szCs w:val="24"/>
          <w:u w:val="single"/>
        </w:rPr>
      </w:pPr>
      <w:r w:rsidRPr="009F7399">
        <w:rPr>
          <w:b/>
          <w:sz w:val="24"/>
          <w:szCs w:val="24"/>
          <w:u w:val="single"/>
        </w:rPr>
        <w:t xml:space="preserve">Oregon Liquor </w:t>
      </w:r>
      <w:r w:rsidR="007741F6">
        <w:rPr>
          <w:b/>
          <w:sz w:val="24"/>
          <w:szCs w:val="24"/>
          <w:u w:val="single"/>
        </w:rPr>
        <w:t>and Cannabis</w:t>
      </w:r>
      <w:r w:rsidRPr="009F7399">
        <w:rPr>
          <w:b/>
          <w:sz w:val="24"/>
          <w:szCs w:val="24"/>
          <w:u w:val="single"/>
        </w:rPr>
        <w:t xml:space="preserve"> Commission</w:t>
      </w:r>
    </w:p>
    <w:p w14:paraId="6F373988" w14:textId="6A5E605D" w:rsidR="006C126C" w:rsidRPr="006C126C" w:rsidRDefault="006C126C" w:rsidP="006C126C">
      <w:pPr>
        <w:spacing w:line="240" w:lineRule="auto"/>
        <w:rPr>
          <w:sz w:val="24"/>
          <w:szCs w:val="24"/>
        </w:rPr>
      </w:pPr>
      <w:r w:rsidRPr="006C126C">
        <w:rPr>
          <w:sz w:val="24"/>
          <w:szCs w:val="24"/>
        </w:rPr>
        <w:t xml:space="preserve">The Oregon Liquor </w:t>
      </w:r>
      <w:r w:rsidR="00140E2A">
        <w:rPr>
          <w:sz w:val="24"/>
          <w:szCs w:val="24"/>
        </w:rPr>
        <w:t>and Cannabis</w:t>
      </w:r>
      <w:r w:rsidRPr="006C126C">
        <w:rPr>
          <w:sz w:val="24"/>
          <w:szCs w:val="24"/>
        </w:rPr>
        <w:t xml:space="preserve"> Commission</w:t>
      </w:r>
      <w:r w:rsidR="000674BD">
        <w:rPr>
          <w:sz w:val="24"/>
          <w:szCs w:val="24"/>
        </w:rPr>
        <w:t xml:space="preserve"> (OLCC)</w:t>
      </w:r>
      <w:r w:rsidRPr="006C126C">
        <w:rPr>
          <w:sz w:val="24"/>
          <w:szCs w:val="24"/>
        </w:rPr>
        <w:t xml:space="preserve"> receives revenues from distilled spirits sales, license fees from alcohol and fines, server education fees, taxes on malt beverages and wines (Privilege Tax), marijuana license fees, marijuana tax money, worker permit fees and miscellaneous income</w:t>
      </w:r>
      <w:r w:rsidR="00FE0117">
        <w:rPr>
          <w:sz w:val="24"/>
          <w:szCs w:val="24"/>
        </w:rPr>
        <w:t>.</w:t>
      </w:r>
    </w:p>
    <w:p w14:paraId="5ADE5A2F" w14:textId="15360EAE" w:rsidR="007741F6" w:rsidRDefault="00FC3D16" w:rsidP="006C126C">
      <w:pPr>
        <w:spacing w:line="240" w:lineRule="auto"/>
        <w:rPr>
          <w:sz w:val="24"/>
          <w:szCs w:val="24"/>
        </w:rPr>
      </w:pPr>
      <w:r w:rsidRPr="00FC3D16">
        <w:rPr>
          <w:noProof/>
        </w:rPr>
        <w:drawing>
          <wp:inline distT="0" distB="0" distL="0" distR="0" wp14:anchorId="180B869C" wp14:editId="51B6D807">
            <wp:extent cx="5943600" cy="17913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91335"/>
                    </a:xfrm>
                    <a:prstGeom prst="rect">
                      <a:avLst/>
                    </a:prstGeom>
                    <a:noFill/>
                    <a:ln>
                      <a:noFill/>
                    </a:ln>
                  </pic:spPr>
                </pic:pic>
              </a:graphicData>
            </a:graphic>
          </wp:inline>
        </w:drawing>
      </w:r>
    </w:p>
    <w:p w14:paraId="34A719AE" w14:textId="78291382" w:rsidR="006C126C" w:rsidRDefault="006C126C" w:rsidP="006C126C">
      <w:pPr>
        <w:spacing w:line="240" w:lineRule="auto"/>
        <w:rPr>
          <w:sz w:val="24"/>
          <w:szCs w:val="24"/>
        </w:rPr>
      </w:pPr>
      <w:r w:rsidRPr="006C126C">
        <w:rPr>
          <w:sz w:val="24"/>
          <w:szCs w:val="24"/>
        </w:rPr>
        <w:t>The OLCC forecasts distilled spirits sales based on an econometric model. This model uses projections of population growth from the Oregon Office of Economic Analysis to predict consumption per capita. This is combined with estimates of inflation in the wholesale cost of distilled spirits based on historical data. The OLCC then evaluates the range of possible revenue outcomes given the current operating environment.  The national and Oregon distilled spirits sales trends that have emerged in recent years continue to grow.   The effective mark-up on distilled spirits is 107 percent, and distilled spirits prices are set by the OLCC (ORS 471.745).</w:t>
      </w:r>
    </w:p>
    <w:p w14:paraId="55EA2DC7" w14:textId="77777777" w:rsidR="003207EF" w:rsidRDefault="003207EF" w:rsidP="008D1C93">
      <w:pPr>
        <w:rPr>
          <w:b/>
          <w:sz w:val="24"/>
          <w:szCs w:val="24"/>
          <w:u w:val="single"/>
        </w:rPr>
      </w:pPr>
    </w:p>
    <w:p w14:paraId="1C616EE1" w14:textId="0BC22EBB" w:rsidR="008D1C93" w:rsidRPr="009F7399" w:rsidRDefault="003207EF" w:rsidP="008D1C93">
      <w:pPr>
        <w:rPr>
          <w:b/>
          <w:sz w:val="24"/>
          <w:szCs w:val="24"/>
        </w:rPr>
      </w:pPr>
      <w:r>
        <w:rPr>
          <w:b/>
          <w:sz w:val="24"/>
          <w:szCs w:val="24"/>
          <w:u w:val="single"/>
        </w:rPr>
        <w:br w:type="column"/>
      </w:r>
      <w:r>
        <w:rPr>
          <w:b/>
          <w:sz w:val="24"/>
          <w:szCs w:val="24"/>
          <w:u w:val="single"/>
        </w:rPr>
        <w:lastRenderedPageBreak/>
        <w:t>D</w:t>
      </w:r>
      <w:r w:rsidR="008D1C93" w:rsidRPr="009F7399">
        <w:rPr>
          <w:b/>
          <w:sz w:val="24"/>
          <w:szCs w:val="24"/>
          <w:u w:val="single"/>
        </w:rPr>
        <w:t>epartment of Administrative Services</w:t>
      </w:r>
    </w:p>
    <w:p w14:paraId="60E764F5" w14:textId="0F5F9A26" w:rsidR="001A5273" w:rsidRDefault="001A5273" w:rsidP="001B352D">
      <w:pPr>
        <w:spacing w:line="240" w:lineRule="auto"/>
        <w:rPr>
          <w:sz w:val="24"/>
          <w:szCs w:val="24"/>
        </w:rPr>
      </w:pPr>
      <w:r w:rsidRPr="009F7399">
        <w:rPr>
          <w:sz w:val="24"/>
          <w:szCs w:val="24"/>
        </w:rPr>
        <w:t>The Department of Administrative Services</w:t>
      </w:r>
      <w:r w:rsidR="000674BD">
        <w:rPr>
          <w:sz w:val="24"/>
          <w:szCs w:val="24"/>
        </w:rPr>
        <w:t xml:space="preserve"> (DAS)</w:t>
      </w:r>
      <w:r w:rsidRPr="009F7399">
        <w:rPr>
          <w:sz w:val="24"/>
          <w:szCs w:val="24"/>
        </w:rPr>
        <w:t xml:space="preserve"> collects revenues derived from charges to other state agencies for a variety of services.  These charges should be viewed differently than revenues derived from non-state governmental activities in that these funds are not new revenues to state government.  The department also receives debt service funds from other state agencies for borrowing administered by DAS.</w:t>
      </w:r>
      <w:r w:rsidR="004F7251">
        <w:rPr>
          <w:sz w:val="24"/>
          <w:szCs w:val="24"/>
        </w:rPr>
        <w:t xml:space="preserve">  Tobacco Settlement revenues are received from the four major tobacco companies to cover state costs from tobacco-related illnesses.</w:t>
      </w:r>
    </w:p>
    <w:p w14:paraId="28190630" w14:textId="1F00CDDF" w:rsidR="004B43A5" w:rsidRPr="009F7399" w:rsidRDefault="00A055E8" w:rsidP="004B43A5">
      <w:pPr>
        <w:spacing w:line="240" w:lineRule="auto"/>
        <w:rPr>
          <w:sz w:val="24"/>
          <w:szCs w:val="24"/>
        </w:rPr>
      </w:pPr>
      <w:r w:rsidRPr="00A055E8">
        <w:drawing>
          <wp:inline distT="0" distB="0" distL="0" distR="0" wp14:anchorId="672E866C" wp14:editId="78697DC4">
            <wp:extent cx="5943600"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19300"/>
                    </a:xfrm>
                    <a:prstGeom prst="rect">
                      <a:avLst/>
                    </a:prstGeom>
                    <a:noFill/>
                    <a:ln>
                      <a:noFill/>
                    </a:ln>
                  </pic:spPr>
                </pic:pic>
              </a:graphicData>
            </a:graphic>
          </wp:inline>
        </w:drawing>
      </w:r>
    </w:p>
    <w:p w14:paraId="6A4A4D2B" w14:textId="77777777" w:rsidR="00D2251C" w:rsidRDefault="00D2251C" w:rsidP="001B352D">
      <w:pPr>
        <w:spacing w:line="240" w:lineRule="auto"/>
        <w:rPr>
          <w:b/>
          <w:sz w:val="24"/>
          <w:szCs w:val="24"/>
          <w:u w:val="single"/>
        </w:rPr>
      </w:pPr>
    </w:p>
    <w:p w14:paraId="630F2A97" w14:textId="5A78E086" w:rsidR="004364AD" w:rsidRPr="009F7399" w:rsidRDefault="004364AD" w:rsidP="001B352D">
      <w:pPr>
        <w:spacing w:line="240" w:lineRule="auto"/>
        <w:rPr>
          <w:b/>
          <w:sz w:val="24"/>
          <w:szCs w:val="24"/>
          <w:u w:val="single"/>
        </w:rPr>
      </w:pPr>
      <w:r w:rsidRPr="009F7399">
        <w:rPr>
          <w:b/>
          <w:sz w:val="24"/>
          <w:szCs w:val="24"/>
          <w:u w:val="single"/>
        </w:rPr>
        <w:t>Department of Revenue</w:t>
      </w:r>
    </w:p>
    <w:p w14:paraId="57E1C3D0" w14:textId="0FB87B68" w:rsidR="00B07157" w:rsidRDefault="00B07157" w:rsidP="00B07157">
      <w:pPr>
        <w:spacing w:line="240" w:lineRule="auto"/>
        <w:rPr>
          <w:sz w:val="24"/>
          <w:szCs w:val="24"/>
        </w:rPr>
      </w:pPr>
      <w:r w:rsidRPr="00B07157">
        <w:rPr>
          <w:sz w:val="24"/>
          <w:szCs w:val="24"/>
        </w:rPr>
        <w:t>The Department of Revenue</w:t>
      </w:r>
      <w:r w:rsidR="000674BD">
        <w:rPr>
          <w:sz w:val="24"/>
          <w:szCs w:val="24"/>
        </w:rPr>
        <w:t xml:space="preserve"> (DOR)</w:t>
      </w:r>
      <w:r w:rsidRPr="00B07157">
        <w:rPr>
          <w:sz w:val="24"/>
          <w:szCs w:val="24"/>
        </w:rPr>
        <w:t xml:space="preserve"> collects taxes on behalf of various state departments and local governments, the proceeds from these taxes are transferred to the state departments and local governments after deducting the cost of administration.  </w:t>
      </w:r>
      <w:r w:rsidR="001F1AB0" w:rsidRPr="00B07157">
        <w:rPr>
          <w:sz w:val="24"/>
          <w:szCs w:val="24"/>
        </w:rPr>
        <w:t xml:space="preserve">Taxes on </w:t>
      </w:r>
      <w:r w:rsidR="001818C9">
        <w:rPr>
          <w:sz w:val="24"/>
          <w:szCs w:val="24"/>
        </w:rPr>
        <w:t xml:space="preserve">corporate receipts, </w:t>
      </w:r>
      <w:r w:rsidR="001F1AB0" w:rsidRPr="00B07157">
        <w:rPr>
          <w:sz w:val="24"/>
          <w:szCs w:val="24"/>
        </w:rPr>
        <w:t xml:space="preserve">cigarettes, other tobacco products and marijuana make up a large portion of Other Funds Revenues.  Privilege Tax includes Vehicle Privilege Tax for the privilege of selling motor vehicles and Vehicle Use Tax for the privilege of purchasing motor vehicles.  </w:t>
      </w:r>
    </w:p>
    <w:p w14:paraId="333245E6" w14:textId="04F6B19B" w:rsidR="00CE3AC5" w:rsidRPr="00B07157" w:rsidRDefault="00AB0812" w:rsidP="00B07157">
      <w:pPr>
        <w:spacing w:line="240" w:lineRule="auto"/>
        <w:rPr>
          <w:sz w:val="24"/>
          <w:szCs w:val="24"/>
        </w:rPr>
      </w:pPr>
      <w:r w:rsidRPr="00AB0812">
        <w:drawing>
          <wp:inline distT="0" distB="0" distL="0" distR="0" wp14:anchorId="6A80210F" wp14:editId="17E3987F">
            <wp:extent cx="5943600" cy="168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682750"/>
                    </a:xfrm>
                    <a:prstGeom prst="rect">
                      <a:avLst/>
                    </a:prstGeom>
                    <a:noFill/>
                    <a:ln>
                      <a:noFill/>
                    </a:ln>
                  </pic:spPr>
                </pic:pic>
              </a:graphicData>
            </a:graphic>
          </wp:inline>
        </w:drawing>
      </w:r>
    </w:p>
    <w:p w14:paraId="0B21DE0E" w14:textId="3E73D383" w:rsidR="00C965B4" w:rsidRDefault="00B07157" w:rsidP="00B07157">
      <w:pPr>
        <w:spacing w:line="240" w:lineRule="auto"/>
        <w:rPr>
          <w:sz w:val="24"/>
          <w:szCs w:val="24"/>
        </w:rPr>
      </w:pPr>
      <w:r w:rsidRPr="00B07157">
        <w:rPr>
          <w:sz w:val="24"/>
          <w:szCs w:val="24"/>
        </w:rPr>
        <w:t xml:space="preserve">The remaining Other Fund Taxes and Revenues include Amusement Device Tax, State Lodging Tax, Emergency Communications tax, Timber Tax, Heavy Equipment Rental Tax, Gas and Oil Severance Tax, Private Rail Car and Cooperative Electric Tax, Bicycle Excise Tax, County Assessment Funding Assistance Program, Oregon Land Information System Fund, County Assessment Funding Assistance Program, Senior and Disabled Citizen’s Property Tax Deferral, </w:t>
      </w:r>
      <w:r w:rsidRPr="00B07157">
        <w:rPr>
          <w:sz w:val="24"/>
          <w:szCs w:val="24"/>
        </w:rPr>
        <w:lastRenderedPageBreak/>
        <w:t>Green Light Labor Rebate Fund, various Business and License Fees, Donations and Fines and Forfeitures.  Administrative Charges are the estimated revenues used to help cover the Department of Revenue administrative costs to operate the various tax and collection programs.</w:t>
      </w:r>
    </w:p>
    <w:p w14:paraId="37EC3E7D" w14:textId="77777777" w:rsidR="0027339A" w:rsidRDefault="0027339A" w:rsidP="00B013A6">
      <w:pPr>
        <w:spacing w:line="240" w:lineRule="auto"/>
        <w:rPr>
          <w:b/>
          <w:sz w:val="24"/>
          <w:szCs w:val="24"/>
          <w:u w:val="single"/>
        </w:rPr>
      </w:pPr>
    </w:p>
    <w:p w14:paraId="0108BE58" w14:textId="571ABDB2" w:rsidR="00B013A6" w:rsidRDefault="00B013A6" w:rsidP="00B013A6">
      <w:pPr>
        <w:spacing w:line="240" w:lineRule="auto"/>
        <w:rPr>
          <w:b/>
          <w:sz w:val="24"/>
          <w:szCs w:val="24"/>
          <w:u w:val="single"/>
        </w:rPr>
      </w:pPr>
      <w:r w:rsidRPr="009F7399">
        <w:rPr>
          <w:b/>
          <w:sz w:val="24"/>
          <w:szCs w:val="24"/>
          <w:u w:val="single"/>
        </w:rPr>
        <w:t>Department of Human Services</w:t>
      </w:r>
    </w:p>
    <w:p w14:paraId="14E61414" w14:textId="77777777" w:rsidR="000674BD" w:rsidRDefault="000674BD" w:rsidP="00B013A6">
      <w:pPr>
        <w:spacing w:line="240" w:lineRule="auto"/>
        <w:rPr>
          <w:sz w:val="24"/>
          <w:szCs w:val="24"/>
        </w:rPr>
      </w:pPr>
      <w:r>
        <w:rPr>
          <w:sz w:val="24"/>
          <w:szCs w:val="24"/>
        </w:rPr>
        <w:t>The majority of the Department of Human Services’ (DHS) Other Fund revenues fall in the following categories:</w:t>
      </w:r>
    </w:p>
    <w:p w14:paraId="477AE613" w14:textId="0092A58F" w:rsidR="00B013A6" w:rsidRPr="004B43A5" w:rsidRDefault="00B013A6" w:rsidP="00B013A6">
      <w:pPr>
        <w:spacing w:line="240" w:lineRule="auto"/>
        <w:rPr>
          <w:sz w:val="24"/>
          <w:szCs w:val="24"/>
        </w:rPr>
      </w:pPr>
      <w:r>
        <w:rPr>
          <w:sz w:val="24"/>
          <w:szCs w:val="24"/>
        </w:rPr>
        <w:t xml:space="preserve">Long-term care facilities tax: </w:t>
      </w:r>
      <w:r w:rsidRPr="004B43A5">
        <w:rPr>
          <w:sz w:val="24"/>
          <w:szCs w:val="24"/>
        </w:rPr>
        <w:t>The current tax rate is set to collect up to 6 percent of resident service revenues of non-exempt long-term care facilities. Revenue projections are based on previous years’ cost reports, current year tax reports, and a growth factor.</w:t>
      </w:r>
    </w:p>
    <w:p w14:paraId="50D931E8" w14:textId="77777777" w:rsidR="00B013A6" w:rsidRPr="004B43A5" w:rsidRDefault="00B013A6" w:rsidP="00B013A6">
      <w:pPr>
        <w:spacing w:line="240" w:lineRule="auto"/>
        <w:rPr>
          <w:sz w:val="24"/>
          <w:szCs w:val="24"/>
        </w:rPr>
      </w:pPr>
      <w:r w:rsidRPr="004B43A5">
        <w:rPr>
          <w:sz w:val="24"/>
          <w:szCs w:val="24"/>
        </w:rPr>
        <w:t>Client account collections estate recoveries</w:t>
      </w:r>
      <w:r>
        <w:rPr>
          <w:sz w:val="24"/>
          <w:szCs w:val="24"/>
        </w:rPr>
        <w:t xml:space="preserve">: </w:t>
      </w:r>
      <w:r w:rsidRPr="004B43A5">
        <w:rPr>
          <w:sz w:val="24"/>
          <w:szCs w:val="24"/>
        </w:rPr>
        <w:t xml:space="preserve">Funds are collected from the estates of clients to reimburse previous cost of care. Collections are used to reimburse cost and offset both the Title XIX program cost and General Fund costs. </w:t>
      </w:r>
    </w:p>
    <w:p w14:paraId="375C6FC4" w14:textId="1D796490" w:rsidR="00B013A6" w:rsidRPr="004B43A5" w:rsidRDefault="00B013A6" w:rsidP="00B013A6">
      <w:pPr>
        <w:spacing w:line="240" w:lineRule="auto"/>
        <w:rPr>
          <w:sz w:val="24"/>
          <w:szCs w:val="24"/>
        </w:rPr>
      </w:pPr>
      <w:r w:rsidRPr="004B43A5">
        <w:rPr>
          <w:sz w:val="24"/>
          <w:szCs w:val="24"/>
        </w:rPr>
        <w:t>Collection of overpayment</w:t>
      </w:r>
      <w:r>
        <w:rPr>
          <w:sz w:val="24"/>
          <w:szCs w:val="24"/>
        </w:rPr>
        <w:t xml:space="preserve">: </w:t>
      </w:r>
      <w:r w:rsidRPr="004B43A5">
        <w:rPr>
          <w:sz w:val="24"/>
          <w:szCs w:val="24"/>
        </w:rPr>
        <w:t>Overpayment recoveries are recovered program dollars incorrectly paid to or for clients through client error or fraud. Recovery may be made in any of several program areas including food stamps, child care, public assistance cash and public assistance grant reductions. The projection for these revenues are developed using past performance, inflation and changes in caseloads and regulations as indicators of future trends.</w:t>
      </w:r>
    </w:p>
    <w:p w14:paraId="4807EED8" w14:textId="5FDD3A69" w:rsidR="007741F6" w:rsidRDefault="00AB0812" w:rsidP="00B013A6">
      <w:pPr>
        <w:spacing w:line="240" w:lineRule="auto"/>
        <w:rPr>
          <w:sz w:val="24"/>
          <w:szCs w:val="24"/>
        </w:rPr>
      </w:pPr>
      <w:r w:rsidRPr="00AB0812">
        <w:drawing>
          <wp:inline distT="0" distB="0" distL="0" distR="0" wp14:anchorId="002CDDBA" wp14:editId="2C6D14E8">
            <wp:extent cx="5943600" cy="21043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104390"/>
                    </a:xfrm>
                    <a:prstGeom prst="rect">
                      <a:avLst/>
                    </a:prstGeom>
                    <a:noFill/>
                    <a:ln>
                      <a:noFill/>
                    </a:ln>
                  </pic:spPr>
                </pic:pic>
              </a:graphicData>
            </a:graphic>
          </wp:inline>
        </w:drawing>
      </w:r>
    </w:p>
    <w:p w14:paraId="70388DEA" w14:textId="7E135DF1" w:rsidR="00B013A6" w:rsidRPr="004B43A5" w:rsidRDefault="00B013A6" w:rsidP="00B013A6">
      <w:pPr>
        <w:spacing w:line="240" w:lineRule="auto"/>
        <w:rPr>
          <w:sz w:val="24"/>
          <w:szCs w:val="24"/>
        </w:rPr>
      </w:pPr>
      <w:r w:rsidRPr="004B43A5">
        <w:rPr>
          <w:sz w:val="24"/>
          <w:szCs w:val="24"/>
        </w:rPr>
        <w:t>Care of state wards</w:t>
      </w:r>
      <w:r>
        <w:rPr>
          <w:sz w:val="24"/>
          <w:szCs w:val="24"/>
        </w:rPr>
        <w:t xml:space="preserve">: </w:t>
      </w:r>
      <w:r w:rsidRPr="004B43A5">
        <w:rPr>
          <w:sz w:val="24"/>
          <w:szCs w:val="24"/>
        </w:rPr>
        <w:t>Trust recoveries are Other Funds collected from Social Security Administration (SSA), Social Security Insurance (SSI) and child support payments and used to reimburse the state for the maintenance cost of children in care. Trust recoveries come from collection of SSI disability payments, child support payments and SSA death and survivor benefits.</w:t>
      </w:r>
    </w:p>
    <w:p w14:paraId="44A9306F" w14:textId="77777777" w:rsidR="00B013A6" w:rsidRPr="004B43A5" w:rsidRDefault="00B013A6" w:rsidP="00B013A6">
      <w:pPr>
        <w:spacing w:line="240" w:lineRule="auto"/>
        <w:rPr>
          <w:sz w:val="24"/>
          <w:szCs w:val="24"/>
        </w:rPr>
      </w:pPr>
      <w:r>
        <w:rPr>
          <w:sz w:val="24"/>
          <w:szCs w:val="24"/>
        </w:rPr>
        <w:t xml:space="preserve">Fees and premiums: </w:t>
      </w:r>
      <w:r w:rsidRPr="004B43A5">
        <w:rPr>
          <w:sz w:val="24"/>
          <w:szCs w:val="24"/>
        </w:rPr>
        <w:t>The CW programs collect fees for adoption home study and registry, sexual abuse therapy fees, and fees for fingerprinting under ORS 409.015.</w:t>
      </w:r>
    </w:p>
    <w:p w14:paraId="0127D227" w14:textId="77777777" w:rsidR="00D2251C" w:rsidRDefault="00D2251C" w:rsidP="001B352D">
      <w:pPr>
        <w:spacing w:line="240" w:lineRule="auto"/>
        <w:rPr>
          <w:b/>
          <w:sz w:val="24"/>
          <w:szCs w:val="24"/>
          <w:u w:val="single"/>
        </w:rPr>
      </w:pPr>
    </w:p>
    <w:p w14:paraId="783844C0" w14:textId="6302E569" w:rsidR="004364AD" w:rsidRPr="009F7399" w:rsidRDefault="004364AD" w:rsidP="001B352D">
      <w:pPr>
        <w:spacing w:line="240" w:lineRule="auto"/>
        <w:rPr>
          <w:b/>
          <w:sz w:val="24"/>
          <w:szCs w:val="24"/>
          <w:u w:val="single"/>
        </w:rPr>
      </w:pPr>
      <w:r w:rsidRPr="009F7399">
        <w:rPr>
          <w:b/>
          <w:sz w:val="24"/>
          <w:szCs w:val="24"/>
          <w:u w:val="single"/>
        </w:rPr>
        <w:lastRenderedPageBreak/>
        <w:t>Department of Forestry</w:t>
      </w:r>
    </w:p>
    <w:p w14:paraId="21B282CC" w14:textId="4E0A44DF" w:rsidR="00C7716D" w:rsidRDefault="00C7716D" w:rsidP="003531F8">
      <w:pPr>
        <w:spacing w:after="0" w:line="240" w:lineRule="auto"/>
        <w:rPr>
          <w:sz w:val="24"/>
          <w:szCs w:val="24"/>
        </w:rPr>
      </w:pPr>
      <w:r w:rsidRPr="009F7399">
        <w:rPr>
          <w:sz w:val="24"/>
          <w:szCs w:val="24"/>
        </w:rPr>
        <w:t>Revenues derived from state-owned forest lands comprise the majority of the Department of Forestry’s</w:t>
      </w:r>
      <w:r w:rsidR="000674BD">
        <w:rPr>
          <w:sz w:val="24"/>
          <w:szCs w:val="24"/>
        </w:rPr>
        <w:t xml:space="preserve"> </w:t>
      </w:r>
      <w:r w:rsidRPr="009F7399">
        <w:rPr>
          <w:sz w:val="24"/>
          <w:szCs w:val="24"/>
        </w:rPr>
        <w:t>Other Funds revenues.</w:t>
      </w:r>
      <w:r w:rsidR="00B61005">
        <w:rPr>
          <w:sz w:val="24"/>
          <w:szCs w:val="24"/>
        </w:rPr>
        <w:t xml:space="preserve"> </w:t>
      </w:r>
      <w:r w:rsidR="003531F8" w:rsidRPr="003531F8">
        <w:rPr>
          <w:sz w:val="24"/>
          <w:szCs w:val="24"/>
        </w:rPr>
        <w:t>Timber sale receipts account</w:t>
      </w:r>
      <w:r w:rsidR="003531F8">
        <w:rPr>
          <w:sz w:val="24"/>
          <w:szCs w:val="24"/>
        </w:rPr>
        <w:t xml:space="preserve"> for 98 percent of State Forest</w:t>
      </w:r>
      <w:r w:rsidR="003531F8" w:rsidRPr="003531F8">
        <w:rPr>
          <w:sz w:val="24"/>
          <w:szCs w:val="24"/>
        </w:rPr>
        <w:t xml:space="preserve"> revenue.</w:t>
      </w:r>
      <w:r w:rsidR="00B61005">
        <w:rPr>
          <w:sz w:val="24"/>
          <w:szCs w:val="24"/>
        </w:rPr>
        <w:t xml:space="preserve"> </w:t>
      </w:r>
      <w:r w:rsidR="003531F8">
        <w:rPr>
          <w:sz w:val="24"/>
          <w:szCs w:val="24"/>
        </w:rPr>
        <w:t xml:space="preserve">Fire protection taxes are charged to private and public landowners.  </w:t>
      </w:r>
      <w:r w:rsidR="003531F8" w:rsidRPr="003531F8">
        <w:rPr>
          <w:sz w:val="24"/>
          <w:szCs w:val="24"/>
        </w:rPr>
        <w:t>Other revenue sources</w:t>
      </w:r>
      <w:r w:rsidR="003531F8">
        <w:rPr>
          <w:sz w:val="24"/>
          <w:szCs w:val="24"/>
        </w:rPr>
        <w:t xml:space="preserve"> </w:t>
      </w:r>
      <w:r w:rsidR="003531F8" w:rsidRPr="003531F8">
        <w:rPr>
          <w:sz w:val="24"/>
          <w:szCs w:val="24"/>
        </w:rPr>
        <w:t>are seed cooperative assessments paid by cooperators, camping fees on state forest lands, a portion of all-terrain vehicle license fees, federal funds for</w:t>
      </w:r>
      <w:r w:rsidR="003531F8">
        <w:rPr>
          <w:sz w:val="24"/>
          <w:szCs w:val="24"/>
        </w:rPr>
        <w:t xml:space="preserve"> </w:t>
      </w:r>
      <w:r w:rsidR="003531F8" w:rsidRPr="003531F8">
        <w:rPr>
          <w:sz w:val="24"/>
          <w:szCs w:val="24"/>
        </w:rPr>
        <w:t>fire protection services on federal lands</w:t>
      </w:r>
      <w:r w:rsidR="003531F8">
        <w:rPr>
          <w:sz w:val="24"/>
          <w:szCs w:val="24"/>
        </w:rPr>
        <w:t>.</w:t>
      </w:r>
    </w:p>
    <w:p w14:paraId="58508820" w14:textId="411A452D" w:rsidR="00844E5C" w:rsidRDefault="00844E5C" w:rsidP="003531F8">
      <w:pPr>
        <w:spacing w:after="0" w:line="240" w:lineRule="auto"/>
        <w:rPr>
          <w:sz w:val="24"/>
          <w:szCs w:val="24"/>
        </w:rPr>
      </w:pPr>
    </w:p>
    <w:p w14:paraId="2483206C" w14:textId="1E7521C8" w:rsidR="004364AD" w:rsidRPr="009F7399" w:rsidRDefault="004364AD" w:rsidP="001B352D">
      <w:pPr>
        <w:spacing w:line="240" w:lineRule="auto"/>
        <w:rPr>
          <w:sz w:val="24"/>
          <w:szCs w:val="24"/>
        </w:rPr>
      </w:pPr>
    </w:p>
    <w:p w14:paraId="380CED93" w14:textId="0FA0D7B0" w:rsidR="00D2251C" w:rsidRDefault="00AB0812" w:rsidP="001F1AB0">
      <w:pPr>
        <w:spacing w:line="240" w:lineRule="auto"/>
        <w:rPr>
          <w:b/>
          <w:sz w:val="24"/>
          <w:szCs w:val="24"/>
          <w:u w:val="single"/>
        </w:rPr>
      </w:pPr>
      <w:r w:rsidRPr="00AB0812">
        <w:drawing>
          <wp:inline distT="0" distB="0" distL="0" distR="0" wp14:anchorId="41B29A6E" wp14:editId="12C94BC2">
            <wp:extent cx="5943600" cy="22466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246630"/>
                    </a:xfrm>
                    <a:prstGeom prst="rect">
                      <a:avLst/>
                    </a:prstGeom>
                    <a:noFill/>
                    <a:ln>
                      <a:noFill/>
                    </a:ln>
                  </pic:spPr>
                </pic:pic>
              </a:graphicData>
            </a:graphic>
          </wp:inline>
        </w:drawing>
      </w:r>
    </w:p>
    <w:p w14:paraId="557F9F2F" w14:textId="67A82128" w:rsidR="001F1AB0" w:rsidRPr="009F7399" w:rsidRDefault="001F1AB0" w:rsidP="001F1AB0">
      <w:pPr>
        <w:spacing w:line="240" w:lineRule="auto"/>
        <w:rPr>
          <w:b/>
          <w:sz w:val="24"/>
          <w:szCs w:val="24"/>
          <w:u w:val="single"/>
        </w:rPr>
      </w:pPr>
      <w:r w:rsidRPr="009F7399">
        <w:rPr>
          <w:b/>
          <w:sz w:val="24"/>
          <w:szCs w:val="24"/>
          <w:u w:val="single"/>
        </w:rPr>
        <w:t>Department of Housing and Community Services</w:t>
      </w:r>
    </w:p>
    <w:p w14:paraId="1C0AA0A6" w14:textId="77777777" w:rsidR="001F1AB0" w:rsidRPr="004406B4" w:rsidRDefault="001F1AB0" w:rsidP="001F1AB0">
      <w:pPr>
        <w:spacing w:line="240" w:lineRule="auto"/>
        <w:rPr>
          <w:sz w:val="24"/>
          <w:szCs w:val="24"/>
        </w:rPr>
      </w:pPr>
      <w:r w:rsidRPr="004406B4">
        <w:rPr>
          <w:sz w:val="24"/>
          <w:szCs w:val="24"/>
        </w:rPr>
        <w:t xml:space="preserve">The majority of the revenues collected by the Housing and Community Services Department owe to payments made on loans administered by the agency.  The loan repayments are from multifamily and single-family mortgage </w:t>
      </w:r>
      <w:r w:rsidR="008F264E" w:rsidRPr="004406B4">
        <w:rPr>
          <w:sz w:val="24"/>
          <w:szCs w:val="24"/>
        </w:rPr>
        <w:t>loans, which</w:t>
      </w:r>
      <w:r w:rsidRPr="004406B4">
        <w:rPr>
          <w:sz w:val="24"/>
          <w:szCs w:val="24"/>
        </w:rPr>
        <w:t xml:space="preserve"> the department finances through proceeds from selling tax-exempt bonds to investors.  Approximately 80 percent of these loans are mortgages obtained by first time home buyers.  The bond proceeds and loans also provide most of the department’s interest and investment revenues.</w:t>
      </w:r>
    </w:p>
    <w:p w14:paraId="5EC1BA39" w14:textId="17621B3A" w:rsidR="001F1AB0" w:rsidRDefault="001F1AB0" w:rsidP="001F1AB0">
      <w:pPr>
        <w:spacing w:line="240" w:lineRule="auto"/>
        <w:rPr>
          <w:sz w:val="24"/>
          <w:szCs w:val="24"/>
        </w:rPr>
      </w:pPr>
      <w:r w:rsidRPr="004406B4">
        <w:rPr>
          <w:sz w:val="24"/>
          <w:szCs w:val="24"/>
        </w:rPr>
        <w:t>The Public Utilities Tax is a portion of the Public Purpose Charge and the low-income electric bill payment assistance charge that are collected by electric utilities.  The PPC is based on the electric companies’ total revenues and the bill payment assistance charge is capped at $20 million per year.</w:t>
      </w:r>
    </w:p>
    <w:p w14:paraId="29BB3738" w14:textId="23FCF841" w:rsidR="00CE3AC5" w:rsidRPr="004406B4" w:rsidRDefault="00AB0812" w:rsidP="001F1AB0">
      <w:pPr>
        <w:spacing w:line="240" w:lineRule="auto"/>
        <w:rPr>
          <w:sz w:val="24"/>
          <w:szCs w:val="24"/>
        </w:rPr>
      </w:pPr>
      <w:r w:rsidRPr="00AB0812">
        <w:lastRenderedPageBreak/>
        <w:drawing>
          <wp:inline distT="0" distB="0" distL="0" distR="0" wp14:anchorId="1DB287EA" wp14:editId="6C0506DA">
            <wp:extent cx="5943600" cy="20745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074545"/>
                    </a:xfrm>
                    <a:prstGeom prst="rect">
                      <a:avLst/>
                    </a:prstGeom>
                    <a:noFill/>
                    <a:ln>
                      <a:noFill/>
                    </a:ln>
                  </pic:spPr>
                </pic:pic>
              </a:graphicData>
            </a:graphic>
          </wp:inline>
        </w:drawing>
      </w:r>
    </w:p>
    <w:p w14:paraId="49120635" w14:textId="712BEDED" w:rsidR="001F1AB0" w:rsidRPr="004406B4" w:rsidRDefault="001F1AB0" w:rsidP="001F1AB0">
      <w:pPr>
        <w:spacing w:line="240" w:lineRule="auto"/>
        <w:rPr>
          <w:sz w:val="24"/>
          <w:szCs w:val="24"/>
        </w:rPr>
      </w:pPr>
      <w:r w:rsidRPr="004406B4">
        <w:rPr>
          <w:sz w:val="24"/>
          <w:szCs w:val="24"/>
        </w:rPr>
        <w:t>Administrative charges are received for the federal Project-Based Contract Administration for multifamily housing with rental assistance subsidies.  The department also receives funds from the US Treasury for administration of the Oregon Homeownership Stabilization Initiative which provides foreclosure prevention and other assistance to home owners.  In addition, the department charges fees related to applications, compliance monitoring, and other services related to multifamily housing that is developed using the department’s financing sources.</w:t>
      </w:r>
    </w:p>
    <w:p w14:paraId="5384EF80" w14:textId="240A2C76" w:rsidR="001F1AB0" w:rsidRPr="009F7399" w:rsidRDefault="001F1AB0" w:rsidP="001F1AB0">
      <w:pPr>
        <w:spacing w:line="240" w:lineRule="auto"/>
        <w:rPr>
          <w:sz w:val="24"/>
          <w:szCs w:val="24"/>
        </w:rPr>
      </w:pPr>
      <w:r w:rsidRPr="004406B4">
        <w:rPr>
          <w:sz w:val="24"/>
          <w:szCs w:val="24"/>
        </w:rPr>
        <w:t>Other Revenues includes amounts received for the sale of properties that the department receives through foreclosures, construction excise taxes (CET) imposed by local jurisdictions, and miscellaneous revenues.    The CET revenues began with a small amount in the 2015-17 biennium.  However, the amount has increased significantly and will be recorded as Other Selective Taxes in the 2017-19 biennium and beyond.</w:t>
      </w:r>
    </w:p>
    <w:p w14:paraId="2523C0CC" w14:textId="77777777" w:rsidR="00D2251C" w:rsidRDefault="00D2251C" w:rsidP="00B013A6">
      <w:pPr>
        <w:spacing w:line="240" w:lineRule="auto"/>
        <w:rPr>
          <w:b/>
          <w:sz w:val="24"/>
          <w:szCs w:val="24"/>
          <w:u w:val="single"/>
        </w:rPr>
      </w:pPr>
    </w:p>
    <w:p w14:paraId="42D5E6B6" w14:textId="0AE598CE" w:rsidR="00B013A6" w:rsidRPr="009F7399" w:rsidRDefault="00B013A6" w:rsidP="00B013A6">
      <w:pPr>
        <w:spacing w:line="240" w:lineRule="auto"/>
        <w:rPr>
          <w:b/>
          <w:sz w:val="24"/>
          <w:szCs w:val="24"/>
          <w:u w:val="single"/>
        </w:rPr>
      </w:pPr>
      <w:r w:rsidRPr="009F7399">
        <w:rPr>
          <w:b/>
          <w:sz w:val="24"/>
          <w:szCs w:val="24"/>
          <w:u w:val="single"/>
        </w:rPr>
        <w:t>Department of Consumer and Business Services</w:t>
      </w:r>
    </w:p>
    <w:p w14:paraId="4BDD30C9" w14:textId="061FB7D3" w:rsidR="000674BD" w:rsidRDefault="000674BD" w:rsidP="00B013A6">
      <w:pPr>
        <w:spacing w:line="240" w:lineRule="auto"/>
        <w:rPr>
          <w:sz w:val="24"/>
          <w:szCs w:val="24"/>
        </w:rPr>
      </w:pPr>
      <w:r>
        <w:rPr>
          <w:sz w:val="24"/>
          <w:szCs w:val="24"/>
        </w:rPr>
        <w:t>The majority of the Department of Consumer and Business Services’ (DCBS) Other Fund revenues fall in the following categories:</w:t>
      </w:r>
    </w:p>
    <w:p w14:paraId="2300BF1E" w14:textId="2F5786DA" w:rsidR="00B013A6" w:rsidRPr="00E33CA6" w:rsidRDefault="00B013A6" w:rsidP="00B013A6">
      <w:pPr>
        <w:spacing w:line="240" w:lineRule="auto"/>
        <w:rPr>
          <w:sz w:val="24"/>
          <w:szCs w:val="24"/>
        </w:rPr>
      </w:pPr>
      <w:r w:rsidRPr="00E33CA6">
        <w:rPr>
          <w:sz w:val="24"/>
          <w:szCs w:val="24"/>
        </w:rPr>
        <w:t xml:space="preserve">Insurance Taxes: Oregon Health System Reinsurance Business Licenses and Fees - This revenue consists of quarterly assessments on health insurance premium beginning Jan. 1, 2018 in accordance with HB 2391 (2017 session) </w:t>
      </w:r>
      <w:r w:rsidR="002873E1">
        <w:rPr>
          <w:sz w:val="24"/>
          <w:szCs w:val="24"/>
        </w:rPr>
        <w:t xml:space="preserve">and </w:t>
      </w:r>
      <w:r w:rsidRPr="00E33CA6">
        <w:rPr>
          <w:sz w:val="24"/>
          <w:szCs w:val="24"/>
        </w:rPr>
        <w:t xml:space="preserve">HB 2010 (2019 session). The fee revenue is used to administer the Oregon Reinsurance Program and to provide money to the Oregon Health Authority for medical assistance and other health services. </w:t>
      </w:r>
      <w:r w:rsidR="002873E1">
        <w:rPr>
          <w:sz w:val="24"/>
          <w:szCs w:val="24"/>
        </w:rPr>
        <w:t xml:space="preserve"> These revenues are distinct from the provider taxes tabulated elsewhere in this report (see Oregon Health Authority and Department of Human Services).</w:t>
      </w:r>
    </w:p>
    <w:p w14:paraId="6EB0A40F" w14:textId="77777777" w:rsidR="00B013A6" w:rsidRDefault="00B013A6" w:rsidP="00B013A6">
      <w:pPr>
        <w:spacing w:line="240" w:lineRule="auto"/>
        <w:rPr>
          <w:sz w:val="24"/>
          <w:szCs w:val="24"/>
        </w:rPr>
      </w:pPr>
      <w:r w:rsidRPr="00E33CA6">
        <w:rPr>
          <w:sz w:val="24"/>
          <w:szCs w:val="24"/>
        </w:rPr>
        <w:t>Other Employer-Employee Taxes: This assessment is paid by employers and workers through the Combined Tax Reporting Program. The rate is shared equally between employers and employees. The DCBS director may adjust the cents-per-hour assessment rate annually. The department reviews the Workers’ Benefit Fund assessment and sets it at a level that will finance projected payments plus an adequate ending fund balance to minimize volatility and support the long-term liability of the fund.</w:t>
      </w:r>
    </w:p>
    <w:p w14:paraId="7612EA60" w14:textId="34F2A02D" w:rsidR="00CE3AC5" w:rsidRDefault="002A0E61" w:rsidP="00B013A6">
      <w:pPr>
        <w:spacing w:line="240" w:lineRule="auto"/>
        <w:rPr>
          <w:sz w:val="24"/>
          <w:szCs w:val="24"/>
        </w:rPr>
      </w:pPr>
      <w:r w:rsidRPr="002A0E61">
        <w:rPr>
          <w:noProof/>
        </w:rPr>
        <w:lastRenderedPageBreak/>
        <w:drawing>
          <wp:inline distT="0" distB="0" distL="0" distR="0" wp14:anchorId="0ECE0276" wp14:editId="34C2D026">
            <wp:extent cx="5943600" cy="23158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315845"/>
                    </a:xfrm>
                    <a:prstGeom prst="rect">
                      <a:avLst/>
                    </a:prstGeom>
                    <a:noFill/>
                    <a:ln>
                      <a:noFill/>
                    </a:ln>
                  </pic:spPr>
                </pic:pic>
              </a:graphicData>
            </a:graphic>
          </wp:inline>
        </w:drawing>
      </w:r>
    </w:p>
    <w:p w14:paraId="0992BC34" w14:textId="1C65524C" w:rsidR="00B013A6" w:rsidRPr="00E33CA6" w:rsidRDefault="00B013A6" w:rsidP="00B013A6">
      <w:pPr>
        <w:spacing w:line="240" w:lineRule="auto"/>
        <w:rPr>
          <w:sz w:val="24"/>
          <w:szCs w:val="24"/>
        </w:rPr>
      </w:pPr>
      <w:r w:rsidRPr="00E33CA6">
        <w:rPr>
          <w:sz w:val="24"/>
          <w:szCs w:val="24"/>
        </w:rPr>
        <w:t xml:space="preserve">Workers’ Compensation Taxes: The premium assessment is a percentage charged against Oregon employers workers’ compensation premiums. Insurance premiums are based on two main components: </w:t>
      </w:r>
    </w:p>
    <w:p w14:paraId="5D4AC7F8" w14:textId="77777777" w:rsidR="00B013A6" w:rsidRPr="00E33CA6" w:rsidRDefault="00B013A6" w:rsidP="00B013A6">
      <w:pPr>
        <w:pStyle w:val="ListParagraph"/>
        <w:numPr>
          <w:ilvl w:val="0"/>
          <w:numId w:val="4"/>
        </w:numPr>
        <w:spacing w:line="240" w:lineRule="auto"/>
        <w:rPr>
          <w:sz w:val="24"/>
          <w:szCs w:val="24"/>
        </w:rPr>
      </w:pPr>
      <w:r w:rsidRPr="00E33CA6">
        <w:rPr>
          <w:sz w:val="24"/>
          <w:szCs w:val="24"/>
        </w:rPr>
        <w:t>Pure premiums – this is the amount of the premium that is expected to be needed to cover claim costs. Pure premium rate is set by DCBS and decreases when there is a decline in medical care cost and increases as cost increase.</w:t>
      </w:r>
    </w:p>
    <w:p w14:paraId="18E64DF6" w14:textId="77777777" w:rsidR="00B013A6" w:rsidRDefault="00B013A6" w:rsidP="00B013A6">
      <w:pPr>
        <w:pStyle w:val="ListParagraph"/>
        <w:numPr>
          <w:ilvl w:val="0"/>
          <w:numId w:val="4"/>
        </w:numPr>
        <w:spacing w:line="240" w:lineRule="auto"/>
        <w:rPr>
          <w:sz w:val="24"/>
          <w:szCs w:val="24"/>
        </w:rPr>
      </w:pPr>
      <w:r w:rsidRPr="00E33CA6">
        <w:rPr>
          <w:sz w:val="24"/>
          <w:szCs w:val="24"/>
        </w:rPr>
        <w:t>Additional administrative charges set by each individual insurance company to cover their costs of doing business and earnings.</w:t>
      </w:r>
    </w:p>
    <w:p w14:paraId="56499A2D" w14:textId="113EFFE7" w:rsidR="00B013A6" w:rsidRPr="00E33CA6" w:rsidRDefault="00B013A6" w:rsidP="00B013A6">
      <w:pPr>
        <w:spacing w:line="240" w:lineRule="auto"/>
        <w:rPr>
          <w:sz w:val="24"/>
          <w:szCs w:val="24"/>
        </w:rPr>
      </w:pPr>
      <w:r w:rsidRPr="00E33CA6">
        <w:rPr>
          <w:sz w:val="24"/>
          <w:szCs w:val="24"/>
        </w:rPr>
        <w:t>Fire Marshal Fees: Fire insurance premium taxes collected by the department are transferred to the Oregon State Police, Office of the State Fire Marshal. The Fire Marshal tax is collected quarterly on all fire insurance premiums specified by policy type and a percentage allocation. Surplus Lines insurers also pay a Fire Marshal tax based upon a percentage of all reported premiums. This is collected by the Oregon Surplus Lines Association and then transferred to DCBS quarterly.</w:t>
      </w:r>
    </w:p>
    <w:p w14:paraId="60AC98F2" w14:textId="3D538506" w:rsidR="00B013A6" w:rsidRPr="00E33CA6" w:rsidRDefault="00B013A6" w:rsidP="00B013A6">
      <w:pPr>
        <w:spacing w:line="240" w:lineRule="auto"/>
        <w:rPr>
          <w:sz w:val="24"/>
          <w:szCs w:val="24"/>
        </w:rPr>
      </w:pPr>
      <w:r w:rsidRPr="00E33CA6">
        <w:rPr>
          <w:sz w:val="24"/>
          <w:szCs w:val="24"/>
        </w:rPr>
        <w:t>Interest and Investment Income: Income from long-and short-term investments is accounted for by dedicated revenue sources within two of the department’s main funds: Consumer and Business Services Fund and Workers’ Benefit Fund. The State Treasurer invests the monies in these two funds. The Health Insurance Marketplace Fund, COFA Premium Assistance Program Fund, and Health Reinsurance Fund earn interest at the Oregon Short Term Fund interest rate.</w:t>
      </w:r>
    </w:p>
    <w:p w14:paraId="6BACC92C" w14:textId="77777777" w:rsidR="00D2251C" w:rsidRDefault="00D2251C" w:rsidP="001B352D">
      <w:pPr>
        <w:spacing w:line="240" w:lineRule="auto"/>
        <w:rPr>
          <w:b/>
          <w:sz w:val="24"/>
          <w:szCs w:val="24"/>
          <w:u w:val="single"/>
        </w:rPr>
      </w:pPr>
    </w:p>
    <w:p w14:paraId="0551F907" w14:textId="5F94D499" w:rsidR="004364AD" w:rsidRPr="009F7399" w:rsidRDefault="004364AD" w:rsidP="001B352D">
      <w:pPr>
        <w:spacing w:line="240" w:lineRule="auto"/>
        <w:rPr>
          <w:b/>
          <w:sz w:val="24"/>
          <w:szCs w:val="24"/>
          <w:u w:val="single"/>
        </w:rPr>
      </w:pPr>
      <w:r w:rsidRPr="009F7399">
        <w:rPr>
          <w:b/>
          <w:sz w:val="24"/>
          <w:szCs w:val="24"/>
          <w:u w:val="single"/>
        </w:rPr>
        <w:t>Department of Justice</w:t>
      </w:r>
    </w:p>
    <w:p w14:paraId="34CB267C" w14:textId="7BAF8D96" w:rsidR="008F3781" w:rsidRPr="008F3781" w:rsidRDefault="008F3781" w:rsidP="008F3781">
      <w:pPr>
        <w:spacing w:line="240" w:lineRule="auto"/>
        <w:rPr>
          <w:sz w:val="24"/>
          <w:szCs w:val="24"/>
        </w:rPr>
      </w:pPr>
      <w:r w:rsidRPr="008F3781">
        <w:rPr>
          <w:sz w:val="24"/>
          <w:szCs w:val="24"/>
        </w:rPr>
        <w:t xml:space="preserve">The majority of the </w:t>
      </w:r>
      <w:r w:rsidR="000674BD">
        <w:rPr>
          <w:sz w:val="24"/>
          <w:szCs w:val="24"/>
        </w:rPr>
        <w:t>Department of Justice</w:t>
      </w:r>
      <w:r w:rsidRPr="008F3781">
        <w:rPr>
          <w:sz w:val="24"/>
          <w:szCs w:val="24"/>
        </w:rPr>
        <w:t>’s</w:t>
      </w:r>
      <w:r w:rsidR="000674BD">
        <w:rPr>
          <w:sz w:val="24"/>
          <w:szCs w:val="24"/>
        </w:rPr>
        <w:t xml:space="preserve"> (DOJ)</w:t>
      </w:r>
      <w:r w:rsidRPr="008F3781">
        <w:rPr>
          <w:sz w:val="24"/>
          <w:szCs w:val="24"/>
        </w:rPr>
        <w:t xml:space="preserve"> Other Funds Revenues are charges for legal services provided to various state agencies and state government at-large.  The rates charged for legal services are established in the state budget process each biennium</w:t>
      </w:r>
      <w:r w:rsidR="006F22E2">
        <w:rPr>
          <w:rStyle w:val="FootnoteReference"/>
          <w:sz w:val="24"/>
          <w:szCs w:val="24"/>
        </w:rPr>
        <w:footnoteReference w:id="4"/>
      </w:r>
      <w:r w:rsidRPr="008F3781">
        <w:rPr>
          <w:sz w:val="24"/>
          <w:szCs w:val="24"/>
        </w:rPr>
        <w:t xml:space="preserve">.  </w:t>
      </w:r>
    </w:p>
    <w:p w14:paraId="70902B93" w14:textId="77777777" w:rsidR="008F3781" w:rsidRPr="008F3781" w:rsidRDefault="008F3781" w:rsidP="008F3781">
      <w:pPr>
        <w:spacing w:line="240" w:lineRule="auto"/>
        <w:rPr>
          <w:sz w:val="24"/>
          <w:szCs w:val="24"/>
        </w:rPr>
      </w:pPr>
      <w:r w:rsidRPr="008F3781">
        <w:rPr>
          <w:sz w:val="24"/>
          <w:szCs w:val="24"/>
        </w:rPr>
        <w:lastRenderedPageBreak/>
        <w:t>The Other Revenue catego</w:t>
      </w:r>
      <w:r>
        <w:rPr>
          <w:sz w:val="24"/>
          <w:szCs w:val="24"/>
        </w:rPr>
        <w:t>ry has two primary components:</w:t>
      </w:r>
    </w:p>
    <w:p w14:paraId="65E4A002" w14:textId="77777777" w:rsidR="008F3781" w:rsidRDefault="008F3781" w:rsidP="008F3781">
      <w:pPr>
        <w:pStyle w:val="ListParagraph"/>
        <w:numPr>
          <w:ilvl w:val="0"/>
          <w:numId w:val="1"/>
        </w:numPr>
        <w:spacing w:line="240" w:lineRule="auto"/>
        <w:rPr>
          <w:sz w:val="24"/>
          <w:szCs w:val="24"/>
        </w:rPr>
      </w:pPr>
      <w:r w:rsidRPr="008F3781">
        <w:rPr>
          <w:sz w:val="24"/>
          <w:szCs w:val="24"/>
        </w:rPr>
        <w:t>The first is child support payment recoveries obtained through the Temporary Assistance for Needy Families program (TANF) as part of child support enforcement efforts.  Oregon’s TANF (Title IXX) program refers cases to the DOJ Division of Child Support, which administers Oregon’s child support (Title IV-D) program. With some limitations, the DOJ Division of Child Support recovers TANF (Temporary Assistance for Needy Families) provided to families in the child support program for operations of the Oregon Child Support Program. The recoveries are split between the federal government (HHS/ACF) and the state at the current federal fiscal year Medicaid rate regardless of the year the TANF assistance was provided.</w:t>
      </w:r>
    </w:p>
    <w:p w14:paraId="0EDB6570" w14:textId="77777777" w:rsidR="008F3781" w:rsidRPr="008F3781" w:rsidRDefault="008F3781" w:rsidP="008F3781">
      <w:pPr>
        <w:pStyle w:val="ListParagraph"/>
        <w:numPr>
          <w:ilvl w:val="0"/>
          <w:numId w:val="1"/>
        </w:numPr>
        <w:spacing w:line="240" w:lineRule="auto"/>
        <w:rPr>
          <w:sz w:val="24"/>
          <w:szCs w:val="24"/>
        </w:rPr>
      </w:pPr>
      <w:r w:rsidRPr="008F3781">
        <w:rPr>
          <w:sz w:val="24"/>
          <w:szCs w:val="24"/>
        </w:rPr>
        <w:t>The second is punitive damage revenues for crime victim compensation.</w:t>
      </w:r>
    </w:p>
    <w:p w14:paraId="11CF4512" w14:textId="77777777" w:rsidR="00C7716D" w:rsidRDefault="008F3781" w:rsidP="008F3781">
      <w:pPr>
        <w:spacing w:line="240" w:lineRule="auto"/>
        <w:rPr>
          <w:sz w:val="24"/>
          <w:szCs w:val="24"/>
        </w:rPr>
      </w:pPr>
      <w:r w:rsidRPr="008F3781">
        <w:rPr>
          <w:sz w:val="24"/>
          <w:szCs w:val="24"/>
        </w:rPr>
        <w:t>The federal revenue as other revenue represents child support program incentive funds.</w:t>
      </w:r>
      <w:r>
        <w:rPr>
          <w:sz w:val="24"/>
          <w:szCs w:val="24"/>
        </w:rPr>
        <w:t xml:space="preserve">  </w:t>
      </w:r>
      <w:r w:rsidRPr="008F3781">
        <w:rPr>
          <w:sz w:val="24"/>
          <w:szCs w:val="24"/>
        </w:rPr>
        <w:t>The total amount of incentives available to the state Title IV-D programs is fixed at the federal level. It is allocated among the states based on each state’s performance in relative comparison to the other state programs.</w:t>
      </w:r>
    </w:p>
    <w:p w14:paraId="57996CAC" w14:textId="48230E9F" w:rsidR="008F3781" w:rsidRPr="009F7399" w:rsidRDefault="008F3781" w:rsidP="008F3781">
      <w:pPr>
        <w:spacing w:line="240" w:lineRule="auto"/>
        <w:rPr>
          <w:sz w:val="24"/>
          <w:szCs w:val="24"/>
        </w:rPr>
      </w:pPr>
      <w:r w:rsidRPr="008F3781">
        <w:rPr>
          <w:sz w:val="24"/>
          <w:szCs w:val="24"/>
        </w:rPr>
        <w:t>Licenses and Fees revenue represent fees charged to charitable and nonprofit organizations for registration and filing financial reports and fees for child support program participation.</w:t>
      </w:r>
    </w:p>
    <w:p w14:paraId="33EAF7F9" w14:textId="48B6379C" w:rsidR="004364AD" w:rsidRPr="009F7399" w:rsidRDefault="00AB0812" w:rsidP="001B352D">
      <w:pPr>
        <w:spacing w:line="240" w:lineRule="auto"/>
        <w:rPr>
          <w:sz w:val="24"/>
          <w:szCs w:val="24"/>
        </w:rPr>
      </w:pPr>
      <w:r w:rsidRPr="00AB0812">
        <w:drawing>
          <wp:inline distT="0" distB="0" distL="0" distR="0" wp14:anchorId="04AC04C2" wp14:editId="74020EBD">
            <wp:extent cx="5943600" cy="18961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896110"/>
                    </a:xfrm>
                    <a:prstGeom prst="rect">
                      <a:avLst/>
                    </a:prstGeom>
                    <a:noFill/>
                    <a:ln>
                      <a:noFill/>
                    </a:ln>
                  </pic:spPr>
                </pic:pic>
              </a:graphicData>
            </a:graphic>
          </wp:inline>
        </w:drawing>
      </w:r>
    </w:p>
    <w:p w14:paraId="2845885D" w14:textId="7AE5DE79" w:rsidR="00EE64B8" w:rsidRDefault="00EE64B8">
      <w:pPr>
        <w:rPr>
          <w:b/>
          <w:sz w:val="24"/>
          <w:szCs w:val="24"/>
          <w:u w:val="single"/>
        </w:rPr>
      </w:pPr>
    </w:p>
    <w:p w14:paraId="5837DE1A" w14:textId="396D1182" w:rsidR="004364AD" w:rsidRPr="009F7399" w:rsidRDefault="004364AD" w:rsidP="001B352D">
      <w:pPr>
        <w:spacing w:line="240" w:lineRule="auto"/>
        <w:rPr>
          <w:b/>
          <w:sz w:val="24"/>
          <w:szCs w:val="24"/>
          <w:u w:val="single"/>
        </w:rPr>
      </w:pPr>
      <w:r w:rsidRPr="009F7399">
        <w:rPr>
          <w:b/>
          <w:sz w:val="24"/>
          <w:szCs w:val="24"/>
          <w:u w:val="single"/>
        </w:rPr>
        <w:t>Department of Environmental Quality</w:t>
      </w:r>
    </w:p>
    <w:p w14:paraId="725072B2" w14:textId="0171E3F9" w:rsidR="00B61005" w:rsidRPr="00B61005" w:rsidRDefault="000674BD" w:rsidP="00B61005">
      <w:pPr>
        <w:spacing w:line="240" w:lineRule="auto"/>
        <w:rPr>
          <w:sz w:val="24"/>
          <w:szCs w:val="24"/>
        </w:rPr>
      </w:pPr>
      <w:r>
        <w:rPr>
          <w:sz w:val="24"/>
          <w:szCs w:val="24"/>
        </w:rPr>
        <w:t>The Department of Environmental Quality (DEQ)</w:t>
      </w:r>
      <w:r w:rsidR="00B61005" w:rsidRPr="00B61005">
        <w:rPr>
          <w:sz w:val="24"/>
          <w:szCs w:val="24"/>
        </w:rPr>
        <w:t xml:space="preserve"> collects fees and charges for services from regulated entities and individuals to pay for implementation of state and federal environmental regulatory programs.  The agency administers programs established by the federal government and the State of Oregon. The U.S. Environmental Protection Agency has delegated authority to DEQ to implement federal environmental programs including the Clean Air and Clean Water Acts, and the Resource Conservation and Recovery Act, which covers waste management and underground storage tank programs. DEQ also implements state programs including recycling, groundwater protection, air toxics, emergency response and environmental cleanup activities.</w:t>
      </w:r>
    </w:p>
    <w:p w14:paraId="134CFC0C" w14:textId="4492F1EF" w:rsidR="00B61005" w:rsidRPr="00B61005" w:rsidRDefault="00B61005" w:rsidP="00B61005">
      <w:pPr>
        <w:spacing w:line="240" w:lineRule="auto"/>
        <w:rPr>
          <w:sz w:val="24"/>
          <w:szCs w:val="24"/>
        </w:rPr>
      </w:pPr>
      <w:r w:rsidRPr="00B61005">
        <w:rPr>
          <w:sz w:val="24"/>
          <w:szCs w:val="24"/>
        </w:rPr>
        <w:t xml:space="preserve">The Clean Water State Revolving Fund loan program provides below market rate loans for the planning, design or construction of projects that prevent or mitigate water pollution.  DEQ </w:t>
      </w:r>
      <w:r w:rsidRPr="00B61005">
        <w:rPr>
          <w:sz w:val="24"/>
          <w:szCs w:val="24"/>
        </w:rPr>
        <w:lastRenderedPageBreak/>
        <w:t xml:space="preserve">receives grants from the U.S. Environmental Protection Agency to capitalize the Clean Water State Revolving Fund, which are captured as “Federal as Other” revenue.  Repayments of loan principal into the revolving fund </w:t>
      </w:r>
      <w:r w:rsidR="004B5AE9">
        <w:rPr>
          <w:sz w:val="24"/>
          <w:szCs w:val="24"/>
        </w:rPr>
        <w:t>finance</w:t>
      </w:r>
      <w:r w:rsidRPr="00B61005">
        <w:rPr>
          <w:sz w:val="24"/>
          <w:szCs w:val="24"/>
        </w:rPr>
        <w:t xml:space="preserve"> new loans.  The majority of the agency’s interest income is earned on the balance in the revolving fund.  The agency also earns interest on certain environmental cleanup, orphan site, spill response, and solid waste funds, and on the debt service sinking fund.</w:t>
      </w:r>
    </w:p>
    <w:p w14:paraId="33EFDEDE" w14:textId="5219E7F0" w:rsidR="00B574F6" w:rsidRDefault="00AB0812" w:rsidP="00B61005">
      <w:pPr>
        <w:spacing w:line="240" w:lineRule="auto"/>
        <w:rPr>
          <w:sz w:val="24"/>
          <w:szCs w:val="24"/>
        </w:rPr>
      </w:pPr>
      <w:r w:rsidRPr="00AB0812">
        <w:drawing>
          <wp:inline distT="0" distB="0" distL="0" distR="0" wp14:anchorId="469C2630" wp14:editId="727E6741">
            <wp:extent cx="5943600" cy="2051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051050"/>
                    </a:xfrm>
                    <a:prstGeom prst="rect">
                      <a:avLst/>
                    </a:prstGeom>
                    <a:noFill/>
                    <a:ln>
                      <a:noFill/>
                    </a:ln>
                  </pic:spPr>
                </pic:pic>
              </a:graphicData>
            </a:graphic>
          </wp:inline>
        </w:drawing>
      </w:r>
    </w:p>
    <w:p w14:paraId="0B6E02B3" w14:textId="4F8ECA33" w:rsidR="00C7716D" w:rsidRDefault="00B61005" w:rsidP="00B61005">
      <w:pPr>
        <w:spacing w:line="240" w:lineRule="auto"/>
        <w:rPr>
          <w:sz w:val="24"/>
          <w:szCs w:val="24"/>
        </w:rPr>
      </w:pPr>
      <w:r w:rsidRPr="00B61005">
        <w:rPr>
          <w:sz w:val="24"/>
          <w:szCs w:val="24"/>
        </w:rPr>
        <w:t>The primary source of Other Revenues in DEQ’s budget is funds paid by Volkswagen and other entities.  On June 28, 2016, the U.S. Department of Justice filed notice of a consent decree to partially settle allegations by EPA and California that Volkswagen (VW) used illegal defeat devices on Model Year 2009 through 2015 vehicles to evade emission tests. Under the settlements, VW and related entities agree to spend up to $14.7 billion to mitigate the air pollution impacts of their actions.  Other Revenues also support DEQ’s laboratory accreditation program, agricultural water quality monitoring, solid waste disposal, illegal drug lab cleanup, and monitoring air quality for smoke levels.  DEQ also receives funds from non-DEQ sources for reimbursement of some of DEQ’s travel costs associated with various environmental workshops and conferences.</w:t>
      </w:r>
    </w:p>
    <w:p w14:paraId="03145F3E" w14:textId="15A4FCB2" w:rsidR="004F0803" w:rsidRDefault="004F0803" w:rsidP="001B352D">
      <w:pPr>
        <w:spacing w:line="240" w:lineRule="auto"/>
        <w:rPr>
          <w:b/>
          <w:sz w:val="24"/>
          <w:szCs w:val="24"/>
          <w:u w:val="single"/>
        </w:rPr>
      </w:pPr>
    </w:p>
    <w:p w14:paraId="3F966E0B" w14:textId="77777777" w:rsidR="00C761BA" w:rsidRPr="009F7399" w:rsidRDefault="00C761BA" w:rsidP="00C761BA">
      <w:pPr>
        <w:spacing w:line="240" w:lineRule="auto"/>
        <w:rPr>
          <w:b/>
          <w:sz w:val="24"/>
          <w:szCs w:val="24"/>
          <w:u w:val="single"/>
        </w:rPr>
      </w:pPr>
      <w:r w:rsidRPr="009F7399">
        <w:rPr>
          <w:b/>
          <w:sz w:val="24"/>
          <w:szCs w:val="24"/>
          <w:u w:val="single"/>
        </w:rPr>
        <w:t>Department of Veterans' Affairs</w:t>
      </w:r>
    </w:p>
    <w:p w14:paraId="09086F66" w14:textId="3C048997" w:rsidR="00C761BA" w:rsidRDefault="00C761BA" w:rsidP="00C761BA">
      <w:pPr>
        <w:spacing w:line="240" w:lineRule="auto"/>
        <w:rPr>
          <w:sz w:val="24"/>
          <w:szCs w:val="24"/>
        </w:rPr>
      </w:pPr>
      <w:r w:rsidRPr="00E12D27">
        <w:rPr>
          <w:sz w:val="24"/>
          <w:szCs w:val="24"/>
        </w:rPr>
        <w:t>The Veterans’ Home Loan Program provides low interest rate mortgages on single-family, owner-occupied homes to qualified veterans.  Loan Repayments consists of the principal amount paid by borrowers on their mortgage.  Interest and Investment Income includes interest paid by borrowers on their mortgage as well as investment and other interest income.  Loan repayments and interest and investment income are projected to increase based on the increased dollar value of the loan portfolio and increased re-investment rates.</w:t>
      </w:r>
    </w:p>
    <w:p w14:paraId="151F45D7" w14:textId="797083D1" w:rsidR="002A0E61" w:rsidRPr="00E12D27" w:rsidRDefault="00AB0812" w:rsidP="00C761BA">
      <w:pPr>
        <w:spacing w:line="240" w:lineRule="auto"/>
        <w:rPr>
          <w:sz w:val="24"/>
          <w:szCs w:val="24"/>
        </w:rPr>
      </w:pPr>
      <w:r w:rsidRPr="00AB0812">
        <w:lastRenderedPageBreak/>
        <w:drawing>
          <wp:inline distT="0" distB="0" distL="0" distR="0" wp14:anchorId="01DB6560" wp14:editId="147EF860">
            <wp:extent cx="5943600" cy="2211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211070"/>
                    </a:xfrm>
                    <a:prstGeom prst="rect">
                      <a:avLst/>
                    </a:prstGeom>
                    <a:noFill/>
                    <a:ln>
                      <a:noFill/>
                    </a:ln>
                  </pic:spPr>
                </pic:pic>
              </a:graphicData>
            </a:graphic>
          </wp:inline>
        </w:drawing>
      </w:r>
    </w:p>
    <w:p w14:paraId="23A6468B" w14:textId="5FDB5E4C" w:rsidR="00C761BA" w:rsidRDefault="00C761BA" w:rsidP="00C761BA">
      <w:pPr>
        <w:spacing w:line="240" w:lineRule="auto"/>
        <w:rPr>
          <w:sz w:val="24"/>
          <w:szCs w:val="24"/>
        </w:rPr>
      </w:pPr>
      <w:r w:rsidRPr="00E12D27">
        <w:rPr>
          <w:sz w:val="24"/>
          <w:szCs w:val="24"/>
        </w:rPr>
        <w:t>The Oregon Veterans’ Homes provide the state’s veterans and qualified family members access to skilled nursing, rehabilitative care, and endorsed memory care services, in an environment that understands and honors the unique needs of the men and women who served our country.  Revenue is generated from resident-related income to cover the cost of care.  Income sources typically include funds from the Federal VA, Medicare, Medicaid, insurance companies and private payers and are included in Charges for Services, Administrative Charges and Federal Revenue.</w:t>
      </w:r>
    </w:p>
    <w:p w14:paraId="6996C3C6" w14:textId="4B39A57E" w:rsidR="00B013A6" w:rsidRPr="009F7399" w:rsidRDefault="00B013A6" w:rsidP="00B013A6">
      <w:pPr>
        <w:spacing w:line="240" w:lineRule="auto"/>
        <w:rPr>
          <w:b/>
          <w:sz w:val="24"/>
          <w:szCs w:val="24"/>
          <w:u w:val="single"/>
        </w:rPr>
      </w:pPr>
      <w:r w:rsidRPr="009F7399">
        <w:rPr>
          <w:b/>
          <w:sz w:val="24"/>
          <w:szCs w:val="24"/>
          <w:u w:val="single"/>
        </w:rPr>
        <w:t>Department of Fish and Wildlife</w:t>
      </w:r>
    </w:p>
    <w:p w14:paraId="57E170EC" w14:textId="02DF30DC" w:rsidR="00B013A6" w:rsidRDefault="00B013A6" w:rsidP="00B013A6">
      <w:pPr>
        <w:spacing w:line="240" w:lineRule="auto"/>
        <w:rPr>
          <w:sz w:val="24"/>
          <w:szCs w:val="24"/>
        </w:rPr>
      </w:pPr>
      <w:r w:rsidRPr="009F7399">
        <w:rPr>
          <w:sz w:val="24"/>
          <w:szCs w:val="24"/>
        </w:rPr>
        <w:t>The Department of Fish and Wildlife’s Other Funds revenues are derived mostly from fees relating to hunting and fishing, both private and commercial.</w:t>
      </w:r>
    </w:p>
    <w:p w14:paraId="7EB60072" w14:textId="7DBD7235" w:rsidR="00B013A6" w:rsidRDefault="00B013A6" w:rsidP="00B013A6">
      <w:pPr>
        <w:spacing w:line="240" w:lineRule="auto"/>
        <w:rPr>
          <w:sz w:val="24"/>
          <w:szCs w:val="24"/>
        </w:rPr>
      </w:pPr>
      <w:r w:rsidRPr="00A461E1">
        <w:rPr>
          <w:sz w:val="24"/>
          <w:szCs w:val="24"/>
        </w:rPr>
        <w:t>Other Fund revenues are derived from several sources. The two largest are revenues from the sales of hunting, angling and occupational licenses and tags; and indirect, or overhead charges associated with federal laws, agreements, and grants. There are a number of additional sources that provide smaller amounts of funding. They include agreements with nonfederal agencies or entities; commercial fishing industry fees; bird hunter stamps; transfers from the Oregon Watershed Enhancement Board; Columbia River Basin Endorsement fees; a portion of hydropower licensing and operating fees; interest on fund balances; state income tax refund voluntary contributions; donations; fines and forfeitures from game law violators; and a few other miscellaneous categories.</w:t>
      </w:r>
    </w:p>
    <w:p w14:paraId="273C1924" w14:textId="2575BC90" w:rsidR="00B013A6" w:rsidRDefault="00AB0812" w:rsidP="00B013A6">
      <w:pPr>
        <w:spacing w:line="240" w:lineRule="auto"/>
        <w:rPr>
          <w:b/>
          <w:sz w:val="24"/>
          <w:szCs w:val="24"/>
          <w:u w:val="single"/>
        </w:rPr>
      </w:pPr>
      <w:r w:rsidRPr="00AB0812">
        <w:drawing>
          <wp:inline distT="0" distB="0" distL="0" distR="0" wp14:anchorId="7D3AA808" wp14:editId="4B1AE496">
            <wp:extent cx="5943600" cy="19589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958975"/>
                    </a:xfrm>
                    <a:prstGeom prst="rect">
                      <a:avLst/>
                    </a:prstGeom>
                    <a:noFill/>
                    <a:ln>
                      <a:noFill/>
                    </a:ln>
                  </pic:spPr>
                </pic:pic>
              </a:graphicData>
            </a:graphic>
          </wp:inline>
        </w:drawing>
      </w:r>
    </w:p>
    <w:p w14:paraId="29BB35B6" w14:textId="77777777" w:rsidR="00D2251C" w:rsidRDefault="00D2251C" w:rsidP="001B352D">
      <w:pPr>
        <w:spacing w:line="240" w:lineRule="auto"/>
        <w:rPr>
          <w:b/>
          <w:sz w:val="24"/>
          <w:szCs w:val="24"/>
          <w:u w:val="single"/>
        </w:rPr>
      </w:pPr>
    </w:p>
    <w:p w14:paraId="479D3A24" w14:textId="48A980B3" w:rsidR="004364AD" w:rsidRPr="009F7399" w:rsidRDefault="004364AD" w:rsidP="001B352D">
      <w:pPr>
        <w:spacing w:line="240" w:lineRule="auto"/>
        <w:rPr>
          <w:b/>
          <w:sz w:val="24"/>
          <w:szCs w:val="24"/>
          <w:u w:val="single"/>
        </w:rPr>
      </w:pPr>
      <w:r w:rsidRPr="009F7399">
        <w:rPr>
          <w:b/>
          <w:sz w:val="24"/>
          <w:szCs w:val="24"/>
          <w:u w:val="single"/>
        </w:rPr>
        <w:t>Business Oregon</w:t>
      </w:r>
    </w:p>
    <w:p w14:paraId="75CC5C87" w14:textId="77777777" w:rsidR="00845806" w:rsidRDefault="00845806" w:rsidP="00845806">
      <w:pPr>
        <w:spacing w:line="240" w:lineRule="auto"/>
        <w:rPr>
          <w:sz w:val="24"/>
          <w:szCs w:val="24"/>
        </w:rPr>
      </w:pPr>
      <w:r>
        <w:rPr>
          <w:sz w:val="24"/>
          <w:szCs w:val="24"/>
        </w:rPr>
        <w:t>The following narrative provides additional detail regarding the table below:</w:t>
      </w:r>
    </w:p>
    <w:p w14:paraId="3C06A4FF" w14:textId="77777777" w:rsidR="00845806" w:rsidRPr="00845806" w:rsidRDefault="00B51EDC" w:rsidP="00845806">
      <w:pPr>
        <w:spacing w:line="240" w:lineRule="auto"/>
        <w:rPr>
          <w:sz w:val="24"/>
          <w:szCs w:val="24"/>
        </w:rPr>
      </w:pPr>
      <w:r>
        <w:rPr>
          <w:sz w:val="24"/>
          <w:szCs w:val="24"/>
        </w:rPr>
        <w:t xml:space="preserve">Loan Repayments: </w:t>
      </w:r>
      <w:r w:rsidR="00845806" w:rsidRPr="00845806">
        <w:rPr>
          <w:sz w:val="24"/>
          <w:szCs w:val="24"/>
        </w:rPr>
        <w:t xml:space="preserve">These are other fund revenues that come to the agency for a variety of programs for repayment of loans, both principal and interest. The agency will claw back funds from a forgivable loan if the entity did not meet their contractual obligations within the Strategic Reserve Fund (SRF). They also receive repayment of loans from Oregon Business Development Fund (OBDF), Entrepreneurship Development Loan Fund (EDLF), Special Public Works Fund (SPWF), Water/Waste Water Fund (WWF), Safe Drinking Water Program (SDWP), Ports revolving loan fund, and Brownfields. </w:t>
      </w:r>
    </w:p>
    <w:p w14:paraId="3244C339" w14:textId="59B141D3" w:rsidR="00CE3AC5" w:rsidRDefault="00AB0812" w:rsidP="00845806">
      <w:pPr>
        <w:spacing w:line="240" w:lineRule="auto"/>
        <w:rPr>
          <w:sz w:val="24"/>
          <w:szCs w:val="24"/>
        </w:rPr>
      </w:pPr>
      <w:r w:rsidRPr="00AB0812">
        <w:drawing>
          <wp:inline distT="0" distB="0" distL="0" distR="0" wp14:anchorId="2463CABD" wp14:editId="67BCC563">
            <wp:extent cx="5943600" cy="16656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665605"/>
                    </a:xfrm>
                    <a:prstGeom prst="rect">
                      <a:avLst/>
                    </a:prstGeom>
                    <a:noFill/>
                    <a:ln>
                      <a:noFill/>
                    </a:ln>
                  </pic:spPr>
                </pic:pic>
              </a:graphicData>
            </a:graphic>
          </wp:inline>
        </w:drawing>
      </w:r>
    </w:p>
    <w:p w14:paraId="65F4B183" w14:textId="2843208F" w:rsidR="00845806" w:rsidRPr="00845806" w:rsidRDefault="00845806" w:rsidP="00845806">
      <w:pPr>
        <w:spacing w:line="240" w:lineRule="auto"/>
        <w:rPr>
          <w:sz w:val="24"/>
          <w:szCs w:val="24"/>
        </w:rPr>
      </w:pPr>
      <w:r w:rsidRPr="00B51EDC">
        <w:rPr>
          <w:sz w:val="24"/>
          <w:szCs w:val="24"/>
        </w:rPr>
        <w:t>Interest and Investments</w:t>
      </w:r>
      <w:r w:rsidR="00B51EDC">
        <w:rPr>
          <w:sz w:val="24"/>
          <w:szCs w:val="24"/>
        </w:rPr>
        <w:t>:</w:t>
      </w:r>
      <w:r w:rsidRPr="00B51EDC">
        <w:rPr>
          <w:sz w:val="24"/>
          <w:szCs w:val="24"/>
        </w:rPr>
        <w:t xml:space="preserve"> </w:t>
      </w:r>
      <w:r w:rsidRPr="00845806">
        <w:rPr>
          <w:sz w:val="24"/>
          <w:szCs w:val="24"/>
        </w:rPr>
        <w:t xml:space="preserve">The agency will receive interest earnings on cash balances within existing treasury funds and interest on loan repayments. Because the agency has several revolving loan funds such as SPWF, these treasury fund balances can be large resulting in a substantial interest income accumulation to then make new loans and pay for some program administrative costs. </w:t>
      </w:r>
    </w:p>
    <w:p w14:paraId="774AD77D" w14:textId="67D34AF8" w:rsidR="00845806" w:rsidRPr="009F7399" w:rsidRDefault="00B51EDC" w:rsidP="001B352D">
      <w:pPr>
        <w:spacing w:line="240" w:lineRule="auto"/>
        <w:rPr>
          <w:sz w:val="24"/>
          <w:szCs w:val="24"/>
        </w:rPr>
      </w:pPr>
      <w:r>
        <w:rPr>
          <w:sz w:val="24"/>
          <w:szCs w:val="24"/>
        </w:rPr>
        <w:t xml:space="preserve">Other Revenue: </w:t>
      </w:r>
      <w:r w:rsidR="00845806" w:rsidRPr="00845806">
        <w:rPr>
          <w:sz w:val="24"/>
          <w:szCs w:val="24"/>
        </w:rPr>
        <w:t>Revenues categorized as other for the agency include application, filing, and loan closing fees for a variety of Business Finance and Development loan and tax incentive programs. Royalty fees are received for several Business Finance programs. The agency can receive cost recovery for Oregon Bond Bank municipality’s costs at .83% of the loan. The Percent for Art program receives revenue related to certain capital projects within the state to provide the artwork interior design and installation of the art. Donations for the Cultural Trust Fund are received by the department to make grants to the art community, fund administrative costs, and deposit into the permanent trust fund. Any other funds grants received by the agency, including Ford Family Foundation, Oregon Community Foundation to name a few.</w:t>
      </w:r>
    </w:p>
    <w:p w14:paraId="6A1487A1" w14:textId="77777777" w:rsidR="00D2251C" w:rsidRDefault="00D2251C" w:rsidP="00B013A6">
      <w:pPr>
        <w:spacing w:line="240" w:lineRule="auto"/>
        <w:rPr>
          <w:b/>
          <w:sz w:val="24"/>
          <w:szCs w:val="24"/>
          <w:u w:val="single"/>
        </w:rPr>
      </w:pPr>
    </w:p>
    <w:p w14:paraId="08D0EE61" w14:textId="4A0983DD" w:rsidR="00B013A6" w:rsidRPr="009F7399" w:rsidRDefault="00B013A6" w:rsidP="00B013A6">
      <w:pPr>
        <w:spacing w:line="240" w:lineRule="auto"/>
        <w:rPr>
          <w:b/>
          <w:sz w:val="24"/>
          <w:szCs w:val="24"/>
          <w:u w:val="single"/>
        </w:rPr>
      </w:pPr>
      <w:r w:rsidRPr="009F7399">
        <w:rPr>
          <w:b/>
          <w:sz w:val="24"/>
          <w:szCs w:val="24"/>
          <w:u w:val="single"/>
        </w:rPr>
        <w:t>Judicial Department</w:t>
      </w:r>
    </w:p>
    <w:p w14:paraId="5255B5B6" w14:textId="77777777" w:rsidR="00B013A6" w:rsidRPr="00E12D27" w:rsidRDefault="00B013A6" w:rsidP="00B013A6">
      <w:pPr>
        <w:spacing w:line="240" w:lineRule="auto"/>
        <w:rPr>
          <w:sz w:val="24"/>
          <w:szCs w:val="24"/>
        </w:rPr>
      </w:pPr>
      <w:r w:rsidRPr="00E12D27">
        <w:rPr>
          <w:sz w:val="24"/>
          <w:szCs w:val="24"/>
        </w:rPr>
        <w:t>Other Funds revenue for the Judicial Department include:</w:t>
      </w:r>
    </w:p>
    <w:p w14:paraId="3D28E2FB" w14:textId="77777777" w:rsidR="00B013A6" w:rsidRPr="006C1503" w:rsidRDefault="00B013A6" w:rsidP="00B013A6">
      <w:pPr>
        <w:pStyle w:val="ListParagraph"/>
        <w:numPr>
          <w:ilvl w:val="0"/>
          <w:numId w:val="2"/>
        </w:numPr>
        <w:spacing w:line="240" w:lineRule="auto"/>
        <w:rPr>
          <w:sz w:val="24"/>
          <w:szCs w:val="24"/>
        </w:rPr>
      </w:pPr>
      <w:r w:rsidRPr="006C1503">
        <w:rPr>
          <w:sz w:val="24"/>
          <w:szCs w:val="24"/>
        </w:rPr>
        <w:t xml:space="preserve">Other Revenue:  Fines, bail security release forfeiture, indigent defense recoupment and recovery of court costs make up the majority of this revenue.  Most of these funds are </w:t>
      </w:r>
      <w:r w:rsidRPr="006C1503">
        <w:rPr>
          <w:sz w:val="24"/>
          <w:szCs w:val="24"/>
        </w:rPr>
        <w:lastRenderedPageBreak/>
        <w:t xml:space="preserve">deposited in the Criminal Fines Account, but also are transferred to Cities and Counties.  The Other Revenues figure also include some grant funding for Problem Solving Courts like Drug, Alcohol and Family Courts, Veterans Courts, and Behavioral Health Courts or for Juvenile Court Improvement programs.  Most of the grant funding is provided through the Criminal Justice Commission, but some funding is provided through Federal grants or from local community partners.    </w:t>
      </w:r>
    </w:p>
    <w:p w14:paraId="6498852F" w14:textId="77777777" w:rsidR="00B013A6" w:rsidRPr="006C1503" w:rsidRDefault="00B013A6" w:rsidP="00B013A6">
      <w:pPr>
        <w:pStyle w:val="ListParagraph"/>
        <w:numPr>
          <w:ilvl w:val="0"/>
          <w:numId w:val="2"/>
        </w:numPr>
        <w:spacing w:line="240" w:lineRule="auto"/>
        <w:rPr>
          <w:sz w:val="24"/>
          <w:szCs w:val="24"/>
        </w:rPr>
      </w:pPr>
      <w:r w:rsidRPr="006C1503">
        <w:rPr>
          <w:sz w:val="24"/>
          <w:szCs w:val="24"/>
        </w:rPr>
        <w:t xml:space="preserve">State Court Fees:   Statutory support (8.85%) of filing fees that are deposited in the State Court Technology Fund </w:t>
      </w:r>
    </w:p>
    <w:p w14:paraId="4A3A3949" w14:textId="2FF005B4" w:rsidR="00B013A6" w:rsidRPr="006C1503" w:rsidRDefault="00B013A6" w:rsidP="00B013A6">
      <w:pPr>
        <w:pStyle w:val="ListParagraph"/>
        <w:numPr>
          <w:ilvl w:val="0"/>
          <w:numId w:val="2"/>
        </w:numPr>
        <w:spacing w:line="240" w:lineRule="auto"/>
        <w:rPr>
          <w:sz w:val="24"/>
          <w:szCs w:val="24"/>
        </w:rPr>
      </w:pPr>
      <w:r w:rsidRPr="006C1503">
        <w:rPr>
          <w:sz w:val="24"/>
          <w:szCs w:val="24"/>
        </w:rPr>
        <w:t xml:space="preserve">Charges for Services:  Non-government users who pay subscription fees for access to court documents in the Oregon Judicial Case Information Network.  Funds are deposited in the State Court Technology fund.  </w:t>
      </w:r>
    </w:p>
    <w:p w14:paraId="36B47DDC" w14:textId="27ACC837" w:rsidR="00B013A6" w:rsidRPr="009F7399" w:rsidRDefault="002A0E61" w:rsidP="00B013A6">
      <w:pPr>
        <w:spacing w:line="240" w:lineRule="auto"/>
        <w:rPr>
          <w:sz w:val="24"/>
          <w:szCs w:val="24"/>
        </w:rPr>
      </w:pPr>
      <w:r w:rsidRPr="002A0E61">
        <w:rPr>
          <w:noProof/>
        </w:rPr>
        <w:drawing>
          <wp:inline distT="0" distB="0" distL="0" distR="0" wp14:anchorId="411EA48E" wp14:editId="15686866">
            <wp:extent cx="5943600" cy="1724660"/>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724660"/>
                    </a:xfrm>
                    <a:prstGeom prst="rect">
                      <a:avLst/>
                    </a:prstGeom>
                    <a:noFill/>
                    <a:ln>
                      <a:noFill/>
                    </a:ln>
                  </pic:spPr>
                </pic:pic>
              </a:graphicData>
            </a:graphic>
          </wp:inline>
        </w:drawing>
      </w:r>
    </w:p>
    <w:p w14:paraId="6E017C46" w14:textId="77777777" w:rsidR="00D2251C" w:rsidRDefault="00D2251C" w:rsidP="001B352D">
      <w:pPr>
        <w:spacing w:line="240" w:lineRule="auto"/>
        <w:rPr>
          <w:b/>
          <w:sz w:val="24"/>
          <w:szCs w:val="24"/>
          <w:u w:val="single"/>
        </w:rPr>
      </w:pPr>
    </w:p>
    <w:p w14:paraId="454D40AE" w14:textId="0E084310" w:rsidR="004364AD" w:rsidRPr="009F7399" w:rsidRDefault="004364AD" w:rsidP="001B352D">
      <w:pPr>
        <w:spacing w:line="240" w:lineRule="auto"/>
        <w:rPr>
          <w:b/>
          <w:sz w:val="24"/>
          <w:szCs w:val="24"/>
          <w:u w:val="single"/>
        </w:rPr>
      </w:pPr>
      <w:r w:rsidRPr="009F7399">
        <w:rPr>
          <w:b/>
          <w:sz w:val="24"/>
          <w:szCs w:val="24"/>
          <w:u w:val="single"/>
        </w:rPr>
        <w:t>Department of Parks and Recreation</w:t>
      </w:r>
    </w:p>
    <w:p w14:paraId="3FB7324C" w14:textId="77777777" w:rsidR="00B61005" w:rsidRPr="00B61005" w:rsidRDefault="00B61005" w:rsidP="00B61005">
      <w:pPr>
        <w:spacing w:line="240" w:lineRule="auto"/>
        <w:rPr>
          <w:sz w:val="24"/>
          <w:szCs w:val="24"/>
        </w:rPr>
      </w:pPr>
      <w:r w:rsidRPr="00B61005">
        <w:rPr>
          <w:sz w:val="24"/>
          <w:szCs w:val="24"/>
        </w:rPr>
        <w:t>Park User Fees are generated by Day Use and Overnight camping fees charged to park visitors. The Department forecasts this</w:t>
      </w:r>
      <w:r>
        <w:rPr>
          <w:sz w:val="24"/>
          <w:szCs w:val="24"/>
        </w:rPr>
        <w:t xml:space="preserve"> </w:t>
      </w:r>
      <w:r w:rsidRPr="00B61005">
        <w:rPr>
          <w:sz w:val="24"/>
          <w:szCs w:val="24"/>
        </w:rPr>
        <w:t>revenue source based on historical and future reservation data.</w:t>
      </w:r>
    </w:p>
    <w:p w14:paraId="72115457" w14:textId="4B56831F" w:rsidR="007731EF" w:rsidRDefault="00B61005" w:rsidP="00B61005">
      <w:pPr>
        <w:spacing w:line="240" w:lineRule="auto"/>
        <w:rPr>
          <w:sz w:val="24"/>
          <w:szCs w:val="24"/>
        </w:rPr>
      </w:pPr>
      <w:r w:rsidRPr="00B61005">
        <w:rPr>
          <w:sz w:val="24"/>
          <w:szCs w:val="24"/>
        </w:rPr>
        <w:t>Interest income is earned on funds in the Department’s bank account. The Department forecasts this revenue based on historical</w:t>
      </w:r>
      <w:r>
        <w:rPr>
          <w:sz w:val="24"/>
          <w:szCs w:val="24"/>
        </w:rPr>
        <w:t xml:space="preserve"> </w:t>
      </w:r>
      <w:r w:rsidRPr="00B61005">
        <w:rPr>
          <w:sz w:val="24"/>
          <w:szCs w:val="24"/>
        </w:rPr>
        <w:t>average earnings.</w:t>
      </w:r>
    </w:p>
    <w:p w14:paraId="1DDD796E" w14:textId="0A6E66CD" w:rsidR="00032B2A" w:rsidRPr="009F7399" w:rsidRDefault="00AB0812" w:rsidP="00B61005">
      <w:pPr>
        <w:spacing w:line="240" w:lineRule="auto"/>
        <w:rPr>
          <w:sz w:val="24"/>
          <w:szCs w:val="24"/>
        </w:rPr>
      </w:pPr>
      <w:r w:rsidRPr="00AB0812">
        <w:drawing>
          <wp:inline distT="0" distB="0" distL="0" distR="0" wp14:anchorId="7A8B68A5" wp14:editId="051508A6">
            <wp:extent cx="5943600" cy="19291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929130"/>
                    </a:xfrm>
                    <a:prstGeom prst="rect">
                      <a:avLst/>
                    </a:prstGeom>
                    <a:noFill/>
                    <a:ln>
                      <a:noFill/>
                    </a:ln>
                  </pic:spPr>
                </pic:pic>
              </a:graphicData>
            </a:graphic>
          </wp:inline>
        </w:drawing>
      </w:r>
    </w:p>
    <w:sectPr w:rsidR="00032B2A" w:rsidRPr="009F7399">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C587" w14:textId="77777777" w:rsidR="00A327D2" w:rsidRDefault="00A327D2" w:rsidP="00A327D2">
      <w:pPr>
        <w:spacing w:after="0" w:line="240" w:lineRule="auto"/>
      </w:pPr>
      <w:r>
        <w:separator/>
      </w:r>
    </w:p>
  </w:endnote>
  <w:endnote w:type="continuationSeparator" w:id="0">
    <w:p w14:paraId="7671A709" w14:textId="77777777" w:rsidR="00A327D2" w:rsidRDefault="00A327D2" w:rsidP="00A3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6684"/>
      <w:docPartObj>
        <w:docPartGallery w:val="Page Numbers (Bottom of Page)"/>
        <w:docPartUnique/>
      </w:docPartObj>
    </w:sdtPr>
    <w:sdtEndPr>
      <w:rPr>
        <w:noProof/>
      </w:rPr>
    </w:sdtEndPr>
    <w:sdtContent>
      <w:p w14:paraId="0ED67872" w14:textId="77777777" w:rsidR="00A34E2B" w:rsidRDefault="00A34E2B">
        <w:pPr>
          <w:pStyle w:val="Footer"/>
          <w:jc w:val="center"/>
        </w:pPr>
        <w:r>
          <w:fldChar w:fldCharType="begin"/>
        </w:r>
        <w:r>
          <w:instrText xml:space="preserve"> PAGE   \* MERGEFORMAT </w:instrText>
        </w:r>
        <w:r>
          <w:fldChar w:fldCharType="separate"/>
        </w:r>
        <w:r w:rsidR="00193535">
          <w:rPr>
            <w:noProof/>
          </w:rPr>
          <w:t>4</w:t>
        </w:r>
        <w:r>
          <w:rPr>
            <w:noProof/>
          </w:rPr>
          <w:fldChar w:fldCharType="end"/>
        </w:r>
      </w:p>
    </w:sdtContent>
  </w:sdt>
  <w:p w14:paraId="54D76CCE" w14:textId="77777777" w:rsidR="00A34E2B" w:rsidRDefault="00A3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5E89" w14:textId="77777777" w:rsidR="00A327D2" w:rsidRDefault="00A327D2" w:rsidP="00A327D2">
      <w:pPr>
        <w:spacing w:after="0" w:line="240" w:lineRule="auto"/>
      </w:pPr>
      <w:r>
        <w:separator/>
      </w:r>
    </w:p>
  </w:footnote>
  <w:footnote w:type="continuationSeparator" w:id="0">
    <w:p w14:paraId="358F586F" w14:textId="77777777" w:rsidR="00A327D2" w:rsidRDefault="00A327D2" w:rsidP="00A327D2">
      <w:pPr>
        <w:spacing w:after="0" w:line="240" w:lineRule="auto"/>
      </w:pPr>
      <w:r>
        <w:continuationSeparator/>
      </w:r>
    </w:p>
  </w:footnote>
  <w:footnote w:id="1">
    <w:p w14:paraId="799FFE71" w14:textId="77777777" w:rsidR="003343E8" w:rsidRDefault="003343E8">
      <w:pPr>
        <w:pStyle w:val="FootnoteText"/>
      </w:pPr>
      <w:r>
        <w:rPr>
          <w:rStyle w:val="FootnoteReference"/>
        </w:rPr>
        <w:footnoteRef/>
      </w:r>
      <w:r>
        <w:t xml:space="preserve"> When Federal Funds are received as reimbursement for state expenditures, they are recorded as Other Funds and do appear in many tables in this report.  These are distinct from true Federal Fund revenues.</w:t>
      </w:r>
    </w:p>
  </w:footnote>
  <w:footnote w:id="2">
    <w:p w14:paraId="057AF19A" w14:textId="1CEBF958" w:rsidR="00A327D2" w:rsidRDefault="00A327D2">
      <w:pPr>
        <w:pStyle w:val="FootnoteText"/>
      </w:pPr>
      <w:r>
        <w:rPr>
          <w:rStyle w:val="FootnoteReference"/>
        </w:rPr>
        <w:footnoteRef/>
      </w:r>
      <w:r>
        <w:t xml:space="preserve"> For questions regarding this report, contact Michael Kennedy:</w:t>
      </w:r>
      <w:r w:rsidR="00D01CE0">
        <w:t xml:space="preserve"> </w:t>
      </w:r>
      <w:hyperlink r:id="rId1" w:history="1">
        <w:r w:rsidR="00241899">
          <w:rPr>
            <w:rStyle w:val="Hyperlink"/>
          </w:rPr>
          <w:t>Michael.kennedy@das.oregon.gov</w:t>
        </w:r>
      </w:hyperlink>
    </w:p>
    <w:p w14:paraId="589360A2" w14:textId="132EC944" w:rsidR="00A327D2" w:rsidRDefault="00A327D2">
      <w:pPr>
        <w:pStyle w:val="FootnoteText"/>
      </w:pPr>
      <w:r>
        <w:t>Phone (</w:t>
      </w:r>
      <w:r w:rsidR="00241899">
        <w:t>971) 678-5595</w:t>
      </w:r>
    </w:p>
  </w:footnote>
  <w:footnote w:id="3">
    <w:p w14:paraId="3BDE1A01" w14:textId="6ED9613C" w:rsidR="00B87872" w:rsidRDefault="00B87872">
      <w:pPr>
        <w:pStyle w:val="FootnoteText"/>
      </w:pPr>
      <w:r>
        <w:rPr>
          <w:rStyle w:val="FootnoteReference"/>
        </w:rPr>
        <w:footnoteRef/>
      </w:r>
      <w:r>
        <w:t xml:space="preserve"> Specifically, revenue projections are associated with </w:t>
      </w:r>
      <w:r w:rsidR="001E12BA">
        <w:t>the Current Service Level in Agency Request Budgets</w:t>
      </w:r>
      <w:r>
        <w:t xml:space="preserve"> submitted at the end of summer 2022</w:t>
      </w:r>
      <w:r w:rsidR="00EA7C74">
        <w:t>, although some projections were updated for the Governor’s Recommended Budget</w:t>
      </w:r>
      <w:r w:rsidR="00B262CF">
        <w:t xml:space="preserve">.  </w:t>
      </w:r>
    </w:p>
  </w:footnote>
  <w:footnote w:id="4">
    <w:p w14:paraId="725FA955" w14:textId="3C9C3984" w:rsidR="006F22E2" w:rsidRDefault="006F22E2">
      <w:pPr>
        <w:pStyle w:val="FootnoteText"/>
      </w:pPr>
      <w:r>
        <w:rPr>
          <w:rStyle w:val="FootnoteReference"/>
        </w:rPr>
        <w:footnoteRef/>
      </w:r>
      <w:r>
        <w:t xml:space="preserve"> </w:t>
      </w:r>
      <w:r w:rsidRPr="006F22E2">
        <w:t>While the rates calculated at Agency Request exhibit a sizable increase for the 2023-25 biennium, it is likely that the final Legislatively Adopted values will be more in line with historical trends.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928"/>
    <w:multiLevelType w:val="hybridMultilevel"/>
    <w:tmpl w:val="95869AD0"/>
    <w:lvl w:ilvl="0" w:tplc="F762FE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4A0CA2"/>
    <w:multiLevelType w:val="hybridMultilevel"/>
    <w:tmpl w:val="CBFC1CCA"/>
    <w:lvl w:ilvl="0" w:tplc="F762FE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9F7C3B"/>
    <w:multiLevelType w:val="hybridMultilevel"/>
    <w:tmpl w:val="CE1CC3A6"/>
    <w:lvl w:ilvl="0" w:tplc="DCECDE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0572B"/>
    <w:multiLevelType w:val="hybridMultilevel"/>
    <w:tmpl w:val="BA32C83A"/>
    <w:lvl w:ilvl="0" w:tplc="D04EF370">
      <w:numFmt w:val="bullet"/>
      <w:lvlText w:val="•"/>
      <w:lvlJc w:val="left"/>
      <w:pPr>
        <w:ind w:left="360" w:firstLine="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66BCD"/>
    <w:multiLevelType w:val="hybridMultilevel"/>
    <w:tmpl w:val="50483268"/>
    <w:lvl w:ilvl="0" w:tplc="F762FE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0201362">
    <w:abstractNumId w:val="4"/>
  </w:num>
  <w:num w:numId="2" w16cid:durableId="987975790">
    <w:abstractNumId w:val="0"/>
  </w:num>
  <w:num w:numId="3" w16cid:durableId="368771444">
    <w:abstractNumId w:val="2"/>
  </w:num>
  <w:num w:numId="4" w16cid:durableId="1792480449">
    <w:abstractNumId w:val="1"/>
  </w:num>
  <w:num w:numId="5" w16cid:durableId="656302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4A"/>
    <w:rsid w:val="000141D7"/>
    <w:rsid w:val="00030854"/>
    <w:rsid w:val="00032B2A"/>
    <w:rsid w:val="00042803"/>
    <w:rsid w:val="0004467D"/>
    <w:rsid w:val="00046288"/>
    <w:rsid w:val="000477CD"/>
    <w:rsid w:val="000640E1"/>
    <w:rsid w:val="000674BD"/>
    <w:rsid w:val="000B0CC5"/>
    <w:rsid w:val="000B53A2"/>
    <w:rsid w:val="000D451C"/>
    <w:rsid w:val="000E4EC4"/>
    <w:rsid w:val="000F52CB"/>
    <w:rsid w:val="00103E8A"/>
    <w:rsid w:val="001049D1"/>
    <w:rsid w:val="00111798"/>
    <w:rsid w:val="00111C3B"/>
    <w:rsid w:val="00140E2A"/>
    <w:rsid w:val="00171A64"/>
    <w:rsid w:val="001818C9"/>
    <w:rsid w:val="00193535"/>
    <w:rsid w:val="001A5273"/>
    <w:rsid w:val="001A6CB3"/>
    <w:rsid w:val="001B352D"/>
    <w:rsid w:val="001D2CB5"/>
    <w:rsid w:val="001E088C"/>
    <w:rsid w:val="001E12BA"/>
    <w:rsid w:val="001F1AB0"/>
    <w:rsid w:val="001F64C0"/>
    <w:rsid w:val="00215BB9"/>
    <w:rsid w:val="00217B16"/>
    <w:rsid w:val="00241899"/>
    <w:rsid w:val="002710B1"/>
    <w:rsid w:val="00271593"/>
    <w:rsid w:val="002728EB"/>
    <w:rsid w:val="0027339A"/>
    <w:rsid w:val="002852E5"/>
    <w:rsid w:val="002873E1"/>
    <w:rsid w:val="002A0E61"/>
    <w:rsid w:val="002A4622"/>
    <w:rsid w:val="002D3285"/>
    <w:rsid w:val="00301268"/>
    <w:rsid w:val="00310DB0"/>
    <w:rsid w:val="003207EF"/>
    <w:rsid w:val="003257A9"/>
    <w:rsid w:val="003343E8"/>
    <w:rsid w:val="003531F8"/>
    <w:rsid w:val="00353FD8"/>
    <w:rsid w:val="00393B83"/>
    <w:rsid w:val="003D02BF"/>
    <w:rsid w:val="00404F6F"/>
    <w:rsid w:val="00431083"/>
    <w:rsid w:val="004364AD"/>
    <w:rsid w:val="004406B4"/>
    <w:rsid w:val="00462E4F"/>
    <w:rsid w:val="00474382"/>
    <w:rsid w:val="00485877"/>
    <w:rsid w:val="004B43A5"/>
    <w:rsid w:val="004B5AE9"/>
    <w:rsid w:val="004C49F7"/>
    <w:rsid w:val="004D0846"/>
    <w:rsid w:val="004D12AA"/>
    <w:rsid w:val="004D59ED"/>
    <w:rsid w:val="004D77FE"/>
    <w:rsid w:val="004F0803"/>
    <w:rsid w:val="004F7251"/>
    <w:rsid w:val="00501778"/>
    <w:rsid w:val="00504CE2"/>
    <w:rsid w:val="005356F6"/>
    <w:rsid w:val="005451F7"/>
    <w:rsid w:val="005E610F"/>
    <w:rsid w:val="005E655F"/>
    <w:rsid w:val="006104D3"/>
    <w:rsid w:val="00643BD3"/>
    <w:rsid w:val="00660BFA"/>
    <w:rsid w:val="006639B1"/>
    <w:rsid w:val="006A27EA"/>
    <w:rsid w:val="006C126C"/>
    <w:rsid w:val="006C1503"/>
    <w:rsid w:val="006C72D5"/>
    <w:rsid w:val="006F22E2"/>
    <w:rsid w:val="006F597E"/>
    <w:rsid w:val="00730AB7"/>
    <w:rsid w:val="00733EC5"/>
    <w:rsid w:val="00764350"/>
    <w:rsid w:val="007731EF"/>
    <w:rsid w:val="007741F6"/>
    <w:rsid w:val="00815795"/>
    <w:rsid w:val="00844E5C"/>
    <w:rsid w:val="00845806"/>
    <w:rsid w:val="008504A2"/>
    <w:rsid w:val="00853E50"/>
    <w:rsid w:val="00862206"/>
    <w:rsid w:val="00867023"/>
    <w:rsid w:val="00884361"/>
    <w:rsid w:val="00896A29"/>
    <w:rsid w:val="008C6DF9"/>
    <w:rsid w:val="008D1C93"/>
    <w:rsid w:val="008F264E"/>
    <w:rsid w:val="008F3781"/>
    <w:rsid w:val="008F745C"/>
    <w:rsid w:val="00902818"/>
    <w:rsid w:val="0091534A"/>
    <w:rsid w:val="00916817"/>
    <w:rsid w:val="009222D7"/>
    <w:rsid w:val="00937B5C"/>
    <w:rsid w:val="00954F4E"/>
    <w:rsid w:val="009748D2"/>
    <w:rsid w:val="009903ED"/>
    <w:rsid w:val="009928B6"/>
    <w:rsid w:val="009976B9"/>
    <w:rsid w:val="009B29EE"/>
    <w:rsid w:val="009C6CD5"/>
    <w:rsid w:val="009F7399"/>
    <w:rsid w:val="00A002EF"/>
    <w:rsid w:val="00A055E8"/>
    <w:rsid w:val="00A22682"/>
    <w:rsid w:val="00A26773"/>
    <w:rsid w:val="00A327D2"/>
    <w:rsid w:val="00A34E2B"/>
    <w:rsid w:val="00A461E1"/>
    <w:rsid w:val="00A87C1B"/>
    <w:rsid w:val="00AA1503"/>
    <w:rsid w:val="00AB0812"/>
    <w:rsid w:val="00AB6631"/>
    <w:rsid w:val="00AC36CC"/>
    <w:rsid w:val="00B013A6"/>
    <w:rsid w:val="00B07157"/>
    <w:rsid w:val="00B262CF"/>
    <w:rsid w:val="00B51EDC"/>
    <w:rsid w:val="00B574F6"/>
    <w:rsid w:val="00B61005"/>
    <w:rsid w:val="00B87872"/>
    <w:rsid w:val="00BA7E50"/>
    <w:rsid w:val="00BB2CCC"/>
    <w:rsid w:val="00BB4A20"/>
    <w:rsid w:val="00BC4C0F"/>
    <w:rsid w:val="00BE4077"/>
    <w:rsid w:val="00BF4CAC"/>
    <w:rsid w:val="00C06CB0"/>
    <w:rsid w:val="00C215D3"/>
    <w:rsid w:val="00C75C45"/>
    <w:rsid w:val="00C761BA"/>
    <w:rsid w:val="00C7716D"/>
    <w:rsid w:val="00C965B4"/>
    <w:rsid w:val="00CA0190"/>
    <w:rsid w:val="00CA1821"/>
    <w:rsid w:val="00CA4E18"/>
    <w:rsid w:val="00CE3AC5"/>
    <w:rsid w:val="00CE4CE3"/>
    <w:rsid w:val="00D01CE0"/>
    <w:rsid w:val="00D033DA"/>
    <w:rsid w:val="00D06777"/>
    <w:rsid w:val="00D0768B"/>
    <w:rsid w:val="00D12B02"/>
    <w:rsid w:val="00D2251C"/>
    <w:rsid w:val="00D40936"/>
    <w:rsid w:val="00D507F4"/>
    <w:rsid w:val="00D75C20"/>
    <w:rsid w:val="00D81436"/>
    <w:rsid w:val="00DA1B8B"/>
    <w:rsid w:val="00DF66AC"/>
    <w:rsid w:val="00E12D27"/>
    <w:rsid w:val="00E33CA6"/>
    <w:rsid w:val="00E47730"/>
    <w:rsid w:val="00E53753"/>
    <w:rsid w:val="00E667B2"/>
    <w:rsid w:val="00E759A3"/>
    <w:rsid w:val="00E76B99"/>
    <w:rsid w:val="00EA7C74"/>
    <w:rsid w:val="00ED4B28"/>
    <w:rsid w:val="00EE64B8"/>
    <w:rsid w:val="00EE7C3E"/>
    <w:rsid w:val="00EF465F"/>
    <w:rsid w:val="00F30DA9"/>
    <w:rsid w:val="00F42B55"/>
    <w:rsid w:val="00F55DDE"/>
    <w:rsid w:val="00F83093"/>
    <w:rsid w:val="00F94FD8"/>
    <w:rsid w:val="00FA4A6C"/>
    <w:rsid w:val="00FC3D16"/>
    <w:rsid w:val="00FE0117"/>
    <w:rsid w:val="00FF09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52C2"/>
  <w15:chartTrackingRefBased/>
  <w15:docId w15:val="{D281AB0F-9D33-45B3-BF6E-515961AC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2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7D2"/>
    <w:rPr>
      <w:sz w:val="20"/>
      <w:szCs w:val="20"/>
    </w:rPr>
  </w:style>
  <w:style w:type="character" w:styleId="FootnoteReference">
    <w:name w:val="footnote reference"/>
    <w:basedOn w:val="DefaultParagraphFont"/>
    <w:uiPriority w:val="99"/>
    <w:semiHidden/>
    <w:unhideWhenUsed/>
    <w:rsid w:val="00A327D2"/>
    <w:rPr>
      <w:vertAlign w:val="superscript"/>
    </w:rPr>
  </w:style>
  <w:style w:type="character" w:styleId="Hyperlink">
    <w:name w:val="Hyperlink"/>
    <w:basedOn w:val="DefaultParagraphFont"/>
    <w:uiPriority w:val="99"/>
    <w:unhideWhenUsed/>
    <w:rsid w:val="00A327D2"/>
    <w:rPr>
      <w:color w:val="0563C1" w:themeColor="hyperlink"/>
      <w:u w:val="single"/>
    </w:rPr>
  </w:style>
  <w:style w:type="character" w:styleId="CommentReference">
    <w:name w:val="annotation reference"/>
    <w:basedOn w:val="DefaultParagraphFont"/>
    <w:uiPriority w:val="99"/>
    <w:semiHidden/>
    <w:unhideWhenUsed/>
    <w:rsid w:val="001F64C0"/>
    <w:rPr>
      <w:sz w:val="16"/>
      <w:szCs w:val="16"/>
    </w:rPr>
  </w:style>
  <w:style w:type="paragraph" w:styleId="CommentText">
    <w:name w:val="annotation text"/>
    <w:basedOn w:val="Normal"/>
    <w:link w:val="CommentTextChar"/>
    <w:uiPriority w:val="99"/>
    <w:semiHidden/>
    <w:unhideWhenUsed/>
    <w:rsid w:val="001F64C0"/>
    <w:pPr>
      <w:spacing w:line="240" w:lineRule="auto"/>
    </w:pPr>
    <w:rPr>
      <w:sz w:val="20"/>
      <w:szCs w:val="20"/>
    </w:rPr>
  </w:style>
  <w:style w:type="character" w:customStyle="1" w:styleId="CommentTextChar">
    <w:name w:val="Comment Text Char"/>
    <w:basedOn w:val="DefaultParagraphFont"/>
    <w:link w:val="CommentText"/>
    <w:uiPriority w:val="99"/>
    <w:semiHidden/>
    <w:rsid w:val="001F64C0"/>
    <w:rPr>
      <w:sz w:val="20"/>
      <w:szCs w:val="20"/>
    </w:rPr>
  </w:style>
  <w:style w:type="paragraph" w:styleId="CommentSubject">
    <w:name w:val="annotation subject"/>
    <w:basedOn w:val="CommentText"/>
    <w:next w:val="CommentText"/>
    <w:link w:val="CommentSubjectChar"/>
    <w:uiPriority w:val="99"/>
    <w:semiHidden/>
    <w:unhideWhenUsed/>
    <w:rsid w:val="001F64C0"/>
    <w:rPr>
      <w:b/>
      <w:bCs/>
    </w:rPr>
  </w:style>
  <w:style w:type="character" w:customStyle="1" w:styleId="CommentSubjectChar">
    <w:name w:val="Comment Subject Char"/>
    <w:basedOn w:val="CommentTextChar"/>
    <w:link w:val="CommentSubject"/>
    <w:uiPriority w:val="99"/>
    <w:semiHidden/>
    <w:rsid w:val="001F64C0"/>
    <w:rPr>
      <w:b/>
      <w:bCs/>
      <w:sz w:val="20"/>
      <w:szCs w:val="20"/>
    </w:rPr>
  </w:style>
  <w:style w:type="paragraph" w:styleId="BalloonText">
    <w:name w:val="Balloon Text"/>
    <w:basedOn w:val="Normal"/>
    <w:link w:val="BalloonTextChar"/>
    <w:uiPriority w:val="99"/>
    <w:semiHidden/>
    <w:unhideWhenUsed/>
    <w:rsid w:val="001F6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C0"/>
    <w:rPr>
      <w:rFonts w:ascii="Segoe UI" w:hAnsi="Segoe UI" w:cs="Segoe UI"/>
      <w:sz w:val="18"/>
      <w:szCs w:val="18"/>
    </w:rPr>
  </w:style>
  <w:style w:type="paragraph" w:styleId="ListParagraph">
    <w:name w:val="List Paragraph"/>
    <w:basedOn w:val="Normal"/>
    <w:uiPriority w:val="34"/>
    <w:qFormat/>
    <w:rsid w:val="008F3781"/>
    <w:pPr>
      <w:ind w:left="720"/>
      <w:contextualSpacing/>
    </w:pPr>
  </w:style>
  <w:style w:type="paragraph" w:styleId="Header">
    <w:name w:val="header"/>
    <w:basedOn w:val="Normal"/>
    <w:link w:val="HeaderChar"/>
    <w:uiPriority w:val="99"/>
    <w:unhideWhenUsed/>
    <w:rsid w:val="00A34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2B"/>
  </w:style>
  <w:style w:type="paragraph" w:styleId="Footer">
    <w:name w:val="footer"/>
    <w:basedOn w:val="Normal"/>
    <w:link w:val="FooterChar"/>
    <w:uiPriority w:val="99"/>
    <w:unhideWhenUsed/>
    <w:rsid w:val="00A34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001259">
      <w:bodyDiv w:val="1"/>
      <w:marLeft w:val="0"/>
      <w:marRight w:val="0"/>
      <w:marTop w:val="0"/>
      <w:marBottom w:val="0"/>
      <w:divBdr>
        <w:top w:val="none" w:sz="0" w:space="0" w:color="auto"/>
        <w:left w:val="none" w:sz="0" w:space="0" w:color="auto"/>
        <w:bottom w:val="none" w:sz="0" w:space="0" w:color="auto"/>
        <w:right w:val="none" w:sz="0" w:space="0" w:color="auto"/>
      </w:divBdr>
    </w:div>
    <w:div w:id="7056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w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mailto:Michael.kennedy@da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C7B12AE804049AF890919B65DCAA1" ma:contentTypeVersion="9" ma:contentTypeDescription="Create a new document." ma:contentTypeScope="" ma:versionID="4ea9a14a3a496b8d908ccdc5e188100c">
  <xsd:schema xmlns:xsd="http://www.w3.org/2001/XMLSchema" xmlns:xs="http://www.w3.org/2001/XMLSchema" xmlns:p="http://schemas.microsoft.com/office/2006/metadata/properties" xmlns:ns1="http://schemas.microsoft.com/sharepoint/v3" xmlns:ns2="2f119d7b-84ae-485e-90b2-f8bb54fe4be9" xmlns:ns3="c11a4dd1-9999-41de-ad6b-508521c3559d" targetNamespace="http://schemas.microsoft.com/office/2006/metadata/properties" ma:root="true" ma:fieldsID="59e3ea66ea2ee84ff8cf1250dfcbfdba" ns1:_="" ns2:_="" ns3:_="">
    <xsd:import namespace="http://schemas.microsoft.com/sharepoint/v3"/>
    <xsd:import namespace="2f119d7b-84ae-485e-90b2-f8bb54fe4be9"/>
    <xsd:import namespace="c11a4dd1-9999-41de-ad6b-508521c3559d"/>
    <xsd:element name="properties">
      <xsd:complexType>
        <xsd:sequence>
          <xsd:element name="documentManagement">
            <xsd:complexType>
              <xsd:all>
                <xsd:element ref="ns2:Topic_x0020_area" minOccurs="0"/>
                <xsd:element ref="ns2:Subtopics" minOccurs="0"/>
                <xsd:element ref="ns2:Demographic" minOccurs="0"/>
                <xsd:element ref="ns2:Posted_x0020_to"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119d7b-84ae-485e-90b2-f8bb54fe4be9" elementFormDefault="qualified">
    <xsd:import namespace="http://schemas.microsoft.com/office/2006/documentManagement/types"/>
    <xsd:import namespace="http://schemas.microsoft.com/office/infopath/2007/PartnerControls"/>
    <xsd:element name="Topic_x0020_area" ma:index="2" nillable="true" ma:displayName="Topic area" ma:format="Dropdown" ma:internalName="Topic_x0020_area">
      <xsd:simpleType>
        <xsd:restriction base="dms:Choice">
          <xsd:enumeration value="Economic forecast"/>
          <xsd:enumeration value="Revenue forecast"/>
          <xsd:enumeration value="Corrections forecast"/>
          <xsd:enumeration value="Youth forecast"/>
          <xsd:enumeration value="Demographic forecast"/>
          <xsd:enumeration value="Highway Cost Allocation"/>
        </xsd:restriction>
      </xsd:simpleType>
    </xsd:element>
    <xsd:element name="Subtopics" ma:index="3" nillable="true" ma:displayName="Sub-topic" ma:format="Dropdown" ma:internalName="Subtopics">
      <xsd:simpleType>
        <xsd:restriction base="dms:Choice">
          <xsd:enumeration value="Corrections"/>
          <xsd:enumeration value="Youth Authority"/>
        </xsd:restriction>
      </xsd:simpleType>
    </xsd:element>
    <xsd:element name="Demographic" ma:index="4" nillable="true" ma:displayName="Demographic" ma:format="Dropdown" ma:internalName="Demographic">
      <xsd:simpleType>
        <xsd:restriction base="dms:Choice">
          <xsd:enumeration value="Demographic Forecast"/>
          <xsd:enumeration value="Census Data"/>
        </xsd:restriction>
      </xsd:simpleType>
    </xsd:element>
    <xsd:element name="Posted_x0020_to" ma:index="5" nillable="true" ma:displayName="Posted to" ma:format="Dropdown" ma:internalName="Posted_x0020_to">
      <xsd:simpleType>
        <xsd:union memberTypes="dms:Text">
          <xsd:simpleType>
            <xsd:restriction base="dms:Choice">
              <xsd:enumeration value="Current"/>
              <xsd:enumeration value="Archiv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sted_x0020_to xmlns="2f119d7b-84ae-485e-90b2-f8bb54fe4be9" xsi:nil="true"/>
    <PublishingExpirationDate xmlns="http://schemas.microsoft.com/sharepoint/v3" xsi:nil="true"/>
    <Subtopics xmlns="2f119d7b-84ae-485e-90b2-f8bb54fe4be9" xsi:nil="true"/>
    <Demographic xmlns="2f119d7b-84ae-485e-90b2-f8bb54fe4be9" xsi:nil="true"/>
    <PublishingStartDate xmlns="http://schemas.microsoft.com/sharepoint/v3" xsi:nil="true"/>
    <Topic_x0020_area xmlns="2f119d7b-84ae-485e-90b2-f8bb54fe4be9" xsi:nil="true"/>
  </documentManagement>
</p:properties>
</file>

<file path=customXml/itemProps1.xml><?xml version="1.0" encoding="utf-8"?>
<ds:datastoreItem xmlns:ds="http://schemas.openxmlformats.org/officeDocument/2006/customXml" ds:itemID="{9FC276E2-96AD-47C7-A4CA-958E15929287}">
  <ds:schemaRefs>
    <ds:schemaRef ds:uri="http://schemas.openxmlformats.org/officeDocument/2006/bibliography"/>
  </ds:schemaRefs>
</ds:datastoreItem>
</file>

<file path=customXml/itemProps2.xml><?xml version="1.0" encoding="utf-8"?>
<ds:datastoreItem xmlns:ds="http://schemas.openxmlformats.org/officeDocument/2006/customXml" ds:itemID="{DC010E93-C041-487C-B8D0-4ED17CA283F7}"/>
</file>

<file path=customXml/itemProps3.xml><?xml version="1.0" encoding="utf-8"?>
<ds:datastoreItem xmlns:ds="http://schemas.openxmlformats.org/officeDocument/2006/customXml" ds:itemID="{C169DF7B-925B-46F4-BA51-9F9693D8BA44}"/>
</file>

<file path=customXml/itemProps4.xml><?xml version="1.0" encoding="utf-8"?>
<ds:datastoreItem xmlns:ds="http://schemas.openxmlformats.org/officeDocument/2006/customXml" ds:itemID="{CD496051-162C-472D-BB0A-53FF977A7D3F}"/>
</file>

<file path=docProps/app.xml><?xml version="1.0" encoding="utf-8"?>
<Properties xmlns="http://schemas.openxmlformats.org/officeDocument/2006/extended-properties" xmlns:vt="http://schemas.openxmlformats.org/officeDocument/2006/docPropsVTypes">
  <Template>Normal.dotm</Template>
  <TotalTime>37426</TotalTime>
  <Pages>18</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Michael  * COO</dc:creator>
  <cp:keywords/>
  <dc:description/>
  <cp:lastModifiedBy>KENNEDY Michael * DAS</cp:lastModifiedBy>
  <cp:revision>58</cp:revision>
  <cp:lastPrinted>2020-11-06T18:54:00Z</cp:lastPrinted>
  <dcterms:created xsi:type="dcterms:W3CDTF">2020-10-30T15:27:00Z</dcterms:created>
  <dcterms:modified xsi:type="dcterms:W3CDTF">2023-05-17T18:50:00Z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0x01010084FC7B12AE804049AF890919B65DCAA1</vt:lpwstr>
  </property>
</Properties>
</file>