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3E3" w:rsidRDefault="00E0232F">
      <w:pPr>
        <w:spacing w:after="0"/>
        <w:jc w:val="center"/>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58240" behindDoc="1" locked="0" layoutInCell="1" allowOverlap="1">
            <wp:simplePos x="0" y="0"/>
            <wp:positionH relativeFrom="column">
              <wp:posOffset>24765</wp:posOffset>
            </wp:positionH>
            <wp:positionV relativeFrom="page">
              <wp:posOffset>174651</wp:posOffset>
            </wp:positionV>
            <wp:extent cx="413385" cy="946785"/>
            <wp:effectExtent l="0" t="0" r="0" b="0"/>
            <wp:wrapTight wrapText="bothSides">
              <wp:wrapPolygon edited="0">
                <wp:start x="0" y="0"/>
                <wp:lineTo x="0" y="21296"/>
                <wp:lineTo x="20903" y="21296"/>
                <wp:lineTo x="20903" y="0"/>
                <wp:lineTo x="0" y="0"/>
              </wp:wrapPolygon>
            </wp:wrapTight>
            <wp:docPr id="3" name="Picture 2" descr="\\deq000\Templates\General\LogoColorRegular.jpg"/>
            <wp:cNvGraphicFramePr/>
            <a:graphic xmlns:a="http://schemas.openxmlformats.org/drawingml/2006/main">
              <a:graphicData uri="http://schemas.openxmlformats.org/drawingml/2006/picture">
                <pic:pic xmlns:pic="http://schemas.openxmlformats.org/drawingml/2006/picture">
                  <pic:nvPicPr>
                    <pic:cNvPr id="0" name="Picture 1" descr="\\deq000\Templates\General\LogoColorRegula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946785"/>
                    </a:xfrm>
                    <a:prstGeom prst="rect">
                      <a:avLst/>
                    </a:prstGeom>
                    <a:noFill/>
                    <a:ln w="9525">
                      <a:noFill/>
                      <a:miter lim="800000"/>
                      <a:headEnd/>
                      <a:tailEnd/>
                    </a:ln>
                  </pic:spPr>
                </pic:pic>
              </a:graphicData>
            </a:graphic>
          </wp:anchor>
        </w:drawing>
      </w:r>
      <w:r>
        <w:rPr>
          <w:rFonts w:ascii="Times New Roman" w:hAnsi="Times New Roman" w:cs="Times New Roman"/>
          <w:b/>
          <w:sz w:val="26"/>
          <w:szCs w:val="26"/>
        </w:rPr>
        <w:t>WASTE PREVENTION CAMPAIGN</w:t>
      </w:r>
    </w:p>
    <w:p w:rsidR="005A63E3" w:rsidRDefault="00E0232F">
      <w:pPr>
        <w:spacing w:after="0"/>
        <w:jc w:val="center"/>
        <w:rPr>
          <w:rFonts w:ascii="Times New Roman" w:hAnsi="Times New Roman" w:cs="Times New Roman"/>
          <w:b/>
          <w:sz w:val="26"/>
          <w:szCs w:val="26"/>
        </w:rPr>
      </w:pPr>
      <w:r>
        <w:rPr>
          <w:rFonts w:ascii="Times New Roman" w:hAnsi="Times New Roman" w:cs="Times New Roman"/>
          <w:b/>
          <w:sz w:val="26"/>
          <w:szCs w:val="26"/>
        </w:rPr>
        <w:t>TARGETING RESIDENTIAL GENERATORS PLAN</w:t>
      </w:r>
    </w:p>
    <w:p w:rsidR="005A63E3" w:rsidRDefault="00E0232F">
      <w:pPr>
        <w:spacing w:after="0"/>
        <w:jc w:val="center"/>
        <w:rPr>
          <w:rFonts w:ascii="Times New Roman" w:hAnsi="Times New Roman" w:cs="Times New Roman"/>
          <w:b/>
          <w:sz w:val="26"/>
          <w:szCs w:val="26"/>
        </w:rPr>
      </w:pPr>
      <w:r>
        <w:rPr>
          <w:rFonts w:ascii="Times New Roman" w:hAnsi="Times New Roman" w:cs="Times New Roman"/>
          <w:b/>
          <w:sz w:val="26"/>
          <w:szCs w:val="26"/>
        </w:rPr>
        <w:t>OAR 340-090-0042(3)</w:t>
      </w:r>
    </w:p>
    <w:p w:rsidR="005A63E3" w:rsidRDefault="00E0232F">
      <w:pPr>
        <w:autoSpaceDE w:val="0"/>
        <w:autoSpaceDN w:val="0"/>
        <w:adjustRightInd w:val="0"/>
        <w:spacing w:before="120"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A local jurisdiction that chooses to implement the waste prevention campaign targeting residential generators is required to complete and submit a campaign description and an implementation plan to the Oregon Department of Environmental Quality. The </w:t>
      </w:r>
      <w:r>
        <w:rPr>
          <w:rFonts w:ascii="Times New Roman" w:hAnsi="Times New Roman" w:cs="Times New Roman"/>
          <w:sz w:val="24"/>
          <w:szCs w:val="24"/>
        </w:rPr>
        <w:t>campaign must target residential generators of waste and focus on one or more toxic or energy intensive materials or consumer purchasing practices. “Consumer purchasing practices” means the act of purchasing a toxic or energy intensive material, a product containing toxic materials, or a product consisting at least 50 percent by weight of energy-intensive materials.</w:t>
      </w:r>
    </w:p>
    <w:p w:rsidR="005A63E3" w:rsidRDefault="00E0232F">
      <w:pPr>
        <w:autoSpaceDE w:val="0"/>
        <w:autoSpaceDN w:val="0"/>
        <w:adjustRightInd w:val="0"/>
        <w:spacing w:before="120" w:after="120" w:line="240" w:lineRule="auto"/>
        <w:rPr>
          <w:rFonts w:ascii="Times New Roman" w:hAnsi="Times New Roman" w:cs="Times New Roman"/>
          <w:bCs/>
          <w:sz w:val="24"/>
          <w:szCs w:val="24"/>
        </w:rPr>
      </w:pPr>
      <w:r>
        <w:rPr>
          <w:rFonts w:ascii="Times New Roman" w:hAnsi="Times New Roman" w:cs="Times New Roman"/>
          <w:bCs/>
          <w:sz w:val="24"/>
          <w:szCs w:val="24"/>
        </w:rPr>
        <w:t>Complete this form to describe how the local government will meet these requirements and what action it will take to provide a waste prevention campaign to residential generators.</w:t>
      </w:r>
    </w:p>
    <w:p w:rsidR="005A63E3" w:rsidRDefault="00E0232F">
      <w:pPr>
        <w:tabs>
          <w:tab w:val="left" w:pos="-720"/>
        </w:tabs>
        <w:suppressAutoHyphens/>
        <w:spacing w:before="120" w:after="0"/>
        <w:rPr>
          <w:rFonts w:ascii="Times New Roman" w:eastAsia="Calibri" w:hAnsi="Times New Roman" w:cs="Times New Roman"/>
          <w:sz w:val="24"/>
          <w:szCs w:val="24"/>
        </w:rPr>
      </w:pPr>
      <w:r>
        <w:rPr>
          <w:rFonts w:ascii="Times New Roman" w:hAnsi="Times New Roman"/>
          <w:b/>
          <w:sz w:val="24"/>
          <w:szCs w:val="24"/>
        </w:rPr>
        <w:t>Name of Local Jurisdiction:</w:t>
      </w:r>
      <w:r>
        <w:rPr>
          <w:rFonts w:ascii="Times New Roman" w:hAnsi="Times New Roman"/>
          <w:sz w:val="24"/>
          <w:szCs w:val="24"/>
        </w:rPr>
        <w:t xml:space="preserve"> </w:t>
      </w:r>
      <w:r w:rsidR="00182E32">
        <w:rPr>
          <w:rFonts w:cs="Arial"/>
          <w:sz w:val="24"/>
          <w:szCs w:val="24"/>
          <w:u w:val="single"/>
        </w:rPr>
        <w:fldChar w:fldCharType="begin">
          <w:ffData>
            <w:name w:val="Text4"/>
            <w:enabled/>
            <w:calcOnExit w:val="0"/>
            <w:textInput/>
          </w:ffData>
        </w:fldChar>
      </w:r>
      <w:r>
        <w:rPr>
          <w:rFonts w:cs="Arial"/>
          <w:sz w:val="24"/>
          <w:szCs w:val="24"/>
          <w:u w:val="single"/>
        </w:rPr>
        <w:instrText xml:space="preserve"> FORMTEXT </w:instrText>
      </w:r>
      <w:r w:rsidR="00182E32">
        <w:rPr>
          <w:rFonts w:cs="Arial"/>
          <w:sz w:val="24"/>
          <w:szCs w:val="24"/>
          <w:u w:val="single"/>
        </w:rPr>
      </w:r>
      <w:r w:rsidR="00182E32">
        <w:rPr>
          <w:rFonts w:cs="Arial"/>
          <w:sz w:val="24"/>
          <w:szCs w:val="24"/>
          <w:u w:val="single"/>
        </w:rPr>
        <w:fldChar w:fldCharType="separate"/>
      </w:r>
      <w:r>
        <w:rPr>
          <w:rFonts w:cs="Arial"/>
          <w:sz w:val="24"/>
          <w:szCs w:val="24"/>
          <w:u w:val="single"/>
        </w:rPr>
        <w:t> </w:t>
      </w:r>
      <w:r>
        <w:rPr>
          <w:rFonts w:cs="Arial"/>
          <w:sz w:val="24"/>
          <w:szCs w:val="24"/>
          <w:u w:val="single"/>
        </w:rPr>
        <w:t> </w:t>
      </w:r>
      <w:r>
        <w:rPr>
          <w:rFonts w:cs="Arial"/>
          <w:sz w:val="24"/>
          <w:szCs w:val="24"/>
          <w:u w:val="single"/>
        </w:rPr>
        <w:t> </w:t>
      </w:r>
      <w:r>
        <w:rPr>
          <w:rFonts w:cs="Arial"/>
          <w:sz w:val="24"/>
          <w:szCs w:val="24"/>
          <w:u w:val="single"/>
        </w:rPr>
        <w:t> </w:t>
      </w:r>
      <w:r>
        <w:rPr>
          <w:rFonts w:cs="Arial"/>
          <w:sz w:val="24"/>
          <w:szCs w:val="24"/>
          <w:u w:val="single"/>
        </w:rPr>
        <w:t> </w:t>
      </w:r>
      <w:r w:rsidR="00182E32">
        <w:rPr>
          <w:rFonts w:cs="Arial"/>
          <w:sz w:val="24"/>
          <w:szCs w:val="24"/>
          <w:u w:val="single"/>
        </w:rPr>
        <w:fldChar w:fldCharType="end"/>
      </w:r>
    </w:p>
    <w:p w:rsidR="005A63E3" w:rsidRDefault="00E0232F">
      <w:pPr>
        <w:tabs>
          <w:tab w:val="left" w:pos="-720"/>
        </w:tabs>
        <w:suppressAutoHyphens/>
        <w:spacing w:after="0"/>
        <w:rPr>
          <w:rFonts w:cs="Arial"/>
          <w:sz w:val="24"/>
          <w:szCs w:val="24"/>
          <w:u w:val="single"/>
        </w:rPr>
      </w:pPr>
      <w:r>
        <w:rPr>
          <w:rFonts w:ascii="Times New Roman" w:hAnsi="Times New Roman" w:cs="Times New Roman"/>
          <w:b/>
          <w:bCs/>
          <w:sz w:val="24"/>
          <w:szCs w:val="24"/>
        </w:rPr>
        <w:t xml:space="preserve">Population Served: </w:t>
      </w:r>
      <w:r w:rsidR="00182E32">
        <w:rPr>
          <w:rFonts w:cs="Arial"/>
          <w:sz w:val="24"/>
          <w:szCs w:val="24"/>
          <w:u w:val="single"/>
        </w:rPr>
        <w:fldChar w:fldCharType="begin">
          <w:ffData>
            <w:name w:val="Text4"/>
            <w:enabled/>
            <w:calcOnExit w:val="0"/>
            <w:textInput/>
          </w:ffData>
        </w:fldChar>
      </w:r>
      <w:r>
        <w:rPr>
          <w:rFonts w:cs="Arial"/>
          <w:sz w:val="24"/>
          <w:szCs w:val="24"/>
          <w:u w:val="single"/>
        </w:rPr>
        <w:instrText xml:space="preserve"> FORMTEXT </w:instrText>
      </w:r>
      <w:r w:rsidR="00182E32">
        <w:rPr>
          <w:rFonts w:cs="Arial"/>
          <w:sz w:val="24"/>
          <w:szCs w:val="24"/>
          <w:u w:val="single"/>
        </w:rPr>
      </w:r>
      <w:r w:rsidR="00182E32">
        <w:rPr>
          <w:rFonts w:cs="Arial"/>
          <w:sz w:val="24"/>
          <w:szCs w:val="24"/>
          <w:u w:val="single"/>
        </w:rPr>
        <w:fldChar w:fldCharType="separate"/>
      </w:r>
      <w:r>
        <w:rPr>
          <w:rFonts w:cs="Arial"/>
          <w:sz w:val="24"/>
          <w:szCs w:val="24"/>
          <w:u w:val="single"/>
        </w:rPr>
        <w:t> </w:t>
      </w:r>
      <w:r>
        <w:rPr>
          <w:rFonts w:cs="Arial"/>
          <w:sz w:val="24"/>
          <w:szCs w:val="24"/>
          <w:u w:val="single"/>
        </w:rPr>
        <w:t> </w:t>
      </w:r>
      <w:r>
        <w:rPr>
          <w:rFonts w:cs="Arial"/>
          <w:sz w:val="24"/>
          <w:szCs w:val="24"/>
          <w:u w:val="single"/>
        </w:rPr>
        <w:t> </w:t>
      </w:r>
      <w:r>
        <w:rPr>
          <w:rFonts w:cs="Arial"/>
          <w:sz w:val="24"/>
          <w:szCs w:val="24"/>
          <w:u w:val="single"/>
        </w:rPr>
        <w:t> </w:t>
      </w:r>
      <w:r>
        <w:rPr>
          <w:rFonts w:cs="Arial"/>
          <w:sz w:val="24"/>
          <w:szCs w:val="24"/>
          <w:u w:val="single"/>
        </w:rPr>
        <w:t> </w:t>
      </w:r>
      <w:r w:rsidR="00182E32">
        <w:rPr>
          <w:rFonts w:cs="Arial"/>
          <w:sz w:val="24"/>
          <w:szCs w:val="24"/>
          <w:u w:val="single"/>
        </w:rPr>
        <w:fldChar w:fldCharType="end"/>
      </w:r>
    </w:p>
    <w:p w:rsidR="005A63E3" w:rsidRDefault="00E0232F">
      <w:pPr>
        <w:spacing w:after="0"/>
        <w:rPr>
          <w:rFonts w:cs="Arial"/>
          <w:sz w:val="24"/>
          <w:szCs w:val="24"/>
          <w:u w:val="single"/>
        </w:rPr>
      </w:pPr>
      <w:r>
        <w:rPr>
          <w:rFonts w:ascii="Times New Roman" w:hAnsi="Times New Roman" w:cs="Times New Roman"/>
          <w:b/>
          <w:bCs/>
          <w:sz w:val="24"/>
          <w:szCs w:val="24"/>
        </w:rPr>
        <w:t xml:space="preserve">Name of Local Hauler(s): </w:t>
      </w:r>
      <w:r w:rsidR="00182E32">
        <w:rPr>
          <w:rFonts w:cs="Arial"/>
          <w:sz w:val="24"/>
          <w:szCs w:val="24"/>
          <w:u w:val="single"/>
        </w:rPr>
        <w:fldChar w:fldCharType="begin">
          <w:ffData>
            <w:name w:val="Text4"/>
            <w:enabled/>
            <w:calcOnExit w:val="0"/>
            <w:textInput/>
          </w:ffData>
        </w:fldChar>
      </w:r>
      <w:r>
        <w:rPr>
          <w:rFonts w:cs="Arial"/>
          <w:sz w:val="24"/>
          <w:szCs w:val="24"/>
          <w:u w:val="single"/>
        </w:rPr>
        <w:instrText xml:space="preserve"> FORMTEXT </w:instrText>
      </w:r>
      <w:r w:rsidR="00182E32">
        <w:rPr>
          <w:rFonts w:cs="Arial"/>
          <w:sz w:val="24"/>
          <w:szCs w:val="24"/>
          <w:u w:val="single"/>
        </w:rPr>
      </w:r>
      <w:r w:rsidR="00182E32">
        <w:rPr>
          <w:rFonts w:cs="Arial"/>
          <w:sz w:val="24"/>
          <w:szCs w:val="24"/>
          <w:u w:val="single"/>
        </w:rPr>
        <w:fldChar w:fldCharType="separate"/>
      </w:r>
      <w:r>
        <w:rPr>
          <w:rFonts w:cs="Arial"/>
          <w:sz w:val="24"/>
          <w:szCs w:val="24"/>
          <w:u w:val="single"/>
        </w:rPr>
        <w:t> </w:t>
      </w:r>
      <w:r>
        <w:rPr>
          <w:rFonts w:cs="Arial"/>
          <w:sz w:val="24"/>
          <w:szCs w:val="24"/>
          <w:u w:val="single"/>
        </w:rPr>
        <w:t> </w:t>
      </w:r>
      <w:r>
        <w:rPr>
          <w:rFonts w:cs="Arial"/>
          <w:sz w:val="24"/>
          <w:szCs w:val="24"/>
          <w:u w:val="single"/>
        </w:rPr>
        <w:t> </w:t>
      </w:r>
      <w:r>
        <w:rPr>
          <w:rFonts w:cs="Arial"/>
          <w:sz w:val="24"/>
          <w:szCs w:val="24"/>
          <w:u w:val="single"/>
        </w:rPr>
        <w:t> </w:t>
      </w:r>
      <w:r>
        <w:rPr>
          <w:rFonts w:cs="Arial"/>
          <w:sz w:val="24"/>
          <w:szCs w:val="24"/>
          <w:u w:val="single"/>
        </w:rPr>
        <w:t> </w:t>
      </w:r>
      <w:r w:rsidR="00182E32">
        <w:rPr>
          <w:rFonts w:cs="Arial"/>
          <w:sz w:val="24"/>
          <w:szCs w:val="24"/>
          <w:u w:val="single"/>
        </w:rPr>
        <w:fldChar w:fldCharType="end"/>
      </w:r>
    </w:p>
    <w:p w:rsidR="005A63E3" w:rsidRDefault="00E0232F">
      <w:pPr>
        <w:spacing w:after="0"/>
        <w:rPr>
          <w:rFonts w:cs="Arial"/>
          <w:sz w:val="24"/>
          <w:szCs w:val="24"/>
          <w:u w:val="single"/>
        </w:rPr>
      </w:pPr>
      <w:r>
        <w:rPr>
          <w:rFonts w:ascii="Times New Roman" w:hAnsi="Times New Roman" w:cs="Times New Roman"/>
          <w:b/>
          <w:sz w:val="24"/>
          <w:szCs w:val="24"/>
        </w:rPr>
        <w:t xml:space="preserve">Dates the Program will be </w:t>
      </w:r>
      <w:proofErr w:type="gramStart"/>
      <w:r>
        <w:rPr>
          <w:rFonts w:ascii="Times New Roman" w:hAnsi="Times New Roman" w:cs="Times New Roman"/>
          <w:b/>
          <w:sz w:val="24"/>
          <w:szCs w:val="24"/>
        </w:rPr>
        <w:t>Implemented</w:t>
      </w:r>
      <w:proofErr w:type="gramEnd"/>
      <w:r>
        <w:rPr>
          <w:rFonts w:ascii="Times New Roman" w:hAnsi="Times New Roman" w:cs="Times New Roman"/>
          <w:b/>
          <w:sz w:val="24"/>
          <w:szCs w:val="24"/>
        </w:rPr>
        <w:t xml:space="preserve">: </w:t>
      </w:r>
      <w:r w:rsidR="00182E32">
        <w:rPr>
          <w:rFonts w:cs="Arial"/>
          <w:sz w:val="24"/>
          <w:szCs w:val="24"/>
          <w:u w:val="single"/>
        </w:rPr>
        <w:fldChar w:fldCharType="begin">
          <w:ffData>
            <w:name w:val="Text4"/>
            <w:enabled/>
            <w:calcOnExit w:val="0"/>
            <w:textInput/>
          </w:ffData>
        </w:fldChar>
      </w:r>
      <w:r>
        <w:rPr>
          <w:rFonts w:cs="Arial"/>
          <w:sz w:val="24"/>
          <w:szCs w:val="24"/>
          <w:u w:val="single"/>
        </w:rPr>
        <w:instrText xml:space="preserve"> FORMTEXT </w:instrText>
      </w:r>
      <w:r w:rsidR="00182E32">
        <w:rPr>
          <w:rFonts w:cs="Arial"/>
          <w:sz w:val="24"/>
          <w:szCs w:val="24"/>
          <w:u w:val="single"/>
        </w:rPr>
      </w:r>
      <w:r w:rsidR="00182E32">
        <w:rPr>
          <w:rFonts w:cs="Arial"/>
          <w:sz w:val="24"/>
          <w:szCs w:val="24"/>
          <w:u w:val="single"/>
        </w:rPr>
        <w:fldChar w:fldCharType="separate"/>
      </w:r>
      <w:r>
        <w:rPr>
          <w:rFonts w:cs="Arial"/>
          <w:sz w:val="24"/>
          <w:szCs w:val="24"/>
          <w:u w:val="single"/>
        </w:rPr>
        <w:t> </w:t>
      </w:r>
      <w:r>
        <w:rPr>
          <w:rFonts w:cs="Arial"/>
          <w:sz w:val="24"/>
          <w:szCs w:val="24"/>
          <w:u w:val="single"/>
        </w:rPr>
        <w:t> </w:t>
      </w:r>
      <w:r>
        <w:rPr>
          <w:rFonts w:cs="Arial"/>
          <w:sz w:val="24"/>
          <w:szCs w:val="24"/>
          <w:u w:val="single"/>
        </w:rPr>
        <w:t> </w:t>
      </w:r>
      <w:r>
        <w:rPr>
          <w:rFonts w:cs="Arial"/>
          <w:sz w:val="24"/>
          <w:szCs w:val="24"/>
          <w:u w:val="single"/>
        </w:rPr>
        <w:t> </w:t>
      </w:r>
      <w:r>
        <w:rPr>
          <w:rFonts w:cs="Arial"/>
          <w:sz w:val="24"/>
          <w:szCs w:val="24"/>
          <w:u w:val="single"/>
        </w:rPr>
        <w:t> </w:t>
      </w:r>
      <w:r w:rsidR="00182E32">
        <w:rPr>
          <w:rFonts w:cs="Arial"/>
          <w:sz w:val="24"/>
          <w:szCs w:val="24"/>
          <w:u w:val="single"/>
        </w:rPr>
        <w:fldChar w:fldCharType="end"/>
      </w:r>
    </w:p>
    <w:p w:rsidR="005A63E3" w:rsidRDefault="00E0232F">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Describe the toxic, energy intensive material or consumer purchasing practice targeted in your program and the waste generating behavior targeted for change.</w:t>
      </w:r>
    </w:p>
    <w:tbl>
      <w:tblPr>
        <w:tblStyle w:val="TableGrid"/>
        <w:tblW w:w="0" w:type="auto"/>
        <w:tblInd w:w="108" w:type="dxa"/>
        <w:tblLook w:val="04A0" w:firstRow="1" w:lastRow="0" w:firstColumn="1" w:lastColumn="0" w:noHBand="0" w:noVBand="1"/>
      </w:tblPr>
      <w:tblGrid>
        <w:gridCol w:w="10620"/>
      </w:tblGrid>
      <w:tr w:rsidR="005A63E3">
        <w:trPr>
          <w:trHeight w:val="710"/>
        </w:trPr>
        <w:tc>
          <w:tcPr>
            <w:tcW w:w="10620" w:type="dxa"/>
          </w:tcPr>
          <w:p w:rsidR="005A63E3" w:rsidRDefault="005A63E3">
            <w:pPr>
              <w:rPr>
                <w:rFonts w:ascii="Times New Roman" w:hAnsi="Times New Roman" w:cs="Times New Roman"/>
                <w:sz w:val="24"/>
                <w:szCs w:val="24"/>
              </w:rPr>
            </w:pPr>
          </w:p>
          <w:p w:rsidR="005A63E3" w:rsidRDefault="005A63E3">
            <w:pPr>
              <w:rPr>
                <w:rFonts w:ascii="Times New Roman" w:hAnsi="Times New Roman" w:cs="Times New Roman"/>
                <w:sz w:val="24"/>
                <w:szCs w:val="24"/>
              </w:rPr>
            </w:pPr>
          </w:p>
        </w:tc>
      </w:tr>
    </w:tbl>
    <w:p w:rsidR="00E0232F" w:rsidRDefault="00E0232F">
      <w:pPr>
        <w:spacing w:before="120" w:after="120" w:line="240" w:lineRule="auto"/>
        <w:rPr>
          <w:rFonts w:ascii="Times New Roman" w:hAnsi="Times New Roman" w:cs="Times New Roman"/>
          <w:b/>
          <w:sz w:val="24"/>
          <w:szCs w:val="24"/>
        </w:rPr>
      </w:pPr>
    </w:p>
    <w:p w:rsidR="005A63E3" w:rsidRDefault="00E0232F">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Describe the campaign implementation strategy and a performance measurement plan that specifies one or more outcomes that the local government will use to demonstrate the campaign reached the target audience or achieved the waste prevention objective.</w:t>
      </w:r>
    </w:p>
    <w:tbl>
      <w:tblPr>
        <w:tblStyle w:val="TableGrid"/>
        <w:tblW w:w="0" w:type="auto"/>
        <w:tblInd w:w="108" w:type="dxa"/>
        <w:tblLook w:val="04A0" w:firstRow="1" w:lastRow="0" w:firstColumn="1" w:lastColumn="0" w:noHBand="0" w:noVBand="1"/>
      </w:tblPr>
      <w:tblGrid>
        <w:gridCol w:w="10620"/>
      </w:tblGrid>
      <w:tr w:rsidR="005A63E3">
        <w:trPr>
          <w:trHeight w:val="710"/>
        </w:trPr>
        <w:tc>
          <w:tcPr>
            <w:tcW w:w="10620" w:type="dxa"/>
          </w:tcPr>
          <w:p w:rsidR="005A63E3" w:rsidRDefault="005A63E3">
            <w:pPr>
              <w:rPr>
                <w:rFonts w:ascii="Times New Roman" w:hAnsi="Times New Roman" w:cs="Times New Roman"/>
                <w:sz w:val="24"/>
                <w:szCs w:val="24"/>
              </w:rPr>
            </w:pPr>
          </w:p>
          <w:p w:rsidR="005A63E3" w:rsidRDefault="005A63E3">
            <w:pPr>
              <w:rPr>
                <w:rFonts w:ascii="Times New Roman" w:hAnsi="Times New Roman" w:cs="Times New Roman"/>
                <w:sz w:val="24"/>
                <w:szCs w:val="24"/>
              </w:rPr>
            </w:pPr>
          </w:p>
        </w:tc>
      </w:tr>
    </w:tbl>
    <w:p w:rsidR="00E0232F" w:rsidRDefault="00E0232F">
      <w:pPr>
        <w:spacing w:before="120" w:after="120" w:line="240" w:lineRule="auto"/>
        <w:rPr>
          <w:rFonts w:ascii="Times New Roman" w:hAnsi="Times New Roman" w:cs="Times New Roman"/>
          <w:b/>
          <w:sz w:val="24"/>
          <w:szCs w:val="24"/>
        </w:rPr>
      </w:pPr>
    </w:p>
    <w:p w:rsidR="005A63E3" w:rsidRDefault="00E0232F">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Describe the campaign materials to be used.  Description should cover general content, format and delivery methods. Please include copies and examples. The campaign must include multiple components (to allow for “refreshes” as described below) such as: different visual images to convey core messaging, variations on core messaging language, or a variety of media, such as print, websites, social media or radio.</w:t>
      </w:r>
    </w:p>
    <w:tbl>
      <w:tblPr>
        <w:tblStyle w:val="TableGrid"/>
        <w:tblW w:w="0" w:type="auto"/>
        <w:tblInd w:w="108" w:type="dxa"/>
        <w:tblLook w:val="04A0" w:firstRow="1" w:lastRow="0" w:firstColumn="1" w:lastColumn="0" w:noHBand="0" w:noVBand="1"/>
      </w:tblPr>
      <w:tblGrid>
        <w:gridCol w:w="10620"/>
      </w:tblGrid>
      <w:tr w:rsidR="005A63E3">
        <w:trPr>
          <w:trHeight w:val="710"/>
        </w:trPr>
        <w:tc>
          <w:tcPr>
            <w:tcW w:w="10620" w:type="dxa"/>
          </w:tcPr>
          <w:p w:rsidR="005A63E3" w:rsidRDefault="005A63E3">
            <w:pPr>
              <w:rPr>
                <w:rFonts w:ascii="Times New Roman" w:hAnsi="Times New Roman" w:cs="Times New Roman"/>
              </w:rPr>
            </w:pPr>
          </w:p>
          <w:p w:rsidR="005A63E3" w:rsidRDefault="005A63E3">
            <w:pPr>
              <w:rPr>
                <w:rFonts w:ascii="Times New Roman" w:hAnsi="Times New Roman" w:cs="Times New Roman"/>
              </w:rPr>
            </w:pPr>
          </w:p>
        </w:tc>
      </w:tr>
    </w:tbl>
    <w:p w:rsidR="005A63E3" w:rsidRDefault="005A63E3">
      <w:pPr>
        <w:spacing w:before="120" w:after="0" w:line="240" w:lineRule="auto"/>
        <w:rPr>
          <w:rFonts w:ascii="Times New Roman" w:hAnsi="Times New Roman" w:cs="Times New Roman"/>
          <w:b/>
          <w:sz w:val="24"/>
          <w:szCs w:val="24"/>
        </w:rPr>
      </w:pPr>
    </w:p>
    <w:p w:rsidR="005A63E3" w:rsidRDefault="005A63E3">
      <w:pPr>
        <w:spacing w:before="120" w:after="120" w:line="240" w:lineRule="auto"/>
        <w:rPr>
          <w:rFonts w:ascii="Times New Roman" w:hAnsi="Times New Roman" w:cs="Times New Roman"/>
          <w:sz w:val="26"/>
          <w:szCs w:val="26"/>
          <w:u w:val="single"/>
        </w:rPr>
      </w:pPr>
    </w:p>
    <w:p w:rsidR="005A63E3" w:rsidRDefault="005A63E3">
      <w:pPr>
        <w:spacing w:before="120" w:after="120" w:line="240" w:lineRule="auto"/>
        <w:rPr>
          <w:rFonts w:ascii="Times New Roman" w:hAnsi="Times New Roman" w:cs="Times New Roman"/>
          <w:sz w:val="26"/>
          <w:szCs w:val="26"/>
          <w:u w:val="single"/>
        </w:rPr>
      </w:pPr>
    </w:p>
    <w:p w:rsidR="005A63E3" w:rsidRDefault="005A63E3">
      <w:pPr>
        <w:spacing w:before="120" w:after="120" w:line="240" w:lineRule="auto"/>
        <w:rPr>
          <w:rFonts w:ascii="Times New Roman" w:hAnsi="Times New Roman" w:cs="Times New Roman"/>
          <w:sz w:val="26"/>
          <w:szCs w:val="26"/>
          <w:u w:val="single"/>
        </w:rPr>
      </w:pPr>
    </w:p>
    <w:p w:rsidR="005A63E3" w:rsidRDefault="005A63E3">
      <w:pPr>
        <w:spacing w:before="120" w:after="120" w:line="240" w:lineRule="auto"/>
        <w:rPr>
          <w:rFonts w:ascii="Times New Roman" w:hAnsi="Times New Roman" w:cs="Times New Roman"/>
          <w:sz w:val="26"/>
          <w:szCs w:val="26"/>
          <w:u w:val="single"/>
        </w:rPr>
      </w:pPr>
    </w:p>
    <w:p w:rsidR="005A63E3" w:rsidRDefault="00E0232F">
      <w:pPr>
        <w:pStyle w:val="BodyText2"/>
        <w:rPr>
          <w:b/>
        </w:rPr>
      </w:pPr>
      <w:r>
        <w:rPr>
          <w:b/>
        </w:rPr>
        <w:t>City Official Signature: _________________________________</w:t>
      </w:r>
      <w:proofErr w:type="gramStart"/>
      <w:r>
        <w:rPr>
          <w:b/>
        </w:rPr>
        <w:t>_  Wasteshed</w:t>
      </w:r>
      <w:proofErr w:type="gramEnd"/>
      <w:r>
        <w:rPr>
          <w:b/>
        </w:rPr>
        <w:t>: ___________________</w:t>
      </w:r>
    </w:p>
    <w:p w:rsidR="005A63E3" w:rsidRDefault="005A63E3">
      <w:pPr>
        <w:rPr>
          <w:rFonts w:ascii="Times New Roman" w:hAnsi="Times New Roman" w:cs="Times New Roman"/>
          <w:sz w:val="26"/>
          <w:szCs w:val="26"/>
          <w:u w:val="single"/>
        </w:rPr>
      </w:pPr>
    </w:p>
    <w:p w:rsidR="005A63E3" w:rsidRDefault="00E0232F">
      <w:pPr>
        <w:spacing w:before="120" w:after="120" w:line="240" w:lineRule="auto"/>
        <w:rPr>
          <w:rFonts w:ascii="Times New Roman" w:hAnsi="Times New Roman" w:cs="Times New Roman"/>
          <w:sz w:val="26"/>
          <w:szCs w:val="26"/>
          <w:u w:val="single"/>
        </w:rPr>
      </w:pPr>
      <w:r>
        <w:rPr>
          <w:rFonts w:ascii="Times New Roman" w:hAnsi="Times New Roman" w:cs="Times New Roman"/>
          <w:sz w:val="26"/>
          <w:szCs w:val="26"/>
          <w:u w:val="single"/>
        </w:rPr>
        <w:lastRenderedPageBreak/>
        <w:t>Reference Information</w:t>
      </w:r>
    </w:p>
    <w:p w:rsidR="005A63E3" w:rsidRDefault="00E0232F">
      <w:pPr>
        <w:spacing w:before="120" w:after="0" w:line="240" w:lineRule="auto"/>
        <w:ind w:left="360"/>
        <w:rPr>
          <w:rFonts w:ascii="Times New Roman" w:hAnsi="Times New Roman" w:cs="Times New Roman"/>
          <w:sz w:val="24"/>
          <w:szCs w:val="24"/>
        </w:rPr>
      </w:pPr>
      <w:r>
        <w:rPr>
          <w:rFonts w:ascii="Times New Roman" w:hAnsi="Times New Roman" w:cs="Times New Roman"/>
          <w:sz w:val="24"/>
          <w:szCs w:val="24"/>
        </w:rPr>
        <w:t>The duration of a campaign may not exceed five years and the local government’s implementation schedule must include a schedule for refreshing components of the campaign at least once every two years. To refresh components of a campaign means to use new or different components to deliver messages in a different way. A local government may also request, and DEQ may approve, a campaign duration or implementation schedule that differs from this schedule provided that the local government can demonstrate:</w:t>
      </w:r>
    </w:p>
    <w:p w:rsidR="005A63E3" w:rsidRDefault="00E0232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That the campaign or one of its components has contributed to the desired behavior change, and</w:t>
      </w:r>
    </w:p>
    <w:p w:rsidR="005A63E3" w:rsidRDefault="00E0232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That continuing the campaign or one of its components is likely to result in further desired changes in behavior or practices.</w:t>
      </w:r>
    </w:p>
    <w:p w:rsidR="005A63E3" w:rsidRDefault="00E0232F">
      <w:pPr>
        <w:spacing w:before="120" w:after="0" w:line="240" w:lineRule="auto"/>
        <w:ind w:left="360"/>
        <w:rPr>
          <w:rFonts w:ascii="Times New Roman" w:hAnsi="Times New Roman" w:cs="Times New Roman"/>
          <w:sz w:val="24"/>
          <w:szCs w:val="24"/>
        </w:rPr>
      </w:pPr>
      <w:r>
        <w:rPr>
          <w:rFonts w:ascii="Times New Roman" w:hAnsi="Times New Roman" w:cs="Times New Roman"/>
          <w:sz w:val="24"/>
          <w:szCs w:val="24"/>
        </w:rPr>
        <w:t>*Note: Education materials used to satisfy this Waste Prevention &amp; Reuse element must be in addition to education materials used to satisfy the requirements of section (2) of this rule.</w:t>
      </w:r>
    </w:p>
    <w:p w:rsidR="005A63E3" w:rsidRPr="000C47F5" w:rsidRDefault="00E0232F">
      <w:pPr>
        <w:spacing w:before="120" w:after="120" w:line="240" w:lineRule="auto"/>
        <w:ind w:left="360"/>
        <w:rPr>
          <w:rFonts w:ascii="Times New Roman" w:hAnsi="Times New Roman" w:cs="Times New Roman"/>
          <w:sz w:val="24"/>
          <w:szCs w:val="24"/>
        </w:rPr>
      </w:pPr>
      <w:r>
        <w:rPr>
          <w:rFonts w:ascii="Times New Roman" w:hAnsi="Times New Roman" w:cs="Times New Roman"/>
          <w:sz w:val="24"/>
          <w:szCs w:val="24"/>
        </w:rPr>
        <w:t xml:space="preserve">Examples of toxics: </w:t>
      </w:r>
      <w:hyperlink r:id="rId10" w:history="1">
        <w:r w:rsidR="000C47F5" w:rsidRPr="000C47F5">
          <w:rPr>
            <w:rStyle w:val="Hyperlink"/>
            <w:rFonts w:ascii="Times New Roman" w:hAnsi="Times New Roman" w:cs="Times New Roman"/>
          </w:rPr>
          <w:t>http://www.oregon.gov/deq/FilterDocs/focuslist.pdf</w:t>
        </w:r>
      </w:hyperlink>
      <w:r w:rsidR="000C47F5" w:rsidRPr="000C47F5">
        <w:rPr>
          <w:rFonts w:ascii="Times New Roman" w:hAnsi="Times New Roman" w:cs="Times New Roman"/>
        </w:rPr>
        <w:t xml:space="preserve"> </w:t>
      </w:r>
    </w:p>
    <w:p w:rsidR="005A63E3" w:rsidRDefault="00E0232F">
      <w:pPr>
        <w:spacing w:before="120" w:after="120" w:line="240" w:lineRule="auto"/>
        <w:ind w:left="360"/>
        <w:rPr>
          <w:rFonts w:ascii="Times New Roman" w:hAnsi="Times New Roman" w:cs="Times New Roman"/>
          <w:sz w:val="24"/>
          <w:szCs w:val="24"/>
        </w:rPr>
      </w:pPr>
      <w:r>
        <w:rPr>
          <w:rFonts w:ascii="Times New Roman" w:hAnsi="Times New Roman" w:cs="Times New Roman"/>
          <w:sz w:val="24"/>
          <w:szCs w:val="24"/>
        </w:rPr>
        <w:t>Examples of en</w:t>
      </w:r>
      <w:r w:rsidR="008E13E6">
        <w:rPr>
          <w:rFonts w:ascii="Times New Roman" w:hAnsi="Times New Roman" w:cs="Times New Roman"/>
          <w:sz w:val="24"/>
          <w:szCs w:val="24"/>
        </w:rPr>
        <w:t>ergy intensive materials: Food</w:t>
      </w:r>
      <w:r>
        <w:rPr>
          <w:rFonts w:ascii="Times New Roman" w:hAnsi="Times New Roman" w:cs="Times New Roman"/>
          <w:sz w:val="24"/>
          <w:szCs w:val="24"/>
        </w:rPr>
        <w:t>, textiles</w:t>
      </w:r>
      <w:r w:rsidR="008E13E6" w:rsidRPr="008E13E6">
        <w:rPr>
          <w:rFonts w:ascii="Times New Roman" w:hAnsi="Times New Roman" w:cs="Times New Roman"/>
          <w:sz w:val="24"/>
          <w:szCs w:val="24"/>
        </w:rPr>
        <w:t>, metals, paper, plastic, appliances, consumer electronics</w:t>
      </w:r>
    </w:p>
    <w:p w:rsidR="005A63E3" w:rsidRDefault="00E0232F">
      <w:pPr>
        <w:spacing w:before="120" w:after="120" w:line="240" w:lineRule="auto"/>
        <w:ind w:left="360"/>
        <w:rPr>
          <w:rFonts w:ascii="Times New Roman" w:hAnsi="Times New Roman" w:cs="Times New Roman"/>
          <w:sz w:val="24"/>
          <w:szCs w:val="24"/>
        </w:rPr>
      </w:pPr>
      <w:r>
        <w:rPr>
          <w:rFonts w:ascii="Times New Roman" w:hAnsi="Times New Roman" w:cs="Times New Roman"/>
          <w:sz w:val="24"/>
          <w:szCs w:val="24"/>
        </w:rPr>
        <w:t xml:space="preserve">Examples of consumer purchasing practices: Purchase of more durable goods (such as apparel), purchasing only food that is likely to be eaten to reduce waste </w:t>
      </w:r>
    </w:p>
    <w:p w:rsidR="005A63E3" w:rsidRDefault="00E0232F">
      <w:pPr>
        <w:spacing w:before="120" w:after="120" w:line="240" w:lineRule="auto"/>
        <w:ind w:left="360"/>
        <w:rPr>
          <w:rFonts w:ascii="Times New Roman" w:hAnsi="Times New Roman" w:cs="Times New Roman"/>
          <w:sz w:val="24"/>
          <w:szCs w:val="24"/>
        </w:rPr>
      </w:pPr>
      <w:r>
        <w:rPr>
          <w:rFonts w:ascii="Times New Roman" w:hAnsi="Times New Roman" w:cs="Times New Roman"/>
          <w:sz w:val="24"/>
          <w:szCs w:val="24"/>
        </w:rPr>
        <w:t>Examples of ways to measure campaign performance in terms of reaching target audiences: Number of times an ad ran in the local paper, along with circulation information for that paper, number of times a radio promotion aired on a local station (along with listenership data for that station, website hits or numbers of materials downloaded from a website, etc.)</w:t>
      </w:r>
    </w:p>
    <w:p w:rsidR="005A63E3" w:rsidRDefault="00E0232F">
      <w:pPr>
        <w:spacing w:before="120" w:after="120" w:line="240" w:lineRule="auto"/>
        <w:ind w:left="360"/>
        <w:rPr>
          <w:rFonts w:ascii="Times New Roman" w:hAnsi="Times New Roman" w:cs="Times New Roman"/>
          <w:sz w:val="24"/>
          <w:szCs w:val="24"/>
        </w:rPr>
      </w:pPr>
      <w:r>
        <w:rPr>
          <w:rFonts w:ascii="Times New Roman" w:hAnsi="Times New Roman" w:cs="Times New Roman"/>
          <w:sz w:val="24"/>
          <w:szCs w:val="24"/>
        </w:rPr>
        <w:t>Examples of ways to measure progress toward a waste prevention objective: Measurable reductions in food waste going to landfills or composting</w:t>
      </w:r>
      <w:bookmarkStart w:id="0" w:name="_GoBack"/>
      <w:bookmarkEnd w:id="0"/>
    </w:p>
    <w:sectPr w:rsidR="005A63E3" w:rsidSect="005A63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D5FA5"/>
    <w:multiLevelType w:val="hybridMultilevel"/>
    <w:tmpl w:val="2E86538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817767"/>
    <w:multiLevelType w:val="hybridMultilevel"/>
    <w:tmpl w:val="4AF6125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1E3386"/>
    <w:multiLevelType w:val="hybridMultilevel"/>
    <w:tmpl w:val="27BCE23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85EC5"/>
    <w:multiLevelType w:val="hybridMultilevel"/>
    <w:tmpl w:val="AD3ECDD8"/>
    <w:lvl w:ilvl="0" w:tplc="BD002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35137F"/>
    <w:multiLevelType w:val="hybridMultilevel"/>
    <w:tmpl w:val="E714AA04"/>
    <w:lvl w:ilvl="0" w:tplc="5D54D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C1BD6"/>
    <w:multiLevelType w:val="hybridMultilevel"/>
    <w:tmpl w:val="48102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E3"/>
    <w:rsid w:val="000C47F5"/>
    <w:rsid w:val="00177A44"/>
    <w:rsid w:val="00182E32"/>
    <w:rsid w:val="00414B77"/>
    <w:rsid w:val="005A63E3"/>
    <w:rsid w:val="008E13E6"/>
    <w:rsid w:val="00B43061"/>
    <w:rsid w:val="00CF1FCF"/>
    <w:rsid w:val="00E0232F"/>
    <w:rsid w:val="00EF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2AB2F-1DAB-4E87-B902-C0ADAE5C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3E3"/>
    <w:pPr>
      <w:ind w:left="720"/>
      <w:contextualSpacing/>
    </w:pPr>
  </w:style>
  <w:style w:type="character" w:styleId="CommentReference">
    <w:name w:val="annotation reference"/>
    <w:basedOn w:val="DefaultParagraphFont"/>
    <w:uiPriority w:val="99"/>
    <w:semiHidden/>
    <w:unhideWhenUsed/>
    <w:rsid w:val="005A63E3"/>
    <w:rPr>
      <w:sz w:val="16"/>
      <w:szCs w:val="16"/>
    </w:rPr>
  </w:style>
  <w:style w:type="paragraph" w:styleId="CommentText">
    <w:name w:val="annotation text"/>
    <w:basedOn w:val="Normal"/>
    <w:link w:val="CommentTextChar"/>
    <w:uiPriority w:val="99"/>
    <w:semiHidden/>
    <w:unhideWhenUsed/>
    <w:rsid w:val="005A63E3"/>
    <w:pPr>
      <w:spacing w:line="240" w:lineRule="auto"/>
    </w:pPr>
    <w:rPr>
      <w:sz w:val="20"/>
      <w:szCs w:val="20"/>
    </w:rPr>
  </w:style>
  <w:style w:type="character" w:customStyle="1" w:styleId="CommentTextChar">
    <w:name w:val="Comment Text Char"/>
    <w:basedOn w:val="DefaultParagraphFont"/>
    <w:link w:val="CommentText"/>
    <w:uiPriority w:val="99"/>
    <w:semiHidden/>
    <w:rsid w:val="005A63E3"/>
    <w:rPr>
      <w:sz w:val="20"/>
      <w:szCs w:val="20"/>
    </w:rPr>
  </w:style>
  <w:style w:type="paragraph" w:styleId="CommentSubject">
    <w:name w:val="annotation subject"/>
    <w:basedOn w:val="CommentText"/>
    <w:next w:val="CommentText"/>
    <w:link w:val="CommentSubjectChar"/>
    <w:uiPriority w:val="99"/>
    <w:semiHidden/>
    <w:unhideWhenUsed/>
    <w:rsid w:val="005A63E3"/>
    <w:rPr>
      <w:b/>
      <w:bCs/>
    </w:rPr>
  </w:style>
  <w:style w:type="character" w:customStyle="1" w:styleId="CommentSubjectChar">
    <w:name w:val="Comment Subject Char"/>
    <w:basedOn w:val="CommentTextChar"/>
    <w:link w:val="CommentSubject"/>
    <w:uiPriority w:val="99"/>
    <w:semiHidden/>
    <w:rsid w:val="005A63E3"/>
    <w:rPr>
      <w:b/>
      <w:bCs/>
      <w:sz w:val="20"/>
      <w:szCs w:val="20"/>
    </w:rPr>
  </w:style>
  <w:style w:type="paragraph" w:styleId="BalloonText">
    <w:name w:val="Balloon Text"/>
    <w:basedOn w:val="Normal"/>
    <w:link w:val="BalloonTextChar"/>
    <w:uiPriority w:val="99"/>
    <w:semiHidden/>
    <w:unhideWhenUsed/>
    <w:rsid w:val="005A6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3E3"/>
    <w:rPr>
      <w:rFonts w:ascii="Tahoma" w:hAnsi="Tahoma" w:cs="Tahoma"/>
      <w:sz w:val="16"/>
      <w:szCs w:val="16"/>
    </w:rPr>
  </w:style>
  <w:style w:type="table" w:styleId="TableGrid">
    <w:name w:val="Table Grid"/>
    <w:basedOn w:val="TableNormal"/>
    <w:uiPriority w:val="59"/>
    <w:rsid w:val="005A6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3E3"/>
    <w:rPr>
      <w:color w:val="0000FF" w:themeColor="hyperlink"/>
      <w:u w:val="single"/>
    </w:rPr>
  </w:style>
  <w:style w:type="paragraph" w:styleId="BodyText2">
    <w:name w:val="Body Text 2"/>
    <w:basedOn w:val="Normal"/>
    <w:link w:val="BodyText2Char"/>
    <w:semiHidden/>
    <w:unhideWhenUsed/>
    <w:rsid w:val="005A63E3"/>
    <w:pPr>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5A63E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2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regon.gov/deq/FilterDocs/focuslist.pdf"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a2b8b030-3377-42d7-9d79-39293898e7a3">publication</Tags>
    <Document_x0020_Description xmlns="a2b8b030-3377-42d7-9d79-39293898e7a3" xsi:nil="true"/>
    <Year_x0020__x0028_for_x0020_legislative_x0020_publications_x0029_ xmlns="a2b8b030-3377-42d7-9d79-39293898e7a3" xsi:nil="true"/>
    <Program xmlns="a2b8b030-3377-42d7-9d79-39293898e7a3">Waste Prevention and Reuse</Program>
    <Category xmlns="6f323ec3-23c5-4c5a-a080-8536cbae9d4f">
      <Value>74</Value>
      <Value>81</Value>
    </Category>
    <Document xmlns="6f323ec3-23c5-4c5a-a080-8536cbae9d4f">
      <Url xsi:nil="true"/>
      <Description xsi:nil="true"/>
    </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372F52947122448152FE0468EC2D0F" ma:contentTypeVersion="38" ma:contentTypeDescription="Create a new document." ma:contentTypeScope="" ma:versionID="2a653ad12fb5a845b757a3447dabbac0">
  <xsd:schema xmlns:xsd="http://www.w3.org/2001/XMLSchema" xmlns:xs="http://www.w3.org/2001/XMLSchema" xmlns:p="http://schemas.microsoft.com/office/2006/metadata/properties" xmlns:ns1="http://schemas.microsoft.com/sharepoint/v3" xmlns:ns2="a1a0681f-cb63-4b8d-afdc-dedbdb8d1bfa" xmlns:ns3="6f323ec3-23c5-4c5a-a080-8536cbae9d4f" xmlns:ns4="a2b8b030-3377-42d7-9d79-39293898e7a3" targetNamespace="http://schemas.microsoft.com/office/2006/metadata/properties" ma:root="true" ma:fieldsID="2d249ac623c0c803c0b4f24f17d2f7ef" ns1:_="" ns2:_="" ns3:_="" ns4:_="">
    <xsd:import namespace="http://schemas.microsoft.com/sharepoint/v3"/>
    <xsd:import namespace="a1a0681f-cb63-4b8d-afdc-dedbdb8d1bfa"/>
    <xsd:import namespace="6f323ec3-23c5-4c5a-a080-8536cbae9d4f"/>
    <xsd:import namespace="a2b8b030-3377-42d7-9d79-39293898e7a3"/>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element ref="ns3:Document" minOccurs="0"/>
                <xsd:element ref="ns4:Document_x0020_Description" minOccurs="0"/>
                <xsd:element ref="ns4:Program" minOccurs="0"/>
                <xsd:element ref="ns4:Tags" minOccurs="0"/>
                <xsd:element ref="ns4:Year_x0020__x0028_for_x0020_legislative_x0020_publication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a0681f-cb63-4b8d-afdc-dedbdb8d1b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23ec3-23c5-4c5a-a080-8536cbae9d4f" elementFormDefault="qualified">
    <xsd:import namespace="http://schemas.microsoft.com/office/2006/documentManagement/types"/>
    <xsd:import namespace="http://schemas.microsoft.com/office/infopath/2007/PartnerControls"/>
    <xsd:element name="Category" ma:index="11" nillable="true" ma:displayName="Category" ma:list="{8004d574-6931-49b5-8238-4f038da8667f}" ma:internalName="Category" ma:showField="Full_x0020_Title">
      <xsd:complexType>
        <xsd:complexContent>
          <xsd:extension base="dms:MultiChoiceLookup">
            <xsd:sequence>
              <xsd:element name="Value" type="dms:Lookup" maxOccurs="unbounded" minOccurs="0" nillable="true"/>
            </xsd:sequence>
          </xsd:extension>
        </xsd:complexContent>
      </xsd:complexType>
    </xsd:element>
    <xsd:element name="Document" ma:index="12" nillable="true" ma:displayName="Document"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8b030-3377-42d7-9d79-39293898e7a3" elementFormDefault="qualified">
    <xsd:import namespace="http://schemas.microsoft.com/office/2006/documentManagement/types"/>
    <xsd:import namespace="http://schemas.microsoft.com/office/infopath/2007/PartnerControls"/>
    <xsd:element name="Document_x0020_Description" ma:index="13" nillable="true" ma:displayName="Document Description" ma:internalName="Document_x0020_Description" ma:readOnly="false">
      <xsd:simpleType>
        <xsd:restriction base="dms:Note">
          <xsd:maxLength value="255"/>
        </xsd:restriction>
      </xsd:simpleType>
    </xsd:element>
    <xsd:element name="Program" ma:index="14" nillable="true" ma:displayName="Programs/Projects" ma:default="Select..." ma:format="Dropdown" ma:indexed="true" ma:internalName="Program0" ma:readOnly="false">
      <xsd:simpleType>
        <xsd:restriction base="dms:Choice">
          <xsd:enumeration value="Select..."/>
          <xsd:enumeration value="About DEQ"/>
          <xsd:enumeration value="About Us"/>
          <xsd:enumeration value="AQ Monitoring"/>
          <xsd:enumeration value="AQ Permitting"/>
          <xsd:enumeration value="Air Toxics"/>
          <xsd:enumeration value="Asbestos"/>
          <xsd:enumeration value="Ballast Water"/>
          <xsd:enumeration value="Biosolids"/>
          <xsd:enumeration value="Burning"/>
          <xsd:enumeration value="CAO"/>
          <xsd:enumeration value="Clean Diesel"/>
          <xsd:enumeration value="Clean Fuels"/>
          <xsd:enumeration value="CWSRF"/>
          <xsd:enumeration value="Compliance and Enforcement"/>
          <xsd:enumeration value="Disposal"/>
          <xsd:enumeration value="Drinking Water Protection"/>
          <xsd:enumeration value="Dry Cleaners"/>
          <xsd:enumeration value="E-Cycles"/>
          <xsd:enumeration value="Emergency Response"/>
          <xsd:enumeration value="ECO"/>
          <xsd:enumeration value="Environmental Cleanup"/>
          <xsd:enumeration value="Gasoline Vapor Recovery"/>
          <xsd:enumeration value="Green Building"/>
          <xsd:enumeration value="GHG"/>
          <xsd:enumeration value="Groundwater"/>
          <xsd:enumeration value="Hazardous Waste"/>
          <xsd:enumeration value="Industrial Pretreatment"/>
          <xsd:enumeration value="LEV/ZEV"/>
          <xsd:enumeration value="Materials Management"/>
          <xsd:enumeration value="Nonpoint Source"/>
          <xsd:enumeration value="Nuisance Odor"/>
          <xsd:enumeration value="Onsite Septic"/>
          <xsd:enumeration value="Paint"/>
          <xsd:enumeration value="Pesticide Stewardship"/>
          <xsd:enumeration value="Product Stewardship"/>
          <xsd:enumeration value="Projects"/>
          <xsd:enumeration value="Recycling"/>
          <xsd:enumeration value="Regional Solutions"/>
          <xsd:enumeration value="Section 401 Hydropower"/>
          <xsd:enumeration value="Site Assessment"/>
          <xsd:enumeration value="Solid Waste Disposal"/>
          <xsd:enumeration value="Solid Waste Permits"/>
          <xsd:enumeration value="Tanks Program"/>
          <xsd:enumeration value="TMDL"/>
          <xsd:enumeration value="Toxics Reduction"/>
          <xsd:enumeration value="UIC"/>
          <xsd:enumeration value="VIP"/>
          <xsd:enumeration value="Waste Prevention and Reuse"/>
          <xsd:enumeration value="Wastewater Operator Certification"/>
          <xsd:enumeration value="WQ Assessment and Monitoring"/>
          <xsd:enumeration value="WQ Permits"/>
          <xsd:enumeration value="WQ Standards"/>
          <xsd:enumeration value="WQ Toxics Monitoring"/>
          <xsd:enumeration value="Wood Stoves"/>
        </xsd:restriction>
      </xsd:simpleType>
    </xsd:element>
    <xsd:element name="Tags" ma:index="15" nillable="true" ma:displayName="Tags" ma:indexed="true" ma:internalName="Tags" ma:readOnly="false">
      <xsd:simpleType>
        <xsd:restriction base="dms:Text">
          <xsd:maxLength value="255"/>
        </xsd:restriction>
      </xsd:simpleType>
    </xsd:element>
    <xsd:element name="Year_x0020__x0028_for_x0020_legislative_x0020_publications_x0029_" ma:index="16" nillable="true" ma:displayName="Year (for legislative publications)" ma:description="only for legislative publications" ma:internalName="Year_x0020__x0028_for_x0020_legislative_x0020_publications_x0029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86EF4-5BE4-4B77-BA66-36B1D345B86A}"/>
</file>

<file path=customXml/itemProps2.xml><?xml version="1.0" encoding="utf-8"?>
<ds:datastoreItem xmlns:ds="http://schemas.openxmlformats.org/officeDocument/2006/customXml" ds:itemID="{8BA150AC-737B-4DB6-927A-60B884B52177}"/>
</file>

<file path=customXml/itemProps3.xml><?xml version="1.0" encoding="utf-8"?>
<ds:datastoreItem xmlns:ds="http://schemas.openxmlformats.org/officeDocument/2006/customXml" ds:itemID="{0ECBA1E4-4DA1-4084-9EF8-D6296F50C9A6}"/>
</file>

<file path=customXml/itemProps4.xml><?xml version="1.0" encoding="utf-8"?>
<ds:datastoreItem xmlns:ds="http://schemas.openxmlformats.org/officeDocument/2006/customXml" ds:itemID="{3749D228-2B40-4CAD-86B1-F7592EE08A89}"/>
</file>

<file path=docProps/app.xml><?xml version="1.0" encoding="utf-8"?>
<Properties xmlns="http://schemas.openxmlformats.org/officeDocument/2006/extended-properties" xmlns:vt="http://schemas.openxmlformats.org/officeDocument/2006/docPropsVTypes">
  <Template>Normal.dotm</Template>
  <TotalTime>6</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Waste Prevention Campaign Residential Generators Plan Guidance</vt:lpstr>
    </vt:vector>
  </TitlesOfParts>
  <Company>State of Oregon Department of Environmental Quality</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Prevention Campaign Residential Generators Plan Guidance</dc:title>
  <dc:creator>Sharris</dc:creator>
  <cp:lastModifiedBy>BOYARSHINOVA Lia</cp:lastModifiedBy>
  <cp:revision>3</cp:revision>
  <cp:lastPrinted>2016-12-22T19:58:00Z</cp:lastPrinted>
  <dcterms:created xsi:type="dcterms:W3CDTF">2017-11-15T00:02:00Z</dcterms:created>
  <dcterms:modified xsi:type="dcterms:W3CDTF">2017-11-15T00:11:00Z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0x0101003F372F52947122448152FE0468EC2D0F</vt:lpwstr>
  </property>
</Properties>
</file>