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46D2" w14:textId="4D24C74E" w:rsidR="00233394" w:rsidRDefault="0005582B">
      <w:r w:rsidRPr="0005582B">
        <w:rPr>
          <w:rFonts w:ascii="Arial" w:hAnsi="Arial" w:cs="Arial"/>
          <w:b/>
          <w:noProof/>
          <w:sz w:val="28"/>
          <w:szCs w:val="28"/>
          <w:lang w:val="en-US"/>
        </w:rPr>
        <w:drawing>
          <wp:anchor distT="0" distB="0" distL="114300" distR="114300" simplePos="0" relativeHeight="251658240" behindDoc="0" locked="0" layoutInCell="1" allowOverlap="1" wp14:anchorId="560766C4" wp14:editId="43E48B73">
            <wp:simplePos x="0" y="0"/>
            <wp:positionH relativeFrom="margin">
              <wp:align>left</wp:align>
            </wp:positionH>
            <wp:positionV relativeFrom="paragraph">
              <wp:posOffset>99031</wp:posOffset>
            </wp:positionV>
            <wp:extent cx="556260" cy="1343891"/>
            <wp:effectExtent l="0" t="0" r="0" b="8890"/>
            <wp:wrapNone/>
            <wp:docPr id="1"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Q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62666" cy="13593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932E7">
        <w:t>°</w:t>
      </w:r>
    </w:p>
    <w:p w14:paraId="1F0AC8F9" w14:textId="0D8E87F3" w:rsidR="00233394" w:rsidRPr="0005582B" w:rsidRDefault="00073356">
      <w:pPr>
        <w:pStyle w:val="PermitNormal"/>
        <w:jc w:val="center"/>
        <w:rPr>
          <w:rFonts w:ascii="Arial" w:hAnsi="Arial" w:cs="Arial"/>
          <w:b/>
          <w:sz w:val="28"/>
          <w:szCs w:val="28"/>
        </w:rPr>
      </w:pPr>
      <w:r w:rsidRPr="0005582B">
        <w:rPr>
          <w:rFonts w:ascii="Arial" w:hAnsi="Arial" w:cs="Arial"/>
          <w:b/>
          <w:sz w:val="28"/>
          <w:szCs w:val="28"/>
        </w:rPr>
        <w:t>NATIONAL POLLUTANT DISCHARGE ELIMINATION SYSTEM</w:t>
      </w:r>
    </w:p>
    <w:p w14:paraId="7BCCB465" w14:textId="14C8102E" w:rsidR="00233394" w:rsidRPr="0005582B" w:rsidRDefault="00073356">
      <w:pPr>
        <w:pStyle w:val="PermitNormal"/>
        <w:jc w:val="center"/>
        <w:rPr>
          <w:rFonts w:ascii="Arial" w:hAnsi="Arial" w:cs="Arial"/>
          <w:b/>
          <w:sz w:val="28"/>
          <w:szCs w:val="28"/>
        </w:rPr>
      </w:pPr>
      <w:r w:rsidRPr="0005582B">
        <w:rPr>
          <w:rFonts w:ascii="Arial" w:hAnsi="Arial" w:cs="Arial"/>
          <w:b/>
          <w:sz w:val="28"/>
          <w:szCs w:val="28"/>
        </w:rPr>
        <w:t>WASTE DISCHARGE PERMI</w:t>
      </w:r>
      <w:r w:rsidR="00045C9B">
        <w:rPr>
          <w:rFonts w:ascii="Arial" w:hAnsi="Arial" w:cs="Arial"/>
          <w:b/>
          <w:sz w:val="28"/>
          <w:szCs w:val="28"/>
        </w:rPr>
        <w:t>T</w:t>
      </w:r>
    </w:p>
    <w:p w14:paraId="773192E1" w14:textId="493F7CE2" w:rsidR="00233394" w:rsidRPr="0005582B" w:rsidRDefault="00073356">
      <w:pPr>
        <w:pStyle w:val="PermitNormal"/>
        <w:jc w:val="center"/>
        <w:rPr>
          <w:szCs w:val="22"/>
        </w:rPr>
      </w:pPr>
      <w:r w:rsidRPr="0005582B">
        <w:rPr>
          <w:szCs w:val="22"/>
        </w:rPr>
        <w:t>Oregon Department of Environmental Quality</w:t>
      </w:r>
    </w:p>
    <w:p w14:paraId="43DCBC3F" w14:textId="77777777" w:rsidR="00233394" w:rsidRPr="0005582B" w:rsidRDefault="00000000">
      <w:pPr>
        <w:jc w:val="center"/>
        <w:rPr>
          <w:szCs w:val="22"/>
          <w:highlight w:val="yellow"/>
        </w:rPr>
      </w:pPr>
      <w:sdt>
        <w:sdtPr>
          <w:rPr>
            <w:rStyle w:val="Style1"/>
            <w:highlight w:val="yellow"/>
          </w:rPr>
          <w:tag w:val="Select a Region"/>
          <w:id w:val="24496045"/>
          <w:placeholder>
            <w:docPart w:val="20BB94AA5D7C426C9C0DFD189F2E3C03"/>
          </w:placeholder>
          <w:comboBox>
            <w:listItem w:displayText="Eastern Region" w:value="Eastern Region"/>
            <w:listItem w:displayText="Headquarters" w:value="Headquarters"/>
            <w:listItem w:displayText="Western Region" w:value="Western Region"/>
            <w:listItem w:displayText="Northwest Region" w:value="Northwest Region"/>
          </w:comboBox>
        </w:sdtPr>
        <w:sdtContent>
          <w:r w:rsidR="00CC2D00" w:rsidRPr="004D032A">
            <w:rPr>
              <w:rStyle w:val="Style1"/>
              <w:highlight w:val="yellow"/>
            </w:rPr>
            <w:t>Region</w:t>
          </w:r>
        </w:sdtContent>
      </w:sdt>
      <w:r w:rsidR="00073356" w:rsidRPr="0005582B">
        <w:rPr>
          <w:szCs w:val="22"/>
          <w:highlight w:val="yellow"/>
        </w:rPr>
        <w:t xml:space="preserve"> – </w:t>
      </w:r>
      <w:sdt>
        <w:sdtPr>
          <w:rPr>
            <w:rStyle w:val="Style1"/>
            <w:highlight w:val="yellow"/>
          </w:rPr>
          <w:id w:val="24496055"/>
          <w:placeholder>
            <w:docPart w:val="F1418A5BDD004DDD936CD58AA7FE53E5"/>
          </w:placeholder>
          <w:comboBox>
            <w:listItem w:displayText="Pendleton" w:value="Pendleton"/>
            <w:listItem w:displayText="Portland" w:value="Portland"/>
            <w:listItem w:displayText="Salem" w:value="Salem"/>
          </w:comboBox>
        </w:sdtPr>
        <w:sdtContent>
          <w:r w:rsidR="00CC2D00" w:rsidRPr="004D032A">
            <w:rPr>
              <w:rStyle w:val="Style1"/>
              <w:highlight w:val="yellow"/>
            </w:rPr>
            <w:t>City</w:t>
          </w:r>
        </w:sdtContent>
      </w:sdt>
      <w:r w:rsidR="00073356" w:rsidRPr="0005582B">
        <w:rPr>
          <w:szCs w:val="22"/>
          <w:highlight w:val="yellow"/>
        </w:rPr>
        <w:t xml:space="preserve"> </w:t>
      </w:r>
      <w:r w:rsidR="00073356" w:rsidRPr="00085A3E">
        <w:rPr>
          <w:szCs w:val="22"/>
        </w:rPr>
        <w:t>Office</w:t>
      </w:r>
    </w:p>
    <w:sdt>
      <w:sdtPr>
        <w:rPr>
          <w:rStyle w:val="Style1"/>
          <w:highlight w:val="yellow"/>
        </w:rPr>
        <w:id w:val="24496056"/>
        <w:placeholder>
          <w:docPart w:val="89F61FFC95E94036B9C0A35CEEC71B97"/>
        </w:placeholder>
        <w:comboBox>
          <w:listItem w:displayText="800 SE Emigrant, #330" w:value="800 SE Emigrant, #330"/>
          <w:listItem w:displayText="700 NE Multnomah St., Suite 600" w:value="700 NE Multnomah St., Suite 600"/>
          <w:listItem w:displayText="4026 Fairview Industrial Dr. SE" w:value="4026 Fairview Industrial Dr. SE"/>
        </w:comboBox>
      </w:sdtPr>
      <w:sdtContent>
        <w:p w14:paraId="062E9621" w14:textId="718319EC" w:rsidR="00233394" w:rsidRPr="0005582B" w:rsidRDefault="00CC2D00">
          <w:pPr>
            <w:jc w:val="center"/>
            <w:rPr>
              <w:szCs w:val="22"/>
              <w:highlight w:val="yellow"/>
            </w:rPr>
          </w:pPr>
          <w:r w:rsidRPr="004D032A">
            <w:rPr>
              <w:rStyle w:val="Style1"/>
              <w:highlight w:val="yellow"/>
            </w:rPr>
            <w:t>Street Address</w:t>
          </w:r>
        </w:p>
      </w:sdtContent>
    </w:sdt>
    <w:sdt>
      <w:sdtPr>
        <w:rPr>
          <w:rStyle w:val="Style1"/>
          <w:highlight w:val="yellow"/>
        </w:rPr>
        <w:id w:val="-1074583226"/>
        <w:placeholder>
          <w:docPart w:val="D2CFB29623744F8995D2E28B4D544CB4"/>
        </w:placeholder>
        <w:comboBox>
          <w:listItem w:displayText="Pendleton, OR  97801" w:value="Pendleton"/>
          <w:listItem w:displayText="Portland, OR  97232" w:value="Portland"/>
          <w:listItem w:displayText="Salem, OR  97302" w:value="Salem"/>
        </w:comboBox>
      </w:sdtPr>
      <w:sdtContent>
        <w:p w14:paraId="523C476F" w14:textId="7FF6C450" w:rsidR="004D032A" w:rsidRDefault="004D032A" w:rsidP="004D032A">
          <w:pPr>
            <w:jc w:val="center"/>
            <w:rPr>
              <w:szCs w:val="22"/>
              <w:highlight w:val="yellow"/>
            </w:rPr>
          </w:pPr>
          <w:r w:rsidRPr="004D032A">
            <w:rPr>
              <w:rStyle w:val="Style1"/>
              <w:highlight w:val="yellow"/>
            </w:rPr>
            <w:t>City, State, Zip</w:t>
          </w:r>
        </w:p>
      </w:sdtContent>
    </w:sdt>
    <w:p w14:paraId="44423047" w14:textId="1EF19E16" w:rsidR="00233394" w:rsidRPr="0005582B" w:rsidRDefault="00073356">
      <w:pPr>
        <w:pStyle w:val="PermitNormal"/>
        <w:jc w:val="center"/>
        <w:rPr>
          <w:szCs w:val="22"/>
        </w:rPr>
      </w:pPr>
      <w:r w:rsidRPr="0005582B">
        <w:rPr>
          <w:szCs w:val="22"/>
        </w:rPr>
        <w:t xml:space="preserve">Telephone: </w:t>
      </w:r>
      <w:sdt>
        <w:sdtPr>
          <w:rPr>
            <w:rStyle w:val="Style1"/>
            <w:highlight w:val="yellow"/>
          </w:rPr>
          <w:id w:val="27656162"/>
          <w:placeholder>
            <w:docPart w:val="6BBA0AF061EF4321862CB0D5EE761A85"/>
          </w:placeholder>
          <w:comboBox>
            <w:listItem w:displayText="503-229-5263" w:value="HQ &amp; NWR"/>
            <w:listItem w:displayText="503-378-8240" w:value="Salem"/>
            <w:listItem w:displayText="541-276-4063" w:value="Pendleton"/>
          </w:comboBox>
        </w:sdtPr>
        <w:sdtContent>
          <w:r w:rsidR="00CC2D00" w:rsidRPr="004D032A">
            <w:rPr>
              <w:rStyle w:val="Style1"/>
              <w:highlight w:val="yellow"/>
            </w:rPr>
            <w:t>Select Number</w:t>
          </w:r>
        </w:sdtContent>
      </w:sdt>
    </w:p>
    <w:p w14:paraId="3A42E7CA" w14:textId="77777777" w:rsidR="00233394" w:rsidRDefault="00233394">
      <w:pPr>
        <w:pStyle w:val="PermitNormal"/>
        <w:jc w:val="center"/>
      </w:pPr>
    </w:p>
    <w:p w14:paraId="33C2FB9D" w14:textId="1FFE3DC2" w:rsidR="00233394" w:rsidRDefault="00073356">
      <w:pPr>
        <w:pStyle w:val="PermitNormal"/>
        <w:pBdr>
          <w:bottom w:val="double" w:sz="4" w:space="1" w:color="auto"/>
        </w:pBdr>
        <w:jc w:val="center"/>
      </w:pPr>
      <w:r>
        <w:t xml:space="preserve">Issued pursuant to ORS 468B.050 and </w:t>
      </w:r>
      <w:r w:rsidR="00117345">
        <w:t>t</w:t>
      </w:r>
      <w:r>
        <w:t xml:space="preserve">he </w:t>
      </w:r>
      <w:r w:rsidR="00FE07F9">
        <w:t xml:space="preserve">federal </w:t>
      </w:r>
      <w:r>
        <w:t>Clean Water Act</w:t>
      </w:r>
    </w:p>
    <w:p w14:paraId="5A3B7799" w14:textId="77777777" w:rsidR="00233394" w:rsidRDefault="00233394"/>
    <w:tbl>
      <w:tblPr>
        <w:tblW w:w="5009" w:type="pct"/>
        <w:tblLook w:val="0000" w:firstRow="0" w:lastRow="0" w:firstColumn="0" w:lastColumn="0" w:noHBand="0" w:noVBand="0"/>
      </w:tblPr>
      <w:tblGrid>
        <w:gridCol w:w="2834"/>
        <w:gridCol w:w="2428"/>
        <w:gridCol w:w="2428"/>
        <w:gridCol w:w="2426"/>
      </w:tblGrid>
      <w:tr w:rsidR="00233394" w14:paraId="0AC88948" w14:textId="77777777" w:rsidTr="006F7799">
        <w:tc>
          <w:tcPr>
            <w:tcW w:w="1401" w:type="pct"/>
          </w:tcPr>
          <w:p w14:paraId="3667FFF3" w14:textId="77777777" w:rsidR="00233394" w:rsidRDefault="00073356" w:rsidP="0005582B">
            <w:pPr>
              <w:pStyle w:val="TableColumnHeading"/>
              <w:jc w:val="left"/>
            </w:pPr>
            <w:r>
              <w:t>ISSUED TO:</w:t>
            </w:r>
          </w:p>
        </w:tc>
        <w:tc>
          <w:tcPr>
            <w:tcW w:w="3599" w:type="pct"/>
            <w:gridSpan w:val="3"/>
          </w:tcPr>
          <w:p w14:paraId="4ED2DF2C" w14:textId="77777777" w:rsidR="00233394" w:rsidRDefault="00073356">
            <w:pPr>
              <w:pStyle w:val="TableColumnHeading"/>
            </w:pPr>
            <w:r>
              <w:t>SOURCES COVERED BY THIS PERMIT:</w:t>
            </w:r>
          </w:p>
        </w:tc>
      </w:tr>
      <w:tr w:rsidR="00233394" w14:paraId="565F05B1" w14:textId="77777777" w:rsidTr="006F7799">
        <w:trPr>
          <w:trHeight w:val="506"/>
        </w:trPr>
        <w:tc>
          <w:tcPr>
            <w:tcW w:w="1401" w:type="pct"/>
            <w:vMerge w:val="restart"/>
          </w:tcPr>
          <w:p w14:paraId="4A475105" w14:textId="07EBB415" w:rsidR="00233394" w:rsidRDefault="006738D3" w:rsidP="0005582B">
            <w:pPr>
              <w:pStyle w:val="PermitNormal"/>
              <w:spacing w:before="120"/>
              <w:rPr>
                <w:highlight w:val="yellow"/>
              </w:rPr>
            </w:pPr>
            <w:bookmarkStart w:id="0" w:name="bmPermittee"/>
            <w:bookmarkEnd w:id="0"/>
            <w:r>
              <w:rPr>
                <w:highlight w:val="yellow"/>
              </w:rPr>
              <w:t>P</w:t>
            </w:r>
            <w:r w:rsidR="00073356">
              <w:rPr>
                <w:highlight w:val="yellow"/>
              </w:rPr>
              <w:t>ermittee Legal Name</w:t>
            </w:r>
          </w:p>
          <w:p w14:paraId="2CFBF9B2" w14:textId="77777777" w:rsidR="00233394" w:rsidRDefault="00073356">
            <w:pPr>
              <w:pStyle w:val="PermitNormal"/>
              <w:rPr>
                <w:highlight w:val="yellow"/>
              </w:rPr>
            </w:pPr>
            <w:r>
              <w:rPr>
                <w:highlight w:val="yellow"/>
              </w:rPr>
              <w:t>Permittee Street Address</w:t>
            </w:r>
          </w:p>
          <w:p w14:paraId="59A6E313" w14:textId="77777777" w:rsidR="00233394" w:rsidRDefault="00073356">
            <w:pPr>
              <w:pStyle w:val="PermitNormal"/>
              <w:rPr>
                <w:highlight w:val="yellow"/>
              </w:rPr>
            </w:pPr>
            <w:r>
              <w:rPr>
                <w:highlight w:val="yellow"/>
              </w:rPr>
              <w:t>City, State, Zip</w:t>
            </w:r>
          </w:p>
        </w:tc>
        <w:tc>
          <w:tcPr>
            <w:tcW w:w="1200" w:type="pct"/>
            <w:vAlign w:val="center"/>
          </w:tcPr>
          <w:p w14:paraId="72623FB1" w14:textId="77777777" w:rsidR="00233394" w:rsidRDefault="00073356" w:rsidP="0005582B">
            <w:pPr>
              <w:pStyle w:val="TableColumnHeading"/>
              <w:jc w:val="left"/>
            </w:pPr>
            <w:r>
              <w:t>Type of Waste</w:t>
            </w:r>
          </w:p>
        </w:tc>
        <w:tc>
          <w:tcPr>
            <w:tcW w:w="1200" w:type="pct"/>
            <w:vAlign w:val="center"/>
          </w:tcPr>
          <w:p w14:paraId="2F11CB18" w14:textId="0A17AD80" w:rsidR="00233394" w:rsidRDefault="00BC64F6" w:rsidP="0005582B">
            <w:pPr>
              <w:pStyle w:val="TableColumnHeading"/>
              <w:jc w:val="left"/>
            </w:pPr>
            <w:r>
              <w:t>Outfall Number</w:t>
            </w:r>
          </w:p>
        </w:tc>
        <w:tc>
          <w:tcPr>
            <w:tcW w:w="1200" w:type="pct"/>
            <w:vAlign w:val="center"/>
          </w:tcPr>
          <w:p w14:paraId="6C60BDD2" w14:textId="0A6D3A60" w:rsidR="00233394" w:rsidRDefault="00BC64F6" w:rsidP="0005582B">
            <w:pPr>
              <w:pStyle w:val="TableColumnHeading"/>
              <w:jc w:val="left"/>
            </w:pPr>
            <w:r>
              <w:t>Outfall Location</w:t>
            </w:r>
          </w:p>
        </w:tc>
      </w:tr>
      <w:tr w:rsidR="00233394" w14:paraId="55B7343F" w14:textId="77777777" w:rsidTr="006F7799">
        <w:tc>
          <w:tcPr>
            <w:tcW w:w="1401" w:type="pct"/>
            <w:vMerge/>
            <w:vAlign w:val="center"/>
          </w:tcPr>
          <w:p w14:paraId="166A406E" w14:textId="77777777" w:rsidR="00233394" w:rsidRDefault="00233394">
            <w:pPr>
              <w:pStyle w:val="PermitNormal"/>
            </w:pPr>
          </w:p>
        </w:tc>
        <w:tc>
          <w:tcPr>
            <w:tcW w:w="1200" w:type="pct"/>
          </w:tcPr>
          <w:p w14:paraId="0536695F" w14:textId="65EA9CA7" w:rsidR="00233394" w:rsidRDefault="00593D24" w:rsidP="00593D24">
            <w:pPr>
              <w:pStyle w:val="Tablecellentry"/>
            </w:pPr>
            <w:r w:rsidRPr="00593D24">
              <w:rPr>
                <w:highlight w:val="yellow"/>
              </w:rPr>
              <w:t>List all</w:t>
            </w:r>
            <w:r w:rsidR="00073356" w:rsidRPr="00593D24">
              <w:rPr>
                <w:highlight w:val="yellow"/>
              </w:rPr>
              <w:t xml:space="preserve"> </w:t>
            </w:r>
            <w:r w:rsidRPr="00593D24">
              <w:rPr>
                <w:highlight w:val="yellow"/>
              </w:rPr>
              <w:t>types by outfall</w:t>
            </w:r>
            <w:r>
              <w:t xml:space="preserve"> </w:t>
            </w:r>
          </w:p>
        </w:tc>
        <w:tc>
          <w:tcPr>
            <w:tcW w:w="1200" w:type="pct"/>
          </w:tcPr>
          <w:p w14:paraId="137517D6" w14:textId="77777777" w:rsidR="00233394" w:rsidRDefault="00073356" w:rsidP="001149A3">
            <w:pPr>
              <w:pStyle w:val="Tablecellentry"/>
              <w:rPr>
                <w:highlight w:val="yellow"/>
              </w:rPr>
            </w:pPr>
            <w:r>
              <w:rPr>
                <w:highlight w:val="yellow"/>
              </w:rPr>
              <w:t>Insert</w:t>
            </w:r>
          </w:p>
        </w:tc>
        <w:tc>
          <w:tcPr>
            <w:tcW w:w="1200" w:type="pct"/>
            <w:vAlign w:val="center"/>
          </w:tcPr>
          <w:p w14:paraId="0577885E" w14:textId="2B8C7A93" w:rsidR="00233394" w:rsidRDefault="00593D24" w:rsidP="001149A3">
            <w:pPr>
              <w:pStyle w:val="Tablecellentry"/>
              <w:spacing w:after="60"/>
              <w:rPr>
                <w:highlight w:val="yellow"/>
              </w:rPr>
            </w:pPr>
            <w:r>
              <w:rPr>
                <w:highlight w:val="yellow"/>
              </w:rPr>
              <w:t>Lat/Long in decimal degrees</w:t>
            </w:r>
            <w:r w:rsidR="00361DE8">
              <w:rPr>
                <w:highlight w:val="yellow"/>
              </w:rPr>
              <w:t xml:space="preserve"> (</w:t>
            </w:r>
            <w:r w:rsidR="00F24CF1">
              <w:rPr>
                <w:highlight w:val="yellow"/>
              </w:rPr>
              <w:t xml:space="preserve">6 </w:t>
            </w:r>
            <w:r w:rsidR="00361DE8">
              <w:rPr>
                <w:highlight w:val="yellow"/>
              </w:rPr>
              <w:t>decimal minimum)</w:t>
            </w:r>
          </w:p>
        </w:tc>
      </w:tr>
      <w:tr w:rsidR="00233394" w14:paraId="01218C02" w14:textId="77777777" w:rsidTr="006F7799">
        <w:tc>
          <w:tcPr>
            <w:tcW w:w="1401" w:type="pct"/>
            <w:vMerge/>
            <w:vAlign w:val="center"/>
          </w:tcPr>
          <w:p w14:paraId="705C3445" w14:textId="77777777" w:rsidR="00233394" w:rsidRDefault="00233394">
            <w:pPr>
              <w:pStyle w:val="PermitNormal"/>
            </w:pPr>
            <w:bookmarkStart w:id="1" w:name="bmAddress2"/>
            <w:bookmarkEnd w:id="1"/>
          </w:p>
        </w:tc>
        <w:tc>
          <w:tcPr>
            <w:tcW w:w="1200" w:type="pct"/>
            <w:vAlign w:val="center"/>
          </w:tcPr>
          <w:p w14:paraId="1C4E1DAD" w14:textId="13C1CD0A" w:rsidR="00233394" w:rsidRDefault="00073356">
            <w:pPr>
              <w:pStyle w:val="Tablecellentry"/>
              <w:rPr>
                <w:highlight w:val="yellow"/>
              </w:rPr>
            </w:pPr>
            <w:bookmarkStart w:id="2" w:name="bmWaste1"/>
            <w:bookmarkEnd w:id="2"/>
            <w:r>
              <w:rPr>
                <w:highlight w:val="yellow"/>
              </w:rPr>
              <w:t>Recycled Water Reuse</w:t>
            </w:r>
          </w:p>
        </w:tc>
        <w:tc>
          <w:tcPr>
            <w:tcW w:w="1200" w:type="pct"/>
            <w:vAlign w:val="center"/>
          </w:tcPr>
          <w:p w14:paraId="7BD52AD2" w14:textId="77777777" w:rsidR="00233394" w:rsidRDefault="00073356">
            <w:pPr>
              <w:pStyle w:val="Tablecellentry"/>
              <w:rPr>
                <w:highlight w:val="yellow"/>
              </w:rPr>
            </w:pPr>
            <w:bookmarkStart w:id="3" w:name="bmOutfall1"/>
            <w:bookmarkEnd w:id="3"/>
            <w:r>
              <w:rPr>
                <w:highlight w:val="yellow"/>
              </w:rPr>
              <w:t>Insert or N/A</w:t>
            </w:r>
          </w:p>
        </w:tc>
        <w:tc>
          <w:tcPr>
            <w:tcW w:w="1200" w:type="pct"/>
            <w:vAlign w:val="center"/>
          </w:tcPr>
          <w:p w14:paraId="3BD8A43D" w14:textId="77777777" w:rsidR="00233394" w:rsidRDefault="00073356" w:rsidP="001149A3">
            <w:pPr>
              <w:pStyle w:val="Tablecellentry"/>
              <w:spacing w:after="60"/>
              <w:rPr>
                <w:highlight w:val="yellow"/>
              </w:rPr>
            </w:pPr>
            <w:bookmarkStart w:id="4" w:name="bmOutfallLoc1"/>
            <w:bookmarkEnd w:id="4"/>
            <w:r>
              <w:rPr>
                <w:highlight w:val="yellow"/>
              </w:rPr>
              <w:t>Specified in Recycled Water Use Plan</w:t>
            </w:r>
          </w:p>
        </w:tc>
      </w:tr>
      <w:tr w:rsidR="00233394" w14:paraId="71583369" w14:textId="77777777" w:rsidTr="006F7799">
        <w:tc>
          <w:tcPr>
            <w:tcW w:w="1401" w:type="pct"/>
            <w:vMerge/>
          </w:tcPr>
          <w:p w14:paraId="7F04E604" w14:textId="77777777" w:rsidR="00233394" w:rsidRDefault="00233394">
            <w:pPr>
              <w:pStyle w:val="PermitNormal"/>
            </w:pPr>
          </w:p>
        </w:tc>
        <w:tc>
          <w:tcPr>
            <w:tcW w:w="1200" w:type="pct"/>
          </w:tcPr>
          <w:p w14:paraId="79F9179E" w14:textId="77777777" w:rsidR="00233394" w:rsidRDefault="00073356">
            <w:pPr>
              <w:pStyle w:val="Tablecellentry"/>
              <w:rPr>
                <w:highlight w:val="yellow"/>
              </w:rPr>
            </w:pPr>
            <w:r>
              <w:rPr>
                <w:highlight w:val="yellow"/>
              </w:rPr>
              <w:t>Biosolids</w:t>
            </w:r>
          </w:p>
        </w:tc>
        <w:tc>
          <w:tcPr>
            <w:tcW w:w="1200" w:type="pct"/>
          </w:tcPr>
          <w:p w14:paraId="640C10FE" w14:textId="77777777" w:rsidR="00233394" w:rsidRDefault="00073356">
            <w:pPr>
              <w:pStyle w:val="Tablecellentry"/>
              <w:rPr>
                <w:highlight w:val="yellow"/>
              </w:rPr>
            </w:pPr>
            <w:r>
              <w:rPr>
                <w:highlight w:val="yellow"/>
              </w:rPr>
              <w:t>N/A</w:t>
            </w:r>
          </w:p>
        </w:tc>
        <w:tc>
          <w:tcPr>
            <w:tcW w:w="1200" w:type="pct"/>
            <w:vAlign w:val="center"/>
          </w:tcPr>
          <w:p w14:paraId="3DF4BF35" w14:textId="77777777" w:rsidR="00233394" w:rsidRDefault="00073356">
            <w:pPr>
              <w:pStyle w:val="Tablecellentry"/>
              <w:rPr>
                <w:highlight w:val="yellow"/>
              </w:rPr>
            </w:pPr>
            <w:r>
              <w:rPr>
                <w:highlight w:val="yellow"/>
              </w:rPr>
              <w:t>Specified in Biosolids Management/Land Application Plan</w:t>
            </w:r>
          </w:p>
        </w:tc>
      </w:tr>
    </w:tbl>
    <w:p w14:paraId="5FC62869" w14:textId="77777777" w:rsidR="006F7799" w:rsidRDefault="006F7799" w:rsidP="006F7799">
      <w:pPr>
        <w:pStyle w:val="PermitNormal"/>
      </w:pPr>
    </w:p>
    <w:tbl>
      <w:tblPr>
        <w:tblW w:w="4857" w:type="pct"/>
        <w:tblLook w:val="0000" w:firstRow="0" w:lastRow="0" w:firstColumn="0" w:lastColumn="0" w:noHBand="0" w:noVBand="0"/>
      </w:tblPr>
      <w:tblGrid>
        <w:gridCol w:w="3419"/>
        <w:gridCol w:w="6390"/>
      </w:tblGrid>
      <w:tr w:rsidR="00233394" w14:paraId="77BFBD61" w14:textId="77777777" w:rsidTr="00EF6EE1">
        <w:tc>
          <w:tcPr>
            <w:tcW w:w="1743" w:type="pct"/>
          </w:tcPr>
          <w:p w14:paraId="5F87D407" w14:textId="10D6E75A" w:rsidR="00233394" w:rsidRDefault="00073356" w:rsidP="0005582B">
            <w:pPr>
              <w:pStyle w:val="TableColumnHeading"/>
              <w:spacing w:before="120" w:after="120"/>
              <w:jc w:val="left"/>
            </w:pPr>
            <w:r>
              <w:t>FACILITY LOCATION:</w:t>
            </w:r>
          </w:p>
        </w:tc>
        <w:tc>
          <w:tcPr>
            <w:tcW w:w="3257" w:type="pct"/>
          </w:tcPr>
          <w:p w14:paraId="78DE0055" w14:textId="77777777" w:rsidR="00233394" w:rsidRDefault="00073356" w:rsidP="0005582B">
            <w:pPr>
              <w:pStyle w:val="TableColumnHeading"/>
              <w:spacing w:before="120" w:after="120"/>
              <w:jc w:val="left"/>
            </w:pPr>
            <w:r>
              <w:t>RECEIVING STREAM INFORMATION:</w:t>
            </w:r>
          </w:p>
        </w:tc>
      </w:tr>
      <w:tr w:rsidR="0005582B" w14:paraId="5A70AA30" w14:textId="77777777" w:rsidTr="00EF6EE1">
        <w:tc>
          <w:tcPr>
            <w:tcW w:w="1743" w:type="pct"/>
          </w:tcPr>
          <w:p w14:paraId="3A27376A" w14:textId="2FCE0F85" w:rsidR="0005582B" w:rsidRDefault="004F657A" w:rsidP="0005582B">
            <w:pPr>
              <w:pStyle w:val="Tablecellentry"/>
              <w:rPr>
                <w:highlight w:val="yellow"/>
              </w:rPr>
            </w:pPr>
            <w:bookmarkStart w:id="5" w:name="bmFacilityType"/>
            <w:bookmarkStart w:id="6" w:name="bmFacLocation1"/>
            <w:bookmarkEnd w:id="5"/>
            <w:bookmarkEnd w:id="6"/>
            <w:r>
              <w:rPr>
                <w:highlight w:val="yellow"/>
              </w:rPr>
              <w:t>Permittee Common Name</w:t>
            </w:r>
            <w:r w:rsidR="008617EB">
              <w:rPr>
                <w:highlight w:val="yellow"/>
              </w:rPr>
              <w:t xml:space="preserve"> </w:t>
            </w:r>
          </w:p>
        </w:tc>
        <w:tc>
          <w:tcPr>
            <w:tcW w:w="3257" w:type="pct"/>
          </w:tcPr>
          <w:p w14:paraId="0D85A0A6" w14:textId="50AC9590" w:rsidR="0005582B" w:rsidRDefault="001740A1" w:rsidP="0005582B">
            <w:pPr>
              <w:pStyle w:val="Tablecellentry"/>
            </w:pPr>
            <w:r>
              <w:t>Receiving stream/NHD name</w:t>
            </w:r>
            <w:r w:rsidR="0005582B">
              <w:t xml:space="preserve">: </w:t>
            </w:r>
            <w:bookmarkStart w:id="7" w:name="bmSubBasin"/>
            <w:bookmarkEnd w:id="7"/>
            <w:r w:rsidR="00DA13EA">
              <w:rPr>
                <w:highlight w:val="yellow"/>
              </w:rPr>
              <w:t>insert</w:t>
            </w:r>
          </w:p>
        </w:tc>
      </w:tr>
      <w:tr w:rsidR="008617EB" w14:paraId="39A2C0E5" w14:textId="77777777" w:rsidTr="00EF6EE1">
        <w:tc>
          <w:tcPr>
            <w:tcW w:w="1743" w:type="pct"/>
          </w:tcPr>
          <w:p w14:paraId="15423EB4" w14:textId="0F361FE3" w:rsidR="008617EB" w:rsidRDefault="008617EB" w:rsidP="0005582B">
            <w:pPr>
              <w:pStyle w:val="Tablecellentry"/>
              <w:rPr>
                <w:highlight w:val="yellow"/>
              </w:rPr>
            </w:pPr>
            <w:r>
              <w:rPr>
                <w:highlight w:val="yellow"/>
              </w:rPr>
              <w:t>Facility Address</w:t>
            </w:r>
          </w:p>
        </w:tc>
        <w:tc>
          <w:tcPr>
            <w:tcW w:w="3257" w:type="pct"/>
          </w:tcPr>
          <w:p w14:paraId="296C4513" w14:textId="07F2990C" w:rsidR="008617EB" w:rsidRDefault="008617EB" w:rsidP="0005582B">
            <w:pPr>
              <w:pStyle w:val="Tablecellentry"/>
            </w:pPr>
            <w:r>
              <w:t>USGS</w:t>
            </w:r>
            <w:r w:rsidR="001740A1">
              <w:t xml:space="preserve"> 12-Digit HUC</w:t>
            </w:r>
            <w:r>
              <w:t xml:space="preserve">: </w:t>
            </w:r>
            <w:r>
              <w:rPr>
                <w:highlight w:val="yellow"/>
              </w:rPr>
              <w:t>insert</w:t>
            </w:r>
          </w:p>
        </w:tc>
      </w:tr>
      <w:tr w:rsidR="0005582B" w14:paraId="0E84E48E" w14:textId="77777777" w:rsidTr="00EF6EE1">
        <w:tc>
          <w:tcPr>
            <w:tcW w:w="1743" w:type="pct"/>
          </w:tcPr>
          <w:p w14:paraId="2F3DE1E2" w14:textId="77777777" w:rsidR="0005582B" w:rsidRDefault="0005582B" w:rsidP="0005582B">
            <w:pPr>
              <w:pStyle w:val="Tablecellentry"/>
              <w:rPr>
                <w:highlight w:val="yellow"/>
              </w:rPr>
            </w:pPr>
            <w:bookmarkStart w:id="8" w:name="bmFacLocation2"/>
            <w:bookmarkEnd w:id="8"/>
            <w:r>
              <w:rPr>
                <w:highlight w:val="yellow"/>
              </w:rPr>
              <w:t>City, State and Zip</w:t>
            </w:r>
          </w:p>
        </w:tc>
        <w:tc>
          <w:tcPr>
            <w:tcW w:w="3257" w:type="pct"/>
          </w:tcPr>
          <w:p w14:paraId="740F6AE6" w14:textId="665EBB10" w:rsidR="0005582B" w:rsidRDefault="001740A1" w:rsidP="0005582B">
            <w:pPr>
              <w:pStyle w:val="Tablecellentry"/>
            </w:pPr>
            <w:bookmarkStart w:id="9" w:name="bmRecStream"/>
            <w:bookmarkEnd w:id="9"/>
            <w:r>
              <w:t>OWRD Administrative Basin</w:t>
            </w:r>
          </w:p>
        </w:tc>
      </w:tr>
      <w:tr w:rsidR="0005582B" w14:paraId="4F6F0301" w14:textId="77777777" w:rsidTr="00EF6EE1">
        <w:tc>
          <w:tcPr>
            <w:tcW w:w="1743" w:type="pct"/>
          </w:tcPr>
          <w:p w14:paraId="1B40DDC0" w14:textId="6FD57103" w:rsidR="0005582B" w:rsidRDefault="00593D24" w:rsidP="0005582B">
            <w:pPr>
              <w:pStyle w:val="Tablecellentry"/>
            </w:pPr>
            <w:r>
              <w:t xml:space="preserve">County: </w:t>
            </w:r>
            <w:r>
              <w:rPr>
                <w:highlight w:val="yellow"/>
              </w:rPr>
              <w:t>insert</w:t>
            </w:r>
          </w:p>
        </w:tc>
        <w:tc>
          <w:tcPr>
            <w:tcW w:w="3257" w:type="pct"/>
          </w:tcPr>
          <w:p w14:paraId="2287D123" w14:textId="06882D05" w:rsidR="0005582B" w:rsidRDefault="0005582B" w:rsidP="0005582B">
            <w:pPr>
              <w:pStyle w:val="Tablecellentry"/>
              <w:rPr>
                <w:szCs w:val="22"/>
              </w:rPr>
            </w:pPr>
            <w:r>
              <w:t>NHD Reach Code</w:t>
            </w:r>
            <w:r w:rsidR="001740A1">
              <w:t xml:space="preserve"> &amp; % along reach</w:t>
            </w:r>
            <w:r>
              <w:t xml:space="preserve">: </w:t>
            </w:r>
            <w:r w:rsidRPr="006A71C3">
              <w:rPr>
                <w:highlight w:val="yellow"/>
              </w:rPr>
              <w:t>insert</w:t>
            </w:r>
          </w:p>
        </w:tc>
      </w:tr>
      <w:tr w:rsidR="0005582B" w14:paraId="6B96A08D" w14:textId="77777777" w:rsidTr="00EF6EE1">
        <w:tc>
          <w:tcPr>
            <w:tcW w:w="1743" w:type="pct"/>
          </w:tcPr>
          <w:p w14:paraId="70D32EA7" w14:textId="49B96959" w:rsidR="0005582B" w:rsidRDefault="00AA1E13" w:rsidP="0005582B">
            <w:pPr>
              <w:pStyle w:val="Tablecellentry"/>
            </w:pPr>
            <w:r w:rsidRPr="00AA1E13">
              <w:t xml:space="preserve">EPA Permit Type: [Major </w:t>
            </w:r>
            <w:r w:rsidRPr="00066CBD">
              <w:rPr>
                <w:highlight w:val="yellow"/>
              </w:rPr>
              <w:t>or</w:t>
            </w:r>
            <w:r w:rsidRPr="00AA1E13">
              <w:t xml:space="preserve"> Minor]</w:t>
            </w:r>
            <w:bookmarkStart w:id="10" w:name="bmTreatmentClass"/>
            <w:bookmarkEnd w:id="10"/>
          </w:p>
        </w:tc>
        <w:tc>
          <w:tcPr>
            <w:tcW w:w="3257" w:type="pct"/>
          </w:tcPr>
          <w:p w14:paraId="730148CF" w14:textId="77777777" w:rsidR="0005582B" w:rsidRDefault="001740A1" w:rsidP="0005582B">
            <w:pPr>
              <w:pStyle w:val="Tablecellentry"/>
              <w:rPr>
                <w:szCs w:val="22"/>
              </w:rPr>
            </w:pPr>
            <w:r>
              <w:rPr>
                <w:szCs w:val="22"/>
              </w:rPr>
              <w:t xml:space="preserve">ODEQ </w:t>
            </w:r>
            <w:r w:rsidR="0005582B">
              <w:rPr>
                <w:szCs w:val="22"/>
              </w:rPr>
              <w:t>LLID</w:t>
            </w:r>
            <w:r>
              <w:rPr>
                <w:szCs w:val="22"/>
              </w:rPr>
              <w:t xml:space="preserve"> &amp; RM</w:t>
            </w:r>
            <w:r w:rsidR="0005582B">
              <w:rPr>
                <w:szCs w:val="22"/>
              </w:rPr>
              <w:t>:</w:t>
            </w:r>
            <w:r w:rsidR="007C461A">
              <w:rPr>
                <w:szCs w:val="22"/>
              </w:rPr>
              <w:t xml:space="preserve"> </w:t>
            </w:r>
            <w:r w:rsidR="0005582B">
              <w:rPr>
                <w:highlight w:val="yellow"/>
              </w:rPr>
              <w:t>insert LLID-RM</w:t>
            </w:r>
            <w:r w:rsidR="007C461A">
              <w:rPr>
                <w:szCs w:val="22"/>
              </w:rPr>
              <w:t xml:space="preserve"> </w:t>
            </w:r>
          </w:p>
          <w:p w14:paraId="70B1AF15" w14:textId="71BC3334" w:rsidR="001740A1" w:rsidRDefault="001740A1" w:rsidP="0005582B">
            <w:pPr>
              <w:pStyle w:val="Tablecellentry"/>
            </w:pPr>
            <w:r>
              <w:t xml:space="preserve">Integrated Report AU ID: </w:t>
            </w:r>
            <w:r>
              <w:rPr>
                <w:highlight w:val="yellow"/>
              </w:rPr>
              <w:t>insert</w:t>
            </w:r>
          </w:p>
        </w:tc>
      </w:tr>
    </w:tbl>
    <w:p w14:paraId="12755CF8" w14:textId="77777777" w:rsidR="00593D24" w:rsidRDefault="00593D24">
      <w:pPr>
        <w:pStyle w:val="PermitNormal"/>
      </w:pPr>
    </w:p>
    <w:p w14:paraId="7B7B39DA" w14:textId="24C41C10" w:rsidR="00233394" w:rsidRDefault="00073356">
      <w:pPr>
        <w:pStyle w:val="PermitNormal"/>
      </w:pPr>
      <w:r>
        <w:t xml:space="preserve">Issued in response to Application No. </w:t>
      </w:r>
      <w:bookmarkStart w:id="11" w:name="bmApplNbr"/>
      <w:bookmarkEnd w:id="11"/>
      <w:r>
        <w:rPr>
          <w:highlight w:val="yellow"/>
        </w:rPr>
        <w:t>insert</w:t>
      </w:r>
      <w:r>
        <w:t xml:space="preserve"> received </w:t>
      </w:r>
      <w:sdt>
        <w:sdtPr>
          <w:rPr>
            <w:highlight w:val="yellow"/>
          </w:rPr>
          <w:id w:val="16166069"/>
          <w:placeholder>
            <w:docPart w:val="DFF80211236D4E5F83DE08FDF81FCF9C"/>
          </w:placeholder>
          <w:date>
            <w:dateFormat w:val="MMMM d, yyyy"/>
            <w:lid w:val="en-US"/>
            <w:storeMappedDataAs w:val="dateTime"/>
            <w:calendar w:val="gregorian"/>
          </w:date>
        </w:sdtPr>
        <w:sdtContent>
          <w:r w:rsidR="00CC2D00">
            <w:rPr>
              <w:highlight w:val="yellow"/>
              <w:lang w:val="en-US"/>
            </w:rPr>
            <w:t>insert date</w:t>
          </w:r>
        </w:sdtContent>
      </w:sdt>
      <w:r>
        <w:t>.</w:t>
      </w:r>
      <w:r w:rsidR="007C461A">
        <w:t xml:space="preserve"> </w:t>
      </w:r>
      <w:r>
        <w:t>This permit is issued based on the land use findings in the permit record.</w:t>
      </w:r>
    </w:p>
    <w:p w14:paraId="4167511D" w14:textId="77777777" w:rsidR="00233394" w:rsidRDefault="002333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367"/>
        <w:gridCol w:w="2634"/>
        <w:gridCol w:w="366"/>
        <w:gridCol w:w="2632"/>
      </w:tblGrid>
      <w:tr w:rsidR="00393B19" w14:paraId="34AFD4D1" w14:textId="77777777" w:rsidTr="00117345">
        <w:tc>
          <w:tcPr>
            <w:tcW w:w="2030" w:type="pct"/>
            <w:tcBorders>
              <w:top w:val="nil"/>
              <w:left w:val="nil"/>
              <w:right w:val="nil"/>
            </w:tcBorders>
          </w:tcPr>
          <w:p w14:paraId="07E302BE" w14:textId="4AEA3069" w:rsidR="00393B19" w:rsidRDefault="00393B19">
            <w:pPr>
              <w:pStyle w:val="Tablecellentry"/>
            </w:pPr>
          </w:p>
        </w:tc>
        <w:tc>
          <w:tcPr>
            <w:tcW w:w="182" w:type="pct"/>
            <w:tcBorders>
              <w:top w:val="nil"/>
              <w:left w:val="nil"/>
              <w:bottom w:val="nil"/>
              <w:right w:val="nil"/>
            </w:tcBorders>
          </w:tcPr>
          <w:p w14:paraId="2AECEB4C" w14:textId="77777777" w:rsidR="00393B19" w:rsidRDefault="00393B19">
            <w:pPr>
              <w:pStyle w:val="Tablecellentry"/>
            </w:pPr>
          </w:p>
        </w:tc>
        <w:tc>
          <w:tcPr>
            <w:tcW w:w="1304" w:type="pct"/>
            <w:tcBorders>
              <w:top w:val="nil"/>
              <w:left w:val="nil"/>
              <w:right w:val="nil"/>
            </w:tcBorders>
          </w:tcPr>
          <w:p w14:paraId="5E0B85E5" w14:textId="4DA55DF8" w:rsidR="00393B19" w:rsidRDefault="008617EB">
            <w:pPr>
              <w:pStyle w:val="Tablecellentry"/>
            </w:pPr>
            <w:r>
              <w:t>DRAFT</w:t>
            </w:r>
          </w:p>
        </w:tc>
        <w:tc>
          <w:tcPr>
            <w:tcW w:w="181" w:type="pct"/>
            <w:tcBorders>
              <w:top w:val="nil"/>
              <w:left w:val="nil"/>
              <w:bottom w:val="nil"/>
              <w:right w:val="nil"/>
            </w:tcBorders>
          </w:tcPr>
          <w:p w14:paraId="7B1C805F" w14:textId="77777777" w:rsidR="00393B19" w:rsidRDefault="00393B19">
            <w:pPr>
              <w:pStyle w:val="Tablecellentry"/>
            </w:pPr>
          </w:p>
        </w:tc>
        <w:tc>
          <w:tcPr>
            <w:tcW w:w="1304" w:type="pct"/>
            <w:tcBorders>
              <w:top w:val="nil"/>
              <w:left w:val="nil"/>
              <w:right w:val="nil"/>
            </w:tcBorders>
          </w:tcPr>
          <w:p w14:paraId="184AB1A0" w14:textId="109885C3" w:rsidR="00393B19" w:rsidRDefault="008617EB" w:rsidP="003301D6">
            <w:pPr>
              <w:pStyle w:val="Tablecellentry"/>
              <w:rPr>
                <w:szCs w:val="24"/>
              </w:rPr>
            </w:pPr>
            <w:r>
              <w:rPr>
                <w:szCs w:val="24"/>
              </w:rPr>
              <w:t>DRAFT</w:t>
            </w:r>
          </w:p>
        </w:tc>
      </w:tr>
      <w:tr w:rsidR="00393B19" w14:paraId="6813D122" w14:textId="77777777" w:rsidTr="00117345">
        <w:tc>
          <w:tcPr>
            <w:tcW w:w="2030" w:type="pct"/>
            <w:tcBorders>
              <w:left w:val="nil"/>
              <w:bottom w:val="nil"/>
              <w:right w:val="nil"/>
            </w:tcBorders>
          </w:tcPr>
          <w:p w14:paraId="1983948C" w14:textId="3977E3C6" w:rsidR="00393B19" w:rsidRDefault="00E352A9" w:rsidP="00AE0EF5">
            <w:pPr>
              <w:pStyle w:val="Tablecellentry"/>
              <w:rPr>
                <w:highlight w:val="yellow"/>
              </w:rPr>
            </w:pPr>
            <w:r>
              <w:rPr>
                <w:highlight w:val="yellow"/>
              </w:rPr>
              <w:t xml:space="preserve">Manager </w:t>
            </w:r>
            <w:r w:rsidR="00393B19">
              <w:rPr>
                <w:highlight w:val="yellow"/>
              </w:rPr>
              <w:t>name, title</w:t>
            </w:r>
          </w:p>
          <w:p w14:paraId="4CCB2CB6" w14:textId="67E685AA" w:rsidR="00393B19" w:rsidRDefault="00393B19" w:rsidP="00AE0EF5">
            <w:pPr>
              <w:pStyle w:val="Tablecellentry"/>
              <w:rPr>
                <w:highlight w:val="yellow"/>
              </w:rPr>
            </w:pPr>
            <w:r>
              <w:rPr>
                <w:highlight w:val="yellow"/>
              </w:rPr>
              <w:t>region</w:t>
            </w:r>
          </w:p>
        </w:tc>
        <w:tc>
          <w:tcPr>
            <w:tcW w:w="182" w:type="pct"/>
            <w:tcBorders>
              <w:top w:val="nil"/>
              <w:left w:val="nil"/>
              <w:bottom w:val="nil"/>
              <w:right w:val="nil"/>
            </w:tcBorders>
          </w:tcPr>
          <w:p w14:paraId="297F1B6F" w14:textId="77777777" w:rsidR="00393B19" w:rsidRDefault="00393B19" w:rsidP="00AE0EF5">
            <w:pPr>
              <w:pStyle w:val="Tablecellentry"/>
            </w:pPr>
          </w:p>
        </w:tc>
        <w:tc>
          <w:tcPr>
            <w:tcW w:w="1304" w:type="pct"/>
            <w:tcBorders>
              <w:left w:val="nil"/>
              <w:bottom w:val="nil"/>
              <w:right w:val="nil"/>
            </w:tcBorders>
          </w:tcPr>
          <w:p w14:paraId="0C4C3896" w14:textId="49B66C02" w:rsidR="00393B19" w:rsidRDefault="00393B19" w:rsidP="00AA1E13">
            <w:pPr>
              <w:pStyle w:val="Tablecellentry"/>
              <w:jc w:val="center"/>
            </w:pPr>
            <w:r>
              <w:t>Issuance Date</w:t>
            </w:r>
          </w:p>
        </w:tc>
        <w:tc>
          <w:tcPr>
            <w:tcW w:w="181" w:type="pct"/>
            <w:tcBorders>
              <w:top w:val="nil"/>
              <w:left w:val="nil"/>
              <w:bottom w:val="nil"/>
              <w:right w:val="nil"/>
            </w:tcBorders>
          </w:tcPr>
          <w:p w14:paraId="63237C00" w14:textId="77777777" w:rsidR="00393B19" w:rsidRDefault="00393B19" w:rsidP="00AA1E13">
            <w:pPr>
              <w:pStyle w:val="Tablecellentry"/>
              <w:jc w:val="center"/>
            </w:pPr>
          </w:p>
        </w:tc>
        <w:tc>
          <w:tcPr>
            <w:tcW w:w="1304" w:type="pct"/>
            <w:tcBorders>
              <w:left w:val="nil"/>
              <w:bottom w:val="nil"/>
              <w:right w:val="nil"/>
            </w:tcBorders>
          </w:tcPr>
          <w:p w14:paraId="1334CF9F" w14:textId="049E0530" w:rsidR="00393B19" w:rsidRDefault="00393B19" w:rsidP="00AA1E13">
            <w:pPr>
              <w:pStyle w:val="Tablecellentry"/>
              <w:jc w:val="center"/>
            </w:pPr>
            <w:r>
              <w:t xml:space="preserve">Effective Date </w:t>
            </w:r>
          </w:p>
        </w:tc>
      </w:tr>
    </w:tbl>
    <w:p w14:paraId="56C6E579" w14:textId="77777777" w:rsidR="003301D6" w:rsidRDefault="003301D6" w:rsidP="00117345">
      <w:pPr>
        <w:pBdr>
          <w:bottom w:val="double" w:sz="4" w:space="1" w:color="auto"/>
        </w:pBdr>
        <w:tabs>
          <w:tab w:val="left" w:pos="-720"/>
        </w:tabs>
        <w:suppressAutoHyphens/>
        <w:rPr>
          <w:u w:val="single"/>
        </w:rPr>
      </w:pPr>
      <w:bookmarkStart w:id="12" w:name="bmSignBlock"/>
      <w:bookmarkEnd w:id="12"/>
    </w:p>
    <w:p w14:paraId="5DED94A1" w14:textId="77777777" w:rsidR="00233394" w:rsidRPr="003456D4" w:rsidRDefault="00233394">
      <w:pPr>
        <w:tabs>
          <w:tab w:val="center" w:pos="5256"/>
        </w:tabs>
        <w:suppressAutoHyphens/>
        <w:rPr>
          <w:sz w:val="12"/>
          <w:szCs w:val="10"/>
        </w:rPr>
      </w:pPr>
    </w:p>
    <w:p w14:paraId="7E6BD0FB" w14:textId="75FF23B2" w:rsidR="00233394" w:rsidRDefault="00073356">
      <w:pPr>
        <w:pStyle w:val="TableColumnHeading"/>
      </w:pPr>
      <w:r>
        <w:t>PERMITTED ACTIVITIES</w:t>
      </w:r>
    </w:p>
    <w:p w14:paraId="0B19FFAE" w14:textId="18819295" w:rsidR="00233394" w:rsidRDefault="00073356">
      <w:pPr>
        <w:pStyle w:val="PermitNormal"/>
      </w:pPr>
      <w:r>
        <w:t xml:space="preserve">Until this permit expires or is modified or revoked, the permittee is authorized to: 1) operate a wastewater collection, treatment, control and disposal system; and 2) discharge treated wastewater to waters of the state only from the authorized discharge point or points in </w:t>
      </w:r>
      <w:hyperlink w:anchor="ScheduleA" w:history="1">
        <w:r>
          <w:rPr>
            <w:rStyle w:val="Hyperlink"/>
            <w:color w:val="auto"/>
          </w:rPr>
          <w:t>Schedule A</w:t>
        </w:r>
      </w:hyperlink>
      <w:r>
        <w:t xml:space="preserve"> in conformance with the requirements, limits, and conditions set forth in this permit. </w:t>
      </w:r>
    </w:p>
    <w:p w14:paraId="7F727599" w14:textId="77777777" w:rsidR="00233394" w:rsidRDefault="00233394">
      <w:pPr>
        <w:pStyle w:val="PermitNormal"/>
      </w:pPr>
    </w:p>
    <w:p w14:paraId="1E3E2357" w14:textId="46161293" w:rsidR="00233394" w:rsidRDefault="00073356" w:rsidP="00393B19">
      <w:pPr>
        <w:pStyle w:val="PermitNormal"/>
        <w:rPr>
          <w:snapToGrid w:val="0"/>
        </w:rPr>
      </w:pPr>
      <w:r>
        <w:rPr>
          <w:snapToGrid w:val="0"/>
        </w:rPr>
        <w:t>Unless specifically authorized by this permit, by another NPDES</w:t>
      </w:r>
      <w:r w:rsidR="00BE06D0">
        <w:rPr>
          <w:snapToGrid w:val="0"/>
        </w:rPr>
        <w:t xml:space="preserve"> or W</w:t>
      </w:r>
      <w:r w:rsidR="00066CBD">
        <w:rPr>
          <w:snapToGrid w:val="0"/>
        </w:rPr>
        <w:t xml:space="preserve">ater </w:t>
      </w:r>
      <w:r w:rsidR="00BE06D0">
        <w:rPr>
          <w:snapToGrid w:val="0"/>
        </w:rPr>
        <w:t>P</w:t>
      </w:r>
      <w:r w:rsidR="00EC1802">
        <w:rPr>
          <w:snapToGrid w:val="0"/>
        </w:rPr>
        <w:t>ollution</w:t>
      </w:r>
      <w:r w:rsidR="00066CBD">
        <w:rPr>
          <w:snapToGrid w:val="0"/>
        </w:rPr>
        <w:t xml:space="preserve"> </w:t>
      </w:r>
      <w:r w:rsidR="00BE06D0">
        <w:rPr>
          <w:snapToGrid w:val="0"/>
        </w:rPr>
        <w:t>C</w:t>
      </w:r>
      <w:r w:rsidR="00066CBD">
        <w:rPr>
          <w:snapToGrid w:val="0"/>
        </w:rPr>
        <w:t xml:space="preserve">ontrol </w:t>
      </w:r>
      <w:r w:rsidR="00BE06D0">
        <w:rPr>
          <w:snapToGrid w:val="0"/>
        </w:rPr>
        <w:t>F</w:t>
      </w:r>
      <w:r w:rsidR="00066CBD">
        <w:rPr>
          <w:snapToGrid w:val="0"/>
        </w:rPr>
        <w:t>acility</w:t>
      </w:r>
      <w:r>
        <w:rPr>
          <w:snapToGrid w:val="0"/>
        </w:rPr>
        <w:t xml:space="preserve"> permit, or by Oregon statute or administrative rule, any other direct or indirect discharge of pollutants to waters of the state is prohibited.</w:t>
      </w:r>
      <w:r>
        <w:rPr>
          <w:snapToGrid w:val="0"/>
        </w:rPr>
        <w:br w:type="column"/>
      </w:r>
      <w:r w:rsidRPr="00C20008">
        <w:rPr>
          <w:rFonts w:ascii="Arial" w:hAnsi="Arial" w:cs="Arial"/>
          <w:b/>
          <w:snapToGrid w:val="0"/>
          <w:sz w:val="28"/>
          <w:szCs w:val="28"/>
        </w:rPr>
        <w:lastRenderedPageBreak/>
        <w:t>TABLE OF CONTENTS</w:t>
      </w:r>
    </w:p>
    <w:p w14:paraId="356EC126" w14:textId="2E82C954" w:rsidR="009D5D7E" w:rsidRDefault="006546C9">
      <w:pPr>
        <w:pStyle w:val="TOC1"/>
        <w:rPr>
          <w:rFonts w:asciiTheme="minorHAnsi" w:eastAsiaTheme="minorEastAsia" w:hAnsiTheme="minorHAnsi" w:cstheme="minorBidi"/>
          <w:b w:val="0"/>
          <w:noProof/>
          <w:kern w:val="2"/>
          <w:sz w:val="24"/>
          <w:szCs w:val="24"/>
          <w:lang w:val="en-US"/>
          <w14:ligatures w14:val="standardContextual"/>
        </w:rPr>
      </w:pPr>
      <w:r>
        <w:fldChar w:fldCharType="begin"/>
      </w:r>
      <w:r>
        <w:instrText xml:space="preserve"> TOC \h \z \t "Permit Hanging 1 (TOC),2,Permit Sch Heading (TOC),1" </w:instrText>
      </w:r>
      <w:r>
        <w:fldChar w:fldCharType="separate"/>
      </w:r>
      <w:hyperlink w:anchor="_Toc203135888" w:history="1">
        <w:r w:rsidR="009D5D7E" w:rsidRPr="007C11D6">
          <w:rPr>
            <w:rStyle w:val="Hyperlink"/>
            <w:noProof/>
          </w:rPr>
          <w:t>SCHEDULE A: WASTE DISCHARGE LIMITS</w:t>
        </w:r>
        <w:r w:rsidR="009D5D7E">
          <w:rPr>
            <w:noProof/>
            <w:webHidden/>
          </w:rPr>
          <w:tab/>
        </w:r>
        <w:r w:rsidR="009D5D7E">
          <w:rPr>
            <w:noProof/>
            <w:webHidden/>
          </w:rPr>
          <w:fldChar w:fldCharType="begin"/>
        </w:r>
        <w:r w:rsidR="009D5D7E">
          <w:rPr>
            <w:noProof/>
            <w:webHidden/>
          </w:rPr>
          <w:instrText xml:space="preserve"> PAGEREF _Toc203135888 \h </w:instrText>
        </w:r>
        <w:r w:rsidR="009D5D7E">
          <w:rPr>
            <w:noProof/>
            <w:webHidden/>
          </w:rPr>
        </w:r>
        <w:r w:rsidR="009D5D7E">
          <w:rPr>
            <w:noProof/>
            <w:webHidden/>
          </w:rPr>
          <w:fldChar w:fldCharType="separate"/>
        </w:r>
        <w:r w:rsidR="009D5D7E">
          <w:rPr>
            <w:noProof/>
            <w:webHidden/>
          </w:rPr>
          <w:t>4</w:t>
        </w:r>
        <w:r w:rsidR="009D5D7E">
          <w:rPr>
            <w:noProof/>
            <w:webHidden/>
          </w:rPr>
          <w:fldChar w:fldCharType="end"/>
        </w:r>
      </w:hyperlink>
    </w:p>
    <w:p w14:paraId="74F49802" w14:textId="5BD54212"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89" w:history="1">
        <w:r w:rsidR="009D5D7E" w:rsidRPr="007C11D6">
          <w:rPr>
            <w:rStyle w:val="Hyperlink"/>
            <w:noProof/>
          </w:rPr>
          <w:t>1.</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Outfall 001 – Permit Limits</w:t>
        </w:r>
        <w:r w:rsidR="009D5D7E">
          <w:rPr>
            <w:noProof/>
            <w:webHidden/>
          </w:rPr>
          <w:tab/>
        </w:r>
        <w:r w:rsidR="009D5D7E">
          <w:rPr>
            <w:noProof/>
            <w:webHidden/>
          </w:rPr>
          <w:fldChar w:fldCharType="begin"/>
        </w:r>
        <w:r w:rsidR="009D5D7E">
          <w:rPr>
            <w:noProof/>
            <w:webHidden/>
          </w:rPr>
          <w:instrText xml:space="preserve"> PAGEREF _Toc203135889 \h </w:instrText>
        </w:r>
        <w:r w:rsidR="009D5D7E">
          <w:rPr>
            <w:noProof/>
            <w:webHidden/>
          </w:rPr>
        </w:r>
        <w:r w:rsidR="009D5D7E">
          <w:rPr>
            <w:noProof/>
            <w:webHidden/>
          </w:rPr>
          <w:fldChar w:fldCharType="separate"/>
        </w:r>
        <w:r w:rsidR="009D5D7E">
          <w:rPr>
            <w:noProof/>
            <w:webHidden/>
          </w:rPr>
          <w:t>4</w:t>
        </w:r>
        <w:r w:rsidR="009D5D7E">
          <w:rPr>
            <w:noProof/>
            <w:webHidden/>
          </w:rPr>
          <w:fldChar w:fldCharType="end"/>
        </w:r>
      </w:hyperlink>
    </w:p>
    <w:p w14:paraId="66787052" w14:textId="4FF73FBF"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0" w:history="1">
        <w:r w:rsidR="009D5D7E" w:rsidRPr="007C11D6">
          <w:rPr>
            <w:rStyle w:val="Hyperlink"/>
            <w:noProof/>
          </w:rPr>
          <w:t>2.</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Regulatory Mixing Zone</w:t>
        </w:r>
        <w:r w:rsidR="009D5D7E">
          <w:rPr>
            <w:noProof/>
            <w:webHidden/>
          </w:rPr>
          <w:tab/>
        </w:r>
        <w:r w:rsidR="009D5D7E">
          <w:rPr>
            <w:noProof/>
            <w:webHidden/>
          </w:rPr>
          <w:fldChar w:fldCharType="begin"/>
        </w:r>
        <w:r w:rsidR="009D5D7E">
          <w:rPr>
            <w:noProof/>
            <w:webHidden/>
          </w:rPr>
          <w:instrText xml:space="preserve"> PAGEREF _Toc203135890 \h </w:instrText>
        </w:r>
        <w:r w:rsidR="009D5D7E">
          <w:rPr>
            <w:noProof/>
            <w:webHidden/>
          </w:rPr>
        </w:r>
        <w:r w:rsidR="009D5D7E">
          <w:rPr>
            <w:noProof/>
            <w:webHidden/>
          </w:rPr>
          <w:fldChar w:fldCharType="separate"/>
        </w:r>
        <w:r w:rsidR="009D5D7E">
          <w:rPr>
            <w:noProof/>
            <w:webHidden/>
          </w:rPr>
          <w:t>6</w:t>
        </w:r>
        <w:r w:rsidR="009D5D7E">
          <w:rPr>
            <w:noProof/>
            <w:webHidden/>
          </w:rPr>
          <w:fldChar w:fldCharType="end"/>
        </w:r>
      </w:hyperlink>
    </w:p>
    <w:p w14:paraId="3579F3B3" w14:textId="3EDFFDE4"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1" w:history="1">
        <w:r w:rsidR="009D5D7E" w:rsidRPr="007C11D6">
          <w:rPr>
            <w:rStyle w:val="Hyperlink"/>
            <w:noProof/>
          </w:rPr>
          <w:t>3.</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Use of Recycled Water</w:t>
        </w:r>
        <w:r w:rsidR="009D5D7E">
          <w:rPr>
            <w:noProof/>
            <w:webHidden/>
          </w:rPr>
          <w:tab/>
        </w:r>
        <w:r w:rsidR="009D5D7E">
          <w:rPr>
            <w:noProof/>
            <w:webHidden/>
          </w:rPr>
          <w:fldChar w:fldCharType="begin"/>
        </w:r>
        <w:r w:rsidR="009D5D7E">
          <w:rPr>
            <w:noProof/>
            <w:webHidden/>
          </w:rPr>
          <w:instrText xml:space="preserve"> PAGEREF _Toc203135891 \h </w:instrText>
        </w:r>
        <w:r w:rsidR="009D5D7E">
          <w:rPr>
            <w:noProof/>
            <w:webHidden/>
          </w:rPr>
        </w:r>
        <w:r w:rsidR="009D5D7E">
          <w:rPr>
            <w:noProof/>
            <w:webHidden/>
          </w:rPr>
          <w:fldChar w:fldCharType="separate"/>
        </w:r>
        <w:r w:rsidR="009D5D7E">
          <w:rPr>
            <w:noProof/>
            <w:webHidden/>
          </w:rPr>
          <w:t>6</w:t>
        </w:r>
        <w:r w:rsidR="009D5D7E">
          <w:rPr>
            <w:noProof/>
            <w:webHidden/>
          </w:rPr>
          <w:fldChar w:fldCharType="end"/>
        </w:r>
      </w:hyperlink>
    </w:p>
    <w:p w14:paraId="2286E1D0" w14:textId="35192F52"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2" w:history="1">
        <w:r w:rsidR="009D5D7E" w:rsidRPr="007C11D6">
          <w:rPr>
            <w:rStyle w:val="Hyperlink"/>
            <w:noProof/>
          </w:rPr>
          <w:t>4.</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Biosolids</w:t>
        </w:r>
        <w:r w:rsidR="009D5D7E">
          <w:rPr>
            <w:noProof/>
            <w:webHidden/>
          </w:rPr>
          <w:tab/>
        </w:r>
        <w:r w:rsidR="009D5D7E">
          <w:rPr>
            <w:noProof/>
            <w:webHidden/>
          </w:rPr>
          <w:fldChar w:fldCharType="begin"/>
        </w:r>
        <w:r w:rsidR="009D5D7E">
          <w:rPr>
            <w:noProof/>
            <w:webHidden/>
          </w:rPr>
          <w:instrText xml:space="preserve"> PAGEREF _Toc203135892 \h </w:instrText>
        </w:r>
        <w:r w:rsidR="009D5D7E">
          <w:rPr>
            <w:noProof/>
            <w:webHidden/>
          </w:rPr>
        </w:r>
        <w:r w:rsidR="009D5D7E">
          <w:rPr>
            <w:noProof/>
            <w:webHidden/>
          </w:rPr>
          <w:fldChar w:fldCharType="separate"/>
        </w:r>
        <w:r w:rsidR="009D5D7E">
          <w:rPr>
            <w:noProof/>
            <w:webHidden/>
          </w:rPr>
          <w:t>8</w:t>
        </w:r>
        <w:r w:rsidR="009D5D7E">
          <w:rPr>
            <w:noProof/>
            <w:webHidden/>
          </w:rPr>
          <w:fldChar w:fldCharType="end"/>
        </w:r>
      </w:hyperlink>
    </w:p>
    <w:p w14:paraId="2B919C7D" w14:textId="4C224C0D"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3" w:history="1">
        <w:r w:rsidR="009D5D7E" w:rsidRPr="007C11D6">
          <w:rPr>
            <w:rStyle w:val="Hyperlink"/>
            <w:noProof/>
          </w:rPr>
          <w:t>5.</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Chlorine Usage</w:t>
        </w:r>
        <w:r w:rsidR="009D5D7E">
          <w:rPr>
            <w:noProof/>
            <w:webHidden/>
          </w:rPr>
          <w:tab/>
        </w:r>
        <w:r w:rsidR="009D5D7E">
          <w:rPr>
            <w:noProof/>
            <w:webHidden/>
          </w:rPr>
          <w:fldChar w:fldCharType="begin"/>
        </w:r>
        <w:r w:rsidR="009D5D7E">
          <w:rPr>
            <w:noProof/>
            <w:webHidden/>
          </w:rPr>
          <w:instrText xml:space="preserve"> PAGEREF _Toc203135893 \h </w:instrText>
        </w:r>
        <w:r w:rsidR="009D5D7E">
          <w:rPr>
            <w:noProof/>
            <w:webHidden/>
          </w:rPr>
        </w:r>
        <w:r w:rsidR="009D5D7E">
          <w:rPr>
            <w:noProof/>
            <w:webHidden/>
          </w:rPr>
          <w:fldChar w:fldCharType="separate"/>
        </w:r>
        <w:r w:rsidR="009D5D7E">
          <w:rPr>
            <w:noProof/>
            <w:webHidden/>
          </w:rPr>
          <w:t>9</w:t>
        </w:r>
        <w:r w:rsidR="009D5D7E">
          <w:rPr>
            <w:noProof/>
            <w:webHidden/>
          </w:rPr>
          <w:fldChar w:fldCharType="end"/>
        </w:r>
      </w:hyperlink>
    </w:p>
    <w:p w14:paraId="0C2D3C88" w14:textId="0A47EDCC" w:rsidR="009D5D7E" w:rsidRDefault="00000000">
      <w:pPr>
        <w:pStyle w:val="TOC1"/>
        <w:rPr>
          <w:rFonts w:asciiTheme="minorHAnsi" w:eastAsiaTheme="minorEastAsia" w:hAnsiTheme="minorHAnsi" w:cstheme="minorBidi"/>
          <w:b w:val="0"/>
          <w:noProof/>
          <w:kern w:val="2"/>
          <w:sz w:val="24"/>
          <w:szCs w:val="24"/>
          <w:lang w:val="en-US"/>
          <w14:ligatures w14:val="standardContextual"/>
        </w:rPr>
      </w:pPr>
      <w:hyperlink w:anchor="_Toc203135894" w:history="1">
        <w:r w:rsidR="009D5D7E" w:rsidRPr="007C11D6">
          <w:rPr>
            <w:rStyle w:val="Hyperlink"/>
            <w:noProof/>
          </w:rPr>
          <w:t>SCHEDULE B: MINIMUM MONITORING AND REPORTING REQUIREMENTS</w:t>
        </w:r>
        <w:r w:rsidR="009D5D7E">
          <w:rPr>
            <w:noProof/>
            <w:webHidden/>
          </w:rPr>
          <w:tab/>
        </w:r>
        <w:r w:rsidR="009D5D7E">
          <w:rPr>
            <w:noProof/>
            <w:webHidden/>
          </w:rPr>
          <w:fldChar w:fldCharType="begin"/>
        </w:r>
        <w:r w:rsidR="009D5D7E">
          <w:rPr>
            <w:noProof/>
            <w:webHidden/>
          </w:rPr>
          <w:instrText xml:space="preserve"> PAGEREF _Toc203135894 \h </w:instrText>
        </w:r>
        <w:r w:rsidR="009D5D7E">
          <w:rPr>
            <w:noProof/>
            <w:webHidden/>
          </w:rPr>
        </w:r>
        <w:r w:rsidR="009D5D7E">
          <w:rPr>
            <w:noProof/>
            <w:webHidden/>
          </w:rPr>
          <w:fldChar w:fldCharType="separate"/>
        </w:r>
        <w:r w:rsidR="009D5D7E">
          <w:rPr>
            <w:noProof/>
            <w:webHidden/>
          </w:rPr>
          <w:t>10</w:t>
        </w:r>
        <w:r w:rsidR="009D5D7E">
          <w:rPr>
            <w:noProof/>
            <w:webHidden/>
          </w:rPr>
          <w:fldChar w:fldCharType="end"/>
        </w:r>
      </w:hyperlink>
    </w:p>
    <w:p w14:paraId="3E77EE12" w14:textId="5C7810E8"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5" w:history="1">
        <w:r w:rsidR="009D5D7E" w:rsidRPr="007C11D6">
          <w:rPr>
            <w:rStyle w:val="Hyperlink"/>
            <w:noProof/>
          </w:rPr>
          <w:t>1.</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Reporting Requirements</w:t>
        </w:r>
        <w:r w:rsidR="009D5D7E">
          <w:rPr>
            <w:noProof/>
            <w:webHidden/>
          </w:rPr>
          <w:tab/>
        </w:r>
        <w:r w:rsidR="009D5D7E">
          <w:rPr>
            <w:noProof/>
            <w:webHidden/>
          </w:rPr>
          <w:fldChar w:fldCharType="begin"/>
        </w:r>
        <w:r w:rsidR="009D5D7E">
          <w:rPr>
            <w:noProof/>
            <w:webHidden/>
          </w:rPr>
          <w:instrText xml:space="preserve"> PAGEREF _Toc203135895 \h </w:instrText>
        </w:r>
        <w:r w:rsidR="009D5D7E">
          <w:rPr>
            <w:noProof/>
            <w:webHidden/>
          </w:rPr>
        </w:r>
        <w:r w:rsidR="009D5D7E">
          <w:rPr>
            <w:noProof/>
            <w:webHidden/>
          </w:rPr>
          <w:fldChar w:fldCharType="separate"/>
        </w:r>
        <w:r w:rsidR="009D5D7E">
          <w:rPr>
            <w:noProof/>
            <w:webHidden/>
          </w:rPr>
          <w:t>10</w:t>
        </w:r>
        <w:r w:rsidR="009D5D7E">
          <w:rPr>
            <w:noProof/>
            <w:webHidden/>
          </w:rPr>
          <w:fldChar w:fldCharType="end"/>
        </w:r>
      </w:hyperlink>
    </w:p>
    <w:p w14:paraId="19F4F904" w14:textId="2CB6C46D"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6" w:history="1">
        <w:r w:rsidR="009D5D7E" w:rsidRPr="007C11D6">
          <w:rPr>
            <w:rStyle w:val="Hyperlink"/>
            <w:noProof/>
          </w:rPr>
          <w:t>2.</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Monitoring and Reporting Protocols</w:t>
        </w:r>
        <w:r w:rsidR="009D5D7E">
          <w:rPr>
            <w:noProof/>
            <w:webHidden/>
          </w:rPr>
          <w:tab/>
        </w:r>
        <w:r w:rsidR="009D5D7E">
          <w:rPr>
            <w:noProof/>
            <w:webHidden/>
          </w:rPr>
          <w:fldChar w:fldCharType="begin"/>
        </w:r>
        <w:r w:rsidR="009D5D7E">
          <w:rPr>
            <w:noProof/>
            <w:webHidden/>
          </w:rPr>
          <w:instrText xml:space="preserve"> PAGEREF _Toc203135896 \h </w:instrText>
        </w:r>
        <w:r w:rsidR="009D5D7E">
          <w:rPr>
            <w:noProof/>
            <w:webHidden/>
          </w:rPr>
        </w:r>
        <w:r w:rsidR="009D5D7E">
          <w:rPr>
            <w:noProof/>
            <w:webHidden/>
          </w:rPr>
          <w:fldChar w:fldCharType="separate"/>
        </w:r>
        <w:r w:rsidR="009D5D7E">
          <w:rPr>
            <w:noProof/>
            <w:webHidden/>
          </w:rPr>
          <w:t>12</w:t>
        </w:r>
        <w:r w:rsidR="009D5D7E">
          <w:rPr>
            <w:noProof/>
            <w:webHidden/>
          </w:rPr>
          <w:fldChar w:fldCharType="end"/>
        </w:r>
      </w:hyperlink>
    </w:p>
    <w:p w14:paraId="6601C513" w14:textId="6DA8F9C4"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7" w:history="1">
        <w:r w:rsidR="009D5D7E" w:rsidRPr="007C11D6">
          <w:rPr>
            <w:rStyle w:val="Hyperlink"/>
            <w:noProof/>
          </w:rPr>
          <w:t>3.</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Monitoring and Reporting Requirements</w:t>
        </w:r>
        <w:r w:rsidR="009D5D7E">
          <w:rPr>
            <w:noProof/>
            <w:webHidden/>
          </w:rPr>
          <w:tab/>
        </w:r>
        <w:r w:rsidR="009D5D7E">
          <w:rPr>
            <w:noProof/>
            <w:webHidden/>
          </w:rPr>
          <w:fldChar w:fldCharType="begin"/>
        </w:r>
        <w:r w:rsidR="009D5D7E">
          <w:rPr>
            <w:noProof/>
            <w:webHidden/>
          </w:rPr>
          <w:instrText xml:space="preserve"> PAGEREF _Toc203135897 \h </w:instrText>
        </w:r>
        <w:r w:rsidR="009D5D7E">
          <w:rPr>
            <w:noProof/>
            <w:webHidden/>
          </w:rPr>
        </w:r>
        <w:r w:rsidR="009D5D7E">
          <w:rPr>
            <w:noProof/>
            <w:webHidden/>
          </w:rPr>
          <w:fldChar w:fldCharType="separate"/>
        </w:r>
        <w:r w:rsidR="009D5D7E">
          <w:rPr>
            <w:noProof/>
            <w:webHidden/>
          </w:rPr>
          <w:t>15</w:t>
        </w:r>
        <w:r w:rsidR="009D5D7E">
          <w:rPr>
            <w:noProof/>
            <w:webHidden/>
          </w:rPr>
          <w:fldChar w:fldCharType="end"/>
        </w:r>
      </w:hyperlink>
    </w:p>
    <w:p w14:paraId="6CF253B3" w14:textId="48026712"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8" w:history="1">
        <w:r w:rsidR="009D5D7E" w:rsidRPr="007C11D6">
          <w:rPr>
            <w:rStyle w:val="Hyperlink"/>
            <w:noProof/>
          </w:rPr>
          <w:t>4.</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 xml:space="preserve">Recycled Water Monitoring Requirements: Outfall </w:t>
        </w:r>
        <w:r w:rsidR="009D5D7E" w:rsidRPr="007C11D6">
          <w:rPr>
            <w:rStyle w:val="Hyperlink"/>
            <w:noProof/>
            <w:highlight w:val="yellow"/>
          </w:rPr>
          <w:t>00?</w:t>
        </w:r>
        <w:r w:rsidR="009D5D7E">
          <w:rPr>
            <w:noProof/>
            <w:webHidden/>
          </w:rPr>
          <w:tab/>
        </w:r>
        <w:r w:rsidR="009D5D7E">
          <w:rPr>
            <w:noProof/>
            <w:webHidden/>
          </w:rPr>
          <w:fldChar w:fldCharType="begin"/>
        </w:r>
        <w:r w:rsidR="009D5D7E">
          <w:rPr>
            <w:noProof/>
            <w:webHidden/>
          </w:rPr>
          <w:instrText xml:space="preserve"> PAGEREF _Toc203135898 \h </w:instrText>
        </w:r>
        <w:r w:rsidR="009D5D7E">
          <w:rPr>
            <w:noProof/>
            <w:webHidden/>
          </w:rPr>
        </w:r>
        <w:r w:rsidR="009D5D7E">
          <w:rPr>
            <w:noProof/>
            <w:webHidden/>
          </w:rPr>
          <w:fldChar w:fldCharType="separate"/>
        </w:r>
        <w:r w:rsidR="009D5D7E">
          <w:rPr>
            <w:noProof/>
            <w:webHidden/>
          </w:rPr>
          <w:t>23</w:t>
        </w:r>
        <w:r w:rsidR="009D5D7E">
          <w:rPr>
            <w:noProof/>
            <w:webHidden/>
          </w:rPr>
          <w:fldChar w:fldCharType="end"/>
        </w:r>
      </w:hyperlink>
    </w:p>
    <w:p w14:paraId="2781E627" w14:textId="68CD87FE"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899" w:history="1">
        <w:r w:rsidR="009D5D7E" w:rsidRPr="007C11D6">
          <w:rPr>
            <w:rStyle w:val="Hyperlink"/>
            <w:noProof/>
          </w:rPr>
          <w:t>5.</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Biosolids Monitoring Requirements</w:t>
        </w:r>
        <w:r w:rsidR="009D5D7E">
          <w:rPr>
            <w:noProof/>
            <w:webHidden/>
          </w:rPr>
          <w:tab/>
        </w:r>
        <w:r w:rsidR="009D5D7E">
          <w:rPr>
            <w:noProof/>
            <w:webHidden/>
          </w:rPr>
          <w:fldChar w:fldCharType="begin"/>
        </w:r>
        <w:r w:rsidR="009D5D7E">
          <w:rPr>
            <w:noProof/>
            <w:webHidden/>
          </w:rPr>
          <w:instrText xml:space="preserve"> PAGEREF _Toc203135899 \h </w:instrText>
        </w:r>
        <w:r w:rsidR="009D5D7E">
          <w:rPr>
            <w:noProof/>
            <w:webHidden/>
          </w:rPr>
        </w:r>
        <w:r w:rsidR="009D5D7E">
          <w:rPr>
            <w:noProof/>
            <w:webHidden/>
          </w:rPr>
          <w:fldChar w:fldCharType="separate"/>
        </w:r>
        <w:r w:rsidR="009D5D7E">
          <w:rPr>
            <w:noProof/>
            <w:webHidden/>
          </w:rPr>
          <w:t>24</w:t>
        </w:r>
        <w:r w:rsidR="009D5D7E">
          <w:rPr>
            <w:noProof/>
            <w:webHidden/>
          </w:rPr>
          <w:fldChar w:fldCharType="end"/>
        </w:r>
      </w:hyperlink>
    </w:p>
    <w:p w14:paraId="3D671DD7" w14:textId="7BCF5373" w:rsidR="009D5D7E" w:rsidRDefault="00000000">
      <w:pPr>
        <w:pStyle w:val="TOC1"/>
        <w:rPr>
          <w:rFonts w:asciiTheme="minorHAnsi" w:eastAsiaTheme="minorEastAsia" w:hAnsiTheme="minorHAnsi" w:cstheme="minorBidi"/>
          <w:b w:val="0"/>
          <w:noProof/>
          <w:kern w:val="2"/>
          <w:sz w:val="24"/>
          <w:szCs w:val="24"/>
          <w:lang w:val="en-US"/>
          <w14:ligatures w14:val="standardContextual"/>
        </w:rPr>
      </w:pPr>
      <w:hyperlink w:anchor="_Toc203135900" w:history="1">
        <w:r w:rsidR="009D5D7E" w:rsidRPr="007C11D6">
          <w:rPr>
            <w:rStyle w:val="Hyperlink"/>
            <w:noProof/>
          </w:rPr>
          <w:t>SCHEDULE C: COMPLIANCE SCHEDULE</w:t>
        </w:r>
        <w:r w:rsidR="009D5D7E">
          <w:rPr>
            <w:noProof/>
            <w:webHidden/>
          </w:rPr>
          <w:tab/>
        </w:r>
        <w:r w:rsidR="009D5D7E">
          <w:rPr>
            <w:noProof/>
            <w:webHidden/>
          </w:rPr>
          <w:fldChar w:fldCharType="begin"/>
        </w:r>
        <w:r w:rsidR="009D5D7E">
          <w:rPr>
            <w:noProof/>
            <w:webHidden/>
          </w:rPr>
          <w:instrText xml:space="preserve"> PAGEREF _Toc203135900 \h </w:instrText>
        </w:r>
        <w:r w:rsidR="009D5D7E">
          <w:rPr>
            <w:noProof/>
            <w:webHidden/>
          </w:rPr>
        </w:r>
        <w:r w:rsidR="009D5D7E">
          <w:rPr>
            <w:noProof/>
            <w:webHidden/>
          </w:rPr>
          <w:fldChar w:fldCharType="separate"/>
        </w:r>
        <w:r w:rsidR="009D5D7E">
          <w:rPr>
            <w:noProof/>
            <w:webHidden/>
          </w:rPr>
          <w:t>26</w:t>
        </w:r>
        <w:r w:rsidR="009D5D7E">
          <w:rPr>
            <w:noProof/>
            <w:webHidden/>
          </w:rPr>
          <w:fldChar w:fldCharType="end"/>
        </w:r>
      </w:hyperlink>
    </w:p>
    <w:p w14:paraId="37F0995F" w14:textId="651F8EC1"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1" w:history="1">
        <w:r w:rsidR="009D5D7E" w:rsidRPr="007C11D6">
          <w:rPr>
            <w:rStyle w:val="Hyperlink"/>
            <w:noProof/>
          </w:rPr>
          <w:t>1.</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Compliance Schedule to Meet Final Effluent Limits</w:t>
        </w:r>
        <w:r w:rsidR="009D5D7E">
          <w:rPr>
            <w:noProof/>
            <w:webHidden/>
          </w:rPr>
          <w:tab/>
        </w:r>
        <w:r w:rsidR="009D5D7E">
          <w:rPr>
            <w:noProof/>
            <w:webHidden/>
          </w:rPr>
          <w:fldChar w:fldCharType="begin"/>
        </w:r>
        <w:r w:rsidR="009D5D7E">
          <w:rPr>
            <w:noProof/>
            <w:webHidden/>
          </w:rPr>
          <w:instrText xml:space="preserve"> PAGEREF _Toc203135901 \h </w:instrText>
        </w:r>
        <w:r w:rsidR="009D5D7E">
          <w:rPr>
            <w:noProof/>
            <w:webHidden/>
          </w:rPr>
        </w:r>
        <w:r w:rsidR="009D5D7E">
          <w:rPr>
            <w:noProof/>
            <w:webHidden/>
          </w:rPr>
          <w:fldChar w:fldCharType="separate"/>
        </w:r>
        <w:r w:rsidR="009D5D7E">
          <w:rPr>
            <w:noProof/>
            <w:webHidden/>
          </w:rPr>
          <w:t>26</w:t>
        </w:r>
        <w:r w:rsidR="009D5D7E">
          <w:rPr>
            <w:noProof/>
            <w:webHidden/>
          </w:rPr>
          <w:fldChar w:fldCharType="end"/>
        </w:r>
      </w:hyperlink>
    </w:p>
    <w:p w14:paraId="2438AA4E" w14:textId="2DEE5A1D"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2" w:history="1">
        <w:r w:rsidR="009D5D7E" w:rsidRPr="007C11D6">
          <w:rPr>
            <w:rStyle w:val="Hyperlink"/>
            <w:noProof/>
          </w:rPr>
          <w:t>2.</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Responsibility to Meet Compliance Dates</w:t>
        </w:r>
        <w:r w:rsidR="009D5D7E">
          <w:rPr>
            <w:noProof/>
            <w:webHidden/>
          </w:rPr>
          <w:tab/>
        </w:r>
        <w:r w:rsidR="009D5D7E">
          <w:rPr>
            <w:noProof/>
            <w:webHidden/>
          </w:rPr>
          <w:fldChar w:fldCharType="begin"/>
        </w:r>
        <w:r w:rsidR="009D5D7E">
          <w:rPr>
            <w:noProof/>
            <w:webHidden/>
          </w:rPr>
          <w:instrText xml:space="preserve"> PAGEREF _Toc203135902 \h </w:instrText>
        </w:r>
        <w:r w:rsidR="009D5D7E">
          <w:rPr>
            <w:noProof/>
            <w:webHidden/>
          </w:rPr>
        </w:r>
        <w:r w:rsidR="009D5D7E">
          <w:rPr>
            <w:noProof/>
            <w:webHidden/>
          </w:rPr>
          <w:fldChar w:fldCharType="separate"/>
        </w:r>
        <w:r w:rsidR="009D5D7E">
          <w:rPr>
            <w:noProof/>
            <w:webHidden/>
          </w:rPr>
          <w:t>26</w:t>
        </w:r>
        <w:r w:rsidR="009D5D7E">
          <w:rPr>
            <w:noProof/>
            <w:webHidden/>
          </w:rPr>
          <w:fldChar w:fldCharType="end"/>
        </w:r>
      </w:hyperlink>
    </w:p>
    <w:p w14:paraId="2CEA2F2E" w14:textId="7A70287A"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3" w:history="1">
        <w:r w:rsidR="009D5D7E" w:rsidRPr="007C11D6">
          <w:rPr>
            <w:rStyle w:val="Hyperlink"/>
            <w:noProof/>
          </w:rPr>
          <w:t>1.</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Inflow Removal</w:t>
        </w:r>
        <w:r w:rsidR="009D5D7E">
          <w:rPr>
            <w:noProof/>
            <w:webHidden/>
          </w:rPr>
          <w:tab/>
        </w:r>
        <w:r w:rsidR="009D5D7E">
          <w:rPr>
            <w:noProof/>
            <w:webHidden/>
          </w:rPr>
          <w:fldChar w:fldCharType="begin"/>
        </w:r>
        <w:r w:rsidR="009D5D7E">
          <w:rPr>
            <w:noProof/>
            <w:webHidden/>
          </w:rPr>
          <w:instrText xml:space="preserve"> PAGEREF _Toc203135903 \h </w:instrText>
        </w:r>
        <w:r w:rsidR="009D5D7E">
          <w:rPr>
            <w:noProof/>
            <w:webHidden/>
          </w:rPr>
        </w:r>
        <w:r w:rsidR="009D5D7E">
          <w:rPr>
            <w:noProof/>
            <w:webHidden/>
          </w:rPr>
          <w:fldChar w:fldCharType="separate"/>
        </w:r>
        <w:r w:rsidR="009D5D7E">
          <w:rPr>
            <w:noProof/>
            <w:webHidden/>
          </w:rPr>
          <w:t>27</w:t>
        </w:r>
        <w:r w:rsidR="009D5D7E">
          <w:rPr>
            <w:noProof/>
            <w:webHidden/>
          </w:rPr>
          <w:fldChar w:fldCharType="end"/>
        </w:r>
      </w:hyperlink>
    </w:p>
    <w:p w14:paraId="2F20BE12" w14:textId="732ADC15"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4" w:history="1">
        <w:r w:rsidR="009D5D7E" w:rsidRPr="007C11D6">
          <w:rPr>
            <w:rStyle w:val="Hyperlink"/>
            <w:noProof/>
          </w:rPr>
          <w:t>2.</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Inflow and Infiltration</w:t>
        </w:r>
        <w:r w:rsidR="009D5D7E">
          <w:rPr>
            <w:noProof/>
            <w:webHidden/>
          </w:rPr>
          <w:tab/>
        </w:r>
        <w:r w:rsidR="009D5D7E">
          <w:rPr>
            <w:noProof/>
            <w:webHidden/>
          </w:rPr>
          <w:fldChar w:fldCharType="begin"/>
        </w:r>
        <w:r w:rsidR="009D5D7E">
          <w:rPr>
            <w:noProof/>
            <w:webHidden/>
          </w:rPr>
          <w:instrText xml:space="preserve"> PAGEREF _Toc203135904 \h </w:instrText>
        </w:r>
        <w:r w:rsidR="009D5D7E">
          <w:rPr>
            <w:noProof/>
            <w:webHidden/>
          </w:rPr>
        </w:r>
        <w:r w:rsidR="009D5D7E">
          <w:rPr>
            <w:noProof/>
            <w:webHidden/>
          </w:rPr>
          <w:fldChar w:fldCharType="separate"/>
        </w:r>
        <w:r w:rsidR="009D5D7E">
          <w:rPr>
            <w:noProof/>
            <w:webHidden/>
          </w:rPr>
          <w:t>27</w:t>
        </w:r>
        <w:r w:rsidR="009D5D7E">
          <w:rPr>
            <w:noProof/>
            <w:webHidden/>
          </w:rPr>
          <w:fldChar w:fldCharType="end"/>
        </w:r>
      </w:hyperlink>
    </w:p>
    <w:p w14:paraId="16288186" w14:textId="0482F191"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5" w:history="1">
        <w:r w:rsidR="009D5D7E" w:rsidRPr="007C11D6">
          <w:rPr>
            <w:rStyle w:val="Hyperlink"/>
            <w:noProof/>
          </w:rPr>
          <w:t>3.</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Mixing Zone Study</w:t>
        </w:r>
        <w:r w:rsidR="009D5D7E">
          <w:rPr>
            <w:noProof/>
            <w:webHidden/>
          </w:rPr>
          <w:tab/>
        </w:r>
        <w:r w:rsidR="009D5D7E">
          <w:rPr>
            <w:noProof/>
            <w:webHidden/>
          </w:rPr>
          <w:fldChar w:fldCharType="begin"/>
        </w:r>
        <w:r w:rsidR="009D5D7E">
          <w:rPr>
            <w:noProof/>
            <w:webHidden/>
          </w:rPr>
          <w:instrText xml:space="preserve"> PAGEREF _Toc203135905 \h </w:instrText>
        </w:r>
        <w:r w:rsidR="009D5D7E">
          <w:rPr>
            <w:noProof/>
            <w:webHidden/>
          </w:rPr>
        </w:r>
        <w:r w:rsidR="009D5D7E">
          <w:rPr>
            <w:noProof/>
            <w:webHidden/>
          </w:rPr>
          <w:fldChar w:fldCharType="separate"/>
        </w:r>
        <w:r w:rsidR="009D5D7E">
          <w:rPr>
            <w:noProof/>
            <w:webHidden/>
          </w:rPr>
          <w:t>28</w:t>
        </w:r>
        <w:r w:rsidR="009D5D7E">
          <w:rPr>
            <w:noProof/>
            <w:webHidden/>
          </w:rPr>
          <w:fldChar w:fldCharType="end"/>
        </w:r>
      </w:hyperlink>
    </w:p>
    <w:p w14:paraId="2AFDA203" w14:textId="16D31E70"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6" w:history="1">
        <w:r w:rsidR="009D5D7E" w:rsidRPr="007C11D6">
          <w:rPr>
            <w:rStyle w:val="Hyperlink"/>
            <w:noProof/>
          </w:rPr>
          <w:t>4.</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Emergency Response and Public Notification Plan</w:t>
        </w:r>
        <w:r w:rsidR="009D5D7E">
          <w:rPr>
            <w:noProof/>
            <w:webHidden/>
          </w:rPr>
          <w:tab/>
        </w:r>
        <w:r w:rsidR="009D5D7E">
          <w:rPr>
            <w:noProof/>
            <w:webHidden/>
          </w:rPr>
          <w:fldChar w:fldCharType="begin"/>
        </w:r>
        <w:r w:rsidR="009D5D7E">
          <w:rPr>
            <w:noProof/>
            <w:webHidden/>
          </w:rPr>
          <w:instrText xml:space="preserve"> PAGEREF _Toc203135906 \h </w:instrText>
        </w:r>
        <w:r w:rsidR="009D5D7E">
          <w:rPr>
            <w:noProof/>
            <w:webHidden/>
          </w:rPr>
        </w:r>
        <w:r w:rsidR="009D5D7E">
          <w:rPr>
            <w:noProof/>
            <w:webHidden/>
          </w:rPr>
          <w:fldChar w:fldCharType="separate"/>
        </w:r>
        <w:r w:rsidR="009D5D7E">
          <w:rPr>
            <w:noProof/>
            <w:webHidden/>
          </w:rPr>
          <w:t>28</w:t>
        </w:r>
        <w:r w:rsidR="009D5D7E">
          <w:rPr>
            <w:noProof/>
            <w:webHidden/>
          </w:rPr>
          <w:fldChar w:fldCharType="end"/>
        </w:r>
      </w:hyperlink>
    </w:p>
    <w:p w14:paraId="5F3D06A2" w14:textId="7F6B6D7D"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7" w:history="1">
        <w:r w:rsidR="009D5D7E" w:rsidRPr="007C11D6">
          <w:rPr>
            <w:rStyle w:val="Hyperlink"/>
            <w:noProof/>
          </w:rPr>
          <w:t>5.</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Recycled Water Use Plan</w:t>
        </w:r>
        <w:r w:rsidR="009D5D7E">
          <w:rPr>
            <w:noProof/>
            <w:webHidden/>
          </w:rPr>
          <w:tab/>
        </w:r>
        <w:r w:rsidR="009D5D7E">
          <w:rPr>
            <w:noProof/>
            <w:webHidden/>
          </w:rPr>
          <w:fldChar w:fldCharType="begin"/>
        </w:r>
        <w:r w:rsidR="009D5D7E">
          <w:rPr>
            <w:noProof/>
            <w:webHidden/>
          </w:rPr>
          <w:instrText xml:space="preserve"> PAGEREF _Toc203135907 \h </w:instrText>
        </w:r>
        <w:r w:rsidR="009D5D7E">
          <w:rPr>
            <w:noProof/>
            <w:webHidden/>
          </w:rPr>
        </w:r>
        <w:r w:rsidR="009D5D7E">
          <w:rPr>
            <w:noProof/>
            <w:webHidden/>
          </w:rPr>
          <w:fldChar w:fldCharType="separate"/>
        </w:r>
        <w:r w:rsidR="009D5D7E">
          <w:rPr>
            <w:noProof/>
            <w:webHidden/>
          </w:rPr>
          <w:t>28</w:t>
        </w:r>
        <w:r w:rsidR="009D5D7E">
          <w:rPr>
            <w:noProof/>
            <w:webHidden/>
          </w:rPr>
          <w:fldChar w:fldCharType="end"/>
        </w:r>
      </w:hyperlink>
    </w:p>
    <w:p w14:paraId="433461DF" w14:textId="24F275F2"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8" w:history="1">
        <w:r w:rsidR="009D5D7E" w:rsidRPr="007C11D6">
          <w:rPr>
            <w:rStyle w:val="Hyperlink"/>
            <w:noProof/>
          </w:rPr>
          <w:t>6.</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Exempt Wastewater Reuse at the Treatment System</w:t>
        </w:r>
        <w:r w:rsidR="009D5D7E">
          <w:rPr>
            <w:noProof/>
            <w:webHidden/>
          </w:rPr>
          <w:tab/>
        </w:r>
        <w:r w:rsidR="009D5D7E">
          <w:rPr>
            <w:noProof/>
            <w:webHidden/>
          </w:rPr>
          <w:fldChar w:fldCharType="begin"/>
        </w:r>
        <w:r w:rsidR="009D5D7E">
          <w:rPr>
            <w:noProof/>
            <w:webHidden/>
          </w:rPr>
          <w:instrText xml:space="preserve"> PAGEREF _Toc203135908 \h </w:instrText>
        </w:r>
        <w:r w:rsidR="009D5D7E">
          <w:rPr>
            <w:noProof/>
            <w:webHidden/>
          </w:rPr>
        </w:r>
        <w:r w:rsidR="009D5D7E">
          <w:rPr>
            <w:noProof/>
            <w:webHidden/>
          </w:rPr>
          <w:fldChar w:fldCharType="separate"/>
        </w:r>
        <w:r w:rsidR="009D5D7E">
          <w:rPr>
            <w:noProof/>
            <w:webHidden/>
          </w:rPr>
          <w:t>29</w:t>
        </w:r>
        <w:r w:rsidR="009D5D7E">
          <w:rPr>
            <w:noProof/>
            <w:webHidden/>
          </w:rPr>
          <w:fldChar w:fldCharType="end"/>
        </w:r>
      </w:hyperlink>
    </w:p>
    <w:p w14:paraId="4B9B8CDD" w14:textId="0FD4D70E"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09" w:history="1">
        <w:r w:rsidR="009D5D7E" w:rsidRPr="007C11D6">
          <w:rPr>
            <w:rStyle w:val="Hyperlink"/>
            <w:noProof/>
          </w:rPr>
          <w:t>7.</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Wastewater Solids Annual Report</w:t>
        </w:r>
        <w:r w:rsidR="009D5D7E">
          <w:rPr>
            <w:noProof/>
            <w:webHidden/>
          </w:rPr>
          <w:tab/>
        </w:r>
        <w:r w:rsidR="009D5D7E">
          <w:rPr>
            <w:noProof/>
            <w:webHidden/>
          </w:rPr>
          <w:fldChar w:fldCharType="begin"/>
        </w:r>
        <w:r w:rsidR="009D5D7E">
          <w:rPr>
            <w:noProof/>
            <w:webHidden/>
          </w:rPr>
          <w:instrText xml:space="preserve"> PAGEREF _Toc203135909 \h </w:instrText>
        </w:r>
        <w:r w:rsidR="009D5D7E">
          <w:rPr>
            <w:noProof/>
            <w:webHidden/>
          </w:rPr>
        </w:r>
        <w:r w:rsidR="009D5D7E">
          <w:rPr>
            <w:noProof/>
            <w:webHidden/>
          </w:rPr>
          <w:fldChar w:fldCharType="separate"/>
        </w:r>
        <w:r w:rsidR="009D5D7E">
          <w:rPr>
            <w:noProof/>
            <w:webHidden/>
          </w:rPr>
          <w:t>29</w:t>
        </w:r>
        <w:r w:rsidR="009D5D7E">
          <w:rPr>
            <w:noProof/>
            <w:webHidden/>
          </w:rPr>
          <w:fldChar w:fldCharType="end"/>
        </w:r>
      </w:hyperlink>
    </w:p>
    <w:p w14:paraId="2977E6DC" w14:textId="07607642"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0" w:history="1">
        <w:r w:rsidR="009D5D7E" w:rsidRPr="007C11D6">
          <w:rPr>
            <w:rStyle w:val="Hyperlink"/>
            <w:noProof/>
          </w:rPr>
          <w:t>8.</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Biosolids Management Plan</w:t>
        </w:r>
        <w:r w:rsidR="009D5D7E">
          <w:rPr>
            <w:noProof/>
            <w:webHidden/>
          </w:rPr>
          <w:tab/>
        </w:r>
        <w:r w:rsidR="009D5D7E">
          <w:rPr>
            <w:noProof/>
            <w:webHidden/>
          </w:rPr>
          <w:fldChar w:fldCharType="begin"/>
        </w:r>
        <w:r w:rsidR="009D5D7E">
          <w:rPr>
            <w:noProof/>
            <w:webHidden/>
          </w:rPr>
          <w:instrText xml:space="preserve"> PAGEREF _Toc203135910 \h </w:instrText>
        </w:r>
        <w:r w:rsidR="009D5D7E">
          <w:rPr>
            <w:noProof/>
            <w:webHidden/>
          </w:rPr>
        </w:r>
        <w:r w:rsidR="009D5D7E">
          <w:rPr>
            <w:noProof/>
            <w:webHidden/>
          </w:rPr>
          <w:fldChar w:fldCharType="separate"/>
        </w:r>
        <w:r w:rsidR="009D5D7E">
          <w:rPr>
            <w:noProof/>
            <w:webHidden/>
          </w:rPr>
          <w:t>30</w:t>
        </w:r>
        <w:r w:rsidR="009D5D7E">
          <w:rPr>
            <w:noProof/>
            <w:webHidden/>
          </w:rPr>
          <w:fldChar w:fldCharType="end"/>
        </w:r>
      </w:hyperlink>
    </w:p>
    <w:p w14:paraId="77E040F6" w14:textId="73FD21E9"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1" w:history="1">
        <w:r w:rsidR="009D5D7E" w:rsidRPr="007C11D6">
          <w:rPr>
            <w:rStyle w:val="Hyperlink"/>
            <w:noProof/>
          </w:rPr>
          <w:t>9.</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Wastewater Solids Transfers</w:t>
        </w:r>
        <w:r w:rsidR="009D5D7E">
          <w:rPr>
            <w:noProof/>
            <w:webHidden/>
          </w:rPr>
          <w:tab/>
        </w:r>
        <w:r w:rsidR="009D5D7E">
          <w:rPr>
            <w:noProof/>
            <w:webHidden/>
          </w:rPr>
          <w:fldChar w:fldCharType="begin"/>
        </w:r>
        <w:r w:rsidR="009D5D7E">
          <w:rPr>
            <w:noProof/>
            <w:webHidden/>
          </w:rPr>
          <w:instrText xml:space="preserve"> PAGEREF _Toc203135911 \h </w:instrText>
        </w:r>
        <w:r w:rsidR="009D5D7E">
          <w:rPr>
            <w:noProof/>
            <w:webHidden/>
          </w:rPr>
        </w:r>
        <w:r w:rsidR="009D5D7E">
          <w:rPr>
            <w:noProof/>
            <w:webHidden/>
          </w:rPr>
          <w:fldChar w:fldCharType="separate"/>
        </w:r>
        <w:r w:rsidR="009D5D7E">
          <w:rPr>
            <w:noProof/>
            <w:webHidden/>
          </w:rPr>
          <w:t>31</w:t>
        </w:r>
        <w:r w:rsidR="009D5D7E">
          <w:rPr>
            <w:noProof/>
            <w:webHidden/>
          </w:rPr>
          <w:fldChar w:fldCharType="end"/>
        </w:r>
      </w:hyperlink>
    </w:p>
    <w:p w14:paraId="712922A9" w14:textId="171F9AD8"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2" w:history="1">
        <w:r w:rsidR="009D5D7E" w:rsidRPr="007C11D6">
          <w:rPr>
            <w:rStyle w:val="Hyperlink"/>
            <w:noProof/>
          </w:rPr>
          <w:t>10.</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Hauled Waste Control Plan</w:t>
        </w:r>
        <w:r w:rsidR="009D5D7E">
          <w:rPr>
            <w:noProof/>
            <w:webHidden/>
          </w:rPr>
          <w:tab/>
        </w:r>
        <w:r w:rsidR="009D5D7E">
          <w:rPr>
            <w:noProof/>
            <w:webHidden/>
          </w:rPr>
          <w:fldChar w:fldCharType="begin"/>
        </w:r>
        <w:r w:rsidR="009D5D7E">
          <w:rPr>
            <w:noProof/>
            <w:webHidden/>
          </w:rPr>
          <w:instrText xml:space="preserve"> PAGEREF _Toc203135912 \h </w:instrText>
        </w:r>
        <w:r w:rsidR="009D5D7E">
          <w:rPr>
            <w:noProof/>
            <w:webHidden/>
          </w:rPr>
        </w:r>
        <w:r w:rsidR="009D5D7E">
          <w:rPr>
            <w:noProof/>
            <w:webHidden/>
          </w:rPr>
          <w:fldChar w:fldCharType="separate"/>
        </w:r>
        <w:r w:rsidR="009D5D7E">
          <w:rPr>
            <w:noProof/>
            <w:webHidden/>
          </w:rPr>
          <w:t>31</w:t>
        </w:r>
        <w:r w:rsidR="009D5D7E">
          <w:rPr>
            <w:noProof/>
            <w:webHidden/>
          </w:rPr>
          <w:fldChar w:fldCharType="end"/>
        </w:r>
      </w:hyperlink>
    </w:p>
    <w:p w14:paraId="5223B2FE" w14:textId="7E41E972"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3" w:history="1">
        <w:r w:rsidR="009D5D7E" w:rsidRPr="007C11D6">
          <w:rPr>
            <w:rStyle w:val="Hyperlink"/>
            <w:noProof/>
          </w:rPr>
          <w:t>11.</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Hauled Waste Annual Report</w:t>
        </w:r>
        <w:r w:rsidR="009D5D7E">
          <w:rPr>
            <w:noProof/>
            <w:webHidden/>
          </w:rPr>
          <w:tab/>
        </w:r>
        <w:r w:rsidR="009D5D7E">
          <w:rPr>
            <w:noProof/>
            <w:webHidden/>
          </w:rPr>
          <w:fldChar w:fldCharType="begin"/>
        </w:r>
        <w:r w:rsidR="009D5D7E">
          <w:rPr>
            <w:noProof/>
            <w:webHidden/>
          </w:rPr>
          <w:instrText xml:space="preserve"> PAGEREF _Toc203135913 \h </w:instrText>
        </w:r>
        <w:r w:rsidR="009D5D7E">
          <w:rPr>
            <w:noProof/>
            <w:webHidden/>
          </w:rPr>
        </w:r>
        <w:r w:rsidR="009D5D7E">
          <w:rPr>
            <w:noProof/>
            <w:webHidden/>
          </w:rPr>
          <w:fldChar w:fldCharType="separate"/>
        </w:r>
        <w:r w:rsidR="009D5D7E">
          <w:rPr>
            <w:noProof/>
            <w:webHidden/>
          </w:rPr>
          <w:t>32</w:t>
        </w:r>
        <w:r w:rsidR="009D5D7E">
          <w:rPr>
            <w:noProof/>
            <w:webHidden/>
          </w:rPr>
          <w:fldChar w:fldCharType="end"/>
        </w:r>
      </w:hyperlink>
    </w:p>
    <w:p w14:paraId="3E968F05" w14:textId="09AFD3B3"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4" w:history="1">
        <w:r w:rsidR="009D5D7E" w:rsidRPr="007C11D6">
          <w:rPr>
            <w:rStyle w:val="Hyperlink"/>
            <w:noProof/>
          </w:rPr>
          <w:t>12.</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Lagoon Solids</w:t>
        </w:r>
        <w:r w:rsidR="009D5D7E">
          <w:rPr>
            <w:noProof/>
            <w:webHidden/>
          </w:rPr>
          <w:tab/>
        </w:r>
        <w:r w:rsidR="009D5D7E">
          <w:rPr>
            <w:noProof/>
            <w:webHidden/>
          </w:rPr>
          <w:fldChar w:fldCharType="begin"/>
        </w:r>
        <w:r w:rsidR="009D5D7E">
          <w:rPr>
            <w:noProof/>
            <w:webHidden/>
          </w:rPr>
          <w:instrText xml:space="preserve"> PAGEREF _Toc203135914 \h </w:instrText>
        </w:r>
        <w:r w:rsidR="009D5D7E">
          <w:rPr>
            <w:noProof/>
            <w:webHidden/>
          </w:rPr>
        </w:r>
        <w:r w:rsidR="009D5D7E">
          <w:rPr>
            <w:noProof/>
            <w:webHidden/>
          </w:rPr>
          <w:fldChar w:fldCharType="separate"/>
        </w:r>
        <w:r w:rsidR="009D5D7E">
          <w:rPr>
            <w:noProof/>
            <w:webHidden/>
          </w:rPr>
          <w:t>32</w:t>
        </w:r>
        <w:r w:rsidR="009D5D7E">
          <w:rPr>
            <w:noProof/>
            <w:webHidden/>
          </w:rPr>
          <w:fldChar w:fldCharType="end"/>
        </w:r>
      </w:hyperlink>
    </w:p>
    <w:p w14:paraId="30F97701" w14:textId="536DECEF"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5" w:history="1">
        <w:r w:rsidR="009D5D7E" w:rsidRPr="007C11D6">
          <w:rPr>
            <w:rStyle w:val="Hyperlink"/>
            <w:noProof/>
          </w:rPr>
          <w:t>13.</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Lagoon Leak Test</w:t>
        </w:r>
        <w:r w:rsidR="009D5D7E">
          <w:rPr>
            <w:noProof/>
            <w:webHidden/>
          </w:rPr>
          <w:tab/>
        </w:r>
        <w:r w:rsidR="009D5D7E">
          <w:rPr>
            <w:noProof/>
            <w:webHidden/>
          </w:rPr>
          <w:fldChar w:fldCharType="begin"/>
        </w:r>
        <w:r w:rsidR="009D5D7E">
          <w:rPr>
            <w:noProof/>
            <w:webHidden/>
          </w:rPr>
          <w:instrText xml:space="preserve"> PAGEREF _Toc203135915 \h </w:instrText>
        </w:r>
        <w:r w:rsidR="009D5D7E">
          <w:rPr>
            <w:noProof/>
            <w:webHidden/>
          </w:rPr>
        </w:r>
        <w:r w:rsidR="009D5D7E">
          <w:rPr>
            <w:noProof/>
            <w:webHidden/>
          </w:rPr>
          <w:fldChar w:fldCharType="separate"/>
        </w:r>
        <w:r w:rsidR="009D5D7E">
          <w:rPr>
            <w:noProof/>
            <w:webHidden/>
          </w:rPr>
          <w:t>32</w:t>
        </w:r>
        <w:r w:rsidR="009D5D7E">
          <w:rPr>
            <w:noProof/>
            <w:webHidden/>
          </w:rPr>
          <w:fldChar w:fldCharType="end"/>
        </w:r>
      </w:hyperlink>
    </w:p>
    <w:p w14:paraId="6D572013" w14:textId="651E2934"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6" w:history="1">
        <w:r w:rsidR="009D5D7E" w:rsidRPr="007C11D6">
          <w:rPr>
            <w:rStyle w:val="Hyperlink"/>
            <w:noProof/>
          </w:rPr>
          <w:t>14.</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Operator Certification</w:t>
        </w:r>
        <w:r w:rsidR="009D5D7E">
          <w:rPr>
            <w:noProof/>
            <w:webHidden/>
          </w:rPr>
          <w:tab/>
        </w:r>
        <w:r w:rsidR="009D5D7E">
          <w:rPr>
            <w:noProof/>
            <w:webHidden/>
          </w:rPr>
          <w:fldChar w:fldCharType="begin"/>
        </w:r>
        <w:r w:rsidR="009D5D7E">
          <w:rPr>
            <w:noProof/>
            <w:webHidden/>
          </w:rPr>
          <w:instrText xml:space="preserve"> PAGEREF _Toc203135916 \h </w:instrText>
        </w:r>
        <w:r w:rsidR="009D5D7E">
          <w:rPr>
            <w:noProof/>
            <w:webHidden/>
          </w:rPr>
        </w:r>
        <w:r w:rsidR="009D5D7E">
          <w:rPr>
            <w:noProof/>
            <w:webHidden/>
          </w:rPr>
          <w:fldChar w:fldCharType="separate"/>
        </w:r>
        <w:r w:rsidR="009D5D7E">
          <w:rPr>
            <w:noProof/>
            <w:webHidden/>
          </w:rPr>
          <w:t>32</w:t>
        </w:r>
        <w:r w:rsidR="009D5D7E">
          <w:rPr>
            <w:noProof/>
            <w:webHidden/>
          </w:rPr>
          <w:fldChar w:fldCharType="end"/>
        </w:r>
      </w:hyperlink>
    </w:p>
    <w:p w14:paraId="42767A61" w14:textId="196BACF8"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7" w:history="1">
        <w:r w:rsidR="009D5D7E" w:rsidRPr="007C11D6">
          <w:rPr>
            <w:rStyle w:val="Hyperlink"/>
            <w:noProof/>
          </w:rPr>
          <w:t>15.</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Spill/Emergency Response Plan</w:t>
        </w:r>
        <w:r w:rsidR="009D5D7E">
          <w:rPr>
            <w:noProof/>
            <w:webHidden/>
          </w:rPr>
          <w:tab/>
        </w:r>
        <w:r w:rsidR="009D5D7E">
          <w:rPr>
            <w:noProof/>
            <w:webHidden/>
          </w:rPr>
          <w:fldChar w:fldCharType="begin"/>
        </w:r>
        <w:r w:rsidR="009D5D7E">
          <w:rPr>
            <w:noProof/>
            <w:webHidden/>
          </w:rPr>
          <w:instrText xml:space="preserve"> PAGEREF _Toc203135917 \h </w:instrText>
        </w:r>
        <w:r w:rsidR="009D5D7E">
          <w:rPr>
            <w:noProof/>
            <w:webHidden/>
          </w:rPr>
        </w:r>
        <w:r w:rsidR="009D5D7E">
          <w:rPr>
            <w:noProof/>
            <w:webHidden/>
          </w:rPr>
          <w:fldChar w:fldCharType="separate"/>
        </w:r>
        <w:r w:rsidR="009D5D7E">
          <w:rPr>
            <w:noProof/>
            <w:webHidden/>
          </w:rPr>
          <w:t>34</w:t>
        </w:r>
        <w:r w:rsidR="009D5D7E">
          <w:rPr>
            <w:noProof/>
            <w:webHidden/>
          </w:rPr>
          <w:fldChar w:fldCharType="end"/>
        </w:r>
      </w:hyperlink>
    </w:p>
    <w:p w14:paraId="5641B048" w14:textId="72270FB6"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8" w:history="1">
        <w:r w:rsidR="009D5D7E" w:rsidRPr="007C11D6">
          <w:rPr>
            <w:rStyle w:val="Hyperlink"/>
            <w:noProof/>
          </w:rPr>
          <w:t>16.</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Industrial User Survey</w:t>
        </w:r>
        <w:r w:rsidR="009D5D7E">
          <w:rPr>
            <w:noProof/>
            <w:webHidden/>
          </w:rPr>
          <w:tab/>
        </w:r>
        <w:r w:rsidR="009D5D7E">
          <w:rPr>
            <w:noProof/>
            <w:webHidden/>
          </w:rPr>
          <w:fldChar w:fldCharType="begin"/>
        </w:r>
        <w:r w:rsidR="009D5D7E">
          <w:rPr>
            <w:noProof/>
            <w:webHidden/>
          </w:rPr>
          <w:instrText xml:space="preserve"> PAGEREF _Toc203135918 \h </w:instrText>
        </w:r>
        <w:r w:rsidR="009D5D7E">
          <w:rPr>
            <w:noProof/>
            <w:webHidden/>
          </w:rPr>
        </w:r>
        <w:r w:rsidR="009D5D7E">
          <w:rPr>
            <w:noProof/>
            <w:webHidden/>
          </w:rPr>
          <w:fldChar w:fldCharType="separate"/>
        </w:r>
        <w:r w:rsidR="009D5D7E">
          <w:rPr>
            <w:noProof/>
            <w:webHidden/>
          </w:rPr>
          <w:t>34</w:t>
        </w:r>
        <w:r w:rsidR="009D5D7E">
          <w:rPr>
            <w:noProof/>
            <w:webHidden/>
          </w:rPr>
          <w:fldChar w:fldCharType="end"/>
        </w:r>
      </w:hyperlink>
    </w:p>
    <w:p w14:paraId="31149A37" w14:textId="3E7C8D18"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19" w:history="1">
        <w:r w:rsidR="009D5D7E" w:rsidRPr="007C11D6">
          <w:rPr>
            <w:rStyle w:val="Hyperlink"/>
            <w:noProof/>
          </w:rPr>
          <w:t>17.</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Outfall Inspection</w:t>
        </w:r>
        <w:r w:rsidR="009D5D7E">
          <w:rPr>
            <w:noProof/>
            <w:webHidden/>
          </w:rPr>
          <w:tab/>
        </w:r>
        <w:r w:rsidR="009D5D7E">
          <w:rPr>
            <w:noProof/>
            <w:webHidden/>
          </w:rPr>
          <w:fldChar w:fldCharType="begin"/>
        </w:r>
        <w:r w:rsidR="009D5D7E">
          <w:rPr>
            <w:noProof/>
            <w:webHidden/>
          </w:rPr>
          <w:instrText xml:space="preserve"> PAGEREF _Toc203135919 \h </w:instrText>
        </w:r>
        <w:r w:rsidR="009D5D7E">
          <w:rPr>
            <w:noProof/>
            <w:webHidden/>
          </w:rPr>
        </w:r>
        <w:r w:rsidR="009D5D7E">
          <w:rPr>
            <w:noProof/>
            <w:webHidden/>
          </w:rPr>
          <w:fldChar w:fldCharType="separate"/>
        </w:r>
        <w:r w:rsidR="009D5D7E">
          <w:rPr>
            <w:noProof/>
            <w:webHidden/>
          </w:rPr>
          <w:t>35</w:t>
        </w:r>
        <w:r w:rsidR="009D5D7E">
          <w:rPr>
            <w:noProof/>
            <w:webHidden/>
          </w:rPr>
          <w:fldChar w:fldCharType="end"/>
        </w:r>
      </w:hyperlink>
    </w:p>
    <w:p w14:paraId="7E6D0492" w14:textId="35E526F6" w:rsidR="009D5D7E" w:rsidRDefault="00000000">
      <w:pPr>
        <w:pStyle w:val="TOC2"/>
        <w:rPr>
          <w:rFonts w:asciiTheme="minorHAnsi" w:eastAsiaTheme="minorEastAsia" w:hAnsiTheme="minorHAnsi" w:cstheme="minorBidi"/>
          <w:noProof/>
          <w:kern w:val="2"/>
          <w:sz w:val="24"/>
          <w:szCs w:val="24"/>
          <w:lang w:val="en-US"/>
          <w14:ligatures w14:val="standardContextual"/>
        </w:rPr>
      </w:pPr>
      <w:hyperlink w:anchor="_Toc203135920" w:history="1">
        <w:r w:rsidR="009D5D7E" w:rsidRPr="007C11D6">
          <w:rPr>
            <w:rStyle w:val="Hyperlink"/>
            <w:noProof/>
          </w:rPr>
          <w:t>18.</w:t>
        </w:r>
        <w:r w:rsidR="009D5D7E">
          <w:rPr>
            <w:rFonts w:asciiTheme="minorHAnsi" w:eastAsiaTheme="minorEastAsia" w:hAnsiTheme="minorHAnsi" w:cstheme="minorBidi"/>
            <w:noProof/>
            <w:kern w:val="2"/>
            <w:sz w:val="24"/>
            <w:szCs w:val="24"/>
            <w:lang w:val="en-US"/>
            <w14:ligatures w14:val="standardContextual"/>
          </w:rPr>
          <w:tab/>
        </w:r>
        <w:r w:rsidR="009D5D7E" w:rsidRPr="007C11D6">
          <w:rPr>
            <w:rStyle w:val="Hyperlink"/>
            <w:noProof/>
          </w:rPr>
          <w:t xml:space="preserve">Water Quality Trading </w:t>
        </w:r>
        <w:r w:rsidR="009D5D7E" w:rsidRPr="007C11D6">
          <w:rPr>
            <w:rStyle w:val="Hyperlink"/>
            <w:noProof/>
            <w:highlight w:val="yellow"/>
          </w:rPr>
          <w:t>[for basin]</w:t>
        </w:r>
        <w:r w:rsidR="009D5D7E">
          <w:rPr>
            <w:noProof/>
            <w:webHidden/>
          </w:rPr>
          <w:tab/>
        </w:r>
        <w:r w:rsidR="009D5D7E">
          <w:rPr>
            <w:noProof/>
            <w:webHidden/>
          </w:rPr>
          <w:fldChar w:fldCharType="begin"/>
        </w:r>
        <w:r w:rsidR="009D5D7E">
          <w:rPr>
            <w:noProof/>
            <w:webHidden/>
          </w:rPr>
          <w:instrText xml:space="preserve"> PAGEREF _Toc203135920 \h </w:instrText>
        </w:r>
        <w:r w:rsidR="009D5D7E">
          <w:rPr>
            <w:noProof/>
            <w:webHidden/>
          </w:rPr>
        </w:r>
        <w:r w:rsidR="009D5D7E">
          <w:rPr>
            <w:noProof/>
            <w:webHidden/>
          </w:rPr>
          <w:fldChar w:fldCharType="separate"/>
        </w:r>
        <w:r w:rsidR="009D5D7E">
          <w:rPr>
            <w:noProof/>
            <w:webHidden/>
          </w:rPr>
          <w:t>35</w:t>
        </w:r>
        <w:r w:rsidR="009D5D7E">
          <w:rPr>
            <w:noProof/>
            <w:webHidden/>
          </w:rPr>
          <w:fldChar w:fldCharType="end"/>
        </w:r>
      </w:hyperlink>
    </w:p>
    <w:p w14:paraId="37555804" w14:textId="2E7E927F" w:rsidR="009D5D7E" w:rsidRDefault="00000000">
      <w:pPr>
        <w:pStyle w:val="TOC1"/>
        <w:rPr>
          <w:rFonts w:asciiTheme="minorHAnsi" w:eastAsiaTheme="minorEastAsia" w:hAnsiTheme="minorHAnsi" w:cstheme="minorBidi"/>
          <w:b w:val="0"/>
          <w:noProof/>
          <w:kern w:val="2"/>
          <w:sz w:val="24"/>
          <w:szCs w:val="24"/>
          <w:lang w:val="en-US"/>
          <w14:ligatures w14:val="standardContextual"/>
        </w:rPr>
      </w:pPr>
      <w:hyperlink w:anchor="_Toc203135921" w:history="1">
        <w:r w:rsidR="009D5D7E" w:rsidRPr="007C11D6">
          <w:rPr>
            <w:rStyle w:val="Hyperlink"/>
            <w:noProof/>
          </w:rPr>
          <w:t>SCHEDULE F: NPDES GENERAL CONDITIONS</w:t>
        </w:r>
        <w:r w:rsidR="009D5D7E">
          <w:rPr>
            <w:noProof/>
            <w:webHidden/>
          </w:rPr>
          <w:tab/>
        </w:r>
        <w:r w:rsidR="009D5D7E">
          <w:rPr>
            <w:noProof/>
            <w:webHidden/>
          </w:rPr>
          <w:fldChar w:fldCharType="begin"/>
        </w:r>
        <w:r w:rsidR="009D5D7E">
          <w:rPr>
            <w:noProof/>
            <w:webHidden/>
          </w:rPr>
          <w:instrText xml:space="preserve"> PAGEREF _Toc203135921 \h </w:instrText>
        </w:r>
        <w:r w:rsidR="009D5D7E">
          <w:rPr>
            <w:noProof/>
            <w:webHidden/>
          </w:rPr>
        </w:r>
        <w:r w:rsidR="009D5D7E">
          <w:rPr>
            <w:noProof/>
            <w:webHidden/>
          </w:rPr>
          <w:fldChar w:fldCharType="separate"/>
        </w:r>
        <w:r w:rsidR="009D5D7E">
          <w:rPr>
            <w:noProof/>
            <w:webHidden/>
          </w:rPr>
          <w:t>37</w:t>
        </w:r>
        <w:r w:rsidR="009D5D7E">
          <w:rPr>
            <w:noProof/>
            <w:webHidden/>
          </w:rPr>
          <w:fldChar w:fldCharType="end"/>
        </w:r>
      </w:hyperlink>
    </w:p>
    <w:p w14:paraId="59F89B38" w14:textId="0E6DAB3F" w:rsidR="00233394" w:rsidRDefault="006546C9">
      <w:r>
        <w:fldChar w:fldCharType="end"/>
      </w:r>
    </w:p>
    <w:p w14:paraId="071D0F99" w14:textId="77777777" w:rsidR="006264E9" w:rsidRDefault="006264E9"/>
    <w:p w14:paraId="6CD99328" w14:textId="7FA1E7DC" w:rsidR="00233394" w:rsidRPr="007C461A" w:rsidRDefault="0005582B">
      <w:pPr>
        <w:pStyle w:val="TableofFigures"/>
        <w:rPr>
          <w:rFonts w:ascii="Arial" w:hAnsi="Arial" w:cs="Arial"/>
          <w:b/>
          <w:sz w:val="28"/>
          <w:szCs w:val="28"/>
        </w:rPr>
      </w:pPr>
      <w:r w:rsidRPr="007C461A">
        <w:rPr>
          <w:rFonts w:ascii="Arial" w:hAnsi="Arial" w:cs="Arial"/>
          <w:b/>
          <w:sz w:val="28"/>
          <w:szCs w:val="28"/>
        </w:rPr>
        <w:t>LIST OF TABLES</w:t>
      </w:r>
    </w:p>
    <w:p w14:paraId="25B5E784" w14:textId="77777777" w:rsidR="0005582B" w:rsidRPr="0005582B" w:rsidRDefault="0005582B" w:rsidP="0005582B">
      <w:pPr>
        <w:rPr>
          <w:lang w:val="en-US"/>
        </w:rPr>
      </w:pPr>
    </w:p>
    <w:p w14:paraId="34571764" w14:textId="773EC2BA" w:rsidR="009D5D7E" w:rsidRDefault="00BF27E7">
      <w:pPr>
        <w:pStyle w:val="TableofFigures"/>
        <w:tabs>
          <w:tab w:val="right" w:leader="dot" w:pos="10088"/>
        </w:tabs>
        <w:rPr>
          <w:rFonts w:asciiTheme="minorHAnsi" w:eastAsiaTheme="minorEastAsia" w:hAnsiTheme="minorHAnsi" w:cstheme="minorBidi"/>
          <w:noProof/>
          <w:kern w:val="2"/>
          <w:sz w:val="24"/>
          <w:szCs w:val="24"/>
          <w14:ligatures w14:val="standardContextual"/>
        </w:rPr>
      </w:pPr>
      <w:r>
        <w:fldChar w:fldCharType="begin"/>
      </w:r>
      <w:r w:rsidR="00073356">
        <w:instrText xml:space="preserve"> TOC \f F \h \z \t "Caption" \c </w:instrText>
      </w:r>
      <w:r>
        <w:fldChar w:fldCharType="separate"/>
      </w:r>
      <w:hyperlink w:anchor="_Toc203135922" w:history="1">
        <w:r w:rsidR="009D5D7E" w:rsidRPr="00837F18">
          <w:rPr>
            <w:rStyle w:val="Hyperlink"/>
            <w:noProof/>
          </w:rPr>
          <w:t>Table A1: Permit Limits</w:t>
        </w:r>
        <w:r w:rsidR="009D5D7E">
          <w:rPr>
            <w:noProof/>
            <w:webHidden/>
          </w:rPr>
          <w:tab/>
        </w:r>
        <w:r w:rsidR="009D5D7E">
          <w:rPr>
            <w:noProof/>
            <w:webHidden/>
          </w:rPr>
          <w:fldChar w:fldCharType="begin"/>
        </w:r>
        <w:r w:rsidR="009D5D7E">
          <w:rPr>
            <w:noProof/>
            <w:webHidden/>
          </w:rPr>
          <w:instrText xml:space="preserve"> PAGEREF _Toc203135922 \h </w:instrText>
        </w:r>
        <w:r w:rsidR="009D5D7E">
          <w:rPr>
            <w:noProof/>
            <w:webHidden/>
          </w:rPr>
        </w:r>
        <w:r w:rsidR="009D5D7E">
          <w:rPr>
            <w:noProof/>
            <w:webHidden/>
          </w:rPr>
          <w:fldChar w:fldCharType="separate"/>
        </w:r>
        <w:r w:rsidR="009D5D7E">
          <w:rPr>
            <w:noProof/>
            <w:webHidden/>
          </w:rPr>
          <w:t>4</w:t>
        </w:r>
        <w:r w:rsidR="009D5D7E">
          <w:rPr>
            <w:noProof/>
            <w:webHidden/>
          </w:rPr>
          <w:fldChar w:fldCharType="end"/>
        </w:r>
      </w:hyperlink>
    </w:p>
    <w:p w14:paraId="0C292914" w14:textId="006ACFCA"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23" w:history="1">
        <w:r w:rsidR="009D5D7E" w:rsidRPr="00837F18">
          <w:rPr>
            <w:rStyle w:val="Hyperlink"/>
            <w:noProof/>
          </w:rPr>
          <w:t>Table A2: Recycled Water Limits</w:t>
        </w:r>
        <w:r w:rsidR="009D5D7E">
          <w:rPr>
            <w:noProof/>
            <w:webHidden/>
          </w:rPr>
          <w:tab/>
        </w:r>
        <w:r w:rsidR="009D5D7E">
          <w:rPr>
            <w:noProof/>
            <w:webHidden/>
          </w:rPr>
          <w:fldChar w:fldCharType="begin"/>
        </w:r>
        <w:r w:rsidR="009D5D7E">
          <w:rPr>
            <w:noProof/>
            <w:webHidden/>
          </w:rPr>
          <w:instrText xml:space="preserve"> PAGEREF _Toc203135923 \h </w:instrText>
        </w:r>
        <w:r w:rsidR="009D5D7E">
          <w:rPr>
            <w:noProof/>
            <w:webHidden/>
          </w:rPr>
        </w:r>
        <w:r w:rsidR="009D5D7E">
          <w:rPr>
            <w:noProof/>
            <w:webHidden/>
          </w:rPr>
          <w:fldChar w:fldCharType="separate"/>
        </w:r>
        <w:r w:rsidR="009D5D7E">
          <w:rPr>
            <w:noProof/>
            <w:webHidden/>
          </w:rPr>
          <w:t>7</w:t>
        </w:r>
        <w:r w:rsidR="009D5D7E">
          <w:rPr>
            <w:noProof/>
            <w:webHidden/>
          </w:rPr>
          <w:fldChar w:fldCharType="end"/>
        </w:r>
      </w:hyperlink>
    </w:p>
    <w:p w14:paraId="22199E43" w14:textId="224C1955"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24" w:history="1">
        <w:r w:rsidR="009D5D7E" w:rsidRPr="00837F18">
          <w:rPr>
            <w:rStyle w:val="Hyperlink"/>
            <w:noProof/>
          </w:rPr>
          <w:t>Table A3: Biosolids Limits</w:t>
        </w:r>
        <w:r w:rsidR="009D5D7E">
          <w:rPr>
            <w:noProof/>
            <w:webHidden/>
          </w:rPr>
          <w:tab/>
        </w:r>
        <w:r w:rsidR="009D5D7E">
          <w:rPr>
            <w:noProof/>
            <w:webHidden/>
          </w:rPr>
          <w:fldChar w:fldCharType="begin"/>
        </w:r>
        <w:r w:rsidR="009D5D7E">
          <w:rPr>
            <w:noProof/>
            <w:webHidden/>
          </w:rPr>
          <w:instrText xml:space="preserve"> PAGEREF _Toc203135924 \h </w:instrText>
        </w:r>
        <w:r w:rsidR="009D5D7E">
          <w:rPr>
            <w:noProof/>
            <w:webHidden/>
          </w:rPr>
        </w:r>
        <w:r w:rsidR="009D5D7E">
          <w:rPr>
            <w:noProof/>
            <w:webHidden/>
          </w:rPr>
          <w:fldChar w:fldCharType="separate"/>
        </w:r>
        <w:r w:rsidR="009D5D7E">
          <w:rPr>
            <w:noProof/>
            <w:webHidden/>
          </w:rPr>
          <w:t>9</w:t>
        </w:r>
        <w:r w:rsidR="009D5D7E">
          <w:rPr>
            <w:noProof/>
            <w:webHidden/>
          </w:rPr>
          <w:fldChar w:fldCharType="end"/>
        </w:r>
      </w:hyperlink>
    </w:p>
    <w:p w14:paraId="4BD93A72" w14:textId="5A7C09D6"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25" w:history="1">
        <w:r w:rsidR="009D5D7E" w:rsidRPr="00837F18">
          <w:rPr>
            <w:rStyle w:val="Hyperlink"/>
            <w:noProof/>
          </w:rPr>
          <w:t>Table B1: Reporting Requirements and Due Dates</w:t>
        </w:r>
        <w:r w:rsidR="009D5D7E">
          <w:rPr>
            <w:noProof/>
            <w:webHidden/>
          </w:rPr>
          <w:tab/>
        </w:r>
        <w:r w:rsidR="009D5D7E">
          <w:rPr>
            <w:noProof/>
            <w:webHidden/>
          </w:rPr>
          <w:fldChar w:fldCharType="begin"/>
        </w:r>
        <w:r w:rsidR="009D5D7E">
          <w:rPr>
            <w:noProof/>
            <w:webHidden/>
          </w:rPr>
          <w:instrText xml:space="preserve"> PAGEREF _Toc203135925 \h </w:instrText>
        </w:r>
        <w:r w:rsidR="009D5D7E">
          <w:rPr>
            <w:noProof/>
            <w:webHidden/>
          </w:rPr>
        </w:r>
        <w:r w:rsidR="009D5D7E">
          <w:rPr>
            <w:noProof/>
            <w:webHidden/>
          </w:rPr>
          <w:fldChar w:fldCharType="separate"/>
        </w:r>
        <w:r w:rsidR="009D5D7E">
          <w:rPr>
            <w:noProof/>
            <w:webHidden/>
          </w:rPr>
          <w:t>10</w:t>
        </w:r>
        <w:r w:rsidR="009D5D7E">
          <w:rPr>
            <w:noProof/>
            <w:webHidden/>
          </w:rPr>
          <w:fldChar w:fldCharType="end"/>
        </w:r>
      </w:hyperlink>
    </w:p>
    <w:p w14:paraId="67A3F38A" w14:textId="54580988"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26" w:history="1">
        <w:r w:rsidR="009D5D7E" w:rsidRPr="00837F18">
          <w:rPr>
            <w:rStyle w:val="Hyperlink"/>
            <w:noProof/>
          </w:rPr>
          <w:t>Table B2: Influent Monitoring Requirements</w:t>
        </w:r>
        <w:r w:rsidR="009D5D7E">
          <w:rPr>
            <w:noProof/>
            <w:webHidden/>
          </w:rPr>
          <w:tab/>
        </w:r>
        <w:r w:rsidR="009D5D7E">
          <w:rPr>
            <w:noProof/>
            <w:webHidden/>
          </w:rPr>
          <w:fldChar w:fldCharType="begin"/>
        </w:r>
        <w:r w:rsidR="009D5D7E">
          <w:rPr>
            <w:noProof/>
            <w:webHidden/>
          </w:rPr>
          <w:instrText xml:space="preserve"> PAGEREF _Toc203135926 \h </w:instrText>
        </w:r>
        <w:r w:rsidR="009D5D7E">
          <w:rPr>
            <w:noProof/>
            <w:webHidden/>
          </w:rPr>
        </w:r>
        <w:r w:rsidR="009D5D7E">
          <w:rPr>
            <w:noProof/>
            <w:webHidden/>
          </w:rPr>
          <w:fldChar w:fldCharType="separate"/>
        </w:r>
        <w:r w:rsidR="009D5D7E">
          <w:rPr>
            <w:noProof/>
            <w:webHidden/>
          </w:rPr>
          <w:t>15</w:t>
        </w:r>
        <w:r w:rsidR="009D5D7E">
          <w:rPr>
            <w:noProof/>
            <w:webHidden/>
          </w:rPr>
          <w:fldChar w:fldCharType="end"/>
        </w:r>
      </w:hyperlink>
    </w:p>
    <w:p w14:paraId="17C2E3F4" w14:textId="299D84D7"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27" w:history="1">
        <w:r w:rsidR="009D5D7E" w:rsidRPr="00837F18">
          <w:rPr>
            <w:rStyle w:val="Hyperlink"/>
            <w:noProof/>
          </w:rPr>
          <w:t>Table B3: Effluent Monitoring Requirements</w:t>
        </w:r>
        <w:r w:rsidR="009D5D7E">
          <w:rPr>
            <w:noProof/>
            <w:webHidden/>
          </w:rPr>
          <w:tab/>
        </w:r>
        <w:r w:rsidR="009D5D7E">
          <w:rPr>
            <w:noProof/>
            <w:webHidden/>
          </w:rPr>
          <w:fldChar w:fldCharType="begin"/>
        </w:r>
        <w:r w:rsidR="009D5D7E">
          <w:rPr>
            <w:noProof/>
            <w:webHidden/>
          </w:rPr>
          <w:instrText xml:space="preserve"> PAGEREF _Toc203135927 \h </w:instrText>
        </w:r>
        <w:r w:rsidR="009D5D7E">
          <w:rPr>
            <w:noProof/>
            <w:webHidden/>
          </w:rPr>
        </w:r>
        <w:r w:rsidR="009D5D7E">
          <w:rPr>
            <w:noProof/>
            <w:webHidden/>
          </w:rPr>
          <w:fldChar w:fldCharType="separate"/>
        </w:r>
        <w:r w:rsidR="009D5D7E">
          <w:rPr>
            <w:noProof/>
            <w:webHidden/>
          </w:rPr>
          <w:t>16</w:t>
        </w:r>
        <w:r w:rsidR="009D5D7E">
          <w:rPr>
            <w:noProof/>
            <w:webHidden/>
          </w:rPr>
          <w:fldChar w:fldCharType="end"/>
        </w:r>
      </w:hyperlink>
    </w:p>
    <w:p w14:paraId="2AAFD3EB" w14:textId="0A949654"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28" w:history="1">
        <w:r w:rsidR="009D5D7E" w:rsidRPr="00837F18">
          <w:rPr>
            <w:rStyle w:val="Hyperlink"/>
            <w:noProof/>
          </w:rPr>
          <w:t>Table B4: Receiving Stream Monitoring (</w:t>
        </w:r>
        <w:r w:rsidR="009D5D7E" w:rsidRPr="00837F18">
          <w:rPr>
            <w:rStyle w:val="Hyperlink"/>
            <w:noProof/>
            <w:highlight w:val="yellow"/>
          </w:rPr>
          <w:t>waterbody name</w:t>
        </w:r>
        <w:r w:rsidR="009D5D7E" w:rsidRPr="00837F18">
          <w:rPr>
            <w:rStyle w:val="Hyperlink"/>
            <w:noProof/>
          </w:rPr>
          <w:t>)</w:t>
        </w:r>
        <w:r w:rsidR="009D5D7E">
          <w:rPr>
            <w:noProof/>
            <w:webHidden/>
          </w:rPr>
          <w:tab/>
        </w:r>
        <w:r w:rsidR="009D5D7E">
          <w:rPr>
            <w:noProof/>
            <w:webHidden/>
          </w:rPr>
          <w:fldChar w:fldCharType="begin"/>
        </w:r>
        <w:r w:rsidR="009D5D7E">
          <w:rPr>
            <w:noProof/>
            <w:webHidden/>
          </w:rPr>
          <w:instrText xml:space="preserve"> PAGEREF _Toc203135928 \h </w:instrText>
        </w:r>
        <w:r w:rsidR="009D5D7E">
          <w:rPr>
            <w:noProof/>
            <w:webHidden/>
          </w:rPr>
        </w:r>
        <w:r w:rsidR="009D5D7E">
          <w:rPr>
            <w:noProof/>
            <w:webHidden/>
          </w:rPr>
          <w:fldChar w:fldCharType="separate"/>
        </w:r>
        <w:r w:rsidR="009D5D7E">
          <w:rPr>
            <w:noProof/>
            <w:webHidden/>
          </w:rPr>
          <w:t>22</w:t>
        </w:r>
        <w:r w:rsidR="009D5D7E">
          <w:rPr>
            <w:noProof/>
            <w:webHidden/>
          </w:rPr>
          <w:fldChar w:fldCharType="end"/>
        </w:r>
      </w:hyperlink>
    </w:p>
    <w:p w14:paraId="3661B4C4" w14:textId="4D8CDA84"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29" w:history="1">
        <w:r w:rsidR="009D5D7E" w:rsidRPr="00837F18">
          <w:rPr>
            <w:rStyle w:val="Hyperlink"/>
            <w:noProof/>
          </w:rPr>
          <w:t xml:space="preserve">Table </w:t>
        </w:r>
        <w:r w:rsidR="009D5D7E" w:rsidRPr="00837F18">
          <w:rPr>
            <w:rStyle w:val="Hyperlink"/>
            <w:noProof/>
            <w:highlight w:val="yellow"/>
          </w:rPr>
          <w:t>B?:</w:t>
        </w:r>
        <w:r w:rsidR="009D5D7E" w:rsidRPr="00837F18">
          <w:rPr>
            <w:rStyle w:val="Hyperlink"/>
            <w:noProof/>
          </w:rPr>
          <w:t xml:space="preserve"> Recycled Water Monitoring</w:t>
        </w:r>
        <w:r w:rsidR="009D5D7E">
          <w:rPr>
            <w:noProof/>
            <w:webHidden/>
          </w:rPr>
          <w:tab/>
        </w:r>
        <w:r w:rsidR="009D5D7E">
          <w:rPr>
            <w:noProof/>
            <w:webHidden/>
          </w:rPr>
          <w:fldChar w:fldCharType="begin"/>
        </w:r>
        <w:r w:rsidR="009D5D7E">
          <w:rPr>
            <w:noProof/>
            <w:webHidden/>
          </w:rPr>
          <w:instrText xml:space="preserve"> PAGEREF _Toc203135929 \h </w:instrText>
        </w:r>
        <w:r w:rsidR="009D5D7E">
          <w:rPr>
            <w:noProof/>
            <w:webHidden/>
          </w:rPr>
        </w:r>
        <w:r w:rsidR="009D5D7E">
          <w:rPr>
            <w:noProof/>
            <w:webHidden/>
          </w:rPr>
          <w:fldChar w:fldCharType="separate"/>
        </w:r>
        <w:r w:rsidR="009D5D7E">
          <w:rPr>
            <w:noProof/>
            <w:webHidden/>
          </w:rPr>
          <w:t>23</w:t>
        </w:r>
        <w:r w:rsidR="009D5D7E">
          <w:rPr>
            <w:noProof/>
            <w:webHidden/>
          </w:rPr>
          <w:fldChar w:fldCharType="end"/>
        </w:r>
      </w:hyperlink>
    </w:p>
    <w:p w14:paraId="5D60873D" w14:textId="40DAFD96"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30" w:history="1">
        <w:r w:rsidR="009D5D7E" w:rsidRPr="00837F18">
          <w:rPr>
            <w:rStyle w:val="Hyperlink"/>
            <w:noProof/>
          </w:rPr>
          <w:t>T</w:t>
        </w:r>
        <w:r w:rsidR="009D5D7E" w:rsidRPr="00837F18">
          <w:rPr>
            <w:rStyle w:val="Hyperlink"/>
            <w:noProof/>
            <w:highlight w:val="yellow"/>
          </w:rPr>
          <w:t>able B?</w:t>
        </w:r>
        <w:r w:rsidR="009D5D7E" w:rsidRPr="00837F18">
          <w:rPr>
            <w:rStyle w:val="Hyperlink"/>
            <w:noProof/>
          </w:rPr>
          <w:t>: Biosolids Monitoring</w:t>
        </w:r>
        <w:r w:rsidR="009D5D7E">
          <w:rPr>
            <w:noProof/>
            <w:webHidden/>
          </w:rPr>
          <w:tab/>
        </w:r>
        <w:r w:rsidR="009D5D7E">
          <w:rPr>
            <w:noProof/>
            <w:webHidden/>
          </w:rPr>
          <w:fldChar w:fldCharType="begin"/>
        </w:r>
        <w:r w:rsidR="009D5D7E">
          <w:rPr>
            <w:noProof/>
            <w:webHidden/>
          </w:rPr>
          <w:instrText xml:space="preserve"> PAGEREF _Toc203135930 \h </w:instrText>
        </w:r>
        <w:r w:rsidR="009D5D7E">
          <w:rPr>
            <w:noProof/>
            <w:webHidden/>
          </w:rPr>
        </w:r>
        <w:r w:rsidR="009D5D7E">
          <w:rPr>
            <w:noProof/>
            <w:webHidden/>
          </w:rPr>
          <w:fldChar w:fldCharType="separate"/>
        </w:r>
        <w:r w:rsidR="009D5D7E">
          <w:rPr>
            <w:noProof/>
            <w:webHidden/>
          </w:rPr>
          <w:t>24</w:t>
        </w:r>
        <w:r w:rsidR="009D5D7E">
          <w:rPr>
            <w:noProof/>
            <w:webHidden/>
          </w:rPr>
          <w:fldChar w:fldCharType="end"/>
        </w:r>
      </w:hyperlink>
    </w:p>
    <w:p w14:paraId="5B31064D" w14:textId="0FE668D8" w:rsidR="009D5D7E" w:rsidRDefault="00000000">
      <w:pPr>
        <w:pStyle w:val="TableofFigures"/>
        <w:tabs>
          <w:tab w:val="right" w:leader="dot" w:pos="10088"/>
        </w:tabs>
        <w:rPr>
          <w:rFonts w:asciiTheme="minorHAnsi" w:eastAsiaTheme="minorEastAsia" w:hAnsiTheme="minorHAnsi" w:cstheme="minorBidi"/>
          <w:noProof/>
          <w:kern w:val="2"/>
          <w:sz w:val="24"/>
          <w:szCs w:val="24"/>
          <w14:ligatures w14:val="standardContextual"/>
        </w:rPr>
      </w:pPr>
      <w:hyperlink w:anchor="_Toc203135931" w:history="1">
        <w:r w:rsidR="009D5D7E" w:rsidRPr="00837F18">
          <w:rPr>
            <w:rStyle w:val="Hyperlink"/>
            <w:noProof/>
          </w:rPr>
          <w:t xml:space="preserve">Table </w:t>
        </w:r>
        <w:r w:rsidR="009D5D7E" w:rsidRPr="00837F18">
          <w:rPr>
            <w:rStyle w:val="Hyperlink"/>
            <w:noProof/>
            <w:highlight w:val="yellow"/>
          </w:rPr>
          <w:t>B?:</w:t>
        </w:r>
        <w:r w:rsidR="009D5D7E" w:rsidRPr="00837F18">
          <w:rPr>
            <w:rStyle w:val="Hyperlink"/>
            <w:noProof/>
          </w:rPr>
          <w:t xml:space="preserve"> Biosolids Minimum Monitoring Frequency</w:t>
        </w:r>
        <w:r w:rsidR="009D5D7E">
          <w:rPr>
            <w:noProof/>
            <w:webHidden/>
          </w:rPr>
          <w:tab/>
        </w:r>
        <w:r w:rsidR="009D5D7E">
          <w:rPr>
            <w:noProof/>
            <w:webHidden/>
          </w:rPr>
          <w:fldChar w:fldCharType="begin"/>
        </w:r>
        <w:r w:rsidR="009D5D7E">
          <w:rPr>
            <w:noProof/>
            <w:webHidden/>
          </w:rPr>
          <w:instrText xml:space="preserve"> PAGEREF _Toc203135931 \h </w:instrText>
        </w:r>
        <w:r w:rsidR="009D5D7E">
          <w:rPr>
            <w:noProof/>
            <w:webHidden/>
          </w:rPr>
        </w:r>
        <w:r w:rsidR="009D5D7E">
          <w:rPr>
            <w:noProof/>
            <w:webHidden/>
          </w:rPr>
          <w:fldChar w:fldCharType="separate"/>
        </w:r>
        <w:r w:rsidR="009D5D7E">
          <w:rPr>
            <w:noProof/>
            <w:webHidden/>
          </w:rPr>
          <w:t>25</w:t>
        </w:r>
        <w:r w:rsidR="009D5D7E">
          <w:rPr>
            <w:noProof/>
            <w:webHidden/>
          </w:rPr>
          <w:fldChar w:fldCharType="end"/>
        </w:r>
      </w:hyperlink>
    </w:p>
    <w:p w14:paraId="674B666F" w14:textId="00C89B5E" w:rsidR="00233394" w:rsidRPr="0005582B" w:rsidRDefault="00BF27E7" w:rsidP="009D5D7E">
      <w:pPr>
        <w:tabs>
          <w:tab w:val="right" w:leader="dot" w:pos="10530"/>
        </w:tabs>
      </w:pPr>
      <w:r>
        <w:rPr>
          <w:rFonts w:eastAsia="Calibri"/>
          <w:szCs w:val="22"/>
          <w:lang w:val="en-US"/>
        </w:rPr>
        <w:fldChar w:fldCharType="end"/>
      </w:r>
      <w:r w:rsidR="00073356">
        <w:br w:type="page"/>
      </w:r>
      <w:bookmarkStart w:id="13" w:name="_Hlt451132882"/>
      <w:bookmarkStart w:id="14" w:name="ScheduleA"/>
      <w:bookmarkStart w:id="15" w:name="_Toc203135888"/>
      <w:bookmarkEnd w:id="13"/>
      <w:r w:rsidR="00073356" w:rsidRPr="0005582B">
        <w:lastRenderedPageBreak/>
        <w:t>SCHEDULE A</w:t>
      </w:r>
      <w:bookmarkEnd w:id="14"/>
      <w:r w:rsidR="00073356" w:rsidRPr="0005582B">
        <w:t>: WASTE DISCHARGE LIMITS</w:t>
      </w:r>
      <w:bookmarkEnd w:id="15"/>
    </w:p>
    <w:p w14:paraId="0393BE6D" w14:textId="486DC8E4" w:rsidR="00AF3640" w:rsidRDefault="00073356" w:rsidP="00A0366F">
      <w:pPr>
        <w:pStyle w:val="PermitHanging1TOC"/>
      </w:pPr>
      <w:bookmarkStart w:id="16" w:name="bmOutfall1doc"/>
      <w:bookmarkStart w:id="17" w:name="_Toc203135889"/>
      <w:bookmarkEnd w:id="16"/>
      <w:r>
        <w:t>Outfall 001 – Permit Limits</w:t>
      </w:r>
      <w:bookmarkEnd w:id="17"/>
    </w:p>
    <w:p w14:paraId="59AE9698" w14:textId="00EC9F63" w:rsidR="00233394" w:rsidRDefault="00073356" w:rsidP="004330AE">
      <w:pPr>
        <w:pStyle w:val="PermitNormal"/>
      </w:pPr>
      <w:r>
        <w:t xml:space="preserve"> </w:t>
      </w:r>
      <w:r w:rsidR="004330AE">
        <w:tab/>
      </w:r>
      <w:r>
        <w:t xml:space="preserve">During </w:t>
      </w:r>
      <w:r w:rsidR="00864A5B">
        <w:t xml:space="preserve">the term of this permit, </w:t>
      </w:r>
      <w:r>
        <w:t xml:space="preserve">the </w:t>
      </w:r>
      <w:r w:rsidR="00E06B0A">
        <w:t>permittee</w:t>
      </w:r>
      <w:r w:rsidR="007C461A">
        <w:t xml:space="preserve"> </w:t>
      </w:r>
      <w:r>
        <w:t>must comply with the limits in the following table:</w:t>
      </w:r>
    </w:p>
    <w:p w14:paraId="109780B7" w14:textId="1B5609F6" w:rsidR="0022635C" w:rsidRDefault="0022635C" w:rsidP="0022635C">
      <w:pPr>
        <w:pStyle w:val="PermitNormal"/>
        <w:jc w:val="center"/>
      </w:pPr>
      <w:bookmarkStart w:id="18" w:name="_Toc378775939"/>
      <w:r w:rsidRPr="0022635C">
        <w:rPr>
          <w:highlight w:val="yellow"/>
        </w:rPr>
        <w:t xml:space="preserve">Consult with Direct Support to modify Table </w:t>
      </w:r>
      <w:r w:rsidR="002C0393">
        <w:rPr>
          <w:highlight w:val="yellow"/>
        </w:rPr>
        <w:t>A</w:t>
      </w:r>
      <w:r w:rsidR="002C0393" w:rsidRPr="0022635C">
        <w:rPr>
          <w:highlight w:val="yellow"/>
        </w:rPr>
        <w:t xml:space="preserve">1 </w:t>
      </w:r>
      <w:r w:rsidRPr="0022635C">
        <w:rPr>
          <w:highlight w:val="yellow"/>
        </w:rPr>
        <w:t>for industrial permits.</w:t>
      </w:r>
    </w:p>
    <w:p w14:paraId="4EC8E08F" w14:textId="77777777" w:rsidR="00C979E9" w:rsidRDefault="00C979E9" w:rsidP="0022635C">
      <w:pPr>
        <w:pStyle w:val="PermitNormal"/>
        <w:jc w:val="center"/>
      </w:pPr>
    </w:p>
    <w:p w14:paraId="19D41D43" w14:textId="1CFF3017" w:rsidR="00233394" w:rsidRDefault="00073356" w:rsidP="008E1E7D">
      <w:pPr>
        <w:pStyle w:val="Caption"/>
        <w:spacing w:after="120"/>
      </w:pPr>
      <w:bookmarkStart w:id="19" w:name="_Toc203135922"/>
      <w:r>
        <w:t xml:space="preserve">Table A1: </w:t>
      </w:r>
      <w:bookmarkEnd w:id="18"/>
      <w:r w:rsidR="00E71A78">
        <w:t>Permit Limits</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firstRow="1" w:lastRow="0" w:firstColumn="1" w:lastColumn="0" w:noHBand="0" w:noVBand="1"/>
      </w:tblPr>
      <w:tblGrid>
        <w:gridCol w:w="3298"/>
        <w:gridCol w:w="2056"/>
        <w:gridCol w:w="1580"/>
        <w:gridCol w:w="1582"/>
        <w:gridCol w:w="1572"/>
      </w:tblGrid>
      <w:tr w:rsidR="00745245" w14:paraId="52B09DE8" w14:textId="26FFA3AF" w:rsidTr="00BB6428">
        <w:trPr>
          <w:trHeight w:val="503"/>
          <w:tblHeader/>
          <w:jc w:val="center"/>
        </w:trPr>
        <w:tc>
          <w:tcPr>
            <w:tcW w:w="1635" w:type="pct"/>
            <w:shd w:val="clear" w:color="auto" w:fill="D9D9D9" w:themeFill="background1" w:themeFillShade="D9"/>
            <w:vAlign w:val="center"/>
          </w:tcPr>
          <w:p w14:paraId="79735739" w14:textId="55475BF5" w:rsidR="001B30C9" w:rsidRPr="0005582B" w:rsidRDefault="001B30C9" w:rsidP="00F539E9">
            <w:pPr>
              <w:pStyle w:val="TableColumnHeading"/>
              <w:spacing w:before="120" w:after="120"/>
              <w:rPr>
                <w:szCs w:val="22"/>
              </w:rPr>
            </w:pPr>
            <w:r w:rsidRPr="0005582B">
              <w:rPr>
                <w:szCs w:val="22"/>
              </w:rPr>
              <w:t>Parameter</w:t>
            </w:r>
          </w:p>
        </w:tc>
        <w:tc>
          <w:tcPr>
            <w:tcW w:w="1019" w:type="pct"/>
            <w:shd w:val="clear" w:color="auto" w:fill="D9D9D9" w:themeFill="background1" w:themeFillShade="D9"/>
            <w:vAlign w:val="center"/>
          </w:tcPr>
          <w:p w14:paraId="58E61546" w14:textId="77777777" w:rsidR="001B30C9" w:rsidRPr="0005582B" w:rsidRDefault="001B30C9" w:rsidP="00F539E9">
            <w:pPr>
              <w:pStyle w:val="TableColumnHeading"/>
              <w:spacing w:before="120" w:after="120"/>
              <w:rPr>
                <w:szCs w:val="22"/>
              </w:rPr>
            </w:pPr>
            <w:r w:rsidRPr="0005582B">
              <w:rPr>
                <w:szCs w:val="22"/>
              </w:rPr>
              <w:t>Units</w:t>
            </w:r>
          </w:p>
        </w:tc>
        <w:tc>
          <w:tcPr>
            <w:tcW w:w="783" w:type="pct"/>
            <w:shd w:val="clear" w:color="auto" w:fill="D9D9D9" w:themeFill="background1" w:themeFillShade="D9"/>
            <w:vAlign w:val="center"/>
          </w:tcPr>
          <w:p w14:paraId="1AEB8D35" w14:textId="61144402" w:rsidR="001B30C9" w:rsidRPr="0005582B" w:rsidRDefault="001B30C9" w:rsidP="00F539E9">
            <w:pPr>
              <w:pStyle w:val="TableColumnHeading"/>
              <w:spacing w:before="120" w:after="120"/>
              <w:rPr>
                <w:szCs w:val="22"/>
              </w:rPr>
            </w:pPr>
            <w:r w:rsidRPr="0005582B">
              <w:rPr>
                <w:szCs w:val="22"/>
              </w:rPr>
              <w:t>Average Monthly</w:t>
            </w:r>
          </w:p>
        </w:tc>
        <w:tc>
          <w:tcPr>
            <w:tcW w:w="784" w:type="pct"/>
            <w:shd w:val="clear" w:color="auto" w:fill="D9D9D9" w:themeFill="background1" w:themeFillShade="D9"/>
            <w:vAlign w:val="center"/>
          </w:tcPr>
          <w:p w14:paraId="164699C4" w14:textId="67122406" w:rsidR="001B30C9" w:rsidRPr="0005582B" w:rsidRDefault="001B30C9" w:rsidP="00F539E9">
            <w:pPr>
              <w:pStyle w:val="TableColumnHeading"/>
              <w:spacing w:before="120" w:after="120"/>
              <w:rPr>
                <w:szCs w:val="22"/>
              </w:rPr>
            </w:pPr>
            <w:r w:rsidRPr="0005582B">
              <w:rPr>
                <w:szCs w:val="22"/>
              </w:rPr>
              <w:t>Average Weekly</w:t>
            </w:r>
          </w:p>
        </w:tc>
        <w:tc>
          <w:tcPr>
            <w:tcW w:w="779" w:type="pct"/>
            <w:shd w:val="clear" w:color="auto" w:fill="D9D9D9" w:themeFill="background1" w:themeFillShade="D9"/>
            <w:vAlign w:val="center"/>
          </w:tcPr>
          <w:p w14:paraId="5C415D99" w14:textId="66723547" w:rsidR="001B30C9" w:rsidRPr="0005582B" w:rsidDel="00CB2177" w:rsidRDefault="001B30C9" w:rsidP="00F539E9">
            <w:pPr>
              <w:suppressAutoHyphens/>
              <w:spacing w:before="120" w:after="120"/>
              <w:jc w:val="center"/>
              <w:rPr>
                <w:rFonts w:ascii="Arial" w:hAnsi="Arial" w:cs="Arial"/>
                <w:b/>
                <w:szCs w:val="22"/>
              </w:rPr>
            </w:pPr>
            <w:r w:rsidRPr="0005582B">
              <w:rPr>
                <w:rFonts w:ascii="Arial" w:hAnsi="Arial" w:cs="Arial"/>
                <w:b/>
                <w:szCs w:val="22"/>
              </w:rPr>
              <w:t>Daily Maximum</w:t>
            </w:r>
          </w:p>
        </w:tc>
      </w:tr>
      <w:tr w:rsidR="00745245" w14:paraId="1DA0EFDF" w14:textId="77777777" w:rsidTr="00C979E9">
        <w:trPr>
          <w:trHeight w:val="503"/>
          <w:jc w:val="center"/>
        </w:trPr>
        <w:tc>
          <w:tcPr>
            <w:tcW w:w="1635" w:type="pct"/>
            <w:shd w:val="clear" w:color="auto" w:fill="auto"/>
            <w:vAlign w:val="center"/>
          </w:tcPr>
          <w:p w14:paraId="19618C0B" w14:textId="77777777" w:rsidR="00745245" w:rsidRPr="00745245" w:rsidRDefault="00745245" w:rsidP="00745245">
            <w:pPr>
              <w:pStyle w:val="TableColumnHeading"/>
              <w:jc w:val="left"/>
              <w:rPr>
                <w:rFonts w:ascii="Times New Roman" w:hAnsi="Times New Roman" w:cs="Times New Roman"/>
                <w:b w:val="0"/>
                <w:szCs w:val="22"/>
                <w:highlight w:val="yellow"/>
              </w:rPr>
            </w:pPr>
            <w:r w:rsidRPr="00745245">
              <w:rPr>
                <w:rFonts w:ascii="Times New Roman" w:hAnsi="Times New Roman" w:cs="Times New Roman"/>
                <w:b w:val="0"/>
                <w:szCs w:val="22"/>
                <w:highlight w:val="yellow"/>
              </w:rPr>
              <w:t>Effluent Flow</w:t>
            </w:r>
          </w:p>
          <w:p w14:paraId="60E04207" w14:textId="453C1270" w:rsidR="00745245" w:rsidRPr="00745245" w:rsidRDefault="00745245" w:rsidP="00745245">
            <w:pPr>
              <w:pStyle w:val="TableColumnHeading"/>
              <w:jc w:val="left"/>
              <w:rPr>
                <w:rFonts w:ascii="Times New Roman" w:hAnsi="Times New Roman" w:cs="Times New Roman"/>
                <w:b w:val="0"/>
                <w:szCs w:val="22"/>
                <w:highlight w:val="yellow"/>
              </w:rPr>
            </w:pPr>
            <w:r w:rsidRPr="00745245">
              <w:rPr>
                <w:rFonts w:ascii="Times New Roman" w:hAnsi="Times New Roman" w:cs="Times New Roman"/>
                <w:b w:val="0"/>
                <w:szCs w:val="22"/>
                <w:highlight w:val="yellow"/>
              </w:rPr>
              <w:t>(</w:t>
            </w:r>
            <w:r w:rsidR="005E32E4">
              <w:rPr>
                <w:rFonts w:ascii="Times New Roman" w:hAnsi="Times New Roman" w:cs="Times New Roman"/>
                <w:b w:val="0"/>
                <w:szCs w:val="22"/>
                <w:highlight w:val="yellow"/>
              </w:rPr>
              <w:t>June</w:t>
            </w:r>
            <w:r w:rsidRPr="00745245">
              <w:rPr>
                <w:rFonts w:ascii="Times New Roman" w:hAnsi="Times New Roman" w:cs="Times New Roman"/>
                <w:b w:val="0"/>
                <w:szCs w:val="22"/>
                <w:highlight w:val="yellow"/>
              </w:rPr>
              <w:t xml:space="preserve"> 1 to Oct 31)</w:t>
            </w:r>
          </w:p>
        </w:tc>
        <w:tc>
          <w:tcPr>
            <w:tcW w:w="1019" w:type="pct"/>
            <w:shd w:val="clear" w:color="auto" w:fill="auto"/>
            <w:vAlign w:val="center"/>
          </w:tcPr>
          <w:p w14:paraId="1651F118" w14:textId="11AFB7F2" w:rsidR="00745245" w:rsidRPr="00745245" w:rsidRDefault="00706B78" w:rsidP="00745245">
            <w:pPr>
              <w:pStyle w:val="TableColumnHeading"/>
              <w:spacing w:before="120" w:after="120"/>
              <w:rPr>
                <w:rFonts w:ascii="Times New Roman" w:hAnsi="Times New Roman" w:cs="Times New Roman"/>
                <w:b w:val="0"/>
                <w:szCs w:val="22"/>
                <w:highlight w:val="yellow"/>
              </w:rPr>
            </w:pPr>
            <w:r>
              <w:rPr>
                <w:rFonts w:ascii="Times New Roman" w:hAnsi="Times New Roman" w:cs="Times New Roman"/>
                <w:b w:val="0"/>
                <w:szCs w:val="22"/>
              </w:rPr>
              <w:t>GP</w:t>
            </w:r>
            <w:r w:rsidR="00745245" w:rsidRPr="00745245">
              <w:rPr>
                <w:rFonts w:ascii="Times New Roman" w:hAnsi="Times New Roman" w:cs="Times New Roman"/>
                <w:b w:val="0"/>
                <w:szCs w:val="22"/>
              </w:rPr>
              <w:t>D</w:t>
            </w:r>
          </w:p>
        </w:tc>
        <w:tc>
          <w:tcPr>
            <w:tcW w:w="2346" w:type="pct"/>
            <w:gridSpan w:val="3"/>
            <w:shd w:val="clear" w:color="auto" w:fill="auto"/>
            <w:vAlign w:val="center"/>
          </w:tcPr>
          <w:p w14:paraId="25530ABC" w14:textId="3740763D" w:rsidR="00745245" w:rsidRPr="00745245" w:rsidRDefault="00745245" w:rsidP="00745245">
            <w:pPr>
              <w:suppressAutoHyphens/>
              <w:spacing w:before="120" w:after="120"/>
              <w:jc w:val="left"/>
              <w:rPr>
                <w:szCs w:val="22"/>
                <w:highlight w:val="yellow"/>
              </w:rPr>
            </w:pPr>
            <w:r w:rsidRPr="00745245">
              <w:rPr>
                <w:szCs w:val="22"/>
                <w:highlight w:val="yellow"/>
              </w:rPr>
              <w:t xml:space="preserve">No discharge (Daily max limit = 0 </w:t>
            </w:r>
            <w:r w:rsidR="003311DC">
              <w:rPr>
                <w:szCs w:val="22"/>
                <w:highlight w:val="yellow"/>
              </w:rPr>
              <w:t>GP</w:t>
            </w:r>
            <w:r w:rsidR="00BC64F6" w:rsidRPr="00745245">
              <w:rPr>
                <w:szCs w:val="22"/>
                <w:highlight w:val="yellow"/>
              </w:rPr>
              <w:t>D</w:t>
            </w:r>
            <w:r w:rsidRPr="00745245">
              <w:rPr>
                <w:szCs w:val="22"/>
                <w:highlight w:val="yellow"/>
              </w:rPr>
              <w:t>)</w:t>
            </w:r>
          </w:p>
        </w:tc>
      </w:tr>
      <w:tr w:rsidR="00427590" w14:paraId="7D87C929" w14:textId="77777777" w:rsidTr="00BB6428">
        <w:trPr>
          <w:trHeight w:val="503"/>
          <w:jc w:val="center"/>
        </w:trPr>
        <w:tc>
          <w:tcPr>
            <w:tcW w:w="1635" w:type="pct"/>
            <w:shd w:val="clear" w:color="auto" w:fill="auto"/>
            <w:vAlign w:val="center"/>
          </w:tcPr>
          <w:p w14:paraId="3F75A241" w14:textId="77777777" w:rsidR="00745245" w:rsidRPr="00745245" w:rsidRDefault="00745245" w:rsidP="00745245">
            <w:pPr>
              <w:pStyle w:val="TableColumnHeading"/>
              <w:jc w:val="left"/>
              <w:rPr>
                <w:rFonts w:ascii="Times New Roman" w:hAnsi="Times New Roman" w:cs="Times New Roman"/>
                <w:b w:val="0"/>
                <w:szCs w:val="22"/>
                <w:highlight w:val="yellow"/>
              </w:rPr>
            </w:pPr>
            <w:r w:rsidRPr="00745245">
              <w:rPr>
                <w:rFonts w:ascii="Times New Roman" w:hAnsi="Times New Roman" w:cs="Times New Roman"/>
                <w:b w:val="0"/>
                <w:szCs w:val="22"/>
                <w:highlight w:val="yellow"/>
              </w:rPr>
              <w:t>Effluent Flow</w:t>
            </w:r>
          </w:p>
          <w:p w14:paraId="121121F2" w14:textId="3034D9B0" w:rsidR="00745245" w:rsidRPr="00745245" w:rsidRDefault="00745245" w:rsidP="00745245">
            <w:pPr>
              <w:pStyle w:val="TableColumnHeading"/>
              <w:jc w:val="left"/>
              <w:rPr>
                <w:rFonts w:ascii="Times New Roman" w:hAnsi="Times New Roman" w:cs="Times New Roman"/>
                <w:b w:val="0"/>
                <w:szCs w:val="22"/>
                <w:highlight w:val="yellow"/>
              </w:rPr>
            </w:pPr>
            <w:r w:rsidRPr="00745245">
              <w:rPr>
                <w:rFonts w:ascii="Times New Roman" w:hAnsi="Times New Roman" w:cs="Times New Roman"/>
                <w:b w:val="0"/>
                <w:szCs w:val="22"/>
                <w:highlight w:val="yellow"/>
              </w:rPr>
              <w:t>(Nov 1 to May 31)</w:t>
            </w:r>
          </w:p>
        </w:tc>
        <w:tc>
          <w:tcPr>
            <w:tcW w:w="1019" w:type="pct"/>
            <w:shd w:val="clear" w:color="auto" w:fill="auto"/>
            <w:vAlign w:val="center"/>
          </w:tcPr>
          <w:p w14:paraId="36500241" w14:textId="6E771F5C" w:rsidR="00745245" w:rsidRPr="00745245" w:rsidRDefault="00745245" w:rsidP="00745245">
            <w:pPr>
              <w:pStyle w:val="TableColumnHeading"/>
              <w:spacing w:before="120" w:after="120"/>
              <w:rPr>
                <w:rFonts w:ascii="Times New Roman" w:hAnsi="Times New Roman" w:cs="Times New Roman"/>
                <w:b w:val="0"/>
                <w:szCs w:val="22"/>
              </w:rPr>
            </w:pPr>
            <w:r>
              <w:rPr>
                <w:rFonts w:ascii="Times New Roman" w:hAnsi="Times New Roman" w:cs="Times New Roman"/>
                <w:b w:val="0"/>
                <w:szCs w:val="22"/>
              </w:rPr>
              <w:t>MGD</w:t>
            </w:r>
          </w:p>
        </w:tc>
        <w:tc>
          <w:tcPr>
            <w:tcW w:w="783" w:type="pct"/>
            <w:shd w:val="clear" w:color="auto" w:fill="auto"/>
            <w:vAlign w:val="center"/>
          </w:tcPr>
          <w:p w14:paraId="35D8870E" w14:textId="77777777" w:rsidR="00745245" w:rsidRPr="00745245" w:rsidRDefault="00745245" w:rsidP="00745245">
            <w:pPr>
              <w:suppressAutoHyphens/>
              <w:spacing w:before="120" w:after="120"/>
              <w:jc w:val="center"/>
              <w:rPr>
                <w:szCs w:val="22"/>
              </w:rPr>
            </w:pPr>
          </w:p>
        </w:tc>
        <w:tc>
          <w:tcPr>
            <w:tcW w:w="784" w:type="pct"/>
            <w:shd w:val="clear" w:color="auto" w:fill="auto"/>
            <w:vAlign w:val="center"/>
          </w:tcPr>
          <w:p w14:paraId="4EC1EAE5" w14:textId="77777777" w:rsidR="00745245" w:rsidRPr="00745245" w:rsidRDefault="00745245" w:rsidP="00745245">
            <w:pPr>
              <w:suppressAutoHyphens/>
              <w:spacing w:before="120" w:after="120"/>
              <w:jc w:val="center"/>
              <w:rPr>
                <w:szCs w:val="22"/>
              </w:rPr>
            </w:pPr>
          </w:p>
        </w:tc>
        <w:tc>
          <w:tcPr>
            <w:tcW w:w="779" w:type="pct"/>
            <w:shd w:val="clear" w:color="auto" w:fill="auto"/>
            <w:vAlign w:val="center"/>
          </w:tcPr>
          <w:p w14:paraId="36733A13" w14:textId="52730DB1" w:rsidR="00745245" w:rsidRPr="00745245" w:rsidRDefault="00745245" w:rsidP="00745245">
            <w:pPr>
              <w:suppressAutoHyphens/>
              <w:spacing w:before="120" w:after="120"/>
              <w:jc w:val="center"/>
              <w:rPr>
                <w:szCs w:val="22"/>
              </w:rPr>
            </w:pPr>
            <w:r w:rsidRPr="00745245">
              <w:rPr>
                <w:szCs w:val="22"/>
                <w:highlight w:val="yellow"/>
              </w:rPr>
              <w:t>20</w:t>
            </w:r>
          </w:p>
        </w:tc>
      </w:tr>
      <w:tr w:rsidR="00745245" w14:paraId="5A8E76E4" w14:textId="37DBE7F9" w:rsidTr="00BB6428">
        <w:trPr>
          <w:jc w:val="center"/>
        </w:trPr>
        <w:tc>
          <w:tcPr>
            <w:tcW w:w="1635" w:type="pct"/>
            <w:vMerge w:val="restart"/>
            <w:vAlign w:val="center"/>
          </w:tcPr>
          <w:p w14:paraId="23A5FA12" w14:textId="6B5A3998" w:rsidR="00650F0C" w:rsidRDefault="001B30C9" w:rsidP="00551F02">
            <w:pPr>
              <w:pStyle w:val="Tablecellentry"/>
            </w:pPr>
            <w:r>
              <w:t>BOD</w:t>
            </w:r>
            <w:r>
              <w:rPr>
                <w:vertAlign w:val="subscript"/>
              </w:rPr>
              <w:t>5</w:t>
            </w:r>
            <w:r>
              <w:t xml:space="preserve"> </w:t>
            </w:r>
            <w:r>
              <w:rPr>
                <w:highlight w:val="yellow"/>
              </w:rPr>
              <w:t>or CBOD</w:t>
            </w:r>
            <w:r>
              <w:rPr>
                <w:highlight w:val="yellow"/>
                <w:vertAlign w:val="subscript"/>
              </w:rPr>
              <w:t>5</w:t>
            </w:r>
            <w:r>
              <w:rPr>
                <w:highlight w:val="yellow"/>
              </w:rPr>
              <w:t xml:space="preserve"> See IMD</w:t>
            </w:r>
            <w:r w:rsidR="00650F0C">
              <w:rPr>
                <w:highlight w:val="yellow"/>
              </w:rPr>
              <w:t xml:space="preserve"> </w:t>
            </w:r>
            <w:r w:rsidRPr="005F5A07">
              <w:rPr>
                <w:highlight w:val="yellow"/>
              </w:rPr>
              <w:t>(</w:t>
            </w:r>
            <w:r>
              <w:rPr>
                <w:highlight w:val="yellow"/>
              </w:rPr>
              <w:t>May</w:t>
            </w:r>
            <w:r w:rsidRPr="005F5A07">
              <w:rPr>
                <w:highlight w:val="yellow"/>
              </w:rPr>
              <w:t xml:space="preserve"> 1 – </w:t>
            </w:r>
            <w:r>
              <w:rPr>
                <w:highlight w:val="yellow"/>
              </w:rPr>
              <w:t>October</w:t>
            </w:r>
            <w:r w:rsidRPr="005F5A07">
              <w:rPr>
                <w:highlight w:val="yellow"/>
              </w:rPr>
              <w:t xml:space="preserve"> </w:t>
            </w:r>
            <w:r>
              <w:rPr>
                <w:highlight w:val="yellow"/>
              </w:rPr>
              <w:t>3</w:t>
            </w:r>
            <w:r w:rsidRPr="005F5A07">
              <w:rPr>
                <w:highlight w:val="yellow"/>
              </w:rPr>
              <w:t>1)</w:t>
            </w:r>
            <w:r w:rsidR="00885536">
              <w:t xml:space="preserve"> </w:t>
            </w:r>
          </w:p>
          <w:p w14:paraId="5CA6B9A0" w14:textId="2916B930" w:rsidR="001B30C9" w:rsidRDefault="006546C9" w:rsidP="00551F02">
            <w:pPr>
              <w:pStyle w:val="Tablecellentry"/>
            </w:pPr>
            <w:r>
              <w:rPr>
                <w:highlight w:val="yellow"/>
              </w:rPr>
              <w:t>(</w:t>
            </w:r>
            <w:r w:rsidR="00885536" w:rsidRPr="00885536">
              <w:rPr>
                <w:highlight w:val="yellow"/>
              </w:rPr>
              <w:t>See note a.</w:t>
            </w:r>
            <w:r>
              <w:t>)</w:t>
            </w:r>
          </w:p>
        </w:tc>
        <w:tc>
          <w:tcPr>
            <w:tcW w:w="1019" w:type="pct"/>
          </w:tcPr>
          <w:p w14:paraId="032C21FE" w14:textId="77777777" w:rsidR="001B30C9" w:rsidRDefault="001B30C9" w:rsidP="004608C2">
            <w:pPr>
              <w:pStyle w:val="Tablecellentry"/>
              <w:jc w:val="center"/>
            </w:pPr>
            <w:r>
              <w:t>mg/L</w:t>
            </w:r>
          </w:p>
        </w:tc>
        <w:tc>
          <w:tcPr>
            <w:tcW w:w="783" w:type="pct"/>
          </w:tcPr>
          <w:p w14:paraId="4F20D235" w14:textId="77777777" w:rsidR="001B30C9" w:rsidRPr="00886EF8" w:rsidRDefault="001B30C9" w:rsidP="004608C2">
            <w:pPr>
              <w:pStyle w:val="Tablecellentry"/>
              <w:jc w:val="center"/>
              <w:rPr>
                <w:highlight w:val="yellow"/>
              </w:rPr>
            </w:pPr>
            <w:r w:rsidRPr="00886EF8">
              <w:rPr>
                <w:highlight w:val="yellow"/>
              </w:rPr>
              <w:t>30/25</w:t>
            </w:r>
          </w:p>
        </w:tc>
        <w:tc>
          <w:tcPr>
            <w:tcW w:w="784" w:type="pct"/>
          </w:tcPr>
          <w:p w14:paraId="392D194B" w14:textId="322ED615" w:rsidR="001B30C9" w:rsidRPr="00886EF8" w:rsidRDefault="001B30C9" w:rsidP="004608C2">
            <w:pPr>
              <w:pStyle w:val="Tablecellentry"/>
              <w:jc w:val="center"/>
              <w:rPr>
                <w:highlight w:val="yellow"/>
              </w:rPr>
            </w:pPr>
            <w:r w:rsidRPr="00886EF8">
              <w:rPr>
                <w:highlight w:val="yellow"/>
              </w:rPr>
              <w:t>45/40</w:t>
            </w:r>
          </w:p>
        </w:tc>
        <w:tc>
          <w:tcPr>
            <w:tcW w:w="779" w:type="pct"/>
            <w:vAlign w:val="center"/>
          </w:tcPr>
          <w:p w14:paraId="12301B28" w14:textId="16D66169" w:rsidR="001B30C9" w:rsidRDefault="001B30C9" w:rsidP="004608C2">
            <w:pPr>
              <w:pStyle w:val="Tablecellentry"/>
              <w:jc w:val="center"/>
            </w:pPr>
          </w:p>
        </w:tc>
      </w:tr>
      <w:tr w:rsidR="00745245" w14:paraId="02A7EC98" w14:textId="78FDE19A" w:rsidTr="00BB6428">
        <w:trPr>
          <w:jc w:val="center"/>
        </w:trPr>
        <w:tc>
          <w:tcPr>
            <w:tcW w:w="1635" w:type="pct"/>
            <w:vMerge/>
            <w:vAlign w:val="center"/>
          </w:tcPr>
          <w:p w14:paraId="2673ECDC" w14:textId="77777777" w:rsidR="001B30C9" w:rsidRDefault="001B30C9" w:rsidP="004608C2">
            <w:pPr>
              <w:pStyle w:val="Tablecellentry"/>
            </w:pPr>
          </w:p>
        </w:tc>
        <w:tc>
          <w:tcPr>
            <w:tcW w:w="1019" w:type="pct"/>
          </w:tcPr>
          <w:p w14:paraId="48527A34" w14:textId="4171DE03" w:rsidR="001B30C9" w:rsidRDefault="001B30C9" w:rsidP="004608C2">
            <w:pPr>
              <w:pStyle w:val="Tablecellentry"/>
              <w:jc w:val="center"/>
            </w:pPr>
            <w:r>
              <w:t>lb/day</w:t>
            </w:r>
          </w:p>
        </w:tc>
        <w:tc>
          <w:tcPr>
            <w:tcW w:w="783" w:type="pct"/>
          </w:tcPr>
          <w:p w14:paraId="1F270545" w14:textId="6A2FEDDC" w:rsidR="001B30C9" w:rsidRPr="00886EF8" w:rsidRDefault="001B30C9" w:rsidP="004608C2">
            <w:pPr>
              <w:pStyle w:val="Tablecellentry"/>
              <w:jc w:val="center"/>
              <w:rPr>
                <w:highlight w:val="yellow"/>
              </w:rPr>
            </w:pPr>
            <w:r w:rsidRPr="00886EF8">
              <w:rPr>
                <w:highlight w:val="yellow"/>
              </w:rPr>
              <w:t>#</w:t>
            </w:r>
          </w:p>
        </w:tc>
        <w:tc>
          <w:tcPr>
            <w:tcW w:w="784" w:type="pct"/>
          </w:tcPr>
          <w:p w14:paraId="3701DC84" w14:textId="2F7DA011" w:rsidR="001B30C9" w:rsidRPr="00886EF8" w:rsidRDefault="001B30C9" w:rsidP="004608C2">
            <w:pPr>
              <w:pStyle w:val="Tablecellentry"/>
              <w:jc w:val="center"/>
              <w:rPr>
                <w:highlight w:val="yellow"/>
              </w:rPr>
            </w:pPr>
            <w:r w:rsidRPr="00886EF8">
              <w:rPr>
                <w:highlight w:val="yellow"/>
              </w:rPr>
              <w:t>#</w:t>
            </w:r>
          </w:p>
        </w:tc>
        <w:tc>
          <w:tcPr>
            <w:tcW w:w="779" w:type="pct"/>
            <w:vAlign w:val="center"/>
          </w:tcPr>
          <w:p w14:paraId="5D75937C" w14:textId="6DC7386E" w:rsidR="001B30C9" w:rsidRPr="001B30C9" w:rsidRDefault="001B30C9" w:rsidP="004608C2">
            <w:pPr>
              <w:pStyle w:val="Tablecellentry"/>
              <w:jc w:val="center"/>
              <w:rPr>
                <w:highlight w:val="yellow"/>
              </w:rPr>
            </w:pPr>
            <w:r w:rsidRPr="001B30C9">
              <w:rPr>
                <w:highlight w:val="yellow"/>
              </w:rPr>
              <w:t>#</w:t>
            </w:r>
          </w:p>
        </w:tc>
      </w:tr>
      <w:tr w:rsidR="00745245" w14:paraId="744E48AA" w14:textId="1F73124F" w:rsidTr="00BB6428">
        <w:trPr>
          <w:jc w:val="center"/>
        </w:trPr>
        <w:tc>
          <w:tcPr>
            <w:tcW w:w="1635" w:type="pct"/>
            <w:vMerge/>
            <w:vAlign w:val="center"/>
          </w:tcPr>
          <w:p w14:paraId="7F2C2FF3" w14:textId="77777777" w:rsidR="001B30C9" w:rsidRDefault="001B30C9" w:rsidP="004608C2">
            <w:pPr>
              <w:pStyle w:val="Tablecellentry"/>
            </w:pPr>
          </w:p>
        </w:tc>
        <w:tc>
          <w:tcPr>
            <w:tcW w:w="1019" w:type="pct"/>
          </w:tcPr>
          <w:p w14:paraId="5D3867FA" w14:textId="77777777" w:rsidR="001B30C9" w:rsidRDefault="001B30C9" w:rsidP="004608C2">
            <w:pPr>
              <w:pStyle w:val="Tablecellentry"/>
              <w:jc w:val="center"/>
            </w:pPr>
            <w:r>
              <w:t>% removal</w:t>
            </w:r>
          </w:p>
        </w:tc>
        <w:tc>
          <w:tcPr>
            <w:tcW w:w="783" w:type="pct"/>
          </w:tcPr>
          <w:p w14:paraId="57F9C58C" w14:textId="77777777" w:rsidR="001B30C9" w:rsidRPr="00886EF8" w:rsidRDefault="001B30C9" w:rsidP="004608C2">
            <w:pPr>
              <w:pStyle w:val="Tablecellentry"/>
              <w:jc w:val="center"/>
              <w:rPr>
                <w:highlight w:val="yellow"/>
              </w:rPr>
            </w:pPr>
            <w:r w:rsidRPr="00886EF8">
              <w:rPr>
                <w:highlight w:val="yellow"/>
              </w:rPr>
              <w:t>85</w:t>
            </w:r>
          </w:p>
        </w:tc>
        <w:tc>
          <w:tcPr>
            <w:tcW w:w="784" w:type="pct"/>
          </w:tcPr>
          <w:p w14:paraId="241C82FF" w14:textId="6AEC8292" w:rsidR="001B30C9" w:rsidRPr="00886EF8" w:rsidRDefault="00EE7C55" w:rsidP="00EE7C55">
            <w:pPr>
              <w:pStyle w:val="Tablecellentry"/>
              <w:jc w:val="center"/>
              <w:rPr>
                <w:highlight w:val="yellow"/>
              </w:rPr>
            </w:pPr>
            <w:r>
              <w:rPr>
                <w:highlight w:val="yellow"/>
              </w:rPr>
              <w:t>-</w:t>
            </w:r>
          </w:p>
        </w:tc>
        <w:tc>
          <w:tcPr>
            <w:tcW w:w="779" w:type="pct"/>
            <w:vAlign w:val="center"/>
          </w:tcPr>
          <w:p w14:paraId="74DA4321" w14:textId="3F2F85FA" w:rsidR="001B30C9" w:rsidRDefault="00EE7C55" w:rsidP="004608C2">
            <w:pPr>
              <w:pStyle w:val="Tablecellentry"/>
              <w:jc w:val="center"/>
            </w:pPr>
            <w:r>
              <w:t>-</w:t>
            </w:r>
          </w:p>
        </w:tc>
      </w:tr>
      <w:tr w:rsidR="00745245" w14:paraId="50074E69" w14:textId="2F69C27D" w:rsidTr="00BB6428">
        <w:trPr>
          <w:jc w:val="center"/>
        </w:trPr>
        <w:tc>
          <w:tcPr>
            <w:tcW w:w="1635" w:type="pct"/>
            <w:vMerge w:val="restart"/>
            <w:vAlign w:val="center"/>
          </w:tcPr>
          <w:p w14:paraId="6F077D0F" w14:textId="77777777" w:rsidR="00650F0C" w:rsidRDefault="001B30C9" w:rsidP="004608C2">
            <w:pPr>
              <w:pStyle w:val="Tablecellentry"/>
            </w:pPr>
            <w:r>
              <w:t xml:space="preserve">TSS </w:t>
            </w:r>
            <w:r w:rsidRPr="00AF1846">
              <w:rPr>
                <w:highlight w:val="yellow"/>
              </w:rPr>
              <w:t>(May 1 – October 31)</w:t>
            </w:r>
            <w:r w:rsidR="00885536">
              <w:t xml:space="preserve"> </w:t>
            </w:r>
          </w:p>
          <w:p w14:paraId="7A468F60" w14:textId="7796A1B1" w:rsidR="001B30C9" w:rsidRPr="00864A5B" w:rsidRDefault="006546C9" w:rsidP="004608C2">
            <w:pPr>
              <w:pStyle w:val="Tablecellentry"/>
              <w:rPr>
                <w:vertAlign w:val="superscript"/>
              </w:rPr>
            </w:pPr>
            <w:r>
              <w:rPr>
                <w:highlight w:val="yellow"/>
              </w:rPr>
              <w:t>(</w:t>
            </w:r>
            <w:r w:rsidR="00885536" w:rsidRPr="00885536">
              <w:rPr>
                <w:highlight w:val="yellow"/>
              </w:rPr>
              <w:t>See note a.</w:t>
            </w:r>
            <w:r>
              <w:t>)</w:t>
            </w:r>
          </w:p>
        </w:tc>
        <w:tc>
          <w:tcPr>
            <w:tcW w:w="1019" w:type="pct"/>
          </w:tcPr>
          <w:p w14:paraId="7FF74C2F" w14:textId="77777777" w:rsidR="001B30C9" w:rsidRDefault="001B30C9" w:rsidP="004608C2">
            <w:pPr>
              <w:pStyle w:val="Tablecellentry"/>
              <w:jc w:val="center"/>
            </w:pPr>
            <w:r>
              <w:t>mg/L</w:t>
            </w:r>
          </w:p>
        </w:tc>
        <w:tc>
          <w:tcPr>
            <w:tcW w:w="783" w:type="pct"/>
          </w:tcPr>
          <w:p w14:paraId="4D32A015" w14:textId="77777777" w:rsidR="001B30C9" w:rsidRPr="00886EF8" w:rsidRDefault="001B30C9" w:rsidP="004608C2">
            <w:pPr>
              <w:pStyle w:val="Tablecellentry"/>
              <w:jc w:val="center"/>
              <w:rPr>
                <w:highlight w:val="yellow"/>
              </w:rPr>
            </w:pPr>
            <w:r w:rsidRPr="00886EF8">
              <w:rPr>
                <w:highlight w:val="yellow"/>
              </w:rPr>
              <w:t>30/25</w:t>
            </w:r>
          </w:p>
        </w:tc>
        <w:tc>
          <w:tcPr>
            <w:tcW w:w="784" w:type="pct"/>
          </w:tcPr>
          <w:p w14:paraId="2A342CF5" w14:textId="4B046C92" w:rsidR="001B30C9" w:rsidRPr="00886EF8" w:rsidRDefault="001B30C9" w:rsidP="004608C2">
            <w:pPr>
              <w:pStyle w:val="Tablecellentry"/>
              <w:jc w:val="center"/>
              <w:rPr>
                <w:highlight w:val="yellow"/>
              </w:rPr>
            </w:pPr>
            <w:r w:rsidRPr="00886EF8">
              <w:rPr>
                <w:highlight w:val="yellow"/>
              </w:rPr>
              <w:t>45/40</w:t>
            </w:r>
          </w:p>
        </w:tc>
        <w:tc>
          <w:tcPr>
            <w:tcW w:w="779" w:type="pct"/>
            <w:vAlign w:val="center"/>
          </w:tcPr>
          <w:p w14:paraId="2EAD78FD" w14:textId="4ED45112" w:rsidR="001B30C9" w:rsidRDefault="001B30C9" w:rsidP="004608C2">
            <w:pPr>
              <w:pStyle w:val="Tablecellentry"/>
              <w:jc w:val="center"/>
            </w:pPr>
          </w:p>
        </w:tc>
      </w:tr>
      <w:tr w:rsidR="00745245" w14:paraId="0D6C4260" w14:textId="310DC624" w:rsidTr="00BB6428">
        <w:trPr>
          <w:jc w:val="center"/>
        </w:trPr>
        <w:tc>
          <w:tcPr>
            <w:tcW w:w="1635" w:type="pct"/>
            <w:vMerge/>
            <w:vAlign w:val="center"/>
          </w:tcPr>
          <w:p w14:paraId="4357FD71" w14:textId="77777777" w:rsidR="001B30C9" w:rsidRDefault="001B30C9" w:rsidP="004608C2">
            <w:pPr>
              <w:pStyle w:val="Tablecellentry"/>
            </w:pPr>
          </w:p>
        </w:tc>
        <w:tc>
          <w:tcPr>
            <w:tcW w:w="1019" w:type="pct"/>
          </w:tcPr>
          <w:p w14:paraId="21A2B617" w14:textId="32FA3592" w:rsidR="001B30C9" w:rsidRDefault="001B30C9" w:rsidP="004608C2">
            <w:pPr>
              <w:pStyle w:val="Tablecellentry"/>
              <w:jc w:val="center"/>
            </w:pPr>
            <w:r>
              <w:t>lb/day</w:t>
            </w:r>
          </w:p>
        </w:tc>
        <w:tc>
          <w:tcPr>
            <w:tcW w:w="783" w:type="pct"/>
          </w:tcPr>
          <w:p w14:paraId="7A304241" w14:textId="08C2F7B7" w:rsidR="001B30C9" w:rsidRPr="00886EF8" w:rsidRDefault="001B30C9" w:rsidP="004608C2">
            <w:pPr>
              <w:pStyle w:val="Tablecellentry"/>
              <w:jc w:val="center"/>
              <w:rPr>
                <w:highlight w:val="yellow"/>
              </w:rPr>
            </w:pPr>
            <w:r w:rsidRPr="00886EF8">
              <w:rPr>
                <w:highlight w:val="yellow"/>
              </w:rPr>
              <w:t>#</w:t>
            </w:r>
          </w:p>
        </w:tc>
        <w:tc>
          <w:tcPr>
            <w:tcW w:w="784" w:type="pct"/>
          </w:tcPr>
          <w:p w14:paraId="286AB6C5" w14:textId="46211EC7" w:rsidR="001B30C9" w:rsidRPr="00886EF8" w:rsidRDefault="001B30C9" w:rsidP="004608C2">
            <w:pPr>
              <w:pStyle w:val="Tablecellentry"/>
              <w:jc w:val="center"/>
              <w:rPr>
                <w:highlight w:val="yellow"/>
              </w:rPr>
            </w:pPr>
            <w:r w:rsidRPr="00886EF8">
              <w:rPr>
                <w:highlight w:val="yellow"/>
              </w:rPr>
              <w:t>#</w:t>
            </w:r>
          </w:p>
        </w:tc>
        <w:tc>
          <w:tcPr>
            <w:tcW w:w="779" w:type="pct"/>
            <w:vAlign w:val="center"/>
          </w:tcPr>
          <w:p w14:paraId="20F2607C" w14:textId="1D81FE25" w:rsidR="001B30C9" w:rsidRPr="001B30C9" w:rsidRDefault="001B30C9" w:rsidP="004608C2">
            <w:pPr>
              <w:pStyle w:val="Tablecellentry"/>
              <w:jc w:val="center"/>
              <w:rPr>
                <w:highlight w:val="yellow"/>
              </w:rPr>
            </w:pPr>
            <w:r w:rsidRPr="001B30C9">
              <w:rPr>
                <w:highlight w:val="yellow"/>
              </w:rPr>
              <w:t>#</w:t>
            </w:r>
          </w:p>
        </w:tc>
      </w:tr>
      <w:tr w:rsidR="00745245" w14:paraId="10E4D2B3" w14:textId="0BFDC7D6" w:rsidTr="00BB6428">
        <w:trPr>
          <w:jc w:val="center"/>
        </w:trPr>
        <w:tc>
          <w:tcPr>
            <w:tcW w:w="1635" w:type="pct"/>
            <w:vMerge/>
            <w:vAlign w:val="center"/>
          </w:tcPr>
          <w:p w14:paraId="0D3B21BD" w14:textId="77777777" w:rsidR="001B30C9" w:rsidRDefault="001B30C9" w:rsidP="004608C2">
            <w:pPr>
              <w:pStyle w:val="Tablecellentry"/>
            </w:pPr>
          </w:p>
        </w:tc>
        <w:tc>
          <w:tcPr>
            <w:tcW w:w="1019" w:type="pct"/>
          </w:tcPr>
          <w:p w14:paraId="308A005D" w14:textId="77777777" w:rsidR="001B30C9" w:rsidRDefault="001B30C9" w:rsidP="004608C2">
            <w:pPr>
              <w:pStyle w:val="Tablecellentry"/>
              <w:jc w:val="center"/>
            </w:pPr>
            <w:r>
              <w:t>% removal</w:t>
            </w:r>
          </w:p>
        </w:tc>
        <w:tc>
          <w:tcPr>
            <w:tcW w:w="783" w:type="pct"/>
          </w:tcPr>
          <w:p w14:paraId="393CCC2C" w14:textId="77777777" w:rsidR="001B30C9" w:rsidRPr="00886EF8" w:rsidRDefault="001B30C9" w:rsidP="004608C2">
            <w:pPr>
              <w:pStyle w:val="Tablecellentry"/>
              <w:jc w:val="center"/>
              <w:rPr>
                <w:highlight w:val="yellow"/>
              </w:rPr>
            </w:pPr>
            <w:r w:rsidRPr="00886EF8">
              <w:rPr>
                <w:highlight w:val="yellow"/>
              </w:rPr>
              <w:t>85</w:t>
            </w:r>
          </w:p>
        </w:tc>
        <w:tc>
          <w:tcPr>
            <w:tcW w:w="784" w:type="pct"/>
          </w:tcPr>
          <w:p w14:paraId="6C718C66" w14:textId="12C9D4A9" w:rsidR="001B30C9" w:rsidRPr="00886EF8" w:rsidRDefault="001B30C9" w:rsidP="00EE7C55">
            <w:pPr>
              <w:pStyle w:val="Tablecellentry"/>
              <w:rPr>
                <w:highlight w:val="yellow"/>
              </w:rPr>
            </w:pPr>
          </w:p>
        </w:tc>
        <w:tc>
          <w:tcPr>
            <w:tcW w:w="779" w:type="pct"/>
            <w:vAlign w:val="center"/>
          </w:tcPr>
          <w:p w14:paraId="5B240BC8" w14:textId="515A77CC" w:rsidR="001B30C9" w:rsidRDefault="001B30C9" w:rsidP="004608C2">
            <w:pPr>
              <w:pStyle w:val="Tablecellentry"/>
              <w:jc w:val="center"/>
            </w:pPr>
          </w:p>
        </w:tc>
      </w:tr>
      <w:tr w:rsidR="00745245" w14:paraId="78A9B01E" w14:textId="5E1C4D84" w:rsidTr="00BB6428">
        <w:trPr>
          <w:jc w:val="center"/>
        </w:trPr>
        <w:tc>
          <w:tcPr>
            <w:tcW w:w="1635" w:type="pct"/>
            <w:vMerge w:val="restart"/>
            <w:vAlign w:val="center"/>
          </w:tcPr>
          <w:p w14:paraId="0B2E0135" w14:textId="7F6115A0" w:rsidR="00650F0C" w:rsidRDefault="001B30C9" w:rsidP="00551F02">
            <w:pPr>
              <w:pStyle w:val="Tablecellentry"/>
              <w:rPr>
                <w:highlight w:val="yellow"/>
              </w:rPr>
            </w:pPr>
            <w:r w:rsidRPr="000348CB">
              <w:rPr>
                <w:highlight w:val="yellow"/>
              </w:rPr>
              <w:t>BOD</w:t>
            </w:r>
            <w:r w:rsidRPr="000348CB">
              <w:rPr>
                <w:highlight w:val="yellow"/>
                <w:vertAlign w:val="subscript"/>
              </w:rPr>
              <w:t>5</w:t>
            </w:r>
            <w:r>
              <w:t xml:space="preserve"> </w:t>
            </w:r>
            <w:r w:rsidRPr="00650F0C">
              <w:rPr>
                <w:highlight w:val="yellow"/>
              </w:rPr>
              <w:t>or CBOD</w:t>
            </w:r>
            <w:r w:rsidRPr="00650F0C">
              <w:rPr>
                <w:highlight w:val="yellow"/>
                <w:vertAlign w:val="subscript"/>
              </w:rPr>
              <w:t>5</w:t>
            </w:r>
            <w:r w:rsidRPr="00650F0C">
              <w:rPr>
                <w:highlight w:val="yellow"/>
              </w:rPr>
              <w:t xml:space="preserve"> See IMD</w:t>
            </w:r>
            <w:r>
              <w:t xml:space="preserve"> </w:t>
            </w:r>
            <w:r w:rsidRPr="005F5A07">
              <w:rPr>
                <w:highlight w:val="yellow"/>
              </w:rPr>
              <w:t>(November 1 – April 1</w:t>
            </w:r>
            <w:r w:rsidRPr="00885536">
              <w:rPr>
                <w:highlight w:val="yellow"/>
              </w:rPr>
              <w:t>)</w:t>
            </w:r>
            <w:r w:rsidR="00885536" w:rsidRPr="00885536">
              <w:rPr>
                <w:highlight w:val="yellow"/>
              </w:rPr>
              <w:t xml:space="preserve"> </w:t>
            </w:r>
          </w:p>
          <w:p w14:paraId="3573C4BE" w14:textId="0DEECFB8" w:rsidR="001B30C9" w:rsidRDefault="006546C9" w:rsidP="00551F02">
            <w:pPr>
              <w:pStyle w:val="Tablecellentry"/>
            </w:pPr>
            <w:r>
              <w:rPr>
                <w:highlight w:val="yellow"/>
              </w:rPr>
              <w:t>(</w:t>
            </w:r>
            <w:r w:rsidR="00885536" w:rsidRPr="00885536">
              <w:rPr>
                <w:highlight w:val="yellow"/>
              </w:rPr>
              <w:t>See note a.</w:t>
            </w:r>
            <w:r>
              <w:t>)</w:t>
            </w:r>
          </w:p>
        </w:tc>
        <w:tc>
          <w:tcPr>
            <w:tcW w:w="1019" w:type="pct"/>
          </w:tcPr>
          <w:p w14:paraId="354F6AD7" w14:textId="77777777" w:rsidR="001B30C9" w:rsidRDefault="001B30C9" w:rsidP="004608C2">
            <w:pPr>
              <w:pStyle w:val="Tablecellentry"/>
              <w:jc w:val="center"/>
            </w:pPr>
            <w:r>
              <w:t>mg/L</w:t>
            </w:r>
          </w:p>
        </w:tc>
        <w:tc>
          <w:tcPr>
            <w:tcW w:w="783" w:type="pct"/>
          </w:tcPr>
          <w:p w14:paraId="42C28E53" w14:textId="77777777" w:rsidR="001B30C9" w:rsidRPr="00886EF8" w:rsidRDefault="001B30C9" w:rsidP="004608C2">
            <w:pPr>
              <w:pStyle w:val="Tablecellentry"/>
              <w:jc w:val="center"/>
              <w:rPr>
                <w:highlight w:val="yellow"/>
              </w:rPr>
            </w:pPr>
            <w:r w:rsidRPr="00886EF8">
              <w:rPr>
                <w:highlight w:val="yellow"/>
              </w:rPr>
              <w:t>30/25</w:t>
            </w:r>
          </w:p>
        </w:tc>
        <w:tc>
          <w:tcPr>
            <w:tcW w:w="784" w:type="pct"/>
          </w:tcPr>
          <w:p w14:paraId="3CDAE649" w14:textId="7E939A0B" w:rsidR="001B30C9" w:rsidRPr="00886EF8" w:rsidRDefault="001B30C9" w:rsidP="004608C2">
            <w:pPr>
              <w:pStyle w:val="Tablecellentry"/>
              <w:jc w:val="center"/>
              <w:rPr>
                <w:highlight w:val="yellow"/>
              </w:rPr>
            </w:pPr>
            <w:r w:rsidRPr="00886EF8">
              <w:rPr>
                <w:highlight w:val="yellow"/>
              </w:rPr>
              <w:t>45/40</w:t>
            </w:r>
          </w:p>
        </w:tc>
        <w:tc>
          <w:tcPr>
            <w:tcW w:w="779" w:type="pct"/>
            <w:vAlign w:val="center"/>
          </w:tcPr>
          <w:p w14:paraId="34C15A15" w14:textId="16B2BBB5" w:rsidR="001B30C9" w:rsidRDefault="001B30C9" w:rsidP="004608C2">
            <w:pPr>
              <w:pStyle w:val="Tablecellentry"/>
              <w:jc w:val="center"/>
            </w:pPr>
          </w:p>
        </w:tc>
      </w:tr>
      <w:tr w:rsidR="00745245" w14:paraId="007C3A0F" w14:textId="0B3F20F0" w:rsidTr="00BB6428">
        <w:trPr>
          <w:jc w:val="center"/>
        </w:trPr>
        <w:tc>
          <w:tcPr>
            <w:tcW w:w="1635" w:type="pct"/>
            <w:vMerge/>
            <w:vAlign w:val="center"/>
          </w:tcPr>
          <w:p w14:paraId="20D65C98" w14:textId="77777777" w:rsidR="001B30C9" w:rsidRDefault="001B30C9" w:rsidP="004608C2">
            <w:pPr>
              <w:pStyle w:val="Tablecellentry"/>
            </w:pPr>
          </w:p>
        </w:tc>
        <w:tc>
          <w:tcPr>
            <w:tcW w:w="1019" w:type="pct"/>
          </w:tcPr>
          <w:p w14:paraId="5AAB0A0F" w14:textId="61280400" w:rsidR="001B30C9" w:rsidRDefault="001B30C9" w:rsidP="004608C2">
            <w:pPr>
              <w:pStyle w:val="Tablecellentry"/>
              <w:jc w:val="center"/>
            </w:pPr>
            <w:r>
              <w:t>lb/day</w:t>
            </w:r>
          </w:p>
        </w:tc>
        <w:tc>
          <w:tcPr>
            <w:tcW w:w="783" w:type="pct"/>
          </w:tcPr>
          <w:p w14:paraId="6EADCF4B" w14:textId="0048FFC9" w:rsidR="001B30C9" w:rsidRPr="00886EF8" w:rsidRDefault="001B30C9" w:rsidP="004608C2">
            <w:pPr>
              <w:pStyle w:val="Tablecellentry"/>
              <w:jc w:val="center"/>
              <w:rPr>
                <w:highlight w:val="yellow"/>
              </w:rPr>
            </w:pPr>
            <w:r w:rsidRPr="00886EF8">
              <w:rPr>
                <w:highlight w:val="yellow"/>
              </w:rPr>
              <w:t>#</w:t>
            </w:r>
          </w:p>
        </w:tc>
        <w:tc>
          <w:tcPr>
            <w:tcW w:w="784" w:type="pct"/>
          </w:tcPr>
          <w:p w14:paraId="1CF65507" w14:textId="5CD258AB" w:rsidR="001B30C9" w:rsidRPr="00886EF8" w:rsidRDefault="001B30C9" w:rsidP="004608C2">
            <w:pPr>
              <w:pStyle w:val="Tablecellentry"/>
              <w:jc w:val="center"/>
              <w:rPr>
                <w:highlight w:val="yellow"/>
              </w:rPr>
            </w:pPr>
            <w:r w:rsidRPr="00886EF8">
              <w:rPr>
                <w:highlight w:val="yellow"/>
              </w:rPr>
              <w:t>#</w:t>
            </w:r>
          </w:p>
        </w:tc>
        <w:tc>
          <w:tcPr>
            <w:tcW w:w="779" w:type="pct"/>
            <w:vAlign w:val="center"/>
          </w:tcPr>
          <w:p w14:paraId="3128ACDC" w14:textId="4BE4719C" w:rsidR="001B30C9" w:rsidRPr="001B30C9" w:rsidRDefault="001B30C9" w:rsidP="004608C2">
            <w:pPr>
              <w:pStyle w:val="Tablecellentry"/>
              <w:jc w:val="center"/>
              <w:rPr>
                <w:highlight w:val="yellow"/>
              </w:rPr>
            </w:pPr>
            <w:r w:rsidRPr="001B30C9">
              <w:rPr>
                <w:highlight w:val="yellow"/>
              </w:rPr>
              <w:t>#</w:t>
            </w:r>
          </w:p>
        </w:tc>
      </w:tr>
      <w:tr w:rsidR="00745245" w14:paraId="07BE96B1" w14:textId="0406B005" w:rsidTr="00BB6428">
        <w:trPr>
          <w:jc w:val="center"/>
        </w:trPr>
        <w:tc>
          <w:tcPr>
            <w:tcW w:w="1635" w:type="pct"/>
            <w:vMerge/>
            <w:vAlign w:val="center"/>
          </w:tcPr>
          <w:p w14:paraId="38CC0586" w14:textId="77777777" w:rsidR="001B30C9" w:rsidRDefault="001B30C9" w:rsidP="004608C2">
            <w:pPr>
              <w:pStyle w:val="Tablecellentry"/>
            </w:pPr>
          </w:p>
        </w:tc>
        <w:tc>
          <w:tcPr>
            <w:tcW w:w="1019" w:type="pct"/>
          </w:tcPr>
          <w:p w14:paraId="05FCC8BD" w14:textId="3AF8364F" w:rsidR="001B30C9" w:rsidRDefault="001B30C9" w:rsidP="004608C2">
            <w:pPr>
              <w:pStyle w:val="Tablecellentry"/>
              <w:jc w:val="center"/>
            </w:pPr>
            <w:r>
              <w:t>%</w:t>
            </w:r>
            <w:r w:rsidR="00283B8A">
              <w:t xml:space="preserve"> removal</w:t>
            </w:r>
          </w:p>
        </w:tc>
        <w:tc>
          <w:tcPr>
            <w:tcW w:w="783" w:type="pct"/>
          </w:tcPr>
          <w:p w14:paraId="4DADBE8B" w14:textId="77777777" w:rsidR="001B30C9" w:rsidRPr="00886EF8" w:rsidRDefault="001B30C9" w:rsidP="004608C2">
            <w:pPr>
              <w:pStyle w:val="Tablecellentry"/>
              <w:jc w:val="center"/>
              <w:rPr>
                <w:highlight w:val="yellow"/>
              </w:rPr>
            </w:pPr>
            <w:r w:rsidRPr="00886EF8">
              <w:rPr>
                <w:highlight w:val="yellow"/>
              </w:rPr>
              <w:t>85</w:t>
            </w:r>
          </w:p>
        </w:tc>
        <w:tc>
          <w:tcPr>
            <w:tcW w:w="784" w:type="pct"/>
          </w:tcPr>
          <w:p w14:paraId="1D73CA11" w14:textId="7E3A2AB5" w:rsidR="001B30C9" w:rsidRPr="00886EF8" w:rsidRDefault="00EE7C55" w:rsidP="00EE7C55">
            <w:pPr>
              <w:pStyle w:val="Tablecellentry"/>
              <w:jc w:val="center"/>
              <w:rPr>
                <w:highlight w:val="yellow"/>
              </w:rPr>
            </w:pPr>
            <w:r>
              <w:rPr>
                <w:highlight w:val="yellow"/>
              </w:rPr>
              <w:t>-</w:t>
            </w:r>
          </w:p>
        </w:tc>
        <w:tc>
          <w:tcPr>
            <w:tcW w:w="779" w:type="pct"/>
            <w:vAlign w:val="center"/>
          </w:tcPr>
          <w:p w14:paraId="7E1BB368" w14:textId="2C9F4F94" w:rsidR="001B30C9" w:rsidRDefault="00EE7C55" w:rsidP="004608C2">
            <w:pPr>
              <w:pStyle w:val="Tablecellentry"/>
              <w:jc w:val="center"/>
            </w:pPr>
            <w:r>
              <w:t>-</w:t>
            </w:r>
          </w:p>
        </w:tc>
      </w:tr>
      <w:tr w:rsidR="00745245" w14:paraId="133AFEE0" w14:textId="58063CDD" w:rsidTr="00BB6428">
        <w:trPr>
          <w:jc w:val="center"/>
        </w:trPr>
        <w:tc>
          <w:tcPr>
            <w:tcW w:w="1635" w:type="pct"/>
            <w:vMerge w:val="restart"/>
            <w:vAlign w:val="center"/>
          </w:tcPr>
          <w:p w14:paraId="760DD0E4" w14:textId="77777777" w:rsidR="006546C9" w:rsidRDefault="001B30C9" w:rsidP="004608C2">
            <w:pPr>
              <w:pStyle w:val="Tablecellentry"/>
              <w:rPr>
                <w:highlight w:val="yellow"/>
              </w:rPr>
            </w:pPr>
            <w:r w:rsidRPr="00DC2941">
              <w:rPr>
                <w:highlight w:val="yellow"/>
              </w:rPr>
              <w:t>TSS (November 1 – April 1</w:t>
            </w:r>
            <w:r w:rsidRPr="00885536">
              <w:rPr>
                <w:highlight w:val="yellow"/>
              </w:rPr>
              <w:t>)</w:t>
            </w:r>
          </w:p>
          <w:p w14:paraId="35A7CC28" w14:textId="0C4912B2" w:rsidR="001B30C9" w:rsidRDefault="006546C9" w:rsidP="004608C2">
            <w:pPr>
              <w:pStyle w:val="Tablecellentry"/>
            </w:pPr>
            <w:r>
              <w:rPr>
                <w:highlight w:val="yellow"/>
              </w:rPr>
              <w:t>(</w:t>
            </w:r>
            <w:r w:rsidR="00885536" w:rsidRPr="00885536">
              <w:rPr>
                <w:highlight w:val="yellow"/>
              </w:rPr>
              <w:t>See note a.</w:t>
            </w:r>
            <w:r>
              <w:t>)</w:t>
            </w:r>
          </w:p>
        </w:tc>
        <w:tc>
          <w:tcPr>
            <w:tcW w:w="1019" w:type="pct"/>
          </w:tcPr>
          <w:p w14:paraId="014FFBCB" w14:textId="77777777" w:rsidR="001B30C9" w:rsidRDefault="001B30C9" w:rsidP="004608C2">
            <w:pPr>
              <w:pStyle w:val="Tablecellentry"/>
              <w:jc w:val="center"/>
            </w:pPr>
            <w:r>
              <w:t>mg/L</w:t>
            </w:r>
          </w:p>
        </w:tc>
        <w:tc>
          <w:tcPr>
            <w:tcW w:w="783" w:type="pct"/>
          </w:tcPr>
          <w:p w14:paraId="747B4561" w14:textId="77777777" w:rsidR="001B30C9" w:rsidRPr="00886EF8" w:rsidRDefault="001B30C9" w:rsidP="004608C2">
            <w:pPr>
              <w:pStyle w:val="Tablecellentry"/>
              <w:jc w:val="center"/>
              <w:rPr>
                <w:highlight w:val="yellow"/>
              </w:rPr>
            </w:pPr>
            <w:r w:rsidRPr="00886EF8">
              <w:rPr>
                <w:highlight w:val="yellow"/>
              </w:rPr>
              <w:t>30/25</w:t>
            </w:r>
          </w:p>
        </w:tc>
        <w:tc>
          <w:tcPr>
            <w:tcW w:w="784" w:type="pct"/>
          </w:tcPr>
          <w:p w14:paraId="382181A4" w14:textId="315D5DDE" w:rsidR="001B30C9" w:rsidRPr="00886EF8" w:rsidRDefault="001B30C9" w:rsidP="004608C2">
            <w:pPr>
              <w:pStyle w:val="Tablecellentry"/>
              <w:jc w:val="center"/>
              <w:rPr>
                <w:highlight w:val="yellow"/>
              </w:rPr>
            </w:pPr>
            <w:r w:rsidRPr="00886EF8">
              <w:rPr>
                <w:highlight w:val="yellow"/>
              </w:rPr>
              <w:t>45/40</w:t>
            </w:r>
          </w:p>
        </w:tc>
        <w:tc>
          <w:tcPr>
            <w:tcW w:w="779" w:type="pct"/>
            <w:vAlign w:val="center"/>
          </w:tcPr>
          <w:p w14:paraId="78774911" w14:textId="69F41E83" w:rsidR="001B30C9" w:rsidRDefault="001B30C9" w:rsidP="004608C2">
            <w:pPr>
              <w:pStyle w:val="Tablecellentry"/>
              <w:jc w:val="center"/>
            </w:pPr>
          </w:p>
        </w:tc>
      </w:tr>
      <w:tr w:rsidR="00745245" w14:paraId="1ECF60B8" w14:textId="4B77B242" w:rsidTr="00BB6428">
        <w:trPr>
          <w:jc w:val="center"/>
        </w:trPr>
        <w:tc>
          <w:tcPr>
            <w:tcW w:w="1635" w:type="pct"/>
            <w:vMerge/>
            <w:vAlign w:val="center"/>
          </w:tcPr>
          <w:p w14:paraId="595087DA" w14:textId="77777777" w:rsidR="001B30C9" w:rsidRDefault="001B30C9" w:rsidP="004608C2">
            <w:pPr>
              <w:pStyle w:val="Tablecellentry"/>
            </w:pPr>
          </w:p>
        </w:tc>
        <w:tc>
          <w:tcPr>
            <w:tcW w:w="1019" w:type="pct"/>
          </w:tcPr>
          <w:p w14:paraId="0178A40B" w14:textId="53B29AF4" w:rsidR="001B30C9" w:rsidRDefault="001B30C9" w:rsidP="004608C2">
            <w:pPr>
              <w:pStyle w:val="Tablecellentry"/>
              <w:jc w:val="center"/>
            </w:pPr>
            <w:r>
              <w:t>lb/day</w:t>
            </w:r>
          </w:p>
        </w:tc>
        <w:tc>
          <w:tcPr>
            <w:tcW w:w="783" w:type="pct"/>
          </w:tcPr>
          <w:p w14:paraId="0C39F86A" w14:textId="58C5752D" w:rsidR="001B30C9" w:rsidRPr="00886EF8" w:rsidRDefault="001B30C9" w:rsidP="004608C2">
            <w:pPr>
              <w:pStyle w:val="Tablecellentry"/>
              <w:jc w:val="center"/>
              <w:rPr>
                <w:highlight w:val="yellow"/>
              </w:rPr>
            </w:pPr>
            <w:r w:rsidRPr="00886EF8">
              <w:rPr>
                <w:highlight w:val="yellow"/>
              </w:rPr>
              <w:t>#</w:t>
            </w:r>
          </w:p>
        </w:tc>
        <w:tc>
          <w:tcPr>
            <w:tcW w:w="784" w:type="pct"/>
          </w:tcPr>
          <w:p w14:paraId="26FBB9C0" w14:textId="63AA548D" w:rsidR="001B30C9" w:rsidRPr="00886EF8" w:rsidRDefault="001B30C9" w:rsidP="004608C2">
            <w:pPr>
              <w:pStyle w:val="Tablecellentry"/>
              <w:jc w:val="center"/>
              <w:rPr>
                <w:highlight w:val="yellow"/>
              </w:rPr>
            </w:pPr>
            <w:r w:rsidRPr="00886EF8">
              <w:rPr>
                <w:highlight w:val="yellow"/>
              </w:rPr>
              <w:t>#</w:t>
            </w:r>
          </w:p>
        </w:tc>
        <w:tc>
          <w:tcPr>
            <w:tcW w:w="779" w:type="pct"/>
            <w:vAlign w:val="center"/>
          </w:tcPr>
          <w:p w14:paraId="2211C56B" w14:textId="1246963A" w:rsidR="001B30C9" w:rsidRPr="001B30C9" w:rsidRDefault="001B30C9" w:rsidP="004608C2">
            <w:pPr>
              <w:pStyle w:val="Tablecellentry"/>
              <w:jc w:val="center"/>
              <w:rPr>
                <w:highlight w:val="yellow"/>
              </w:rPr>
            </w:pPr>
            <w:r w:rsidRPr="001B30C9">
              <w:rPr>
                <w:highlight w:val="yellow"/>
              </w:rPr>
              <w:t>#</w:t>
            </w:r>
          </w:p>
        </w:tc>
      </w:tr>
      <w:tr w:rsidR="00745245" w14:paraId="37BE22CF" w14:textId="411257E4" w:rsidTr="00BB6428">
        <w:trPr>
          <w:jc w:val="center"/>
        </w:trPr>
        <w:tc>
          <w:tcPr>
            <w:tcW w:w="1635" w:type="pct"/>
            <w:vMerge/>
            <w:vAlign w:val="center"/>
          </w:tcPr>
          <w:p w14:paraId="14BE2F93" w14:textId="77777777" w:rsidR="001B30C9" w:rsidRDefault="001B30C9" w:rsidP="004608C2">
            <w:pPr>
              <w:pStyle w:val="Tablecellentry"/>
            </w:pPr>
          </w:p>
        </w:tc>
        <w:tc>
          <w:tcPr>
            <w:tcW w:w="1019" w:type="pct"/>
          </w:tcPr>
          <w:p w14:paraId="5F33E97D" w14:textId="5EA24639" w:rsidR="001B30C9" w:rsidRDefault="001B30C9" w:rsidP="004608C2">
            <w:pPr>
              <w:pStyle w:val="Tablecellentry"/>
              <w:jc w:val="center"/>
            </w:pPr>
            <w:r>
              <w:t>%</w:t>
            </w:r>
            <w:r w:rsidR="00283B8A">
              <w:t xml:space="preserve"> removal</w:t>
            </w:r>
          </w:p>
        </w:tc>
        <w:tc>
          <w:tcPr>
            <w:tcW w:w="783" w:type="pct"/>
            <w:tcBorders>
              <w:bottom w:val="single" w:sz="4" w:space="0" w:color="auto"/>
            </w:tcBorders>
          </w:tcPr>
          <w:p w14:paraId="659142C0" w14:textId="77777777" w:rsidR="001B30C9" w:rsidRPr="00886EF8" w:rsidRDefault="001B30C9" w:rsidP="004608C2">
            <w:pPr>
              <w:pStyle w:val="Tablecellentry"/>
              <w:jc w:val="center"/>
              <w:rPr>
                <w:highlight w:val="yellow"/>
              </w:rPr>
            </w:pPr>
            <w:r w:rsidRPr="00886EF8">
              <w:rPr>
                <w:highlight w:val="yellow"/>
              </w:rPr>
              <w:t>85</w:t>
            </w:r>
          </w:p>
        </w:tc>
        <w:tc>
          <w:tcPr>
            <w:tcW w:w="784" w:type="pct"/>
            <w:tcBorders>
              <w:bottom w:val="single" w:sz="4" w:space="0" w:color="auto"/>
            </w:tcBorders>
          </w:tcPr>
          <w:p w14:paraId="10BABC49" w14:textId="1BEF8156" w:rsidR="001B30C9" w:rsidRPr="00886EF8" w:rsidRDefault="001B30C9" w:rsidP="00EE7C55">
            <w:pPr>
              <w:pStyle w:val="Tablecellentry"/>
              <w:rPr>
                <w:highlight w:val="yellow"/>
              </w:rPr>
            </w:pPr>
          </w:p>
        </w:tc>
        <w:tc>
          <w:tcPr>
            <w:tcW w:w="779" w:type="pct"/>
            <w:tcBorders>
              <w:bottom w:val="single" w:sz="4" w:space="0" w:color="auto"/>
            </w:tcBorders>
            <w:vAlign w:val="center"/>
          </w:tcPr>
          <w:p w14:paraId="66D5EBA6" w14:textId="162B5D0E" w:rsidR="001B30C9" w:rsidRDefault="001B30C9" w:rsidP="004608C2">
            <w:pPr>
              <w:pStyle w:val="Tablecellentry"/>
              <w:jc w:val="center"/>
            </w:pPr>
          </w:p>
        </w:tc>
      </w:tr>
      <w:tr w:rsidR="00745245" w14:paraId="74FCC1DF" w14:textId="060ACD37" w:rsidTr="00BB6428">
        <w:trPr>
          <w:jc w:val="center"/>
        </w:trPr>
        <w:tc>
          <w:tcPr>
            <w:tcW w:w="1635" w:type="pct"/>
            <w:tcBorders>
              <w:top w:val="single" w:sz="4" w:space="0" w:color="auto"/>
              <w:bottom w:val="single" w:sz="4" w:space="0" w:color="auto"/>
              <w:right w:val="single" w:sz="4" w:space="0" w:color="auto"/>
            </w:tcBorders>
            <w:vAlign w:val="center"/>
          </w:tcPr>
          <w:p w14:paraId="2A54044E" w14:textId="77777777" w:rsidR="00650F0C" w:rsidRDefault="001B30C9" w:rsidP="004608C2">
            <w:pPr>
              <w:pStyle w:val="Tablecellentry"/>
            </w:pPr>
            <w:r>
              <w:t xml:space="preserve">Chlorine, Total Residual </w:t>
            </w:r>
          </w:p>
          <w:p w14:paraId="2F3A121A" w14:textId="24A5A2A0" w:rsidR="001B30C9" w:rsidRDefault="006546C9" w:rsidP="00650F0C">
            <w:pPr>
              <w:pStyle w:val="Tablecellentry"/>
            </w:pPr>
            <w:r>
              <w:t>(</w:t>
            </w:r>
            <w:r w:rsidR="00650F0C">
              <w:t xml:space="preserve">See </w:t>
            </w:r>
            <w:r w:rsidR="001B30C9">
              <w:t xml:space="preserve">note </w:t>
            </w:r>
            <w:r w:rsidR="00650F0C">
              <w:t>b.</w:t>
            </w:r>
            <w:r>
              <w:t>)</w:t>
            </w:r>
          </w:p>
        </w:tc>
        <w:tc>
          <w:tcPr>
            <w:tcW w:w="1019" w:type="pct"/>
            <w:tcBorders>
              <w:top w:val="single" w:sz="4" w:space="0" w:color="auto"/>
              <w:left w:val="single" w:sz="4" w:space="0" w:color="auto"/>
              <w:bottom w:val="single" w:sz="4" w:space="0" w:color="auto"/>
              <w:right w:val="single" w:sz="4" w:space="0" w:color="auto"/>
            </w:tcBorders>
          </w:tcPr>
          <w:p w14:paraId="61D52DC9" w14:textId="5368AFB7" w:rsidR="001B30C9" w:rsidRDefault="001B30C9" w:rsidP="004608C2">
            <w:pPr>
              <w:pStyle w:val="Tablecellentry"/>
              <w:jc w:val="center"/>
            </w:pPr>
            <w:r>
              <w:t>mg/L</w:t>
            </w:r>
          </w:p>
        </w:tc>
        <w:tc>
          <w:tcPr>
            <w:tcW w:w="783" w:type="pct"/>
            <w:tcBorders>
              <w:top w:val="single" w:sz="4" w:space="0" w:color="auto"/>
              <w:left w:val="single" w:sz="4" w:space="0" w:color="auto"/>
              <w:bottom w:val="single" w:sz="4" w:space="0" w:color="auto"/>
              <w:right w:val="single" w:sz="4" w:space="0" w:color="auto"/>
            </w:tcBorders>
            <w:vAlign w:val="center"/>
          </w:tcPr>
          <w:p w14:paraId="4A4A56A7" w14:textId="77777777" w:rsidR="001B30C9" w:rsidRDefault="001B30C9" w:rsidP="004608C2">
            <w:pPr>
              <w:pStyle w:val="Tablecellentry"/>
              <w:tabs>
                <w:tab w:val="left" w:pos="1284"/>
              </w:tabs>
              <w:jc w:val="center"/>
            </w:pPr>
          </w:p>
        </w:tc>
        <w:tc>
          <w:tcPr>
            <w:tcW w:w="784" w:type="pct"/>
            <w:tcBorders>
              <w:top w:val="single" w:sz="4" w:space="0" w:color="auto"/>
              <w:left w:val="single" w:sz="4" w:space="0" w:color="auto"/>
              <w:bottom w:val="single" w:sz="4" w:space="0" w:color="auto"/>
              <w:right w:val="single" w:sz="4" w:space="0" w:color="auto"/>
            </w:tcBorders>
            <w:vAlign w:val="center"/>
          </w:tcPr>
          <w:p w14:paraId="20EB2E52" w14:textId="674E4802" w:rsidR="001B30C9" w:rsidRDefault="001B30C9" w:rsidP="004608C2">
            <w:pPr>
              <w:pStyle w:val="Tablecellentry"/>
              <w:tabs>
                <w:tab w:val="left" w:pos="1284"/>
              </w:tabs>
              <w:jc w:val="center"/>
            </w:pPr>
          </w:p>
        </w:tc>
        <w:tc>
          <w:tcPr>
            <w:tcW w:w="779" w:type="pct"/>
            <w:tcBorders>
              <w:top w:val="single" w:sz="4" w:space="0" w:color="auto"/>
              <w:left w:val="single" w:sz="4" w:space="0" w:color="auto"/>
              <w:bottom w:val="single" w:sz="4" w:space="0" w:color="auto"/>
              <w:right w:val="single" w:sz="4" w:space="0" w:color="auto"/>
            </w:tcBorders>
            <w:vAlign w:val="center"/>
          </w:tcPr>
          <w:p w14:paraId="795CB79C" w14:textId="77777777" w:rsidR="001B30C9" w:rsidRDefault="001B30C9" w:rsidP="004608C2">
            <w:pPr>
              <w:pStyle w:val="Tablecellentry"/>
              <w:jc w:val="center"/>
            </w:pPr>
          </w:p>
        </w:tc>
      </w:tr>
      <w:tr w:rsidR="00427590" w14:paraId="2C7F9792" w14:textId="77777777" w:rsidTr="00BB6428">
        <w:trPr>
          <w:jc w:val="center"/>
        </w:trPr>
        <w:tc>
          <w:tcPr>
            <w:tcW w:w="1635" w:type="pct"/>
            <w:tcBorders>
              <w:top w:val="single" w:sz="4" w:space="0" w:color="auto"/>
              <w:bottom w:val="single" w:sz="4" w:space="0" w:color="auto"/>
              <w:right w:val="single" w:sz="4" w:space="0" w:color="auto"/>
            </w:tcBorders>
            <w:vAlign w:val="center"/>
          </w:tcPr>
          <w:p w14:paraId="05689483" w14:textId="77777777" w:rsidR="00427590" w:rsidRPr="00427590" w:rsidRDefault="00427590" w:rsidP="004608C2">
            <w:pPr>
              <w:pStyle w:val="Tablecellentry"/>
              <w:rPr>
                <w:highlight w:val="yellow"/>
              </w:rPr>
            </w:pPr>
            <w:r w:rsidRPr="00427590">
              <w:rPr>
                <w:highlight w:val="yellow"/>
              </w:rPr>
              <w:t>Other limits</w:t>
            </w:r>
          </w:p>
          <w:p w14:paraId="79146322" w14:textId="58A22FE6" w:rsidR="00427590" w:rsidRPr="00427590" w:rsidRDefault="006546C9" w:rsidP="00650F0C">
            <w:pPr>
              <w:pStyle w:val="Tablecellentry"/>
              <w:rPr>
                <w:highlight w:val="yellow"/>
              </w:rPr>
            </w:pPr>
            <w:r>
              <w:rPr>
                <w:highlight w:val="yellow"/>
              </w:rPr>
              <w:t>(</w:t>
            </w:r>
            <w:r w:rsidR="00427590" w:rsidRPr="00427590">
              <w:rPr>
                <w:highlight w:val="yellow"/>
              </w:rPr>
              <w:t xml:space="preserve">See </w:t>
            </w:r>
            <w:proofErr w:type="gramStart"/>
            <w:r w:rsidR="00427590" w:rsidRPr="00427590">
              <w:rPr>
                <w:highlight w:val="yellow"/>
              </w:rPr>
              <w:t>note</w:t>
            </w:r>
            <w:proofErr w:type="gramEnd"/>
            <w:r w:rsidR="00427590" w:rsidRPr="00427590">
              <w:rPr>
                <w:highlight w:val="yellow"/>
              </w:rPr>
              <w:t xml:space="preserve"> </w:t>
            </w:r>
            <w:r w:rsidR="00650F0C">
              <w:rPr>
                <w:highlight w:val="yellow"/>
              </w:rPr>
              <w:t>?</w:t>
            </w:r>
            <w:r w:rsidR="00427590" w:rsidRPr="00427590">
              <w:rPr>
                <w:highlight w:val="yellow"/>
              </w:rPr>
              <w:t>.</w:t>
            </w:r>
            <w:r>
              <w:rPr>
                <w:highlight w:val="yellow"/>
              </w:rPr>
              <w:t>)</w:t>
            </w:r>
          </w:p>
        </w:tc>
        <w:tc>
          <w:tcPr>
            <w:tcW w:w="1019" w:type="pct"/>
            <w:tcBorders>
              <w:top w:val="single" w:sz="4" w:space="0" w:color="auto"/>
              <w:left w:val="single" w:sz="4" w:space="0" w:color="auto"/>
              <w:bottom w:val="single" w:sz="4" w:space="0" w:color="auto"/>
              <w:right w:val="single" w:sz="4" w:space="0" w:color="auto"/>
            </w:tcBorders>
            <w:vAlign w:val="center"/>
          </w:tcPr>
          <w:p w14:paraId="1E2BF807" w14:textId="6A6EAA69" w:rsidR="00427590" w:rsidRPr="00427590" w:rsidRDefault="00283B8A" w:rsidP="00427590">
            <w:pPr>
              <w:pStyle w:val="Tablecellentry"/>
              <w:jc w:val="center"/>
              <w:rPr>
                <w:highlight w:val="yellow"/>
              </w:rPr>
            </w:pPr>
            <w:r>
              <w:rPr>
                <w:highlight w:val="yellow"/>
              </w:rPr>
              <w:t>U</w:t>
            </w:r>
            <w:r w:rsidR="00891403">
              <w:rPr>
                <w:highlight w:val="yellow"/>
              </w:rPr>
              <w:t>nits</w:t>
            </w:r>
          </w:p>
        </w:tc>
        <w:tc>
          <w:tcPr>
            <w:tcW w:w="783" w:type="pct"/>
            <w:tcBorders>
              <w:top w:val="single" w:sz="4" w:space="0" w:color="auto"/>
              <w:left w:val="single" w:sz="4" w:space="0" w:color="auto"/>
              <w:bottom w:val="single" w:sz="4" w:space="0" w:color="auto"/>
              <w:right w:val="single" w:sz="4" w:space="0" w:color="auto"/>
            </w:tcBorders>
            <w:vAlign w:val="center"/>
          </w:tcPr>
          <w:p w14:paraId="3385168D" w14:textId="77777777" w:rsidR="00427590" w:rsidRDefault="00427590" w:rsidP="004608C2">
            <w:pPr>
              <w:pStyle w:val="Tablecellentry"/>
              <w:jc w:val="center"/>
            </w:pPr>
          </w:p>
        </w:tc>
        <w:tc>
          <w:tcPr>
            <w:tcW w:w="784" w:type="pct"/>
            <w:tcBorders>
              <w:top w:val="single" w:sz="4" w:space="0" w:color="auto"/>
              <w:left w:val="single" w:sz="4" w:space="0" w:color="auto"/>
              <w:bottom w:val="single" w:sz="4" w:space="0" w:color="auto"/>
              <w:right w:val="single" w:sz="4" w:space="0" w:color="auto"/>
            </w:tcBorders>
            <w:vAlign w:val="center"/>
          </w:tcPr>
          <w:p w14:paraId="13BEDEFD" w14:textId="77777777" w:rsidR="00427590" w:rsidRDefault="00427590" w:rsidP="004608C2">
            <w:pPr>
              <w:pStyle w:val="Tablecellentry"/>
              <w:jc w:val="center"/>
            </w:pPr>
          </w:p>
        </w:tc>
        <w:tc>
          <w:tcPr>
            <w:tcW w:w="779" w:type="pct"/>
            <w:tcBorders>
              <w:top w:val="single" w:sz="4" w:space="0" w:color="auto"/>
              <w:left w:val="single" w:sz="4" w:space="0" w:color="auto"/>
              <w:bottom w:val="single" w:sz="4" w:space="0" w:color="auto"/>
              <w:right w:val="single" w:sz="4" w:space="0" w:color="auto"/>
            </w:tcBorders>
            <w:vAlign w:val="center"/>
          </w:tcPr>
          <w:p w14:paraId="17D6F4F2" w14:textId="41494912" w:rsidR="00427590" w:rsidRDefault="00427590" w:rsidP="004608C2">
            <w:pPr>
              <w:pStyle w:val="Tablecellentry"/>
              <w:jc w:val="center"/>
            </w:pPr>
          </w:p>
        </w:tc>
      </w:tr>
      <w:tr w:rsidR="00885536" w14:paraId="29FE3E99" w14:textId="77777777" w:rsidTr="00C979E9">
        <w:trPr>
          <w:jc w:val="center"/>
        </w:trPr>
        <w:tc>
          <w:tcPr>
            <w:tcW w:w="1635" w:type="pct"/>
            <w:tcBorders>
              <w:top w:val="single" w:sz="4" w:space="0" w:color="auto"/>
              <w:bottom w:val="single" w:sz="4" w:space="0" w:color="auto"/>
              <w:right w:val="single" w:sz="4" w:space="0" w:color="auto"/>
            </w:tcBorders>
            <w:vAlign w:val="center"/>
          </w:tcPr>
          <w:p w14:paraId="4CA2C508" w14:textId="77777777" w:rsidR="00885536" w:rsidRDefault="00427590" w:rsidP="004608C2">
            <w:pPr>
              <w:pStyle w:val="Tablecellentry"/>
            </w:pPr>
            <w:r>
              <w:t>pH</w:t>
            </w:r>
          </w:p>
          <w:p w14:paraId="37CD703A" w14:textId="6545805F" w:rsidR="00427590" w:rsidRDefault="006546C9" w:rsidP="00650F0C">
            <w:pPr>
              <w:pStyle w:val="Tablecellentry"/>
            </w:pPr>
            <w:r>
              <w:rPr>
                <w:highlight w:val="yellow"/>
              </w:rPr>
              <w:t>(</w:t>
            </w:r>
            <w:r w:rsidR="00427590" w:rsidRPr="002C0393">
              <w:rPr>
                <w:highlight w:val="yellow"/>
              </w:rPr>
              <w:t xml:space="preserve">See note </w:t>
            </w:r>
            <w:r w:rsidR="00650F0C" w:rsidRPr="002C0393">
              <w:rPr>
                <w:highlight w:val="yellow"/>
              </w:rPr>
              <w:t>c</w:t>
            </w:r>
            <w:r w:rsidR="00427590" w:rsidRPr="002C0393">
              <w:rPr>
                <w:highlight w:val="yellow"/>
              </w:rPr>
              <w:t>.</w:t>
            </w:r>
            <w:r>
              <w:t>)</w:t>
            </w:r>
          </w:p>
        </w:tc>
        <w:tc>
          <w:tcPr>
            <w:tcW w:w="1019" w:type="pct"/>
            <w:tcBorders>
              <w:top w:val="single" w:sz="4" w:space="0" w:color="auto"/>
              <w:left w:val="single" w:sz="4" w:space="0" w:color="auto"/>
              <w:bottom w:val="single" w:sz="4" w:space="0" w:color="auto"/>
              <w:right w:val="single" w:sz="4" w:space="0" w:color="auto"/>
            </w:tcBorders>
            <w:vAlign w:val="center"/>
          </w:tcPr>
          <w:p w14:paraId="5F574087" w14:textId="4425DF72" w:rsidR="00885536" w:rsidRDefault="00427590" w:rsidP="00427590">
            <w:pPr>
              <w:pStyle w:val="Tablecellentry"/>
              <w:jc w:val="center"/>
            </w:pPr>
            <w:r>
              <w:t>SU</w:t>
            </w: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4A4DE95C" w14:textId="1A0085A4" w:rsidR="00885536" w:rsidRDefault="00427590" w:rsidP="004608C2">
            <w:pPr>
              <w:pStyle w:val="Tablecellentry"/>
              <w:jc w:val="center"/>
            </w:pPr>
            <w:r>
              <w:t>Instantaneous limit betw</w:t>
            </w:r>
            <w:r w:rsidRPr="009847D3">
              <w:t>een a daily minimum of 6.0 and a daily maximum of 9.0</w:t>
            </w:r>
          </w:p>
        </w:tc>
      </w:tr>
      <w:tr w:rsidR="001B30C9" w14:paraId="2F41DEFE" w14:textId="77777777" w:rsidTr="00C979E9">
        <w:trPr>
          <w:jc w:val="center"/>
        </w:trPr>
        <w:tc>
          <w:tcPr>
            <w:tcW w:w="1635" w:type="pct"/>
            <w:tcBorders>
              <w:top w:val="single" w:sz="4" w:space="0" w:color="auto"/>
              <w:bottom w:val="single" w:sz="4" w:space="0" w:color="auto"/>
              <w:right w:val="single" w:sz="4" w:space="0" w:color="auto"/>
            </w:tcBorders>
            <w:vAlign w:val="center"/>
          </w:tcPr>
          <w:p w14:paraId="593A8B19" w14:textId="77777777" w:rsidR="00885536" w:rsidRPr="000348CB" w:rsidRDefault="00745245" w:rsidP="002D0612">
            <w:pPr>
              <w:pStyle w:val="Tablecellentry"/>
              <w:rPr>
                <w:i/>
              </w:rPr>
            </w:pPr>
            <w:r w:rsidRPr="000348CB">
              <w:rPr>
                <w:i/>
              </w:rPr>
              <w:t>E. coli</w:t>
            </w:r>
            <w:r w:rsidR="00885536" w:rsidRPr="000348CB">
              <w:rPr>
                <w:i/>
              </w:rPr>
              <w:t xml:space="preserve"> </w:t>
            </w:r>
          </w:p>
          <w:p w14:paraId="491CA25B" w14:textId="38C2507A" w:rsidR="001B30C9" w:rsidRPr="002D0612" w:rsidRDefault="006546C9" w:rsidP="00650F0C">
            <w:pPr>
              <w:pStyle w:val="Tablecellentry"/>
              <w:rPr>
                <w:i/>
                <w:highlight w:val="yellow"/>
              </w:rPr>
            </w:pPr>
            <w:r>
              <w:t>(</w:t>
            </w:r>
            <w:r w:rsidR="00427590" w:rsidRPr="000348CB">
              <w:t xml:space="preserve">See note </w:t>
            </w:r>
            <w:r w:rsidR="00650F0C" w:rsidRPr="000348CB">
              <w:t>d</w:t>
            </w:r>
            <w:r w:rsidR="00885536" w:rsidRPr="000348CB">
              <w:t>.</w:t>
            </w:r>
            <w:r>
              <w:t>)</w:t>
            </w:r>
          </w:p>
        </w:tc>
        <w:tc>
          <w:tcPr>
            <w:tcW w:w="1019" w:type="pct"/>
            <w:tcBorders>
              <w:top w:val="single" w:sz="4" w:space="0" w:color="auto"/>
              <w:left w:val="single" w:sz="4" w:space="0" w:color="auto"/>
              <w:bottom w:val="single" w:sz="4" w:space="0" w:color="auto"/>
              <w:right w:val="single" w:sz="4" w:space="0" w:color="auto"/>
            </w:tcBorders>
            <w:vAlign w:val="center"/>
          </w:tcPr>
          <w:p w14:paraId="6A8D486F" w14:textId="15533EEE" w:rsidR="001B30C9" w:rsidRPr="00A33FFB" w:rsidRDefault="00891403" w:rsidP="00427590">
            <w:pPr>
              <w:pStyle w:val="Tablecellentry"/>
              <w:jc w:val="center"/>
            </w:pPr>
            <w:r w:rsidRPr="00A33FFB">
              <w:t>#</w:t>
            </w:r>
            <w:r w:rsidR="00745245" w:rsidRPr="00A33FFB">
              <w:t>/100 mL</w:t>
            </w: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41DD26F5" w14:textId="68C730F0" w:rsidR="001B30C9" w:rsidRPr="000348CB" w:rsidRDefault="003E5BC5" w:rsidP="003E5BC5">
            <w:pPr>
              <w:pStyle w:val="Tablecellentry"/>
              <w:jc w:val="center"/>
            </w:pPr>
            <w:r w:rsidRPr="000348CB">
              <w:t>Must not exceed a monthly</w:t>
            </w:r>
            <w:r w:rsidR="002D0612" w:rsidRPr="000348CB">
              <w:t xml:space="preserve"> geometric mean of 126, no single sample may exceed 406</w:t>
            </w:r>
          </w:p>
        </w:tc>
      </w:tr>
      <w:tr w:rsidR="00745245" w14:paraId="56F764B2" w14:textId="77777777" w:rsidTr="00C979E9">
        <w:trPr>
          <w:trHeight w:val="782"/>
          <w:jc w:val="center"/>
        </w:trPr>
        <w:tc>
          <w:tcPr>
            <w:tcW w:w="1635" w:type="pct"/>
            <w:tcBorders>
              <w:top w:val="single" w:sz="4" w:space="0" w:color="auto"/>
              <w:bottom w:val="single" w:sz="4" w:space="0" w:color="auto"/>
              <w:right w:val="single" w:sz="4" w:space="0" w:color="auto"/>
            </w:tcBorders>
            <w:vAlign w:val="center"/>
          </w:tcPr>
          <w:p w14:paraId="6C55BEB6" w14:textId="77777777" w:rsidR="00745245" w:rsidRPr="000348CB" w:rsidRDefault="00745245" w:rsidP="002D0612">
            <w:pPr>
              <w:pStyle w:val="Tablecellentry"/>
            </w:pPr>
            <w:r w:rsidRPr="000348CB">
              <w:t>Fecal Coliform Bacteria</w:t>
            </w:r>
          </w:p>
          <w:p w14:paraId="25C013B3" w14:textId="1793FA69" w:rsidR="000348CB" w:rsidRPr="002D0612" w:rsidRDefault="00650F0C" w:rsidP="002D0612">
            <w:pPr>
              <w:pStyle w:val="Tablecellentry"/>
              <w:rPr>
                <w:highlight w:val="yellow"/>
              </w:rPr>
            </w:pPr>
            <w:r>
              <w:rPr>
                <w:highlight w:val="yellow"/>
              </w:rPr>
              <w:t>(</w:t>
            </w:r>
            <w:r w:rsidRPr="00650F0C">
              <w:rPr>
                <w:highlight w:val="yellow"/>
              </w:rPr>
              <w:t>marine and estuarine shellfish growing waters</w:t>
            </w:r>
            <w:r>
              <w:rPr>
                <w:highlight w:val="yellow"/>
              </w:rPr>
              <w:t>)</w:t>
            </w:r>
          </w:p>
        </w:tc>
        <w:tc>
          <w:tcPr>
            <w:tcW w:w="1019" w:type="pct"/>
            <w:tcBorders>
              <w:top w:val="single" w:sz="4" w:space="0" w:color="auto"/>
              <w:left w:val="single" w:sz="4" w:space="0" w:color="auto"/>
              <w:bottom w:val="single" w:sz="4" w:space="0" w:color="auto"/>
              <w:right w:val="single" w:sz="4" w:space="0" w:color="auto"/>
            </w:tcBorders>
            <w:vAlign w:val="center"/>
          </w:tcPr>
          <w:p w14:paraId="54C07AD7" w14:textId="2B17CF85" w:rsidR="00745245" w:rsidRPr="00A33FFB" w:rsidRDefault="00891403" w:rsidP="00427590">
            <w:pPr>
              <w:pStyle w:val="Tablecellentry"/>
              <w:jc w:val="center"/>
            </w:pPr>
            <w:r w:rsidRPr="00A33FFB">
              <w:t>#</w:t>
            </w:r>
            <w:r w:rsidR="00745245" w:rsidRPr="00A33FFB">
              <w:t>/100 mL</w:t>
            </w: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77356883" w14:textId="6216C800" w:rsidR="00745245" w:rsidRPr="000348CB" w:rsidRDefault="003E5BC5" w:rsidP="000348CB">
            <w:pPr>
              <w:pStyle w:val="Tablecellentry"/>
              <w:jc w:val="center"/>
            </w:pPr>
            <w:r w:rsidRPr="000348CB">
              <w:t>Must not exceed a monthly m</w:t>
            </w:r>
            <w:r w:rsidR="002D0612" w:rsidRPr="000348CB">
              <w:t xml:space="preserve">edian of 14, not more than 10% of </w:t>
            </w:r>
            <w:r w:rsidR="000348CB" w:rsidRPr="000348CB">
              <w:t xml:space="preserve">the </w:t>
            </w:r>
            <w:r w:rsidR="002D0612" w:rsidRPr="000348CB">
              <w:t>samples m</w:t>
            </w:r>
            <w:r w:rsidR="000348CB" w:rsidRPr="000348CB">
              <w:t>a</w:t>
            </w:r>
            <w:r w:rsidR="002D0612" w:rsidRPr="000348CB">
              <w:t>y exceed 43</w:t>
            </w:r>
            <w:r w:rsidR="0022635C" w:rsidRPr="000348CB">
              <w:t xml:space="preserve"> </w:t>
            </w:r>
          </w:p>
        </w:tc>
      </w:tr>
      <w:tr w:rsidR="00745245" w14:paraId="6F5BB464" w14:textId="77777777" w:rsidTr="00C979E9">
        <w:trPr>
          <w:jc w:val="center"/>
        </w:trPr>
        <w:tc>
          <w:tcPr>
            <w:tcW w:w="1635" w:type="pct"/>
            <w:tcBorders>
              <w:top w:val="single" w:sz="4" w:space="0" w:color="auto"/>
              <w:bottom w:val="single" w:sz="4" w:space="0" w:color="auto"/>
              <w:right w:val="single" w:sz="4" w:space="0" w:color="auto"/>
            </w:tcBorders>
            <w:vAlign w:val="center"/>
          </w:tcPr>
          <w:p w14:paraId="0A3E174E" w14:textId="5F9DD6E4" w:rsidR="00745245" w:rsidRPr="000348CB" w:rsidRDefault="00BC64F6" w:rsidP="002D0612">
            <w:pPr>
              <w:pStyle w:val="Tablecellentry"/>
            </w:pPr>
            <w:r w:rsidRPr="000348CB">
              <w:t>Enterococcus</w:t>
            </w:r>
            <w:r w:rsidR="00745245" w:rsidRPr="000348CB">
              <w:t xml:space="preserve"> Bacteria</w:t>
            </w:r>
          </w:p>
          <w:p w14:paraId="73595422" w14:textId="48972C67" w:rsidR="00650F0C" w:rsidRPr="002D0612" w:rsidRDefault="00650F0C" w:rsidP="002D0612">
            <w:pPr>
              <w:pStyle w:val="Tablecellentry"/>
              <w:rPr>
                <w:highlight w:val="yellow"/>
              </w:rPr>
            </w:pPr>
            <w:r w:rsidRPr="00650F0C">
              <w:rPr>
                <w:highlight w:val="yellow"/>
              </w:rPr>
              <w:t>(coastal areas with primary contact recreation uses)</w:t>
            </w:r>
          </w:p>
        </w:tc>
        <w:tc>
          <w:tcPr>
            <w:tcW w:w="1019" w:type="pct"/>
            <w:tcBorders>
              <w:top w:val="single" w:sz="4" w:space="0" w:color="auto"/>
              <w:left w:val="single" w:sz="4" w:space="0" w:color="auto"/>
              <w:bottom w:val="single" w:sz="4" w:space="0" w:color="auto"/>
              <w:right w:val="single" w:sz="4" w:space="0" w:color="auto"/>
            </w:tcBorders>
            <w:vAlign w:val="center"/>
          </w:tcPr>
          <w:p w14:paraId="44FD967C" w14:textId="54B7F8D9" w:rsidR="00745245" w:rsidRPr="00A33FFB" w:rsidRDefault="00891403" w:rsidP="00427590">
            <w:pPr>
              <w:pStyle w:val="Tablecellentry"/>
              <w:jc w:val="center"/>
            </w:pPr>
            <w:r w:rsidRPr="00A33FFB">
              <w:t>#</w:t>
            </w:r>
            <w:r w:rsidR="00745245" w:rsidRPr="00A33FFB">
              <w:t>/100 mL</w:t>
            </w: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4F82FE1E" w14:textId="672E0908" w:rsidR="00745245" w:rsidRPr="000348CB" w:rsidRDefault="003E5BC5" w:rsidP="002D0612">
            <w:pPr>
              <w:pStyle w:val="Tablecellentry"/>
              <w:jc w:val="center"/>
            </w:pPr>
            <w:r w:rsidRPr="000348CB">
              <w:t xml:space="preserve">Must not exceed a monthly </w:t>
            </w:r>
            <w:r w:rsidR="002D0612" w:rsidRPr="000348CB">
              <w:t xml:space="preserve">geometric mean of 35, not more than 10% of </w:t>
            </w:r>
            <w:r w:rsidR="000348CB" w:rsidRPr="000348CB">
              <w:t xml:space="preserve">the </w:t>
            </w:r>
            <w:r w:rsidR="002D0612" w:rsidRPr="000348CB">
              <w:t>samples may exceed 130</w:t>
            </w:r>
          </w:p>
        </w:tc>
      </w:tr>
      <w:tr w:rsidR="00AF7305" w14:paraId="36C048FB" w14:textId="77777777" w:rsidTr="00C979E9">
        <w:trPr>
          <w:jc w:val="center"/>
        </w:trPr>
        <w:tc>
          <w:tcPr>
            <w:tcW w:w="1635" w:type="pct"/>
            <w:tcBorders>
              <w:top w:val="single" w:sz="4" w:space="0" w:color="auto"/>
              <w:bottom w:val="single" w:sz="4" w:space="0" w:color="auto"/>
              <w:right w:val="single" w:sz="4" w:space="0" w:color="auto"/>
            </w:tcBorders>
            <w:vAlign w:val="center"/>
          </w:tcPr>
          <w:p w14:paraId="16345212" w14:textId="5E4659D8" w:rsidR="00AF7305" w:rsidRPr="000348CB" w:rsidRDefault="00AF7305" w:rsidP="00AF7305">
            <w:pPr>
              <w:pStyle w:val="Tablecellentry"/>
            </w:pPr>
            <w:r w:rsidRPr="009606E9">
              <w:rPr>
                <w:highlight w:val="yellow"/>
              </w:rPr>
              <w:t>Excess Thermal Load</w:t>
            </w:r>
          </w:p>
        </w:tc>
        <w:tc>
          <w:tcPr>
            <w:tcW w:w="1019" w:type="pct"/>
            <w:tcBorders>
              <w:top w:val="single" w:sz="4" w:space="0" w:color="auto"/>
              <w:left w:val="single" w:sz="4" w:space="0" w:color="auto"/>
              <w:bottom w:val="single" w:sz="4" w:space="0" w:color="auto"/>
              <w:right w:val="single" w:sz="4" w:space="0" w:color="auto"/>
            </w:tcBorders>
            <w:vAlign w:val="center"/>
          </w:tcPr>
          <w:p w14:paraId="703D29DE" w14:textId="4C47FC07" w:rsidR="00AF7305" w:rsidRDefault="00AF7305" w:rsidP="00AF7305">
            <w:pPr>
              <w:pStyle w:val="Tablecellentry"/>
              <w:jc w:val="center"/>
              <w:rPr>
                <w:highlight w:val="yellow"/>
              </w:rPr>
            </w:pPr>
            <w:r>
              <w:t xml:space="preserve">million </w:t>
            </w:r>
            <w:r w:rsidRPr="009606E9">
              <w:t>kcal/day</w:t>
            </w: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757C25BA" w14:textId="32AA30E9" w:rsidR="00AF7305" w:rsidRPr="000348CB" w:rsidRDefault="00AF7305" w:rsidP="00AF7305">
            <w:pPr>
              <w:pStyle w:val="Tablecellentry"/>
              <w:jc w:val="center"/>
            </w:pPr>
            <w:r w:rsidRPr="009606E9">
              <w:rPr>
                <w:highlight w:val="yellow"/>
              </w:rPr>
              <w:t>XX</w:t>
            </w:r>
            <w:r>
              <w:t xml:space="preserve"> as a 7-day rolling average</w:t>
            </w:r>
          </w:p>
        </w:tc>
      </w:tr>
      <w:tr w:rsidR="00AF7305" w14:paraId="488B5302" w14:textId="77777777">
        <w:trPr>
          <w:trHeight w:val="79"/>
          <w:jc w:val="center"/>
        </w:trPr>
        <w:tc>
          <w:tcPr>
            <w:tcW w:w="1635" w:type="pct"/>
            <w:vMerge w:val="restart"/>
            <w:tcBorders>
              <w:top w:val="single" w:sz="4" w:space="0" w:color="auto"/>
              <w:right w:val="single" w:sz="4" w:space="0" w:color="auto"/>
            </w:tcBorders>
            <w:vAlign w:val="center"/>
          </w:tcPr>
          <w:p w14:paraId="4FD83475" w14:textId="77777777" w:rsidR="00AE15F4" w:rsidRDefault="00AE15F4" w:rsidP="00AE15F4">
            <w:pPr>
              <w:pStyle w:val="Tablecellentry"/>
              <w:rPr>
                <w:highlight w:val="yellow"/>
              </w:rPr>
            </w:pPr>
            <w:r w:rsidRPr="009606E9">
              <w:rPr>
                <w:highlight w:val="yellow"/>
              </w:rPr>
              <w:t>Excess Thermal Load</w:t>
            </w:r>
          </w:p>
          <w:p w14:paraId="0B40A99E" w14:textId="47DBA966" w:rsidR="00AF7305" w:rsidRDefault="00AF7305" w:rsidP="00AF7305">
            <w:pPr>
              <w:pStyle w:val="Tablecellentry"/>
              <w:rPr>
                <w:highlight w:val="yellow"/>
              </w:rPr>
            </w:pPr>
            <w:r w:rsidRPr="005B7D35">
              <w:t>(See note f.)</w:t>
            </w:r>
          </w:p>
        </w:tc>
        <w:tc>
          <w:tcPr>
            <w:tcW w:w="1019" w:type="pct"/>
            <w:vMerge w:val="restart"/>
            <w:tcBorders>
              <w:top w:val="single" w:sz="4" w:space="0" w:color="auto"/>
              <w:left w:val="single" w:sz="4" w:space="0" w:color="auto"/>
              <w:right w:val="single" w:sz="4" w:space="0" w:color="auto"/>
            </w:tcBorders>
          </w:tcPr>
          <w:p w14:paraId="4AB7D575" w14:textId="69DE535A" w:rsidR="00AF7305" w:rsidRDefault="00AF7305" w:rsidP="00AF7305">
            <w:pPr>
              <w:pStyle w:val="Tablecellentry"/>
              <w:jc w:val="center"/>
            </w:pPr>
            <w:r>
              <w:t>million kcal/day</w:t>
            </w: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65E3FF35" w14:textId="77777777" w:rsidR="00AF7305" w:rsidRDefault="00AF7305" w:rsidP="00AF7305">
            <w:pPr>
              <w:pStyle w:val="Tablecellentry"/>
            </w:pPr>
            <w:r>
              <w:t xml:space="preserve">Option A: </w:t>
            </w:r>
          </w:p>
          <w:p w14:paraId="0984D927" w14:textId="76C27B81" w:rsidR="00AF7305" w:rsidRDefault="00AF7305" w:rsidP="00AF7305">
            <w:pPr>
              <w:pStyle w:val="Tablecellentry"/>
              <w:jc w:val="center"/>
            </w:pPr>
            <w:r w:rsidRPr="009606E9">
              <w:rPr>
                <w:highlight w:val="yellow"/>
              </w:rPr>
              <w:t>XX</w:t>
            </w:r>
            <w:r>
              <w:t xml:space="preserve"> (as a 7-day rolling average)</w:t>
            </w:r>
          </w:p>
        </w:tc>
      </w:tr>
      <w:tr w:rsidR="00AF7305" w14:paraId="4A36E500" w14:textId="77777777">
        <w:trPr>
          <w:trHeight w:val="79"/>
          <w:jc w:val="center"/>
        </w:trPr>
        <w:tc>
          <w:tcPr>
            <w:tcW w:w="1635" w:type="pct"/>
            <w:vMerge/>
            <w:tcBorders>
              <w:bottom w:val="single" w:sz="4" w:space="0" w:color="auto"/>
              <w:right w:val="single" w:sz="4" w:space="0" w:color="auto"/>
            </w:tcBorders>
            <w:vAlign w:val="center"/>
          </w:tcPr>
          <w:p w14:paraId="632A401F" w14:textId="77777777" w:rsidR="00AF7305" w:rsidRDefault="00AF7305" w:rsidP="00AF7305">
            <w:pPr>
              <w:pStyle w:val="Tablecellentry"/>
              <w:rPr>
                <w:highlight w:val="yellow"/>
              </w:rPr>
            </w:pPr>
          </w:p>
        </w:tc>
        <w:tc>
          <w:tcPr>
            <w:tcW w:w="1019" w:type="pct"/>
            <w:vMerge/>
            <w:tcBorders>
              <w:left w:val="single" w:sz="4" w:space="0" w:color="auto"/>
              <w:bottom w:val="single" w:sz="4" w:space="0" w:color="auto"/>
              <w:right w:val="single" w:sz="4" w:space="0" w:color="auto"/>
            </w:tcBorders>
          </w:tcPr>
          <w:p w14:paraId="66EACF0F" w14:textId="77777777" w:rsidR="00AF7305" w:rsidRDefault="00AF7305" w:rsidP="00AF7305">
            <w:pPr>
              <w:pStyle w:val="Tablecellentry"/>
              <w:jc w:val="center"/>
            </w:pP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2A9EE1D0" w14:textId="77777777" w:rsidR="00AF7305" w:rsidRDefault="00AF7305" w:rsidP="00AF7305">
            <w:pPr>
              <w:pStyle w:val="Tablecellentry"/>
            </w:pPr>
            <w:r>
              <w:t xml:space="preserve">Option B: </w:t>
            </w:r>
          </w:p>
          <w:p w14:paraId="59165E92" w14:textId="2C49AB2D" w:rsidR="00AF7305" w:rsidRDefault="00AF7305" w:rsidP="00AF7305">
            <w:pPr>
              <w:pStyle w:val="Tablecellentry"/>
              <w:jc w:val="center"/>
            </w:pPr>
            <w:r w:rsidRPr="009606E9">
              <w:rPr>
                <w:highlight w:val="yellow"/>
              </w:rPr>
              <w:lastRenderedPageBreak/>
              <w:t>XX</w:t>
            </w:r>
            <w:r>
              <w:t xml:space="preserve"> (as a 7-day rolling average)</w:t>
            </w:r>
          </w:p>
        </w:tc>
      </w:tr>
      <w:tr w:rsidR="00AF7305" w14:paraId="108758D7" w14:textId="77777777" w:rsidTr="00C979E9">
        <w:trPr>
          <w:jc w:val="center"/>
        </w:trPr>
        <w:tc>
          <w:tcPr>
            <w:tcW w:w="1635" w:type="pct"/>
            <w:tcBorders>
              <w:top w:val="single" w:sz="4" w:space="0" w:color="auto"/>
              <w:bottom w:val="single" w:sz="4" w:space="0" w:color="auto"/>
              <w:right w:val="single" w:sz="4" w:space="0" w:color="auto"/>
            </w:tcBorders>
            <w:vAlign w:val="center"/>
          </w:tcPr>
          <w:p w14:paraId="56015BFB" w14:textId="77777777" w:rsidR="00AF7305" w:rsidRDefault="00AF7305" w:rsidP="00AF7305">
            <w:pPr>
              <w:pStyle w:val="Tablecellentry"/>
            </w:pPr>
            <w:r>
              <w:rPr>
                <w:highlight w:val="yellow"/>
              </w:rPr>
              <w:lastRenderedPageBreak/>
              <w:t xml:space="preserve">Compliance Schedule Parameter </w:t>
            </w:r>
            <w:r w:rsidRPr="00766D3B">
              <w:t xml:space="preserve">(Final) </w:t>
            </w:r>
          </w:p>
          <w:p w14:paraId="6E333614" w14:textId="6A5EE844" w:rsidR="00AF7305" w:rsidRDefault="00AF7305" w:rsidP="00AF7305">
            <w:pPr>
              <w:pStyle w:val="Tablecellentry"/>
              <w:rPr>
                <w:highlight w:val="yellow"/>
              </w:rPr>
            </w:pPr>
            <w:r>
              <w:t>(</w:t>
            </w:r>
            <w:r w:rsidRPr="00766D3B">
              <w:t xml:space="preserve">See note </w:t>
            </w:r>
            <w:r>
              <w:t>e</w:t>
            </w:r>
            <w:r w:rsidRPr="00766D3B">
              <w:t>.</w:t>
            </w:r>
            <w:r>
              <w:t>)</w:t>
            </w:r>
          </w:p>
        </w:tc>
        <w:tc>
          <w:tcPr>
            <w:tcW w:w="1019" w:type="pct"/>
            <w:tcBorders>
              <w:top w:val="single" w:sz="4" w:space="0" w:color="auto"/>
              <w:left w:val="single" w:sz="4" w:space="0" w:color="auto"/>
              <w:bottom w:val="single" w:sz="4" w:space="0" w:color="auto"/>
              <w:right w:val="single" w:sz="4" w:space="0" w:color="auto"/>
            </w:tcBorders>
          </w:tcPr>
          <w:p w14:paraId="3DAE9CDE" w14:textId="77777777" w:rsidR="00AF7305" w:rsidRDefault="00AF7305" w:rsidP="00AF7305">
            <w:pPr>
              <w:pStyle w:val="Tablecellentry"/>
              <w:jc w:val="center"/>
            </w:pP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6EC4D75F" w14:textId="77777777" w:rsidR="00AF7305" w:rsidRDefault="00AF7305" w:rsidP="00AF7305">
            <w:pPr>
              <w:pStyle w:val="Tablecellentry"/>
              <w:jc w:val="center"/>
            </w:pPr>
          </w:p>
        </w:tc>
      </w:tr>
      <w:tr w:rsidR="00AF7305" w14:paraId="48CF89C4" w14:textId="77777777" w:rsidTr="00C979E9">
        <w:trPr>
          <w:jc w:val="center"/>
        </w:trPr>
        <w:tc>
          <w:tcPr>
            <w:tcW w:w="1635" w:type="pct"/>
            <w:tcBorders>
              <w:top w:val="single" w:sz="4" w:space="0" w:color="auto"/>
              <w:bottom w:val="single" w:sz="4" w:space="0" w:color="auto"/>
              <w:right w:val="single" w:sz="4" w:space="0" w:color="auto"/>
            </w:tcBorders>
            <w:vAlign w:val="center"/>
          </w:tcPr>
          <w:p w14:paraId="6A2C193B" w14:textId="77777777" w:rsidR="00AF7305" w:rsidRDefault="00AF7305" w:rsidP="00AF7305">
            <w:pPr>
              <w:pStyle w:val="Tablecellentry"/>
            </w:pPr>
            <w:r>
              <w:rPr>
                <w:highlight w:val="yellow"/>
              </w:rPr>
              <w:t xml:space="preserve">Compliance Schedule Parameter </w:t>
            </w:r>
            <w:r w:rsidRPr="00766D3B">
              <w:t xml:space="preserve">(Interim) </w:t>
            </w:r>
          </w:p>
          <w:p w14:paraId="0CFFA26F" w14:textId="0D329FE0" w:rsidR="00AF7305" w:rsidRPr="00427590" w:rsidRDefault="00AF7305" w:rsidP="00AF7305">
            <w:pPr>
              <w:pStyle w:val="Tablecellentry"/>
              <w:rPr>
                <w:highlight w:val="yellow"/>
              </w:rPr>
            </w:pPr>
            <w:r>
              <w:t>(</w:t>
            </w:r>
            <w:r w:rsidRPr="00766D3B">
              <w:t xml:space="preserve">See note </w:t>
            </w:r>
            <w:r>
              <w:t>e</w:t>
            </w:r>
            <w:r w:rsidRPr="00766D3B">
              <w:t>.</w:t>
            </w:r>
            <w:r>
              <w:t>)</w:t>
            </w:r>
          </w:p>
        </w:tc>
        <w:tc>
          <w:tcPr>
            <w:tcW w:w="1019" w:type="pct"/>
            <w:tcBorders>
              <w:top w:val="single" w:sz="4" w:space="0" w:color="auto"/>
              <w:left w:val="single" w:sz="4" w:space="0" w:color="auto"/>
              <w:bottom w:val="single" w:sz="4" w:space="0" w:color="auto"/>
              <w:right w:val="single" w:sz="4" w:space="0" w:color="auto"/>
            </w:tcBorders>
          </w:tcPr>
          <w:p w14:paraId="46072D1A" w14:textId="77777777" w:rsidR="00AF7305" w:rsidRDefault="00AF7305" w:rsidP="00AF7305">
            <w:pPr>
              <w:pStyle w:val="Tablecellentry"/>
              <w:jc w:val="center"/>
            </w:pP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1C5A21CD" w14:textId="77777777" w:rsidR="00AF7305" w:rsidRPr="009847D3" w:rsidRDefault="00AF7305" w:rsidP="00AF7305">
            <w:pPr>
              <w:pStyle w:val="Tablecellentry"/>
              <w:jc w:val="center"/>
            </w:pPr>
          </w:p>
        </w:tc>
      </w:tr>
      <w:tr w:rsidR="00AF7305" w14:paraId="60F46294" w14:textId="77777777" w:rsidTr="00C979E9">
        <w:trPr>
          <w:jc w:val="center"/>
        </w:trPr>
        <w:tc>
          <w:tcPr>
            <w:tcW w:w="1635" w:type="pct"/>
            <w:tcBorders>
              <w:top w:val="single" w:sz="4" w:space="0" w:color="auto"/>
              <w:bottom w:val="single" w:sz="4" w:space="0" w:color="auto"/>
              <w:right w:val="single" w:sz="4" w:space="0" w:color="auto"/>
            </w:tcBorders>
            <w:vAlign w:val="center"/>
          </w:tcPr>
          <w:p w14:paraId="79195C43" w14:textId="77777777" w:rsidR="00AF7305" w:rsidRPr="00427590" w:rsidRDefault="00AF7305" w:rsidP="00AF7305">
            <w:pPr>
              <w:pStyle w:val="Tablecellentry"/>
              <w:rPr>
                <w:highlight w:val="yellow"/>
              </w:rPr>
            </w:pPr>
            <w:r w:rsidRPr="00427590">
              <w:rPr>
                <w:highlight w:val="yellow"/>
              </w:rPr>
              <w:t xml:space="preserve">Other Limits </w:t>
            </w:r>
          </w:p>
          <w:p w14:paraId="17F8516B" w14:textId="198DE6C9" w:rsidR="00AF7305" w:rsidRDefault="00AF7305" w:rsidP="00AF7305">
            <w:pPr>
              <w:pStyle w:val="Tablecellentry"/>
            </w:pPr>
            <w:r>
              <w:rPr>
                <w:highlight w:val="yellow"/>
              </w:rPr>
              <w:t>(</w:t>
            </w:r>
            <w:r w:rsidRPr="00427590">
              <w:rPr>
                <w:highlight w:val="yellow"/>
              </w:rPr>
              <w:t xml:space="preserve">See </w:t>
            </w:r>
            <w:proofErr w:type="gramStart"/>
            <w:r w:rsidRPr="00427590">
              <w:rPr>
                <w:highlight w:val="yellow"/>
              </w:rPr>
              <w:t>note</w:t>
            </w:r>
            <w:proofErr w:type="gramEnd"/>
            <w:r w:rsidRPr="00650F0C">
              <w:rPr>
                <w:highlight w:val="yellow"/>
              </w:rPr>
              <w:t xml:space="preserve"> ?</w:t>
            </w:r>
            <w:r>
              <w:t>.)</w:t>
            </w:r>
          </w:p>
        </w:tc>
        <w:tc>
          <w:tcPr>
            <w:tcW w:w="1019" w:type="pct"/>
            <w:tcBorders>
              <w:top w:val="single" w:sz="4" w:space="0" w:color="auto"/>
              <w:left w:val="single" w:sz="4" w:space="0" w:color="auto"/>
              <w:bottom w:val="single" w:sz="4" w:space="0" w:color="auto"/>
              <w:right w:val="single" w:sz="4" w:space="0" w:color="auto"/>
            </w:tcBorders>
          </w:tcPr>
          <w:p w14:paraId="2C583543" w14:textId="77777777" w:rsidR="00AF7305" w:rsidRDefault="00AF7305" w:rsidP="00AF7305">
            <w:pPr>
              <w:pStyle w:val="Tablecellentry"/>
              <w:jc w:val="center"/>
            </w:pPr>
          </w:p>
        </w:tc>
        <w:tc>
          <w:tcPr>
            <w:tcW w:w="2346" w:type="pct"/>
            <w:gridSpan w:val="3"/>
            <w:tcBorders>
              <w:top w:val="single" w:sz="4" w:space="0" w:color="auto"/>
              <w:left w:val="single" w:sz="4" w:space="0" w:color="auto"/>
              <w:bottom w:val="single" w:sz="4" w:space="0" w:color="auto"/>
              <w:right w:val="single" w:sz="4" w:space="0" w:color="auto"/>
            </w:tcBorders>
            <w:vAlign w:val="center"/>
          </w:tcPr>
          <w:p w14:paraId="4F001871" w14:textId="77777777" w:rsidR="00AF7305" w:rsidRPr="009847D3" w:rsidRDefault="00AF7305" w:rsidP="00AF7305">
            <w:pPr>
              <w:pStyle w:val="Tablecellentry"/>
              <w:jc w:val="center"/>
            </w:pPr>
          </w:p>
        </w:tc>
      </w:tr>
      <w:tr w:rsidR="00AF7305" w14:paraId="151F1EF7" w14:textId="77777777" w:rsidTr="00C979E9">
        <w:trPr>
          <w:jc w:val="center"/>
        </w:trPr>
        <w:tc>
          <w:tcPr>
            <w:tcW w:w="5000" w:type="pct"/>
            <w:gridSpan w:val="5"/>
            <w:vAlign w:val="center"/>
          </w:tcPr>
          <w:p w14:paraId="7B48538B" w14:textId="24938790" w:rsidR="00AF7305" w:rsidRDefault="00AF7305" w:rsidP="00AF7305">
            <w:pPr>
              <w:pStyle w:val="Tablecellentry"/>
              <w:spacing w:after="60"/>
            </w:pPr>
            <w:r>
              <w:t>Notes:</w:t>
            </w:r>
          </w:p>
          <w:p w14:paraId="3061E5D2" w14:textId="73B14B47" w:rsidR="00AF7305" w:rsidRPr="00864A5B" w:rsidRDefault="00AF7305" w:rsidP="00AF7305">
            <w:pPr>
              <w:pStyle w:val="Tablecellentry"/>
              <w:numPr>
                <w:ilvl w:val="7"/>
                <w:numId w:val="3"/>
              </w:numPr>
              <w:suppressAutoHyphens w:val="0"/>
              <w:spacing w:after="60"/>
              <w:ind w:left="360"/>
            </w:pPr>
            <w:r>
              <w:rPr>
                <w:color w:val="000000" w:themeColor="text1"/>
                <w:highlight w:val="yellow"/>
              </w:rPr>
              <w:t xml:space="preserve">Include the following with systems where preliminary treatment occurs in septic tanks, such as STEP </w:t>
            </w:r>
            <w:r w:rsidRPr="00F009BC">
              <w:rPr>
                <w:color w:val="000000" w:themeColor="text1"/>
                <w:highlight w:val="yellow"/>
              </w:rPr>
              <w:t>systems, and influent in unable to be monitored:</w:t>
            </w:r>
            <w:r>
              <w:rPr>
                <w:color w:val="000000" w:themeColor="text1"/>
              </w:rPr>
              <w:t xml:space="preserve"> Due to preliminary treatment that occurs within the septic tanks, the influent BOD</w:t>
            </w:r>
            <w:r>
              <w:rPr>
                <w:color w:val="000000" w:themeColor="text1"/>
                <w:vertAlign w:val="subscript"/>
              </w:rPr>
              <w:t>5</w:t>
            </w:r>
            <w:r>
              <w:rPr>
                <w:color w:val="000000" w:themeColor="text1"/>
              </w:rPr>
              <w:t xml:space="preserve"> and TSS concentrations are assumed to be 200 mg/L for calculation of the percent removal efficiency. </w:t>
            </w:r>
            <w:r w:rsidRPr="00885536">
              <w:rPr>
                <w:highlight w:val="yellow"/>
              </w:rPr>
              <w:t>Regarding the 85% removal, this can be reduced for lagoons, trickling filters and when influent is less concentrated.</w:t>
            </w:r>
            <w:r>
              <w:rPr>
                <w:highlight w:val="yellow"/>
              </w:rPr>
              <w:t xml:space="preserve"> </w:t>
            </w:r>
            <w:r w:rsidRPr="00885536">
              <w:rPr>
                <w:highlight w:val="yellow"/>
              </w:rPr>
              <w:t>See 40 CFR 133.103</w:t>
            </w:r>
            <w:r w:rsidRPr="0014199D">
              <w:t>.</w:t>
            </w:r>
          </w:p>
          <w:p w14:paraId="4C147B77" w14:textId="24BFCBC5" w:rsidR="00AF7305" w:rsidRPr="00650F0C" w:rsidRDefault="00AF7305" w:rsidP="00AF7305">
            <w:pPr>
              <w:pStyle w:val="Tablecellentry"/>
              <w:numPr>
                <w:ilvl w:val="7"/>
                <w:numId w:val="3"/>
              </w:numPr>
              <w:suppressAutoHyphens w:val="0"/>
              <w:spacing w:after="60"/>
              <w:ind w:left="360"/>
            </w:pPr>
            <w:r>
              <w:t xml:space="preserve">DEQ has established a </w:t>
            </w:r>
            <w:r w:rsidR="00BD1B46">
              <w:t>quantitation l</w:t>
            </w:r>
            <w:r>
              <w:t xml:space="preserve">imit of 0.05 mg/L for Total Residual Chlorine. Any analysis done for Total Residual Chlorine must have a quantitation limit that is either equal to or less than 0.05 mg/L. In cases where the average monthly or maximum daily limit for Total Residual Chlorine is lower than the </w:t>
            </w:r>
            <w:r w:rsidR="00CC49BF">
              <w:t>q</w:t>
            </w:r>
            <w:r>
              <w:t xml:space="preserve">uantitation </w:t>
            </w:r>
            <w:r w:rsidR="005800F1">
              <w:t>l</w:t>
            </w:r>
            <w:r>
              <w:t xml:space="preserve">imit, DEQ will use the reported </w:t>
            </w:r>
            <w:r w:rsidR="00ED32AA">
              <w:t>q</w:t>
            </w:r>
            <w:r>
              <w:t xml:space="preserve">uantitation </w:t>
            </w:r>
            <w:r w:rsidR="00ED32AA">
              <w:t>l</w:t>
            </w:r>
            <w:r>
              <w:t>imit as the compliance evaluation level.</w:t>
            </w:r>
          </w:p>
          <w:p w14:paraId="139578B8" w14:textId="10046EA1" w:rsidR="00AF7305" w:rsidRDefault="00AF7305" w:rsidP="00AF7305">
            <w:pPr>
              <w:pStyle w:val="Tablecellentry"/>
              <w:numPr>
                <w:ilvl w:val="7"/>
                <w:numId w:val="3"/>
              </w:numPr>
              <w:suppressAutoHyphens w:val="0"/>
              <w:spacing w:after="60"/>
              <w:ind w:left="360"/>
            </w:pPr>
            <w:r w:rsidRPr="003858B9">
              <w:rPr>
                <w:highlight w:val="yellow"/>
              </w:rPr>
              <w:t>If compliance is to be established with respect to continuous monitoring AND BOTH UPPER AND LOWER LIMITS ARE TBELS:</w:t>
            </w:r>
            <w:r w:rsidRPr="00956070">
              <w:t xml:space="preserve"> May not be outside the range of XX to XX for more than a total of 7 hours and 26 minutes in any calendar month, and no individual excursion from this range may exceed 60 minutes.</w:t>
            </w:r>
          </w:p>
          <w:p w14:paraId="44C625D2" w14:textId="77777777" w:rsidR="00AF7305" w:rsidRPr="006D4E4F" w:rsidRDefault="00AF7305" w:rsidP="00AF7305">
            <w:pPr>
              <w:pStyle w:val="Tablecellentry"/>
              <w:suppressAutoHyphens w:val="0"/>
              <w:spacing w:after="60"/>
            </w:pPr>
          </w:p>
          <w:p w14:paraId="712402DA" w14:textId="77777777" w:rsidR="00AF7305" w:rsidRPr="003858B9" w:rsidRDefault="00AF7305" w:rsidP="00AF7305">
            <w:pPr>
              <w:pStyle w:val="Tablecellentry"/>
              <w:suppressAutoHyphens w:val="0"/>
              <w:spacing w:after="60"/>
              <w:ind w:left="360"/>
              <w:rPr>
                <w:szCs w:val="22"/>
              </w:rPr>
            </w:pPr>
            <w:r w:rsidRPr="003858B9">
              <w:rPr>
                <w:highlight w:val="yellow"/>
              </w:rPr>
              <w:t>If compliance is to be established with respect to continuous monitoring AND ONLY ONE LIMIT IS A TBEL:</w:t>
            </w:r>
            <w:r w:rsidRPr="003858B9">
              <w:t xml:space="preserve"> May not be </w:t>
            </w:r>
            <w:r w:rsidRPr="003858B9">
              <w:rPr>
                <w:highlight w:val="yellow"/>
              </w:rPr>
              <w:t>above/below</w:t>
            </w:r>
            <w:r w:rsidRPr="003858B9">
              <w:t xml:space="preserve"> XX for more than a total of 7 hours and 26 minutes in any calendar month, and no individual excursion </w:t>
            </w:r>
            <w:r w:rsidRPr="003858B9">
              <w:rPr>
                <w:highlight w:val="yellow"/>
              </w:rPr>
              <w:t>above/below</w:t>
            </w:r>
            <w:r w:rsidRPr="003858B9">
              <w:t xml:space="preserve"> may exceed 60 minutes.</w:t>
            </w:r>
          </w:p>
          <w:p w14:paraId="0D8E66F9" w14:textId="77777777" w:rsidR="00AF7305" w:rsidRDefault="00AF7305" w:rsidP="00AF7305">
            <w:pPr>
              <w:pStyle w:val="ListParagraph"/>
            </w:pPr>
          </w:p>
          <w:p w14:paraId="38BDAD13" w14:textId="16630E30" w:rsidR="00AF7305" w:rsidRPr="00F41161" w:rsidRDefault="00AF7305" w:rsidP="00AF7305">
            <w:pPr>
              <w:pStyle w:val="Tablecellentry"/>
              <w:numPr>
                <w:ilvl w:val="7"/>
                <w:numId w:val="3"/>
              </w:numPr>
              <w:suppressAutoHyphens w:val="0"/>
              <w:spacing w:after="60"/>
              <w:ind w:left="360"/>
              <w:rPr>
                <w:szCs w:val="22"/>
              </w:rPr>
            </w:pPr>
            <w:r w:rsidRPr="00F41161">
              <w:rPr>
                <w:szCs w:val="22"/>
              </w:rPr>
              <w:t xml:space="preserve">If a single sample exceeds 406 </w:t>
            </w:r>
            <w:r>
              <w:rPr>
                <w:szCs w:val="22"/>
              </w:rPr>
              <w:t>organisms</w:t>
            </w:r>
            <w:r w:rsidRPr="00F41161">
              <w:rPr>
                <w:szCs w:val="22"/>
              </w:rPr>
              <w:t>/</w:t>
            </w:r>
            <w:r>
              <w:rPr>
                <w:szCs w:val="22"/>
              </w:rPr>
              <w:t xml:space="preserve">100 </w:t>
            </w:r>
            <w:r w:rsidRPr="00F41161">
              <w:rPr>
                <w:szCs w:val="22"/>
              </w:rPr>
              <w:t>mL, the permittee may take at least 5 consecutive re-samples at 4</w:t>
            </w:r>
            <w:r>
              <w:rPr>
                <w:szCs w:val="22"/>
              </w:rPr>
              <w:t>-</w:t>
            </w:r>
            <w:r w:rsidRPr="00F41161">
              <w:rPr>
                <w:szCs w:val="22"/>
              </w:rPr>
              <w:t xml:space="preserve">hour intervals beginning within 28 hours after the original sample was taken. A geometric mean of the 5 re-samples that is less than or equal to 126 </w:t>
            </w:r>
            <w:r w:rsidRPr="00D067E3">
              <w:rPr>
                <w:i/>
                <w:iCs/>
                <w:szCs w:val="22"/>
              </w:rPr>
              <w:t>E. coli</w:t>
            </w:r>
            <w:r w:rsidRPr="00F41161">
              <w:rPr>
                <w:szCs w:val="22"/>
              </w:rPr>
              <w:t xml:space="preserve"> organisms/100 mL demonstrates compliance with the limit.</w:t>
            </w:r>
          </w:p>
          <w:p w14:paraId="1718F8F5" w14:textId="77777777" w:rsidR="00D85368" w:rsidRPr="009F7CB2" w:rsidRDefault="00AF7305" w:rsidP="009F7CB2">
            <w:pPr>
              <w:pStyle w:val="Tablecellentry"/>
              <w:numPr>
                <w:ilvl w:val="7"/>
                <w:numId w:val="3"/>
              </w:numPr>
              <w:suppressAutoHyphens w:val="0"/>
              <w:spacing w:after="60"/>
              <w:ind w:left="360"/>
            </w:pPr>
            <w:r w:rsidRPr="005B4983">
              <w:rPr>
                <w:szCs w:val="22"/>
              </w:rPr>
              <w:t xml:space="preserve">The interim </w:t>
            </w:r>
            <w:r w:rsidRPr="0026766A">
              <w:rPr>
                <w:szCs w:val="22"/>
                <w:highlight w:val="yellow"/>
              </w:rPr>
              <w:t>[insert parameter name]</w:t>
            </w:r>
            <w:r w:rsidRPr="005B4983">
              <w:rPr>
                <w:szCs w:val="22"/>
              </w:rPr>
              <w:t xml:space="preserve"> limit is effective upon permit </w:t>
            </w:r>
            <w:r>
              <w:rPr>
                <w:szCs w:val="22"/>
              </w:rPr>
              <w:t>effective date</w:t>
            </w:r>
            <w:r w:rsidRPr="005B4983">
              <w:rPr>
                <w:szCs w:val="22"/>
              </w:rPr>
              <w:t>.</w:t>
            </w:r>
            <w:r>
              <w:rPr>
                <w:szCs w:val="22"/>
              </w:rPr>
              <w:t xml:space="preserve"> </w:t>
            </w:r>
            <w:r w:rsidRPr="005B4983">
              <w:rPr>
                <w:szCs w:val="22"/>
              </w:rPr>
              <w:t xml:space="preserve">The final </w:t>
            </w:r>
            <w:r w:rsidRPr="0026766A">
              <w:rPr>
                <w:szCs w:val="22"/>
                <w:highlight w:val="yellow"/>
              </w:rPr>
              <w:t>[insert parameter name]</w:t>
            </w:r>
            <w:r>
              <w:rPr>
                <w:szCs w:val="22"/>
              </w:rPr>
              <w:t xml:space="preserve"> </w:t>
            </w:r>
            <w:r w:rsidRPr="005B4983">
              <w:rPr>
                <w:szCs w:val="22"/>
              </w:rPr>
              <w:t>limit is effective after completion of the compliance schedule in Schedule C</w:t>
            </w:r>
            <w:r w:rsidRPr="00551171">
              <w:rPr>
                <w:szCs w:val="22"/>
              </w:rPr>
              <w:t>.</w:t>
            </w:r>
            <w:r>
              <w:rPr>
                <w:szCs w:val="22"/>
              </w:rPr>
              <w:t xml:space="preserve"> </w:t>
            </w:r>
          </w:p>
          <w:p w14:paraId="1E3F18E2" w14:textId="77777777" w:rsidR="00152E60" w:rsidRPr="00562DB5" w:rsidRDefault="00152E60" w:rsidP="00152E60">
            <w:pPr>
              <w:pStyle w:val="Tablecellentry"/>
              <w:numPr>
                <w:ilvl w:val="7"/>
                <w:numId w:val="3"/>
              </w:numPr>
              <w:suppressAutoHyphens w:val="0"/>
              <w:spacing w:after="60"/>
              <w:ind w:left="360"/>
              <w:rPr>
                <w:szCs w:val="22"/>
              </w:rPr>
            </w:pPr>
            <w:r>
              <w:t xml:space="preserve">The permittee must select either Option A or Option B as the applicable 7-day rolling average Excess Thermal Load Limit (ETLL). If the permittee selects Option B, the permittee must calculate the daily ETLL using the above equation. Using these daily ETLLs, the permittee must then calculate the 7-day rolling average ETLL for each day Option B limit is selected. </w:t>
            </w:r>
          </w:p>
          <w:p w14:paraId="75AA6526" w14:textId="3EEE603F" w:rsidR="00152E60" w:rsidRPr="00D96F4A" w:rsidRDefault="00152E60" w:rsidP="00152E60">
            <w:pPr>
              <w:pStyle w:val="Tablecellentry"/>
              <w:suppressAutoHyphens w:val="0"/>
              <w:ind w:left="720"/>
              <w:rPr>
                <w:szCs w:val="22"/>
              </w:rPr>
            </w:pPr>
            <w:r>
              <w:t>Q</w:t>
            </w:r>
            <w:r>
              <w:rPr>
                <w:vertAlign w:val="subscript"/>
              </w:rPr>
              <w:t>E</w:t>
            </w:r>
            <w:r>
              <w:t xml:space="preserve"> = Daily effluent flow (</w:t>
            </w:r>
            <w:r w:rsidR="0075769C">
              <w:t>MGD</w:t>
            </w:r>
            <w:r>
              <w:t xml:space="preserve">) </w:t>
            </w:r>
          </w:p>
          <w:p w14:paraId="24F754D9" w14:textId="77777777" w:rsidR="00152E60" w:rsidRDefault="00152E60" w:rsidP="00152E60">
            <w:pPr>
              <w:pStyle w:val="Tablecellentry"/>
              <w:suppressAutoHyphens w:val="0"/>
              <w:spacing w:after="60"/>
              <w:ind w:left="720"/>
            </w:pPr>
            <w:r>
              <w:t>Q</w:t>
            </w:r>
            <w:r>
              <w:rPr>
                <w:vertAlign w:val="subscript"/>
              </w:rPr>
              <w:t>R</w:t>
            </w:r>
            <w:r>
              <w:t xml:space="preserve"> = Daily average river flow, upstream from the outfall (</w:t>
            </w:r>
            <w:proofErr w:type="spellStart"/>
            <w:r>
              <w:t>cfs</w:t>
            </w:r>
            <w:proofErr w:type="spellEnd"/>
            <w:r>
              <w:t>) (measurement method must be approved by DEQ in writing prior to use of Option B)</w:t>
            </w:r>
          </w:p>
          <w:p w14:paraId="711A950D" w14:textId="3F7ECDFE" w:rsidR="009F7CB2" w:rsidDel="00A959DE" w:rsidRDefault="00152E60" w:rsidP="00152E60">
            <w:pPr>
              <w:pStyle w:val="Tablecellentry"/>
              <w:suppressAutoHyphens w:val="0"/>
              <w:spacing w:after="60"/>
              <w:ind w:left="360"/>
            </w:pPr>
            <w:r>
              <w:t>When using Option B to calculate the ETLL and the Q</w:t>
            </w:r>
            <w:r w:rsidRPr="00C956D1">
              <w:rPr>
                <w:vertAlign w:val="subscript"/>
              </w:rPr>
              <w:t>R</w:t>
            </w:r>
            <w:r>
              <w:t xml:space="preserve"> is less than the 7Q10 value of </w:t>
            </w:r>
            <w:r w:rsidRPr="00DA73B4">
              <w:rPr>
                <w:color w:val="FF0000"/>
              </w:rPr>
              <w:t>X</w:t>
            </w:r>
            <w:r>
              <w:t xml:space="preserve"> </w:t>
            </w:r>
            <w:proofErr w:type="spellStart"/>
            <w:r>
              <w:t>cfs</w:t>
            </w:r>
            <w:proofErr w:type="spellEnd"/>
            <w:r>
              <w:t>, the 7Q10 value must be used as a substitution for actual river flow in the equation listed above.</w:t>
            </w:r>
          </w:p>
        </w:tc>
      </w:tr>
      <w:tr w:rsidR="00AF7305" w14:paraId="69D70CB6" w14:textId="77777777" w:rsidTr="00C979E9">
        <w:trPr>
          <w:jc w:val="center"/>
        </w:trPr>
        <w:tc>
          <w:tcPr>
            <w:tcW w:w="5000" w:type="pct"/>
            <w:gridSpan w:val="5"/>
            <w:vAlign w:val="center"/>
          </w:tcPr>
          <w:p w14:paraId="7D7AC4A6" w14:textId="77777777" w:rsidR="00AF7305" w:rsidRDefault="00AF7305" w:rsidP="00AF7305">
            <w:pPr>
              <w:pStyle w:val="Tablecellentry"/>
              <w:spacing w:after="60"/>
            </w:pPr>
          </w:p>
        </w:tc>
      </w:tr>
    </w:tbl>
    <w:p w14:paraId="17DBAEC0" w14:textId="0B750210" w:rsidR="00F539E9" w:rsidRDefault="00F539E9">
      <w:pPr>
        <w:jc w:val="left"/>
        <w:rPr>
          <w:lang w:val="en-US"/>
        </w:rPr>
      </w:pPr>
      <w:bookmarkStart w:id="20" w:name="_Toc378060434"/>
      <w:bookmarkStart w:id="21" w:name="_Toc378060459"/>
      <w:bookmarkStart w:id="22" w:name="_Toc378060771"/>
      <w:bookmarkEnd w:id="20"/>
      <w:bookmarkEnd w:id="21"/>
      <w:bookmarkEnd w:id="22"/>
    </w:p>
    <w:p w14:paraId="022E7D78" w14:textId="07D20FE8" w:rsidR="00233394" w:rsidRDefault="00073356" w:rsidP="00A0366F">
      <w:pPr>
        <w:pStyle w:val="PermitHanging1TOC"/>
      </w:pPr>
      <w:bookmarkStart w:id="23" w:name="_Toc528575383"/>
      <w:bookmarkStart w:id="24" w:name="_Toc528579743"/>
      <w:bookmarkStart w:id="25" w:name="_Toc528585760"/>
      <w:bookmarkStart w:id="26" w:name="_Toc528740245"/>
      <w:bookmarkStart w:id="27" w:name="_Toc528575384"/>
      <w:bookmarkStart w:id="28" w:name="_Toc528579744"/>
      <w:bookmarkStart w:id="29" w:name="_Toc528585761"/>
      <w:bookmarkStart w:id="30" w:name="_Toc528740246"/>
      <w:bookmarkStart w:id="31" w:name="_Toc203135890"/>
      <w:bookmarkStart w:id="32" w:name="_Toc317170250"/>
      <w:bookmarkEnd w:id="23"/>
      <w:bookmarkEnd w:id="24"/>
      <w:bookmarkEnd w:id="25"/>
      <w:bookmarkEnd w:id="26"/>
      <w:bookmarkEnd w:id="27"/>
      <w:bookmarkEnd w:id="28"/>
      <w:bookmarkEnd w:id="29"/>
      <w:bookmarkEnd w:id="30"/>
      <w:r w:rsidRPr="007C461A">
        <w:lastRenderedPageBreak/>
        <w:t>Regulatory Mixing Zone</w:t>
      </w:r>
      <w:bookmarkEnd w:id="31"/>
    </w:p>
    <w:p w14:paraId="4C9011ED" w14:textId="55A5DEF6" w:rsidR="00233394" w:rsidRDefault="00073356" w:rsidP="004325BE">
      <w:pPr>
        <w:pStyle w:val="PermitHanging1-text"/>
      </w:pPr>
      <w:r>
        <w:rPr>
          <w:highlight w:val="yellow"/>
        </w:rPr>
        <w:t>[Include if there is no mixing zone]</w:t>
      </w:r>
      <w:r>
        <w:t xml:space="preserve"> There is no regulatory mixing zone for this discharge.</w:t>
      </w:r>
      <w:r w:rsidR="007C461A">
        <w:t xml:space="preserve"> </w:t>
      </w:r>
    </w:p>
    <w:p w14:paraId="5A50AD3F" w14:textId="4B215353" w:rsidR="003354BB" w:rsidRDefault="00073356" w:rsidP="003354BB">
      <w:pPr>
        <w:pStyle w:val="PermitHanging1-text"/>
      </w:pPr>
      <w:r>
        <w:rPr>
          <w:highlight w:val="yellow"/>
        </w:rPr>
        <w:t>[Include if there is a mixing zone]</w:t>
      </w:r>
      <w:r>
        <w:t xml:space="preserve"> Pursuant to OAR 340-041-0053, the permittee is granted a regulatory mixing zone as described below:</w:t>
      </w:r>
    </w:p>
    <w:p w14:paraId="519CE8F9" w14:textId="576777BB" w:rsidR="00233394" w:rsidRPr="00457CED" w:rsidRDefault="00073356" w:rsidP="00457CED">
      <w:pPr>
        <w:pStyle w:val="PermitHanging2-text"/>
      </w:pPr>
      <w:r w:rsidRPr="00457CED">
        <w:rPr>
          <w:highlight w:val="yellow"/>
        </w:rPr>
        <w:t>[Insert mixing zone description.</w:t>
      </w:r>
      <w:r w:rsidR="007C461A" w:rsidRPr="00457CED">
        <w:rPr>
          <w:highlight w:val="yellow"/>
        </w:rPr>
        <w:t xml:space="preserve"> </w:t>
      </w:r>
      <w:r w:rsidRPr="00457CED">
        <w:rPr>
          <w:highlight w:val="yellow"/>
        </w:rPr>
        <w:t>Note: if current description contains the phrase “shall be defined as”, replace with “is”].</w:t>
      </w:r>
    </w:p>
    <w:p w14:paraId="588E004F" w14:textId="025A3446" w:rsidR="004325BE" w:rsidRDefault="00073356" w:rsidP="00A0366F">
      <w:pPr>
        <w:pStyle w:val="PermitHanging1TOC"/>
      </w:pPr>
      <w:bookmarkStart w:id="33" w:name="_Toc203135891"/>
      <w:r w:rsidRPr="0005582B">
        <w:t>Use of Recycled Water</w:t>
      </w:r>
      <w:bookmarkEnd w:id="32"/>
      <w:bookmarkEnd w:id="33"/>
    </w:p>
    <w:p w14:paraId="190ABBB2" w14:textId="2C9B8A99" w:rsidR="00233394" w:rsidRDefault="00073356" w:rsidP="75EAEC27">
      <w:pPr>
        <w:pStyle w:val="PermitHanging1-text"/>
        <w:ind w:left="0"/>
      </w:pPr>
      <w:r>
        <w:t>The permittee is authorized to distribute recycled water if it is:</w:t>
      </w:r>
    </w:p>
    <w:p w14:paraId="4BCF6D56" w14:textId="0C48F02A" w:rsidR="00233394" w:rsidRPr="0088522F" w:rsidRDefault="00073356" w:rsidP="005E3CBD">
      <w:pPr>
        <w:pStyle w:val="PermitHanging2TOC"/>
        <w:rPr>
          <w:b/>
        </w:rPr>
      </w:pPr>
      <w:r w:rsidRPr="0088522F">
        <w:t xml:space="preserve">Treated and used according to the criteria listed in Table </w:t>
      </w:r>
      <w:proofErr w:type="gramStart"/>
      <w:r w:rsidRPr="005E3CBD">
        <w:rPr>
          <w:highlight w:val="yellow"/>
        </w:rPr>
        <w:t>A</w:t>
      </w:r>
      <w:r w:rsidR="00D26E59" w:rsidRPr="005E3CBD">
        <w:rPr>
          <w:highlight w:val="yellow"/>
        </w:rPr>
        <w:t>?</w:t>
      </w:r>
      <w:r w:rsidRPr="0088522F">
        <w:t>.</w:t>
      </w:r>
      <w:proofErr w:type="gramEnd"/>
    </w:p>
    <w:p w14:paraId="6FA255A1" w14:textId="573927B8" w:rsidR="00233394" w:rsidRPr="0088522F" w:rsidRDefault="00073356" w:rsidP="005E3CBD">
      <w:pPr>
        <w:pStyle w:val="PermitHanging2TOC"/>
        <w:rPr>
          <w:b/>
        </w:rPr>
      </w:pPr>
      <w:r w:rsidRPr="0088522F">
        <w:t xml:space="preserve">Managed in accordance with its DEQ-approved Recycled Water Use Plan unless exempt as provided in </w:t>
      </w:r>
      <w:hyperlink w:anchor="ScheduleD" w:history="1">
        <w:r w:rsidRPr="0088522F">
          <w:rPr>
            <w:rStyle w:val="Hyperlink"/>
            <w:color w:val="auto"/>
          </w:rPr>
          <w:t>Schedule D</w:t>
        </w:r>
      </w:hyperlink>
      <w:r w:rsidR="00F94D1F" w:rsidRPr="0088522F">
        <w:t>.</w:t>
      </w:r>
      <w:r w:rsidR="00561928" w:rsidRPr="0088522F">
        <w:t xml:space="preserve"> </w:t>
      </w:r>
    </w:p>
    <w:p w14:paraId="12F273BA" w14:textId="1864C7AE" w:rsidR="00AD694D" w:rsidRPr="00AD694D" w:rsidRDefault="00073356" w:rsidP="005E3CBD">
      <w:pPr>
        <w:pStyle w:val="PermitHanging2TOC"/>
        <w:rPr>
          <w:b/>
        </w:rPr>
      </w:pPr>
      <w:r w:rsidRPr="0088522F">
        <w:t xml:space="preserve">Used in a manner and applied at a rate that does not adversely </w:t>
      </w:r>
      <w:r w:rsidR="003C6A80" w:rsidRPr="0088522F">
        <w:t xml:space="preserve">affect </w:t>
      </w:r>
      <w:r w:rsidRPr="0088522F">
        <w:t>groundwater quality</w:t>
      </w:r>
      <w:r w:rsidR="001A5BBF" w:rsidRPr="0088522F">
        <w:t>.</w:t>
      </w:r>
    </w:p>
    <w:p w14:paraId="02AC628C" w14:textId="77777777" w:rsidR="004330AE" w:rsidRPr="004330AE" w:rsidRDefault="00073356" w:rsidP="005E3CBD">
      <w:pPr>
        <w:pStyle w:val="PermitHanging2TOC"/>
        <w:rPr>
          <w:b/>
        </w:rPr>
      </w:pPr>
      <w:r w:rsidRPr="004330AE">
        <w:t>Applied at a rate and in accordance with site management practices that ensure continued agricultural, horticultural, or silvicultural production and does not reduce the productivity of the site.</w:t>
      </w:r>
    </w:p>
    <w:p w14:paraId="25294F45" w14:textId="77777777" w:rsidR="008951D8" w:rsidRPr="008951D8" w:rsidRDefault="00073356" w:rsidP="005E3CBD">
      <w:pPr>
        <w:pStyle w:val="PermitHanging2TOC"/>
        <w:rPr>
          <w:b/>
        </w:rPr>
      </w:pPr>
      <w:r w:rsidRPr="008951D8">
        <w:t>Irrigated using sound irrigation practices to prevent:</w:t>
      </w:r>
    </w:p>
    <w:p w14:paraId="48E6B390" w14:textId="3EED0017" w:rsidR="004330AE" w:rsidRPr="004330AE" w:rsidRDefault="00073356" w:rsidP="004330AE">
      <w:pPr>
        <w:pStyle w:val="PermitHanging3"/>
      </w:pPr>
      <w:r w:rsidRPr="00AC6B06">
        <w:t xml:space="preserve">Offsite surface runoff or subsurface drainage through drainage </w:t>
      </w:r>
      <w:proofErr w:type="gramStart"/>
      <w:r w:rsidRPr="00AC6B06">
        <w:t>tile;</w:t>
      </w:r>
      <w:proofErr w:type="gramEnd"/>
    </w:p>
    <w:p w14:paraId="28746916" w14:textId="77777777" w:rsidR="00AC6B06" w:rsidRDefault="00073356" w:rsidP="004330AE">
      <w:pPr>
        <w:pStyle w:val="PermitHanging3"/>
      </w:pPr>
      <w:r w:rsidRPr="00AC6B06">
        <w:t>Creation of odors, fly and mosquito breeding, or other nuisance conditions; and</w:t>
      </w:r>
    </w:p>
    <w:p w14:paraId="2F387BAA" w14:textId="4C196363" w:rsidR="00AE0EF5" w:rsidRDefault="00073356" w:rsidP="004F69B5">
      <w:pPr>
        <w:pStyle w:val="PermitHanging3"/>
      </w:pPr>
      <w:r w:rsidRPr="00AC6B06">
        <w:t>Overloading of land with nutrients, organics, or other pollutants.</w:t>
      </w:r>
    </w:p>
    <w:p w14:paraId="0506B21F" w14:textId="77777777" w:rsidR="004330AE" w:rsidRPr="004330AE" w:rsidRDefault="004330AE" w:rsidP="004330AE">
      <w:pPr>
        <w:pStyle w:val="PermitHanging3-text"/>
        <w:ind w:left="0"/>
      </w:pPr>
    </w:p>
    <w:p w14:paraId="3FF3AA97" w14:textId="6862FEAE" w:rsidR="00233394" w:rsidRDefault="00073356" w:rsidP="75EAEC27">
      <w:pPr>
        <w:pStyle w:val="PermitHanging1-text"/>
        <w:ind w:left="0"/>
      </w:pPr>
      <w:r>
        <w:rPr>
          <w:highlight w:val="yellow"/>
        </w:rPr>
        <w:t xml:space="preserve">Earlier versions of the permit template directed the permit writer to delete rows in </w:t>
      </w:r>
      <w:r w:rsidR="00D26E59">
        <w:rPr>
          <w:highlight w:val="yellow"/>
        </w:rPr>
        <w:t xml:space="preserve">the </w:t>
      </w:r>
      <w:r>
        <w:rPr>
          <w:highlight w:val="yellow"/>
        </w:rPr>
        <w:t xml:space="preserve">Table </w:t>
      </w:r>
      <w:r w:rsidR="00D26E59">
        <w:rPr>
          <w:highlight w:val="yellow"/>
        </w:rPr>
        <w:t xml:space="preserve">below </w:t>
      </w:r>
      <w:r>
        <w:rPr>
          <w:highlight w:val="yellow"/>
        </w:rPr>
        <w:t>pertaining to higher</w:t>
      </w:r>
      <w:r w:rsidR="003C6A80">
        <w:rPr>
          <w:highlight w:val="yellow"/>
        </w:rPr>
        <w:t xml:space="preserve"> or lower</w:t>
      </w:r>
      <w:r>
        <w:rPr>
          <w:highlight w:val="yellow"/>
        </w:rPr>
        <w:t xml:space="preserve"> classes of treated water than the permittee can achieve, on the grounds that failure to do </w:t>
      </w:r>
      <w:r w:rsidR="003C6A80">
        <w:rPr>
          <w:highlight w:val="yellow"/>
        </w:rPr>
        <w:t xml:space="preserve">so </w:t>
      </w:r>
      <w:r>
        <w:rPr>
          <w:highlight w:val="yellow"/>
        </w:rPr>
        <w:t>could</w:t>
      </w:r>
      <w:r w:rsidR="007C461A">
        <w:rPr>
          <w:highlight w:val="yellow"/>
        </w:rPr>
        <w:t xml:space="preserve"> </w:t>
      </w:r>
      <w:r>
        <w:rPr>
          <w:highlight w:val="yellow"/>
        </w:rPr>
        <w:t xml:space="preserve">make determining compliance on DMRs difficult. Permit writers are now advised to leave any type of treatment in the permit that has a reasonable likelihood of being employed during the permit cycle, </w:t>
      </w:r>
      <w:proofErr w:type="gramStart"/>
      <w:r>
        <w:rPr>
          <w:highlight w:val="yellow"/>
        </w:rPr>
        <w:t>so as to</w:t>
      </w:r>
      <w:proofErr w:type="gramEnd"/>
      <w:r>
        <w:rPr>
          <w:highlight w:val="yellow"/>
        </w:rPr>
        <w:t xml:space="preserve"> preclude the need for a permit modification if the permittee decides to change their level of treatment. </w:t>
      </w:r>
    </w:p>
    <w:p w14:paraId="145C327D" w14:textId="77777777" w:rsidR="00233394" w:rsidRDefault="00233394">
      <w:pPr>
        <w:pStyle w:val="Caption"/>
      </w:pPr>
      <w:bookmarkStart w:id="34" w:name="_Toc378775942"/>
    </w:p>
    <w:p w14:paraId="2068E0CE" w14:textId="77777777" w:rsidR="00B14A70" w:rsidRDefault="00B14A70" w:rsidP="00B14A70">
      <w:pPr>
        <w:pStyle w:val="Caption"/>
        <w:spacing w:after="120"/>
      </w:pPr>
    </w:p>
    <w:p w14:paraId="1D88ACAD" w14:textId="77777777" w:rsidR="00B14A70" w:rsidRDefault="00B14A70" w:rsidP="00B14A70">
      <w:pPr>
        <w:pStyle w:val="Caption"/>
        <w:spacing w:after="120"/>
      </w:pPr>
    </w:p>
    <w:p w14:paraId="3D4E3FAF" w14:textId="77777777" w:rsidR="00B14A70" w:rsidRDefault="00B14A70" w:rsidP="00B14A70">
      <w:pPr>
        <w:pStyle w:val="Caption"/>
        <w:spacing w:after="120"/>
      </w:pPr>
    </w:p>
    <w:p w14:paraId="5402F404" w14:textId="77777777" w:rsidR="00B14A70" w:rsidRDefault="00B14A70" w:rsidP="00B14A70">
      <w:pPr>
        <w:pStyle w:val="Caption"/>
        <w:spacing w:after="120"/>
      </w:pPr>
    </w:p>
    <w:p w14:paraId="10557927" w14:textId="77777777" w:rsidR="00B14A70" w:rsidRDefault="00B14A70" w:rsidP="00B14A70">
      <w:pPr>
        <w:pStyle w:val="Caption"/>
        <w:spacing w:after="120"/>
      </w:pPr>
    </w:p>
    <w:p w14:paraId="559CE04F" w14:textId="77777777" w:rsidR="00B14A70" w:rsidRDefault="00B14A70" w:rsidP="00B14A70">
      <w:pPr>
        <w:pStyle w:val="Caption"/>
        <w:spacing w:after="120"/>
      </w:pPr>
    </w:p>
    <w:p w14:paraId="196BC109" w14:textId="77777777" w:rsidR="00B14A70" w:rsidRDefault="00B14A70" w:rsidP="00B14A70">
      <w:pPr>
        <w:pStyle w:val="Caption"/>
        <w:spacing w:after="120"/>
      </w:pPr>
    </w:p>
    <w:p w14:paraId="5DEE8ECE" w14:textId="77777777" w:rsidR="00B14A70" w:rsidRDefault="00B14A70" w:rsidP="00B14A70">
      <w:pPr>
        <w:pStyle w:val="Caption"/>
        <w:spacing w:after="120"/>
      </w:pPr>
    </w:p>
    <w:p w14:paraId="553A682F" w14:textId="77777777" w:rsidR="00B14A70" w:rsidRDefault="00B14A70" w:rsidP="00B14A70">
      <w:pPr>
        <w:pStyle w:val="Caption"/>
        <w:spacing w:after="120"/>
      </w:pPr>
    </w:p>
    <w:p w14:paraId="289033EF" w14:textId="77777777" w:rsidR="00B14A70" w:rsidRDefault="00B14A70" w:rsidP="00B14A70">
      <w:pPr>
        <w:pStyle w:val="Caption"/>
        <w:spacing w:after="120"/>
      </w:pPr>
    </w:p>
    <w:p w14:paraId="4F8FF800" w14:textId="77777777" w:rsidR="00B14A70" w:rsidRDefault="00B14A70" w:rsidP="00B14A70">
      <w:pPr>
        <w:pStyle w:val="Caption"/>
        <w:spacing w:after="120"/>
      </w:pPr>
    </w:p>
    <w:p w14:paraId="1FC5C2CA" w14:textId="77777777" w:rsidR="00B14A70" w:rsidRDefault="00B14A70" w:rsidP="00B14A70">
      <w:pPr>
        <w:pStyle w:val="Caption"/>
        <w:spacing w:after="120"/>
      </w:pPr>
    </w:p>
    <w:p w14:paraId="79FD3986" w14:textId="77777777" w:rsidR="00B14A70" w:rsidRDefault="00B14A70" w:rsidP="00B14A70">
      <w:pPr>
        <w:pStyle w:val="Caption"/>
        <w:spacing w:after="120"/>
      </w:pPr>
    </w:p>
    <w:p w14:paraId="7A065CC1" w14:textId="25B709BC" w:rsidR="00233394" w:rsidRDefault="00073356" w:rsidP="00B14A70">
      <w:pPr>
        <w:pStyle w:val="Caption"/>
        <w:spacing w:after="120"/>
      </w:pPr>
      <w:bookmarkStart w:id="35" w:name="_Toc203135923"/>
      <w:r>
        <w:t>Table A</w:t>
      </w:r>
      <w:r w:rsidR="000E728C">
        <w:t>2</w:t>
      </w:r>
      <w:r>
        <w:t>: Recycled Water Limits</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firstRow="1" w:lastRow="0" w:firstColumn="1" w:lastColumn="0" w:noHBand="0" w:noVBand="1"/>
      </w:tblPr>
      <w:tblGrid>
        <w:gridCol w:w="1828"/>
        <w:gridCol w:w="4045"/>
        <w:gridCol w:w="4215"/>
      </w:tblGrid>
      <w:tr w:rsidR="00233394" w14:paraId="5B9A648A" w14:textId="77777777" w:rsidTr="00C979E9">
        <w:trPr>
          <w:cantSplit/>
          <w:trHeight w:val="576"/>
          <w:tblHeader/>
        </w:trPr>
        <w:tc>
          <w:tcPr>
            <w:tcW w:w="906" w:type="pct"/>
            <w:shd w:val="clear" w:color="auto" w:fill="D9D9D9" w:themeFill="background1" w:themeFillShade="D9"/>
            <w:vAlign w:val="center"/>
          </w:tcPr>
          <w:p w14:paraId="6121479B" w14:textId="77777777" w:rsidR="00233394" w:rsidRDefault="00073356" w:rsidP="00B14A70">
            <w:pPr>
              <w:pStyle w:val="TableColumnHeading"/>
              <w:suppressAutoHyphens w:val="0"/>
            </w:pPr>
            <w:r>
              <w:t>Class</w:t>
            </w:r>
          </w:p>
        </w:tc>
        <w:tc>
          <w:tcPr>
            <w:tcW w:w="2005" w:type="pct"/>
            <w:shd w:val="clear" w:color="auto" w:fill="D9D9D9" w:themeFill="background1" w:themeFillShade="D9"/>
            <w:vAlign w:val="center"/>
          </w:tcPr>
          <w:p w14:paraId="54C4E9F0" w14:textId="77777777" w:rsidR="00233394" w:rsidRDefault="00073356" w:rsidP="00B14A70">
            <w:pPr>
              <w:pStyle w:val="TableColumnHeading"/>
              <w:suppressAutoHyphens w:val="0"/>
            </w:pPr>
            <w:r>
              <w:t>Level of Treatment</w:t>
            </w:r>
          </w:p>
          <w:p w14:paraId="214F73DB" w14:textId="77777777" w:rsidR="00233394" w:rsidRDefault="00073356" w:rsidP="00B14A70">
            <w:pPr>
              <w:pStyle w:val="TableColumnHeading"/>
              <w:suppressAutoHyphens w:val="0"/>
            </w:pPr>
            <w:r>
              <w:t>(after disinfection unless otherwise specified)</w:t>
            </w:r>
          </w:p>
        </w:tc>
        <w:tc>
          <w:tcPr>
            <w:tcW w:w="2089" w:type="pct"/>
            <w:shd w:val="clear" w:color="auto" w:fill="D9D9D9" w:themeFill="background1" w:themeFillShade="D9"/>
            <w:vAlign w:val="center"/>
          </w:tcPr>
          <w:p w14:paraId="001C5FF8" w14:textId="77777777" w:rsidR="00233394" w:rsidRDefault="00073356" w:rsidP="00B14A70">
            <w:pPr>
              <w:pStyle w:val="TableColumnHeading"/>
              <w:suppressAutoHyphens w:val="0"/>
            </w:pPr>
            <w:r>
              <w:t>Beneficial Uses</w:t>
            </w:r>
          </w:p>
        </w:tc>
      </w:tr>
      <w:tr w:rsidR="00233394" w14:paraId="6C872BDD" w14:textId="77777777" w:rsidTr="00F26989">
        <w:trPr>
          <w:cantSplit/>
          <w:trHeight w:val="432"/>
        </w:trPr>
        <w:tc>
          <w:tcPr>
            <w:tcW w:w="906" w:type="pct"/>
          </w:tcPr>
          <w:p w14:paraId="4D0FEBDC" w14:textId="2A3F58DE" w:rsidR="00233394" w:rsidRPr="00F26989" w:rsidRDefault="00073356" w:rsidP="00B14A70">
            <w:pPr>
              <w:jc w:val="left"/>
              <w:outlineLvl w:val="0"/>
              <w:rPr>
                <w:b/>
              </w:rPr>
            </w:pPr>
            <w:proofErr w:type="gramStart"/>
            <w:r w:rsidRPr="00F26989">
              <w:rPr>
                <w:b/>
              </w:rPr>
              <w:t>A</w:t>
            </w:r>
            <w:r w:rsidRPr="00F26989">
              <w:rPr>
                <w:i/>
                <w:highlight w:val="yellow"/>
              </w:rPr>
              <w:t>(</w:t>
            </w:r>
            <w:proofErr w:type="gramEnd"/>
            <w:r w:rsidRPr="00F26989">
              <w:rPr>
                <w:i/>
                <w:highlight w:val="yellow"/>
              </w:rPr>
              <w:t>delete this row if it does not apply)</w:t>
            </w:r>
          </w:p>
        </w:tc>
        <w:tc>
          <w:tcPr>
            <w:tcW w:w="2005" w:type="pct"/>
          </w:tcPr>
          <w:p w14:paraId="76D82418" w14:textId="06E60FDB" w:rsidR="00233394" w:rsidRDefault="00073356" w:rsidP="00B14A70">
            <w:pPr>
              <w:jc w:val="left"/>
              <w:rPr>
                <w:szCs w:val="22"/>
              </w:rPr>
            </w:pPr>
            <w:r>
              <w:rPr>
                <w:szCs w:val="22"/>
              </w:rPr>
              <w:t>Class A recycled water must be oxidized, filtered and disinfected.</w:t>
            </w:r>
            <w:r w:rsidR="007C461A">
              <w:rPr>
                <w:szCs w:val="22"/>
              </w:rPr>
              <w:t xml:space="preserve"> </w:t>
            </w:r>
          </w:p>
          <w:p w14:paraId="5CEDB05E" w14:textId="7C3EA664" w:rsidR="00233394" w:rsidRDefault="00073356" w:rsidP="00B14A70">
            <w:pPr>
              <w:jc w:val="left"/>
              <w:rPr>
                <w:i/>
                <w:szCs w:val="22"/>
              </w:rPr>
            </w:pPr>
            <w:r>
              <w:rPr>
                <w:szCs w:val="22"/>
              </w:rPr>
              <w:t>Before disinfection</w:t>
            </w:r>
            <w:r>
              <w:rPr>
                <w:szCs w:val="22"/>
                <w:highlight w:val="yellow"/>
              </w:rPr>
              <w:t>, unless otherwise approved in writing by DEQ</w:t>
            </w:r>
            <w:r>
              <w:rPr>
                <w:szCs w:val="22"/>
              </w:rPr>
              <w:t xml:space="preserve"> </w:t>
            </w:r>
            <w:r>
              <w:rPr>
                <w:i/>
                <w:szCs w:val="22"/>
                <w:highlight w:val="yellow"/>
              </w:rPr>
              <w:t>(include highlighted language only for legacy permittees with facilities in which the filtration process comes after the disinfection process.</w:t>
            </w:r>
            <w:r w:rsidR="007C461A">
              <w:rPr>
                <w:i/>
                <w:szCs w:val="22"/>
                <w:highlight w:val="yellow"/>
              </w:rPr>
              <w:t xml:space="preserve"> </w:t>
            </w:r>
            <w:r>
              <w:rPr>
                <w:i/>
                <w:szCs w:val="22"/>
                <w:highlight w:val="yellow"/>
              </w:rPr>
              <w:t>Delete from all other permits.)</w:t>
            </w:r>
            <w:r>
              <w:rPr>
                <w:i/>
                <w:szCs w:val="22"/>
              </w:rPr>
              <w:t xml:space="preserve"> </w:t>
            </w:r>
            <w:r>
              <w:rPr>
                <w:szCs w:val="22"/>
              </w:rPr>
              <w:t>turbidity may not exceed:</w:t>
            </w:r>
          </w:p>
          <w:p w14:paraId="2593E589" w14:textId="77777777" w:rsidR="00233394" w:rsidRDefault="00A06498" w:rsidP="00B14A70">
            <w:pPr>
              <w:pStyle w:val="ListParagraph"/>
              <w:numPr>
                <w:ilvl w:val="0"/>
                <w:numId w:val="5"/>
              </w:numPr>
              <w:ind w:left="290" w:hanging="290"/>
            </w:pPr>
            <w:r>
              <w:t xml:space="preserve">An average of </w:t>
            </w:r>
            <w:r w:rsidR="00073356">
              <w:t>2 NTUs within a 24-hour period.</w:t>
            </w:r>
          </w:p>
          <w:p w14:paraId="35D97503" w14:textId="77777777" w:rsidR="00233394" w:rsidRDefault="00073356" w:rsidP="00B14A70">
            <w:pPr>
              <w:pStyle w:val="ListParagraph"/>
              <w:numPr>
                <w:ilvl w:val="0"/>
                <w:numId w:val="5"/>
              </w:numPr>
              <w:ind w:left="290" w:hanging="290"/>
            </w:pPr>
            <w:r>
              <w:t>5 NTUs more than five percent of the time within a 24-hour period.</w:t>
            </w:r>
          </w:p>
          <w:p w14:paraId="726ACF6D" w14:textId="77777777" w:rsidR="00233394" w:rsidRDefault="00073356" w:rsidP="00B14A70">
            <w:pPr>
              <w:pStyle w:val="ListParagraph"/>
              <w:numPr>
                <w:ilvl w:val="0"/>
                <w:numId w:val="5"/>
              </w:numPr>
              <w:ind w:left="290" w:hanging="290"/>
            </w:pPr>
            <w:r>
              <w:t>10 NTUs at any time.</w:t>
            </w:r>
          </w:p>
          <w:p w14:paraId="06A4728D" w14:textId="77777777" w:rsidR="00233394" w:rsidRDefault="00233394" w:rsidP="00B14A70">
            <w:pPr>
              <w:jc w:val="left"/>
              <w:rPr>
                <w:szCs w:val="22"/>
              </w:rPr>
            </w:pPr>
          </w:p>
          <w:p w14:paraId="6DCB38B4" w14:textId="77777777" w:rsidR="00233394" w:rsidRDefault="00073356" w:rsidP="00B14A70">
            <w:pPr>
              <w:jc w:val="left"/>
              <w:rPr>
                <w:szCs w:val="22"/>
              </w:rPr>
            </w:pPr>
            <w:r>
              <w:rPr>
                <w:szCs w:val="22"/>
              </w:rPr>
              <w:t>After disinfection, total coliform may not exceed:</w:t>
            </w:r>
          </w:p>
          <w:p w14:paraId="284B350C" w14:textId="6A34551F" w:rsidR="00233394" w:rsidRDefault="00073356" w:rsidP="00B14A70">
            <w:pPr>
              <w:pStyle w:val="ListParagraph"/>
              <w:numPr>
                <w:ilvl w:val="0"/>
                <w:numId w:val="5"/>
              </w:numPr>
              <w:ind w:left="252" w:hanging="252"/>
            </w:pPr>
            <w:r>
              <w:t>A median of 2.2 organisms per 100 mL based on daily sampling over the last 7 days that analyses have been completed.</w:t>
            </w:r>
            <w:r>
              <w:rPr>
                <w:rStyle w:val="EndnoteReference"/>
              </w:rPr>
              <w:t xml:space="preserve"> </w:t>
            </w:r>
          </w:p>
          <w:p w14:paraId="683ED750" w14:textId="77777777" w:rsidR="00233394" w:rsidRDefault="00073356" w:rsidP="00B14A70">
            <w:pPr>
              <w:pStyle w:val="ListParagraph"/>
              <w:numPr>
                <w:ilvl w:val="0"/>
                <w:numId w:val="5"/>
              </w:numPr>
              <w:ind w:left="252" w:hanging="252"/>
            </w:pPr>
            <w:r>
              <w:t>23 organisms per 100 mL in any single sample.</w:t>
            </w:r>
          </w:p>
          <w:p w14:paraId="4DD6FC9E" w14:textId="77777777" w:rsidR="00233394" w:rsidRDefault="00233394" w:rsidP="00B14A70">
            <w:pPr>
              <w:jc w:val="left"/>
              <w:rPr>
                <w:szCs w:val="22"/>
              </w:rPr>
            </w:pPr>
          </w:p>
        </w:tc>
        <w:tc>
          <w:tcPr>
            <w:tcW w:w="2089" w:type="pct"/>
          </w:tcPr>
          <w:p w14:paraId="4BA60A19" w14:textId="77777777" w:rsidR="00233394" w:rsidRDefault="00073356" w:rsidP="00B14A70">
            <w:pPr>
              <w:pStyle w:val="ListParagraph"/>
              <w:tabs>
                <w:tab w:val="left" w:pos="-720"/>
              </w:tabs>
              <w:ind w:left="0"/>
            </w:pPr>
            <w:r>
              <w:t>Class A recycled water may be used for:</w:t>
            </w:r>
          </w:p>
          <w:p w14:paraId="3BDE2C9C" w14:textId="0904AB88" w:rsidR="00233394" w:rsidRDefault="00073356" w:rsidP="00B14A70">
            <w:pPr>
              <w:pStyle w:val="ListParagraph"/>
              <w:numPr>
                <w:ilvl w:val="0"/>
                <w:numId w:val="9"/>
              </w:numPr>
              <w:tabs>
                <w:tab w:val="left" w:pos="-720"/>
              </w:tabs>
              <w:ind w:left="252" w:hanging="252"/>
            </w:pPr>
            <w:r>
              <w:t>Class B, Class C, Class D, and non</w:t>
            </w:r>
            <w:r w:rsidR="00F505D8">
              <w:t>-</w:t>
            </w:r>
            <w:r>
              <w:t>disinfected uses.</w:t>
            </w:r>
          </w:p>
          <w:p w14:paraId="55623A1B" w14:textId="77777777" w:rsidR="00233394" w:rsidRDefault="00073356" w:rsidP="00B14A70">
            <w:pPr>
              <w:pStyle w:val="ListParagraph"/>
              <w:numPr>
                <w:ilvl w:val="0"/>
                <w:numId w:val="9"/>
              </w:numPr>
              <w:tabs>
                <w:tab w:val="left" w:pos="-720"/>
              </w:tabs>
              <w:ind w:left="252" w:hanging="252"/>
            </w:pPr>
            <w:r>
              <w:t>Irrigation for any agricultural or horticultural use.</w:t>
            </w:r>
          </w:p>
          <w:p w14:paraId="345C0B0E" w14:textId="77777777" w:rsidR="00233394" w:rsidRDefault="00073356" w:rsidP="00B14A70">
            <w:pPr>
              <w:pStyle w:val="ListParagraph"/>
              <w:numPr>
                <w:ilvl w:val="0"/>
                <w:numId w:val="9"/>
              </w:numPr>
              <w:tabs>
                <w:tab w:val="left" w:pos="-720"/>
              </w:tabs>
              <w:ind w:left="252" w:hanging="252"/>
            </w:pPr>
            <w:r>
              <w:t>Landscape irrigation of parks, playgrounds, school yards, residential landscapes, or other landscapes accessible to the public.</w:t>
            </w:r>
          </w:p>
          <w:p w14:paraId="4A20EB7B" w14:textId="77777777" w:rsidR="00233394" w:rsidRDefault="00073356" w:rsidP="00B14A70">
            <w:pPr>
              <w:pStyle w:val="ListParagraph"/>
              <w:numPr>
                <w:ilvl w:val="0"/>
                <w:numId w:val="9"/>
              </w:numPr>
              <w:tabs>
                <w:tab w:val="left" w:pos="-720"/>
              </w:tabs>
              <w:ind w:left="252" w:hanging="252"/>
            </w:pPr>
            <w:r>
              <w:t>Commercial car washing or fountains when the water is not intended for human consumption.</w:t>
            </w:r>
          </w:p>
          <w:p w14:paraId="6BF6ADE4" w14:textId="4F54E144" w:rsidR="00233394" w:rsidRDefault="00073356" w:rsidP="00B14A70">
            <w:pPr>
              <w:pStyle w:val="ListParagraph"/>
              <w:numPr>
                <w:ilvl w:val="0"/>
                <w:numId w:val="9"/>
              </w:numPr>
              <w:tabs>
                <w:tab w:val="left" w:pos="-720"/>
              </w:tabs>
              <w:ind w:left="252" w:hanging="252"/>
            </w:pPr>
            <w:r>
              <w:t xml:space="preserve">Water supply source for </w:t>
            </w:r>
            <w:r w:rsidR="00005B6F">
              <w:t>non-restricted</w:t>
            </w:r>
            <w:r>
              <w:t xml:space="preserve"> recreational impoundments.</w:t>
            </w:r>
          </w:p>
          <w:p w14:paraId="7179E65B" w14:textId="3311C3C6" w:rsidR="00233394" w:rsidRDefault="00073356" w:rsidP="00B14A70">
            <w:pPr>
              <w:pStyle w:val="ListParagraph"/>
              <w:numPr>
                <w:ilvl w:val="0"/>
                <w:numId w:val="9"/>
              </w:numPr>
              <w:tabs>
                <w:tab w:val="left" w:pos="-720"/>
              </w:tabs>
            </w:pPr>
            <w:r>
              <w:rPr>
                <w:highlight w:val="yellow"/>
              </w:rPr>
              <w:t>Artificial groundwater recharge by surface infiltration methods or by subsurface injection in accordance with OAR Chapter 340, Division 44.</w:t>
            </w:r>
            <w:r w:rsidR="007C461A">
              <w:rPr>
                <w:highlight w:val="yellow"/>
              </w:rPr>
              <w:t xml:space="preserve"> </w:t>
            </w:r>
            <w:r>
              <w:rPr>
                <w:i/>
                <w:highlight w:val="yellow"/>
              </w:rPr>
              <w:t>This clause should not be included unless the application has specifically requested artificial groundwater recharge as a beneficial use. Artificial groundwater recharge requires a groundwater monitoring plan, working with WRD, and it may require a UIC permit.</w:t>
            </w:r>
            <w:r w:rsidR="007C461A">
              <w:rPr>
                <w:i/>
                <w:highlight w:val="yellow"/>
              </w:rPr>
              <w:t xml:space="preserve"> </w:t>
            </w:r>
            <w:r>
              <w:rPr>
                <w:i/>
                <w:highlight w:val="yellow"/>
              </w:rPr>
              <w:t>It is</w:t>
            </w:r>
            <w:r w:rsidR="007C461A">
              <w:rPr>
                <w:i/>
                <w:highlight w:val="yellow"/>
              </w:rPr>
              <w:t xml:space="preserve"> </w:t>
            </w:r>
            <w:r>
              <w:rPr>
                <w:i/>
                <w:highlight w:val="yellow"/>
              </w:rPr>
              <w:t xml:space="preserve">described in the Recycled Water IMD at </w:t>
            </w:r>
            <w:r w:rsidR="00BD0A58" w:rsidRPr="00BD0A58">
              <w:rPr>
                <w:rStyle w:val="Hyperlink"/>
                <w:i/>
                <w:color w:val="0000FF"/>
                <w:u w:val="single"/>
              </w:rPr>
              <w:t>https://www.oregon.gov/deq/Data-and-Reports/Pages/imd.aspx</w:t>
            </w:r>
          </w:p>
        </w:tc>
      </w:tr>
      <w:tr w:rsidR="00233394" w14:paraId="3A1D3AF5" w14:textId="77777777" w:rsidTr="00F26989">
        <w:trPr>
          <w:cantSplit/>
          <w:trHeight w:val="432"/>
        </w:trPr>
        <w:tc>
          <w:tcPr>
            <w:tcW w:w="906" w:type="pct"/>
          </w:tcPr>
          <w:p w14:paraId="18AAB267" w14:textId="679BD286" w:rsidR="00233394" w:rsidRDefault="00073356" w:rsidP="00B14A70">
            <w:pPr>
              <w:jc w:val="left"/>
              <w:outlineLvl w:val="0"/>
              <w:rPr>
                <w:b/>
                <w:szCs w:val="22"/>
              </w:rPr>
            </w:pPr>
            <w:proofErr w:type="gramStart"/>
            <w:r>
              <w:rPr>
                <w:b/>
                <w:szCs w:val="22"/>
              </w:rPr>
              <w:t>B</w:t>
            </w:r>
            <w:r>
              <w:rPr>
                <w:i/>
                <w:szCs w:val="22"/>
                <w:highlight w:val="yellow"/>
              </w:rPr>
              <w:t>(</w:t>
            </w:r>
            <w:proofErr w:type="gramEnd"/>
            <w:r>
              <w:rPr>
                <w:i/>
                <w:szCs w:val="22"/>
                <w:highlight w:val="yellow"/>
              </w:rPr>
              <w:t>delete this row if it does not apply)</w:t>
            </w:r>
          </w:p>
        </w:tc>
        <w:tc>
          <w:tcPr>
            <w:tcW w:w="2005" w:type="pct"/>
          </w:tcPr>
          <w:p w14:paraId="678AC94C" w14:textId="74B27BD2" w:rsidR="00233394" w:rsidRDefault="00073356" w:rsidP="00B14A70">
            <w:pPr>
              <w:jc w:val="left"/>
              <w:rPr>
                <w:szCs w:val="22"/>
              </w:rPr>
            </w:pPr>
            <w:r>
              <w:rPr>
                <w:szCs w:val="22"/>
              </w:rPr>
              <w:t xml:space="preserve">Class B recycled water must be oxidized and disinfected. Total coliform may not exceed: </w:t>
            </w:r>
          </w:p>
          <w:p w14:paraId="52594512" w14:textId="7E452743" w:rsidR="00233394" w:rsidRDefault="00073356" w:rsidP="00B14A70">
            <w:pPr>
              <w:pStyle w:val="ListParagraph"/>
              <w:numPr>
                <w:ilvl w:val="0"/>
                <w:numId w:val="6"/>
              </w:numPr>
              <w:ind w:left="290" w:hanging="290"/>
            </w:pPr>
            <w:r>
              <w:t>A median of 2.2 organisms per 100 mL, based on the last 7 days that analyses have been completed.</w:t>
            </w:r>
          </w:p>
          <w:p w14:paraId="45BBA2EC" w14:textId="77777777" w:rsidR="00233394" w:rsidRDefault="00073356" w:rsidP="00B14A70">
            <w:pPr>
              <w:pStyle w:val="ListParagraph"/>
              <w:numPr>
                <w:ilvl w:val="0"/>
                <w:numId w:val="6"/>
              </w:numPr>
              <w:ind w:left="290" w:hanging="290"/>
            </w:pPr>
            <w:r>
              <w:t>23 total coliform organisms per 100 mL in any single sample.</w:t>
            </w:r>
          </w:p>
        </w:tc>
        <w:tc>
          <w:tcPr>
            <w:tcW w:w="2089" w:type="pct"/>
          </w:tcPr>
          <w:p w14:paraId="4A661A57" w14:textId="77777777" w:rsidR="00233394" w:rsidRDefault="00073356" w:rsidP="00B14A70">
            <w:pPr>
              <w:pStyle w:val="ListParagraph"/>
              <w:tabs>
                <w:tab w:val="left" w:pos="-720"/>
              </w:tabs>
              <w:ind w:left="0"/>
            </w:pPr>
            <w:r>
              <w:t>Class B recycled water may be used for:</w:t>
            </w:r>
          </w:p>
          <w:p w14:paraId="4A0D56F1" w14:textId="5733EA7A" w:rsidR="00233394" w:rsidRDefault="00073356" w:rsidP="00B14A70">
            <w:pPr>
              <w:pStyle w:val="ListParagraph"/>
              <w:numPr>
                <w:ilvl w:val="0"/>
                <w:numId w:val="9"/>
              </w:numPr>
              <w:tabs>
                <w:tab w:val="left" w:pos="-720"/>
              </w:tabs>
              <w:ind w:left="252" w:hanging="252"/>
            </w:pPr>
            <w:r>
              <w:t>Class C, Class D, and non</w:t>
            </w:r>
            <w:r w:rsidR="00F505D8">
              <w:t>-</w:t>
            </w:r>
            <w:r>
              <w:t>disinfected uses.</w:t>
            </w:r>
          </w:p>
          <w:p w14:paraId="7CCD457F" w14:textId="77777777" w:rsidR="00233394" w:rsidRDefault="00073356" w:rsidP="00B14A70">
            <w:pPr>
              <w:pStyle w:val="ListParagraph"/>
              <w:numPr>
                <w:ilvl w:val="0"/>
                <w:numId w:val="9"/>
              </w:numPr>
              <w:tabs>
                <w:tab w:val="left" w:pos="-720"/>
              </w:tabs>
              <w:ind w:left="252" w:hanging="252"/>
            </w:pPr>
            <w:r>
              <w:t>Stand-alone fire suppression systems in commercial and residential building, non-residential toilet or urinal flushing, or floor drain trap priming.</w:t>
            </w:r>
          </w:p>
          <w:p w14:paraId="69F01331" w14:textId="77777777" w:rsidR="00233394" w:rsidRDefault="00073356" w:rsidP="00B14A70">
            <w:pPr>
              <w:pStyle w:val="ListParagraph"/>
              <w:numPr>
                <w:ilvl w:val="0"/>
                <w:numId w:val="9"/>
              </w:numPr>
              <w:ind w:left="252" w:hanging="252"/>
            </w:pPr>
            <w:r>
              <w:t>Water supply source for restricted recreational impoundments.</w:t>
            </w:r>
          </w:p>
        </w:tc>
      </w:tr>
      <w:tr w:rsidR="00233394" w14:paraId="53855EDC" w14:textId="77777777" w:rsidTr="00F26989">
        <w:trPr>
          <w:cantSplit/>
          <w:trHeight w:val="432"/>
        </w:trPr>
        <w:tc>
          <w:tcPr>
            <w:tcW w:w="906" w:type="pct"/>
          </w:tcPr>
          <w:p w14:paraId="0E6BA206" w14:textId="6F1FC632" w:rsidR="00233394" w:rsidRDefault="00073356" w:rsidP="00B14A70">
            <w:pPr>
              <w:jc w:val="left"/>
              <w:rPr>
                <w:b/>
                <w:szCs w:val="22"/>
              </w:rPr>
            </w:pPr>
            <w:proofErr w:type="gramStart"/>
            <w:r>
              <w:rPr>
                <w:b/>
                <w:szCs w:val="22"/>
              </w:rPr>
              <w:lastRenderedPageBreak/>
              <w:t>C</w:t>
            </w:r>
            <w:r>
              <w:rPr>
                <w:i/>
                <w:szCs w:val="22"/>
                <w:highlight w:val="yellow"/>
              </w:rPr>
              <w:t>(</w:t>
            </w:r>
            <w:proofErr w:type="gramEnd"/>
            <w:r>
              <w:rPr>
                <w:i/>
                <w:szCs w:val="22"/>
                <w:highlight w:val="yellow"/>
              </w:rPr>
              <w:t>delete this row if it does not apply)</w:t>
            </w:r>
          </w:p>
        </w:tc>
        <w:tc>
          <w:tcPr>
            <w:tcW w:w="2005" w:type="pct"/>
          </w:tcPr>
          <w:p w14:paraId="52336B90" w14:textId="3E003ED5" w:rsidR="00233394" w:rsidRDefault="00073356" w:rsidP="00B14A70">
            <w:pPr>
              <w:jc w:val="left"/>
              <w:rPr>
                <w:szCs w:val="22"/>
              </w:rPr>
            </w:pPr>
            <w:r>
              <w:rPr>
                <w:szCs w:val="22"/>
              </w:rPr>
              <w:t>Class C recycled water must be oxidized and disinfected. Total coliform may not exceed:</w:t>
            </w:r>
          </w:p>
          <w:p w14:paraId="19B253AC" w14:textId="2A775735" w:rsidR="00233394" w:rsidRDefault="00073356" w:rsidP="00B14A70">
            <w:pPr>
              <w:pStyle w:val="ListParagraph"/>
              <w:numPr>
                <w:ilvl w:val="0"/>
                <w:numId w:val="7"/>
              </w:numPr>
              <w:ind w:left="290" w:hanging="290"/>
            </w:pPr>
            <w:r>
              <w:t>A median of 23 total coliform organisms per 100 mL, based on results of the last 7 days that analyses have been completed.</w:t>
            </w:r>
          </w:p>
          <w:p w14:paraId="6940B796" w14:textId="77777777" w:rsidR="00233394" w:rsidRDefault="00073356" w:rsidP="00B14A70">
            <w:pPr>
              <w:pStyle w:val="ListParagraph"/>
              <w:numPr>
                <w:ilvl w:val="0"/>
                <w:numId w:val="7"/>
              </w:numPr>
              <w:ind w:left="290" w:hanging="290"/>
            </w:pPr>
            <w:r>
              <w:t>240 total coliform organisms per 100 mL in any two consecutive samples.</w:t>
            </w:r>
          </w:p>
        </w:tc>
        <w:tc>
          <w:tcPr>
            <w:tcW w:w="2089" w:type="pct"/>
          </w:tcPr>
          <w:p w14:paraId="72CFE7FB" w14:textId="77777777" w:rsidR="00233394" w:rsidRDefault="00073356" w:rsidP="00B14A70">
            <w:pPr>
              <w:pStyle w:val="ListParagraph"/>
              <w:tabs>
                <w:tab w:val="left" w:pos="-720"/>
              </w:tabs>
              <w:ind w:left="0"/>
            </w:pPr>
            <w:r>
              <w:t>Class C recycled water may be used for:</w:t>
            </w:r>
          </w:p>
          <w:p w14:paraId="2D037701" w14:textId="4175A557" w:rsidR="00233394" w:rsidRDefault="00073356" w:rsidP="00B14A70">
            <w:pPr>
              <w:pStyle w:val="ListParagraph"/>
              <w:numPr>
                <w:ilvl w:val="0"/>
                <w:numId w:val="9"/>
              </w:numPr>
              <w:tabs>
                <w:tab w:val="left" w:pos="-720"/>
              </w:tabs>
              <w:ind w:left="252" w:hanging="252"/>
            </w:pPr>
            <w:r>
              <w:t>Class D and non</w:t>
            </w:r>
            <w:r w:rsidR="00F505D8">
              <w:t>-</w:t>
            </w:r>
            <w:r>
              <w:t>disinfected uses.</w:t>
            </w:r>
          </w:p>
          <w:p w14:paraId="78F92DB6" w14:textId="77777777" w:rsidR="00233394" w:rsidRDefault="00073356" w:rsidP="00B14A70">
            <w:pPr>
              <w:pStyle w:val="ListParagraph"/>
              <w:numPr>
                <w:ilvl w:val="0"/>
                <w:numId w:val="9"/>
              </w:numPr>
              <w:tabs>
                <w:tab w:val="left" w:pos="-720"/>
              </w:tabs>
              <w:ind w:left="252" w:hanging="252"/>
            </w:pPr>
            <w:r>
              <w:t>Irrigation of processed food crops; irrigation of orchards or vineyards if an irrigation method is used to apply recycled water directly to the soil.</w:t>
            </w:r>
          </w:p>
          <w:p w14:paraId="0A5BA2D8" w14:textId="77777777" w:rsidR="00233394" w:rsidRDefault="00073356" w:rsidP="00B14A70">
            <w:pPr>
              <w:pStyle w:val="ListParagraph"/>
              <w:numPr>
                <w:ilvl w:val="0"/>
                <w:numId w:val="9"/>
              </w:numPr>
              <w:tabs>
                <w:tab w:val="left" w:pos="-720"/>
              </w:tabs>
              <w:ind w:left="252" w:hanging="252"/>
            </w:pPr>
            <w:r>
              <w:t>Landscape irrigation of golf courses, cemeteries, highway medians, or industrial or business campuses.</w:t>
            </w:r>
          </w:p>
          <w:p w14:paraId="7882F888" w14:textId="7805757C" w:rsidR="00233394" w:rsidRDefault="00073356" w:rsidP="00B14A70">
            <w:pPr>
              <w:pStyle w:val="ListParagraph"/>
              <w:numPr>
                <w:ilvl w:val="0"/>
                <w:numId w:val="9"/>
              </w:numPr>
              <w:ind w:left="252" w:hanging="252"/>
            </w:pPr>
            <w:r>
              <w:t xml:space="preserve">Industrial, commercial, or construction uses limited </w:t>
            </w:r>
            <w:proofErr w:type="gramStart"/>
            <w:r>
              <w:t>to:</w:t>
            </w:r>
            <w:proofErr w:type="gramEnd"/>
            <w:r>
              <w:t xml:space="preserve"> industrial cooling, rock crushing, aggregate washing, mixing concrete, dust control, nonstructural </w:t>
            </w:r>
            <w:r w:rsidR="0057794A">
              <w:t>firefighting</w:t>
            </w:r>
            <w:r>
              <w:t xml:space="preserve"> using aircraft, street sweeping, or sanitary sewer flushing.</w:t>
            </w:r>
          </w:p>
        </w:tc>
      </w:tr>
      <w:tr w:rsidR="00233394" w14:paraId="62079AEC" w14:textId="77777777" w:rsidTr="00F26989">
        <w:trPr>
          <w:cantSplit/>
          <w:trHeight w:val="432"/>
        </w:trPr>
        <w:tc>
          <w:tcPr>
            <w:tcW w:w="906" w:type="pct"/>
          </w:tcPr>
          <w:p w14:paraId="3E94F5AA" w14:textId="6941DC69" w:rsidR="00233394" w:rsidRDefault="00073356" w:rsidP="00B14A70">
            <w:pPr>
              <w:jc w:val="left"/>
              <w:rPr>
                <w:b/>
                <w:szCs w:val="22"/>
              </w:rPr>
            </w:pPr>
            <w:proofErr w:type="gramStart"/>
            <w:r>
              <w:rPr>
                <w:b/>
                <w:szCs w:val="22"/>
              </w:rPr>
              <w:t>D</w:t>
            </w:r>
            <w:r>
              <w:rPr>
                <w:i/>
                <w:szCs w:val="22"/>
                <w:highlight w:val="yellow"/>
              </w:rPr>
              <w:t>(</w:t>
            </w:r>
            <w:proofErr w:type="gramEnd"/>
            <w:r>
              <w:rPr>
                <w:i/>
                <w:szCs w:val="22"/>
                <w:highlight w:val="yellow"/>
              </w:rPr>
              <w:t>delete this row if it does not apply)</w:t>
            </w:r>
          </w:p>
        </w:tc>
        <w:tc>
          <w:tcPr>
            <w:tcW w:w="2005" w:type="pct"/>
          </w:tcPr>
          <w:p w14:paraId="73A14921" w14:textId="3F596053" w:rsidR="00233394" w:rsidRDefault="00073356" w:rsidP="00B14A70">
            <w:pPr>
              <w:jc w:val="left"/>
              <w:rPr>
                <w:szCs w:val="22"/>
              </w:rPr>
            </w:pPr>
            <w:r>
              <w:rPr>
                <w:szCs w:val="22"/>
              </w:rPr>
              <w:t>Class D recycled water must be oxidized and disinfected.</w:t>
            </w:r>
            <w:r>
              <w:rPr>
                <w:i/>
                <w:szCs w:val="22"/>
              </w:rPr>
              <w:t xml:space="preserve"> E. coli</w:t>
            </w:r>
            <w:r>
              <w:rPr>
                <w:szCs w:val="22"/>
              </w:rPr>
              <w:t xml:space="preserve"> may not exceed: </w:t>
            </w:r>
          </w:p>
          <w:p w14:paraId="0D7F770B" w14:textId="77777777" w:rsidR="00233394" w:rsidRDefault="00073356" w:rsidP="00B14A70">
            <w:pPr>
              <w:pStyle w:val="ListParagraph"/>
              <w:numPr>
                <w:ilvl w:val="0"/>
                <w:numId w:val="8"/>
              </w:numPr>
              <w:ind w:left="290" w:hanging="270"/>
            </w:pPr>
            <w:r>
              <w:t xml:space="preserve">A 30-day geometric mean of 126 organisms per 100 </w:t>
            </w:r>
            <w:proofErr w:type="spellStart"/>
            <w:r>
              <w:t>mL.</w:t>
            </w:r>
            <w:proofErr w:type="spellEnd"/>
          </w:p>
          <w:p w14:paraId="6E06A4CE" w14:textId="77777777" w:rsidR="00233394" w:rsidRDefault="00073356" w:rsidP="00B14A70">
            <w:pPr>
              <w:pStyle w:val="ListParagraph"/>
              <w:numPr>
                <w:ilvl w:val="0"/>
                <w:numId w:val="8"/>
              </w:numPr>
              <w:ind w:left="290" w:hanging="270"/>
            </w:pPr>
            <w:r>
              <w:t>406 organisms per 100 mL in any single sample.</w:t>
            </w:r>
          </w:p>
        </w:tc>
        <w:tc>
          <w:tcPr>
            <w:tcW w:w="2089" w:type="pct"/>
          </w:tcPr>
          <w:p w14:paraId="0FED5B70" w14:textId="77777777" w:rsidR="00233394" w:rsidRDefault="00073356" w:rsidP="00B14A70">
            <w:pPr>
              <w:pStyle w:val="ListParagraph"/>
              <w:tabs>
                <w:tab w:val="left" w:pos="-720"/>
              </w:tabs>
              <w:ind w:left="0"/>
            </w:pPr>
            <w:r>
              <w:t>Class D recycled water may be used for:</w:t>
            </w:r>
          </w:p>
          <w:p w14:paraId="1FD9A10B" w14:textId="17F36B92" w:rsidR="00233394" w:rsidRDefault="00073356" w:rsidP="00B14A70">
            <w:pPr>
              <w:pStyle w:val="ListParagraph"/>
              <w:numPr>
                <w:ilvl w:val="0"/>
                <w:numId w:val="9"/>
              </w:numPr>
              <w:tabs>
                <w:tab w:val="left" w:pos="-720"/>
              </w:tabs>
              <w:ind w:left="252" w:hanging="252"/>
            </w:pPr>
            <w:r>
              <w:t>Non</w:t>
            </w:r>
            <w:r w:rsidR="00F505D8">
              <w:t>-</w:t>
            </w:r>
            <w:r>
              <w:t>disinfected uses.</w:t>
            </w:r>
          </w:p>
          <w:p w14:paraId="7B03F62A" w14:textId="77777777" w:rsidR="00233394" w:rsidRDefault="00073356" w:rsidP="00B14A70">
            <w:pPr>
              <w:pStyle w:val="ListParagraph"/>
              <w:numPr>
                <w:ilvl w:val="0"/>
                <w:numId w:val="9"/>
              </w:numPr>
              <w:ind w:left="252" w:hanging="252"/>
            </w:pPr>
            <w:r>
              <w:t>Irrigation of firewood, ornamental nursery stock, Christmas trees, sod, or pasture for animals.</w:t>
            </w:r>
          </w:p>
        </w:tc>
      </w:tr>
      <w:tr w:rsidR="00233394" w14:paraId="0C3CA2C5" w14:textId="77777777" w:rsidTr="00F26989">
        <w:trPr>
          <w:cantSplit/>
          <w:trHeight w:val="432"/>
        </w:trPr>
        <w:tc>
          <w:tcPr>
            <w:tcW w:w="906" w:type="pct"/>
          </w:tcPr>
          <w:p w14:paraId="58CF3EB4" w14:textId="11DB6C18" w:rsidR="00233394" w:rsidRDefault="00073356" w:rsidP="00B14A70">
            <w:pPr>
              <w:jc w:val="left"/>
              <w:rPr>
                <w:b/>
                <w:szCs w:val="22"/>
              </w:rPr>
            </w:pPr>
            <w:r>
              <w:rPr>
                <w:b/>
                <w:szCs w:val="22"/>
              </w:rPr>
              <w:t>Non</w:t>
            </w:r>
            <w:r w:rsidR="008D4E4E">
              <w:rPr>
                <w:b/>
                <w:szCs w:val="22"/>
              </w:rPr>
              <w:t>-</w:t>
            </w:r>
            <w:r>
              <w:rPr>
                <w:b/>
                <w:szCs w:val="22"/>
              </w:rPr>
              <w:t xml:space="preserve">disinfected </w:t>
            </w:r>
            <w:r>
              <w:rPr>
                <w:i/>
                <w:szCs w:val="22"/>
                <w:highlight w:val="yellow"/>
              </w:rPr>
              <w:t>(delete this row if it does not apply)</w:t>
            </w:r>
          </w:p>
        </w:tc>
        <w:tc>
          <w:tcPr>
            <w:tcW w:w="2005" w:type="pct"/>
          </w:tcPr>
          <w:p w14:paraId="21A5599B" w14:textId="7715EE6A" w:rsidR="00233394" w:rsidRDefault="00073356" w:rsidP="00B14A70">
            <w:pPr>
              <w:jc w:val="left"/>
              <w:rPr>
                <w:i/>
                <w:szCs w:val="22"/>
              </w:rPr>
            </w:pPr>
            <w:r>
              <w:rPr>
                <w:szCs w:val="22"/>
              </w:rPr>
              <w:t>Non</w:t>
            </w:r>
            <w:r w:rsidR="008D4E4E">
              <w:rPr>
                <w:szCs w:val="22"/>
              </w:rPr>
              <w:t>-</w:t>
            </w:r>
            <w:r>
              <w:rPr>
                <w:szCs w:val="22"/>
              </w:rPr>
              <w:t>disinfected recycled water must be oxidized.</w:t>
            </w:r>
          </w:p>
        </w:tc>
        <w:tc>
          <w:tcPr>
            <w:tcW w:w="2089" w:type="pct"/>
          </w:tcPr>
          <w:p w14:paraId="5F6B5D75" w14:textId="54F3148B" w:rsidR="00233394" w:rsidRDefault="00073356" w:rsidP="00B14A70">
            <w:pPr>
              <w:pStyle w:val="ListParagraph"/>
              <w:tabs>
                <w:tab w:val="left" w:pos="-720"/>
              </w:tabs>
              <w:ind w:left="0"/>
            </w:pPr>
            <w:r>
              <w:t>Non</w:t>
            </w:r>
            <w:r w:rsidR="00F505D8">
              <w:t>-</w:t>
            </w:r>
            <w:r>
              <w:t>disinfected water may be used for:</w:t>
            </w:r>
          </w:p>
          <w:p w14:paraId="34ED3CA7" w14:textId="77777777" w:rsidR="00233394" w:rsidRDefault="00073356" w:rsidP="00B14A70">
            <w:pPr>
              <w:pStyle w:val="ListParagraph"/>
              <w:numPr>
                <w:ilvl w:val="0"/>
                <w:numId w:val="9"/>
              </w:numPr>
              <w:tabs>
                <w:tab w:val="left" w:pos="-720"/>
              </w:tabs>
              <w:ind w:left="252" w:hanging="252"/>
            </w:pPr>
            <w:r>
              <w:t>Irrigation for growing commercial timber, fodder, fiber or seed crops not intended for human ingestion.</w:t>
            </w:r>
          </w:p>
        </w:tc>
      </w:tr>
    </w:tbl>
    <w:p w14:paraId="0D3D19B7" w14:textId="77777777" w:rsidR="00233394" w:rsidRDefault="00233394" w:rsidP="004325BE">
      <w:pPr>
        <w:pStyle w:val="PermitHanging1-text"/>
      </w:pPr>
    </w:p>
    <w:p w14:paraId="7C103328" w14:textId="07BDE179" w:rsidR="00233394" w:rsidRDefault="00073356" w:rsidP="008E1E7D">
      <w:pPr>
        <w:ind w:left="720"/>
        <w:jc w:val="left"/>
      </w:pPr>
      <w:r>
        <w:rPr>
          <w:highlight w:val="yellow"/>
        </w:rPr>
        <w:t>Include the following in all permits where biosolids are or may be land applied during the term of the permit, including planned lagoon cleanouts. Include appropriate conditions in Schedules B and D.</w:t>
      </w:r>
    </w:p>
    <w:p w14:paraId="4D127CC9" w14:textId="72C5B14F" w:rsidR="004325BE" w:rsidRDefault="00073356" w:rsidP="00A0366F">
      <w:pPr>
        <w:pStyle w:val="PermitHanging1TOC"/>
      </w:pPr>
      <w:bookmarkStart w:id="36" w:name="_Toc203135892"/>
      <w:r>
        <w:t>Biosolids</w:t>
      </w:r>
      <w:bookmarkEnd w:id="36"/>
    </w:p>
    <w:p w14:paraId="2EB3BF17" w14:textId="218A0C07" w:rsidR="00A21C19" w:rsidRDefault="00A21C19" w:rsidP="004325BE">
      <w:pPr>
        <w:pStyle w:val="PermitHanging1-text"/>
      </w:pPr>
      <w:r w:rsidRPr="00A21C19">
        <w:t xml:space="preserve">The permittee may land apply or provide biosolids for sale or distribution, subject to the following conditions:      </w:t>
      </w:r>
    </w:p>
    <w:p w14:paraId="2DD45D1A" w14:textId="77777777" w:rsidR="00A21C19" w:rsidRDefault="00A21C19" w:rsidP="004325BE">
      <w:pPr>
        <w:pStyle w:val="PermitHanging1-text"/>
      </w:pPr>
    </w:p>
    <w:p w14:paraId="53CE20CA" w14:textId="042BFF60" w:rsidR="001E4796" w:rsidRPr="001E4796" w:rsidRDefault="001E4796" w:rsidP="001E4796">
      <w:pPr>
        <w:pStyle w:val="PermitHanging2TOC"/>
        <w:numPr>
          <w:ilvl w:val="2"/>
          <w:numId w:val="41"/>
        </w:numPr>
      </w:pPr>
      <w:r w:rsidRPr="001E4796">
        <w:t xml:space="preserve">Biosolids Management Plan - The permittee must manage biosolids in accordance with its DEQ-approved Biosolids Management Plan and Land Application Plan </w:t>
      </w:r>
      <w:r w:rsidRPr="005E3CBD">
        <w:rPr>
          <w:snapToGrid w:val="0"/>
        </w:rPr>
        <w:t xml:space="preserve">(see </w:t>
      </w:r>
      <w:hyperlink w:anchor="ScheduleD" w:history="1">
        <w:r w:rsidRPr="005E3CBD">
          <w:rPr>
            <w:rStyle w:val="Hyperlink"/>
            <w:snapToGrid w:val="0"/>
            <w:color w:val="auto"/>
          </w:rPr>
          <w:t>Schedule D</w:t>
        </w:r>
      </w:hyperlink>
      <w:r w:rsidRPr="005E3CBD">
        <w:rPr>
          <w:snapToGrid w:val="0"/>
        </w:rPr>
        <w:t>)</w:t>
      </w:r>
    </w:p>
    <w:p w14:paraId="4536CCD3" w14:textId="77777777" w:rsidR="009F7E30" w:rsidRPr="009F7E30" w:rsidRDefault="009F7E30" w:rsidP="009F7E30">
      <w:pPr>
        <w:pStyle w:val="PermitHanging2TOC"/>
        <w:numPr>
          <w:ilvl w:val="2"/>
          <w:numId w:val="41"/>
        </w:numPr>
      </w:pPr>
      <w:r w:rsidRPr="009F7E30">
        <w:t xml:space="preserve">Agronomic Rates for Nutrient Loading - The permittee must apply biosolids at or below the agronomic rates approved by DEQ to minimize potential groundwater degradation. At the time of sale or distribution of the exceptional quality biosolids, the origin must be identified and biosolids analyses must be available to appliers or users of the biosolids.    </w:t>
      </w:r>
    </w:p>
    <w:p w14:paraId="0FC9427A" w14:textId="6174626C" w:rsidR="00233394" w:rsidRPr="005E3CBD" w:rsidRDefault="004E1F8E" w:rsidP="0017702F">
      <w:pPr>
        <w:pStyle w:val="PermitHanging2TOC"/>
        <w:numPr>
          <w:ilvl w:val="2"/>
          <w:numId w:val="41"/>
        </w:numPr>
      </w:pPr>
      <w:r w:rsidRPr="004E1F8E">
        <w:rPr>
          <w:snapToGrid w:val="0"/>
        </w:rPr>
        <w:t xml:space="preserve">Land Application Site Authorization - The permittee must obtain written site authorization from DEQ for each land application site prior to land application </w:t>
      </w:r>
      <w:r w:rsidR="00073356" w:rsidRPr="005E3CBD">
        <w:rPr>
          <w:snapToGrid w:val="0"/>
        </w:rPr>
        <w:t xml:space="preserve">(see </w:t>
      </w:r>
      <w:hyperlink w:anchor="ScheduleD" w:history="1">
        <w:r w:rsidR="00073356" w:rsidRPr="005E3CBD">
          <w:rPr>
            <w:rStyle w:val="Hyperlink"/>
            <w:snapToGrid w:val="0"/>
            <w:color w:val="auto"/>
          </w:rPr>
          <w:t>Schedule D</w:t>
        </w:r>
      </w:hyperlink>
      <w:r w:rsidR="00073356" w:rsidRPr="005E3CBD">
        <w:rPr>
          <w:snapToGrid w:val="0"/>
        </w:rPr>
        <w:t xml:space="preserve">) </w:t>
      </w:r>
      <w:r w:rsidR="00036797" w:rsidRPr="00036797">
        <w:rPr>
          <w:snapToGrid w:val="0"/>
        </w:rPr>
        <w:t>and follow the site-specific management conditions in the DEQ-issued site authorization letter.  This requirement does not apply for exceptional quality biosolids, which may be land applied as any other fertilizer or soil amendment.</w:t>
      </w:r>
    </w:p>
    <w:p w14:paraId="5F64C262" w14:textId="77777777" w:rsidR="00D36C18" w:rsidRPr="00D36C18" w:rsidRDefault="00D36C18" w:rsidP="00D36C18">
      <w:pPr>
        <w:pStyle w:val="PermitHanging2TOC"/>
        <w:numPr>
          <w:ilvl w:val="2"/>
          <w:numId w:val="41"/>
        </w:numPr>
      </w:pPr>
      <w:r w:rsidRPr="00D36C18">
        <w:lastRenderedPageBreak/>
        <w:t>Pathogen and Vector Attraction Reduction - Prior to land application, the permittee must ensure that biosolids meet one of the pathogen reduction standards under 40 CFR 503.32 and one of the vector attraction reduction standards under 40 CFR 503.33. For exceptional quality biosolids, the biosolids must meet one of the Class A pathogen reduction requirements in 40 CFR 503.32(a) and one of the vector attraction reduction requirements in 40 CFR 503.33(b)(1) through (b)(8) prior to land application.</w:t>
      </w:r>
    </w:p>
    <w:p w14:paraId="556871DD" w14:textId="77777777" w:rsidR="00452BA8" w:rsidRDefault="00452BA8" w:rsidP="00452BA8">
      <w:pPr>
        <w:pStyle w:val="PermitHanging2TOC"/>
      </w:pPr>
      <w:r w:rsidRPr="00452BA8">
        <w:t xml:space="preserve">Pollutants - The permittee must not apply biosolids containing pollutants </w:t>
      </w:r>
      <w:proofErr w:type="gramStart"/>
      <w:r w:rsidRPr="00452BA8">
        <w:t>in excess of</w:t>
      </w:r>
      <w:proofErr w:type="gramEnd"/>
      <w:r w:rsidRPr="00452BA8">
        <w:t xml:space="preserve"> the ceiling concentrations shown in Table A3. The permittee may apply biosolids containing pollutants </w:t>
      </w:r>
      <w:proofErr w:type="gramStart"/>
      <w:r w:rsidRPr="00452BA8">
        <w:t>in excess of</w:t>
      </w:r>
      <w:proofErr w:type="gramEnd"/>
      <w:r w:rsidRPr="00452BA8">
        <w:t xml:space="preserve"> the pollutant concentrations. However, the total quantity of these pollutant(s) cannot exceed the cumulative pollutant loading rates in Table A3.  For biosolids to be managed as exceptional quality biosolids, the biosolids cannot exceed any of the ceiling concentration limits or the pollutant concentration limits in Table A3.</w:t>
      </w:r>
    </w:p>
    <w:p w14:paraId="7CE44362" w14:textId="238921DA" w:rsidR="00910DBE" w:rsidRPr="00910DBE" w:rsidRDefault="00910DBE" w:rsidP="00910DBE">
      <w:pPr>
        <w:pStyle w:val="PermitHanging2TOC"/>
      </w:pPr>
      <w:r w:rsidRPr="00910DBE">
        <w:t xml:space="preserve">Approval to Apply Cumulative Pollutant Loading Rates - If the permittee’s biosolids are subject to the cumulative pollutant loading rates as described in section e. above, the permittee must obtain specific approval from DEQ to land apply these biosolids in accordance with their approved Biosolids Management and Land Application Site Authorization </w:t>
      </w:r>
      <w:r w:rsidR="002C2746" w:rsidRPr="005E3CBD">
        <w:rPr>
          <w:snapToGrid w:val="0"/>
        </w:rPr>
        <w:t xml:space="preserve">(see </w:t>
      </w:r>
      <w:hyperlink w:anchor="ScheduleD" w:history="1">
        <w:r w:rsidR="002C2746" w:rsidRPr="005E3CBD">
          <w:rPr>
            <w:rStyle w:val="Hyperlink"/>
            <w:snapToGrid w:val="0"/>
            <w:color w:val="auto"/>
          </w:rPr>
          <w:t>Schedule D</w:t>
        </w:r>
      </w:hyperlink>
      <w:r w:rsidR="002C2746" w:rsidRPr="005E3CBD">
        <w:rPr>
          <w:snapToGrid w:val="0"/>
        </w:rPr>
        <w:t>)</w:t>
      </w:r>
      <w:r w:rsidR="002C2746">
        <w:rPr>
          <w:snapToGrid w:val="0"/>
        </w:rPr>
        <w:t>.</w:t>
      </w:r>
    </w:p>
    <w:p w14:paraId="71DEF9F9" w14:textId="52A9E777" w:rsidR="00452BA8" w:rsidRPr="00452BA8" w:rsidRDefault="00452BA8" w:rsidP="00910DBE">
      <w:pPr>
        <w:pStyle w:val="PermitHanging2TOC"/>
        <w:numPr>
          <w:ilvl w:val="0"/>
          <w:numId w:val="0"/>
        </w:numPr>
        <w:ind w:left="1440"/>
      </w:pPr>
    </w:p>
    <w:p w14:paraId="111C99D5" w14:textId="77777777" w:rsidR="00F539E9" w:rsidRDefault="00F539E9">
      <w:pPr>
        <w:pStyle w:val="Caption"/>
      </w:pPr>
      <w:bookmarkStart w:id="37" w:name="_Ref325145630"/>
      <w:bookmarkStart w:id="38" w:name="_Ref325139648"/>
      <w:bookmarkStart w:id="39" w:name="_Ref325139655"/>
      <w:bookmarkStart w:id="40" w:name="_Ref325145633"/>
      <w:bookmarkStart w:id="41" w:name="_Toc326239777"/>
      <w:bookmarkStart w:id="42" w:name="_Toc378775943"/>
    </w:p>
    <w:p w14:paraId="628BBFAA" w14:textId="1B82C4BD" w:rsidR="00233394" w:rsidRDefault="00073356" w:rsidP="008E1E7D">
      <w:pPr>
        <w:pStyle w:val="Caption"/>
        <w:spacing w:after="120"/>
      </w:pPr>
      <w:bookmarkStart w:id="43" w:name="_Toc203135924"/>
      <w:r>
        <w:t>Table A</w:t>
      </w:r>
      <w:r w:rsidR="000E728C">
        <w:t>3</w:t>
      </w:r>
      <w:bookmarkEnd w:id="37"/>
      <w:r>
        <w:t>: Biosolids Limits</w:t>
      </w:r>
      <w:bookmarkEnd w:id="38"/>
      <w:bookmarkEnd w:id="39"/>
      <w:bookmarkEnd w:id="40"/>
      <w:bookmarkEnd w:id="41"/>
      <w:bookmarkEnd w:id="42"/>
      <w:bookmarkEnd w:id="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1854"/>
        <w:gridCol w:w="2746"/>
        <w:gridCol w:w="2732"/>
        <w:gridCol w:w="2756"/>
      </w:tblGrid>
      <w:tr w:rsidR="00233394" w14:paraId="48282F73" w14:textId="77777777" w:rsidTr="00D067E3">
        <w:trPr>
          <w:cantSplit/>
          <w:trHeight w:val="1008"/>
          <w:tblHeader/>
        </w:trPr>
        <w:tc>
          <w:tcPr>
            <w:tcW w:w="919" w:type="pct"/>
            <w:shd w:val="clear" w:color="auto" w:fill="D9D9D9" w:themeFill="background1" w:themeFillShade="D9"/>
            <w:vAlign w:val="center"/>
          </w:tcPr>
          <w:p w14:paraId="5244DE02" w14:textId="77777777" w:rsidR="00233394" w:rsidRDefault="00073356">
            <w:pPr>
              <w:pStyle w:val="TableColumnHeading"/>
              <w:keepNext/>
            </w:pPr>
            <w:r>
              <w:t>Pollutant</w:t>
            </w:r>
          </w:p>
          <w:p w14:paraId="2644D6BE" w14:textId="43032EF2" w:rsidR="008C0CC5" w:rsidRDefault="006546C9">
            <w:pPr>
              <w:pStyle w:val="TableColumnHeading"/>
              <w:keepNext/>
            </w:pPr>
            <w:r>
              <w:rPr>
                <w:rFonts w:ascii="Times New Roman" w:hAnsi="Times New Roman" w:cs="Times New Roman"/>
                <w:b w:val="0"/>
                <w:szCs w:val="22"/>
              </w:rPr>
              <w:t>(</w:t>
            </w:r>
            <w:r w:rsidR="008C0CC5" w:rsidRPr="008C0CC5">
              <w:rPr>
                <w:rFonts w:ascii="Times New Roman" w:hAnsi="Times New Roman" w:cs="Times New Roman"/>
                <w:b w:val="0"/>
                <w:szCs w:val="22"/>
              </w:rPr>
              <w:t>See note a.</w:t>
            </w:r>
            <w:r>
              <w:rPr>
                <w:rFonts w:ascii="Times New Roman" w:hAnsi="Times New Roman" w:cs="Times New Roman"/>
                <w:b w:val="0"/>
                <w:szCs w:val="22"/>
              </w:rPr>
              <w:t>)</w:t>
            </w:r>
          </w:p>
        </w:tc>
        <w:tc>
          <w:tcPr>
            <w:tcW w:w="1361" w:type="pct"/>
            <w:shd w:val="clear" w:color="auto" w:fill="D9D9D9" w:themeFill="background1" w:themeFillShade="D9"/>
            <w:vAlign w:val="center"/>
          </w:tcPr>
          <w:p w14:paraId="15B082A7" w14:textId="77777777" w:rsidR="008C0CC5" w:rsidRDefault="00073356">
            <w:pPr>
              <w:pStyle w:val="TableColumnHeading"/>
              <w:keepNext/>
            </w:pPr>
            <w:r>
              <w:t>Ceiling concentrations</w:t>
            </w:r>
          </w:p>
          <w:p w14:paraId="21BD5319" w14:textId="0E9666DC" w:rsidR="00233394" w:rsidRPr="008C0CC5" w:rsidRDefault="00073356" w:rsidP="008C0CC5">
            <w:pPr>
              <w:pStyle w:val="TableColumnHeading"/>
              <w:keepNext/>
            </w:pPr>
            <w:r>
              <w:t>(mg/kg)</w:t>
            </w:r>
          </w:p>
        </w:tc>
        <w:tc>
          <w:tcPr>
            <w:tcW w:w="1354" w:type="pct"/>
            <w:shd w:val="clear" w:color="auto" w:fill="D9D9D9" w:themeFill="background1" w:themeFillShade="D9"/>
            <w:vAlign w:val="center"/>
          </w:tcPr>
          <w:p w14:paraId="7729BB92" w14:textId="11ADE78F" w:rsidR="00233394" w:rsidRDefault="00073356">
            <w:pPr>
              <w:pStyle w:val="TableColumnHeading"/>
              <w:keepNext/>
            </w:pPr>
            <w:r>
              <w:t>Pollutant concentrations</w:t>
            </w:r>
          </w:p>
          <w:p w14:paraId="170DD9E9" w14:textId="77777777" w:rsidR="00233394" w:rsidRDefault="00073356">
            <w:pPr>
              <w:pStyle w:val="TableColumnHeading"/>
              <w:keepNext/>
            </w:pPr>
            <w:r>
              <w:t>(mg/kg)</w:t>
            </w:r>
          </w:p>
        </w:tc>
        <w:tc>
          <w:tcPr>
            <w:tcW w:w="1366" w:type="pct"/>
            <w:shd w:val="clear" w:color="auto" w:fill="D9D9D9" w:themeFill="background1" w:themeFillShade="D9"/>
            <w:vAlign w:val="center"/>
          </w:tcPr>
          <w:p w14:paraId="096D7B84" w14:textId="579905FB" w:rsidR="00233394" w:rsidRDefault="00073356" w:rsidP="008C0CC5">
            <w:pPr>
              <w:pStyle w:val="TableColumnHeading"/>
              <w:keepNext/>
            </w:pPr>
            <w:r>
              <w:t>Cumulative pollutant loading rates (kg/ha)</w:t>
            </w:r>
          </w:p>
        </w:tc>
      </w:tr>
      <w:tr w:rsidR="00233394" w14:paraId="613B8792" w14:textId="77777777" w:rsidTr="00D067E3">
        <w:trPr>
          <w:cantSplit/>
        </w:trPr>
        <w:tc>
          <w:tcPr>
            <w:tcW w:w="919" w:type="pct"/>
          </w:tcPr>
          <w:p w14:paraId="48B126F8" w14:textId="77777777" w:rsidR="00233394" w:rsidRDefault="00073356">
            <w:pPr>
              <w:pStyle w:val="Tablecellentry"/>
            </w:pPr>
            <w:r>
              <w:t>Arsenic</w:t>
            </w:r>
          </w:p>
        </w:tc>
        <w:tc>
          <w:tcPr>
            <w:tcW w:w="1361" w:type="pct"/>
          </w:tcPr>
          <w:p w14:paraId="4F30C9EA" w14:textId="77777777" w:rsidR="00233394" w:rsidRDefault="00073356" w:rsidP="001149A3">
            <w:pPr>
              <w:pStyle w:val="Tablecellentry"/>
              <w:jc w:val="center"/>
            </w:pPr>
            <w:r>
              <w:t>75</w:t>
            </w:r>
          </w:p>
        </w:tc>
        <w:tc>
          <w:tcPr>
            <w:tcW w:w="1354" w:type="pct"/>
          </w:tcPr>
          <w:p w14:paraId="1DBEFD56" w14:textId="77777777" w:rsidR="00233394" w:rsidRDefault="00073356" w:rsidP="001149A3">
            <w:pPr>
              <w:pStyle w:val="Tablecellentry"/>
              <w:jc w:val="center"/>
            </w:pPr>
            <w:r>
              <w:t>41</w:t>
            </w:r>
          </w:p>
        </w:tc>
        <w:tc>
          <w:tcPr>
            <w:tcW w:w="1366" w:type="pct"/>
          </w:tcPr>
          <w:p w14:paraId="4309923A" w14:textId="77777777" w:rsidR="00233394" w:rsidRDefault="00073356" w:rsidP="001149A3">
            <w:pPr>
              <w:pStyle w:val="Tablecellentry"/>
              <w:jc w:val="center"/>
            </w:pPr>
            <w:r>
              <w:t>41</w:t>
            </w:r>
          </w:p>
        </w:tc>
      </w:tr>
      <w:tr w:rsidR="00233394" w14:paraId="2B23675E" w14:textId="77777777" w:rsidTr="00D067E3">
        <w:trPr>
          <w:cantSplit/>
        </w:trPr>
        <w:tc>
          <w:tcPr>
            <w:tcW w:w="919" w:type="pct"/>
          </w:tcPr>
          <w:p w14:paraId="43CCD756" w14:textId="77777777" w:rsidR="00233394" w:rsidRDefault="00073356">
            <w:pPr>
              <w:pStyle w:val="Tablecellentry"/>
            </w:pPr>
            <w:r>
              <w:t>Cadmium</w:t>
            </w:r>
          </w:p>
        </w:tc>
        <w:tc>
          <w:tcPr>
            <w:tcW w:w="1361" w:type="pct"/>
          </w:tcPr>
          <w:p w14:paraId="246DDC47" w14:textId="77777777" w:rsidR="00233394" w:rsidRDefault="00073356" w:rsidP="001149A3">
            <w:pPr>
              <w:pStyle w:val="Tablecellentry"/>
              <w:jc w:val="center"/>
            </w:pPr>
            <w:r>
              <w:t>85</w:t>
            </w:r>
          </w:p>
        </w:tc>
        <w:tc>
          <w:tcPr>
            <w:tcW w:w="1354" w:type="pct"/>
          </w:tcPr>
          <w:p w14:paraId="25A8680F" w14:textId="77777777" w:rsidR="00233394" w:rsidRDefault="00073356" w:rsidP="001149A3">
            <w:pPr>
              <w:pStyle w:val="Tablecellentry"/>
              <w:jc w:val="center"/>
            </w:pPr>
            <w:r>
              <w:t>39</w:t>
            </w:r>
          </w:p>
        </w:tc>
        <w:tc>
          <w:tcPr>
            <w:tcW w:w="1366" w:type="pct"/>
          </w:tcPr>
          <w:p w14:paraId="48ACE03D" w14:textId="77777777" w:rsidR="00233394" w:rsidRDefault="00073356" w:rsidP="001149A3">
            <w:pPr>
              <w:pStyle w:val="Tablecellentry"/>
              <w:jc w:val="center"/>
            </w:pPr>
            <w:r>
              <w:t>39</w:t>
            </w:r>
          </w:p>
        </w:tc>
      </w:tr>
      <w:tr w:rsidR="00233394" w14:paraId="0410A650" w14:textId="77777777" w:rsidTr="00D067E3">
        <w:trPr>
          <w:cantSplit/>
        </w:trPr>
        <w:tc>
          <w:tcPr>
            <w:tcW w:w="919" w:type="pct"/>
          </w:tcPr>
          <w:p w14:paraId="08414783" w14:textId="77777777" w:rsidR="00233394" w:rsidRDefault="00073356">
            <w:pPr>
              <w:pStyle w:val="Tablecellentry"/>
            </w:pPr>
            <w:r>
              <w:t>Copper</w:t>
            </w:r>
          </w:p>
        </w:tc>
        <w:tc>
          <w:tcPr>
            <w:tcW w:w="1361" w:type="pct"/>
          </w:tcPr>
          <w:p w14:paraId="4B610F35" w14:textId="77777777" w:rsidR="00233394" w:rsidRDefault="00073356" w:rsidP="001149A3">
            <w:pPr>
              <w:pStyle w:val="Tablecellentry"/>
              <w:jc w:val="center"/>
            </w:pPr>
            <w:r>
              <w:t>4300</w:t>
            </w:r>
          </w:p>
        </w:tc>
        <w:tc>
          <w:tcPr>
            <w:tcW w:w="1354" w:type="pct"/>
          </w:tcPr>
          <w:p w14:paraId="65913AF2" w14:textId="77777777" w:rsidR="00233394" w:rsidRDefault="00073356" w:rsidP="001149A3">
            <w:pPr>
              <w:pStyle w:val="Tablecellentry"/>
              <w:jc w:val="center"/>
            </w:pPr>
            <w:r>
              <w:t>1500</w:t>
            </w:r>
          </w:p>
        </w:tc>
        <w:tc>
          <w:tcPr>
            <w:tcW w:w="1366" w:type="pct"/>
          </w:tcPr>
          <w:p w14:paraId="0F8F35D3" w14:textId="77777777" w:rsidR="00233394" w:rsidRDefault="00073356" w:rsidP="001149A3">
            <w:pPr>
              <w:pStyle w:val="Tablecellentry"/>
              <w:jc w:val="center"/>
            </w:pPr>
            <w:r>
              <w:t>1500</w:t>
            </w:r>
          </w:p>
        </w:tc>
      </w:tr>
      <w:tr w:rsidR="00233394" w14:paraId="14714EAF" w14:textId="77777777" w:rsidTr="00D067E3">
        <w:trPr>
          <w:cantSplit/>
        </w:trPr>
        <w:tc>
          <w:tcPr>
            <w:tcW w:w="919" w:type="pct"/>
          </w:tcPr>
          <w:p w14:paraId="0DC9098E" w14:textId="77777777" w:rsidR="00233394" w:rsidRDefault="00073356">
            <w:pPr>
              <w:pStyle w:val="Tablecellentry"/>
            </w:pPr>
            <w:r>
              <w:t>Lead</w:t>
            </w:r>
          </w:p>
        </w:tc>
        <w:tc>
          <w:tcPr>
            <w:tcW w:w="1361" w:type="pct"/>
          </w:tcPr>
          <w:p w14:paraId="748052CA" w14:textId="77777777" w:rsidR="00233394" w:rsidRDefault="00073356" w:rsidP="001149A3">
            <w:pPr>
              <w:pStyle w:val="Tablecellentry"/>
              <w:jc w:val="center"/>
            </w:pPr>
            <w:r>
              <w:t>840</w:t>
            </w:r>
          </w:p>
        </w:tc>
        <w:tc>
          <w:tcPr>
            <w:tcW w:w="1354" w:type="pct"/>
          </w:tcPr>
          <w:p w14:paraId="79F51726" w14:textId="77777777" w:rsidR="00233394" w:rsidRDefault="00073356" w:rsidP="001149A3">
            <w:pPr>
              <w:pStyle w:val="Tablecellentry"/>
              <w:jc w:val="center"/>
            </w:pPr>
            <w:r>
              <w:t>300</w:t>
            </w:r>
          </w:p>
        </w:tc>
        <w:tc>
          <w:tcPr>
            <w:tcW w:w="1366" w:type="pct"/>
          </w:tcPr>
          <w:p w14:paraId="4A86121A" w14:textId="77777777" w:rsidR="00233394" w:rsidRDefault="00073356" w:rsidP="001149A3">
            <w:pPr>
              <w:pStyle w:val="Tablecellentry"/>
              <w:jc w:val="center"/>
            </w:pPr>
            <w:r>
              <w:t>300</w:t>
            </w:r>
          </w:p>
        </w:tc>
      </w:tr>
      <w:tr w:rsidR="00233394" w14:paraId="316F3AED" w14:textId="77777777" w:rsidTr="00D067E3">
        <w:trPr>
          <w:cantSplit/>
        </w:trPr>
        <w:tc>
          <w:tcPr>
            <w:tcW w:w="919" w:type="pct"/>
          </w:tcPr>
          <w:p w14:paraId="59E43DE1" w14:textId="77777777" w:rsidR="00233394" w:rsidRDefault="00073356">
            <w:pPr>
              <w:pStyle w:val="Tablecellentry"/>
            </w:pPr>
            <w:r>
              <w:t>Mercury</w:t>
            </w:r>
          </w:p>
        </w:tc>
        <w:tc>
          <w:tcPr>
            <w:tcW w:w="1361" w:type="pct"/>
          </w:tcPr>
          <w:p w14:paraId="2426C452" w14:textId="77777777" w:rsidR="00233394" w:rsidRDefault="00073356" w:rsidP="001149A3">
            <w:pPr>
              <w:pStyle w:val="Tablecellentry"/>
              <w:jc w:val="center"/>
            </w:pPr>
            <w:r>
              <w:t>57</w:t>
            </w:r>
          </w:p>
        </w:tc>
        <w:tc>
          <w:tcPr>
            <w:tcW w:w="1354" w:type="pct"/>
          </w:tcPr>
          <w:p w14:paraId="7E46409F" w14:textId="77777777" w:rsidR="00233394" w:rsidRDefault="00073356" w:rsidP="001149A3">
            <w:pPr>
              <w:pStyle w:val="Tablecellentry"/>
              <w:jc w:val="center"/>
            </w:pPr>
            <w:r>
              <w:t>17</w:t>
            </w:r>
          </w:p>
        </w:tc>
        <w:tc>
          <w:tcPr>
            <w:tcW w:w="1366" w:type="pct"/>
          </w:tcPr>
          <w:p w14:paraId="682A14DC" w14:textId="77777777" w:rsidR="00233394" w:rsidRDefault="00073356" w:rsidP="001149A3">
            <w:pPr>
              <w:pStyle w:val="Tablecellentry"/>
              <w:jc w:val="center"/>
            </w:pPr>
            <w:r>
              <w:t>17</w:t>
            </w:r>
          </w:p>
        </w:tc>
      </w:tr>
      <w:tr w:rsidR="00233394" w14:paraId="48D9F020" w14:textId="77777777" w:rsidTr="00D067E3">
        <w:trPr>
          <w:cantSplit/>
        </w:trPr>
        <w:tc>
          <w:tcPr>
            <w:tcW w:w="919" w:type="pct"/>
          </w:tcPr>
          <w:p w14:paraId="13346B5E" w14:textId="77777777" w:rsidR="00233394" w:rsidRDefault="00073356">
            <w:pPr>
              <w:pStyle w:val="Tablecellentry"/>
            </w:pPr>
            <w:r>
              <w:t>Molybdenum</w:t>
            </w:r>
          </w:p>
        </w:tc>
        <w:tc>
          <w:tcPr>
            <w:tcW w:w="1361" w:type="pct"/>
          </w:tcPr>
          <w:p w14:paraId="5D07C3BF" w14:textId="77777777" w:rsidR="00233394" w:rsidRDefault="00073356" w:rsidP="001149A3">
            <w:pPr>
              <w:pStyle w:val="Tablecellentry"/>
              <w:jc w:val="center"/>
            </w:pPr>
            <w:r>
              <w:t>75</w:t>
            </w:r>
          </w:p>
        </w:tc>
        <w:tc>
          <w:tcPr>
            <w:tcW w:w="1354" w:type="pct"/>
          </w:tcPr>
          <w:p w14:paraId="0DED64FC" w14:textId="778DF9B2" w:rsidR="00233394" w:rsidRDefault="002E58AF" w:rsidP="001149A3">
            <w:pPr>
              <w:pStyle w:val="Tablecellentry"/>
              <w:jc w:val="center"/>
            </w:pPr>
            <w:r w:rsidRPr="002E58AF">
              <w:rPr>
                <w:rFonts w:ascii="Symbol" w:eastAsia="Symbol" w:hAnsi="Symbol" w:cs="Symbol"/>
                <w:szCs w:val="22"/>
              </w:rPr>
              <w:t>-</w:t>
            </w:r>
          </w:p>
        </w:tc>
        <w:tc>
          <w:tcPr>
            <w:tcW w:w="1366" w:type="pct"/>
          </w:tcPr>
          <w:p w14:paraId="6747CEEB" w14:textId="440E1B04" w:rsidR="00233394" w:rsidRDefault="006E2DD1" w:rsidP="001149A3">
            <w:pPr>
              <w:pStyle w:val="Tablecellentry"/>
              <w:jc w:val="center"/>
            </w:pPr>
            <w:r w:rsidRPr="002E58AF">
              <w:rPr>
                <w:rFonts w:ascii="Symbol" w:eastAsia="Symbol" w:hAnsi="Symbol" w:cs="Symbol"/>
                <w:szCs w:val="22"/>
              </w:rPr>
              <w:t>-</w:t>
            </w:r>
          </w:p>
        </w:tc>
      </w:tr>
      <w:tr w:rsidR="00233394" w14:paraId="591FC3DD" w14:textId="77777777" w:rsidTr="00D067E3">
        <w:trPr>
          <w:cantSplit/>
        </w:trPr>
        <w:tc>
          <w:tcPr>
            <w:tcW w:w="919" w:type="pct"/>
          </w:tcPr>
          <w:p w14:paraId="6BDDE4E6" w14:textId="77777777" w:rsidR="00233394" w:rsidRDefault="00073356">
            <w:pPr>
              <w:pStyle w:val="Tablecellentry"/>
            </w:pPr>
            <w:r>
              <w:t>Nickel</w:t>
            </w:r>
          </w:p>
        </w:tc>
        <w:tc>
          <w:tcPr>
            <w:tcW w:w="1361" w:type="pct"/>
          </w:tcPr>
          <w:p w14:paraId="3AA32D43" w14:textId="77777777" w:rsidR="00233394" w:rsidRDefault="00073356" w:rsidP="001149A3">
            <w:pPr>
              <w:pStyle w:val="Tablecellentry"/>
              <w:jc w:val="center"/>
            </w:pPr>
            <w:r>
              <w:t>420</w:t>
            </w:r>
          </w:p>
        </w:tc>
        <w:tc>
          <w:tcPr>
            <w:tcW w:w="1354" w:type="pct"/>
          </w:tcPr>
          <w:p w14:paraId="210C37C9" w14:textId="77777777" w:rsidR="00233394" w:rsidRDefault="00073356" w:rsidP="001149A3">
            <w:pPr>
              <w:pStyle w:val="Tablecellentry"/>
              <w:jc w:val="center"/>
            </w:pPr>
            <w:r>
              <w:t>420</w:t>
            </w:r>
          </w:p>
        </w:tc>
        <w:tc>
          <w:tcPr>
            <w:tcW w:w="1366" w:type="pct"/>
          </w:tcPr>
          <w:p w14:paraId="6CC4E8B1" w14:textId="77777777" w:rsidR="00233394" w:rsidRDefault="00073356" w:rsidP="001149A3">
            <w:pPr>
              <w:pStyle w:val="Tablecellentry"/>
              <w:jc w:val="center"/>
            </w:pPr>
            <w:r>
              <w:t>420</w:t>
            </w:r>
          </w:p>
        </w:tc>
      </w:tr>
      <w:tr w:rsidR="00233394" w14:paraId="360A9916" w14:textId="77777777" w:rsidTr="00D067E3">
        <w:trPr>
          <w:cantSplit/>
        </w:trPr>
        <w:tc>
          <w:tcPr>
            <w:tcW w:w="919" w:type="pct"/>
          </w:tcPr>
          <w:p w14:paraId="32A9CEFA" w14:textId="77777777" w:rsidR="00233394" w:rsidRDefault="00073356">
            <w:pPr>
              <w:pStyle w:val="Tablecellentry"/>
            </w:pPr>
            <w:r>
              <w:t>Selenium</w:t>
            </w:r>
          </w:p>
        </w:tc>
        <w:tc>
          <w:tcPr>
            <w:tcW w:w="1361" w:type="pct"/>
          </w:tcPr>
          <w:p w14:paraId="3776108E" w14:textId="77777777" w:rsidR="00233394" w:rsidRDefault="00073356" w:rsidP="001149A3">
            <w:pPr>
              <w:pStyle w:val="Tablecellentry"/>
              <w:jc w:val="center"/>
            </w:pPr>
            <w:r>
              <w:t>100</w:t>
            </w:r>
          </w:p>
        </w:tc>
        <w:tc>
          <w:tcPr>
            <w:tcW w:w="1354" w:type="pct"/>
          </w:tcPr>
          <w:p w14:paraId="4765F938" w14:textId="77777777" w:rsidR="00233394" w:rsidRDefault="00073356" w:rsidP="001149A3">
            <w:pPr>
              <w:pStyle w:val="Tablecellentry"/>
              <w:jc w:val="center"/>
            </w:pPr>
            <w:r>
              <w:t>100</w:t>
            </w:r>
          </w:p>
        </w:tc>
        <w:tc>
          <w:tcPr>
            <w:tcW w:w="1366" w:type="pct"/>
          </w:tcPr>
          <w:p w14:paraId="2E16A6D2" w14:textId="77777777" w:rsidR="00233394" w:rsidRDefault="00073356" w:rsidP="001149A3">
            <w:pPr>
              <w:pStyle w:val="Tablecellentry"/>
              <w:jc w:val="center"/>
            </w:pPr>
            <w:r>
              <w:t>100</w:t>
            </w:r>
          </w:p>
        </w:tc>
      </w:tr>
      <w:tr w:rsidR="00233394" w14:paraId="54ABDE5A" w14:textId="77777777" w:rsidTr="00D067E3">
        <w:trPr>
          <w:cantSplit/>
        </w:trPr>
        <w:tc>
          <w:tcPr>
            <w:tcW w:w="919" w:type="pct"/>
          </w:tcPr>
          <w:p w14:paraId="4F9FAFD1" w14:textId="77777777" w:rsidR="00233394" w:rsidRDefault="00073356">
            <w:pPr>
              <w:pStyle w:val="Tablecellentry"/>
            </w:pPr>
            <w:r>
              <w:t>Zinc</w:t>
            </w:r>
          </w:p>
        </w:tc>
        <w:tc>
          <w:tcPr>
            <w:tcW w:w="1361" w:type="pct"/>
          </w:tcPr>
          <w:p w14:paraId="3C28C210" w14:textId="77777777" w:rsidR="00233394" w:rsidRDefault="00073356" w:rsidP="001149A3">
            <w:pPr>
              <w:pStyle w:val="Tablecellentry"/>
              <w:jc w:val="center"/>
            </w:pPr>
            <w:r>
              <w:t>7500</w:t>
            </w:r>
          </w:p>
        </w:tc>
        <w:tc>
          <w:tcPr>
            <w:tcW w:w="1354" w:type="pct"/>
          </w:tcPr>
          <w:p w14:paraId="02A9B130" w14:textId="77777777" w:rsidR="00233394" w:rsidRDefault="00073356" w:rsidP="001149A3">
            <w:pPr>
              <w:pStyle w:val="Tablecellentry"/>
              <w:jc w:val="center"/>
            </w:pPr>
            <w:r>
              <w:t>2800</w:t>
            </w:r>
          </w:p>
        </w:tc>
        <w:tc>
          <w:tcPr>
            <w:tcW w:w="1366" w:type="pct"/>
          </w:tcPr>
          <w:p w14:paraId="42FF3BF4" w14:textId="77777777" w:rsidR="00233394" w:rsidRDefault="00073356" w:rsidP="001149A3">
            <w:pPr>
              <w:pStyle w:val="Tablecellentry"/>
              <w:jc w:val="center"/>
            </w:pPr>
            <w:r>
              <w:t>2800</w:t>
            </w:r>
          </w:p>
        </w:tc>
      </w:tr>
      <w:tr w:rsidR="00233394" w14:paraId="58A2EC9D" w14:textId="77777777" w:rsidTr="00D067E3">
        <w:trPr>
          <w:cantSplit/>
        </w:trPr>
        <w:tc>
          <w:tcPr>
            <w:tcW w:w="5000" w:type="pct"/>
            <w:gridSpan w:val="4"/>
          </w:tcPr>
          <w:p w14:paraId="607E03F3" w14:textId="77777777" w:rsidR="00233394" w:rsidRDefault="00073356" w:rsidP="00D067E3">
            <w:pPr>
              <w:keepNext/>
              <w:spacing w:after="60"/>
            </w:pPr>
            <w:r>
              <w:t>Note:</w:t>
            </w:r>
          </w:p>
          <w:p w14:paraId="5D6A78A3" w14:textId="047EB88D" w:rsidR="00233394" w:rsidRDefault="00073356" w:rsidP="0017702F">
            <w:pPr>
              <w:pStyle w:val="ListParagraph"/>
              <w:keepNext/>
              <w:numPr>
                <w:ilvl w:val="7"/>
                <w:numId w:val="72"/>
              </w:numPr>
              <w:spacing w:after="60"/>
              <w:ind w:left="360"/>
              <w:contextualSpacing w:val="0"/>
            </w:pPr>
            <w:r>
              <w:t xml:space="preserve">Biosolids pollutant limits are described in 40 CFR 503.13, which uses the terms </w:t>
            </w:r>
            <w:r w:rsidRPr="008C0CC5">
              <w:rPr>
                <w:i/>
              </w:rPr>
              <w:t>ceiling concentrations</w:t>
            </w:r>
            <w:r>
              <w:t xml:space="preserve">, </w:t>
            </w:r>
            <w:r w:rsidRPr="008C0CC5">
              <w:rPr>
                <w:i/>
              </w:rPr>
              <w:t>pollutant concentrations</w:t>
            </w:r>
            <w:r>
              <w:t xml:space="preserve">, and </w:t>
            </w:r>
            <w:r w:rsidRPr="008C0CC5">
              <w:rPr>
                <w:i/>
              </w:rPr>
              <w:t>cumulative pollutant loading rates</w:t>
            </w:r>
            <w:r>
              <w:t>.</w:t>
            </w:r>
          </w:p>
        </w:tc>
      </w:tr>
    </w:tbl>
    <w:p w14:paraId="7D5C3659" w14:textId="77777777" w:rsidR="00233394" w:rsidRDefault="00233394">
      <w:pPr>
        <w:pStyle w:val="PermitNormal"/>
      </w:pPr>
    </w:p>
    <w:p w14:paraId="559DE313" w14:textId="51AB25D9" w:rsidR="00233394" w:rsidRDefault="00073356" w:rsidP="008E1E7D">
      <w:pPr>
        <w:ind w:left="720"/>
      </w:pPr>
      <w:r>
        <w:rPr>
          <w:highlight w:val="yellow"/>
        </w:rPr>
        <w:t>If facility uses UV disinfection, include the following:</w:t>
      </w:r>
    </w:p>
    <w:p w14:paraId="5E5357E2" w14:textId="7ECACBC0" w:rsidR="004325BE" w:rsidRDefault="00073356" w:rsidP="00A0366F">
      <w:pPr>
        <w:pStyle w:val="PermitHanging1TOC"/>
      </w:pPr>
      <w:bookmarkStart w:id="44" w:name="_Toc203135893"/>
      <w:r>
        <w:t>Chlorine Usage</w:t>
      </w:r>
      <w:bookmarkEnd w:id="44"/>
    </w:p>
    <w:p w14:paraId="6D8910A8" w14:textId="1633A54C" w:rsidR="00233394" w:rsidRDefault="00B324AF" w:rsidP="75EAEC27">
      <w:pPr>
        <w:pStyle w:val="PermitHanging1-text"/>
        <w:ind w:left="0"/>
      </w:pPr>
      <w:r>
        <w:t>The p</w:t>
      </w:r>
      <w:r w:rsidR="00453C3F">
        <w:t xml:space="preserve">ermittee is prohibited from using </w:t>
      </w:r>
      <w:r w:rsidR="00073356">
        <w:t xml:space="preserve">chlorine or chlorine </w:t>
      </w:r>
      <w:r w:rsidR="00BC64F6">
        <w:t>compounds for</w:t>
      </w:r>
      <w:r w:rsidR="00073356">
        <w:t xml:space="preserve"> </w:t>
      </w:r>
      <w:r>
        <w:t xml:space="preserve">effluent </w:t>
      </w:r>
      <w:r w:rsidR="00073356">
        <w:t xml:space="preserve">disinfection </w:t>
      </w:r>
      <w:r w:rsidR="00BC64F6">
        <w:t>purposes. Chlorine</w:t>
      </w:r>
      <w:r w:rsidR="00073356">
        <w:t xml:space="preserve"> residual</w:t>
      </w:r>
      <w:r w:rsidR="00453C3F">
        <w:t xml:space="preserve"> in effluent</w:t>
      </w:r>
      <w:r w:rsidR="00073356">
        <w:t xml:space="preserve"> resulting from chlorine </w:t>
      </w:r>
      <w:r w:rsidR="006F21DA">
        <w:t xml:space="preserve">or chlorine-containing chemicals </w:t>
      </w:r>
      <w:r w:rsidR="00073356">
        <w:t xml:space="preserve">used for maintenance </w:t>
      </w:r>
      <w:r w:rsidR="00453C3F">
        <w:t xml:space="preserve">or other </w:t>
      </w:r>
      <w:r w:rsidR="00073356">
        <w:t xml:space="preserve">purposes </w:t>
      </w:r>
      <w:r w:rsidR="00453C3F">
        <w:t xml:space="preserve">is also prohibited. </w:t>
      </w:r>
      <w:r w:rsidR="00F94D1F">
        <w:t>[</w:t>
      </w:r>
      <w:r w:rsidR="00073356">
        <w:rPr>
          <w:highlight w:val="yellow"/>
        </w:rPr>
        <w:t>The purpose of this condition is to avoid having to require the permittee to monitor for chlorine to prove they are not using it.</w:t>
      </w:r>
      <w:r w:rsidR="007C461A">
        <w:rPr>
          <w:highlight w:val="yellow"/>
        </w:rPr>
        <w:t xml:space="preserve"> </w:t>
      </w:r>
      <w:r w:rsidR="00073356">
        <w:rPr>
          <w:highlight w:val="yellow"/>
        </w:rPr>
        <w:t>If the permittee wishes to use chlorine, the permit must include a permit limit for chlorine as well as a monitoring requirement.]</w:t>
      </w:r>
      <w:r w:rsidR="008E1E7D">
        <w:t xml:space="preserve"> </w:t>
      </w:r>
    </w:p>
    <w:p w14:paraId="40528E30" w14:textId="2D551F0C" w:rsidR="00233394" w:rsidRDefault="00233394" w:rsidP="001F21B6">
      <w:pPr>
        <w:pStyle w:val="PermitSchHeadingTOC"/>
        <w:numPr>
          <w:ilvl w:val="0"/>
          <w:numId w:val="0"/>
        </w:numPr>
        <w:jc w:val="both"/>
      </w:pPr>
      <w:bookmarkStart w:id="45" w:name="bmSchANote7"/>
      <w:bookmarkStart w:id="46" w:name="bmSchANote8"/>
      <w:bookmarkStart w:id="47" w:name="_Ref444405771"/>
      <w:bookmarkEnd w:id="45"/>
      <w:bookmarkEnd w:id="46"/>
    </w:p>
    <w:p w14:paraId="5F0E3998" w14:textId="77777777" w:rsidR="00A3111E" w:rsidRPr="00A3111E" w:rsidRDefault="00A3111E" w:rsidP="00A3111E">
      <w:pPr>
        <w:pStyle w:val="PermitSchHeadingTOC"/>
      </w:pPr>
      <w:bookmarkStart w:id="48" w:name="ScheduleBminor"/>
      <w:bookmarkStart w:id="49" w:name="TableB3"/>
      <w:bookmarkStart w:id="50" w:name="TableB4"/>
      <w:bookmarkStart w:id="51" w:name="TableB5"/>
      <w:bookmarkStart w:id="52" w:name="ScheduleB"/>
      <w:bookmarkStart w:id="53" w:name="_Toc203135894"/>
      <w:bookmarkStart w:id="54" w:name="_Toc335998302"/>
      <w:bookmarkStart w:id="55" w:name="_Toc378605445"/>
      <w:bookmarkEnd w:id="47"/>
      <w:bookmarkEnd w:id="48"/>
      <w:bookmarkEnd w:id="49"/>
      <w:bookmarkEnd w:id="50"/>
      <w:bookmarkEnd w:id="51"/>
      <w:r w:rsidRPr="00A3111E">
        <w:t>SCHEDULE B</w:t>
      </w:r>
      <w:bookmarkEnd w:id="52"/>
      <w:r w:rsidRPr="00A3111E">
        <w:t>: MINIMUM MONITORING AND REPORTING REQUIREMENTS</w:t>
      </w:r>
      <w:bookmarkEnd w:id="53"/>
    </w:p>
    <w:p w14:paraId="460EB758" w14:textId="50195C2E" w:rsidR="004325BE" w:rsidRDefault="008B5701" w:rsidP="0017702F">
      <w:pPr>
        <w:pStyle w:val="PermitHanging1TOC"/>
        <w:numPr>
          <w:ilvl w:val="0"/>
          <w:numId w:val="60"/>
        </w:numPr>
      </w:pPr>
      <w:bookmarkStart w:id="56" w:name="ScheduleBmajor"/>
      <w:bookmarkStart w:id="57" w:name="_Toc203135895"/>
      <w:bookmarkStart w:id="58" w:name="_Toc325148464"/>
      <w:bookmarkEnd w:id="54"/>
      <w:bookmarkEnd w:id="55"/>
      <w:bookmarkEnd w:id="56"/>
      <w:r w:rsidRPr="002477B2">
        <w:t>Reporting Requirements</w:t>
      </w:r>
      <w:bookmarkEnd w:id="57"/>
    </w:p>
    <w:p w14:paraId="06119136" w14:textId="3D9C8F99" w:rsidR="008B5701" w:rsidRPr="008B5701" w:rsidRDefault="004325BE" w:rsidP="004325BE">
      <w:r w:rsidRPr="004325BE">
        <w:rPr>
          <w:highlight w:val="yellow"/>
        </w:rPr>
        <w:t xml:space="preserve"> </w:t>
      </w:r>
      <w:r w:rsidR="00C20008" w:rsidRPr="004325BE">
        <w:rPr>
          <w:highlight w:val="yellow"/>
        </w:rPr>
        <w:t xml:space="preserve">[All dates for permit </w:t>
      </w:r>
      <w:r w:rsidR="00BC64F6" w:rsidRPr="004325BE">
        <w:rPr>
          <w:highlight w:val="yellow"/>
        </w:rPr>
        <w:t>conditions</w:t>
      </w:r>
      <w:r w:rsidR="00C20008" w:rsidRPr="004325BE">
        <w:rPr>
          <w:highlight w:val="yellow"/>
        </w:rPr>
        <w:t>, other than Schedule C dates, will reside in this table.]</w:t>
      </w:r>
    </w:p>
    <w:p w14:paraId="1F3B8F8D" w14:textId="7ADFC692" w:rsidR="008F5925" w:rsidRDefault="008F5925" w:rsidP="75EAEC27">
      <w:pPr>
        <w:pStyle w:val="PermitHanging1-text"/>
        <w:ind w:left="0"/>
      </w:pPr>
      <w:r>
        <w:t>The permittee must submit to DEQ monitoring results and reports as listed below.</w:t>
      </w:r>
    </w:p>
    <w:p w14:paraId="60921C4A" w14:textId="77777777" w:rsidR="008F5925" w:rsidRDefault="008F5925" w:rsidP="008F5925">
      <w:pPr>
        <w:pStyle w:val="PermitNormal"/>
      </w:pPr>
    </w:p>
    <w:p w14:paraId="5737E842" w14:textId="0D7797ED" w:rsidR="008B5701" w:rsidRDefault="008B5701" w:rsidP="00393B19">
      <w:pPr>
        <w:pStyle w:val="Caption"/>
        <w:spacing w:after="120"/>
      </w:pPr>
      <w:bookmarkStart w:id="59" w:name="_Toc203135925"/>
      <w:r w:rsidRPr="00A374CF">
        <w:t xml:space="preserve">Table B1: </w:t>
      </w:r>
      <w:r w:rsidR="001531DF" w:rsidRPr="00A374CF">
        <w:t>Reporting Requirements and Due Dates</w:t>
      </w:r>
      <w:bookmarkEnd w:id="59"/>
    </w:p>
    <w:tbl>
      <w:tblPr>
        <w:tblStyle w:val="TableGrid"/>
        <w:tblW w:w="5000" w:type="pct"/>
        <w:tblCellMar>
          <w:top w:w="29" w:type="dxa"/>
          <w:bottom w:w="29" w:type="dxa"/>
        </w:tblCellMar>
        <w:tblLook w:val="04A0" w:firstRow="1" w:lastRow="0" w:firstColumn="1" w:lastColumn="0" w:noHBand="0" w:noVBand="1"/>
      </w:tblPr>
      <w:tblGrid>
        <w:gridCol w:w="2474"/>
        <w:gridCol w:w="1771"/>
        <w:gridCol w:w="2001"/>
        <w:gridCol w:w="1719"/>
        <w:gridCol w:w="2123"/>
      </w:tblGrid>
      <w:tr w:rsidR="008B5701" w:rsidRPr="00A30D47" w14:paraId="5BB4F79A" w14:textId="77777777" w:rsidTr="00670AEB">
        <w:trPr>
          <w:cantSplit/>
          <w:trHeight w:val="432"/>
          <w:tblHeader/>
        </w:trPr>
        <w:tc>
          <w:tcPr>
            <w:tcW w:w="1226" w:type="pct"/>
            <w:shd w:val="clear" w:color="auto" w:fill="D9D9D9" w:themeFill="background1" w:themeFillShade="D9"/>
            <w:vAlign w:val="center"/>
          </w:tcPr>
          <w:p w14:paraId="2DEAF6D0" w14:textId="77777777" w:rsidR="008B5701" w:rsidRPr="00A30D47" w:rsidRDefault="008B5701" w:rsidP="008B5701">
            <w:pPr>
              <w:keepNext/>
              <w:keepLines/>
              <w:suppressAutoHyphens/>
              <w:jc w:val="center"/>
              <w:rPr>
                <w:rFonts w:ascii="Arial" w:hAnsi="Arial" w:cs="Arial"/>
                <w:b/>
              </w:rPr>
            </w:pPr>
            <w:r w:rsidRPr="00A30D47">
              <w:rPr>
                <w:rFonts w:ascii="Arial" w:hAnsi="Arial" w:cs="Arial"/>
                <w:b/>
              </w:rPr>
              <w:t>Reporting Requirement</w:t>
            </w:r>
          </w:p>
        </w:tc>
        <w:tc>
          <w:tcPr>
            <w:tcW w:w="878" w:type="pct"/>
            <w:shd w:val="clear" w:color="auto" w:fill="D9D9D9" w:themeFill="background1" w:themeFillShade="D9"/>
            <w:vAlign w:val="center"/>
          </w:tcPr>
          <w:p w14:paraId="2A0B47FB" w14:textId="77777777" w:rsidR="008B5701" w:rsidRPr="00A30D47" w:rsidRDefault="008B5701" w:rsidP="008B5701">
            <w:pPr>
              <w:keepNext/>
              <w:keepLines/>
              <w:suppressAutoHyphens/>
              <w:jc w:val="center"/>
              <w:rPr>
                <w:rFonts w:ascii="Arial" w:hAnsi="Arial" w:cs="Arial"/>
                <w:b/>
              </w:rPr>
            </w:pPr>
            <w:r w:rsidRPr="00A30D47">
              <w:rPr>
                <w:rFonts w:ascii="Arial" w:hAnsi="Arial" w:cs="Arial"/>
                <w:b/>
              </w:rPr>
              <w:t>Frequency</w:t>
            </w:r>
          </w:p>
        </w:tc>
        <w:tc>
          <w:tcPr>
            <w:tcW w:w="992" w:type="pct"/>
            <w:shd w:val="clear" w:color="auto" w:fill="D9D9D9" w:themeFill="background1" w:themeFillShade="D9"/>
            <w:vAlign w:val="center"/>
          </w:tcPr>
          <w:p w14:paraId="0DD5276D" w14:textId="77777777" w:rsidR="008B5701" w:rsidRPr="00A30D47" w:rsidRDefault="008B5701" w:rsidP="008B5701">
            <w:pPr>
              <w:keepNext/>
              <w:keepLines/>
              <w:suppressAutoHyphens/>
              <w:jc w:val="center"/>
              <w:rPr>
                <w:rFonts w:ascii="Arial" w:hAnsi="Arial" w:cs="Arial"/>
                <w:b/>
              </w:rPr>
            </w:pPr>
            <w:r w:rsidRPr="00A30D47">
              <w:rPr>
                <w:rFonts w:ascii="Arial" w:hAnsi="Arial" w:cs="Arial"/>
                <w:b/>
              </w:rPr>
              <w:t>Due Date</w:t>
            </w:r>
          </w:p>
          <w:p w14:paraId="45563FC3" w14:textId="4DD5689D" w:rsidR="008B5701" w:rsidRPr="0039287A" w:rsidRDefault="005E32E4" w:rsidP="008B5701">
            <w:pPr>
              <w:keepNext/>
              <w:keepLines/>
              <w:suppressAutoHyphens/>
              <w:jc w:val="center"/>
              <w:rPr>
                <w:rFonts w:ascii="Times New Roman" w:hAnsi="Times New Roman"/>
                <w:vertAlign w:val="superscript"/>
              </w:rPr>
            </w:pPr>
            <w:r>
              <w:rPr>
                <w:rFonts w:ascii="Times New Roman" w:hAnsi="Times New Roman"/>
              </w:rPr>
              <w:t>(See note</w:t>
            </w:r>
            <w:r w:rsidR="008B5701" w:rsidRPr="0039287A">
              <w:rPr>
                <w:rFonts w:ascii="Times New Roman" w:hAnsi="Times New Roman"/>
              </w:rPr>
              <w:t xml:space="preserve"> a.)</w:t>
            </w:r>
          </w:p>
        </w:tc>
        <w:tc>
          <w:tcPr>
            <w:tcW w:w="852" w:type="pct"/>
            <w:shd w:val="clear" w:color="auto" w:fill="D9D9D9" w:themeFill="background1" w:themeFillShade="D9"/>
            <w:vAlign w:val="center"/>
          </w:tcPr>
          <w:p w14:paraId="46E2E7D9" w14:textId="77777777" w:rsidR="00195C2C" w:rsidRDefault="008B5701" w:rsidP="00195C2C">
            <w:pPr>
              <w:keepNext/>
              <w:keepLines/>
              <w:suppressAutoHyphens/>
              <w:jc w:val="center"/>
              <w:rPr>
                <w:rFonts w:ascii="Arial" w:hAnsi="Arial" w:cs="Arial"/>
                <w:b/>
              </w:rPr>
            </w:pPr>
            <w:r w:rsidRPr="00A30D47">
              <w:rPr>
                <w:rFonts w:ascii="Arial" w:hAnsi="Arial" w:cs="Arial"/>
                <w:b/>
              </w:rPr>
              <w:t xml:space="preserve">Report Form </w:t>
            </w:r>
          </w:p>
          <w:p w14:paraId="18D8FA67" w14:textId="06C8883D" w:rsidR="008B5701" w:rsidRPr="0039287A" w:rsidRDefault="005E32E4" w:rsidP="00195C2C">
            <w:pPr>
              <w:keepNext/>
              <w:keepLines/>
              <w:suppressAutoHyphens/>
              <w:jc w:val="center"/>
              <w:rPr>
                <w:rFonts w:ascii="Times New Roman" w:hAnsi="Times New Roman"/>
                <w:szCs w:val="22"/>
              </w:rPr>
            </w:pPr>
            <w:r>
              <w:rPr>
                <w:rFonts w:ascii="Times New Roman" w:hAnsi="Times New Roman"/>
                <w:szCs w:val="22"/>
              </w:rPr>
              <w:t>(See note</w:t>
            </w:r>
            <w:r w:rsidR="00195C2C" w:rsidRPr="0039287A">
              <w:rPr>
                <w:rFonts w:ascii="Times New Roman" w:hAnsi="Times New Roman"/>
                <w:szCs w:val="22"/>
              </w:rPr>
              <w:t xml:space="preserve"> b.</w:t>
            </w:r>
            <w:r w:rsidR="008B5701" w:rsidRPr="0039287A">
              <w:rPr>
                <w:rFonts w:ascii="Times New Roman" w:hAnsi="Times New Roman"/>
                <w:szCs w:val="22"/>
              </w:rPr>
              <w:t>)</w:t>
            </w:r>
          </w:p>
        </w:tc>
        <w:tc>
          <w:tcPr>
            <w:tcW w:w="1052" w:type="pct"/>
            <w:shd w:val="clear" w:color="auto" w:fill="D9D9D9" w:themeFill="background1" w:themeFillShade="D9"/>
            <w:vAlign w:val="center"/>
          </w:tcPr>
          <w:p w14:paraId="570AFDBC" w14:textId="77777777" w:rsidR="008B5701" w:rsidRPr="00A30D47" w:rsidRDefault="008B5701" w:rsidP="008B5701">
            <w:pPr>
              <w:keepNext/>
              <w:keepLines/>
              <w:suppressAutoHyphens/>
              <w:jc w:val="center"/>
              <w:rPr>
                <w:rFonts w:ascii="Arial" w:hAnsi="Arial" w:cs="Arial"/>
                <w:b/>
              </w:rPr>
            </w:pPr>
            <w:r w:rsidRPr="00A30D47">
              <w:rPr>
                <w:rFonts w:ascii="Arial" w:hAnsi="Arial" w:cs="Arial"/>
                <w:b/>
              </w:rPr>
              <w:t>Submit To:</w:t>
            </w:r>
          </w:p>
        </w:tc>
      </w:tr>
      <w:tr w:rsidR="001C1657" w:rsidRPr="007832EF" w14:paraId="121DCC36" w14:textId="77777777" w:rsidTr="00670AEB">
        <w:trPr>
          <w:cantSplit/>
        </w:trPr>
        <w:tc>
          <w:tcPr>
            <w:tcW w:w="1226" w:type="pct"/>
          </w:tcPr>
          <w:p w14:paraId="13384795" w14:textId="28C1FBF3" w:rsidR="001C1657" w:rsidRDefault="001C1657" w:rsidP="001C1657">
            <w:pPr>
              <w:jc w:val="left"/>
              <w:rPr>
                <w:rFonts w:ascii="Times New Roman" w:hAnsi="Times New Roman"/>
                <w:szCs w:val="22"/>
              </w:rPr>
            </w:pPr>
            <w:r>
              <w:rPr>
                <w:rFonts w:ascii="Times New Roman" w:hAnsi="Times New Roman"/>
                <w:szCs w:val="22"/>
              </w:rPr>
              <w:t xml:space="preserve">Tables </w:t>
            </w:r>
            <w:proofErr w:type="gramStart"/>
            <w:r w:rsidRPr="0066407E">
              <w:rPr>
                <w:rFonts w:ascii="Times New Roman" w:hAnsi="Times New Roman"/>
                <w:szCs w:val="22"/>
                <w:highlight w:val="yellow"/>
              </w:rPr>
              <w:t>B?</w:t>
            </w:r>
            <w:r w:rsidR="001878BE" w:rsidRPr="0066407E">
              <w:rPr>
                <w:rFonts w:ascii="Times New Roman" w:hAnsi="Times New Roman"/>
                <w:szCs w:val="22"/>
                <w:highlight w:val="yellow"/>
              </w:rPr>
              <w:t>,</w:t>
            </w:r>
            <w:proofErr w:type="gramEnd"/>
            <w:r w:rsidR="001878BE" w:rsidRPr="0066407E">
              <w:rPr>
                <w:rFonts w:ascii="Times New Roman" w:hAnsi="Times New Roman"/>
                <w:szCs w:val="22"/>
                <w:highlight w:val="yellow"/>
              </w:rPr>
              <w:t xml:space="preserve"> B?,</w:t>
            </w:r>
            <w:r w:rsidRPr="0066407E">
              <w:rPr>
                <w:rFonts w:ascii="Times New Roman" w:hAnsi="Times New Roman"/>
                <w:szCs w:val="22"/>
                <w:highlight w:val="yellow"/>
              </w:rPr>
              <w:t xml:space="preserve"> and B?</w:t>
            </w:r>
          </w:p>
          <w:p w14:paraId="131EE168" w14:textId="2894BC08" w:rsidR="001C1657" w:rsidRDefault="001C1657" w:rsidP="001C1657">
            <w:pPr>
              <w:jc w:val="left"/>
              <w:rPr>
                <w:szCs w:val="22"/>
              </w:rPr>
            </w:pPr>
            <w:r w:rsidRPr="007832EF">
              <w:rPr>
                <w:rFonts w:ascii="Times New Roman" w:hAnsi="Times New Roman"/>
                <w:szCs w:val="22"/>
              </w:rPr>
              <w:t>Influent</w:t>
            </w:r>
            <w:r>
              <w:rPr>
                <w:rFonts w:ascii="Times New Roman" w:hAnsi="Times New Roman"/>
                <w:szCs w:val="22"/>
              </w:rPr>
              <w:t xml:space="preserve"> </w:t>
            </w:r>
            <w:r w:rsidRPr="007832EF">
              <w:rPr>
                <w:rFonts w:ascii="Times New Roman" w:hAnsi="Times New Roman"/>
                <w:szCs w:val="22"/>
              </w:rPr>
              <w:t>Monitoring</w:t>
            </w:r>
            <w:r w:rsidR="001878BE">
              <w:rPr>
                <w:rFonts w:ascii="Times New Roman" w:hAnsi="Times New Roman"/>
                <w:szCs w:val="22"/>
              </w:rPr>
              <w:t>,</w:t>
            </w:r>
            <w:r w:rsidR="00117345">
              <w:rPr>
                <w:rFonts w:ascii="Times New Roman" w:hAnsi="Times New Roman"/>
                <w:szCs w:val="22"/>
              </w:rPr>
              <w:t xml:space="preserve"> </w:t>
            </w:r>
            <w:r w:rsidRPr="007832EF">
              <w:rPr>
                <w:rFonts w:ascii="Times New Roman" w:hAnsi="Times New Roman"/>
                <w:szCs w:val="22"/>
              </w:rPr>
              <w:t>Effluent Monitor</w:t>
            </w:r>
            <w:r>
              <w:rPr>
                <w:rFonts w:ascii="Times New Roman" w:hAnsi="Times New Roman"/>
                <w:szCs w:val="22"/>
              </w:rPr>
              <w:t>ing</w:t>
            </w:r>
            <w:r w:rsidR="001878BE">
              <w:rPr>
                <w:rFonts w:ascii="Times New Roman" w:hAnsi="Times New Roman"/>
                <w:szCs w:val="22"/>
              </w:rPr>
              <w:t xml:space="preserve">, and Receiving Stream Monitoring </w:t>
            </w:r>
          </w:p>
        </w:tc>
        <w:tc>
          <w:tcPr>
            <w:tcW w:w="878" w:type="pct"/>
          </w:tcPr>
          <w:p w14:paraId="22BA0C7A" w14:textId="45C49E84" w:rsidR="001C1657" w:rsidRPr="007832EF" w:rsidRDefault="001C1657" w:rsidP="001C1657">
            <w:pPr>
              <w:jc w:val="left"/>
              <w:rPr>
                <w:szCs w:val="22"/>
              </w:rPr>
            </w:pPr>
            <w:r w:rsidRPr="007832EF">
              <w:rPr>
                <w:rFonts w:ascii="Times New Roman" w:hAnsi="Times New Roman"/>
                <w:szCs w:val="22"/>
              </w:rPr>
              <w:t xml:space="preserve">Monthly </w:t>
            </w:r>
          </w:p>
        </w:tc>
        <w:tc>
          <w:tcPr>
            <w:tcW w:w="992" w:type="pct"/>
          </w:tcPr>
          <w:p w14:paraId="567D78EA" w14:textId="23020ACB" w:rsidR="001C1657" w:rsidRPr="007832EF" w:rsidRDefault="001C1657" w:rsidP="001C1657">
            <w:pPr>
              <w:jc w:val="left"/>
              <w:rPr>
                <w:szCs w:val="22"/>
              </w:rPr>
            </w:pPr>
            <w:r w:rsidRPr="007832EF">
              <w:rPr>
                <w:rFonts w:ascii="Times New Roman" w:hAnsi="Times New Roman"/>
                <w:szCs w:val="22"/>
              </w:rPr>
              <w:t>By the 15th of the following month</w:t>
            </w:r>
          </w:p>
        </w:tc>
        <w:tc>
          <w:tcPr>
            <w:tcW w:w="852" w:type="pct"/>
          </w:tcPr>
          <w:p w14:paraId="2694859F" w14:textId="1AC0AC1A" w:rsidR="001C1657" w:rsidRPr="007832EF" w:rsidRDefault="00391A54" w:rsidP="001C1657">
            <w:pPr>
              <w:jc w:val="left"/>
              <w:rPr>
                <w:szCs w:val="22"/>
              </w:rPr>
            </w:pPr>
            <w:r>
              <w:rPr>
                <w:rFonts w:ascii="Times New Roman" w:hAnsi="Times New Roman"/>
                <w:szCs w:val="22"/>
              </w:rPr>
              <w:t>DMR</w:t>
            </w:r>
          </w:p>
        </w:tc>
        <w:tc>
          <w:tcPr>
            <w:tcW w:w="1052" w:type="pct"/>
          </w:tcPr>
          <w:p w14:paraId="2AD6EBB8" w14:textId="190E381D" w:rsidR="001C1657" w:rsidRDefault="001C1657" w:rsidP="001C1657">
            <w:pPr>
              <w:jc w:val="left"/>
              <w:rPr>
                <w:szCs w:val="22"/>
              </w:rPr>
            </w:pPr>
            <w:r>
              <w:rPr>
                <w:rFonts w:ascii="Times New Roman" w:hAnsi="Times New Roman"/>
                <w:szCs w:val="22"/>
              </w:rPr>
              <w:t>Electronic reporting as directed by DEQ</w:t>
            </w:r>
          </w:p>
        </w:tc>
      </w:tr>
      <w:tr w:rsidR="001C1657" w:rsidRPr="007832EF" w14:paraId="1F28E352" w14:textId="77777777" w:rsidTr="00670AEB">
        <w:trPr>
          <w:cantSplit/>
          <w:trHeight w:val="50"/>
        </w:trPr>
        <w:tc>
          <w:tcPr>
            <w:tcW w:w="1226" w:type="pct"/>
          </w:tcPr>
          <w:p w14:paraId="7CCDC081" w14:textId="097DE236" w:rsidR="001C1657" w:rsidRDefault="001C1657" w:rsidP="001C1657">
            <w:pPr>
              <w:jc w:val="left"/>
              <w:rPr>
                <w:rFonts w:ascii="Times New Roman" w:hAnsi="Times New Roman"/>
                <w:szCs w:val="22"/>
              </w:rPr>
            </w:pPr>
            <w:r w:rsidRPr="00EF57C9">
              <w:rPr>
                <w:rFonts w:ascii="Times New Roman" w:hAnsi="Times New Roman"/>
                <w:szCs w:val="22"/>
                <w:highlight w:val="yellow"/>
              </w:rPr>
              <w:t>Include if the facility has a pretreatment program.</w:t>
            </w:r>
          </w:p>
          <w:p w14:paraId="0401CC76" w14:textId="6BBC8D51" w:rsidR="001C1657" w:rsidRPr="007832EF" w:rsidRDefault="001C1657" w:rsidP="001C1657">
            <w:pPr>
              <w:jc w:val="left"/>
              <w:rPr>
                <w:rFonts w:ascii="Times New Roman" w:hAnsi="Times New Roman"/>
                <w:szCs w:val="22"/>
              </w:rPr>
            </w:pPr>
            <w:r w:rsidRPr="007832EF">
              <w:rPr>
                <w:rFonts w:ascii="Times New Roman" w:hAnsi="Times New Roman"/>
                <w:szCs w:val="22"/>
              </w:rPr>
              <w:t>Pretreatment Report</w:t>
            </w:r>
            <w:r w:rsidRPr="00EF57C9">
              <w:rPr>
                <w:rFonts w:ascii="Times New Roman" w:hAnsi="Times New Roman"/>
                <w:szCs w:val="22"/>
              </w:rPr>
              <w:t>.</w:t>
            </w:r>
          </w:p>
        </w:tc>
        <w:tc>
          <w:tcPr>
            <w:tcW w:w="878" w:type="pct"/>
          </w:tcPr>
          <w:p w14:paraId="540D8A7B" w14:textId="77777777" w:rsidR="001C1657" w:rsidRPr="007832EF" w:rsidRDefault="001C1657" w:rsidP="001C1657">
            <w:pPr>
              <w:jc w:val="left"/>
              <w:rPr>
                <w:rFonts w:ascii="Times New Roman" w:hAnsi="Times New Roman"/>
                <w:szCs w:val="22"/>
              </w:rPr>
            </w:pPr>
            <w:r w:rsidRPr="007832EF">
              <w:rPr>
                <w:rFonts w:ascii="Times New Roman" w:hAnsi="Times New Roman"/>
                <w:szCs w:val="22"/>
              </w:rPr>
              <w:t>Annually</w:t>
            </w:r>
          </w:p>
        </w:tc>
        <w:tc>
          <w:tcPr>
            <w:tcW w:w="992" w:type="pct"/>
          </w:tcPr>
          <w:p w14:paraId="268672B1" w14:textId="20EF7B00" w:rsidR="001C1657" w:rsidRPr="007832EF" w:rsidRDefault="001C1657" w:rsidP="001C1657">
            <w:pPr>
              <w:jc w:val="left"/>
              <w:rPr>
                <w:rFonts w:ascii="Times New Roman" w:hAnsi="Times New Roman"/>
                <w:szCs w:val="22"/>
              </w:rPr>
            </w:pPr>
            <w:r>
              <w:rPr>
                <w:rFonts w:ascii="Times New Roman" w:hAnsi="Times New Roman"/>
                <w:szCs w:val="22"/>
              </w:rPr>
              <w:t>March 31</w:t>
            </w:r>
          </w:p>
        </w:tc>
        <w:tc>
          <w:tcPr>
            <w:tcW w:w="852" w:type="pct"/>
          </w:tcPr>
          <w:p w14:paraId="0EEABA42" w14:textId="6C9710DF" w:rsidR="001C1657" w:rsidRPr="007832EF" w:rsidRDefault="00391A54" w:rsidP="001C1657">
            <w:pPr>
              <w:jc w:val="left"/>
              <w:rPr>
                <w:rFonts w:ascii="Times New Roman" w:hAnsi="Times New Roman"/>
                <w:szCs w:val="22"/>
              </w:rPr>
            </w:pPr>
            <w:r>
              <w:rPr>
                <w:rFonts w:ascii="Times New Roman" w:hAnsi="Times New Roman"/>
                <w:szCs w:val="22"/>
              </w:rPr>
              <w:t>Report</w:t>
            </w:r>
          </w:p>
        </w:tc>
        <w:tc>
          <w:tcPr>
            <w:tcW w:w="1052" w:type="pct"/>
          </w:tcPr>
          <w:p w14:paraId="7889508A" w14:textId="77777777" w:rsidR="00FF04DD" w:rsidRPr="00FF04DD" w:rsidRDefault="00FF04DD" w:rsidP="00FF04DD">
            <w:pPr>
              <w:jc w:val="left"/>
              <w:rPr>
                <w:rFonts w:ascii="Times New Roman" w:hAnsi="Times New Roman"/>
                <w:szCs w:val="22"/>
              </w:rPr>
            </w:pPr>
            <w:r w:rsidRPr="00FF04DD">
              <w:rPr>
                <w:rFonts w:ascii="Times New Roman" w:hAnsi="Times New Roman"/>
                <w:szCs w:val="22"/>
              </w:rPr>
              <w:t>Electronic</w:t>
            </w:r>
            <w:r w:rsidR="0082345A" w:rsidRPr="0082345A">
              <w:rPr>
                <w:rFonts w:ascii="Times New Roman" w:hAnsi="Times New Roman"/>
              </w:rPr>
              <w:t xml:space="preserve"> reporting as directed by DEQ</w:t>
            </w:r>
            <w:r w:rsidRPr="00FF04DD" w:rsidDel="00590466">
              <w:rPr>
                <w:rFonts w:ascii="Times New Roman" w:hAnsi="Times New Roman"/>
                <w:szCs w:val="22"/>
              </w:rPr>
              <w:t xml:space="preserve"> </w:t>
            </w:r>
          </w:p>
          <w:p w14:paraId="15F62652" w14:textId="2A8CD5FA" w:rsidR="001C1657" w:rsidRPr="00634D1D" w:rsidRDefault="001C1657" w:rsidP="00867D75">
            <w:pPr>
              <w:jc w:val="left"/>
              <w:rPr>
                <w:rFonts w:ascii="Times New Roman" w:hAnsi="Times New Roman"/>
              </w:rPr>
            </w:pPr>
          </w:p>
        </w:tc>
      </w:tr>
      <w:tr w:rsidR="001C1657" w:rsidRPr="00146F4C" w14:paraId="53A34343" w14:textId="77777777" w:rsidTr="00670AEB">
        <w:trPr>
          <w:cantSplit/>
        </w:trPr>
        <w:tc>
          <w:tcPr>
            <w:tcW w:w="1226" w:type="pct"/>
          </w:tcPr>
          <w:p w14:paraId="3CE5B512" w14:textId="2387959E" w:rsidR="001C1657" w:rsidRPr="007A297C" w:rsidRDefault="001C1657" w:rsidP="001C1657">
            <w:pPr>
              <w:jc w:val="left"/>
              <w:rPr>
                <w:rFonts w:ascii="Times New Roman" w:hAnsi="Times New Roman"/>
                <w:szCs w:val="22"/>
                <w:highlight w:val="yellow"/>
              </w:rPr>
            </w:pPr>
            <w:r w:rsidRPr="007A297C">
              <w:rPr>
                <w:rFonts w:ascii="Times New Roman" w:hAnsi="Times New Roman"/>
                <w:szCs w:val="22"/>
                <w:highlight w:val="yellow"/>
              </w:rPr>
              <w:t>If required in Schedule D:</w:t>
            </w:r>
          </w:p>
          <w:p w14:paraId="064A5FD6" w14:textId="1D8EC11F" w:rsidR="001C1657" w:rsidRPr="00146F4C" w:rsidRDefault="001C1657" w:rsidP="001C1657">
            <w:pPr>
              <w:jc w:val="left"/>
              <w:rPr>
                <w:szCs w:val="22"/>
                <w:highlight w:val="yellow"/>
              </w:rPr>
            </w:pPr>
            <w:r w:rsidRPr="00EA41BD">
              <w:rPr>
                <w:rFonts w:ascii="Times New Roman" w:hAnsi="Times New Roman"/>
                <w:szCs w:val="22"/>
              </w:rPr>
              <w:t>Inflow Removal Program (see Schedule D)</w:t>
            </w:r>
          </w:p>
        </w:tc>
        <w:tc>
          <w:tcPr>
            <w:tcW w:w="878" w:type="pct"/>
          </w:tcPr>
          <w:p w14:paraId="6E4B56D4" w14:textId="3619F9BE" w:rsidR="001C1657" w:rsidRPr="00146F4C" w:rsidRDefault="001C1657" w:rsidP="001C1657">
            <w:pPr>
              <w:jc w:val="left"/>
              <w:rPr>
                <w:szCs w:val="22"/>
              </w:rPr>
            </w:pPr>
            <w:r>
              <w:rPr>
                <w:rFonts w:ascii="Times New Roman" w:hAnsi="Times New Roman"/>
                <w:szCs w:val="22"/>
              </w:rPr>
              <w:t>One Time</w:t>
            </w:r>
          </w:p>
        </w:tc>
        <w:tc>
          <w:tcPr>
            <w:tcW w:w="992" w:type="pct"/>
          </w:tcPr>
          <w:p w14:paraId="5B4EE4CC" w14:textId="530007F3" w:rsidR="001C1657" w:rsidRDefault="001C1657" w:rsidP="001C1657">
            <w:pPr>
              <w:jc w:val="left"/>
              <w:rPr>
                <w:szCs w:val="22"/>
              </w:rPr>
            </w:pPr>
            <w:r>
              <w:rPr>
                <w:rFonts w:ascii="Times New Roman" w:hAnsi="Times New Roman"/>
                <w:szCs w:val="22"/>
              </w:rPr>
              <w:t xml:space="preserve">Submit by XX/15/20XX </w:t>
            </w:r>
            <w:r w:rsidRPr="008E4EAB">
              <w:rPr>
                <w:rFonts w:ascii="Times New Roman" w:hAnsi="Times New Roman"/>
                <w:szCs w:val="22"/>
                <w:highlight w:val="yellow"/>
              </w:rPr>
              <w:t>(the 15</w:t>
            </w:r>
            <w:r w:rsidRPr="008E4EAB">
              <w:rPr>
                <w:rFonts w:ascii="Times New Roman" w:hAnsi="Times New Roman"/>
                <w:szCs w:val="22"/>
                <w:highlight w:val="yellow"/>
                <w:vertAlign w:val="superscript"/>
              </w:rPr>
              <w:t>th</w:t>
            </w:r>
            <w:r w:rsidRPr="008E4EAB">
              <w:rPr>
                <w:rFonts w:ascii="Times New Roman" w:hAnsi="Times New Roman"/>
                <w:szCs w:val="22"/>
                <w:highlight w:val="yellow"/>
              </w:rPr>
              <w:t xml:space="preserve"> of the month following 180 days after </w:t>
            </w:r>
            <w:proofErr w:type="gramStart"/>
            <w:r w:rsidRPr="008E4EAB">
              <w:rPr>
                <w:rFonts w:ascii="Times New Roman" w:hAnsi="Times New Roman"/>
                <w:szCs w:val="22"/>
                <w:highlight w:val="yellow"/>
              </w:rPr>
              <w:t>permit</w:t>
            </w:r>
            <w:proofErr w:type="gramEnd"/>
            <w:r w:rsidRPr="008E4EAB">
              <w:rPr>
                <w:rFonts w:ascii="Times New Roman" w:hAnsi="Times New Roman"/>
                <w:szCs w:val="22"/>
                <w:highlight w:val="yellow"/>
              </w:rPr>
              <w:t xml:space="preserve"> effective date.)</w:t>
            </w:r>
          </w:p>
        </w:tc>
        <w:tc>
          <w:tcPr>
            <w:tcW w:w="852" w:type="pct"/>
          </w:tcPr>
          <w:p w14:paraId="7CAC4198" w14:textId="0EDEF2C9" w:rsidR="001C1657" w:rsidRPr="00146F4C" w:rsidRDefault="009530F5" w:rsidP="001C1657">
            <w:pPr>
              <w:jc w:val="left"/>
              <w:rPr>
                <w:szCs w:val="22"/>
              </w:rPr>
            </w:pPr>
            <w:r w:rsidRPr="009530F5">
              <w:rPr>
                <w:rFonts w:ascii="Times New Roman" w:hAnsi="Times New Roman"/>
                <w:szCs w:val="22"/>
              </w:rPr>
              <w:t>Report</w:t>
            </w:r>
          </w:p>
        </w:tc>
        <w:tc>
          <w:tcPr>
            <w:tcW w:w="1052" w:type="pct"/>
          </w:tcPr>
          <w:p w14:paraId="73EA7759" w14:textId="77777777" w:rsidR="00D22E14" w:rsidRPr="00D22E14" w:rsidRDefault="00D22E14" w:rsidP="00D22E14">
            <w:pPr>
              <w:jc w:val="left"/>
              <w:rPr>
                <w:rFonts w:ascii="Times New Roman" w:hAnsi="Times New Roman"/>
                <w:szCs w:val="22"/>
                <w:lang w:val="en-CA"/>
              </w:rPr>
            </w:pPr>
            <w:r w:rsidRPr="00D22E14">
              <w:rPr>
                <w:rFonts w:ascii="Times New Roman" w:hAnsi="Times New Roman"/>
                <w:szCs w:val="22"/>
                <w:lang w:val="en-CA"/>
              </w:rPr>
              <w:t>Electronic</w:t>
            </w:r>
            <w:r w:rsidR="001C1657" w:rsidRPr="00D22E14">
              <w:rPr>
                <w:rFonts w:ascii="Times New Roman" w:hAnsi="Times New Roman"/>
                <w:szCs w:val="22"/>
                <w:lang w:val="en-CA"/>
              </w:rPr>
              <w:t xml:space="preserve"> reporting as directed by DEQ</w:t>
            </w:r>
            <w:r w:rsidR="001C1657" w:rsidRPr="00D22E14" w:rsidDel="00590466">
              <w:rPr>
                <w:rFonts w:ascii="Times New Roman" w:hAnsi="Times New Roman"/>
                <w:szCs w:val="22"/>
                <w:lang w:val="en-CA"/>
              </w:rPr>
              <w:t xml:space="preserve"> </w:t>
            </w:r>
          </w:p>
          <w:p w14:paraId="775D5C1A" w14:textId="42C69772" w:rsidR="001C1657" w:rsidRDefault="001C1657" w:rsidP="006546C9">
            <w:pPr>
              <w:jc w:val="left"/>
              <w:rPr>
                <w:szCs w:val="22"/>
              </w:rPr>
            </w:pPr>
          </w:p>
        </w:tc>
      </w:tr>
      <w:tr w:rsidR="001C1657" w:rsidRPr="00146F4C" w14:paraId="785B3D4F" w14:textId="77777777" w:rsidTr="00670AEB">
        <w:trPr>
          <w:cantSplit/>
        </w:trPr>
        <w:tc>
          <w:tcPr>
            <w:tcW w:w="1226" w:type="pct"/>
          </w:tcPr>
          <w:p w14:paraId="3473B514" w14:textId="781AE73A" w:rsidR="001C1657" w:rsidRPr="007A297C" w:rsidRDefault="00F75CB5" w:rsidP="001C1657">
            <w:pPr>
              <w:jc w:val="left"/>
              <w:rPr>
                <w:rFonts w:ascii="Times New Roman" w:hAnsi="Times New Roman"/>
                <w:szCs w:val="22"/>
                <w:highlight w:val="yellow"/>
              </w:rPr>
            </w:pPr>
            <w:r>
              <w:rPr>
                <w:rFonts w:ascii="Times New Roman" w:hAnsi="Times New Roman"/>
                <w:szCs w:val="22"/>
                <w:highlight w:val="yellow"/>
              </w:rPr>
              <w:t xml:space="preserve">Include when </w:t>
            </w:r>
            <w:r w:rsidR="005A6469">
              <w:rPr>
                <w:rFonts w:ascii="Times New Roman" w:hAnsi="Times New Roman"/>
                <w:szCs w:val="22"/>
                <w:highlight w:val="yellow"/>
              </w:rPr>
              <w:t xml:space="preserve">either </w:t>
            </w:r>
            <w:r w:rsidR="004A761C">
              <w:rPr>
                <w:rFonts w:ascii="Times New Roman" w:hAnsi="Times New Roman"/>
                <w:szCs w:val="22"/>
                <w:highlight w:val="yellow"/>
              </w:rPr>
              <w:t xml:space="preserve">of the </w:t>
            </w:r>
            <w:r w:rsidR="006B4638">
              <w:rPr>
                <w:rFonts w:ascii="Times New Roman" w:hAnsi="Times New Roman"/>
                <w:szCs w:val="22"/>
                <w:highlight w:val="yellow"/>
              </w:rPr>
              <w:t>inflow and infiltration</w:t>
            </w:r>
            <w:r w:rsidR="003059ED">
              <w:rPr>
                <w:rFonts w:ascii="Times New Roman" w:hAnsi="Times New Roman"/>
                <w:szCs w:val="22"/>
                <w:highlight w:val="yellow"/>
              </w:rPr>
              <w:t xml:space="preserve"> </w:t>
            </w:r>
            <w:r>
              <w:rPr>
                <w:rFonts w:ascii="Times New Roman" w:hAnsi="Times New Roman"/>
                <w:szCs w:val="22"/>
                <w:highlight w:val="yellow"/>
              </w:rPr>
              <w:t>requirement</w:t>
            </w:r>
            <w:r w:rsidR="004A761C">
              <w:rPr>
                <w:rFonts w:ascii="Times New Roman" w:hAnsi="Times New Roman"/>
                <w:szCs w:val="22"/>
                <w:highlight w:val="yellow"/>
              </w:rPr>
              <w:t>s</w:t>
            </w:r>
            <w:r>
              <w:rPr>
                <w:rFonts w:ascii="Times New Roman" w:hAnsi="Times New Roman"/>
                <w:szCs w:val="22"/>
                <w:highlight w:val="yellow"/>
              </w:rPr>
              <w:t xml:space="preserve"> is in</w:t>
            </w:r>
            <w:r w:rsidR="00015881">
              <w:rPr>
                <w:rFonts w:ascii="Times New Roman" w:hAnsi="Times New Roman"/>
                <w:szCs w:val="22"/>
                <w:highlight w:val="yellow"/>
              </w:rPr>
              <w:t>cluded in</w:t>
            </w:r>
            <w:r>
              <w:rPr>
                <w:rFonts w:ascii="Times New Roman" w:hAnsi="Times New Roman"/>
                <w:szCs w:val="22"/>
                <w:highlight w:val="yellow"/>
              </w:rPr>
              <w:t xml:space="preserve"> Schedule D</w:t>
            </w:r>
            <w:r w:rsidR="001C1657" w:rsidRPr="007A297C">
              <w:rPr>
                <w:rFonts w:ascii="Times New Roman" w:hAnsi="Times New Roman"/>
                <w:szCs w:val="22"/>
                <w:highlight w:val="yellow"/>
              </w:rPr>
              <w:t>:</w:t>
            </w:r>
          </w:p>
          <w:p w14:paraId="6D1537C3" w14:textId="73DBAC7C" w:rsidR="001C1657" w:rsidRDefault="001C1657" w:rsidP="001C1657">
            <w:pPr>
              <w:jc w:val="left"/>
              <w:rPr>
                <w:szCs w:val="22"/>
                <w:highlight w:val="yellow"/>
              </w:rPr>
            </w:pPr>
            <w:r w:rsidRPr="007832EF">
              <w:rPr>
                <w:rFonts w:ascii="Times New Roman" w:hAnsi="Times New Roman"/>
                <w:szCs w:val="22"/>
              </w:rPr>
              <w:t xml:space="preserve">Inflow and infiltration report (see </w:t>
            </w:r>
            <w:r w:rsidRPr="00187BD1">
              <w:rPr>
                <w:rStyle w:val="Hyperlink"/>
                <w:color w:val="auto"/>
                <w:szCs w:val="22"/>
              </w:rPr>
              <w:t>Schedule D</w:t>
            </w:r>
            <w:r w:rsidRPr="007832EF">
              <w:rPr>
                <w:rFonts w:ascii="Times New Roman" w:hAnsi="Times New Roman"/>
                <w:szCs w:val="22"/>
              </w:rPr>
              <w:t>)</w:t>
            </w:r>
          </w:p>
        </w:tc>
        <w:tc>
          <w:tcPr>
            <w:tcW w:w="878" w:type="pct"/>
          </w:tcPr>
          <w:p w14:paraId="62093444" w14:textId="63A9602E" w:rsidR="001C1657" w:rsidRDefault="001C1657" w:rsidP="001C1657">
            <w:pPr>
              <w:jc w:val="left"/>
              <w:rPr>
                <w:szCs w:val="22"/>
              </w:rPr>
            </w:pPr>
            <w:r w:rsidRPr="007832EF">
              <w:rPr>
                <w:rFonts w:ascii="Times New Roman" w:hAnsi="Times New Roman"/>
                <w:szCs w:val="22"/>
              </w:rPr>
              <w:t>Annually</w:t>
            </w:r>
          </w:p>
        </w:tc>
        <w:tc>
          <w:tcPr>
            <w:tcW w:w="992" w:type="pct"/>
          </w:tcPr>
          <w:p w14:paraId="4C478EEC" w14:textId="50EB365C" w:rsidR="001C1657" w:rsidRDefault="001C1657" w:rsidP="001C1657">
            <w:pPr>
              <w:jc w:val="left"/>
              <w:rPr>
                <w:rFonts w:ascii="Times New Roman" w:hAnsi="Times New Roman"/>
                <w:szCs w:val="22"/>
              </w:rPr>
            </w:pPr>
            <w:r w:rsidRPr="007832EF">
              <w:rPr>
                <w:rFonts w:ascii="Times New Roman" w:hAnsi="Times New Roman"/>
                <w:szCs w:val="22"/>
              </w:rPr>
              <w:t xml:space="preserve">February </w:t>
            </w:r>
            <w:r>
              <w:rPr>
                <w:rFonts w:ascii="Times New Roman" w:hAnsi="Times New Roman"/>
                <w:szCs w:val="22"/>
              </w:rPr>
              <w:t>15</w:t>
            </w:r>
          </w:p>
          <w:p w14:paraId="1627125C" w14:textId="4BE2A545" w:rsidR="001C1657" w:rsidRDefault="001C1657" w:rsidP="001C1657">
            <w:pPr>
              <w:jc w:val="left"/>
              <w:rPr>
                <w:szCs w:val="22"/>
              </w:rPr>
            </w:pPr>
          </w:p>
        </w:tc>
        <w:tc>
          <w:tcPr>
            <w:tcW w:w="852" w:type="pct"/>
          </w:tcPr>
          <w:p w14:paraId="73F81E59" w14:textId="2D9E4CF5" w:rsidR="001C1657" w:rsidRDefault="009530F5" w:rsidP="001C1657">
            <w:pPr>
              <w:jc w:val="left"/>
              <w:rPr>
                <w:szCs w:val="22"/>
              </w:rPr>
            </w:pPr>
            <w:r w:rsidRPr="009530F5">
              <w:rPr>
                <w:rFonts w:ascii="Times New Roman" w:hAnsi="Times New Roman"/>
                <w:szCs w:val="22"/>
              </w:rPr>
              <w:t>Report</w:t>
            </w:r>
          </w:p>
        </w:tc>
        <w:tc>
          <w:tcPr>
            <w:tcW w:w="1052" w:type="pct"/>
          </w:tcPr>
          <w:p w14:paraId="794A6931" w14:textId="77777777" w:rsidR="00D22E14" w:rsidRPr="00D22E14" w:rsidRDefault="00D22E14" w:rsidP="00D22E14">
            <w:pPr>
              <w:jc w:val="left"/>
              <w:rPr>
                <w:rFonts w:ascii="Times New Roman" w:hAnsi="Times New Roman"/>
                <w:szCs w:val="22"/>
                <w:lang w:val="en-CA"/>
              </w:rPr>
            </w:pPr>
            <w:r w:rsidRPr="00D22E14">
              <w:rPr>
                <w:rFonts w:ascii="Times New Roman" w:hAnsi="Times New Roman"/>
                <w:szCs w:val="22"/>
                <w:lang w:val="en-CA"/>
              </w:rPr>
              <w:t>Electronic</w:t>
            </w:r>
            <w:r w:rsidR="001C1657" w:rsidRPr="00D22E14">
              <w:rPr>
                <w:rFonts w:ascii="Times New Roman" w:hAnsi="Times New Roman"/>
                <w:szCs w:val="22"/>
                <w:lang w:val="en-CA"/>
              </w:rPr>
              <w:t xml:space="preserve"> reporting as directed by DEQ</w:t>
            </w:r>
            <w:r w:rsidR="001C1657" w:rsidRPr="00D22E14" w:rsidDel="00590466">
              <w:rPr>
                <w:rFonts w:ascii="Times New Roman" w:hAnsi="Times New Roman"/>
                <w:szCs w:val="22"/>
                <w:lang w:val="en-CA"/>
              </w:rPr>
              <w:t xml:space="preserve"> </w:t>
            </w:r>
          </w:p>
          <w:p w14:paraId="10B12EC0" w14:textId="176C779A" w:rsidR="001C1657" w:rsidRDefault="001C1657" w:rsidP="006546C9">
            <w:pPr>
              <w:jc w:val="left"/>
              <w:rPr>
                <w:szCs w:val="22"/>
              </w:rPr>
            </w:pPr>
          </w:p>
        </w:tc>
      </w:tr>
      <w:tr w:rsidR="001C1657" w:rsidRPr="00146F4C" w14:paraId="2031DF35" w14:textId="77777777" w:rsidTr="00670AEB">
        <w:trPr>
          <w:cantSplit/>
        </w:trPr>
        <w:tc>
          <w:tcPr>
            <w:tcW w:w="1226" w:type="pct"/>
          </w:tcPr>
          <w:p w14:paraId="0651D0AB" w14:textId="12E4DCB9" w:rsidR="001C1657" w:rsidRDefault="001C1657" w:rsidP="001C1657">
            <w:pPr>
              <w:jc w:val="left"/>
              <w:rPr>
                <w:szCs w:val="22"/>
                <w:highlight w:val="yellow"/>
              </w:rPr>
            </w:pPr>
            <w:r w:rsidRPr="00187BD1">
              <w:rPr>
                <w:rFonts w:ascii="Times New Roman" w:hAnsi="Times New Roman"/>
                <w:szCs w:val="22"/>
                <w:highlight w:val="yellow"/>
              </w:rPr>
              <w:t xml:space="preserve">If required in </w:t>
            </w:r>
            <w:r w:rsidRPr="00187BD1">
              <w:rPr>
                <w:rStyle w:val="Hyperlink"/>
                <w:color w:val="auto"/>
                <w:szCs w:val="22"/>
                <w:highlight w:val="yellow"/>
              </w:rPr>
              <w:t>Schedule D</w:t>
            </w:r>
            <w:r w:rsidRPr="00187BD1">
              <w:rPr>
                <w:rFonts w:ascii="Times New Roman" w:hAnsi="Times New Roman"/>
                <w:szCs w:val="22"/>
                <w:highlight w:val="yellow"/>
              </w:rPr>
              <w:t>:</w:t>
            </w:r>
            <w:r w:rsidRPr="00187BD1">
              <w:rPr>
                <w:rFonts w:ascii="Times New Roman" w:hAnsi="Times New Roman"/>
                <w:szCs w:val="22"/>
              </w:rPr>
              <w:t xml:space="preserve"> Mixing Zone Study (see Schedule D)</w:t>
            </w:r>
          </w:p>
        </w:tc>
        <w:tc>
          <w:tcPr>
            <w:tcW w:w="878" w:type="pct"/>
          </w:tcPr>
          <w:p w14:paraId="0BBEF38F" w14:textId="01A212A8" w:rsidR="001C1657" w:rsidRPr="007832EF" w:rsidRDefault="001C1657" w:rsidP="001C1657">
            <w:pPr>
              <w:jc w:val="left"/>
              <w:rPr>
                <w:szCs w:val="22"/>
              </w:rPr>
            </w:pPr>
            <w:r w:rsidRPr="007832EF">
              <w:rPr>
                <w:rFonts w:ascii="Times New Roman" w:hAnsi="Times New Roman"/>
                <w:szCs w:val="22"/>
              </w:rPr>
              <w:t>One time</w:t>
            </w:r>
          </w:p>
        </w:tc>
        <w:tc>
          <w:tcPr>
            <w:tcW w:w="992" w:type="pct"/>
          </w:tcPr>
          <w:p w14:paraId="37927AB5" w14:textId="5D1E677B" w:rsidR="001C1657" w:rsidRPr="007832EF" w:rsidRDefault="001C1657" w:rsidP="001C1657">
            <w:pPr>
              <w:jc w:val="left"/>
              <w:rPr>
                <w:szCs w:val="22"/>
              </w:rPr>
            </w:pPr>
            <w:r w:rsidRPr="007832EF">
              <w:rPr>
                <w:rFonts w:ascii="Times New Roman" w:hAnsi="Times New Roman"/>
                <w:szCs w:val="22"/>
              </w:rPr>
              <w:t>Submit by XX/15/20XX</w:t>
            </w:r>
          </w:p>
        </w:tc>
        <w:tc>
          <w:tcPr>
            <w:tcW w:w="852" w:type="pct"/>
          </w:tcPr>
          <w:p w14:paraId="097A4FB8" w14:textId="7E4E1A4A" w:rsidR="001C1657" w:rsidRDefault="009530F5" w:rsidP="001C1657">
            <w:pPr>
              <w:jc w:val="left"/>
              <w:rPr>
                <w:szCs w:val="22"/>
              </w:rPr>
            </w:pPr>
            <w:r w:rsidRPr="009530F5">
              <w:rPr>
                <w:rFonts w:ascii="Times New Roman" w:hAnsi="Times New Roman"/>
                <w:szCs w:val="22"/>
              </w:rPr>
              <w:t>Report</w:t>
            </w:r>
          </w:p>
        </w:tc>
        <w:tc>
          <w:tcPr>
            <w:tcW w:w="1052" w:type="pct"/>
          </w:tcPr>
          <w:p w14:paraId="4A10BC6B" w14:textId="77777777" w:rsidR="00D22E14" w:rsidRPr="00D22E14" w:rsidRDefault="00D22E14" w:rsidP="00D22E14">
            <w:pPr>
              <w:jc w:val="left"/>
              <w:rPr>
                <w:rFonts w:ascii="Times New Roman" w:hAnsi="Times New Roman"/>
                <w:szCs w:val="22"/>
                <w:lang w:val="en-CA"/>
              </w:rPr>
            </w:pPr>
            <w:r w:rsidRPr="00D22E14">
              <w:rPr>
                <w:rFonts w:ascii="Times New Roman" w:hAnsi="Times New Roman"/>
                <w:szCs w:val="22"/>
                <w:lang w:val="en-CA"/>
              </w:rPr>
              <w:t>Electronic</w:t>
            </w:r>
            <w:r w:rsidR="001C1657" w:rsidRPr="00D22E14">
              <w:rPr>
                <w:rFonts w:ascii="Times New Roman" w:hAnsi="Times New Roman"/>
                <w:szCs w:val="22"/>
                <w:lang w:val="en-CA"/>
              </w:rPr>
              <w:t xml:space="preserve"> reporting as directed by DEQ</w:t>
            </w:r>
            <w:r w:rsidR="001C1657" w:rsidRPr="00D22E14" w:rsidDel="00590466">
              <w:rPr>
                <w:rFonts w:ascii="Times New Roman" w:hAnsi="Times New Roman"/>
                <w:szCs w:val="22"/>
                <w:lang w:val="en-CA"/>
              </w:rPr>
              <w:t xml:space="preserve"> </w:t>
            </w:r>
          </w:p>
          <w:p w14:paraId="3450F0C7" w14:textId="405F6418" w:rsidR="001C1657" w:rsidRDefault="001C1657" w:rsidP="006546C9">
            <w:pPr>
              <w:jc w:val="left"/>
              <w:rPr>
                <w:szCs w:val="22"/>
              </w:rPr>
            </w:pPr>
          </w:p>
        </w:tc>
      </w:tr>
      <w:tr w:rsidR="001C1657" w:rsidRPr="00146F4C" w14:paraId="24FA15B4" w14:textId="77777777" w:rsidTr="00670AEB">
        <w:trPr>
          <w:cantSplit/>
        </w:trPr>
        <w:tc>
          <w:tcPr>
            <w:tcW w:w="1226" w:type="pct"/>
          </w:tcPr>
          <w:p w14:paraId="73E6DCAC" w14:textId="0457FFAF" w:rsidR="001C1657" w:rsidRPr="007832EF" w:rsidRDefault="001C1657" w:rsidP="001C1657">
            <w:pPr>
              <w:jc w:val="left"/>
              <w:rPr>
                <w:rFonts w:ascii="Times New Roman" w:hAnsi="Times New Roman"/>
                <w:szCs w:val="22"/>
              </w:rPr>
            </w:pPr>
            <w:r w:rsidRPr="007832EF">
              <w:rPr>
                <w:rFonts w:ascii="Times New Roman" w:hAnsi="Times New Roman"/>
                <w:szCs w:val="22"/>
                <w:highlight w:val="yellow"/>
              </w:rPr>
              <w:t xml:space="preserve">Include if the </w:t>
            </w:r>
            <w:r w:rsidR="00BC7BC7">
              <w:rPr>
                <w:rFonts w:ascii="Times New Roman" w:hAnsi="Times New Roman"/>
                <w:szCs w:val="22"/>
                <w:highlight w:val="yellow"/>
              </w:rPr>
              <w:t xml:space="preserve">recycled water condition is included in schedule D </w:t>
            </w:r>
          </w:p>
          <w:p w14:paraId="2B5F476E" w14:textId="0BDAD109" w:rsidR="001C1657" w:rsidRPr="00EA1326" w:rsidRDefault="001C1657" w:rsidP="005E3CBD">
            <w:pPr>
              <w:jc w:val="left"/>
              <w:rPr>
                <w:szCs w:val="22"/>
                <w:highlight w:val="yellow"/>
              </w:rPr>
            </w:pPr>
            <w:r w:rsidRPr="007832EF">
              <w:rPr>
                <w:rFonts w:ascii="Times New Roman" w:hAnsi="Times New Roman"/>
                <w:szCs w:val="22"/>
              </w:rPr>
              <w:t xml:space="preserve">Recycled </w:t>
            </w:r>
            <w:r>
              <w:rPr>
                <w:rFonts w:ascii="Times New Roman" w:hAnsi="Times New Roman"/>
                <w:szCs w:val="22"/>
              </w:rPr>
              <w:t>W</w:t>
            </w:r>
            <w:r w:rsidRPr="007832EF">
              <w:rPr>
                <w:rFonts w:ascii="Times New Roman" w:hAnsi="Times New Roman"/>
                <w:szCs w:val="22"/>
              </w:rPr>
              <w:t xml:space="preserve">ater </w:t>
            </w:r>
            <w:r>
              <w:rPr>
                <w:rFonts w:ascii="Times New Roman" w:hAnsi="Times New Roman"/>
                <w:szCs w:val="22"/>
              </w:rPr>
              <w:t>A</w:t>
            </w:r>
            <w:r w:rsidRPr="007832EF">
              <w:rPr>
                <w:rFonts w:ascii="Times New Roman" w:hAnsi="Times New Roman"/>
                <w:szCs w:val="22"/>
              </w:rPr>
              <w:t xml:space="preserve">nnual </w:t>
            </w:r>
            <w:r>
              <w:rPr>
                <w:rFonts w:ascii="Times New Roman" w:hAnsi="Times New Roman"/>
                <w:szCs w:val="22"/>
              </w:rPr>
              <w:t>R</w:t>
            </w:r>
            <w:r w:rsidRPr="007832EF">
              <w:rPr>
                <w:rFonts w:ascii="Times New Roman" w:hAnsi="Times New Roman"/>
                <w:szCs w:val="22"/>
              </w:rPr>
              <w:t xml:space="preserve">eport </w:t>
            </w:r>
            <w:r>
              <w:rPr>
                <w:rFonts w:ascii="Times New Roman" w:hAnsi="Times New Roman"/>
                <w:szCs w:val="22"/>
              </w:rPr>
              <w:t>(see Schedule D)</w:t>
            </w:r>
            <w:r w:rsidR="00BC7BC7">
              <w:rPr>
                <w:rFonts w:ascii="Times New Roman" w:hAnsi="Times New Roman"/>
                <w:szCs w:val="22"/>
              </w:rPr>
              <w:t xml:space="preserve"> - </w:t>
            </w:r>
            <w:r w:rsidR="00BC7BC7" w:rsidRPr="00BC7BC7">
              <w:rPr>
                <w:rFonts w:ascii="Times New Roman" w:hAnsi="Times New Roman"/>
                <w:szCs w:val="22"/>
              </w:rPr>
              <w:t>Only required if the permittee distributes recycled water un</w:t>
            </w:r>
            <w:r w:rsidR="00BC7BC7">
              <w:rPr>
                <w:rFonts w:ascii="Times New Roman" w:hAnsi="Times New Roman"/>
                <w:szCs w:val="22"/>
              </w:rPr>
              <w:t>der</w:t>
            </w:r>
            <w:r w:rsidR="00BC7BC7" w:rsidRPr="00BC7BC7">
              <w:rPr>
                <w:rFonts w:ascii="Times New Roman" w:hAnsi="Times New Roman"/>
                <w:szCs w:val="22"/>
              </w:rPr>
              <w:t xml:space="preserve"> a recycled water use plan</w:t>
            </w:r>
          </w:p>
        </w:tc>
        <w:tc>
          <w:tcPr>
            <w:tcW w:w="878" w:type="pct"/>
          </w:tcPr>
          <w:p w14:paraId="6CE7391D" w14:textId="35B64DC5" w:rsidR="001C1657" w:rsidRPr="007832EF" w:rsidRDefault="001C1657" w:rsidP="001C1657">
            <w:pPr>
              <w:jc w:val="left"/>
              <w:rPr>
                <w:szCs w:val="22"/>
              </w:rPr>
            </w:pPr>
            <w:r w:rsidRPr="007832EF">
              <w:rPr>
                <w:rFonts w:ascii="Times New Roman" w:hAnsi="Times New Roman"/>
                <w:szCs w:val="22"/>
              </w:rPr>
              <w:t>Annually</w:t>
            </w:r>
          </w:p>
        </w:tc>
        <w:tc>
          <w:tcPr>
            <w:tcW w:w="992" w:type="pct"/>
          </w:tcPr>
          <w:p w14:paraId="7D870F15" w14:textId="519F1B08" w:rsidR="001C1657" w:rsidRPr="007832EF" w:rsidRDefault="001C1657" w:rsidP="001C1657">
            <w:pPr>
              <w:jc w:val="left"/>
              <w:rPr>
                <w:szCs w:val="22"/>
              </w:rPr>
            </w:pPr>
            <w:r w:rsidRPr="007832EF">
              <w:rPr>
                <w:rFonts w:ascii="Times New Roman" w:hAnsi="Times New Roman"/>
                <w:szCs w:val="22"/>
              </w:rPr>
              <w:t>January</w:t>
            </w:r>
            <w:r>
              <w:rPr>
                <w:rFonts w:ascii="Times New Roman" w:hAnsi="Times New Roman"/>
                <w:szCs w:val="22"/>
              </w:rPr>
              <w:t xml:space="preserve"> </w:t>
            </w:r>
            <w:r w:rsidRPr="007832EF">
              <w:rPr>
                <w:rFonts w:ascii="Times New Roman" w:hAnsi="Times New Roman"/>
                <w:szCs w:val="22"/>
              </w:rPr>
              <w:t>15</w:t>
            </w:r>
          </w:p>
        </w:tc>
        <w:tc>
          <w:tcPr>
            <w:tcW w:w="852" w:type="pct"/>
          </w:tcPr>
          <w:p w14:paraId="415A9B14" w14:textId="18BA949F" w:rsidR="001C1657" w:rsidRDefault="009530F5" w:rsidP="001C1657">
            <w:pPr>
              <w:jc w:val="left"/>
              <w:rPr>
                <w:szCs w:val="22"/>
              </w:rPr>
            </w:pPr>
            <w:r w:rsidRPr="009530F5">
              <w:rPr>
                <w:rFonts w:ascii="Times New Roman" w:hAnsi="Times New Roman"/>
                <w:szCs w:val="22"/>
              </w:rPr>
              <w:t>Report</w:t>
            </w:r>
          </w:p>
        </w:tc>
        <w:tc>
          <w:tcPr>
            <w:tcW w:w="1052" w:type="pct"/>
          </w:tcPr>
          <w:p w14:paraId="1BCFEA90" w14:textId="77777777" w:rsidR="00D22E14" w:rsidRPr="00D22E14" w:rsidRDefault="00D22E14" w:rsidP="00D22E14">
            <w:pPr>
              <w:jc w:val="left"/>
              <w:rPr>
                <w:rFonts w:ascii="Times New Roman" w:hAnsi="Times New Roman"/>
                <w:szCs w:val="22"/>
                <w:lang w:val="en-CA"/>
              </w:rPr>
            </w:pPr>
            <w:r w:rsidRPr="00D22E14">
              <w:rPr>
                <w:rFonts w:ascii="Times New Roman" w:hAnsi="Times New Roman"/>
                <w:szCs w:val="22"/>
                <w:lang w:val="en-CA"/>
              </w:rPr>
              <w:t>Electronic reporting as directed by DEQ</w:t>
            </w:r>
            <w:r w:rsidRPr="00D22E14" w:rsidDel="00590466">
              <w:rPr>
                <w:rFonts w:ascii="Times New Roman" w:hAnsi="Times New Roman"/>
                <w:szCs w:val="22"/>
                <w:lang w:val="en-CA"/>
              </w:rPr>
              <w:t xml:space="preserve"> </w:t>
            </w:r>
          </w:p>
          <w:p w14:paraId="31023916" w14:textId="0FC3DC57" w:rsidR="001C1657" w:rsidRPr="007832EF" w:rsidRDefault="001C1657" w:rsidP="001C1657">
            <w:pPr>
              <w:jc w:val="left"/>
              <w:rPr>
                <w:rFonts w:ascii="Times New Roman" w:hAnsi="Times New Roman"/>
                <w:szCs w:val="22"/>
              </w:rPr>
            </w:pPr>
          </w:p>
          <w:p w14:paraId="4BFC313F" w14:textId="33D7F9D1" w:rsidR="001C1657" w:rsidRDefault="001C1657" w:rsidP="001C1657">
            <w:pPr>
              <w:jc w:val="left"/>
              <w:rPr>
                <w:szCs w:val="22"/>
              </w:rPr>
            </w:pPr>
            <w:r>
              <w:rPr>
                <w:rFonts w:ascii="Times New Roman" w:hAnsi="Times New Roman"/>
                <w:szCs w:val="22"/>
              </w:rPr>
              <w:t xml:space="preserve">Electronic copy to </w:t>
            </w:r>
            <w:r w:rsidRPr="007832EF">
              <w:rPr>
                <w:rFonts w:ascii="Times New Roman" w:hAnsi="Times New Roman"/>
                <w:szCs w:val="22"/>
              </w:rPr>
              <w:t>DEQ Water Reuse Program Coordinator</w:t>
            </w:r>
          </w:p>
        </w:tc>
      </w:tr>
      <w:tr w:rsidR="001C1657" w:rsidRPr="00146F4C" w14:paraId="2942C8A3" w14:textId="77777777" w:rsidTr="00670AEB">
        <w:trPr>
          <w:cantSplit/>
        </w:trPr>
        <w:tc>
          <w:tcPr>
            <w:tcW w:w="1226" w:type="pct"/>
          </w:tcPr>
          <w:p w14:paraId="70655DD2" w14:textId="6491ED01" w:rsidR="001C1657" w:rsidRPr="00EA1326" w:rsidRDefault="001C1657" w:rsidP="005E3CBD">
            <w:pPr>
              <w:jc w:val="left"/>
              <w:rPr>
                <w:szCs w:val="22"/>
                <w:highlight w:val="yellow"/>
              </w:rPr>
            </w:pPr>
            <w:r>
              <w:rPr>
                <w:rFonts w:ascii="Times New Roman" w:hAnsi="Times New Roman"/>
                <w:szCs w:val="22"/>
                <w:highlight w:val="yellow"/>
              </w:rPr>
              <w:lastRenderedPageBreak/>
              <w:t>Include if the facility does not have a biosolids program</w:t>
            </w:r>
            <w:r w:rsidRPr="00EA41BD">
              <w:rPr>
                <w:rFonts w:ascii="Times New Roman" w:hAnsi="Times New Roman"/>
                <w:szCs w:val="22"/>
                <w:highlight w:val="yellow"/>
              </w:rPr>
              <w:t>:</w:t>
            </w:r>
            <w:r>
              <w:rPr>
                <w:rFonts w:ascii="Times New Roman" w:hAnsi="Times New Roman"/>
                <w:szCs w:val="22"/>
              </w:rPr>
              <w:br/>
            </w:r>
            <w:r w:rsidRPr="00146F4C">
              <w:rPr>
                <w:rFonts w:ascii="Times New Roman" w:hAnsi="Times New Roman"/>
                <w:szCs w:val="22"/>
              </w:rPr>
              <w:t>W</w:t>
            </w:r>
            <w:r>
              <w:rPr>
                <w:rFonts w:ascii="Times New Roman" w:hAnsi="Times New Roman"/>
                <w:szCs w:val="22"/>
              </w:rPr>
              <w:t xml:space="preserve">astewater solids </w:t>
            </w:r>
            <w:r w:rsidRPr="00146F4C">
              <w:rPr>
                <w:rFonts w:ascii="Times New Roman" w:hAnsi="Times New Roman"/>
                <w:szCs w:val="22"/>
              </w:rPr>
              <w:t>annual report</w:t>
            </w:r>
            <w:r>
              <w:rPr>
                <w:rFonts w:ascii="Times New Roman" w:hAnsi="Times New Roman"/>
                <w:szCs w:val="22"/>
              </w:rPr>
              <w:t xml:space="preserve"> (see Schedule D)</w:t>
            </w:r>
            <w:r w:rsidRPr="00146F4C">
              <w:rPr>
                <w:rFonts w:ascii="Times New Roman" w:hAnsi="Times New Roman"/>
                <w:szCs w:val="22"/>
              </w:rPr>
              <w:t xml:space="preserve"> </w:t>
            </w:r>
          </w:p>
        </w:tc>
        <w:tc>
          <w:tcPr>
            <w:tcW w:w="878" w:type="pct"/>
          </w:tcPr>
          <w:p w14:paraId="42BC4784" w14:textId="2223DDB5" w:rsidR="001C1657" w:rsidRPr="007832EF" w:rsidRDefault="001C1657" w:rsidP="001C1657">
            <w:pPr>
              <w:jc w:val="left"/>
              <w:rPr>
                <w:szCs w:val="22"/>
              </w:rPr>
            </w:pPr>
            <w:r w:rsidRPr="00146F4C">
              <w:rPr>
                <w:rFonts w:ascii="Times New Roman" w:hAnsi="Times New Roman"/>
                <w:szCs w:val="22"/>
              </w:rPr>
              <w:t>Annually</w:t>
            </w:r>
          </w:p>
        </w:tc>
        <w:tc>
          <w:tcPr>
            <w:tcW w:w="992" w:type="pct"/>
          </w:tcPr>
          <w:p w14:paraId="4C106EAA" w14:textId="6185488B" w:rsidR="001C1657" w:rsidRPr="007832EF" w:rsidRDefault="001C1657" w:rsidP="001C1657">
            <w:pPr>
              <w:jc w:val="left"/>
              <w:rPr>
                <w:szCs w:val="22"/>
              </w:rPr>
            </w:pPr>
            <w:r w:rsidRPr="00146F4C">
              <w:rPr>
                <w:rFonts w:ascii="Times New Roman" w:hAnsi="Times New Roman"/>
                <w:szCs w:val="22"/>
              </w:rPr>
              <w:t>February 19</w:t>
            </w:r>
            <w:r w:rsidR="00690D6E">
              <w:rPr>
                <w:rFonts w:ascii="Times New Roman" w:hAnsi="Times New Roman"/>
                <w:szCs w:val="22"/>
              </w:rPr>
              <w:t xml:space="preserve"> </w:t>
            </w:r>
          </w:p>
        </w:tc>
        <w:tc>
          <w:tcPr>
            <w:tcW w:w="852" w:type="pct"/>
          </w:tcPr>
          <w:p w14:paraId="2D725630" w14:textId="79FB6A9B" w:rsidR="001C1657" w:rsidRDefault="00F04270" w:rsidP="001C1657">
            <w:pPr>
              <w:jc w:val="left"/>
              <w:rPr>
                <w:szCs w:val="22"/>
              </w:rPr>
            </w:pPr>
            <w:r w:rsidRPr="009530F5">
              <w:rPr>
                <w:rFonts w:ascii="Times New Roman" w:hAnsi="Times New Roman"/>
                <w:szCs w:val="22"/>
              </w:rPr>
              <w:t>Report</w:t>
            </w:r>
          </w:p>
        </w:tc>
        <w:tc>
          <w:tcPr>
            <w:tcW w:w="1052" w:type="pct"/>
          </w:tcPr>
          <w:p w14:paraId="1CC5DFB9" w14:textId="77777777" w:rsidR="005F6A04" w:rsidRPr="005F6A04" w:rsidRDefault="005F6A04" w:rsidP="005F6A04">
            <w:pPr>
              <w:jc w:val="left"/>
              <w:rPr>
                <w:rFonts w:ascii="Times New Roman" w:hAnsi="Times New Roman"/>
                <w:szCs w:val="22"/>
                <w:lang w:val="en-CA"/>
              </w:rPr>
            </w:pPr>
            <w:r w:rsidRPr="005F6A04">
              <w:rPr>
                <w:rFonts w:ascii="Times New Roman" w:hAnsi="Times New Roman"/>
                <w:szCs w:val="22"/>
                <w:lang w:val="en-CA"/>
              </w:rPr>
              <w:t>Electronic reporting as directed by DEQ</w:t>
            </w:r>
            <w:r w:rsidRPr="005F6A04" w:rsidDel="00590466">
              <w:rPr>
                <w:rFonts w:ascii="Times New Roman" w:hAnsi="Times New Roman"/>
                <w:szCs w:val="22"/>
                <w:lang w:val="en-CA"/>
              </w:rPr>
              <w:t xml:space="preserve"> </w:t>
            </w:r>
          </w:p>
          <w:p w14:paraId="1A6956EE" w14:textId="62B76586" w:rsidR="001C1657" w:rsidRPr="00146F4C" w:rsidRDefault="001C1657" w:rsidP="001C1657">
            <w:pPr>
              <w:jc w:val="left"/>
              <w:rPr>
                <w:rFonts w:ascii="Times New Roman" w:hAnsi="Times New Roman"/>
                <w:szCs w:val="22"/>
              </w:rPr>
            </w:pPr>
            <w:r w:rsidDel="000C3F56">
              <w:rPr>
                <w:rFonts w:ascii="Times New Roman" w:hAnsi="Times New Roman"/>
                <w:szCs w:val="22"/>
              </w:rPr>
              <w:t xml:space="preserve"> </w:t>
            </w:r>
          </w:p>
          <w:p w14:paraId="16612E88" w14:textId="4806E780" w:rsidR="001C1657" w:rsidRDefault="001C1657" w:rsidP="001C1657">
            <w:pPr>
              <w:jc w:val="left"/>
            </w:pPr>
            <w:r w:rsidRPr="39A5DE2E">
              <w:rPr>
                <w:rFonts w:ascii="Times New Roman" w:hAnsi="Times New Roman"/>
              </w:rPr>
              <w:t>Electronic copy to DEQ Biosolids Program Coordinator</w:t>
            </w:r>
          </w:p>
        </w:tc>
      </w:tr>
      <w:tr w:rsidR="001C1657" w:rsidRPr="00146F4C" w14:paraId="5B090E65" w14:textId="77777777" w:rsidTr="00670AEB">
        <w:trPr>
          <w:cantSplit/>
        </w:trPr>
        <w:tc>
          <w:tcPr>
            <w:tcW w:w="1226" w:type="pct"/>
          </w:tcPr>
          <w:p w14:paraId="006FD9E3" w14:textId="2EAD4398" w:rsidR="001C1657" w:rsidRPr="00146F4C" w:rsidRDefault="001C1657" w:rsidP="001C1657">
            <w:pPr>
              <w:jc w:val="left"/>
              <w:rPr>
                <w:rFonts w:ascii="Times New Roman" w:hAnsi="Times New Roman"/>
                <w:szCs w:val="22"/>
              </w:rPr>
            </w:pPr>
            <w:r w:rsidRPr="00146F4C">
              <w:rPr>
                <w:rFonts w:ascii="Times New Roman" w:hAnsi="Times New Roman"/>
                <w:szCs w:val="22"/>
                <w:highlight w:val="yellow"/>
              </w:rPr>
              <w:t>Include if the facility has a biosolids program.</w:t>
            </w:r>
          </w:p>
          <w:p w14:paraId="14722F9D" w14:textId="37602E16" w:rsidR="001C1657" w:rsidRPr="00EA1326" w:rsidRDefault="001C1657" w:rsidP="00DA13C1">
            <w:pPr>
              <w:jc w:val="left"/>
              <w:rPr>
                <w:szCs w:val="22"/>
                <w:highlight w:val="yellow"/>
              </w:rPr>
            </w:pPr>
            <w:r w:rsidRPr="00146F4C">
              <w:rPr>
                <w:rFonts w:ascii="Times New Roman" w:hAnsi="Times New Roman"/>
                <w:szCs w:val="22"/>
              </w:rPr>
              <w:t xml:space="preserve">Biosolids annual report </w:t>
            </w:r>
            <w:r>
              <w:rPr>
                <w:rFonts w:ascii="Times New Roman" w:hAnsi="Times New Roman"/>
                <w:szCs w:val="22"/>
              </w:rPr>
              <w:t>(See Schedule D)</w:t>
            </w:r>
          </w:p>
        </w:tc>
        <w:tc>
          <w:tcPr>
            <w:tcW w:w="878" w:type="pct"/>
          </w:tcPr>
          <w:p w14:paraId="5996FAFC" w14:textId="58985760" w:rsidR="001C1657" w:rsidRPr="00146F4C" w:rsidRDefault="001C1657" w:rsidP="001C1657">
            <w:pPr>
              <w:jc w:val="left"/>
              <w:rPr>
                <w:szCs w:val="22"/>
              </w:rPr>
            </w:pPr>
            <w:r w:rsidRPr="00146F4C">
              <w:rPr>
                <w:rFonts w:ascii="Times New Roman" w:hAnsi="Times New Roman"/>
                <w:szCs w:val="22"/>
              </w:rPr>
              <w:t>Annually</w:t>
            </w:r>
          </w:p>
        </w:tc>
        <w:tc>
          <w:tcPr>
            <w:tcW w:w="992" w:type="pct"/>
          </w:tcPr>
          <w:p w14:paraId="10278C29" w14:textId="12339FC7" w:rsidR="001C1657" w:rsidRPr="00146F4C" w:rsidRDefault="001C1657" w:rsidP="001C1657">
            <w:pPr>
              <w:jc w:val="left"/>
              <w:rPr>
                <w:szCs w:val="22"/>
              </w:rPr>
            </w:pPr>
            <w:r>
              <w:rPr>
                <w:rFonts w:ascii="Times New Roman" w:hAnsi="Times New Roman"/>
                <w:szCs w:val="22"/>
              </w:rPr>
              <w:t>February 19</w:t>
            </w:r>
            <w:r w:rsidR="00690D6E">
              <w:rPr>
                <w:rFonts w:ascii="Times New Roman" w:hAnsi="Times New Roman"/>
                <w:szCs w:val="22"/>
              </w:rPr>
              <w:t xml:space="preserve"> </w:t>
            </w:r>
          </w:p>
        </w:tc>
        <w:tc>
          <w:tcPr>
            <w:tcW w:w="852" w:type="pct"/>
          </w:tcPr>
          <w:p w14:paraId="1B079BBD" w14:textId="4709DA21" w:rsidR="001C1657" w:rsidRPr="00146F4C" w:rsidRDefault="00F04270" w:rsidP="001C1657">
            <w:pPr>
              <w:jc w:val="left"/>
              <w:rPr>
                <w:rFonts w:ascii="Times New Roman" w:hAnsi="Times New Roman"/>
                <w:szCs w:val="22"/>
              </w:rPr>
            </w:pPr>
            <w:r w:rsidRPr="009530F5">
              <w:rPr>
                <w:rFonts w:ascii="Times New Roman" w:hAnsi="Times New Roman"/>
                <w:szCs w:val="22"/>
              </w:rPr>
              <w:t>Report</w:t>
            </w:r>
          </w:p>
          <w:p w14:paraId="0DEE525E" w14:textId="25C7B1CB" w:rsidR="001C1657" w:rsidRPr="00146F4C" w:rsidRDefault="001C1657" w:rsidP="001C1657">
            <w:pPr>
              <w:jc w:val="left"/>
              <w:rPr>
                <w:rFonts w:ascii="Times New Roman" w:hAnsi="Times New Roman"/>
                <w:szCs w:val="22"/>
              </w:rPr>
            </w:pPr>
            <w:r>
              <w:rPr>
                <w:rFonts w:ascii="Times New Roman" w:hAnsi="Times New Roman"/>
                <w:szCs w:val="22"/>
                <w:highlight w:val="yellow"/>
              </w:rPr>
              <w:t>Class I</w:t>
            </w:r>
            <w:r w:rsidRPr="00146F4C">
              <w:rPr>
                <w:rFonts w:ascii="Times New Roman" w:hAnsi="Times New Roman"/>
                <w:szCs w:val="22"/>
                <w:highlight w:val="yellow"/>
              </w:rPr>
              <w:t xml:space="preserve"> facilities</w:t>
            </w:r>
            <w:r>
              <w:rPr>
                <w:rFonts w:ascii="Times New Roman" w:hAnsi="Times New Roman"/>
                <w:szCs w:val="22"/>
                <w:highlight w:val="yellow"/>
              </w:rPr>
              <w:t xml:space="preserve"> only</w:t>
            </w:r>
            <w:r w:rsidRPr="00146F4C">
              <w:rPr>
                <w:rFonts w:ascii="Times New Roman" w:hAnsi="Times New Roman"/>
                <w:szCs w:val="22"/>
                <w:highlight w:val="yellow"/>
              </w:rPr>
              <w:t>:</w:t>
            </w:r>
            <w:r w:rsidRPr="00146F4C">
              <w:rPr>
                <w:rFonts w:ascii="Times New Roman" w:hAnsi="Times New Roman"/>
                <w:szCs w:val="22"/>
              </w:rPr>
              <w:t xml:space="preserve"> </w:t>
            </w:r>
          </w:p>
          <w:p w14:paraId="5838C8F9" w14:textId="619901A6" w:rsidR="001C1657" w:rsidRPr="00146F4C" w:rsidRDefault="001C1657" w:rsidP="001C1657">
            <w:pPr>
              <w:jc w:val="left"/>
            </w:pPr>
            <w:r w:rsidRPr="39A5DE2E">
              <w:rPr>
                <w:rFonts w:ascii="Times New Roman" w:hAnsi="Times New Roman"/>
              </w:rPr>
              <w:t xml:space="preserve">EPA </w:t>
            </w:r>
            <w:proofErr w:type="spellStart"/>
            <w:r w:rsidRPr="39A5DE2E">
              <w:rPr>
                <w:rFonts w:ascii="Times New Roman" w:hAnsi="Times New Roman"/>
              </w:rPr>
              <w:t>NeT</w:t>
            </w:r>
            <w:proofErr w:type="spellEnd"/>
            <w:r w:rsidRPr="39A5DE2E">
              <w:rPr>
                <w:rFonts w:ascii="Times New Roman" w:hAnsi="Times New Roman"/>
              </w:rPr>
              <w:t xml:space="preserve"> CDX web</w:t>
            </w:r>
            <w:r w:rsidR="00316AD1" w:rsidRPr="39A5DE2E">
              <w:rPr>
                <w:rFonts w:ascii="Times New Roman" w:hAnsi="Times New Roman"/>
              </w:rPr>
              <w:t>-</w:t>
            </w:r>
            <w:r w:rsidRPr="39A5DE2E">
              <w:rPr>
                <w:rFonts w:ascii="Times New Roman" w:hAnsi="Times New Roman"/>
              </w:rPr>
              <w:t>based reporting tool</w:t>
            </w:r>
          </w:p>
        </w:tc>
        <w:tc>
          <w:tcPr>
            <w:tcW w:w="1052" w:type="pct"/>
          </w:tcPr>
          <w:p w14:paraId="62DDC11A" w14:textId="77777777" w:rsidR="005F6A04" w:rsidRPr="005F6A04" w:rsidRDefault="005F6A04" w:rsidP="005F6A04">
            <w:pPr>
              <w:jc w:val="left"/>
              <w:rPr>
                <w:rFonts w:ascii="Times New Roman" w:hAnsi="Times New Roman"/>
                <w:szCs w:val="22"/>
                <w:lang w:val="en-CA"/>
              </w:rPr>
            </w:pPr>
            <w:r w:rsidRPr="005F6A04">
              <w:rPr>
                <w:rFonts w:ascii="Times New Roman" w:hAnsi="Times New Roman"/>
                <w:szCs w:val="22"/>
                <w:lang w:val="en-CA"/>
              </w:rPr>
              <w:t>Electronic reporting as directed by DEQ</w:t>
            </w:r>
            <w:r w:rsidRPr="005F6A04" w:rsidDel="00590466">
              <w:rPr>
                <w:rFonts w:ascii="Times New Roman" w:hAnsi="Times New Roman"/>
                <w:szCs w:val="22"/>
                <w:lang w:val="en-CA"/>
              </w:rPr>
              <w:t xml:space="preserve"> </w:t>
            </w:r>
          </w:p>
          <w:p w14:paraId="43622400" w14:textId="5D44DEE0" w:rsidR="001C1657" w:rsidRPr="00146F4C" w:rsidRDefault="001C1657" w:rsidP="001C1657">
            <w:pPr>
              <w:jc w:val="left"/>
              <w:rPr>
                <w:rFonts w:ascii="Times New Roman" w:hAnsi="Times New Roman"/>
                <w:szCs w:val="22"/>
              </w:rPr>
            </w:pPr>
            <w:r w:rsidDel="000C3F56">
              <w:rPr>
                <w:rFonts w:ascii="Times New Roman" w:hAnsi="Times New Roman"/>
                <w:szCs w:val="22"/>
              </w:rPr>
              <w:t xml:space="preserve"> </w:t>
            </w:r>
          </w:p>
          <w:p w14:paraId="270BDBBF" w14:textId="33BCAC92" w:rsidR="001C1657" w:rsidRPr="00146F4C" w:rsidRDefault="001C1657" w:rsidP="39A5DE2E">
            <w:pPr>
              <w:jc w:val="left"/>
              <w:rPr>
                <w:rFonts w:ascii="Times New Roman" w:hAnsi="Times New Roman"/>
              </w:rPr>
            </w:pPr>
            <w:r w:rsidRPr="39A5DE2E">
              <w:rPr>
                <w:rFonts w:ascii="Times New Roman" w:hAnsi="Times New Roman"/>
              </w:rPr>
              <w:t>DEQ Biosolids Program Coordinator</w:t>
            </w:r>
          </w:p>
          <w:p w14:paraId="0CF9FD84" w14:textId="03F43235" w:rsidR="001C1657" w:rsidRPr="00146F4C" w:rsidRDefault="001C1657" w:rsidP="001C1657">
            <w:pPr>
              <w:jc w:val="left"/>
              <w:rPr>
                <w:rFonts w:ascii="Times New Roman" w:hAnsi="Times New Roman"/>
                <w:szCs w:val="22"/>
              </w:rPr>
            </w:pPr>
          </w:p>
          <w:p w14:paraId="1582EE9F" w14:textId="67186A27" w:rsidR="001C1657" w:rsidRDefault="001C1657" w:rsidP="001C1657">
            <w:pPr>
              <w:jc w:val="left"/>
            </w:pPr>
            <w:r w:rsidRPr="39A5DE2E">
              <w:rPr>
                <w:rFonts w:ascii="Times New Roman" w:hAnsi="Times New Roman"/>
                <w:highlight w:val="yellow"/>
              </w:rPr>
              <w:t>For Class I facilities only:</w:t>
            </w:r>
            <w:r w:rsidRPr="39A5DE2E">
              <w:rPr>
                <w:rFonts w:ascii="Times New Roman" w:hAnsi="Times New Roman"/>
              </w:rPr>
              <w:t xml:space="preserve"> Via electronic reporting as directed by DEQ</w:t>
            </w:r>
          </w:p>
        </w:tc>
      </w:tr>
      <w:tr w:rsidR="001C1657" w:rsidRPr="00146F4C" w14:paraId="1723AB01" w14:textId="77777777" w:rsidTr="00670AEB">
        <w:trPr>
          <w:cantSplit/>
        </w:trPr>
        <w:tc>
          <w:tcPr>
            <w:tcW w:w="1226" w:type="pct"/>
          </w:tcPr>
          <w:p w14:paraId="57887A60" w14:textId="27188233" w:rsidR="001C1657" w:rsidRPr="007A297C" w:rsidRDefault="009A4860" w:rsidP="001C1657">
            <w:pPr>
              <w:jc w:val="left"/>
              <w:rPr>
                <w:szCs w:val="22"/>
                <w:highlight w:val="yellow"/>
              </w:rPr>
            </w:pPr>
            <w:r w:rsidRPr="009A4860">
              <w:rPr>
                <w:rFonts w:ascii="Times New Roman" w:hAnsi="Times New Roman"/>
                <w:szCs w:val="22"/>
                <w:highlight w:val="yellow"/>
              </w:rPr>
              <w:t>If the second option under “Hauled Waste Control Plan” is selected in Schedule D</w:t>
            </w:r>
            <w:r>
              <w:rPr>
                <w:rFonts w:ascii="Times New Roman" w:hAnsi="Times New Roman"/>
                <w:szCs w:val="22"/>
              </w:rPr>
              <w:t>:</w:t>
            </w:r>
            <w:r w:rsidR="001C1657" w:rsidRPr="00187BD1">
              <w:rPr>
                <w:rFonts w:ascii="Times New Roman" w:hAnsi="Times New Roman"/>
                <w:szCs w:val="22"/>
              </w:rPr>
              <w:t xml:space="preserve"> Hauled Waste Control Plan (see Schedule D)</w:t>
            </w:r>
          </w:p>
        </w:tc>
        <w:tc>
          <w:tcPr>
            <w:tcW w:w="878" w:type="pct"/>
          </w:tcPr>
          <w:p w14:paraId="29CB9635" w14:textId="7F8A2A66" w:rsidR="001C1657" w:rsidRPr="007A297C" w:rsidRDefault="001C1657" w:rsidP="001C1657">
            <w:pPr>
              <w:jc w:val="left"/>
              <w:rPr>
                <w:szCs w:val="22"/>
              </w:rPr>
            </w:pPr>
            <w:r w:rsidRPr="007832EF">
              <w:rPr>
                <w:rFonts w:ascii="Times New Roman" w:hAnsi="Times New Roman"/>
                <w:szCs w:val="22"/>
              </w:rPr>
              <w:t>One time</w:t>
            </w:r>
          </w:p>
        </w:tc>
        <w:tc>
          <w:tcPr>
            <w:tcW w:w="992" w:type="pct"/>
          </w:tcPr>
          <w:p w14:paraId="024E4739" w14:textId="588CBF4C" w:rsidR="001C1657" w:rsidRPr="007A297C" w:rsidRDefault="001C1657" w:rsidP="001C1657">
            <w:pPr>
              <w:jc w:val="left"/>
              <w:rPr>
                <w:szCs w:val="22"/>
              </w:rPr>
            </w:pPr>
            <w:r w:rsidRPr="007832EF">
              <w:rPr>
                <w:rFonts w:ascii="Times New Roman" w:hAnsi="Times New Roman"/>
                <w:szCs w:val="22"/>
              </w:rPr>
              <w:t>Submit by XX/15/20XX</w:t>
            </w:r>
            <w:r w:rsidRPr="007832EF">
              <w:rPr>
                <w:rFonts w:ascii="Times New Roman" w:hAnsi="Times New Roman"/>
                <w:szCs w:val="22"/>
                <w:highlight w:val="yellow"/>
              </w:rPr>
              <w:t xml:space="preserve"> (insert date two months after </w:t>
            </w:r>
            <w:proofErr w:type="gramStart"/>
            <w:r w:rsidRPr="007832EF">
              <w:rPr>
                <w:rFonts w:ascii="Times New Roman" w:hAnsi="Times New Roman"/>
                <w:szCs w:val="22"/>
                <w:highlight w:val="yellow"/>
              </w:rPr>
              <w:t>permit</w:t>
            </w:r>
            <w:proofErr w:type="gramEnd"/>
            <w:r w:rsidRPr="007832EF">
              <w:rPr>
                <w:rFonts w:ascii="Times New Roman" w:hAnsi="Times New Roman"/>
                <w:szCs w:val="22"/>
                <w:highlight w:val="yellow"/>
              </w:rPr>
              <w:t xml:space="preserve"> effective date) </w:t>
            </w:r>
          </w:p>
        </w:tc>
        <w:tc>
          <w:tcPr>
            <w:tcW w:w="852" w:type="pct"/>
          </w:tcPr>
          <w:p w14:paraId="100F12A1" w14:textId="2AD168DD" w:rsidR="001C1657" w:rsidRPr="007A297C" w:rsidRDefault="00173A0F" w:rsidP="001C1657">
            <w:pPr>
              <w:jc w:val="left"/>
              <w:rPr>
                <w:szCs w:val="22"/>
              </w:rPr>
            </w:pPr>
            <w:r w:rsidRPr="009530F5">
              <w:rPr>
                <w:rFonts w:ascii="Times New Roman" w:hAnsi="Times New Roman"/>
                <w:szCs w:val="22"/>
              </w:rPr>
              <w:t>Report</w:t>
            </w:r>
          </w:p>
        </w:tc>
        <w:tc>
          <w:tcPr>
            <w:tcW w:w="1052" w:type="pct"/>
          </w:tcPr>
          <w:p w14:paraId="372F9B34" w14:textId="77777777" w:rsidR="005F6A04" w:rsidRPr="005F6A04" w:rsidRDefault="005F6A04" w:rsidP="005F6A04">
            <w:pPr>
              <w:jc w:val="left"/>
              <w:rPr>
                <w:rFonts w:ascii="Times New Roman" w:hAnsi="Times New Roman"/>
                <w:szCs w:val="22"/>
                <w:lang w:val="en-CA"/>
              </w:rPr>
            </w:pPr>
            <w:r w:rsidRPr="005F6A04">
              <w:rPr>
                <w:rFonts w:ascii="Times New Roman" w:hAnsi="Times New Roman"/>
                <w:szCs w:val="22"/>
                <w:lang w:val="en-CA"/>
              </w:rPr>
              <w:t>Electronic</w:t>
            </w:r>
            <w:r w:rsidR="001C1657" w:rsidRPr="005F6A04">
              <w:rPr>
                <w:rFonts w:ascii="Times New Roman" w:hAnsi="Times New Roman"/>
                <w:szCs w:val="22"/>
                <w:lang w:val="en-CA"/>
              </w:rPr>
              <w:t xml:space="preserve"> reporting as directed by DEQ</w:t>
            </w:r>
            <w:r w:rsidR="001C1657" w:rsidRPr="005F6A04" w:rsidDel="00590466">
              <w:rPr>
                <w:rFonts w:ascii="Times New Roman" w:hAnsi="Times New Roman"/>
                <w:szCs w:val="22"/>
                <w:lang w:val="en-CA"/>
              </w:rPr>
              <w:t xml:space="preserve"> </w:t>
            </w:r>
          </w:p>
          <w:p w14:paraId="2D4A5174" w14:textId="621368F0" w:rsidR="001C1657" w:rsidRDefault="001C1657" w:rsidP="006546C9">
            <w:pPr>
              <w:jc w:val="left"/>
              <w:rPr>
                <w:szCs w:val="22"/>
              </w:rPr>
            </w:pPr>
          </w:p>
        </w:tc>
      </w:tr>
      <w:tr w:rsidR="001C1657" w:rsidRPr="00146F4C" w14:paraId="5EBF486E" w14:textId="77777777" w:rsidTr="00670AEB">
        <w:trPr>
          <w:cantSplit/>
        </w:trPr>
        <w:tc>
          <w:tcPr>
            <w:tcW w:w="1226" w:type="pct"/>
          </w:tcPr>
          <w:p w14:paraId="00EF7EE2" w14:textId="3EF8900D" w:rsidR="001C1657" w:rsidRPr="00A33FFB" w:rsidRDefault="001C1657" w:rsidP="001C1657">
            <w:pPr>
              <w:jc w:val="left"/>
              <w:rPr>
                <w:rFonts w:ascii="Times New Roman" w:hAnsi="Times New Roman"/>
                <w:szCs w:val="22"/>
              </w:rPr>
            </w:pPr>
            <w:r w:rsidRPr="00A33FFB">
              <w:rPr>
                <w:rFonts w:ascii="Times New Roman" w:hAnsi="Times New Roman"/>
                <w:szCs w:val="22"/>
                <w:highlight w:val="yellow"/>
              </w:rPr>
              <w:t xml:space="preserve">Include if </w:t>
            </w:r>
            <w:r w:rsidR="00BC7BC7">
              <w:rPr>
                <w:rFonts w:ascii="Times New Roman" w:hAnsi="Times New Roman"/>
                <w:szCs w:val="22"/>
                <w:highlight w:val="yellow"/>
              </w:rPr>
              <w:t>required in schedule D</w:t>
            </w:r>
          </w:p>
          <w:p w14:paraId="2699EC54" w14:textId="55114195" w:rsidR="001C1657" w:rsidRPr="007A297C" w:rsidRDefault="001C1657" w:rsidP="001C1657">
            <w:pPr>
              <w:jc w:val="left"/>
              <w:rPr>
                <w:szCs w:val="22"/>
                <w:highlight w:val="yellow"/>
              </w:rPr>
            </w:pPr>
            <w:r w:rsidRPr="00A33FFB">
              <w:rPr>
                <w:rFonts w:ascii="Times New Roman" w:hAnsi="Times New Roman"/>
                <w:szCs w:val="22"/>
              </w:rPr>
              <w:t xml:space="preserve">Hauled Waste </w:t>
            </w:r>
            <w:r>
              <w:rPr>
                <w:rFonts w:ascii="Times New Roman" w:hAnsi="Times New Roman"/>
                <w:szCs w:val="22"/>
              </w:rPr>
              <w:t>Annual Report</w:t>
            </w:r>
            <w:r w:rsidRPr="00A33FFB">
              <w:rPr>
                <w:rFonts w:ascii="Times New Roman" w:hAnsi="Times New Roman"/>
                <w:szCs w:val="22"/>
              </w:rPr>
              <w:t xml:space="preserve"> (see Schedule D)</w:t>
            </w:r>
            <w:r w:rsidR="00BC7BC7">
              <w:rPr>
                <w:rFonts w:ascii="Times New Roman" w:hAnsi="Times New Roman"/>
                <w:szCs w:val="22"/>
              </w:rPr>
              <w:t xml:space="preserve"> - </w:t>
            </w:r>
            <w:r w:rsidR="00BC7BC7" w:rsidRPr="00BC7BC7">
              <w:rPr>
                <w:rFonts w:ascii="Times New Roman" w:hAnsi="Times New Roman"/>
                <w:szCs w:val="22"/>
              </w:rPr>
              <w:t>Only required if facility has a Hauled Waste Control Plan, or otherwise accepts hauled waste.</w:t>
            </w:r>
          </w:p>
        </w:tc>
        <w:tc>
          <w:tcPr>
            <w:tcW w:w="878" w:type="pct"/>
          </w:tcPr>
          <w:p w14:paraId="7A0C181F" w14:textId="4D64DFA4" w:rsidR="001C1657" w:rsidRPr="007A297C" w:rsidRDefault="001C1657" w:rsidP="001C1657">
            <w:pPr>
              <w:jc w:val="left"/>
              <w:rPr>
                <w:szCs w:val="22"/>
              </w:rPr>
            </w:pPr>
            <w:r>
              <w:rPr>
                <w:rFonts w:ascii="Times New Roman" w:hAnsi="Times New Roman"/>
                <w:szCs w:val="22"/>
              </w:rPr>
              <w:t>Annually</w:t>
            </w:r>
          </w:p>
        </w:tc>
        <w:tc>
          <w:tcPr>
            <w:tcW w:w="992" w:type="pct"/>
          </w:tcPr>
          <w:p w14:paraId="3D065F27" w14:textId="11A4388A" w:rsidR="001C1657" w:rsidRPr="007A297C" w:rsidRDefault="001C1657" w:rsidP="001C1657">
            <w:pPr>
              <w:jc w:val="left"/>
              <w:rPr>
                <w:szCs w:val="22"/>
              </w:rPr>
            </w:pPr>
            <w:r>
              <w:rPr>
                <w:rFonts w:ascii="Times New Roman" w:hAnsi="Times New Roman"/>
                <w:szCs w:val="22"/>
              </w:rPr>
              <w:t>January 15</w:t>
            </w:r>
          </w:p>
        </w:tc>
        <w:tc>
          <w:tcPr>
            <w:tcW w:w="852" w:type="pct"/>
          </w:tcPr>
          <w:p w14:paraId="387D1D08" w14:textId="6EBE5A02" w:rsidR="001C1657" w:rsidRPr="007A297C" w:rsidRDefault="00173A0F" w:rsidP="001C1657">
            <w:pPr>
              <w:jc w:val="left"/>
              <w:rPr>
                <w:szCs w:val="22"/>
              </w:rPr>
            </w:pPr>
            <w:r w:rsidRPr="009530F5">
              <w:rPr>
                <w:rFonts w:ascii="Times New Roman" w:hAnsi="Times New Roman"/>
                <w:szCs w:val="22"/>
              </w:rPr>
              <w:t>Report</w:t>
            </w:r>
          </w:p>
        </w:tc>
        <w:tc>
          <w:tcPr>
            <w:tcW w:w="1052" w:type="pct"/>
          </w:tcPr>
          <w:p w14:paraId="29BEAAD0" w14:textId="77777777" w:rsidR="005F6A04" w:rsidRPr="005F6A04" w:rsidRDefault="005F6A04" w:rsidP="005F6A04">
            <w:pPr>
              <w:jc w:val="left"/>
              <w:rPr>
                <w:rFonts w:ascii="Times New Roman" w:hAnsi="Times New Roman"/>
                <w:szCs w:val="22"/>
                <w:lang w:val="en-CA"/>
              </w:rPr>
            </w:pPr>
            <w:r w:rsidRPr="005F6A04">
              <w:rPr>
                <w:rFonts w:ascii="Times New Roman" w:hAnsi="Times New Roman"/>
                <w:szCs w:val="22"/>
                <w:lang w:val="en-CA"/>
              </w:rPr>
              <w:t>Electronic</w:t>
            </w:r>
            <w:r w:rsidR="001C1657" w:rsidRPr="005F6A04">
              <w:rPr>
                <w:rFonts w:ascii="Times New Roman" w:hAnsi="Times New Roman"/>
                <w:szCs w:val="22"/>
                <w:lang w:val="en-CA"/>
              </w:rPr>
              <w:t xml:space="preserve"> reporting as directed by DEQ</w:t>
            </w:r>
            <w:r w:rsidR="001C1657" w:rsidRPr="005F6A04" w:rsidDel="00590466">
              <w:rPr>
                <w:rFonts w:ascii="Times New Roman" w:hAnsi="Times New Roman"/>
                <w:szCs w:val="22"/>
                <w:lang w:val="en-CA"/>
              </w:rPr>
              <w:t xml:space="preserve"> </w:t>
            </w:r>
          </w:p>
          <w:p w14:paraId="32CF88C9" w14:textId="4AAC8E2C" w:rsidR="001C1657" w:rsidRDefault="001C1657" w:rsidP="006546C9">
            <w:pPr>
              <w:jc w:val="left"/>
              <w:rPr>
                <w:szCs w:val="22"/>
              </w:rPr>
            </w:pPr>
          </w:p>
        </w:tc>
      </w:tr>
      <w:tr w:rsidR="001C1657" w:rsidRPr="00146F4C" w14:paraId="356996DC" w14:textId="77777777" w:rsidTr="00670AEB">
        <w:trPr>
          <w:cantSplit/>
        </w:trPr>
        <w:tc>
          <w:tcPr>
            <w:tcW w:w="1226" w:type="pct"/>
          </w:tcPr>
          <w:p w14:paraId="609ACC5A" w14:textId="03F7747F" w:rsidR="001C1657" w:rsidRPr="007A297C" w:rsidRDefault="001C1657" w:rsidP="001C1657">
            <w:pPr>
              <w:jc w:val="left"/>
              <w:rPr>
                <w:rFonts w:ascii="Times New Roman" w:hAnsi="Times New Roman"/>
                <w:szCs w:val="22"/>
                <w:highlight w:val="yellow"/>
              </w:rPr>
            </w:pPr>
            <w:r w:rsidRPr="007A297C">
              <w:rPr>
                <w:rFonts w:ascii="Times New Roman" w:hAnsi="Times New Roman"/>
                <w:szCs w:val="22"/>
                <w:highlight w:val="yellow"/>
              </w:rPr>
              <w:t>If required in Schedule D:</w:t>
            </w:r>
          </w:p>
          <w:p w14:paraId="184787BD" w14:textId="434F34D9" w:rsidR="001C1657" w:rsidRDefault="001C1657" w:rsidP="001C1657">
            <w:pPr>
              <w:jc w:val="left"/>
              <w:rPr>
                <w:szCs w:val="22"/>
                <w:highlight w:val="yellow"/>
              </w:rPr>
            </w:pPr>
            <w:r w:rsidRPr="007A297C">
              <w:rPr>
                <w:rFonts w:ascii="Times New Roman" w:hAnsi="Times New Roman"/>
                <w:szCs w:val="22"/>
              </w:rPr>
              <w:t>Sludge Depth Survey Report</w:t>
            </w:r>
            <w:r>
              <w:rPr>
                <w:rFonts w:ascii="Times New Roman" w:hAnsi="Times New Roman"/>
                <w:szCs w:val="22"/>
              </w:rPr>
              <w:t xml:space="preserve"> (See Schedule D – Lagoon Solids)</w:t>
            </w:r>
          </w:p>
        </w:tc>
        <w:tc>
          <w:tcPr>
            <w:tcW w:w="878" w:type="pct"/>
          </w:tcPr>
          <w:p w14:paraId="0B2F1FAD" w14:textId="56FABED1" w:rsidR="001C1657" w:rsidRPr="007A297C" w:rsidRDefault="001C1657" w:rsidP="001C1657">
            <w:pPr>
              <w:jc w:val="left"/>
              <w:rPr>
                <w:rFonts w:ascii="Times New Roman" w:hAnsi="Times New Roman"/>
                <w:szCs w:val="22"/>
              </w:rPr>
            </w:pPr>
            <w:r w:rsidRPr="007A297C">
              <w:rPr>
                <w:rFonts w:ascii="Times New Roman" w:hAnsi="Times New Roman"/>
                <w:szCs w:val="22"/>
              </w:rPr>
              <w:t>One Time</w:t>
            </w:r>
          </w:p>
        </w:tc>
        <w:tc>
          <w:tcPr>
            <w:tcW w:w="992" w:type="pct"/>
          </w:tcPr>
          <w:p w14:paraId="29DEE44D" w14:textId="41BBCCE5" w:rsidR="001C1657" w:rsidRPr="007A297C" w:rsidRDefault="001C1657" w:rsidP="001C1657">
            <w:pPr>
              <w:jc w:val="left"/>
              <w:rPr>
                <w:rFonts w:ascii="Times New Roman" w:hAnsi="Times New Roman"/>
                <w:szCs w:val="22"/>
              </w:rPr>
            </w:pPr>
            <w:r w:rsidRPr="007A297C">
              <w:rPr>
                <w:rFonts w:ascii="Times New Roman" w:hAnsi="Times New Roman"/>
                <w:szCs w:val="22"/>
              </w:rPr>
              <w:t xml:space="preserve">Submit by XX/15/20XX </w:t>
            </w:r>
            <w:r w:rsidRPr="007A297C">
              <w:rPr>
                <w:rFonts w:ascii="Times New Roman" w:hAnsi="Times New Roman"/>
                <w:szCs w:val="22"/>
                <w:highlight w:val="yellow"/>
              </w:rPr>
              <w:t xml:space="preserve">(the 15th of the month following 24 months after </w:t>
            </w:r>
            <w:proofErr w:type="gramStart"/>
            <w:r w:rsidRPr="007A297C">
              <w:rPr>
                <w:rFonts w:ascii="Times New Roman" w:hAnsi="Times New Roman"/>
                <w:szCs w:val="22"/>
                <w:highlight w:val="yellow"/>
              </w:rPr>
              <w:t>permit</w:t>
            </w:r>
            <w:proofErr w:type="gramEnd"/>
            <w:r w:rsidRPr="007A297C">
              <w:rPr>
                <w:rFonts w:ascii="Times New Roman" w:hAnsi="Times New Roman"/>
                <w:szCs w:val="22"/>
                <w:highlight w:val="yellow"/>
              </w:rPr>
              <w:t xml:space="preserve"> effective date.)</w:t>
            </w:r>
          </w:p>
        </w:tc>
        <w:tc>
          <w:tcPr>
            <w:tcW w:w="852" w:type="pct"/>
          </w:tcPr>
          <w:p w14:paraId="66E91724" w14:textId="2EBD2722" w:rsidR="001C1657" w:rsidRPr="007A297C" w:rsidRDefault="00173A0F" w:rsidP="001C1657">
            <w:pPr>
              <w:jc w:val="left"/>
              <w:rPr>
                <w:rFonts w:ascii="Times New Roman" w:hAnsi="Times New Roman"/>
                <w:szCs w:val="22"/>
              </w:rPr>
            </w:pPr>
            <w:r w:rsidRPr="009530F5">
              <w:rPr>
                <w:rFonts w:ascii="Times New Roman" w:hAnsi="Times New Roman"/>
                <w:szCs w:val="22"/>
              </w:rPr>
              <w:t>Report</w:t>
            </w:r>
          </w:p>
        </w:tc>
        <w:tc>
          <w:tcPr>
            <w:tcW w:w="1052" w:type="pct"/>
          </w:tcPr>
          <w:p w14:paraId="64C32868" w14:textId="77777777" w:rsidR="002F7445" w:rsidRPr="002F7445" w:rsidRDefault="002F7445" w:rsidP="002F7445">
            <w:pPr>
              <w:jc w:val="left"/>
              <w:rPr>
                <w:rFonts w:ascii="Times New Roman" w:hAnsi="Times New Roman"/>
                <w:szCs w:val="22"/>
                <w:lang w:val="en-CA"/>
              </w:rPr>
            </w:pPr>
            <w:r w:rsidRPr="002F7445">
              <w:rPr>
                <w:rFonts w:ascii="Times New Roman" w:hAnsi="Times New Roman"/>
                <w:szCs w:val="22"/>
                <w:lang w:val="en-CA"/>
              </w:rPr>
              <w:t>Electronic</w:t>
            </w:r>
            <w:r w:rsidR="001C1657" w:rsidRPr="002F7445">
              <w:rPr>
                <w:rFonts w:ascii="Times New Roman" w:hAnsi="Times New Roman"/>
                <w:szCs w:val="22"/>
                <w:lang w:val="en-CA"/>
              </w:rPr>
              <w:t xml:space="preserve"> reporting as directed by DEQ</w:t>
            </w:r>
            <w:r w:rsidR="001C1657" w:rsidRPr="002F7445" w:rsidDel="00590466">
              <w:rPr>
                <w:rFonts w:ascii="Times New Roman" w:hAnsi="Times New Roman"/>
                <w:szCs w:val="22"/>
                <w:lang w:val="en-CA"/>
              </w:rPr>
              <w:t xml:space="preserve"> </w:t>
            </w:r>
          </w:p>
          <w:p w14:paraId="1729B0A0" w14:textId="7A659261" w:rsidR="001C1657" w:rsidRPr="007A297C" w:rsidRDefault="001C1657" w:rsidP="006546C9">
            <w:pPr>
              <w:jc w:val="left"/>
              <w:rPr>
                <w:rFonts w:ascii="Times New Roman" w:hAnsi="Times New Roman"/>
                <w:szCs w:val="22"/>
              </w:rPr>
            </w:pPr>
          </w:p>
        </w:tc>
      </w:tr>
      <w:tr w:rsidR="001C1657" w:rsidRPr="007832EF" w14:paraId="442E15A1" w14:textId="77777777" w:rsidTr="00670AEB">
        <w:trPr>
          <w:cantSplit/>
          <w:trHeight w:val="1601"/>
        </w:trPr>
        <w:tc>
          <w:tcPr>
            <w:tcW w:w="1226" w:type="pct"/>
          </w:tcPr>
          <w:p w14:paraId="26F0529B" w14:textId="322C465A" w:rsidR="001C1657" w:rsidRPr="00187BD1" w:rsidRDefault="001C1657" w:rsidP="001C1657">
            <w:pPr>
              <w:jc w:val="left"/>
              <w:rPr>
                <w:rFonts w:ascii="Times New Roman" w:hAnsi="Times New Roman"/>
                <w:szCs w:val="22"/>
              </w:rPr>
            </w:pPr>
            <w:r w:rsidRPr="00187BD1">
              <w:rPr>
                <w:rFonts w:ascii="Times New Roman" w:hAnsi="Times New Roman"/>
                <w:szCs w:val="22"/>
                <w:highlight w:val="yellow"/>
              </w:rPr>
              <w:t xml:space="preserve">If required in </w:t>
            </w:r>
            <w:r w:rsidRPr="00187BD1">
              <w:rPr>
                <w:rStyle w:val="Hyperlink"/>
                <w:color w:val="auto"/>
                <w:szCs w:val="22"/>
                <w:highlight w:val="yellow"/>
              </w:rPr>
              <w:t>Schedule D</w:t>
            </w:r>
            <w:r w:rsidRPr="00187BD1">
              <w:rPr>
                <w:rFonts w:ascii="Times New Roman" w:hAnsi="Times New Roman"/>
                <w:szCs w:val="22"/>
              </w:rPr>
              <w:t>:</w:t>
            </w:r>
          </w:p>
          <w:p w14:paraId="6C9DCF02" w14:textId="17A6F651" w:rsidR="001C1657" w:rsidRPr="00187BD1" w:rsidRDefault="001C1657" w:rsidP="001C1657">
            <w:pPr>
              <w:jc w:val="left"/>
              <w:rPr>
                <w:rFonts w:ascii="Times New Roman" w:hAnsi="Times New Roman"/>
                <w:szCs w:val="22"/>
              </w:rPr>
            </w:pPr>
            <w:r w:rsidRPr="00187BD1">
              <w:rPr>
                <w:rFonts w:ascii="Times New Roman" w:hAnsi="Times New Roman"/>
                <w:szCs w:val="22"/>
              </w:rPr>
              <w:t>Industrial User Survey (see Schedule D)</w:t>
            </w:r>
          </w:p>
        </w:tc>
        <w:tc>
          <w:tcPr>
            <w:tcW w:w="878" w:type="pct"/>
          </w:tcPr>
          <w:p w14:paraId="7D1B8399" w14:textId="387E1623" w:rsidR="001C1657" w:rsidRPr="007832EF" w:rsidRDefault="00EA36F3" w:rsidP="001C1657">
            <w:pPr>
              <w:jc w:val="left"/>
              <w:rPr>
                <w:rFonts w:ascii="Times New Roman" w:hAnsi="Times New Roman"/>
                <w:szCs w:val="22"/>
              </w:rPr>
            </w:pPr>
            <w:r w:rsidRPr="007832EF">
              <w:rPr>
                <w:rFonts w:ascii="Times New Roman" w:hAnsi="Times New Roman"/>
                <w:szCs w:val="22"/>
              </w:rPr>
              <w:t>Once per permit cycle</w:t>
            </w:r>
          </w:p>
        </w:tc>
        <w:tc>
          <w:tcPr>
            <w:tcW w:w="992" w:type="pct"/>
          </w:tcPr>
          <w:p w14:paraId="11EAF976" w14:textId="2D6E40EE" w:rsidR="001C1657" w:rsidRDefault="001C1657" w:rsidP="001C1657">
            <w:pPr>
              <w:jc w:val="left"/>
              <w:rPr>
                <w:rFonts w:ascii="Times New Roman" w:hAnsi="Times New Roman"/>
                <w:szCs w:val="22"/>
              </w:rPr>
            </w:pPr>
            <w:r>
              <w:rPr>
                <w:rFonts w:ascii="Times New Roman" w:hAnsi="Times New Roman"/>
                <w:szCs w:val="22"/>
              </w:rPr>
              <w:t xml:space="preserve">Submit by no later than 24 months after </w:t>
            </w:r>
            <w:proofErr w:type="gramStart"/>
            <w:r>
              <w:rPr>
                <w:rFonts w:ascii="Times New Roman" w:hAnsi="Times New Roman"/>
                <w:szCs w:val="22"/>
              </w:rPr>
              <w:t>permit</w:t>
            </w:r>
            <w:proofErr w:type="gramEnd"/>
            <w:r>
              <w:rPr>
                <w:rFonts w:ascii="Times New Roman" w:hAnsi="Times New Roman"/>
                <w:szCs w:val="22"/>
              </w:rPr>
              <w:t xml:space="preserve"> effective date </w:t>
            </w:r>
          </w:p>
          <w:p w14:paraId="4C1024F9" w14:textId="56693C47" w:rsidR="001C1657" w:rsidRPr="007832EF" w:rsidRDefault="001C1657" w:rsidP="001C1657">
            <w:pPr>
              <w:jc w:val="left"/>
              <w:rPr>
                <w:rFonts w:ascii="Times New Roman" w:hAnsi="Times New Roman"/>
                <w:szCs w:val="22"/>
              </w:rPr>
            </w:pPr>
          </w:p>
        </w:tc>
        <w:tc>
          <w:tcPr>
            <w:tcW w:w="852" w:type="pct"/>
          </w:tcPr>
          <w:p w14:paraId="22674B09" w14:textId="543F1A1D" w:rsidR="001C1657" w:rsidRPr="007832EF" w:rsidRDefault="00173A0F" w:rsidP="001C1657">
            <w:pPr>
              <w:jc w:val="left"/>
              <w:rPr>
                <w:rFonts w:ascii="Times New Roman" w:hAnsi="Times New Roman"/>
                <w:szCs w:val="22"/>
              </w:rPr>
            </w:pPr>
            <w:r w:rsidRPr="009530F5">
              <w:rPr>
                <w:rFonts w:ascii="Times New Roman" w:hAnsi="Times New Roman"/>
                <w:szCs w:val="22"/>
              </w:rPr>
              <w:t>Report</w:t>
            </w:r>
          </w:p>
        </w:tc>
        <w:tc>
          <w:tcPr>
            <w:tcW w:w="1052" w:type="pct"/>
          </w:tcPr>
          <w:p w14:paraId="42927DA0" w14:textId="77777777" w:rsidR="002F7445" w:rsidRPr="002F7445" w:rsidRDefault="002F7445" w:rsidP="002F7445">
            <w:pPr>
              <w:jc w:val="left"/>
              <w:rPr>
                <w:rFonts w:ascii="Times New Roman" w:hAnsi="Times New Roman"/>
                <w:lang w:val="en-CA"/>
              </w:rPr>
            </w:pPr>
            <w:r w:rsidRPr="002F7445">
              <w:rPr>
                <w:rFonts w:ascii="Times New Roman" w:hAnsi="Times New Roman"/>
                <w:lang w:val="en-CA"/>
              </w:rPr>
              <w:t>Electronic</w:t>
            </w:r>
            <w:r w:rsidR="00596A50" w:rsidRPr="002F7445">
              <w:rPr>
                <w:rFonts w:ascii="Times New Roman" w:hAnsi="Times New Roman"/>
                <w:lang w:val="en-CA"/>
              </w:rPr>
              <w:t xml:space="preserve"> reporting as directed by DEQ</w:t>
            </w:r>
            <w:r w:rsidRPr="002F7445" w:rsidDel="00590466">
              <w:rPr>
                <w:rFonts w:ascii="Times New Roman" w:hAnsi="Times New Roman"/>
                <w:lang w:val="en-CA"/>
              </w:rPr>
              <w:t xml:space="preserve"> </w:t>
            </w:r>
          </w:p>
          <w:p w14:paraId="4358E3F5" w14:textId="33AD943F" w:rsidR="001C1657" w:rsidRPr="00AF0DDF" w:rsidRDefault="001C1657" w:rsidP="00AF0DDF">
            <w:pPr>
              <w:jc w:val="left"/>
              <w:rPr>
                <w:rFonts w:ascii="Times New Roman" w:hAnsi="Times New Roman"/>
              </w:rPr>
            </w:pPr>
          </w:p>
        </w:tc>
      </w:tr>
      <w:tr w:rsidR="001C1657" w:rsidRPr="007832EF" w14:paraId="0A792BB6" w14:textId="77777777" w:rsidTr="00670AEB">
        <w:trPr>
          <w:cantSplit/>
        </w:trPr>
        <w:tc>
          <w:tcPr>
            <w:tcW w:w="1226" w:type="pct"/>
          </w:tcPr>
          <w:p w14:paraId="3700A358" w14:textId="5BC0D857" w:rsidR="001C1657" w:rsidRPr="007832EF" w:rsidRDefault="001C1657" w:rsidP="001C1657">
            <w:pPr>
              <w:jc w:val="left"/>
              <w:rPr>
                <w:rFonts w:ascii="Times New Roman" w:hAnsi="Times New Roman"/>
                <w:szCs w:val="22"/>
                <w:highlight w:val="yellow"/>
              </w:rPr>
            </w:pPr>
            <w:r w:rsidRPr="007832EF">
              <w:rPr>
                <w:rFonts w:ascii="Times New Roman" w:hAnsi="Times New Roman"/>
                <w:szCs w:val="22"/>
                <w:highlight w:val="yellow"/>
              </w:rPr>
              <w:t xml:space="preserve">If required in Schedule </w:t>
            </w:r>
            <w:r>
              <w:rPr>
                <w:rFonts w:ascii="Times New Roman" w:hAnsi="Times New Roman"/>
                <w:szCs w:val="22"/>
                <w:highlight w:val="yellow"/>
              </w:rPr>
              <w:t>D</w:t>
            </w:r>
            <w:r w:rsidRPr="007832EF">
              <w:rPr>
                <w:rFonts w:ascii="Times New Roman" w:hAnsi="Times New Roman"/>
                <w:szCs w:val="22"/>
                <w:highlight w:val="yellow"/>
              </w:rPr>
              <w:t>:</w:t>
            </w:r>
          </w:p>
          <w:p w14:paraId="2E87495A" w14:textId="194C136B" w:rsidR="001C1657" w:rsidRPr="007832EF" w:rsidRDefault="001C1657" w:rsidP="001C1657">
            <w:pPr>
              <w:jc w:val="left"/>
              <w:rPr>
                <w:rFonts w:ascii="Times New Roman" w:hAnsi="Times New Roman"/>
                <w:szCs w:val="22"/>
              </w:rPr>
            </w:pPr>
            <w:r w:rsidRPr="007832EF">
              <w:rPr>
                <w:rFonts w:ascii="Times New Roman" w:hAnsi="Times New Roman"/>
                <w:szCs w:val="22"/>
              </w:rPr>
              <w:t>Outfall Inspection Report</w:t>
            </w:r>
          </w:p>
          <w:p w14:paraId="1715C821" w14:textId="103855E7" w:rsidR="001C1657" w:rsidRPr="007832EF" w:rsidRDefault="001C1657" w:rsidP="001C1657">
            <w:pPr>
              <w:jc w:val="left"/>
              <w:rPr>
                <w:rFonts w:ascii="Times New Roman" w:hAnsi="Times New Roman"/>
                <w:szCs w:val="22"/>
              </w:rPr>
            </w:pPr>
            <w:r>
              <w:rPr>
                <w:rFonts w:ascii="Times New Roman" w:hAnsi="Times New Roman"/>
                <w:szCs w:val="22"/>
              </w:rPr>
              <w:t>(see Schedule D</w:t>
            </w:r>
            <w:r w:rsidRPr="007832EF">
              <w:rPr>
                <w:rFonts w:ascii="Times New Roman" w:hAnsi="Times New Roman"/>
                <w:szCs w:val="22"/>
              </w:rPr>
              <w:t>)</w:t>
            </w:r>
          </w:p>
        </w:tc>
        <w:tc>
          <w:tcPr>
            <w:tcW w:w="878" w:type="pct"/>
          </w:tcPr>
          <w:p w14:paraId="39AB69F0" w14:textId="39D1DBE7" w:rsidR="001C1657" w:rsidRPr="007832EF" w:rsidRDefault="001C1657" w:rsidP="001C1657">
            <w:pPr>
              <w:jc w:val="left"/>
              <w:rPr>
                <w:rFonts w:ascii="Times New Roman" w:hAnsi="Times New Roman"/>
                <w:szCs w:val="22"/>
                <w:highlight w:val="yellow"/>
              </w:rPr>
            </w:pPr>
            <w:r w:rsidRPr="007832EF">
              <w:rPr>
                <w:rFonts w:ascii="Times New Roman" w:hAnsi="Times New Roman"/>
                <w:szCs w:val="22"/>
              </w:rPr>
              <w:t>Once per permit cycle</w:t>
            </w:r>
          </w:p>
        </w:tc>
        <w:tc>
          <w:tcPr>
            <w:tcW w:w="992" w:type="pct"/>
          </w:tcPr>
          <w:p w14:paraId="143455D7" w14:textId="01C7F85A" w:rsidR="001C1657" w:rsidRDefault="001C1657" w:rsidP="001C1657">
            <w:pPr>
              <w:jc w:val="left"/>
              <w:rPr>
                <w:rFonts w:ascii="Times New Roman" w:hAnsi="Times New Roman"/>
                <w:szCs w:val="22"/>
              </w:rPr>
            </w:pPr>
            <w:r w:rsidRPr="007832EF">
              <w:rPr>
                <w:rFonts w:ascii="Times New Roman" w:hAnsi="Times New Roman"/>
                <w:szCs w:val="22"/>
              </w:rPr>
              <w:t>Submit by XX/15/20XX</w:t>
            </w:r>
          </w:p>
          <w:p w14:paraId="000BEEC3" w14:textId="69D7370E" w:rsidR="001C1657" w:rsidRPr="007832EF" w:rsidRDefault="001C1657" w:rsidP="001C1657">
            <w:pPr>
              <w:jc w:val="left"/>
              <w:rPr>
                <w:rFonts w:ascii="Times New Roman" w:hAnsi="Times New Roman"/>
                <w:szCs w:val="22"/>
              </w:rPr>
            </w:pPr>
            <w:r w:rsidRPr="00705849">
              <w:rPr>
                <w:rFonts w:ascii="Times New Roman" w:hAnsi="Times New Roman"/>
                <w:szCs w:val="22"/>
                <w:highlight w:val="yellow"/>
              </w:rPr>
              <w:t>In the 3</w:t>
            </w:r>
            <w:r w:rsidRPr="00705849">
              <w:rPr>
                <w:rFonts w:ascii="Times New Roman" w:hAnsi="Times New Roman"/>
                <w:szCs w:val="22"/>
                <w:highlight w:val="yellow"/>
                <w:vertAlign w:val="superscript"/>
              </w:rPr>
              <w:t>rd</w:t>
            </w:r>
            <w:r w:rsidRPr="00705849">
              <w:rPr>
                <w:rFonts w:ascii="Times New Roman" w:hAnsi="Times New Roman"/>
                <w:szCs w:val="22"/>
                <w:highlight w:val="yellow"/>
              </w:rPr>
              <w:t xml:space="preserve"> year of the permit</w:t>
            </w:r>
            <w:r>
              <w:rPr>
                <w:rFonts w:ascii="Times New Roman" w:hAnsi="Times New Roman"/>
                <w:szCs w:val="22"/>
              </w:rPr>
              <w:t>.</w:t>
            </w:r>
          </w:p>
        </w:tc>
        <w:tc>
          <w:tcPr>
            <w:tcW w:w="852" w:type="pct"/>
          </w:tcPr>
          <w:p w14:paraId="64D368C2" w14:textId="3790D952" w:rsidR="001C1657" w:rsidRPr="007832EF" w:rsidRDefault="00173A0F" w:rsidP="001C1657">
            <w:pPr>
              <w:jc w:val="left"/>
              <w:rPr>
                <w:rFonts w:ascii="Times New Roman" w:hAnsi="Times New Roman"/>
                <w:szCs w:val="22"/>
              </w:rPr>
            </w:pPr>
            <w:r w:rsidRPr="009530F5">
              <w:rPr>
                <w:rFonts w:ascii="Times New Roman" w:hAnsi="Times New Roman"/>
                <w:szCs w:val="22"/>
              </w:rPr>
              <w:t>Report</w:t>
            </w:r>
          </w:p>
        </w:tc>
        <w:tc>
          <w:tcPr>
            <w:tcW w:w="1052" w:type="pct"/>
          </w:tcPr>
          <w:p w14:paraId="0BAD1DA6" w14:textId="77777777" w:rsidR="002F7445" w:rsidRPr="002F7445" w:rsidRDefault="002F7445" w:rsidP="002F7445">
            <w:pPr>
              <w:jc w:val="left"/>
              <w:rPr>
                <w:rFonts w:ascii="Times New Roman" w:hAnsi="Times New Roman"/>
                <w:szCs w:val="22"/>
                <w:lang w:val="en-CA"/>
              </w:rPr>
            </w:pPr>
            <w:r w:rsidRPr="002F7445">
              <w:rPr>
                <w:rFonts w:ascii="Times New Roman" w:hAnsi="Times New Roman"/>
                <w:szCs w:val="22"/>
                <w:lang w:val="en-CA"/>
              </w:rPr>
              <w:t>Electronic</w:t>
            </w:r>
            <w:r w:rsidR="001C1657" w:rsidRPr="002F7445">
              <w:rPr>
                <w:rFonts w:ascii="Times New Roman" w:hAnsi="Times New Roman"/>
                <w:szCs w:val="22"/>
                <w:lang w:val="en-CA"/>
              </w:rPr>
              <w:t xml:space="preserve"> reporting as directed by DEQ</w:t>
            </w:r>
            <w:r w:rsidR="001C1657" w:rsidRPr="002F7445" w:rsidDel="00590466">
              <w:rPr>
                <w:rFonts w:ascii="Times New Roman" w:hAnsi="Times New Roman"/>
                <w:szCs w:val="22"/>
                <w:lang w:val="en-CA"/>
              </w:rPr>
              <w:t xml:space="preserve"> </w:t>
            </w:r>
          </w:p>
          <w:p w14:paraId="1D66C3FB" w14:textId="0A1E4B63" w:rsidR="001C1657" w:rsidRPr="007832EF" w:rsidRDefault="001C1657" w:rsidP="006546C9">
            <w:pPr>
              <w:jc w:val="left"/>
              <w:rPr>
                <w:rFonts w:ascii="Times New Roman" w:hAnsi="Times New Roman"/>
                <w:szCs w:val="22"/>
              </w:rPr>
            </w:pPr>
          </w:p>
        </w:tc>
      </w:tr>
      <w:tr w:rsidR="003C6B22" w:rsidRPr="007832EF" w14:paraId="35D2E749" w14:textId="77777777" w:rsidTr="00670AEB">
        <w:trPr>
          <w:cantSplit/>
        </w:trPr>
        <w:tc>
          <w:tcPr>
            <w:tcW w:w="1226" w:type="pct"/>
          </w:tcPr>
          <w:p w14:paraId="0CD6EAAA" w14:textId="09E5EF04" w:rsidR="003C6B22" w:rsidRPr="007832EF" w:rsidRDefault="003C6B22" w:rsidP="001C1657">
            <w:pPr>
              <w:jc w:val="left"/>
              <w:rPr>
                <w:szCs w:val="22"/>
                <w:highlight w:val="yellow"/>
              </w:rPr>
            </w:pPr>
            <w:r w:rsidRPr="00BB5A9C">
              <w:rPr>
                <w:rFonts w:ascii="Times New Roman" w:hAnsi="Times New Roman"/>
                <w:szCs w:val="22"/>
              </w:rPr>
              <w:lastRenderedPageBreak/>
              <w:t>Lagoon Leak Test</w:t>
            </w:r>
          </w:p>
        </w:tc>
        <w:tc>
          <w:tcPr>
            <w:tcW w:w="878" w:type="pct"/>
          </w:tcPr>
          <w:p w14:paraId="2BF53BF9" w14:textId="2A3CA027" w:rsidR="003C6B22" w:rsidRPr="007832EF" w:rsidRDefault="003C6B22" w:rsidP="001C1657">
            <w:pPr>
              <w:jc w:val="left"/>
              <w:rPr>
                <w:szCs w:val="22"/>
              </w:rPr>
            </w:pPr>
            <w:r w:rsidRPr="00BB5A9C">
              <w:rPr>
                <w:rFonts w:ascii="Times New Roman" w:hAnsi="Times New Roman"/>
                <w:szCs w:val="22"/>
              </w:rPr>
              <w:t>Once per permit cycle</w:t>
            </w:r>
          </w:p>
        </w:tc>
        <w:tc>
          <w:tcPr>
            <w:tcW w:w="992" w:type="pct"/>
          </w:tcPr>
          <w:p w14:paraId="66EB0FCF" w14:textId="77777777" w:rsidR="00BB5A9C" w:rsidRDefault="00BB5A9C" w:rsidP="00BB5A9C">
            <w:pPr>
              <w:jc w:val="left"/>
              <w:rPr>
                <w:rFonts w:ascii="Times New Roman" w:hAnsi="Times New Roman"/>
                <w:szCs w:val="22"/>
              </w:rPr>
            </w:pPr>
            <w:r w:rsidRPr="007832EF">
              <w:rPr>
                <w:rFonts w:ascii="Times New Roman" w:hAnsi="Times New Roman"/>
                <w:szCs w:val="22"/>
              </w:rPr>
              <w:t>Submit by XX/15/20XX</w:t>
            </w:r>
          </w:p>
          <w:p w14:paraId="7927286D" w14:textId="03F48531" w:rsidR="00F64F89" w:rsidRDefault="00F64F89" w:rsidP="00BB5A9C">
            <w:pPr>
              <w:jc w:val="left"/>
              <w:rPr>
                <w:rFonts w:ascii="Times New Roman" w:hAnsi="Times New Roman"/>
                <w:szCs w:val="22"/>
              </w:rPr>
            </w:pPr>
            <w:r>
              <w:rPr>
                <w:rFonts w:ascii="Times New Roman" w:hAnsi="Times New Roman"/>
                <w:szCs w:val="22"/>
              </w:rPr>
              <w:t xml:space="preserve">(see schedule D) In the </w:t>
            </w:r>
            <w:r w:rsidR="00C91278">
              <w:rPr>
                <w:rFonts w:ascii="Times New Roman" w:hAnsi="Times New Roman"/>
                <w:szCs w:val="22"/>
              </w:rPr>
              <w:t>3</w:t>
            </w:r>
            <w:r w:rsidR="00C91278" w:rsidRPr="00C91278">
              <w:rPr>
                <w:rFonts w:ascii="Times New Roman" w:hAnsi="Times New Roman"/>
                <w:szCs w:val="22"/>
                <w:vertAlign w:val="superscript"/>
              </w:rPr>
              <w:t>rd</w:t>
            </w:r>
            <w:r w:rsidR="00C91278">
              <w:rPr>
                <w:rFonts w:ascii="Times New Roman" w:hAnsi="Times New Roman"/>
                <w:szCs w:val="22"/>
              </w:rPr>
              <w:t xml:space="preserve"> year of the permit.</w:t>
            </w:r>
          </w:p>
          <w:p w14:paraId="7A0A8C7B" w14:textId="77777777" w:rsidR="003C6B22" w:rsidRPr="007832EF" w:rsidRDefault="003C6B22" w:rsidP="001C1657">
            <w:pPr>
              <w:jc w:val="left"/>
              <w:rPr>
                <w:szCs w:val="22"/>
              </w:rPr>
            </w:pPr>
          </w:p>
        </w:tc>
        <w:tc>
          <w:tcPr>
            <w:tcW w:w="852" w:type="pct"/>
          </w:tcPr>
          <w:p w14:paraId="01BC4066" w14:textId="5E836CC4" w:rsidR="003C6B22" w:rsidRDefault="00173A0F" w:rsidP="001C1657">
            <w:pPr>
              <w:jc w:val="left"/>
              <w:rPr>
                <w:szCs w:val="22"/>
              </w:rPr>
            </w:pPr>
            <w:r w:rsidRPr="009530F5">
              <w:rPr>
                <w:rFonts w:ascii="Times New Roman" w:hAnsi="Times New Roman"/>
                <w:szCs w:val="22"/>
              </w:rPr>
              <w:t>Report</w:t>
            </w:r>
          </w:p>
        </w:tc>
        <w:tc>
          <w:tcPr>
            <w:tcW w:w="1052" w:type="pct"/>
          </w:tcPr>
          <w:p w14:paraId="778F4075" w14:textId="77777777" w:rsidR="002F7445" w:rsidRPr="002F7445" w:rsidRDefault="002F7445" w:rsidP="002F7445">
            <w:pPr>
              <w:jc w:val="left"/>
              <w:rPr>
                <w:rFonts w:ascii="Times New Roman" w:hAnsi="Times New Roman"/>
                <w:szCs w:val="22"/>
                <w:lang w:val="en-CA"/>
              </w:rPr>
            </w:pPr>
            <w:r w:rsidRPr="002F7445">
              <w:rPr>
                <w:rFonts w:ascii="Times New Roman" w:hAnsi="Times New Roman"/>
                <w:szCs w:val="22"/>
                <w:lang w:val="en-CA"/>
              </w:rPr>
              <w:t>Electronic</w:t>
            </w:r>
            <w:r w:rsidR="00D647A2" w:rsidRPr="002F7445">
              <w:rPr>
                <w:rFonts w:ascii="Times New Roman" w:hAnsi="Times New Roman"/>
                <w:szCs w:val="22"/>
                <w:lang w:val="en-CA"/>
              </w:rPr>
              <w:t xml:space="preserve"> </w:t>
            </w:r>
            <w:r w:rsidR="00FD0E52" w:rsidRPr="002F7445">
              <w:rPr>
                <w:rFonts w:ascii="Times New Roman" w:hAnsi="Times New Roman"/>
                <w:szCs w:val="22"/>
                <w:lang w:val="en-CA"/>
              </w:rPr>
              <w:t xml:space="preserve">reporting </w:t>
            </w:r>
            <w:r w:rsidR="00346AFD" w:rsidRPr="002F7445">
              <w:rPr>
                <w:rFonts w:ascii="Times New Roman" w:hAnsi="Times New Roman"/>
                <w:szCs w:val="22"/>
                <w:lang w:val="en-CA"/>
              </w:rPr>
              <w:t>as directed by DEQ</w:t>
            </w:r>
            <w:r w:rsidRPr="002F7445" w:rsidDel="00590466">
              <w:rPr>
                <w:rFonts w:ascii="Times New Roman" w:hAnsi="Times New Roman"/>
                <w:szCs w:val="22"/>
                <w:lang w:val="en-CA"/>
              </w:rPr>
              <w:t xml:space="preserve"> </w:t>
            </w:r>
          </w:p>
          <w:p w14:paraId="2DFF4A52" w14:textId="3846CEC3" w:rsidR="003C6B22" w:rsidRPr="00346AFD" w:rsidRDefault="003C6B22" w:rsidP="006546C9">
            <w:pPr>
              <w:jc w:val="left"/>
              <w:rPr>
                <w:rFonts w:ascii="Times New Roman" w:hAnsi="Times New Roman"/>
                <w:szCs w:val="22"/>
              </w:rPr>
            </w:pPr>
          </w:p>
        </w:tc>
      </w:tr>
    </w:tbl>
    <w:p w14:paraId="134815B5" w14:textId="77777777" w:rsidR="008B5701" w:rsidRPr="008B5701" w:rsidRDefault="008B5701" w:rsidP="008B5701">
      <w:pPr>
        <w:rPr>
          <w:lang w:val="en-US"/>
        </w:rPr>
      </w:pPr>
    </w:p>
    <w:p w14:paraId="7F0F636B" w14:textId="6CE49C71" w:rsidR="00EA1401" w:rsidRDefault="00A3111E" w:rsidP="00122925">
      <w:pPr>
        <w:pStyle w:val="PermitHanging1TOC"/>
        <w:spacing w:after="120"/>
      </w:pPr>
      <w:bookmarkStart w:id="60" w:name="_Toc203135896"/>
      <w:r w:rsidRPr="00AE0EF5">
        <w:t>Monitoring and Reporting Protocols</w:t>
      </w:r>
      <w:bookmarkEnd w:id="60"/>
    </w:p>
    <w:p w14:paraId="1A329E98" w14:textId="3075CBE2" w:rsidR="0027232B" w:rsidRPr="00122925" w:rsidRDefault="00A3111E" w:rsidP="00B8035E">
      <w:pPr>
        <w:pStyle w:val="ListParagraph"/>
        <w:keepNext/>
        <w:numPr>
          <w:ilvl w:val="1"/>
          <w:numId w:val="39"/>
        </w:numPr>
        <w:topLinePunct/>
        <w:spacing w:after="120"/>
        <w:textAlignment w:val="center"/>
        <w:rPr>
          <w:bCs/>
        </w:rPr>
      </w:pPr>
      <w:r w:rsidRPr="00B8035E">
        <w:t>Electronic Submissions</w:t>
      </w:r>
    </w:p>
    <w:p w14:paraId="6379DC67" w14:textId="6CF90B25" w:rsidR="00BF086E" w:rsidRDefault="00A3111E" w:rsidP="00A64098">
      <w:pPr>
        <w:keepNext/>
        <w:topLinePunct/>
        <w:spacing w:after="120"/>
        <w:ind w:left="1440"/>
        <w:jc w:val="left"/>
        <w:textAlignment w:val="center"/>
        <w:rPr>
          <w:szCs w:val="22"/>
        </w:rPr>
      </w:pPr>
      <w:r w:rsidRPr="001149A3">
        <w:rPr>
          <w:szCs w:val="22"/>
        </w:rPr>
        <w:t xml:space="preserve">The permittee must submit to DEQ the results </w:t>
      </w:r>
      <w:r w:rsidR="00CB61B0" w:rsidRPr="001149A3">
        <w:rPr>
          <w:szCs w:val="22"/>
        </w:rPr>
        <w:t xml:space="preserve">of monitoring indicated </w:t>
      </w:r>
      <w:r w:rsidRPr="001149A3">
        <w:rPr>
          <w:szCs w:val="22"/>
        </w:rPr>
        <w:t>in Schedule B in an electronic format as specified below.</w:t>
      </w:r>
    </w:p>
    <w:p w14:paraId="36997B4D" w14:textId="1E0FF70F" w:rsidR="00C92745" w:rsidRDefault="00C92745" w:rsidP="001D7C25">
      <w:pPr>
        <w:pStyle w:val="ListParagraph"/>
        <w:keepNext/>
        <w:numPr>
          <w:ilvl w:val="2"/>
          <w:numId w:val="39"/>
        </w:numPr>
        <w:topLinePunct/>
        <w:spacing w:after="120"/>
        <w:textAlignment w:val="center"/>
      </w:pPr>
      <w:r>
        <w:t>DMR</w:t>
      </w:r>
      <w:r w:rsidR="001404FD">
        <w:t>:</w:t>
      </w:r>
    </w:p>
    <w:p w14:paraId="537E83EF" w14:textId="7F07ED9C" w:rsidR="00AC6B06" w:rsidRDefault="009E124E" w:rsidP="00A06CCB">
      <w:pPr>
        <w:pStyle w:val="PermitHanging3"/>
        <w:numPr>
          <w:ilvl w:val="5"/>
          <w:numId w:val="73"/>
        </w:numPr>
      </w:pPr>
      <w:r>
        <w:t>T</w:t>
      </w:r>
      <w:r w:rsidR="00A3111E" w:rsidRPr="00AC6B06">
        <w:t>he permittee must submit monitoring results required by this permit via DEQ-approved web-based Discharge Monitoring Report (DMR) forms to</w:t>
      </w:r>
      <w:r w:rsidR="000C3F56">
        <w:t xml:space="preserve"> DEQ via electronic reporting</w:t>
      </w:r>
      <w:r w:rsidR="00A3111E" w:rsidRPr="00AC6B06">
        <w:t>.</w:t>
      </w:r>
      <w:r w:rsidR="00CB61B0" w:rsidRPr="00AC6B06">
        <w:t xml:space="preserve"> Any data used to calculate summary statistics must be submitted as a separate attachment approved by DEQ via </w:t>
      </w:r>
      <w:r w:rsidR="000C3F56">
        <w:t>electronic reporting</w:t>
      </w:r>
      <w:r w:rsidR="00CB61B0" w:rsidRPr="00AC6B06">
        <w:t>.</w:t>
      </w:r>
    </w:p>
    <w:p w14:paraId="77E127B5" w14:textId="6E337A3F" w:rsidR="00AC6B06" w:rsidRDefault="00A3111E" w:rsidP="00781C0A">
      <w:pPr>
        <w:pStyle w:val="PermitHanging3"/>
        <w:numPr>
          <w:ilvl w:val="5"/>
          <w:numId w:val="73"/>
        </w:numPr>
      </w:pPr>
      <w:r w:rsidRPr="00AC6B06">
        <w:t>The reporting period is the calendar month.</w:t>
      </w:r>
    </w:p>
    <w:p w14:paraId="0B41BD9F" w14:textId="47E5B766" w:rsidR="00A61E28" w:rsidRDefault="00A3111E" w:rsidP="00781C0A">
      <w:pPr>
        <w:pStyle w:val="PermitHanging3"/>
        <w:numPr>
          <w:ilvl w:val="5"/>
          <w:numId w:val="73"/>
        </w:numPr>
      </w:pPr>
      <w:r w:rsidRPr="00AC6B06">
        <w:t>The permittee must submit monitoring data and other information required by this</w:t>
      </w:r>
      <w:r w:rsidR="00F929BA">
        <w:t xml:space="preserve"> </w:t>
      </w:r>
      <w:r w:rsidRPr="00AC6B06">
        <w:t>permit for all compliance points by the 15th day of the month following the reporting period unless specified otherwise in this permit or as specified in writing by DEQ.</w:t>
      </w:r>
    </w:p>
    <w:p w14:paraId="4CA92795" w14:textId="1BCB02F4" w:rsidR="00BA149D" w:rsidRDefault="001B3E57" w:rsidP="009F40BD">
      <w:pPr>
        <w:pStyle w:val="PermitHanging3"/>
        <w:numPr>
          <w:ilvl w:val="4"/>
          <w:numId w:val="3"/>
        </w:numPr>
      </w:pPr>
      <w:r>
        <w:t>Reports and Electronic Data Delivery:</w:t>
      </w:r>
    </w:p>
    <w:p w14:paraId="4FB1DA5F" w14:textId="1D2CEDBD" w:rsidR="001B3E57" w:rsidRPr="001B3E57" w:rsidRDefault="00AC0BF6" w:rsidP="001B3E57">
      <w:pPr>
        <w:pStyle w:val="PermitHanging3-text"/>
        <w:numPr>
          <w:ilvl w:val="5"/>
          <w:numId w:val="3"/>
        </w:numPr>
      </w:pPr>
      <w:r w:rsidRPr="00AC0BF6">
        <w:t xml:space="preserve">For reports, </w:t>
      </w:r>
      <w:hyperlink r:id="rId12" w:history="1">
        <w:r w:rsidRPr="00685A5B">
          <w:rPr>
            <w:rStyle w:val="Hyperlink"/>
          </w:rPr>
          <w:t>Electronic Data Delivery</w:t>
        </w:r>
        <w:r w:rsidR="00962DD2" w:rsidRPr="00685A5B">
          <w:rPr>
            <w:rStyle w:val="Hyperlink"/>
          </w:rPr>
          <w:t xml:space="preserve"> (EDD)</w:t>
        </w:r>
        <w:r w:rsidRPr="00685A5B">
          <w:rPr>
            <w:rStyle w:val="Hyperlink"/>
          </w:rPr>
          <w:t>,</w:t>
        </w:r>
      </w:hyperlink>
      <w:r w:rsidRPr="00AC0BF6">
        <w:t xml:space="preserve"> and other supporting documents required by Table B.1, submit to approved DEQ electronic reporting system</w:t>
      </w:r>
      <w:r w:rsidR="00A92144">
        <w:t>.</w:t>
      </w:r>
    </w:p>
    <w:p w14:paraId="220CE5E6" w14:textId="11046AB2" w:rsidR="00A3111E" w:rsidRPr="001149A3" w:rsidRDefault="00A3111E" w:rsidP="009F40BD">
      <w:pPr>
        <w:pStyle w:val="PermitHanging2Non-TOC"/>
        <w:numPr>
          <w:ilvl w:val="3"/>
          <w:numId w:val="3"/>
        </w:numPr>
      </w:pPr>
      <w:r w:rsidRPr="001149A3">
        <w:t>Test Methods</w:t>
      </w:r>
      <w:r w:rsidR="0027232B">
        <w:t xml:space="preserve"> </w:t>
      </w:r>
    </w:p>
    <w:p w14:paraId="63DC7CFF" w14:textId="1B3E4EEF" w:rsidR="00A3111E" w:rsidRPr="001149A3" w:rsidRDefault="00565226" w:rsidP="00A64098">
      <w:pPr>
        <w:spacing w:after="120"/>
        <w:ind w:left="1440"/>
        <w:jc w:val="left"/>
      </w:pPr>
      <w:r w:rsidRPr="00565226">
        <w:t>The permitte</w:t>
      </w:r>
      <w:r w:rsidR="00031B51">
        <w:t>e</w:t>
      </w:r>
      <w:r w:rsidRPr="00565226">
        <w:t xml:space="preserve"> must conduct monitoring according to test procedures</w:t>
      </w:r>
      <w:r w:rsidR="00A3111E" w:rsidRPr="001149A3">
        <w:t xml:space="preserve"> in 40 CFR 136 and 40 CFR </w:t>
      </w:r>
      <w:r w:rsidR="00F42429">
        <w:t xml:space="preserve"> </w:t>
      </w:r>
      <w:r w:rsidR="00A3111E" w:rsidRPr="001149A3">
        <w:t xml:space="preserve">503 for biosolids or other approved procedures as per Schedule F. </w:t>
      </w:r>
    </w:p>
    <w:p w14:paraId="77AE539F" w14:textId="77777777" w:rsidR="00AC6B06" w:rsidRPr="00854A35" w:rsidRDefault="00A3111E" w:rsidP="009F40BD">
      <w:pPr>
        <w:pStyle w:val="PermitHanging2Non-TOC"/>
        <w:numPr>
          <w:ilvl w:val="3"/>
          <w:numId w:val="3"/>
        </w:numPr>
      </w:pPr>
      <w:r w:rsidRPr="00854A35">
        <w:t>Detection and Quantitation Limits</w:t>
      </w:r>
    </w:p>
    <w:p w14:paraId="11FAA355" w14:textId="49E3F8B6" w:rsidR="00AC6B06" w:rsidRPr="00854A35" w:rsidRDefault="00A3111E" w:rsidP="009F40BD">
      <w:pPr>
        <w:pStyle w:val="PermitHanging3"/>
        <w:numPr>
          <w:ilvl w:val="4"/>
          <w:numId w:val="3"/>
        </w:numPr>
      </w:pPr>
      <w:r w:rsidRPr="00854A35">
        <w:t>Detection Level (DL) – The DL is defined as the minimum measured concentration of a substance that can be distinguished from method blank results with 99% confidence. The DL is derived using the procedure in 40 CFR 136 Appendix B and evaluated for reasonableness relative to method blank concentrations to ensure results reported above the DL are not a result of routine background contamination. The DL is also known as the Method Detection Limit (MDL) or Limit of Detection (LOD).</w:t>
      </w:r>
    </w:p>
    <w:p w14:paraId="10B47B94" w14:textId="19A4A089" w:rsidR="00AC6B06" w:rsidRPr="00854A35" w:rsidRDefault="00A3111E" w:rsidP="009F40BD">
      <w:pPr>
        <w:pStyle w:val="PermitHanging3"/>
        <w:numPr>
          <w:ilvl w:val="4"/>
          <w:numId w:val="3"/>
        </w:numPr>
      </w:pPr>
      <w:r w:rsidRPr="00854A35">
        <w:t>Quantitation Limits (QLs) – The QL is the minimum level, concentration or quantity of a target analyte that can be reported with a specified degree of confidence.</w:t>
      </w:r>
      <w:r w:rsidR="008E1E7D" w:rsidRPr="00854A35">
        <w:t xml:space="preserve"> </w:t>
      </w:r>
      <w:r w:rsidRPr="00854A35">
        <w:t>It is the lowest level at which the entire analytical system gives a recognizable signal and acceptable calibration for the analyte. It is normally equivalent to the concentration of the lowest calibration standard adjusted for sample weights, volumes, preparation and cleanup procedures employed.</w:t>
      </w:r>
      <w:r w:rsidR="007C461A" w:rsidRPr="00854A35">
        <w:t xml:space="preserve"> </w:t>
      </w:r>
      <w:r w:rsidRPr="00854A35">
        <w:t xml:space="preserve">The QL as reported by a laboratory is also sometimes referred to as the </w:t>
      </w:r>
      <w:r w:rsidR="0072615F">
        <w:t>m</w:t>
      </w:r>
      <w:r w:rsidRPr="00854A35">
        <w:t xml:space="preserve">ethod </w:t>
      </w:r>
      <w:r w:rsidR="0072615F">
        <w:t>r</w:t>
      </w:r>
      <w:r w:rsidRPr="00854A35">
        <w:t xml:space="preserve">eporting </w:t>
      </w:r>
      <w:r w:rsidR="0072615F">
        <w:t>l</w:t>
      </w:r>
      <w:r w:rsidRPr="00854A35">
        <w:t xml:space="preserve">imit (MRL) or </w:t>
      </w:r>
      <w:r w:rsidR="0072615F">
        <w:t>l</w:t>
      </w:r>
      <w:r w:rsidRPr="00854A35">
        <w:t xml:space="preserve">imit of </w:t>
      </w:r>
      <w:r w:rsidR="0072615F">
        <w:t>q</w:t>
      </w:r>
      <w:r w:rsidRPr="00854A35">
        <w:t xml:space="preserve">uantitation (LOQ). </w:t>
      </w:r>
    </w:p>
    <w:p w14:paraId="34BAD942" w14:textId="56FE12A0" w:rsidR="000E2440" w:rsidRPr="00854A35" w:rsidRDefault="000E2440" w:rsidP="009F40BD">
      <w:pPr>
        <w:pStyle w:val="PermitHanging2Non-TOC"/>
        <w:numPr>
          <w:ilvl w:val="3"/>
          <w:numId w:val="3"/>
        </w:numPr>
      </w:pPr>
      <w:r w:rsidRPr="00854A35">
        <w:lastRenderedPageBreak/>
        <w:t>Sufficient Sensitivity of Quantitation Limits</w:t>
      </w:r>
    </w:p>
    <w:p w14:paraId="5429888B" w14:textId="444B887A" w:rsidR="00AC6B06" w:rsidRPr="00854A35" w:rsidRDefault="00A3111E" w:rsidP="009F40BD">
      <w:pPr>
        <w:pStyle w:val="PermitHanging3"/>
        <w:numPr>
          <w:ilvl w:val="4"/>
          <w:numId w:val="3"/>
        </w:numPr>
        <w:rPr>
          <w:szCs w:val="22"/>
        </w:rPr>
      </w:pPr>
      <w:r w:rsidRPr="00854A35">
        <w:t xml:space="preserve">The Laboratory QLs (adjusted for any dilutions) for analyses performed to demonstrate compliance with permit limits or as part of effluent characterization, </w:t>
      </w:r>
      <w:r w:rsidR="00760469" w:rsidRPr="00854A35">
        <w:t xml:space="preserve">must </w:t>
      </w:r>
      <w:r w:rsidR="000E2440" w:rsidRPr="00854A35">
        <w:t xml:space="preserve">meet at least one of the requirements below: </w:t>
      </w:r>
    </w:p>
    <w:p w14:paraId="4915EC91" w14:textId="5112BE1A" w:rsidR="000E2440" w:rsidRPr="00854A35" w:rsidRDefault="000E2440" w:rsidP="0017702F">
      <w:pPr>
        <w:pStyle w:val="PermitHanging3"/>
        <w:numPr>
          <w:ilvl w:val="5"/>
          <w:numId w:val="73"/>
        </w:numPr>
      </w:pPr>
      <w:r w:rsidRPr="00854A35">
        <w:t>The QL is at or below the level of the water quality criterion for the measured parameter</w:t>
      </w:r>
      <w:r w:rsidR="00A64098">
        <w:t>.</w:t>
      </w:r>
    </w:p>
    <w:p w14:paraId="6B872442" w14:textId="43B268BE" w:rsidR="006D2A2A" w:rsidRPr="00854A35" w:rsidRDefault="000E2440" w:rsidP="0017702F">
      <w:pPr>
        <w:pStyle w:val="PermitHanging3"/>
        <w:numPr>
          <w:ilvl w:val="5"/>
          <w:numId w:val="73"/>
        </w:numPr>
        <w:spacing w:after="160" w:line="259" w:lineRule="auto"/>
      </w:pPr>
      <w:r w:rsidRPr="00854A35">
        <w:t>The QL is above the water quality criterion but the amount of the pollutant in a facility's discharge is high enough that the method detects and quantifies the level of the parameter in the discharge</w:t>
      </w:r>
      <w:r w:rsidR="00A64098">
        <w:t>.</w:t>
      </w:r>
    </w:p>
    <w:p w14:paraId="2B0A4C1D" w14:textId="780C1456" w:rsidR="006D2A2A" w:rsidRPr="00854A35" w:rsidRDefault="006D2A2A" w:rsidP="0017702F">
      <w:pPr>
        <w:pStyle w:val="PermitHanging3"/>
        <w:numPr>
          <w:ilvl w:val="5"/>
          <w:numId w:val="73"/>
        </w:numPr>
        <w:spacing w:after="160" w:line="259" w:lineRule="auto"/>
      </w:pPr>
      <w:r w:rsidRPr="00854A35">
        <w:t xml:space="preserve">The QL has the lowest sensitivity of the analytical methods procedure specified in </w:t>
      </w:r>
      <w:r w:rsidR="000456CC" w:rsidRPr="00854A35">
        <w:t>40 CFR 136</w:t>
      </w:r>
      <w:r w:rsidR="00A64098">
        <w:t>.</w:t>
      </w:r>
    </w:p>
    <w:p w14:paraId="53C2C9D1" w14:textId="1A5A84C3" w:rsidR="006D2A2A" w:rsidRPr="00854A35" w:rsidRDefault="006D2A2A" w:rsidP="0017702F">
      <w:pPr>
        <w:pStyle w:val="PermitHanging3"/>
        <w:numPr>
          <w:ilvl w:val="5"/>
          <w:numId w:val="73"/>
        </w:numPr>
        <w:spacing w:after="160" w:line="259" w:lineRule="auto"/>
      </w:pPr>
      <w:r w:rsidRPr="00854A35">
        <w:t xml:space="preserve">The QL is at or below those defined in Oregon DEQ list of quantitation limits posted online at </w:t>
      </w:r>
      <w:hyperlink r:id="rId13" w:history="1">
        <w:r w:rsidR="00EC4293">
          <w:rPr>
            <w:rStyle w:val="Hyperlink"/>
          </w:rPr>
          <w:t>DEQ permitting website</w:t>
        </w:r>
      </w:hyperlink>
      <w:r w:rsidR="00A64098">
        <w:rPr>
          <w:rStyle w:val="Hyperlink"/>
        </w:rPr>
        <w:t>.</w:t>
      </w:r>
    </w:p>
    <w:p w14:paraId="1FEA91CA" w14:textId="4498B241" w:rsidR="000E2440" w:rsidRDefault="000E2440" w:rsidP="006D2A2A">
      <w:pPr>
        <w:spacing w:after="160" w:line="259" w:lineRule="auto"/>
      </w:pPr>
    </w:p>
    <w:p w14:paraId="0455D5C6" w14:textId="0EB9ADA8" w:rsidR="00A3111E" w:rsidRDefault="00A3111E" w:rsidP="009F40BD">
      <w:pPr>
        <w:pStyle w:val="PermitHanging2Non-TOC"/>
        <w:numPr>
          <w:ilvl w:val="3"/>
          <w:numId w:val="3"/>
        </w:numPr>
      </w:pPr>
      <w:r w:rsidRPr="001149A3">
        <w:t>Quality Assurance and Quality Control</w:t>
      </w:r>
    </w:p>
    <w:p w14:paraId="4A3B4CE5" w14:textId="77777777" w:rsidR="00AC6B06" w:rsidRDefault="00A3111E" w:rsidP="009F40BD">
      <w:pPr>
        <w:pStyle w:val="PermitHanging3"/>
        <w:numPr>
          <w:ilvl w:val="4"/>
          <w:numId w:val="3"/>
        </w:numPr>
      </w:pPr>
      <w:r w:rsidRPr="00AC6B06">
        <w:t xml:space="preserve">Quality Assurance Plan – The permittee must develop and implement a written Quality Assurance Plan that details the </w:t>
      </w:r>
      <w:r w:rsidR="00BC64F6" w:rsidRPr="00AC6B06">
        <w:t>facility sampling</w:t>
      </w:r>
      <w:r w:rsidRPr="00AC6B06">
        <w:t xml:space="preserve"> procedures, equipment calibration and maintenance, analytical methods, quality control activities and laboratory data handling and reporting. The QA/QC program must conform to the requirements of 40 CFR 136.7. </w:t>
      </w:r>
    </w:p>
    <w:p w14:paraId="0291AF2C" w14:textId="470824AF" w:rsidR="00AC6B06" w:rsidRDefault="00A3111E" w:rsidP="009F40BD">
      <w:pPr>
        <w:pStyle w:val="PermitHanging3"/>
        <w:numPr>
          <w:ilvl w:val="4"/>
          <w:numId w:val="3"/>
        </w:numPr>
        <w:rPr>
          <w:vertAlign w:val="subscript"/>
          <w:lang w:val="en-US"/>
        </w:rPr>
      </w:pPr>
      <w:r w:rsidRPr="00AC6B06">
        <w:t>If QA/QC requirements are not met for any analysis, the permittee must re-analyze the sample.</w:t>
      </w:r>
      <w:r w:rsidR="007C461A" w:rsidRPr="00AC6B06">
        <w:t xml:space="preserve"> </w:t>
      </w:r>
      <w:r w:rsidRPr="00AC6B06">
        <w:t>If the sample cannot be re-analyzed, the permittee must re-sample and analyze at the earliest opportunity.</w:t>
      </w:r>
      <w:r w:rsidR="007C461A" w:rsidRPr="00AC6B06">
        <w:t xml:space="preserve"> </w:t>
      </w:r>
      <w:r w:rsidRPr="00AC6B06">
        <w:t xml:space="preserve">If the permittee is unable to collect a sample that </w:t>
      </w:r>
      <w:r w:rsidR="00130DCC" w:rsidRPr="00AC6B06">
        <w:t xml:space="preserve">meets </w:t>
      </w:r>
      <w:r w:rsidRPr="00AC6B06">
        <w:t xml:space="preserve">QA/QC requirements, then the permittee must include the result in the discharge monitoring report (DMR) along with a notation (data qualifier). In addition, the permittee must explain how the sample does not meet QA/QC requirements. </w:t>
      </w:r>
      <w:proofErr w:type="gramStart"/>
      <w:r w:rsidR="0080007A" w:rsidRPr="0080007A">
        <w:rPr>
          <w:lang w:val="en-US"/>
        </w:rPr>
        <w:t>With the exception of</w:t>
      </w:r>
      <w:proofErr w:type="gramEnd"/>
      <w:r w:rsidR="0080007A" w:rsidRPr="0080007A">
        <w:rPr>
          <w:lang w:val="en-US"/>
        </w:rPr>
        <w:t xml:space="preserve"> BOD</w:t>
      </w:r>
      <w:r w:rsidR="0080007A" w:rsidRPr="0080007A">
        <w:rPr>
          <w:vertAlign w:val="subscript"/>
          <w:lang w:val="en-US"/>
        </w:rPr>
        <w:t>5</w:t>
      </w:r>
      <w:r w:rsidR="0080007A" w:rsidRPr="0080007A">
        <w:rPr>
          <w:lang w:val="en-US"/>
        </w:rPr>
        <w:t>/CBOD</w:t>
      </w:r>
      <w:r w:rsidR="0080007A" w:rsidRPr="0080007A">
        <w:rPr>
          <w:vertAlign w:val="subscript"/>
          <w:lang w:val="en-US"/>
        </w:rPr>
        <w:t>5</w:t>
      </w:r>
      <w:r w:rsidR="0080007A" w:rsidRPr="0080007A">
        <w:rPr>
          <w:lang w:val="en-US"/>
        </w:rPr>
        <w:t xml:space="preserve">, the </w:t>
      </w:r>
      <w:r w:rsidRPr="00AC6B06">
        <w:t xml:space="preserve">permittee may not use the result that failed the QA/QC requirements in any calculation required by the permit unless authorized </w:t>
      </w:r>
      <w:r w:rsidR="00C61084" w:rsidRPr="00AC6B06">
        <w:t xml:space="preserve">in writing </w:t>
      </w:r>
      <w:r w:rsidRPr="00AC6B06">
        <w:t>by DEQ.</w:t>
      </w:r>
      <w:r w:rsidR="00C5176C" w:rsidRPr="00C5176C">
        <w:t xml:space="preserve"> </w:t>
      </w:r>
      <w:r w:rsidR="00154DA5">
        <w:t xml:space="preserve"> </w:t>
      </w:r>
      <w:r w:rsidR="00793CA6" w:rsidRPr="00793CA6">
        <w:rPr>
          <w:lang w:val="en-US"/>
        </w:rPr>
        <w:t>For BOD</w:t>
      </w:r>
      <w:r w:rsidR="00793CA6" w:rsidRPr="00793CA6">
        <w:rPr>
          <w:vertAlign w:val="subscript"/>
          <w:lang w:val="en-US"/>
        </w:rPr>
        <w:t>5</w:t>
      </w:r>
      <w:r w:rsidR="00793CA6" w:rsidRPr="00793CA6">
        <w:rPr>
          <w:lang w:val="en-US"/>
        </w:rPr>
        <w:t>/CBOD</w:t>
      </w:r>
      <w:r w:rsidR="00793CA6" w:rsidRPr="00793CA6">
        <w:rPr>
          <w:vertAlign w:val="subscript"/>
          <w:lang w:val="en-US"/>
        </w:rPr>
        <w:t>5</w:t>
      </w:r>
      <w:r w:rsidR="00793CA6" w:rsidRPr="00793CA6">
        <w:rPr>
          <w:lang w:val="en-US"/>
        </w:rPr>
        <w:t>, the permittee may not use the result that failed the QA/QC requirement in any calculation except as follows</w:t>
      </w:r>
      <w:r w:rsidR="00793CA6">
        <w:rPr>
          <w:vertAlign w:val="subscript"/>
          <w:lang w:val="en-US"/>
        </w:rPr>
        <w:t>:</w:t>
      </w:r>
    </w:p>
    <w:p w14:paraId="754BE1C3" w14:textId="2C5142AB" w:rsidR="0020434E" w:rsidRPr="0020434E" w:rsidRDefault="0020434E" w:rsidP="009F40BD">
      <w:pPr>
        <w:pStyle w:val="PermitHanging3-text"/>
        <w:numPr>
          <w:ilvl w:val="5"/>
          <w:numId w:val="3"/>
        </w:numPr>
        <w:rPr>
          <w:lang w:val="en-US"/>
        </w:rPr>
      </w:pPr>
      <w:r w:rsidRPr="0020434E">
        <w:rPr>
          <w:lang w:val="en-US"/>
        </w:rPr>
        <w:t>When the glucose-glutamic acid, dilution water, and/or seed control check are not met, the values are reported with the “</w:t>
      </w:r>
      <w:r w:rsidR="00E31B77">
        <w:rPr>
          <w:lang w:val="en-US"/>
        </w:rPr>
        <w:t>E</w:t>
      </w:r>
      <w:r w:rsidRPr="0020434E">
        <w:rPr>
          <w:lang w:val="en-US"/>
        </w:rPr>
        <w:t xml:space="preserve">” (estimate) data qualifier. The estimated values are not used in the calculations. </w:t>
      </w:r>
    </w:p>
    <w:p w14:paraId="7B20F105" w14:textId="77777777" w:rsidR="0020434E" w:rsidRPr="0020434E" w:rsidRDefault="0020434E" w:rsidP="009F40BD">
      <w:pPr>
        <w:pStyle w:val="PermitHanging3-text"/>
        <w:numPr>
          <w:ilvl w:val="5"/>
          <w:numId w:val="3"/>
        </w:numPr>
        <w:rPr>
          <w:lang w:val="en-US"/>
        </w:rPr>
      </w:pPr>
      <w:r w:rsidRPr="0020434E">
        <w:rPr>
          <w:lang w:val="en-US"/>
        </w:rPr>
        <w:t>When the minimum DO depletion or the minimum residual DO is not met, the values are reported with the “&lt;” or “&gt;” data qualifiers as appropriate. The data must be used in the calculations. It is not acceptable to report “non-detect” on the discharge monitoring report. The data qualifiers carry to the summary statistic. For example, when calculating the loading, the data qualifiers are added to the value.</w:t>
      </w:r>
    </w:p>
    <w:p w14:paraId="190978FE" w14:textId="37610C8E" w:rsidR="00793CA6" w:rsidRPr="00793CA6" w:rsidRDefault="00793CA6" w:rsidP="0020434E">
      <w:pPr>
        <w:pStyle w:val="PermitHanging3-text"/>
        <w:ind w:left="0"/>
        <w:rPr>
          <w:lang w:val="en-US"/>
        </w:rPr>
      </w:pPr>
    </w:p>
    <w:p w14:paraId="5717AD27" w14:textId="77777777" w:rsidR="00AC6B06" w:rsidRDefault="00A3111E" w:rsidP="009F40BD">
      <w:pPr>
        <w:pStyle w:val="PermitHanging3"/>
        <w:numPr>
          <w:ilvl w:val="4"/>
          <w:numId w:val="3"/>
        </w:numPr>
      </w:pPr>
      <w:r w:rsidRPr="00AC6B06">
        <w:t xml:space="preserve">Flow measurement, field measurement, and continuous monitoring devices - The </w:t>
      </w:r>
      <w:r w:rsidR="00B324AF" w:rsidRPr="00AC6B06">
        <w:t>permittee</w:t>
      </w:r>
      <w:r w:rsidRPr="00AC6B06">
        <w:t xml:space="preserve"> must:</w:t>
      </w:r>
    </w:p>
    <w:p w14:paraId="70FAF0D3" w14:textId="77777777" w:rsidR="00AC6B06" w:rsidRDefault="00A3111E" w:rsidP="0017702F">
      <w:pPr>
        <w:pStyle w:val="PermitHanging3"/>
        <w:numPr>
          <w:ilvl w:val="5"/>
          <w:numId w:val="71"/>
        </w:numPr>
      </w:pPr>
      <w:r w:rsidRPr="00AC6B06">
        <w:lastRenderedPageBreak/>
        <w:t>Establish verification and calibration frequency for each device or instrument in the quality assurance plan that conforms to the frequencies recommended by the manufacturer.</w:t>
      </w:r>
    </w:p>
    <w:p w14:paraId="17118015" w14:textId="77777777" w:rsidR="00AC6B06" w:rsidRDefault="00A3111E" w:rsidP="0017702F">
      <w:pPr>
        <w:pStyle w:val="PermitHanging3"/>
        <w:numPr>
          <w:ilvl w:val="5"/>
          <w:numId w:val="71"/>
        </w:numPr>
      </w:pPr>
      <w:r w:rsidRPr="00AC6B06">
        <w:t>Verify</w:t>
      </w:r>
      <w:r w:rsidR="00C61084" w:rsidRPr="00AC6B06">
        <w:t xml:space="preserve"> at least once per year</w:t>
      </w:r>
      <w:r w:rsidRPr="00AC6B06">
        <w:t xml:space="preserve"> that flow-monitoring devices are functioning properly according to manufacturer’s recommendation. Calibrate as needed according to manufacturer’s recommendations. </w:t>
      </w:r>
    </w:p>
    <w:p w14:paraId="46529373" w14:textId="77777777" w:rsidR="00AD694D" w:rsidRDefault="00A3111E" w:rsidP="0017702F">
      <w:pPr>
        <w:pStyle w:val="PermitHanging3"/>
        <w:numPr>
          <w:ilvl w:val="5"/>
          <w:numId w:val="71"/>
        </w:numPr>
      </w:pPr>
      <w:r w:rsidRPr="00AC6B06">
        <w:t>Verify</w:t>
      </w:r>
      <w:r w:rsidR="00C61084" w:rsidRPr="00AC6B06">
        <w:t xml:space="preserve"> at least weekly</w:t>
      </w:r>
      <w:r w:rsidR="00C61084" w:rsidRPr="00AC6B06" w:rsidDel="00C61084">
        <w:t xml:space="preserve"> </w:t>
      </w:r>
      <w:r w:rsidRPr="00AC6B06">
        <w:t xml:space="preserve">that the continuous monitoring instruments are functioning properly according to manufacturer’s recommendation unless </w:t>
      </w:r>
      <w:r w:rsidR="005A3E68" w:rsidRPr="00AC6B06">
        <w:t xml:space="preserve">the </w:t>
      </w:r>
      <w:r w:rsidR="00B324AF" w:rsidRPr="00AC6B06">
        <w:t>permittee</w:t>
      </w:r>
      <w:r w:rsidRPr="00AC6B06">
        <w:t xml:space="preserve"> demonstrates a longer period is sufficient</w:t>
      </w:r>
      <w:r w:rsidR="00C61084" w:rsidRPr="00AC6B06">
        <w:t xml:space="preserve"> and such longer period is approved by DEQ in writing</w:t>
      </w:r>
      <w:r w:rsidRPr="00AC6B06">
        <w:t>.</w:t>
      </w:r>
    </w:p>
    <w:p w14:paraId="13E67C7A" w14:textId="30AEC479" w:rsidR="00A3111E" w:rsidRPr="00AD694D" w:rsidRDefault="004608C2" w:rsidP="009F40BD">
      <w:pPr>
        <w:pStyle w:val="PermitHanging3"/>
        <w:numPr>
          <w:ilvl w:val="4"/>
          <w:numId w:val="3"/>
        </w:numPr>
      </w:pPr>
      <w:r w:rsidRPr="00AD694D">
        <w:rPr>
          <w:highlight w:val="yellow"/>
        </w:rPr>
        <w:t xml:space="preserve">[INSTRUCTIONS TO PERMIT WRITER: DELETE IF NO REQUIRED </w:t>
      </w:r>
      <w:r w:rsidR="007C4B36" w:rsidRPr="00AD694D">
        <w:rPr>
          <w:highlight w:val="yellow"/>
        </w:rPr>
        <w:t>RECEIVING WATER</w:t>
      </w:r>
      <w:r w:rsidRPr="00AD694D">
        <w:rPr>
          <w:highlight w:val="yellow"/>
        </w:rPr>
        <w:t xml:space="preserve"> MONITORING]</w:t>
      </w:r>
      <w:r w:rsidRPr="00AD694D">
        <w:t xml:space="preserve"> </w:t>
      </w:r>
      <w:r w:rsidR="00FB19D7" w:rsidRPr="00AD694D">
        <w:t xml:space="preserve">The permittee must develop </w:t>
      </w:r>
      <w:r w:rsidR="00A24340" w:rsidRPr="00AD694D">
        <w:t>a</w:t>
      </w:r>
      <w:r w:rsidR="00FB19D7" w:rsidRPr="00AD694D">
        <w:t xml:space="preserve"> </w:t>
      </w:r>
      <w:r w:rsidR="00C41A9E" w:rsidRPr="00AD694D">
        <w:t xml:space="preserve">receiving water </w:t>
      </w:r>
      <w:r w:rsidR="00FB19D7" w:rsidRPr="00AD694D">
        <w:t>sampling and analysis plan that incorporates QA/QC prior to sampling.</w:t>
      </w:r>
      <w:r w:rsidR="007C461A" w:rsidRPr="00AD694D">
        <w:t xml:space="preserve"> </w:t>
      </w:r>
      <w:r w:rsidR="00FB19D7" w:rsidRPr="00AD694D">
        <w:t xml:space="preserve">This plan must be kept at the facility and made available to DEQ upon request. </w:t>
      </w:r>
    </w:p>
    <w:p w14:paraId="26D67299" w14:textId="77777777" w:rsidR="009B2B71" w:rsidRPr="009B2B71" w:rsidRDefault="009B2B71" w:rsidP="009B2B71">
      <w:pPr>
        <w:pStyle w:val="PermitHanging3-text"/>
        <w:spacing w:after="0"/>
      </w:pPr>
    </w:p>
    <w:p w14:paraId="21ECD294" w14:textId="51078F1A" w:rsidR="00AD694D" w:rsidRPr="00854A35" w:rsidRDefault="00A3111E" w:rsidP="009F40BD">
      <w:pPr>
        <w:pStyle w:val="PermitHanging2Non-TOC"/>
        <w:numPr>
          <w:ilvl w:val="3"/>
          <w:numId w:val="3"/>
        </w:numPr>
      </w:pPr>
      <w:r w:rsidRPr="00854A35">
        <w:t xml:space="preserve">Reporting Sample Results </w:t>
      </w:r>
    </w:p>
    <w:p w14:paraId="74DF4300" w14:textId="3A21BD6D" w:rsidR="00AD694D" w:rsidRPr="00854A35" w:rsidRDefault="00A3111E" w:rsidP="009F40BD">
      <w:pPr>
        <w:pStyle w:val="PermitHanging3"/>
        <w:numPr>
          <w:ilvl w:val="4"/>
          <w:numId w:val="3"/>
        </w:numPr>
      </w:pPr>
      <w:r w:rsidRPr="00854A35">
        <w:t>The permittee must report the laboratory DL and QL as defined above for each analyte, with the following exceptions: pH, temperature, BOD</w:t>
      </w:r>
      <w:r w:rsidR="00182531">
        <w:rPr>
          <w:vertAlign w:val="subscript"/>
        </w:rPr>
        <w:t>5</w:t>
      </w:r>
      <w:r w:rsidRPr="00854A35">
        <w:t>, CBOD</w:t>
      </w:r>
      <w:r w:rsidR="00182531">
        <w:rPr>
          <w:vertAlign w:val="subscript"/>
        </w:rPr>
        <w:t>5</w:t>
      </w:r>
      <w:r w:rsidRPr="00854A35">
        <w:t>, TSS, O</w:t>
      </w:r>
      <w:r w:rsidR="00460834" w:rsidRPr="00854A35">
        <w:t xml:space="preserve">il </w:t>
      </w:r>
      <w:r w:rsidRPr="00854A35">
        <w:t>&amp;</w:t>
      </w:r>
      <w:r w:rsidR="007C4B36" w:rsidRPr="00854A35">
        <w:t xml:space="preserve"> </w:t>
      </w:r>
      <w:r w:rsidRPr="00854A35">
        <w:t>G</w:t>
      </w:r>
      <w:r w:rsidR="00460834" w:rsidRPr="00854A35">
        <w:t>rease</w:t>
      </w:r>
      <w:r w:rsidRPr="00854A35">
        <w:t>, hardness, alkalinity, bacteriological analytes and nitrate-nitrite.</w:t>
      </w:r>
      <w:r w:rsidR="007C461A" w:rsidRPr="00854A35">
        <w:t xml:space="preserve"> </w:t>
      </w:r>
      <w:r w:rsidRPr="00854A35">
        <w:t>For temperature and pH, neither the QL nor the DL need to be reported.</w:t>
      </w:r>
      <w:r w:rsidR="007C461A" w:rsidRPr="00854A35">
        <w:t xml:space="preserve"> </w:t>
      </w:r>
      <w:r w:rsidRPr="00854A35">
        <w:t>For the other parameters</w:t>
      </w:r>
      <w:r w:rsidR="007C4B36" w:rsidRPr="00854A35">
        <w:t xml:space="preserve"> listed above</w:t>
      </w:r>
      <w:r w:rsidRPr="00854A35">
        <w:t>, the permittee is only required to report the QL and only when the result is ND.</w:t>
      </w:r>
    </w:p>
    <w:p w14:paraId="42E77BA3" w14:textId="3025DC3C" w:rsidR="00AD694D" w:rsidRPr="009E2687" w:rsidRDefault="00A3111E" w:rsidP="009F40BD">
      <w:pPr>
        <w:pStyle w:val="PermitHanging3"/>
        <w:numPr>
          <w:ilvl w:val="4"/>
          <w:numId w:val="3"/>
        </w:numPr>
      </w:pPr>
      <w:r w:rsidRPr="009E2687">
        <w:t>The permittee must report the same number of significant digits as the permit limit for a given parameter.</w:t>
      </w:r>
      <w:r w:rsidR="00117345">
        <w:t xml:space="preserve"> </w:t>
      </w:r>
    </w:p>
    <w:p w14:paraId="5B69FC79" w14:textId="4B7386CC" w:rsidR="00AD694D" w:rsidRPr="00854A35" w:rsidRDefault="00A3111E" w:rsidP="009F40BD">
      <w:pPr>
        <w:pStyle w:val="PermitHanging3"/>
        <w:numPr>
          <w:ilvl w:val="4"/>
          <w:numId w:val="3"/>
        </w:numPr>
      </w:pPr>
      <w:bookmarkStart w:id="61" w:name="OLE_LINK3"/>
      <w:r w:rsidRPr="00854A35">
        <w:t>(</w:t>
      </w:r>
      <w:r w:rsidR="00634738" w:rsidRPr="00854A35">
        <w:t>F</w:t>
      </w:r>
      <w:r w:rsidRPr="00854A35">
        <w:t>or Discharge Monitoring</w:t>
      </w:r>
      <w:r w:rsidR="007C461A" w:rsidRPr="00854A35">
        <w:t xml:space="preserve"> </w:t>
      </w:r>
      <w:r w:rsidRPr="00854A35">
        <w:t>Reports) If a sample result is above the DL but below the QL, the permittee must report the result as the DL preceded by DEQ’s data code “</w:t>
      </w:r>
      <w:r w:rsidR="00E441E8">
        <w:t>E</w:t>
      </w:r>
      <w:r w:rsidRPr="00854A35">
        <w:t>”. For example, if the DL is 1.0 µg/l, the QL is 3.0 µg/L and the result is estimated to be between the DL and QL, the permittee must report “</w:t>
      </w:r>
      <w:r w:rsidR="0012214D">
        <w:t>E</w:t>
      </w:r>
      <w:r w:rsidRPr="00854A35">
        <w:t>1.0 µg/L” on the DMR.</w:t>
      </w:r>
      <w:r w:rsidR="007C461A" w:rsidRPr="00854A35">
        <w:t xml:space="preserve"> </w:t>
      </w:r>
      <w:r w:rsidRPr="00854A35">
        <w:t>This requirement does not apply in the case of parameters for which the DL does not have to be reported.</w:t>
      </w:r>
    </w:p>
    <w:bookmarkEnd w:id="61"/>
    <w:p w14:paraId="03907970" w14:textId="2B78FC0B" w:rsidR="00A3111E" w:rsidRPr="00426F91" w:rsidRDefault="00A3111E" w:rsidP="009F40BD">
      <w:pPr>
        <w:pStyle w:val="PermitHanging3"/>
        <w:numPr>
          <w:ilvl w:val="4"/>
          <w:numId w:val="3"/>
        </w:numPr>
      </w:pPr>
      <w:r w:rsidRPr="00426F91">
        <w:t>(</w:t>
      </w:r>
      <w:r w:rsidR="00634738" w:rsidRPr="00426F91">
        <w:t>F</w:t>
      </w:r>
      <w:r w:rsidRPr="00426F91">
        <w:t>or Discharge Monitoring Reports) If the sample result is below the DL, the permittee must report the result as less than the specified DL.</w:t>
      </w:r>
      <w:r w:rsidR="007C461A" w:rsidRPr="00426F91">
        <w:t xml:space="preserve"> </w:t>
      </w:r>
      <w:r w:rsidRPr="00426F91">
        <w:t>For example, if the DL is 1.0 µg/L and the result is ND, report “&lt;1.0” on the discharge monitoring report (DMR).</w:t>
      </w:r>
      <w:r w:rsidR="007C461A" w:rsidRPr="00426F91">
        <w:t xml:space="preserve"> </w:t>
      </w:r>
      <w:r w:rsidRPr="00426F91">
        <w:t>This requirement does not apply in the case of parameters for which the DL does not have to be reported.</w:t>
      </w:r>
    </w:p>
    <w:p w14:paraId="37649ED7" w14:textId="64D047E8" w:rsidR="00AD694D" w:rsidRDefault="00AD694D">
      <w:pPr>
        <w:jc w:val="left"/>
        <w:rPr>
          <w:b/>
          <w:szCs w:val="22"/>
        </w:rPr>
      </w:pPr>
    </w:p>
    <w:p w14:paraId="588F6998" w14:textId="4C0D5AE3" w:rsidR="00A3111E" w:rsidRPr="001149A3" w:rsidRDefault="00A3111E" w:rsidP="009F40BD">
      <w:pPr>
        <w:pStyle w:val="PermitHanging2Non-TOC"/>
        <w:numPr>
          <w:ilvl w:val="3"/>
          <w:numId w:val="3"/>
        </w:numPr>
      </w:pPr>
      <w:r w:rsidRPr="001149A3">
        <w:t>Calculating and Reporting Mass Loads</w:t>
      </w:r>
    </w:p>
    <w:p w14:paraId="038EA1E6" w14:textId="18FFB9CA" w:rsidR="00A3111E" w:rsidRPr="001149A3" w:rsidRDefault="00A3111E" w:rsidP="009B2B71">
      <w:pPr>
        <w:pStyle w:val="PermitNormal"/>
        <w:spacing w:after="120"/>
        <w:ind w:left="1440"/>
        <w:rPr>
          <w:rFonts w:eastAsia="Calibri"/>
          <w:szCs w:val="22"/>
        </w:rPr>
      </w:pPr>
      <w:r w:rsidRPr="001149A3">
        <w:rPr>
          <w:rFonts w:eastAsia="Calibri"/>
          <w:szCs w:val="22"/>
        </w:rPr>
        <w:t>The permittee must calculate mass loads on each day the parameter is monitored using the following equation:</w:t>
      </w:r>
    </w:p>
    <w:p w14:paraId="30C29FB8" w14:textId="12F5D236" w:rsidR="00A3111E" w:rsidRPr="001149A3" w:rsidRDefault="00117345" w:rsidP="00117345">
      <w:pPr>
        <w:pStyle w:val="PermitNormal"/>
        <w:tabs>
          <w:tab w:val="left" w:pos="1800"/>
        </w:tabs>
        <w:spacing w:after="120"/>
        <w:ind w:left="1440"/>
      </w:pPr>
      <w:r>
        <w:rPr>
          <w:szCs w:val="22"/>
          <w:highlight w:val="yellow"/>
        </w:rPr>
        <w:tab/>
      </w:r>
      <w:r w:rsidR="00A3111E" w:rsidRPr="001149A3">
        <w:rPr>
          <w:szCs w:val="22"/>
          <w:highlight w:val="yellow"/>
        </w:rPr>
        <w:t>Example calculation:</w:t>
      </w:r>
      <w:r w:rsidR="00A3111E" w:rsidRPr="001149A3">
        <w:rPr>
          <w:szCs w:val="22"/>
        </w:rPr>
        <w:t xml:space="preserve"> </w:t>
      </w:r>
      <w:r w:rsidR="00A3111E" w:rsidRPr="001149A3">
        <w:rPr>
          <w:rFonts w:eastAsia="Calibri"/>
          <w:szCs w:val="22"/>
        </w:rPr>
        <w:t>Flow (in MGD) X Concentration (in mg/L) X 8.34 = Pounds per day</w:t>
      </w:r>
    </w:p>
    <w:p w14:paraId="1E6AC232" w14:textId="77777777" w:rsidR="00AD694D" w:rsidRDefault="00A3111E" w:rsidP="0017702F">
      <w:pPr>
        <w:pStyle w:val="ListParagraph"/>
        <w:numPr>
          <w:ilvl w:val="0"/>
          <w:numId w:val="35"/>
        </w:numPr>
        <w:ind w:left="2160" w:hanging="720"/>
      </w:pPr>
      <w:r w:rsidRPr="00AD694D">
        <w:t>Mass load limits all have two significant figures unless otherwise noted.</w:t>
      </w:r>
      <w:r w:rsidR="007C461A" w:rsidRPr="00AD694D">
        <w:t xml:space="preserve"> </w:t>
      </w:r>
    </w:p>
    <w:p w14:paraId="1D9FA88B" w14:textId="77777777" w:rsidR="00C24DD4" w:rsidRDefault="00A3111E" w:rsidP="0017702F">
      <w:pPr>
        <w:pStyle w:val="ListParagraph"/>
        <w:numPr>
          <w:ilvl w:val="0"/>
          <w:numId w:val="35"/>
        </w:numPr>
        <w:ind w:left="2160" w:hanging="720"/>
      </w:pPr>
      <w:r w:rsidRPr="00426F91">
        <w:t xml:space="preserve">When concentration data are below the </w:t>
      </w:r>
      <w:r w:rsidR="002D1F26" w:rsidRPr="00426F91">
        <w:t>DL</w:t>
      </w:r>
      <w:r w:rsidRPr="00426F91">
        <w:t>: To calculate the mass load from this result, use the DL. Report the mass load as less than the calculated mass load. For example, if flow is 2 MGD and the reported sample result is &lt;1.0 µg/L, report “&lt;0.</w:t>
      </w:r>
      <w:r w:rsidR="00936206" w:rsidRPr="00426F91">
        <w:t>0</w:t>
      </w:r>
      <w:r w:rsidR="00936206">
        <w:t>17</w:t>
      </w:r>
      <w:r w:rsidR="00936206" w:rsidRPr="00426F91">
        <w:t xml:space="preserve"> </w:t>
      </w:r>
      <w:proofErr w:type="spellStart"/>
      <w:r w:rsidRPr="00426F91">
        <w:t>lb</w:t>
      </w:r>
      <w:proofErr w:type="spellEnd"/>
      <w:r w:rsidRPr="00426F91">
        <w:t xml:space="preserve">/day” for mass load on the DMR (1.0 µg/L x 2 MGD x conversion factor = 0.017 </w:t>
      </w:r>
      <w:proofErr w:type="spellStart"/>
      <w:r w:rsidRPr="00426F91">
        <w:t>lb</w:t>
      </w:r>
      <w:proofErr w:type="spellEnd"/>
      <w:r w:rsidRPr="00426F91">
        <w:t>/day).</w:t>
      </w:r>
      <w:r w:rsidR="00936206">
        <w:t xml:space="preserve"> </w:t>
      </w:r>
    </w:p>
    <w:p w14:paraId="27F1FDAD" w14:textId="27E52A97" w:rsidR="00AD694D" w:rsidRPr="00426F91" w:rsidRDefault="007C461A" w:rsidP="00C24DD4">
      <w:pPr>
        <w:pStyle w:val="ListParagraph"/>
        <w:ind w:left="2160"/>
      </w:pPr>
      <w:r w:rsidRPr="00426F91">
        <w:t xml:space="preserve"> </w:t>
      </w:r>
    </w:p>
    <w:p w14:paraId="51DDC4CF" w14:textId="5A344C5F" w:rsidR="002477B2" w:rsidRDefault="002477B2">
      <w:pPr>
        <w:jc w:val="left"/>
        <w:rPr>
          <w:rFonts w:ascii="Arial" w:hAnsi="Arial"/>
          <w:b/>
          <w:sz w:val="24"/>
          <w:szCs w:val="22"/>
          <w:lang w:val="en-US"/>
        </w:rPr>
      </w:pPr>
      <w:bookmarkStart w:id="62" w:name="_Toc335998304"/>
      <w:bookmarkStart w:id="63" w:name="_Toc378605447"/>
      <w:bookmarkEnd w:id="58"/>
    </w:p>
    <w:p w14:paraId="56ABF94B" w14:textId="1F9B69BF" w:rsidR="00233394" w:rsidRDefault="00073356" w:rsidP="00923583">
      <w:pPr>
        <w:pStyle w:val="PermitHanging1TOC"/>
        <w:spacing w:after="120"/>
      </w:pPr>
      <w:bookmarkStart w:id="64" w:name="_Toc203135897"/>
      <w:r w:rsidRPr="00074D1C">
        <w:lastRenderedPageBreak/>
        <w:t>Monitoring and Reporting Requirements</w:t>
      </w:r>
      <w:bookmarkEnd w:id="62"/>
      <w:bookmarkEnd w:id="63"/>
      <w:bookmarkEnd w:id="64"/>
    </w:p>
    <w:p w14:paraId="58DA4F36" w14:textId="271DCE4C" w:rsidR="00852B72" w:rsidRPr="00117345" w:rsidRDefault="00852B72" w:rsidP="0017702F">
      <w:pPr>
        <w:pStyle w:val="PermitHanging2Non-TOC"/>
        <w:numPr>
          <w:ilvl w:val="3"/>
          <w:numId w:val="36"/>
        </w:numPr>
      </w:pPr>
      <w:r w:rsidRPr="00117345">
        <w:t xml:space="preserve">The permittee must monitor influent at </w:t>
      </w:r>
      <w:r w:rsidRPr="005E3CBD">
        <w:rPr>
          <w:highlight w:val="yellow"/>
        </w:rPr>
        <w:t xml:space="preserve">specify monitoring location, </w:t>
      </w:r>
      <w:r w:rsidR="007C4B36" w:rsidRPr="005E3CBD">
        <w:rPr>
          <w:highlight w:val="yellow"/>
        </w:rPr>
        <w:t xml:space="preserve">such as between the bar screen and the aerated grit chamber </w:t>
      </w:r>
      <w:r w:rsidRPr="00117345">
        <w:t xml:space="preserve">and </w:t>
      </w:r>
      <w:r w:rsidR="00A460F4" w:rsidRPr="00117345">
        <w:t>report results in accordance with</w:t>
      </w:r>
      <w:r w:rsidR="00510135">
        <w:t xml:space="preserve"> Table B1</w:t>
      </w:r>
      <w:r w:rsidR="00A460F4" w:rsidRPr="00117345">
        <w:t xml:space="preserve"> the table below</w:t>
      </w:r>
      <w:r w:rsidR="008D5559">
        <w:t>.</w:t>
      </w:r>
    </w:p>
    <w:p w14:paraId="616E9DAE" w14:textId="77777777" w:rsidR="00AD694D" w:rsidRPr="002477B2" w:rsidRDefault="00AD694D" w:rsidP="00AD694D">
      <w:pPr>
        <w:pStyle w:val="ListParagraph"/>
      </w:pPr>
    </w:p>
    <w:p w14:paraId="6E57ACE1" w14:textId="3FED0824" w:rsidR="00852B72" w:rsidRPr="0020291C" w:rsidRDefault="00852B72" w:rsidP="00A374CF">
      <w:pPr>
        <w:pStyle w:val="Caption"/>
        <w:spacing w:after="120"/>
      </w:pPr>
      <w:bookmarkStart w:id="65" w:name="TableB2"/>
      <w:bookmarkStart w:id="66" w:name="_Toc203135926"/>
      <w:r w:rsidRPr="0020291C">
        <w:t>Table B</w:t>
      </w:r>
      <w:r w:rsidR="00885E44">
        <w:t>2</w:t>
      </w:r>
      <w:bookmarkEnd w:id="65"/>
      <w:r w:rsidRPr="0020291C">
        <w:t xml:space="preserve">: </w:t>
      </w:r>
      <w:r>
        <w:t>Influent</w:t>
      </w:r>
      <w:r w:rsidR="008A253D">
        <w:t xml:space="preserve"> </w:t>
      </w:r>
      <w:r w:rsidRPr="0020291C">
        <w:t>Monitoring Requirements</w:t>
      </w:r>
      <w:bookmarkEnd w:id="66"/>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000" w:firstRow="0" w:lastRow="0" w:firstColumn="0" w:lastColumn="0" w:noHBand="0" w:noVBand="0"/>
      </w:tblPr>
      <w:tblGrid>
        <w:gridCol w:w="1842"/>
        <w:gridCol w:w="1084"/>
        <w:gridCol w:w="1608"/>
        <w:gridCol w:w="1350"/>
        <w:gridCol w:w="1936"/>
        <w:gridCol w:w="2423"/>
      </w:tblGrid>
      <w:tr w:rsidR="00F134B8" w:rsidRPr="001C59C3" w14:paraId="212626F8" w14:textId="77777777" w:rsidTr="00923583">
        <w:trPr>
          <w:cantSplit/>
          <w:trHeight w:val="576"/>
          <w:tblHeader/>
          <w:jc w:val="center"/>
        </w:trPr>
        <w:tc>
          <w:tcPr>
            <w:tcW w:w="899" w:type="pct"/>
            <w:shd w:val="clear" w:color="auto" w:fill="D9D9D9"/>
            <w:vAlign w:val="center"/>
          </w:tcPr>
          <w:p w14:paraId="349030A5" w14:textId="77777777" w:rsidR="00852B72" w:rsidRPr="00AD6B6B" w:rsidRDefault="00852B72" w:rsidP="00C966D2">
            <w:pPr>
              <w:keepNext/>
              <w:keepLines/>
              <w:suppressAutoHyphens/>
              <w:jc w:val="center"/>
              <w:rPr>
                <w:rFonts w:ascii="Arial" w:hAnsi="Arial" w:cs="Arial"/>
                <w:b/>
                <w:szCs w:val="22"/>
              </w:rPr>
            </w:pPr>
            <w:r w:rsidRPr="00AD6B6B">
              <w:rPr>
                <w:rFonts w:ascii="Arial" w:hAnsi="Arial" w:cs="Arial"/>
                <w:b/>
                <w:szCs w:val="22"/>
              </w:rPr>
              <w:t>Item or Parameter</w:t>
            </w:r>
          </w:p>
        </w:tc>
        <w:tc>
          <w:tcPr>
            <w:tcW w:w="529" w:type="pct"/>
            <w:shd w:val="clear" w:color="auto" w:fill="D9D9D9"/>
            <w:vAlign w:val="center"/>
          </w:tcPr>
          <w:p w14:paraId="1AA6FBFE" w14:textId="77777777" w:rsidR="00852B72" w:rsidRPr="00AD6B6B" w:rsidRDefault="00852B72" w:rsidP="00C966D2">
            <w:pPr>
              <w:keepNext/>
              <w:keepLines/>
              <w:suppressAutoHyphens/>
              <w:jc w:val="center"/>
              <w:rPr>
                <w:rFonts w:ascii="Arial" w:hAnsi="Arial" w:cs="Arial"/>
                <w:b/>
                <w:szCs w:val="22"/>
              </w:rPr>
            </w:pPr>
            <w:r w:rsidRPr="00AD6B6B">
              <w:rPr>
                <w:rFonts w:ascii="Arial" w:hAnsi="Arial" w:cs="Arial"/>
                <w:b/>
                <w:szCs w:val="22"/>
              </w:rPr>
              <w:t>Units</w:t>
            </w:r>
          </w:p>
        </w:tc>
        <w:tc>
          <w:tcPr>
            <w:tcW w:w="785" w:type="pct"/>
            <w:shd w:val="clear" w:color="auto" w:fill="D9D9D9"/>
            <w:vAlign w:val="center"/>
          </w:tcPr>
          <w:p w14:paraId="131DEEC8" w14:textId="77777777" w:rsidR="00852B72" w:rsidRPr="00AD6B6B" w:rsidRDefault="00852B72" w:rsidP="00C966D2">
            <w:pPr>
              <w:keepNext/>
              <w:keepLines/>
              <w:suppressAutoHyphens/>
              <w:jc w:val="center"/>
              <w:rPr>
                <w:rFonts w:ascii="Arial" w:hAnsi="Arial" w:cs="Arial"/>
                <w:b/>
                <w:szCs w:val="22"/>
              </w:rPr>
            </w:pPr>
            <w:r w:rsidRPr="00AD6B6B">
              <w:rPr>
                <w:rFonts w:ascii="Arial" w:hAnsi="Arial" w:cs="Arial"/>
                <w:b/>
                <w:szCs w:val="22"/>
              </w:rPr>
              <w:t>Time Period</w:t>
            </w:r>
          </w:p>
        </w:tc>
        <w:tc>
          <w:tcPr>
            <w:tcW w:w="659" w:type="pct"/>
            <w:shd w:val="clear" w:color="auto" w:fill="D9D9D9"/>
            <w:vAlign w:val="center"/>
          </w:tcPr>
          <w:p w14:paraId="7E5E2846" w14:textId="6CA9A5AA" w:rsidR="00852B72" w:rsidRPr="00C966D2" w:rsidRDefault="00852B72" w:rsidP="00C966D2">
            <w:pPr>
              <w:keepNext/>
              <w:keepLines/>
              <w:suppressAutoHyphens/>
              <w:jc w:val="center"/>
              <w:rPr>
                <w:rFonts w:ascii="Arial" w:hAnsi="Arial" w:cs="Arial"/>
                <w:b/>
                <w:szCs w:val="22"/>
              </w:rPr>
            </w:pPr>
            <w:r w:rsidRPr="00AD6B6B">
              <w:rPr>
                <w:rFonts w:ascii="Arial" w:hAnsi="Arial" w:cs="Arial"/>
                <w:b/>
                <w:szCs w:val="22"/>
              </w:rPr>
              <w:t>Minimum Frequency</w:t>
            </w:r>
          </w:p>
        </w:tc>
        <w:tc>
          <w:tcPr>
            <w:tcW w:w="945" w:type="pct"/>
            <w:shd w:val="clear" w:color="auto" w:fill="D9D9D9"/>
            <w:vAlign w:val="center"/>
          </w:tcPr>
          <w:p w14:paraId="7D3BF96A" w14:textId="1B291C14" w:rsidR="00C966D2" w:rsidRPr="00C966D2" w:rsidRDefault="00852B72" w:rsidP="001A10CC">
            <w:pPr>
              <w:keepNext/>
              <w:keepLines/>
              <w:suppressAutoHyphens/>
              <w:jc w:val="center"/>
              <w:rPr>
                <w:szCs w:val="22"/>
              </w:rPr>
            </w:pPr>
            <w:r w:rsidRPr="00AD6B6B">
              <w:rPr>
                <w:rFonts w:ascii="Arial" w:hAnsi="Arial" w:cs="Arial"/>
                <w:b/>
                <w:szCs w:val="22"/>
              </w:rPr>
              <w:t>Sample Type</w:t>
            </w:r>
            <w:r>
              <w:rPr>
                <w:rFonts w:ascii="Arial" w:hAnsi="Arial" w:cs="Arial"/>
                <w:b/>
                <w:szCs w:val="22"/>
              </w:rPr>
              <w:t xml:space="preserve"> </w:t>
            </w:r>
            <w:r w:rsidRPr="00AD6B6B">
              <w:rPr>
                <w:rFonts w:ascii="Arial" w:hAnsi="Arial" w:cs="Arial"/>
                <w:b/>
                <w:szCs w:val="22"/>
              </w:rPr>
              <w:t>/</w:t>
            </w:r>
            <w:r>
              <w:rPr>
                <w:rFonts w:ascii="Arial" w:hAnsi="Arial" w:cs="Arial"/>
                <w:b/>
                <w:szCs w:val="22"/>
              </w:rPr>
              <w:t xml:space="preserve"> </w:t>
            </w:r>
            <w:r w:rsidRPr="00AD6B6B">
              <w:rPr>
                <w:rFonts w:ascii="Arial" w:hAnsi="Arial" w:cs="Arial"/>
                <w:b/>
                <w:szCs w:val="22"/>
              </w:rPr>
              <w:t>Required Action</w:t>
            </w:r>
            <w:r w:rsidR="001A10CC">
              <w:rPr>
                <w:rFonts w:ascii="Arial" w:hAnsi="Arial" w:cs="Arial"/>
                <w:b/>
                <w:szCs w:val="22"/>
              </w:rPr>
              <w:t xml:space="preserve"> </w:t>
            </w:r>
            <w:r w:rsidR="001A10CC">
              <w:rPr>
                <w:rFonts w:ascii="Arial" w:hAnsi="Arial" w:cs="Arial"/>
                <w:b/>
                <w:szCs w:val="22"/>
              </w:rPr>
              <w:br/>
            </w:r>
            <w:r w:rsidR="006546C9">
              <w:rPr>
                <w:szCs w:val="22"/>
              </w:rPr>
              <w:t>(</w:t>
            </w:r>
            <w:r w:rsidR="00C966D2" w:rsidRPr="00C966D2">
              <w:rPr>
                <w:szCs w:val="22"/>
              </w:rPr>
              <w:t xml:space="preserve">See note </w:t>
            </w:r>
            <w:r w:rsidR="005F780A">
              <w:rPr>
                <w:szCs w:val="22"/>
              </w:rPr>
              <w:t>a</w:t>
            </w:r>
            <w:r w:rsidR="00C966D2" w:rsidRPr="00C966D2">
              <w:rPr>
                <w:szCs w:val="22"/>
              </w:rPr>
              <w:t>.</w:t>
            </w:r>
            <w:r w:rsidR="00923583">
              <w:rPr>
                <w:szCs w:val="22"/>
              </w:rPr>
              <w:t>)</w:t>
            </w:r>
          </w:p>
        </w:tc>
        <w:tc>
          <w:tcPr>
            <w:tcW w:w="1183" w:type="pct"/>
            <w:shd w:val="clear" w:color="auto" w:fill="D9D9D9"/>
            <w:vAlign w:val="center"/>
          </w:tcPr>
          <w:p w14:paraId="00DC5E9C" w14:textId="5CC02C95" w:rsidR="00885E44" w:rsidRPr="00C966D2" w:rsidRDefault="00852B72" w:rsidP="001A10CC">
            <w:pPr>
              <w:keepNext/>
              <w:keepLines/>
              <w:suppressAutoHyphens/>
              <w:jc w:val="center"/>
              <w:rPr>
                <w:szCs w:val="22"/>
              </w:rPr>
            </w:pPr>
            <w:r>
              <w:rPr>
                <w:rFonts w:ascii="Arial" w:hAnsi="Arial" w:cs="Arial"/>
                <w:b/>
                <w:szCs w:val="22"/>
              </w:rPr>
              <w:t>Report Statistic</w:t>
            </w:r>
            <w:r w:rsidR="001A10CC">
              <w:rPr>
                <w:rFonts w:ascii="Arial" w:hAnsi="Arial" w:cs="Arial"/>
                <w:b/>
                <w:szCs w:val="22"/>
              </w:rPr>
              <w:br/>
            </w:r>
            <w:r w:rsidR="006546C9">
              <w:rPr>
                <w:szCs w:val="22"/>
              </w:rPr>
              <w:t>(</w:t>
            </w:r>
            <w:r w:rsidR="00885E44" w:rsidRPr="00C966D2">
              <w:rPr>
                <w:szCs w:val="22"/>
              </w:rPr>
              <w:t xml:space="preserve">See note </w:t>
            </w:r>
            <w:r w:rsidR="005F780A">
              <w:rPr>
                <w:szCs w:val="22"/>
              </w:rPr>
              <w:t>b</w:t>
            </w:r>
            <w:r w:rsidR="00885E44" w:rsidRPr="00C966D2">
              <w:rPr>
                <w:szCs w:val="22"/>
              </w:rPr>
              <w:t>.</w:t>
            </w:r>
            <w:r w:rsidR="006546C9">
              <w:rPr>
                <w:szCs w:val="22"/>
              </w:rPr>
              <w:t>)</w:t>
            </w:r>
          </w:p>
        </w:tc>
      </w:tr>
      <w:tr w:rsidR="00852B72" w:rsidRPr="001C59C3" w14:paraId="63FF09C5" w14:textId="77777777" w:rsidTr="00923583">
        <w:trPr>
          <w:cantSplit/>
          <w:jc w:val="center"/>
        </w:trPr>
        <w:tc>
          <w:tcPr>
            <w:tcW w:w="899" w:type="pct"/>
            <w:shd w:val="clear" w:color="auto" w:fill="auto"/>
          </w:tcPr>
          <w:p w14:paraId="4FB1B696" w14:textId="77777777" w:rsidR="00852B72" w:rsidRPr="00DC76E5" w:rsidRDefault="00852B72" w:rsidP="00D74736">
            <w:pPr>
              <w:keepNext/>
              <w:keepLines/>
              <w:suppressAutoHyphens/>
              <w:jc w:val="left"/>
              <w:rPr>
                <w:spacing w:val="-3"/>
                <w:szCs w:val="22"/>
                <w:highlight w:val="yellow"/>
              </w:rPr>
            </w:pPr>
            <w:r w:rsidRPr="00AD6B6B">
              <w:rPr>
                <w:spacing w:val="-3"/>
                <w:szCs w:val="22"/>
                <w:highlight w:val="yellow"/>
              </w:rPr>
              <w:t>BOD</w:t>
            </w:r>
            <w:r w:rsidRPr="00AD6B6B">
              <w:rPr>
                <w:spacing w:val="-3"/>
                <w:szCs w:val="22"/>
                <w:highlight w:val="yellow"/>
                <w:vertAlign w:val="subscript"/>
              </w:rPr>
              <w:t>5</w:t>
            </w:r>
            <w:r>
              <w:rPr>
                <w:spacing w:val="-3"/>
                <w:szCs w:val="22"/>
                <w:highlight w:val="yellow"/>
              </w:rPr>
              <w:br/>
              <w:t>(00310)</w:t>
            </w:r>
          </w:p>
        </w:tc>
        <w:tc>
          <w:tcPr>
            <w:tcW w:w="529" w:type="pct"/>
          </w:tcPr>
          <w:p w14:paraId="6FB66A33" w14:textId="77777777" w:rsidR="00852B72" w:rsidRPr="00AD6B6B" w:rsidRDefault="00852B72" w:rsidP="00D74736">
            <w:pPr>
              <w:keepNext/>
              <w:keepLines/>
              <w:suppressAutoHyphens/>
              <w:jc w:val="left"/>
              <w:rPr>
                <w:szCs w:val="22"/>
                <w:highlight w:val="yellow"/>
              </w:rPr>
            </w:pPr>
            <w:r w:rsidRPr="00AD6B6B">
              <w:rPr>
                <w:szCs w:val="22"/>
                <w:highlight w:val="yellow"/>
              </w:rPr>
              <w:t>mg/L</w:t>
            </w:r>
          </w:p>
        </w:tc>
        <w:tc>
          <w:tcPr>
            <w:tcW w:w="785" w:type="pct"/>
          </w:tcPr>
          <w:p w14:paraId="4415169F" w14:textId="77777777" w:rsidR="00852B72" w:rsidRPr="00AD6B6B" w:rsidRDefault="00852B72" w:rsidP="00D74736">
            <w:pPr>
              <w:keepNext/>
              <w:keepLines/>
              <w:suppressAutoHyphens/>
              <w:jc w:val="left"/>
              <w:rPr>
                <w:szCs w:val="22"/>
                <w:highlight w:val="yellow"/>
              </w:rPr>
            </w:pPr>
            <w:r w:rsidRPr="00AD6B6B">
              <w:rPr>
                <w:szCs w:val="22"/>
                <w:highlight w:val="yellow"/>
              </w:rPr>
              <w:t>Year-round or seasonal (Example:</w:t>
            </w:r>
            <w:r>
              <w:rPr>
                <w:szCs w:val="22"/>
                <w:highlight w:val="yellow"/>
              </w:rPr>
              <w:t xml:space="preserve"> </w:t>
            </w:r>
            <w:r w:rsidRPr="00AD6B6B">
              <w:rPr>
                <w:szCs w:val="22"/>
                <w:highlight w:val="yellow"/>
              </w:rPr>
              <w:t>Nov – May)</w:t>
            </w:r>
          </w:p>
        </w:tc>
        <w:tc>
          <w:tcPr>
            <w:tcW w:w="659" w:type="pct"/>
          </w:tcPr>
          <w:p w14:paraId="7811A168" w14:textId="5B0247DA" w:rsidR="00852B72" w:rsidRPr="00AD6B6B" w:rsidRDefault="007C4B36" w:rsidP="00D74736">
            <w:pPr>
              <w:keepNext/>
              <w:keepLines/>
              <w:suppressAutoHyphens/>
              <w:jc w:val="left"/>
              <w:rPr>
                <w:szCs w:val="22"/>
                <w:highlight w:val="yellow"/>
              </w:rPr>
            </w:pPr>
            <w:r>
              <w:rPr>
                <w:szCs w:val="22"/>
                <w:highlight w:val="yellow"/>
              </w:rPr>
              <w:t>Monitoring Matrix</w:t>
            </w:r>
          </w:p>
        </w:tc>
        <w:tc>
          <w:tcPr>
            <w:tcW w:w="945" w:type="pct"/>
          </w:tcPr>
          <w:p w14:paraId="576A1634" w14:textId="77777777" w:rsidR="00852B72" w:rsidRPr="00AD6B6B" w:rsidRDefault="00852B72" w:rsidP="00D74736">
            <w:pPr>
              <w:keepNext/>
              <w:keepLines/>
              <w:jc w:val="left"/>
              <w:rPr>
                <w:szCs w:val="22"/>
                <w:highlight w:val="yellow"/>
              </w:rPr>
            </w:pPr>
            <w:r w:rsidRPr="00AD6B6B">
              <w:rPr>
                <w:rFonts w:eastAsia="Calibri"/>
                <w:szCs w:val="22"/>
                <w:highlight w:val="yellow"/>
              </w:rPr>
              <w:t>24-hour composite</w:t>
            </w:r>
          </w:p>
        </w:tc>
        <w:tc>
          <w:tcPr>
            <w:tcW w:w="1183" w:type="pct"/>
          </w:tcPr>
          <w:p w14:paraId="1BE2B9CF" w14:textId="2B8BFFB0" w:rsidR="00852B72" w:rsidRPr="00AD6B6B" w:rsidRDefault="00852B72" w:rsidP="00D74736">
            <w:pPr>
              <w:keepNext/>
              <w:keepLines/>
              <w:jc w:val="left"/>
              <w:rPr>
                <w:rFonts w:eastAsia="Calibri"/>
                <w:szCs w:val="22"/>
                <w:highlight w:val="yellow"/>
              </w:rPr>
            </w:pPr>
            <w:r>
              <w:rPr>
                <w:rFonts w:eastAsia="Calibri"/>
                <w:szCs w:val="22"/>
                <w:highlight w:val="yellow"/>
              </w:rPr>
              <w:t xml:space="preserve">Monthly </w:t>
            </w:r>
            <w:r w:rsidR="00D74736">
              <w:rPr>
                <w:rFonts w:eastAsia="Calibri"/>
                <w:szCs w:val="22"/>
                <w:highlight w:val="yellow"/>
              </w:rPr>
              <w:t>A</w:t>
            </w:r>
            <w:r>
              <w:rPr>
                <w:rFonts w:eastAsia="Calibri"/>
                <w:szCs w:val="22"/>
                <w:highlight w:val="yellow"/>
              </w:rPr>
              <w:t>verage</w:t>
            </w:r>
          </w:p>
        </w:tc>
      </w:tr>
      <w:tr w:rsidR="00852B72" w:rsidRPr="001C59C3" w14:paraId="38A85DC3" w14:textId="77777777" w:rsidTr="00923583">
        <w:trPr>
          <w:cantSplit/>
          <w:jc w:val="center"/>
        </w:trPr>
        <w:tc>
          <w:tcPr>
            <w:tcW w:w="899" w:type="pct"/>
            <w:shd w:val="clear" w:color="auto" w:fill="auto"/>
          </w:tcPr>
          <w:p w14:paraId="4A26C706" w14:textId="2D2EEC08" w:rsidR="00852B72" w:rsidRPr="00DC76E5" w:rsidRDefault="00852B72" w:rsidP="00B2300D">
            <w:pPr>
              <w:keepNext/>
              <w:keepLines/>
              <w:suppressAutoHyphens/>
              <w:jc w:val="left"/>
              <w:rPr>
                <w:spacing w:val="-3"/>
                <w:szCs w:val="22"/>
                <w:highlight w:val="yellow"/>
              </w:rPr>
            </w:pPr>
            <w:r w:rsidRPr="00AD6B6B">
              <w:rPr>
                <w:spacing w:val="-3"/>
                <w:szCs w:val="22"/>
                <w:highlight w:val="yellow"/>
              </w:rPr>
              <w:t>CBOD</w:t>
            </w:r>
            <w:r w:rsidRPr="00AD6B6B">
              <w:rPr>
                <w:spacing w:val="-3"/>
                <w:szCs w:val="22"/>
                <w:highlight w:val="yellow"/>
                <w:vertAlign w:val="subscript"/>
              </w:rPr>
              <w:t>5</w:t>
            </w:r>
            <w:r>
              <w:rPr>
                <w:spacing w:val="-3"/>
                <w:szCs w:val="22"/>
                <w:highlight w:val="yellow"/>
              </w:rPr>
              <w:br/>
              <w:t>(</w:t>
            </w:r>
            <w:r w:rsidR="00B2300D">
              <w:rPr>
                <w:spacing w:val="-3"/>
                <w:szCs w:val="22"/>
                <w:highlight w:val="yellow"/>
              </w:rPr>
              <w:t>80082</w:t>
            </w:r>
            <w:r>
              <w:rPr>
                <w:spacing w:val="-3"/>
                <w:szCs w:val="22"/>
                <w:highlight w:val="yellow"/>
              </w:rPr>
              <w:t>)</w:t>
            </w:r>
          </w:p>
        </w:tc>
        <w:tc>
          <w:tcPr>
            <w:tcW w:w="529" w:type="pct"/>
          </w:tcPr>
          <w:p w14:paraId="4CADFFB4" w14:textId="77777777" w:rsidR="00852B72" w:rsidRPr="00AD6B6B" w:rsidRDefault="00852B72" w:rsidP="00D74736">
            <w:pPr>
              <w:keepNext/>
              <w:keepLines/>
              <w:suppressAutoHyphens/>
              <w:jc w:val="left"/>
              <w:rPr>
                <w:szCs w:val="22"/>
                <w:highlight w:val="yellow"/>
              </w:rPr>
            </w:pPr>
            <w:r w:rsidRPr="00AD6B6B">
              <w:rPr>
                <w:szCs w:val="22"/>
                <w:highlight w:val="yellow"/>
              </w:rPr>
              <w:t>mg/L</w:t>
            </w:r>
          </w:p>
        </w:tc>
        <w:tc>
          <w:tcPr>
            <w:tcW w:w="785" w:type="pct"/>
          </w:tcPr>
          <w:p w14:paraId="4A378404" w14:textId="77777777" w:rsidR="00852B72" w:rsidRPr="00AD6B6B" w:rsidRDefault="00852B72" w:rsidP="00D74736">
            <w:pPr>
              <w:keepNext/>
              <w:keepLines/>
              <w:suppressAutoHyphens/>
              <w:jc w:val="left"/>
              <w:rPr>
                <w:szCs w:val="22"/>
                <w:highlight w:val="yellow"/>
              </w:rPr>
            </w:pPr>
            <w:r w:rsidRPr="00AD6B6B">
              <w:rPr>
                <w:szCs w:val="22"/>
                <w:highlight w:val="yellow"/>
              </w:rPr>
              <w:t>Year-round or seasonal (Example:</w:t>
            </w:r>
            <w:r>
              <w:rPr>
                <w:szCs w:val="22"/>
                <w:highlight w:val="yellow"/>
              </w:rPr>
              <w:t xml:space="preserve"> </w:t>
            </w:r>
            <w:r w:rsidRPr="00AD6B6B">
              <w:rPr>
                <w:szCs w:val="22"/>
                <w:highlight w:val="yellow"/>
              </w:rPr>
              <w:t>Nov – May)</w:t>
            </w:r>
          </w:p>
        </w:tc>
        <w:tc>
          <w:tcPr>
            <w:tcW w:w="659" w:type="pct"/>
          </w:tcPr>
          <w:p w14:paraId="4ED06F4F" w14:textId="573CFC0B" w:rsidR="00852B72" w:rsidRPr="00AD6B6B" w:rsidRDefault="007C4B36" w:rsidP="00D74736">
            <w:pPr>
              <w:keepNext/>
              <w:keepLines/>
              <w:suppressAutoHyphens/>
              <w:jc w:val="left"/>
              <w:rPr>
                <w:szCs w:val="22"/>
                <w:highlight w:val="yellow"/>
              </w:rPr>
            </w:pPr>
            <w:r>
              <w:rPr>
                <w:szCs w:val="22"/>
                <w:highlight w:val="yellow"/>
              </w:rPr>
              <w:t>Monitoring Matrix</w:t>
            </w:r>
          </w:p>
        </w:tc>
        <w:tc>
          <w:tcPr>
            <w:tcW w:w="945" w:type="pct"/>
          </w:tcPr>
          <w:p w14:paraId="2D4B0C15" w14:textId="77777777" w:rsidR="00852B72" w:rsidRPr="00AD6B6B" w:rsidRDefault="00852B72" w:rsidP="00D74736">
            <w:pPr>
              <w:keepNext/>
              <w:keepLines/>
              <w:jc w:val="left"/>
              <w:rPr>
                <w:szCs w:val="22"/>
                <w:highlight w:val="yellow"/>
              </w:rPr>
            </w:pPr>
            <w:r w:rsidRPr="00AD6B6B">
              <w:rPr>
                <w:rFonts w:eastAsia="Calibri"/>
                <w:szCs w:val="22"/>
                <w:highlight w:val="yellow"/>
              </w:rPr>
              <w:t>24-hour composite</w:t>
            </w:r>
          </w:p>
        </w:tc>
        <w:tc>
          <w:tcPr>
            <w:tcW w:w="1183" w:type="pct"/>
          </w:tcPr>
          <w:p w14:paraId="331B4810" w14:textId="34DCD68F" w:rsidR="00852B72" w:rsidRPr="00AD6B6B" w:rsidRDefault="00852B72" w:rsidP="00D74736">
            <w:pPr>
              <w:keepNext/>
              <w:keepLines/>
              <w:jc w:val="left"/>
              <w:rPr>
                <w:rFonts w:eastAsia="Calibri"/>
                <w:szCs w:val="22"/>
                <w:highlight w:val="yellow"/>
              </w:rPr>
            </w:pPr>
            <w:r>
              <w:rPr>
                <w:rFonts w:eastAsia="Calibri"/>
                <w:szCs w:val="22"/>
                <w:highlight w:val="yellow"/>
              </w:rPr>
              <w:t xml:space="preserve">Monthly </w:t>
            </w:r>
            <w:r w:rsidR="00D74736">
              <w:rPr>
                <w:rFonts w:eastAsia="Calibri"/>
                <w:szCs w:val="22"/>
                <w:highlight w:val="yellow"/>
              </w:rPr>
              <w:t>A</w:t>
            </w:r>
            <w:r>
              <w:rPr>
                <w:rFonts w:eastAsia="Calibri"/>
                <w:szCs w:val="22"/>
                <w:highlight w:val="yellow"/>
              </w:rPr>
              <w:t>verage</w:t>
            </w:r>
          </w:p>
        </w:tc>
      </w:tr>
      <w:tr w:rsidR="00852B72" w:rsidRPr="001C59C3" w14:paraId="56280D42" w14:textId="7CC89E46" w:rsidTr="00923583">
        <w:trPr>
          <w:cantSplit/>
          <w:jc w:val="center"/>
        </w:trPr>
        <w:tc>
          <w:tcPr>
            <w:tcW w:w="899" w:type="pct"/>
            <w:shd w:val="clear" w:color="auto" w:fill="auto"/>
          </w:tcPr>
          <w:p w14:paraId="2E21D46A" w14:textId="77777777" w:rsidR="00852B72" w:rsidRPr="00AD6B6B" w:rsidRDefault="00852B72" w:rsidP="00D74736">
            <w:pPr>
              <w:keepNext/>
              <w:keepLines/>
              <w:suppressAutoHyphens/>
              <w:jc w:val="left"/>
              <w:rPr>
                <w:spacing w:val="-3"/>
                <w:szCs w:val="22"/>
                <w:highlight w:val="yellow"/>
              </w:rPr>
            </w:pPr>
            <w:r w:rsidRPr="00AD6B6B">
              <w:rPr>
                <w:spacing w:val="-3"/>
                <w:szCs w:val="22"/>
                <w:highlight w:val="yellow"/>
              </w:rPr>
              <w:t>TSS</w:t>
            </w:r>
            <w:r>
              <w:rPr>
                <w:spacing w:val="-3"/>
                <w:szCs w:val="22"/>
                <w:highlight w:val="yellow"/>
              </w:rPr>
              <w:br/>
              <w:t>(00530)</w:t>
            </w:r>
          </w:p>
        </w:tc>
        <w:tc>
          <w:tcPr>
            <w:tcW w:w="529" w:type="pct"/>
          </w:tcPr>
          <w:p w14:paraId="62DEA06D" w14:textId="77777777" w:rsidR="00852B72" w:rsidRPr="00AD6B6B" w:rsidRDefault="00852B72" w:rsidP="00D74736">
            <w:pPr>
              <w:keepNext/>
              <w:keepLines/>
              <w:suppressAutoHyphens/>
              <w:jc w:val="left"/>
              <w:rPr>
                <w:szCs w:val="22"/>
                <w:highlight w:val="yellow"/>
              </w:rPr>
            </w:pPr>
            <w:r w:rsidRPr="00AD6B6B">
              <w:rPr>
                <w:szCs w:val="22"/>
                <w:highlight w:val="yellow"/>
              </w:rPr>
              <w:t>mg/L</w:t>
            </w:r>
          </w:p>
        </w:tc>
        <w:tc>
          <w:tcPr>
            <w:tcW w:w="785" w:type="pct"/>
          </w:tcPr>
          <w:p w14:paraId="11BD5F1A" w14:textId="77777777" w:rsidR="00852B72" w:rsidRPr="00AD6B6B" w:rsidRDefault="00852B72" w:rsidP="00D74736">
            <w:pPr>
              <w:keepNext/>
              <w:keepLines/>
              <w:suppressAutoHyphens/>
              <w:jc w:val="left"/>
              <w:rPr>
                <w:szCs w:val="22"/>
                <w:highlight w:val="yellow"/>
              </w:rPr>
            </w:pPr>
            <w:r w:rsidRPr="00AD6B6B">
              <w:rPr>
                <w:szCs w:val="22"/>
                <w:highlight w:val="yellow"/>
              </w:rPr>
              <w:t>Year-round or seasonal (Example:</w:t>
            </w:r>
            <w:r>
              <w:rPr>
                <w:szCs w:val="22"/>
                <w:highlight w:val="yellow"/>
              </w:rPr>
              <w:t xml:space="preserve"> </w:t>
            </w:r>
            <w:r w:rsidRPr="00AD6B6B">
              <w:rPr>
                <w:szCs w:val="22"/>
                <w:highlight w:val="yellow"/>
              </w:rPr>
              <w:t>Nov – May)</w:t>
            </w:r>
          </w:p>
        </w:tc>
        <w:tc>
          <w:tcPr>
            <w:tcW w:w="659" w:type="pct"/>
          </w:tcPr>
          <w:p w14:paraId="28F61255" w14:textId="5DDDCE67" w:rsidR="00852B72" w:rsidRPr="00AD6B6B" w:rsidRDefault="007C4B36" w:rsidP="00D74736">
            <w:pPr>
              <w:keepNext/>
              <w:keepLines/>
              <w:suppressAutoHyphens/>
              <w:jc w:val="left"/>
              <w:rPr>
                <w:szCs w:val="22"/>
                <w:highlight w:val="yellow"/>
              </w:rPr>
            </w:pPr>
            <w:r>
              <w:rPr>
                <w:szCs w:val="22"/>
                <w:highlight w:val="yellow"/>
              </w:rPr>
              <w:t>Monitoring Matrix</w:t>
            </w:r>
          </w:p>
        </w:tc>
        <w:tc>
          <w:tcPr>
            <w:tcW w:w="945" w:type="pct"/>
          </w:tcPr>
          <w:p w14:paraId="032A0EF7" w14:textId="77777777" w:rsidR="00852B72" w:rsidRPr="00AD6B6B" w:rsidRDefault="00852B72" w:rsidP="00D74736">
            <w:pPr>
              <w:keepNext/>
              <w:keepLines/>
              <w:jc w:val="left"/>
              <w:rPr>
                <w:szCs w:val="22"/>
                <w:highlight w:val="yellow"/>
              </w:rPr>
            </w:pPr>
            <w:r w:rsidRPr="00AD6B6B">
              <w:rPr>
                <w:rFonts w:eastAsia="Calibri"/>
                <w:szCs w:val="22"/>
                <w:highlight w:val="yellow"/>
              </w:rPr>
              <w:t>24-hour composite</w:t>
            </w:r>
          </w:p>
        </w:tc>
        <w:tc>
          <w:tcPr>
            <w:tcW w:w="1183" w:type="pct"/>
          </w:tcPr>
          <w:p w14:paraId="7F8CC32A" w14:textId="171FFAB4" w:rsidR="00852B72" w:rsidRPr="00AD6B6B" w:rsidRDefault="00852B72" w:rsidP="00D74736">
            <w:pPr>
              <w:keepNext/>
              <w:keepLines/>
              <w:jc w:val="left"/>
              <w:rPr>
                <w:rFonts w:eastAsia="Calibri"/>
                <w:szCs w:val="22"/>
                <w:highlight w:val="yellow"/>
              </w:rPr>
            </w:pPr>
            <w:r>
              <w:rPr>
                <w:rFonts w:eastAsia="Calibri"/>
                <w:szCs w:val="22"/>
                <w:highlight w:val="yellow"/>
              </w:rPr>
              <w:t xml:space="preserve">Monthly </w:t>
            </w:r>
            <w:r w:rsidR="00D74736">
              <w:rPr>
                <w:rFonts w:eastAsia="Calibri"/>
                <w:szCs w:val="22"/>
                <w:highlight w:val="yellow"/>
              </w:rPr>
              <w:t>A</w:t>
            </w:r>
            <w:r>
              <w:rPr>
                <w:rFonts w:eastAsia="Calibri"/>
                <w:szCs w:val="22"/>
                <w:highlight w:val="yellow"/>
              </w:rPr>
              <w:t>verage</w:t>
            </w:r>
          </w:p>
        </w:tc>
      </w:tr>
      <w:tr w:rsidR="0024348A" w:rsidRPr="001C59C3" w14:paraId="3F9EB90F" w14:textId="77777777" w:rsidTr="00923583">
        <w:trPr>
          <w:cantSplit/>
          <w:jc w:val="center"/>
        </w:trPr>
        <w:tc>
          <w:tcPr>
            <w:tcW w:w="899" w:type="pct"/>
            <w:shd w:val="clear" w:color="auto" w:fill="auto"/>
          </w:tcPr>
          <w:p w14:paraId="24840054" w14:textId="77777777" w:rsidR="0024348A" w:rsidRDefault="0024348A" w:rsidP="00D74736">
            <w:pPr>
              <w:keepNext/>
              <w:keepLines/>
              <w:suppressAutoHyphens/>
              <w:jc w:val="left"/>
              <w:rPr>
                <w:spacing w:val="-3"/>
                <w:szCs w:val="22"/>
                <w:highlight w:val="yellow"/>
              </w:rPr>
            </w:pPr>
            <w:r>
              <w:rPr>
                <w:spacing w:val="-3"/>
                <w:szCs w:val="22"/>
                <w:highlight w:val="yellow"/>
              </w:rPr>
              <w:t>pH</w:t>
            </w:r>
          </w:p>
          <w:p w14:paraId="62F7593F" w14:textId="03403CF5" w:rsidR="007C4B36" w:rsidRPr="00AD6B6B" w:rsidRDefault="007C4B36" w:rsidP="00D74736">
            <w:pPr>
              <w:keepNext/>
              <w:keepLines/>
              <w:suppressAutoHyphens/>
              <w:jc w:val="left"/>
              <w:rPr>
                <w:spacing w:val="-3"/>
                <w:szCs w:val="22"/>
                <w:highlight w:val="yellow"/>
              </w:rPr>
            </w:pPr>
            <w:r>
              <w:rPr>
                <w:spacing w:val="-3"/>
                <w:szCs w:val="22"/>
                <w:highlight w:val="yellow"/>
              </w:rPr>
              <w:t>(00400)</w:t>
            </w:r>
          </w:p>
        </w:tc>
        <w:tc>
          <w:tcPr>
            <w:tcW w:w="529" w:type="pct"/>
          </w:tcPr>
          <w:p w14:paraId="4627A246" w14:textId="6DDF8A7E" w:rsidR="0024348A" w:rsidRPr="00AD6B6B" w:rsidRDefault="00970DF0" w:rsidP="00D74736">
            <w:pPr>
              <w:keepNext/>
              <w:keepLines/>
              <w:suppressAutoHyphens/>
              <w:jc w:val="left"/>
              <w:rPr>
                <w:szCs w:val="22"/>
                <w:highlight w:val="yellow"/>
              </w:rPr>
            </w:pPr>
            <w:r>
              <w:rPr>
                <w:szCs w:val="22"/>
                <w:highlight w:val="yellow"/>
              </w:rPr>
              <w:t>SU</w:t>
            </w:r>
          </w:p>
        </w:tc>
        <w:tc>
          <w:tcPr>
            <w:tcW w:w="785" w:type="pct"/>
          </w:tcPr>
          <w:p w14:paraId="79892FD8" w14:textId="012A726E" w:rsidR="0024348A" w:rsidRPr="00AD6B6B" w:rsidRDefault="0024348A" w:rsidP="00D74736">
            <w:pPr>
              <w:keepNext/>
              <w:keepLines/>
              <w:suppressAutoHyphens/>
              <w:jc w:val="left"/>
              <w:rPr>
                <w:szCs w:val="22"/>
                <w:highlight w:val="yellow"/>
              </w:rPr>
            </w:pPr>
            <w:r w:rsidRPr="0024348A">
              <w:rPr>
                <w:szCs w:val="22"/>
              </w:rPr>
              <w:t>Year-round</w:t>
            </w:r>
          </w:p>
        </w:tc>
        <w:tc>
          <w:tcPr>
            <w:tcW w:w="659" w:type="pct"/>
          </w:tcPr>
          <w:p w14:paraId="1EFD5833" w14:textId="53CD1641" w:rsidR="0024348A" w:rsidRPr="00AD6B6B" w:rsidRDefault="0024348A" w:rsidP="00D74736">
            <w:pPr>
              <w:keepNext/>
              <w:keepLines/>
              <w:suppressAutoHyphens/>
              <w:jc w:val="left"/>
              <w:rPr>
                <w:szCs w:val="22"/>
                <w:highlight w:val="yellow"/>
              </w:rPr>
            </w:pPr>
            <w:r>
              <w:rPr>
                <w:szCs w:val="22"/>
                <w:highlight w:val="yellow"/>
              </w:rPr>
              <w:t>Monitoring Matrix</w:t>
            </w:r>
          </w:p>
        </w:tc>
        <w:tc>
          <w:tcPr>
            <w:tcW w:w="945" w:type="pct"/>
          </w:tcPr>
          <w:p w14:paraId="782D5133" w14:textId="6F01FB68" w:rsidR="0024348A" w:rsidRPr="00AD6B6B" w:rsidRDefault="0024348A" w:rsidP="00D74736">
            <w:pPr>
              <w:keepNext/>
              <w:keepLines/>
              <w:jc w:val="left"/>
              <w:rPr>
                <w:rFonts w:eastAsia="Calibri"/>
                <w:szCs w:val="22"/>
                <w:highlight w:val="yellow"/>
              </w:rPr>
            </w:pPr>
            <w:r>
              <w:rPr>
                <w:rFonts w:eastAsia="Calibri"/>
                <w:szCs w:val="22"/>
                <w:highlight w:val="yellow"/>
              </w:rPr>
              <w:t>Grab</w:t>
            </w:r>
          </w:p>
        </w:tc>
        <w:tc>
          <w:tcPr>
            <w:tcW w:w="1183" w:type="pct"/>
          </w:tcPr>
          <w:p w14:paraId="56FF6E96" w14:textId="77777777" w:rsidR="00DA13C1" w:rsidRDefault="00D74736" w:rsidP="0017702F">
            <w:pPr>
              <w:pStyle w:val="ListParagraph"/>
              <w:keepNext/>
              <w:keepLines/>
              <w:numPr>
                <w:ilvl w:val="0"/>
                <w:numId w:val="46"/>
              </w:numPr>
              <w:rPr>
                <w:highlight w:val="yellow"/>
              </w:rPr>
            </w:pPr>
            <w:r w:rsidRPr="00DA13C1">
              <w:rPr>
                <w:highlight w:val="yellow"/>
              </w:rPr>
              <w:t xml:space="preserve">Monthly </w:t>
            </w:r>
            <w:r w:rsidR="00565226" w:rsidRPr="00DA13C1">
              <w:rPr>
                <w:highlight w:val="yellow"/>
              </w:rPr>
              <w:t>Maximum</w:t>
            </w:r>
          </w:p>
          <w:p w14:paraId="7D9105F6" w14:textId="0E2FB355" w:rsidR="0024348A" w:rsidRPr="00DA13C1" w:rsidRDefault="00565226" w:rsidP="0017702F">
            <w:pPr>
              <w:pStyle w:val="ListParagraph"/>
              <w:keepNext/>
              <w:keepLines/>
              <w:numPr>
                <w:ilvl w:val="0"/>
                <w:numId w:val="46"/>
              </w:numPr>
              <w:rPr>
                <w:highlight w:val="yellow"/>
              </w:rPr>
            </w:pPr>
            <w:r w:rsidRPr="00DA13C1">
              <w:rPr>
                <w:highlight w:val="yellow"/>
              </w:rPr>
              <w:t>Monthly Minimum</w:t>
            </w:r>
          </w:p>
        </w:tc>
      </w:tr>
      <w:tr w:rsidR="00885E44" w:rsidRPr="001C59C3" w14:paraId="6BE65AB3" w14:textId="77777777" w:rsidTr="00923583">
        <w:trPr>
          <w:cantSplit/>
          <w:jc w:val="center"/>
        </w:trPr>
        <w:tc>
          <w:tcPr>
            <w:tcW w:w="899" w:type="pct"/>
            <w:shd w:val="clear" w:color="auto" w:fill="auto"/>
          </w:tcPr>
          <w:p w14:paraId="3F14C4F0" w14:textId="2B5DB134" w:rsidR="00885E44" w:rsidRDefault="00BC64F6" w:rsidP="00D74736">
            <w:pPr>
              <w:keepNext/>
              <w:keepLines/>
              <w:suppressAutoHyphens/>
              <w:jc w:val="left"/>
              <w:rPr>
                <w:spacing w:val="-3"/>
                <w:szCs w:val="22"/>
                <w:highlight w:val="yellow"/>
              </w:rPr>
            </w:pPr>
            <w:r>
              <w:rPr>
                <w:spacing w:val="-3"/>
                <w:szCs w:val="22"/>
                <w:highlight w:val="yellow"/>
              </w:rPr>
              <w:t>Additional</w:t>
            </w:r>
            <w:r w:rsidR="0024348A">
              <w:rPr>
                <w:spacing w:val="-3"/>
                <w:szCs w:val="22"/>
                <w:highlight w:val="yellow"/>
              </w:rPr>
              <w:t xml:space="preserve"> Parameters as needed</w:t>
            </w:r>
          </w:p>
        </w:tc>
        <w:tc>
          <w:tcPr>
            <w:tcW w:w="529" w:type="pct"/>
          </w:tcPr>
          <w:p w14:paraId="1AD4040E" w14:textId="77777777" w:rsidR="00885E44" w:rsidRPr="00AD6B6B" w:rsidRDefault="00885E44" w:rsidP="00D74736">
            <w:pPr>
              <w:keepNext/>
              <w:keepLines/>
              <w:suppressAutoHyphens/>
              <w:jc w:val="left"/>
              <w:rPr>
                <w:szCs w:val="22"/>
                <w:highlight w:val="yellow"/>
              </w:rPr>
            </w:pPr>
          </w:p>
        </w:tc>
        <w:tc>
          <w:tcPr>
            <w:tcW w:w="785" w:type="pct"/>
          </w:tcPr>
          <w:p w14:paraId="52AC50E5" w14:textId="77777777" w:rsidR="00885E44" w:rsidRPr="00AD6B6B" w:rsidRDefault="00885E44" w:rsidP="00D74736">
            <w:pPr>
              <w:keepNext/>
              <w:keepLines/>
              <w:suppressAutoHyphens/>
              <w:jc w:val="left"/>
              <w:rPr>
                <w:szCs w:val="22"/>
                <w:highlight w:val="yellow"/>
              </w:rPr>
            </w:pPr>
          </w:p>
        </w:tc>
        <w:tc>
          <w:tcPr>
            <w:tcW w:w="659" w:type="pct"/>
          </w:tcPr>
          <w:p w14:paraId="37A849CB" w14:textId="77777777" w:rsidR="00885E44" w:rsidRPr="00AD6B6B" w:rsidRDefault="00885E44" w:rsidP="00D74736">
            <w:pPr>
              <w:keepNext/>
              <w:keepLines/>
              <w:suppressAutoHyphens/>
              <w:jc w:val="left"/>
              <w:rPr>
                <w:szCs w:val="22"/>
                <w:highlight w:val="yellow"/>
              </w:rPr>
            </w:pPr>
          </w:p>
        </w:tc>
        <w:tc>
          <w:tcPr>
            <w:tcW w:w="945" w:type="pct"/>
          </w:tcPr>
          <w:p w14:paraId="4E23BA1A" w14:textId="77777777" w:rsidR="00885E44" w:rsidRPr="00AD6B6B" w:rsidRDefault="00885E44" w:rsidP="00D74736">
            <w:pPr>
              <w:keepNext/>
              <w:keepLines/>
              <w:jc w:val="left"/>
              <w:rPr>
                <w:rFonts w:eastAsia="Calibri"/>
                <w:szCs w:val="22"/>
                <w:highlight w:val="yellow"/>
              </w:rPr>
            </w:pPr>
          </w:p>
        </w:tc>
        <w:tc>
          <w:tcPr>
            <w:tcW w:w="1183" w:type="pct"/>
          </w:tcPr>
          <w:p w14:paraId="4BA74A9E" w14:textId="77777777" w:rsidR="00885E44" w:rsidRDefault="00885E44" w:rsidP="00D74736">
            <w:pPr>
              <w:keepNext/>
              <w:keepLines/>
              <w:jc w:val="left"/>
              <w:rPr>
                <w:rFonts w:eastAsia="Calibri"/>
                <w:szCs w:val="22"/>
                <w:highlight w:val="yellow"/>
              </w:rPr>
            </w:pPr>
          </w:p>
        </w:tc>
      </w:tr>
      <w:tr w:rsidR="00885E44" w:rsidRPr="001C59C3" w14:paraId="58B54D7F" w14:textId="77777777" w:rsidTr="00923583">
        <w:trPr>
          <w:cantSplit/>
          <w:jc w:val="center"/>
        </w:trPr>
        <w:tc>
          <w:tcPr>
            <w:tcW w:w="5000" w:type="pct"/>
            <w:gridSpan w:val="6"/>
            <w:shd w:val="clear" w:color="auto" w:fill="auto"/>
          </w:tcPr>
          <w:p w14:paraId="435846F4" w14:textId="084E0CA9" w:rsidR="00885E44" w:rsidRDefault="00885E44" w:rsidP="00122925">
            <w:pPr>
              <w:keepNext/>
              <w:keepLines/>
              <w:suppressAutoHyphens/>
              <w:spacing w:after="60"/>
              <w:jc w:val="left"/>
              <w:rPr>
                <w:spacing w:val="-3"/>
                <w:szCs w:val="22"/>
                <w:highlight w:val="yellow"/>
              </w:rPr>
            </w:pPr>
            <w:r>
              <w:rPr>
                <w:spacing w:val="-3"/>
                <w:szCs w:val="22"/>
                <w:highlight w:val="yellow"/>
              </w:rPr>
              <w:t>Notes:</w:t>
            </w:r>
          </w:p>
          <w:p w14:paraId="6FCCF361" w14:textId="09980B85" w:rsidR="005F780A" w:rsidRDefault="005F780A" w:rsidP="0017702F">
            <w:pPr>
              <w:pStyle w:val="ListParagraph"/>
              <w:keepNext/>
              <w:keepLines/>
              <w:numPr>
                <w:ilvl w:val="7"/>
                <w:numId w:val="71"/>
              </w:numPr>
              <w:spacing w:after="60"/>
              <w:ind w:left="360"/>
              <w:contextualSpacing w:val="0"/>
              <w:rPr>
                <w:spacing w:val="-3"/>
              </w:rPr>
            </w:pPr>
            <w:r w:rsidRPr="0024348A">
              <w:rPr>
                <w:spacing w:val="-3"/>
                <w:lang w:val="en-CA"/>
              </w:rPr>
              <w:t xml:space="preserve">In the event of equipment failure or loss, the permittee must notify DEQ and deploy new equipment to minimize interruption of data collection. If new equipment cannot be immediately deployed, </w:t>
            </w:r>
            <w:r>
              <w:rPr>
                <w:spacing w:val="-3"/>
                <w:lang w:val="en-CA"/>
              </w:rPr>
              <w:t>the p</w:t>
            </w:r>
            <w:r w:rsidRPr="0024348A">
              <w:rPr>
                <w:spacing w:val="-3"/>
                <w:lang w:val="en-CA"/>
              </w:rPr>
              <w:t xml:space="preserve">ermittee must </w:t>
            </w:r>
            <w:r w:rsidR="0056025E">
              <w:rPr>
                <w:spacing w:val="-3"/>
                <w:lang w:val="en-CA"/>
              </w:rPr>
              <w:t>perform</w:t>
            </w:r>
            <w:r w:rsidRPr="0024348A">
              <w:rPr>
                <w:spacing w:val="-3"/>
                <w:lang w:val="en-CA"/>
              </w:rPr>
              <w:t xml:space="preserve"> grab measurements</w:t>
            </w:r>
            <w:r w:rsidR="001A10CC">
              <w:rPr>
                <w:spacing w:val="-3"/>
                <w:lang w:val="en-CA"/>
              </w:rPr>
              <w:t>.</w:t>
            </w:r>
            <w:r w:rsidRPr="0024348A">
              <w:rPr>
                <w:spacing w:val="-3"/>
                <w:lang w:val="en-CA"/>
              </w:rPr>
              <w:t xml:space="preserve"> </w:t>
            </w:r>
          </w:p>
          <w:p w14:paraId="47BCE738" w14:textId="68F64CFB" w:rsidR="00885E44" w:rsidRPr="00B51036" w:rsidRDefault="00B51036" w:rsidP="0017702F">
            <w:pPr>
              <w:pStyle w:val="ListParagraph"/>
              <w:keepNext/>
              <w:keepLines/>
              <w:numPr>
                <w:ilvl w:val="7"/>
                <w:numId w:val="71"/>
              </w:numPr>
              <w:spacing w:after="60"/>
              <w:ind w:left="360"/>
              <w:contextualSpacing w:val="0"/>
              <w:rPr>
                <w:spacing w:val="-3"/>
              </w:rPr>
            </w:pPr>
            <w:r w:rsidRPr="00B51036">
              <w:rPr>
                <w:spacing w:val="-3"/>
              </w:rPr>
              <w:t xml:space="preserve">When submitting DMRs electronically, </w:t>
            </w:r>
            <w:r w:rsidR="006B6B87">
              <w:rPr>
                <w:spacing w:val="-3"/>
              </w:rPr>
              <w:t xml:space="preserve">the permittee must </w:t>
            </w:r>
            <w:r w:rsidR="0056025E">
              <w:rPr>
                <w:spacing w:val="-3"/>
              </w:rPr>
              <w:t>submit</w:t>
            </w:r>
            <w:r w:rsidR="006B6B87">
              <w:rPr>
                <w:spacing w:val="-3"/>
              </w:rPr>
              <w:t xml:space="preserve"> </w:t>
            </w:r>
            <w:r w:rsidRPr="00B51036">
              <w:rPr>
                <w:spacing w:val="-3"/>
              </w:rPr>
              <w:t>all data used to determ</w:t>
            </w:r>
            <w:r w:rsidR="001A10CC">
              <w:rPr>
                <w:spacing w:val="-3"/>
              </w:rPr>
              <w:t>ine summary statistics in a DEQ-</w:t>
            </w:r>
            <w:r w:rsidRPr="00B51036">
              <w:rPr>
                <w:spacing w:val="-3"/>
              </w:rPr>
              <w:t>approved format as a</w:t>
            </w:r>
            <w:r w:rsidR="005452EE">
              <w:rPr>
                <w:spacing w:val="-3"/>
              </w:rPr>
              <w:t xml:space="preserve"> </w:t>
            </w:r>
            <w:r w:rsidR="0056025E">
              <w:rPr>
                <w:spacing w:val="-3"/>
              </w:rPr>
              <w:t>spreadsheet</w:t>
            </w:r>
            <w:r w:rsidRPr="00B51036">
              <w:rPr>
                <w:spacing w:val="-3"/>
              </w:rPr>
              <w:t xml:space="preserve"> </w:t>
            </w:r>
            <w:r w:rsidR="000C3F56">
              <w:rPr>
                <w:spacing w:val="-3"/>
              </w:rPr>
              <w:t>via electronic reporting</w:t>
            </w:r>
            <w:r w:rsidRPr="00B51036">
              <w:rPr>
                <w:spacing w:val="-3"/>
              </w:rPr>
              <w:t xml:space="preserve"> unless otherwise directed by DE</w:t>
            </w:r>
            <w:r w:rsidRPr="008541AD">
              <w:rPr>
                <w:spacing w:val="-3"/>
              </w:rPr>
              <w:t xml:space="preserve">Q. </w:t>
            </w:r>
          </w:p>
          <w:p w14:paraId="749379D1" w14:textId="2001F4BD" w:rsidR="0024348A" w:rsidRPr="00885E44" w:rsidRDefault="0024348A" w:rsidP="00122925">
            <w:pPr>
              <w:pStyle w:val="ListParagraph"/>
              <w:keepNext/>
              <w:keepLines/>
              <w:spacing w:after="60"/>
              <w:ind w:left="331"/>
              <w:contextualSpacing w:val="0"/>
              <w:rPr>
                <w:spacing w:val="-3"/>
              </w:rPr>
            </w:pPr>
          </w:p>
        </w:tc>
      </w:tr>
    </w:tbl>
    <w:p w14:paraId="2555C7C1" w14:textId="77777777" w:rsidR="00852B72" w:rsidRPr="00852B72" w:rsidRDefault="00852B72" w:rsidP="00E352A9">
      <w:pPr>
        <w:pStyle w:val="PermitNormal"/>
      </w:pPr>
    </w:p>
    <w:p w14:paraId="79FE573A" w14:textId="436CBFD9" w:rsidR="004330AE" w:rsidRDefault="004330AE">
      <w:pPr>
        <w:jc w:val="left"/>
        <w:rPr>
          <w:lang w:val="en-US"/>
        </w:rPr>
      </w:pPr>
      <w:r>
        <w:br w:type="page"/>
      </w:r>
    </w:p>
    <w:p w14:paraId="1E87A916" w14:textId="5C9EE8AA" w:rsidR="001D531C" w:rsidRPr="002477B2" w:rsidRDefault="00073356" w:rsidP="0017702F">
      <w:pPr>
        <w:pStyle w:val="ListParagraph"/>
        <w:numPr>
          <w:ilvl w:val="0"/>
          <w:numId w:val="33"/>
        </w:numPr>
        <w:ind w:left="1440" w:hanging="720"/>
      </w:pPr>
      <w:r w:rsidRPr="002477B2">
        <w:lastRenderedPageBreak/>
        <w:t>The permittee must monitor</w:t>
      </w:r>
      <w:r w:rsidR="001D531C" w:rsidRPr="002477B2">
        <w:t xml:space="preserve"> effluent at Outfall 001</w:t>
      </w:r>
      <w:r w:rsidR="00C41A9E" w:rsidRPr="002477B2">
        <w:t xml:space="preserve"> </w:t>
      </w:r>
      <w:r w:rsidRPr="002477B2">
        <w:rPr>
          <w:highlight w:val="yellow"/>
        </w:rPr>
        <w:t xml:space="preserve">specify location, </w:t>
      </w:r>
      <w:r w:rsidR="007C4B36" w:rsidRPr="002477B2">
        <w:rPr>
          <w:highlight w:val="yellow"/>
        </w:rPr>
        <w:t>such as the end of the active chlorine contact channel</w:t>
      </w:r>
      <w:r w:rsidR="007C4B36" w:rsidRPr="002477B2" w:rsidDel="007C4B36">
        <w:rPr>
          <w:highlight w:val="yellow"/>
        </w:rPr>
        <w:t xml:space="preserve"> </w:t>
      </w:r>
      <w:r w:rsidR="001D531C" w:rsidRPr="002477B2">
        <w:t>and report results in accordance with</w:t>
      </w:r>
      <w:r w:rsidR="00EB552D" w:rsidRPr="002477B2">
        <w:t xml:space="preserve"> Table B1 and</w:t>
      </w:r>
      <w:r w:rsidR="001D531C" w:rsidRPr="002477B2">
        <w:t xml:space="preserve"> the table below:</w:t>
      </w:r>
      <w:r w:rsidR="007C461A" w:rsidRPr="002477B2">
        <w:t xml:space="preserve"> </w:t>
      </w:r>
    </w:p>
    <w:p w14:paraId="18C4ECA1" w14:textId="74D871FF" w:rsidR="00A14E63" w:rsidRDefault="00A14E63">
      <w:pPr>
        <w:jc w:val="left"/>
        <w:rPr>
          <w:rFonts w:ascii="Arial" w:eastAsia="Calibri" w:hAnsi="Arial"/>
          <w:b/>
          <w:bCs/>
          <w:sz w:val="20"/>
          <w:szCs w:val="18"/>
          <w:lang w:val="en-US"/>
        </w:rPr>
      </w:pPr>
      <w:bookmarkStart w:id="67" w:name="_Ref324856296"/>
      <w:bookmarkStart w:id="68" w:name="_Ref324856302"/>
      <w:bookmarkStart w:id="69" w:name="_Toc325148548"/>
      <w:bookmarkStart w:id="70" w:name="_Toc378775951"/>
    </w:p>
    <w:p w14:paraId="0F1AEC78" w14:textId="0042ABC9" w:rsidR="00393B19" w:rsidRDefault="00073356" w:rsidP="00393B19">
      <w:pPr>
        <w:pStyle w:val="Caption"/>
        <w:spacing w:after="120"/>
      </w:pPr>
      <w:bookmarkStart w:id="71" w:name="_Toc203135927"/>
      <w:r>
        <w:t>Table</w:t>
      </w:r>
      <w:bookmarkEnd w:id="67"/>
      <w:r>
        <w:t xml:space="preserve"> B</w:t>
      </w:r>
      <w:r w:rsidR="00885E44">
        <w:t>3</w:t>
      </w:r>
      <w:r>
        <w:t xml:space="preserve">: </w:t>
      </w:r>
      <w:bookmarkEnd w:id="68"/>
      <w:bookmarkEnd w:id="69"/>
      <w:bookmarkEnd w:id="70"/>
      <w:r w:rsidR="00885E44">
        <w:t>Effluent</w:t>
      </w:r>
      <w:r w:rsidR="00885E44" w:rsidRPr="00885E44">
        <w:t xml:space="preserve"> Monitoring Requirements</w:t>
      </w:r>
      <w:bookmarkEnd w:id="71"/>
      <w:r w:rsidR="0024348A">
        <w:t xml:space="preserve"> </w:t>
      </w:r>
    </w:p>
    <w:p w14:paraId="4EC36680" w14:textId="6BCE4317" w:rsidR="003F2A30" w:rsidRPr="003F2A30" w:rsidRDefault="0024348A" w:rsidP="00393B19">
      <w:pPr>
        <w:pStyle w:val="PermitNormal"/>
      </w:pPr>
      <w:r w:rsidRPr="00E038DC">
        <w:rPr>
          <w:highlight w:val="yellow"/>
        </w:rPr>
        <w:t>[</w:t>
      </w:r>
      <w:r w:rsidR="00E038DC" w:rsidRPr="00E038DC">
        <w:rPr>
          <w:highlight w:val="yellow"/>
        </w:rPr>
        <w:t>Note to permit writer: group effluent monitoring so that compliance monitoring is at the top of the table.]</w:t>
      </w:r>
      <w:r w:rsidR="00560035">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1620"/>
        <w:gridCol w:w="1620"/>
        <w:gridCol w:w="1620"/>
        <w:gridCol w:w="1620"/>
      </w:tblGrid>
      <w:tr w:rsidR="00DA13C1" w:rsidRPr="00A30D47" w14:paraId="76E3C0D7" w14:textId="77777777" w:rsidTr="4C327C5F">
        <w:trPr>
          <w:cantSplit/>
          <w:trHeight w:val="576"/>
          <w:tblHeader/>
          <w:jc w:val="center"/>
        </w:trPr>
        <w:tc>
          <w:tcPr>
            <w:tcW w:w="1620" w:type="dxa"/>
            <w:shd w:val="clear" w:color="auto" w:fill="D9D9D9" w:themeFill="background1" w:themeFillShade="D9"/>
            <w:vAlign w:val="center"/>
          </w:tcPr>
          <w:p w14:paraId="3E4FBE2E" w14:textId="0278B1D4" w:rsidR="00D51456" w:rsidRPr="00A30D47" w:rsidRDefault="00D51456" w:rsidP="008E1E7D">
            <w:pPr>
              <w:pStyle w:val="TableColumnHeading"/>
            </w:pPr>
            <w:r w:rsidRPr="00A30D47">
              <w:t xml:space="preserve">Item or Parameter </w:t>
            </w:r>
          </w:p>
        </w:tc>
        <w:tc>
          <w:tcPr>
            <w:tcW w:w="1620" w:type="dxa"/>
            <w:shd w:val="clear" w:color="auto" w:fill="D9D9D9" w:themeFill="background1" w:themeFillShade="D9"/>
            <w:vAlign w:val="center"/>
          </w:tcPr>
          <w:p w14:paraId="143FB44B" w14:textId="77777777" w:rsidR="00D51456" w:rsidRPr="00A30D47" w:rsidRDefault="00D51456" w:rsidP="008E1E7D">
            <w:pPr>
              <w:pStyle w:val="TableColumnHeading"/>
            </w:pPr>
            <w:r w:rsidRPr="00A30D47">
              <w:t>Units</w:t>
            </w:r>
          </w:p>
        </w:tc>
        <w:tc>
          <w:tcPr>
            <w:tcW w:w="1620" w:type="dxa"/>
            <w:shd w:val="clear" w:color="auto" w:fill="D9D9D9" w:themeFill="background1" w:themeFillShade="D9"/>
            <w:vAlign w:val="center"/>
          </w:tcPr>
          <w:p w14:paraId="6AF462F5" w14:textId="77777777" w:rsidR="00D51456" w:rsidRPr="00A30D47" w:rsidRDefault="00D51456" w:rsidP="008E1E7D">
            <w:pPr>
              <w:pStyle w:val="TableColumnHeading"/>
            </w:pPr>
            <w:r w:rsidRPr="00A30D47">
              <w:t>Time Period</w:t>
            </w:r>
          </w:p>
        </w:tc>
        <w:tc>
          <w:tcPr>
            <w:tcW w:w="1620" w:type="dxa"/>
            <w:shd w:val="clear" w:color="auto" w:fill="D9D9D9" w:themeFill="background1" w:themeFillShade="D9"/>
            <w:vAlign w:val="center"/>
          </w:tcPr>
          <w:p w14:paraId="3C85364F" w14:textId="374F59E0" w:rsidR="00D51456" w:rsidRPr="00A30D47" w:rsidRDefault="00D51456" w:rsidP="008E1E7D">
            <w:pPr>
              <w:pStyle w:val="TableColumnHeading"/>
              <w:rPr>
                <w:vertAlign w:val="superscript"/>
              </w:rPr>
            </w:pPr>
            <w:r w:rsidRPr="00A30D47">
              <w:t>Minimum Frequency</w:t>
            </w:r>
          </w:p>
        </w:tc>
        <w:tc>
          <w:tcPr>
            <w:tcW w:w="1620" w:type="dxa"/>
            <w:shd w:val="clear" w:color="auto" w:fill="D9D9D9" w:themeFill="background1" w:themeFillShade="D9"/>
            <w:vAlign w:val="center"/>
          </w:tcPr>
          <w:p w14:paraId="5D813E5A" w14:textId="3847D248" w:rsidR="00B55AD3" w:rsidRPr="00C966D2" w:rsidRDefault="00D51456" w:rsidP="001A10CC">
            <w:pPr>
              <w:pStyle w:val="TableColumnHeading"/>
              <w:rPr>
                <w:rFonts w:ascii="Times New Roman" w:hAnsi="Times New Roman" w:cs="Times New Roman"/>
                <w:b w:val="0"/>
              </w:rPr>
            </w:pPr>
            <w:r w:rsidRPr="00A30D47">
              <w:t>Sample Type/</w:t>
            </w:r>
            <w:r w:rsidR="001A10CC">
              <w:t xml:space="preserve"> </w:t>
            </w:r>
            <w:r w:rsidRPr="00A30D47">
              <w:t>Required Action</w:t>
            </w:r>
            <w:r w:rsidR="001A10CC">
              <w:br/>
            </w:r>
            <w:r w:rsidR="006546C9">
              <w:rPr>
                <w:rFonts w:ascii="Times New Roman" w:hAnsi="Times New Roman" w:cs="Times New Roman"/>
                <w:b w:val="0"/>
              </w:rPr>
              <w:t>(</w:t>
            </w:r>
            <w:r w:rsidR="00B55AD3" w:rsidRPr="00C966D2">
              <w:rPr>
                <w:rFonts w:ascii="Times New Roman" w:hAnsi="Times New Roman" w:cs="Times New Roman"/>
                <w:b w:val="0"/>
              </w:rPr>
              <w:t xml:space="preserve">See note </w:t>
            </w:r>
            <w:r w:rsidR="005F780A">
              <w:rPr>
                <w:rFonts w:ascii="Times New Roman" w:hAnsi="Times New Roman" w:cs="Times New Roman"/>
                <w:b w:val="0"/>
              </w:rPr>
              <w:t>a</w:t>
            </w:r>
            <w:r w:rsidR="00B55AD3" w:rsidRPr="00C966D2">
              <w:rPr>
                <w:rFonts w:ascii="Times New Roman" w:hAnsi="Times New Roman" w:cs="Times New Roman"/>
                <w:b w:val="0"/>
              </w:rPr>
              <w:t>.</w:t>
            </w:r>
            <w:r w:rsidR="006546C9">
              <w:rPr>
                <w:rFonts w:ascii="Times New Roman" w:hAnsi="Times New Roman" w:cs="Times New Roman"/>
                <w:b w:val="0"/>
              </w:rPr>
              <w:t>)</w:t>
            </w:r>
          </w:p>
        </w:tc>
        <w:tc>
          <w:tcPr>
            <w:tcW w:w="1620" w:type="dxa"/>
            <w:shd w:val="clear" w:color="auto" w:fill="D9D9D9" w:themeFill="background1" w:themeFillShade="D9"/>
            <w:vAlign w:val="center"/>
          </w:tcPr>
          <w:p w14:paraId="4241F1BD" w14:textId="5929E427" w:rsidR="00885E44" w:rsidRPr="00C966D2" w:rsidRDefault="00D51456" w:rsidP="001A10CC">
            <w:pPr>
              <w:pStyle w:val="TableColumnHeading"/>
              <w:rPr>
                <w:rFonts w:ascii="Times New Roman" w:hAnsi="Times New Roman" w:cs="Times New Roman"/>
                <w:b w:val="0"/>
                <w:i/>
              </w:rPr>
            </w:pPr>
            <w:r>
              <w:t>Report</w:t>
            </w:r>
            <w:r w:rsidRPr="00A30D47">
              <w:t xml:space="preserve"> Statistic</w:t>
            </w:r>
            <w:r w:rsidR="001A10CC">
              <w:br/>
            </w:r>
            <w:r w:rsidR="006546C9">
              <w:rPr>
                <w:rFonts w:ascii="Times New Roman" w:hAnsi="Times New Roman" w:cs="Times New Roman"/>
                <w:b w:val="0"/>
              </w:rPr>
              <w:t>(</w:t>
            </w:r>
            <w:r w:rsidR="00885E44" w:rsidRPr="00C966D2">
              <w:rPr>
                <w:rFonts w:ascii="Times New Roman" w:hAnsi="Times New Roman" w:cs="Times New Roman"/>
                <w:b w:val="0"/>
              </w:rPr>
              <w:t xml:space="preserve">See note </w:t>
            </w:r>
            <w:r w:rsidR="005F780A">
              <w:rPr>
                <w:rFonts w:ascii="Times New Roman" w:hAnsi="Times New Roman" w:cs="Times New Roman"/>
                <w:b w:val="0"/>
              </w:rPr>
              <w:t>b</w:t>
            </w:r>
            <w:r w:rsidR="00885E44" w:rsidRPr="00C966D2">
              <w:rPr>
                <w:rFonts w:ascii="Times New Roman" w:hAnsi="Times New Roman" w:cs="Times New Roman"/>
                <w:b w:val="0"/>
              </w:rPr>
              <w:t>.</w:t>
            </w:r>
            <w:r w:rsidR="006546C9">
              <w:rPr>
                <w:rFonts w:ascii="Times New Roman" w:hAnsi="Times New Roman" w:cs="Times New Roman"/>
                <w:b w:val="0"/>
              </w:rPr>
              <w:t>)</w:t>
            </w:r>
          </w:p>
        </w:tc>
      </w:tr>
      <w:tr w:rsidR="00DA13C1" w:rsidRPr="00A30D47" w14:paraId="54AC7179" w14:textId="77777777" w:rsidTr="4C327C5F">
        <w:trPr>
          <w:cantSplit/>
          <w:jc w:val="center"/>
        </w:trPr>
        <w:tc>
          <w:tcPr>
            <w:tcW w:w="1620" w:type="dxa"/>
          </w:tcPr>
          <w:p w14:paraId="2435FD03" w14:textId="66EF8171" w:rsidR="00A460F4" w:rsidRPr="00D74736" w:rsidRDefault="00A460F4" w:rsidP="00D74736">
            <w:pPr>
              <w:suppressAutoHyphens/>
              <w:jc w:val="left"/>
              <w:rPr>
                <w:spacing w:val="-3"/>
                <w:szCs w:val="22"/>
              </w:rPr>
            </w:pPr>
            <w:r w:rsidRPr="00D74736">
              <w:rPr>
                <w:szCs w:val="22"/>
              </w:rPr>
              <w:t>Flow (50050)</w:t>
            </w:r>
          </w:p>
        </w:tc>
        <w:tc>
          <w:tcPr>
            <w:tcW w:w="1620" w:type="dxa"/>
          </w:tcPr>
          <w:p w14:paraId="463831BC" w14:textId="0203C833" w:rsidR="00A460F4" w:rsidRPr="00D74736" w:rsidRDefault="00A460F4" w:rsidP="00D74736">
            <w:pPr>
              <w:suppressAutoHyphens/>
              <w:jc w:val="left"/>
              <w:rPr>
                <w:spacing w:val="-3"/>
                <w:szCs w:val="22"/>
              </w:rPr>
            </w:pPr>
            <w:r w:rsidRPr="00D74736">
              <w:rPr>
                <w:szCs w:val="22"/>
              </w:rPr>
              <w:t>MGD</w:t>
            </w:r>
          </w:p>
        </w:tc>
        <w:tc>
          <w:tcPr>
            <w:tcW w:w="1620" w:type="dxa"/>
          </w:tcPr>
          <w:p w14:paraId="74D8C45F" w14:textId="662402D9" w:rsidR="00A460F4" w:rsidRPr="00D74736" w:rsidRDefault="00A460F4" w:rsidP="00D74736">
            <w:pPr>
              <w:suppressAutoHyphens/>
              <w:jc w:val="left"/>
              <w:rPr>
                <w:spacing w:val="-3"/>
                <w:szCs w:val="22"/>
              </w:rPr>
            </w:pPr>
            <w:r w:rsidRPr="00D74736">
              <w:rPr>
                <w:szCs w:val="22"/>
              </w:rPr>
              <w:t>Year-round</w:t>
            </w:r>
          </w:p>
        </w:tc>
        <w:tc>
          <w:tcPr>
            <w:tcW w:w="1620" w:type="dxa"/>
          </w:tcPr>
          <w:p w14:paraId="3AF270DD" w14:textId="57F20694" w:rsidR="00A460F4" w:rsidRPr="00D74736" w:rsidRDefault="007C4B36" w:rsidP="00D74736">
            <w:pPr>
              <w:suppressAutoHyphens/>
              <w:jc w:val="left"/>
              <w:rPr>
                <w:szCs w:val="22"/>
                <w:highlight w:val="yellow"/>
              </w:rPr>
            </w:pPr>
            <w:r>
              <w:rPr>
                <w:szCs w:val="22"/>
                <w:highlight w:val="yellow"/>
              </w:rPr>
              <w:t>Monitoring Matrix</w:t>
            </w:r>
          </w:p>
        </w:tc>
        <w:tc>
          <w:tcPr>
            <w:tcW w:w="1620" w:type="dxa"/>
          </w:tcPr>
          <w:p w14:paraId="01E0ADF9" w14:textId="62F0C476" w:rsidR="00A460F4" w:rsidRPr="00D74736" w:rsidRDefault="00A460F4" w:rsidP="00D74736">
            <w:pPr>
              <w:suppressAutoHyphens/>
              <w:contextualSpacing/>
              <w:jc w:val="left"/>
              <w:rPr>
                <w:szCs w:val="22"/>
              </w:rPr>
            </w:pPr>
            <w:r w:rsidRPr="00D74736">
              <w:rPr>
                <w:szCs w:val="22"/>
              </w:rPr>
              <w:t>Metered</w:t>
            </w:r>
          </w:p>
        </w:tc>
        <w:tc>
          <w:tcPr>
            <w:tcW w:w="1620" w:type="dxa"/>
          </w:tcPr>
          <w:p w14:paraId="027B63A0" w14:textId="49ADCD7D" w:rsidR="00A460F4" w:rsidRPr="00D74736" w:rsidRDefault="00A460F4" w:rsidP="0017702F">
            <w:pPr>
              <w:pStyle w:val="Tablecellentry"/>
              <w:numPr>
                <w:ilvl w:val="0"/>
                <w:numId w:val="47"/>
              </w:numPr>
              <w:rPr>
                <w:rFonts w:cs="Times New Roman"/>
                <w:szCs w:val="22"/>
                <w:highlight w:val="yellow"/>
              </w:rPr>
            </w:pPr>
            <w:r w:rsidRPr="00D74736">
              <w:rPr>
                <w:rFonts w:cs="Times New Roman"/>
                <w:szCs w:val="22"/>
                <w:highlight w:val="yellow"/>
              </w:rPr>
              <w:t xml:space="preserve">Monthly </w:t>
            </w:r>
            <w:r w:rsidR="00D74736" w:rsidRPr="00D74736">
              <w:rPr>
                <w:rFonts w:cs="Times New Roman"/>
                <w:szCs w:val="22"/>
                <w:highlight w:val="yellow"/>
              </w:rPr>
              <w:t>A</w:t>
            </w:r>
            <w:r w:rsidRPr="00D74736">
              <w:rPr>
                <w:rFonts w:cs="Times New Roman"/>
                <w:szCs w:val="22"/>
                <w:highlight w:val="yellow"/>
              </w:rPr>
              <w:t>verage</w:t>
            </w:r>
          </w:p>
          <w:p w14:paraId="237EDB36" w14:textId="2BB12075" w:rsidR="00A460F4" w:rsidRPr="00DA13C1" w:rsidRDefault="00A460F4" w:rsidP="0017702F">
            <w:pPr>
              <w:pStyle w:val="ListParagraph"/>
              <w:numPr>
                <w:ilvl w:val="0"/>
                <w:numId w:val="47"/>
              </w:numPr>
              <w:rPr>
                <w:highlight w:val="yellow"/>
              </w:rPr>
            </w:pPr>
            <w:r w:rsidRPr="00DA13C1">
              <w:rPr>
                <w:highlight w:val="yellow"/>
              </w:rPr>
              <w:t xml:space="preserve">Daily </w:t>
            </w:r>
            <w:r w:rsidR="00D74736" w:rsidRPr="00DA13C1">
              <w:rPr>
                <w:highlight w:val="yellow"/>
              </w:rPr>
              <w:t>M</w:t>
            </w:r>
            <w:r w:rsidRPr="00DA13C1">
              <w:rPr>
                <w:highlight w:val="yellow"/>
              </w:rPr>
              <w:t>ax</w:t>
            </w:r>
            <w:r w:rsidR="00D74736" w:rsidRPr="00DA13C1">
              <w:rPr>
                <w:highlight w:val="yellow"/>
              </w:rPr>
              <w:t>imum</w:t>
            </w:r>
          </w:p>
        </w:tc>
      </w:tr>
      <w:tr w:rsidR="00DA13C1" w:rsidRPr="00A30D47" w14:paraId="432B1E78" w14:textId="77777777" w:rsidTr="4C327C5F">
        <w:trPr>
          <w:cantSplit/>
          <w:jc w:val="center"/>
        </w:trPr>
        <w:tc>
          <w:tcPr>
            <w:tcW w:w="1620" w:type="dxa"/>
          </w:tcPr>
          <w:p w14:paraId="1A69E880" w14:textId="4536FF7F" w:rsidR="00D51456" w:rsidRPr="00D74736" w:rsidRDefault="00D51456" w:rsidP="00D74736">
            <w:pPr>
              <w:suppressAutoHyphens/>
              <w:jc w:val="left"/>
              <w:rPr>
                <w:spacing w:val="-3"/>
                <w:szCs w:val="22"/>
                <w:highlight w:val="yellow"/>
              </w:rPr>
            </w:pPr>
            <w:r w:rsidRPr="00D74736">
              <w:rPr>
                <w:spacing w:val="-3"/>
                <w:szCs w:val="22"/>
              </w:rPr>
              <w:t>BOD</w:t>
            </w:r>
            <w:r w:rsidRPr="00D74736">
              <w:rPr>
                <w:spacing w:val="-3"/>
                <w:szCs w:val="22"/>
                <w:vertAlign w:val="subscript"/>
              </w:rPr>
              <w:t>5</w:t>
            </w:r>
            <w:r w:rsidR="00D74736" w:rsidRPr="00D74736">
              <w:rPr>
                <w:spacing w:val="-3"/>
                <w:szCs w:val="22"/>
              </w:rPr>
              <w:t xml:space="preserve"> </w:t>
            </w:r>
            <w:r w:rsidR="001B6711" w:rsidRPr="00D74736">
              <w:rPr>
                <w:spacing w:val="-3"/>
                <w:szCs w:val="22"/>
              </w:rPr>
              <w:t>(00310)</w:t>
            </w:r>
          </w:p>
        </w:tc>
        <w:tc>
          <w:tcPr>
            <w:tcW w:w="1620" w:type="dxa"/>
          </w:tcPr>
          <w:p w14:paraId="6C093BA8" w14:textId="77777777" w:rsidR="00D51456" w:rsidRPr="00D74736" w:rsidRDefault="00D51456" w:rsidP="00D74736">
            <w:pPr>
              <w:suppressAutoHyphens/>
              <w:jc w:val="left"/>
              <w:rPr>
                <w:szCs w:val="22"/>
                <w:highlight w:val="yellow"/>
              </w:rPr>
            </w:pPr>
            <w:r w:rsidRPr="00D74736">
              <w:rPr>
                <w:spacing w:val="-3"/>
                <w:szCs w:val="22"/>
              </w:rPr>
              <w:t>mg/L</w:t>
            </w:r>
          </w:p>
        </w:tc>
        <w:tc>
          <w:tcPr>
            <w:tcW w:w="1620" w:type="dxa"/>
          </w:tcPr>
          <w:p w14:paraId="39428EF9" w14:textId="77777777" w:rsidR="00D51456" w:rsidRPr="00D74736" w:rsidRDefault="00D51456" w:rsidP="00D74736">
            <w:pPr>
              <w:suppressAutoHyphens/>
              <w:jc w:val="left"/>
              <w:rPr>
                <w:szCs w:val="22"/>
                <w:highlight w:val="yellow"/>
              </w:rPr>
            </w:pPr>
            <w:r w:rsidRPr="00D74736">
              <w:rPr>
                <w:spacing w:val="-3"/>
                <w:szCs w:val="22"/>
              </w:rPr>
              <w:t>Year-round</w:t>
            </w:r>
          </w:p>
        </w:tc>
        <w:tc>
          <w:tcPr>
            <w:tcW w:w="1620" w:type="dxa"/>
          </w:tcPr>
          <w:p w14:paraId="4973B282" w14:textId="294490F3" w:rsidR="00D51456" w:rsidRPr="00D74736" w:rsidRDefault="007C4B36" w:rsidP="00D74736">
            <w:pPr>
              <w:suppressAutoHyphens/>
              <w:jc w:val="left"/>
              <w:rPr>
                <w:szCs w:val="22"/>
                <w:highlight w:val="yellow"/>
              </w:rPr>
            </w:pPr>
            <w:r>
              <w:rPr>
                <w:szCs w:val="22"/>
                <w:highlight w:val="yellow"/>
              </w:rPr>
              <w:t>Monitoring Matrix</w:t>
            </w:r>
          </w:p>
        </w:tc>
        <w:tc>
          <w:tcPr>
            <w:tcW w:w="1620" w:type="dxa"/>
          </w:tcPr>
          <w:p w14:paraId="76940D13" w14:textId="77777777" w:rsidR="00D51456" w:rsidRPr="00D74736" w:rsidRDefault="00D51456" w:rsidP="00D74736">
            <w:pPr>
              <w:suppressAutoHyphens/>
              <w:contextualSpacing/>
              <w:jc w:val="left"/>
              <w:rPr>
                <w:rFonts w:eastAsia="Calibri"/>
                <w:szCs w:val="22"/>
              </w:rPr>
            </w:pPr>
            <w:r w:rsidRPr="00D74736">
              <w:rPr>
                <w:szCs w:val="22"/>
              </w:rPr>
              <w:t>24-hour composite</w:t>
            </w:r>
          </w:p>
        </w:tc>
        <w:tc>
          <w:tcPr>
            <w:tcW w:w="1620" w:type="dxa"/>
          </w:tcPr>
          <w:p w14:paraId="28C688AA" w14:textId="77777777" w:rsidR="00D51456" w:rsidRPr="00DA13C1" w:rsidRDefault="00D51456" w:rsidP="0017702F">
            <w:pPr>
              <w:pStyle w:val="ListParagraph"/>
              <w:numPr>
                <w:ilvl w:val="0"/>
                <w:numId w:val="48"/>
              </w:numPr>
              <w:rPr>
                <w:highlight w:val="yellow"/>
              </w:rPr>
            </w:pPr>
            <w:r w:rsidRPr="00DA13C1">
              <w:rPr>
                <w:highlight w:val="yellow"/>
              </w:rPr>
              <w:t xml:space="preserve">Monthly Average </w:t>
            </w:r>
          </w:p>
          <w:p w14:paraId="361AF4B9" w14:textId="3E440B32" w:rsidR="00D51456" w:rsidRPr="00DA13C1" w:rsidRDefault="006F7336" w:rsidP="0017702F">
            <w:pPr>
              <w:pStyle w:val="ListParagraph"/>
              <w:numPr>
                <w:ilvl w:val="0"/>
                <w:numId w:val="48"/>
              </w:numPr>
              <w:rPr>
                <w:highlight w:val="yellow"/>
              </w:rPr>
            </w:pPr>
            <w:r w:rsidRPr="00DA13C1">
              <w:rPr>
                <w:highlight w:val="yellow"/>
              </w:rPr>
              <w:t xml:space="preserve">Maximum </w:t>
            </w:r>
            <w:r w:rsidR="00D51456" w:rsidRPr="00DA13C1">
              <w:rPr>
                <w:highlight w:val="yellow"/>
              </w:rPr>
              <w:t>Weekly Average</w:t>
            </w:r>
          </w:p>
        </w:tc>
      </w:tr>
      <w:tr w:rsidR="00DA13C1" w:rsidRPr="00A30D47" w14:paraId="7B3F88F2" w14:textId="77777777" w:rsidTr="4C327C5F">
        <w:trPr>
          <w:cantSplit/>
          <w:jc w:val="center"/>
        </w:trPr>
        <w:tc>
          <w:tcPr>
            <w:tcW w:w="1620" w:type="dxa"/>
          </w:tcPr>
          <w:p w14:paraId="683CC373" w14:textId="3B491F9D" w:rsidR="00D51456" w:rsidRPr="00D74736" w:rsidRDefault="00D51456" w:rsidP="00D74736">
            <w:pPr>
              <w:suppressAutoHyphens/>
              <w:jc w:val="left"/>
              <w:rPr>
                <w:spacing w:val="-3"/>
                <w:szCs w:val="22"/>
                <w:highlight w:val="yellow"/>
              </w:rPr>
            </w:pPr>
            <w:r w:rsidRPr="00D74736">
              <w:rPr>
                <w:spacing w:val="-3"/>
                <w:szCs w:val="22"/>
              </w:rPr>
              <w:t>BOD</w:t>
            </w:r>
            <w:r w:rsidRPr="00D74736">
              <w:rPr>
                <w:spacing w:val="-3"/>
                <w:szCs w:val="22"/>
                <w:vertAlign w:val="subscript"/>
              </w:rPr>
              <w:t>5</w:t>
            </w:r>
            <w:r w:rsidR="00D74736" w:rsidRPr="00D74736">
              <w:rPr>
                <w:spacing w:val="-3"/>
                <w:szCs w:val="22"/>
              </w:rPr>
              <w:t xml:space="preserve"> </w:t>
            </w:r>
            <w:r w:rsidR="001B6711" w:rsidRPr="00D74736">
              <w:rPr>
                <w:spacing w:val="-3"/>
                <w:szCs w:val="22"/>
              </w:rPr>
              <w:t>(0031</w:t>
            </w:r>
            <w:r w:rsidR="00DC76E5" w:rsidRPr="00D74736">
              <w:rPr>
                <w:spacing w:val="-3"/>
                <w:szCs w:val="22"/>
              </w:rPr>
              <w:t>0</w:t>
            </w:r>
            <w:r w:rsidR="001B6711" w:rsidRPr="00D74736">
              <w:rPr>
                <w:spacing w:val="-3"/>
                <w:szCs w:val="22"/>
              </w:rPr>
              <w:t>)</w:t>
            </w:r>
          </w:p>
        </w:tc>
        <w:tc>
          <w:tcPr>
            <w:tcW w:w="1620" w:type="dxa"/>
          </w:tcPr>
          <w:p w14:paraId="7E22F528" w14:textId="77777777" w:rsidR="00D51456" w:rsidRPr="00D74736" w:rsidRDefault="00D51456" w:rsidP="00D74736">
            <w:pPr>
              <w:suppressAutoHyphens/>
              <w:jc w:val="left"/>
              <w:rPr>
                <w:szCs w:val="22"/>
                <w:highlight w:val="yellow"/>
              </w:rPr>
            </w:pPr>
            <w:r w:rsidRPr="00D74736">
              <w:rPr>
                <w:spacing w:val="-3"/>
                <w:szCs w:val="22"/>
              </w:rPr>
              <w:t>lbs/day</w:t>
            </w:r>
          </w:p>
        </w:tc>
        <w:tc>
          <w:tcPr>
            <w:tcW w:w="1620" w:type="dxa"/>
          </w:tcPr>
          <w:p w14:paraId="1E23EC54" w14:textId="77777777" w:rsidR="00D51456" w:rsidRPr="00D74736" w:rsidRDefault="00D51456" w:rsidP="00D74736">
            <w:pPr>
              <w:suppressAutoHyphens/>
              <w:jc w:val="left"/>
              <w:rPr>
                <w:szCs w:val="22"/>
                <w:highlight w:val="yellow"/>
              </w:rPr>
            </w:pPr>
            <w:r w:rsidRPr="00D74736">
              <w:rPr>
                <w:spacing w:val="-3"/>
                <w:szCs w:val="22"/>
              </w:rPr>
              <w:t>Year-round</w:t>
            </w:r>
          </w:p>
        </w:tc>
        <w:tc>
          <w:tcPr>
            <w:tcW w:w="1620" w:type="dxa"/>
          </w:tcPr>
          <w:p w14:paraId="632E2276" w14:textId="51AC359A" w:rsidR="00D51456" w:rsidRPr="00D74736" w:rsidRDefault="007C4B36" w:rsidP="00D74736">
            <w:pPr>
              <w:suppressAutoHyphens/>
              <w:jc w:val="left"/>
              <w:rPr>
                <w:szCs w:val="22"/>
                <w:highlight w:val="yellow"/>
              </w:rPr>
            </w:pPr>
            <w:r>
              <w:rPr>
                <w:szCs w:val="22"/>
                <w:highlight w:val="yellow"/>
              </w:rPr>
              <w:t>Monitoring Matrix</w:t>
            </w:r>
          </w:p>
        </w:tc>
        <w:tc>
          <w:tcPr>
            <w:tcW w:w="1620" w:type="dxa"/>
          </w:tcPr>
          <w:p w14:paraId="7BED01CC" w14:textId="77777777" w:rsidR="00D51456" w:rsidRPr="00D74736" w:rsidRDefault="00D51456" w:rsidP="00D74736">
            <w:pPr>
              <w:contextualSpacing/>
              <w:jc w:val="left"/>
              <w:rPr>
                <w:rFonts w:eastAsia="Calibri"/>
                <w:szCs w:val="22"/>
              </w:rPr>
            </w:pPr>
            <w:r w:rsidRPr="00D74736">
              <w:rPr>
                <w:szCs w:val="22"/>
              </w:rPr>
              <w:t>Calculation</w:t>
            </w:r>
          </w:p>
        </w:tc>
        <w:tc>
          <w:tcPr>
            <w:tcW w:w="1620" w:type="dxa"/>
          </w:tcPr>
          <w:p w14:paraId="4E6AF5C1" w14:textId="77777777" w:rsidR="00D51456" w:rsidRPr="00DA13C1" w:rsidRDefault="00D51456" w:rsidP="0017702F">
            <w:pPr>
              <w:pStyle w:val="ListParagraph"/>
              <w:numPr>
                <w:ilvl w:val="0"/>
                <w:numId w:val="49"/>
              </w:numPr>
              <w:rPr>
                <w:highlight w:val="yellow"/>
              </w:rPr>
            </w:pPr>
            <w:r w:rsidRPr="00DA13C1">
              <w:rPr>
                <w:highlight w:val="yellow"/>
              </w:rPr>
              <w:t xml:space="preserve">Daily Maximum </w:t>
            </w:r>
          </w:p>
          <w:p w14:paraId="7862D6AF" w14:textId="77777777" w:rsidR="00D51456" w:rsidRPr="00DA13C1" w:rsidRDefault="00D51456" w:rsidP="0017702F">
            <w:pPr>
              <w:pStyle w:val="ListParagraph"/>
              <w:numPr>
                <w:ilvl w:val="0"/>
                <w:numId w:val="49"/>
              </w:numPr>
              <w:rPr>
                <w:highlight w:val="yellow"/>
              </w:rPr>
            </w:pPr>
            <w:r w:rsidRPr="00DA13C1">
              <w:rPr>
                <w:highlight w:val="yellow"/>
              </w:rPr>
              <w:t xml:space="preserve">Monthly Average </w:t>
            </w:r>
          </w:p>
          <w:p w14:paraId="7213C37D" w14:textId="748CE298" w:rsidR="00D51456" w:rsidRPr="00DA13C1" w:rsidRDefault="006F7336" w:rsidP="0017702F">
            <w:pPr>
              <w:pStyle w:val="ListParagraph"/>
              <w:numPr>
                <w:ilvl w:val="0"/>
                <w:numId w:val="49"/>
              </w:numPr>
              <w:rPr>
                <w:highlight w:val="yellow"/>
              </w:rPr>
            </w:pPr>
            <w:r w:rsidRPr="00DA13C1">
              <w:rPr>
                <w:highlight w:val="yellow"/>
              </w:rPr>
              <w:t xml:space="preserve">Maximum </w:t>
            </w:r>
            <w:r w:rsidR="00D51456" w:rsidRPr="00DA13C1">
              <w:rPr>
                <w:highlight w:val="yellow"/>
              </w:rPr>
              <w:t>Weekly Average</w:t>
            </w:r>
          </w:p>
        </w:tc>
      </w:tr>
      <w:tr w:rsidR="00DA13C1" w:rsidRPr="00A30D47" w14:paraId="125CF6B0" w14:textId="77777777" w:rsidTr="4C327C5F">
        <w:trPr>
          <w:cantSplit/>
          <w:jc w:val="center"/>
        </w:trPr>
        <w:tc>
          <w:tcPr>
            <w:tcW w:w="1620" w:type="dxa"/>
          </w:tcPr>
          <w:p w14:paraId="443EA392" w14:textId="52A94FBA" w:rsidR="00B55AD3" w:rsidRPr="00D74736" w:rsidRDefault="00D51456" w:rsidP="00D74736">
            <w:pPr>
              <w:suppressAutoHyphens/>
              <w:jc w:val="left"/>
              <w:rPr>
                <w:spacing w:val="-3"/>
                <w:szCs w:val="22"/>
              </w:rPr>
            </w:pPr>
            <w:r w:rsidRPr="00D74736">
              <w:rPr>
                <w:spacing w:val="-3"/>
                <w:szCs w:val="22"/>
              </w:rPr>
              <w:t>BOD</w:t>
            </w:r>
            <w:r w:rsidRPr="00D74736">
              <w:rPr>
                <w:spacing w:val="-3"/>
                <w:szCs w:val="22"/>
                <w:vertAlign w:val="subscript"/>
              </w:rPr>
              <w:t>5</w:t>
            </w:r>
            <w:r w:rsidRPr="00D74736">
              <w:rPr>
                <w:spacing w:val="-3"/>
                <w:szCs w:val="22"/>
              </w:rPr>
              <w:t xml:space="preserve"> </w:t>
            </w:r>
            <w:r w:rsidR="00290CAE">
              <w:rPr>
                <w:spacing w:val="-3"/>
                <w:szCs w:val="22"/>
              </w:rPr>
              <w:t>p</w:t>
            </w:r>
            <w:r w:rsidRPr="00D74736">
              <w:rPr>
                <w:spacing w:val="-3"/>
                <w:szCs w:val="22"/>
              </w:rPr>
              <w:t xml:space="preserve">ercent </w:t>
            </w:r>
            <w:r w:rsidR="00290CAE">
              <w:rPr>
                <w:spacing w:val="-3"/>
                <w:szCs w:val="22"/>
              </w:rPr>
              <w:t>r</w:t>
            </w:r>
            <w:r w:rsidRPr="00D74736">
              <w:rPr>
                <w:spacing w:val="-3"/>
                <w:szCs w:val="22"/>
              </w:rPr>
              <w:t>emoval</w:t>
            </w:r>
          </w:p>
          <w:p w14:paraId="36EC29D9" w14:textId="3FD9CE23" w:rsidR="00D74736" w:rsidRPr="00D74736" w:rsidRDefault="006546C9" w:rsidP="00D74736">
            <w:pPr>
              <w:suppressAutoHyphens/>
              <w:jc w:val="left"/>
              <w:rPr>
                <w:spacing w:val="-3"/>
                <w:szCs w:val="22"/>
              </w:rPr>
            </w:pPr>
            <w:r>
              <w:rPr>
                <w:spacing w:val="-3"/>
                <w:szCs w:val="22"/>
              </w:rPr>
              <w:t>(S</w:t>
            </w:r>
            <w:r w:rsidR="00B55AD3" w:rsidRPr="00D74736">
              <w:rPr>
                <w:spacing w:val="-3"/>
                <w:szCs w:val="22"/>
              </w:rPr>
              <w:t xml:space="preserve">ee note c </w:t>
            </w:r>
            <w:r w:rsidR="00B55AD3" w:rsidRPr="00EB552D">
              <w:rPr>
                <w:spacing w:val="-3"/>
                <w:szCs w:val="22"/>
                <w:highlight w:val="yellow"/>
              </w:rPr>
              <w:t>&amp; d</w:t>
            </w:r>
            <w:r w:rsidR="00B55AD3" w:rsidRPr="00D74736">
              <w:rPr>
                <w:spacing w:val="-3"/>
                <w:szCs w:val="22"/>
              </w:rPr>
              <w:t>.</w:t>
            </w:r>
            <w:r>
              <w:rPr>
                <w:spacing w:val="-3"/>
                <w:szCs w:val="22"/>
              </w:rPr>
              <w:t>)</w:t>
            </w:r>
          </w:p>
          <w:p w14:paraId="4F75AA78" w14:textId="1596028A" w:rsidR="00D51456" w:rsidRPr="00D74736" w:rsidRDefault="001B6711" w:rsidP="00D74736">
            <w:pPr>
              <w:suppressAutoHyphens/>
              <w:jc w:val="left"/>
              <w:rPr>
                <w:b/>
                <w:bCs/>
                <w:spacing w:val="-3"/>
                <w:szCs w:val="22"/>
              </w:rPr>
            </w:pPr>
            <w:r w:rsidRPr="00D74736">
              <w:rPr>
                <w:spacing w:val="-3"/>
                <w:szCs w:val="22"/>
              </w:rPr>
              <w:t>(81010)</w:t>
            </w:r>
          </w:p>
        </w:tc>
        <w:tc>
          <w:tcPr>
            <w:tcW w:w="1620" w:type="dxa"/>
          </w:tcPr>
          <w:p w14:paraId="70198F7D" w14:textId="77777777" w:rsidR="00D51456" w:rsidRPr="00D74736" w:rsidRDefault="00D51456" w:rsidP="00D74736">
            <w:pPr>
              <w:suppressAutoHyphens/>
              <w:jc w:val="left"/>
              <w:rPr>
                <w:spacing w:val="-3"/>
                <w:szCs w:val="22"/>
              </w:rPr>
            </w:pPr>
            <w:r w:rsidRPr="00D74736">
              <w:rPr>
                <w:spacing w:val="-3"/>
                <w:szCs w:val="22"/>
              </w:rPr>
              <w:t>%</w:t>
            </w:r>
          </w:p>
        </w:tc>
        <w:tc>
          <w:tcPr>
            <w:tcW w:w="1620" w:type="dxa"/>
          </w:tcPr>
          <w:p w14:paraId="1FA29CB5" w14:textId="77777777" w:rsidR="00D51456" w:rsidRPr="00D74736" w:rsidRDefault="00D51456" w:rsidP="00D74736">
            <w:pPr>
              <w:suppressAutoHyphens/>
              <w:jc w:val="left"/>
              <w:rPr>
                <w:spacing w:val="-3"/>
                <w:szCs w:val="22"/>
              </w:rPr>
            </w:pPr>
            <w:r w:rsidRPr="00D74736">
              <w:rPr>
                <w:szCs w:val="22"/>
                <w:highlight w:val="yellow"/>
              </w:rPr>
              <w:t>Year-round</w:t>
            </w:r>
          </w:p>
        </w:tc>
        <w:tc>
          <w:tcPr>
            <w:tcW w:w="1620" w:type="dxa"/>
          </w:tcPr>
          <w:p w14:paraId="3C628D9E" w14:textId="3622D3B1" w:rsidR="00D51456" w:rsidRPr="00D74736" w:rsidRDefault="007C4B36" w:rsidP="00D74736">
            <w:pPr>
              <w:jc w:val="left"/>
              <w:rPr>
                <w:szCs w:val="22"/>
              </w:rPr>
            </w:pPr>
            <w:r>
              <w:rPr>
                <w:szCs w:val="22"/>
                <w:highlight w:val="yellow"/>
              </w:rPr>
              <w:t>Monitoring Matrix</w:t>
            </w:r>
          </w:p>
        </w:tc>
        <w:tc>
          <w:tcPr>
            <w:tcW w:w="1620" w:type="dxa"/>
          </w:tcPr>
          <w:p w14:paraId="2BDFB347" w14:textId="77777777" w:rsidR="00D51456" w:rsidRPr="00D74736" w:rsidRDefault="00D51456" w:rsidP="00D74736">
            <w:pPr>
              <w:suppressAutoHyphens/>
              <w:jc w:val="left"/>
              <w:rPr>
                <w:szCs w:val="22"/>
              </w:rPr>
            </w:pPr>
            <w:r w:rsidRPr="00D74736">
              <w:rPr>
                <w:szCs w:val="22"/>
              </w:rPr>
              <w:t>Calculation based on monthly average BOD</w:t>
            </w:r>
            <w:r w:rsidRPr="00D74736">
              <w:rPr>
                <w:szCs w:val="22"/>
                <w:vertAlign w:val="subscript"/>
              </w:rPr>
              <w:t>5</w:t>
            </w:r>
            <w:r w:rsidRPr="00D74736">
              <w:rPr>
                <w:szCs w:val="22"/>
              </w:rPr>
              <w:t xml:space="preserve"> concentration values</w:t>
            </w:r>
          </w:p>
        </w:tc>
        <w:tc>
          <w:tcPr>
            <w:tcW w:w="1620" w:type="dxa"/>
          </w:tcPr>
          <w:p w14:paraId="3FED6C35" w14:textId="77777777" w:rsidR="00D51456" w:rsidRPr="00D74736" w:rsidRDefault="00D51456" w:rsidP="00D74736">
            <w:pPr>
              <w:contextualSpacing/>
              <w:jc w:val="left"/>
              <w:rPr>
                <w:rFonts w:eastAsia="Calibri"/>
                <w:szCs w:val="22"/>
                <w:highlight w:val="yellow"/>
              </w:rPr>
            </w:pPr>
            <w:r w:rsidRPr="00D74736">
              <w:rPr>
                <w:rFonts w:eastAsia="Calibri"/>
                <w:szCs w:val="22"/>
                <w:highlight w:val="yellow"/>
              </w:rPr>
              <w:t xml:space="preserve">Monthly Average </w:t>
            </w:r>
          </w:p>
        </w:tc>
      </w:tr>
      <w:tr w:rsidR="00DA13C1" w:rsidRPr="00A30D47" w14:paraId="07D9D757" w14:textId="77777777" w:rsidTr="4C327C5F">
        <w:trPr>
          <w:cantSplit/>
          <w:jc w:val="center"/>
        </w:trPr>
        <w:tc>
          <w:tcPr>
            <w:tcW w:w="1620" w:type="dxa"/>
          </w:tcPr>
          <w:p w14:paraId="5BC740A9" w14:textId="19F0BF65" w:rsidR="007C4B36" w:rsidRPr="00D74736" w:rsidRDefault="007C4B36" w:rsidP="00B2300D">
            <w:pPr>
              <w:suppressAutoHyphens/>
              <w:jc w:val="left"/>
              <w:rPr>
                <w:spacing w:val="-3"/>
                <w:szCs w:val="22"/>
              </w:rPr>
            </w:pPr>
            <w:r w:rsidRPr="00D74736">
              <w:rPr>
                <w:spacing w:val="-3"/>
                <w:szCs w:val="22"/>
                <w:highlight w:val="yellow"/>
              </w:rPr>
              <w:t>CBOD</w:t>
            </w:r>
            <w:r w:rsidRPr="00D74736">
              <w:rPr>
                <w:spacing w:val="-3"/>
                <w:szCs w:val="22"/>
                <w:highlight w:val="yellow"/>
                <w:vertAlign w:val="subscript"/>
              </w:rPr>
              <w:t>5</w:t>
            </w:r>
            <w:r w:rsidRPr="00D74736">
              <w:rPr>
                <w:spacing w:val="-3"/>
                <w:szCs w:val="22"/>
                <w:vertAlign w:val="subscript"/>
              </w:rPr>
              <w:br/>
            </w:r>
            <w:r w:rsidRPr="00D74736">
              <w:rPr>
                <w:spacing w:val="-3"/>
                <w:szCs w:val="22"/>
              </w:rPr>
              <w:t>(</w:t>
            </w:r>
            <w:r w:rsidR="00B2300D">
              <w:rPr>
                <w:spacing w:val="-3"/>
                <w:szCs w:val="22"/>
              </w:rPr>
              <w:t>80082</w:t>
            </w:r>
            <w:r w:rsidRPr="00D74736">
              <w:rPr>
                <w:spacing w:val="-3"/>
                <w:szCs w:val="22"/>
              </w:rPr>
              <w:t>)</w:t>
            </w:r>
          </w:p>
        </w:tc>
        <w:tc>
          <w:tcPr>
            <w:tcW w:w="1620" w:type="dxa"/>
          </w:tcPr>
          <w:p w14:paraId="060882AB" w14:textId="77777777" w:rsidR="007C4B36" w:rsidRPr="00D74736" w:rsidRDefault="007C4B36" w:rsidP="007C4B36">
            <w:pPr>
              <w:suppressAutoHyphens/>
              <w:jc w:val="left"/>
              <w:rPr>
                <w:spacing w:val="-3"/>
                <w:szCs w:val="22"/>
              </w:rPr>
            </w:pPr>
            <w:r w:rsidRPr="00D74736">
              <w:rPr>
                <w:spacing w:val="-3"/>
                <w:szCs w:val="22"/>
                <w:highlight w:val="yellow"/>
              </w:rPr>
              <w:t>mg/L</w:t>
            </w:r>
          </w:p>
        </w:tc>
        <w:tc>
          <w:tcPr>
            <w:tcW w:w="1620" w:type="dxa"/>
          </w:tcPr>
          <w:p w14:paraId="0F89837C" w14:textId="77777777" w:rsidR="007C4B36" w:rsidRPr="00D74736" w:rsidRDefault="007C4B36" w:rsidP="007C4B36">
            <w:pPr>
              <w:suppressAutoHyphens/>
              <w:jc w:val="left"/>
              <w:rPr>
                <w:spacing w:val="-3"/>
                <w:szCs w:val="22"/>
              </w:rPr>
            </w:pPr>
            <w:r w:rsidRPr="00D74736">
              <w:rPr>
                <w:spacing w:val="-3"/>
                <w:szCs w:val="22"/>
                <w:highlight w:val="yellow"/>
              </w:rPr>
              <w:t>Year-round</w:t>
            </w:r>
          </w:p>
        </w:tc>
        <w:tc>
          <w:tcPr>
            <w:tcW w:w="1620" w:type="dxa"/>
          </w:tcPr>
          <w:p w14:paraId="2985E9B7" w14:textId="6A767D94" w:rsidR="007C4B36" w:rsidRPr="00D74736" w:rsidRDefault="007C4B36" w:rsidP="007C4B36">
            <w:pPr>
              <w:jc w:val="left"/>
              <w:rPr>
                <w:szCs w:val="22"/>
                <w:highlight w:val="yellow"/>
              </w:rPr>
            </w:pPr>
            <w:r w:rsidRPr="00ED2528">
              <w:rPr>
                <w:szCs w:val="22"/>
                <w:highlight w:val="yellow"/>
              </w:rPr>
              <w:t>Monitoring Matrix</w:t>
            </w:r>
          </w:p>
        </w:tc>
        <w:tc>
          <w:tcPr>
            <w:tcW w:w="1620" w:type="dxa"/>
          </w:tcPr>
          <w:p w14:paraId="1163D7C4" w14:textId="77777777" w:rsidR="007C4B36" w:rsidRPr="00D74736" w:rsidRDefault="007C4B36" w:rsidP="007C4B36">
            <w:pPr>
              <w:suppressAutoHyphens/>
              <w:jc w:val="left"/>
              <w:rPr>
                <w:szCs w:val="22"/>
              </w:rPr>
            </w:pPr>
            <w:r w:rsidRPr="00D74736">
              <w:rPr>
                <w:szCs w:val="22"/>
                <w:highlight w:val="yellow"/>
              </w:rPr>
              <w:t>24-hour composite</w:t>
            </w:r>
          </w:p>
        </w:tc>
        <w:tc>
          <w:tcPr>
            <w:tcW w:w="1620" w:type="dxa"/>
          </w:tcPr>
          <w:p w14:paraId="3E593C37" w14:textId="77777777" w:rsidR="007C4B36" w:rsidRPr="00DA13C1" w:rsidRDefault="007C4B36" w:rsidP="0017702F">
            <w:pPr>
              <w:pStyle w:val="ListParagraph"/>
              <w:numPr>
                <w:ilvl w:val="0"/>
                <w:numId w:val="50"/>
              </w:numPr>
              <w:rPr>
                <w:highlight w:val="yellow"/>
              </w:rPr>
            </w:pPr>
            <w:r w:rsidRPr="00DA13C1">
              <w:rPr>
                <w:highlight w:val="yellow"/>
              </w:rPr>
              <w:t xml:space="preserve">Monthly Average </w:t>
            </w:r>
          </w:p>
          <w:p w14:paraId="2CC11F48" w14:textId="5772F847" w:rsidR="007C4B36" w:rsidRPr="00DA13C1" w:rsidRDefault="006F7336" w:rsidP="0017702F">
            <w:pPr>
              <w:pStyle w:val="ListParagraph"/>
              <w:numPr>
                <w:ilvl w:val="0"/>
                <w:numId w:val="50"/>
              </w:numPr>
              <w:rPr>
                <w:highlight w:val="yellow"/>
              </w:rPr>
            </w:pPr>
            <w:r w:rsidRPr="00DA13C1">
              <w:rPr>
                <w:highlight w:val="yellow"/>
              </w:rPr>
              <w:t xml:space="preserve">Maximum </w:t>
            </w:r>
            <w:r w:rsidR="007C4B36" w:rsidRPr="00DA13C1">
              <w:rPr>
                <w:highlight w:val="yellow"/>
              </w:rPr>
              <w:t>Weekly Average</w:t>
            </w:r>
          </w:p>
        </w:tc>
      </w:tr>
      <w:tr w:rsidR="00DA13C1" w:rsidRPr="00A30D47" w14:paraId="3B0C4D83" w14:textId="77777777" w:rsidTr="4C327C5F">
        <w:trPr>
          <w:cantSplit/>
          <w:jc w:val="center"/>
        </w:trPr>
        <w:tc>
          <w:tcPr>
            <w:tcW w:w="1620" w:type="dxa"/>
          </w:tcPr>
          <w:p w14:paraId="4B26DFB9" w14:textId="77777777" w:rsidR="007C4B36" w:rsidRPr="00D74736" w:rsidRDefault="007C4B36" w:rsidP="007C4B36">
            <w:pPr>
              <w:suppressAutoHyphens/>
              <w:jc w:val="left"/>
              <w:rPr>
                <w:spacing w:val="-3"/>
                <w:szCs w:val="22"/>
                <w:vertAlign w:val="subscript"/>
              </w:rPr>
            </w:pPr>
            <w:r w:rsidRPr="00D74736">
              <w:rPr>
                <w:spacing w:val="-3"/>
                <w:szCs w:val="22"/>
                <w:highlight w:val="yellow"/>
              </w:rPr>
              <w:t>CBOD</w:t>
            </w:r>
            <w:r w:rsidRPr="00D74736">
              <w:rPr>
                <w:spacing w:val="-3"/>
                <w:szCs w:val="22"/>
                <w:highlight w:val="yellow"/>
                <w:vertAlign w:val="subscript"/>
              </w:rPr>
              <w:t>5</w:t>
            </w:r>
          </w:p>
          <w:p w14:paraId="2D61A21C" w14:textId="052E8EA0" w:rsidR="007C4B36" w:rsidRPr="00D74736" w:rsidRDefault="007C4B36" w:rsidP="00B2300D">
            <w:pPr>
              <w:suppressAutoHyphens/>
              <w:jc w:val="left"/>
              <w:rPr>
                <w:spacing w:val="-3"/>
                <w:szCs w:val="22"/>
              </w:rPr>
            </w:pPr>
            <w:r w:rsidRPr="00D74736">
              <w:rPr>
                <w:spacing w:val="-3"/>
                <w:szCs w:val="22"/>
              </w:rPr>
              <w:t>(</w:t>
            </w:r>
            <w:r w:rsidR="00B2300D">
              <w:rPr>
                <w:spacing w:val="-3"/>
                <w:szCs w:val="22"/>
              </w:rPr>
              <w:t>80082</w:t>
            </w:r>
            <w:r w:rsidRPr="00D74736">
              <w:rPr>
                <w:spacing w:val="-3"/>
                <w:szCs w:val="22"/>
              </w:rPr>
              <w:t>)</w:t>
            </w:r>
          </w:p>
        </w:tc>
        <w:tc>
          <w:tcPr>
            <w:tcW w:w="1620" w:type="dxa"/>
          </w:tcPr>
          <w:p w14:paraId="1594E736" w14:textId="77777777" w:rsidR="007C4B36" w:rsidRPr="00D74736" w:rsidRDefault="007C4B36" w:rsidP="007C4B36">
            <w:pPr>
              <w:suppressAutoHyphens/>
              <w:jc w:val="left"/>
              <w:rPr>
                <w:spacing w:val="-3"/>
                <w:szCs w:val="22"/>
              </w:rPr>
            </w:pPr>
            <w:r w:rsidRPr="00D74736">
              <w:rPr>
                <w:spacing w:val="-3"/>
                <w:szCs w:val="22"/>
                <w:highlight w:val="yellow"/>
              </w:rPr>
              <w:t>lbs/day</w:t>
            </w:r>
          </w:p>
        </w:tc>
        <w:tc>
          <w:tcPr>
            <w:tcW w:w="1620" w:type="dxa"/>
          </w:tcPr>
          <w:p w14:paraId="0C76D0B2" w14:textId="77777777" w:rsidR="007C4B36" w:rsidRPr="00D74736" w:rsidRDefault="007C4B36" w:rsidP="007C4B36">
            <w:pPr>
              <w:suppressAutoHyphens/>
              <w:jc w:val="left"/>
              <w:rPr>
                <w:spacing w:val="-3"/>
                <w:szCs w:val="22"/>
              </w:rPr>
            </w:pPr>
            <w:r w:rsidRPr="00D74736">
              <w:rPr>
                <w:spacing w:val="-3"/>
                <w:szCs w:val="22"/>
                <w:highlight w:val="yellow"/>
              </w:rPr>
              <w:t>Year-round</w:t>
            </w:r>
          </w:p>
        </w:tc>
        <w:tc>
          <w:tcPr>
            <w:tcW w:w="1620" w:type="dxa"/>
          </w:tcPr>
          <w:p w14:paraId="4530FA7B" w14:textId="0C73F149" w:rsidR="007C4B36" w:rsidRPr="00D74736" w:rsidRDefault="007C4B36" w:rsidP="007C4B36">
            <w:pPr>
              <w:jc w:val="left"/>
              <w:rPr>
                <w:szCs w:val="22"/>
                <w:highlight w:val="yellow"/>
              </w:rPr>
            </w:pPr>
            <w:r w:rsidRPr="00ED2528">
              <w:rPr>
                <w:szCs w:val="22"/>
                <w:highlight w:val="yellow"/>
              </w:rPr>
              <w:t>Monitoring Matrix</w:t>
            </w:r>
          </w:p>
        </w:tc>
        <w:tc>
          <w:tcPr>
            <w:tcW w:w="1620" w:type="dxa"/>
          </w:tcPr>
          <w:p w14:paraId="030614E8" w14:textId="77777777" w:rsidR="007C4B36" w:rsidRPr="00D74736" w:rsidRDefault="007C4B36" w:rsidP="007C4B36">
            <w:pPr>
              <w:jc w:val="left"/>
              <w:rPr>
                <w:szCs w:val="22"/>
              </w:rPr>
            </w:pPr>
            <w:r w:rsidRPr="00D74736">
              <w:rPr>
                <w:szCs w:val="22"/>
                <w:highlight w:val="yellow"/>
              </w:rPr>
              <w:t>Calculation</w:t>
            </w:r>
          </w:p>
        </w:tc>
        <w:tc>
          <w:tcPr>
            <w:tcW w:w="1620" w:type="dxa"/>
          </w:tcPr>
          <w:p w14:paraId="1B5CC20E" w14:textId="77777777" w:rsidR="007C4B36" w:rsidRPr="00DA13C1" w:rsidRDefault="007C4B36" w:rsidP="0017702F">
            <w:pPr>
              <w:pStyle w:val="ListParagraph"/>
              <w:keepNext/>
              <w:keepLines/>
              <w:numPr>
                <w:ilvl w:val="0"/>
                <w:numId w:val="51"/>
              </w:numPr>
              <w:rPr>
                <w:highlight w:val="yellow"/>
              </w:rPr>
            </w:pPr>
            <w:r w:rsidRPr="00DA13C1">
              <w:rPr>
                <w:highlight w:val="yellow"/>
              </w:rPr>
              <w:t>Daily Maximum</w:t>
            </w:r>
          </w:p>
          <w:p w14:paraId="508D4849" w14:textId="77777777" w:rsidR="007C4B36" w:rsidRPr="00DA13C1" w:rsidRDefault="007C4B36" w:rsidP="0017702F">
            <w:pPr>
              <w:pStyle w:val="ListParagraph"/>
              <w:keepNext/>
              <w:keepLines/>
              <w:numPr>
                <w:ilvl w:val="0"/>
                <w:numId w:val="51"/>
              </w:numPr>
              <w:rPr>
                <w:highlight w:val="yellow"/>
              </w:rPr>
            </w:pPr>
            <w:r w:rsidRPr="00DA13C1">
              <w:rPr>
                <w:highlight w:val="yellow"/>
              </w:rPr>
              <w:t>Monthly Average</w:t>
            </w:r>
          </w:p>
          <w:p w14:paraId="430F3FB8" w14:textId="1B1CA6A9" w:rsidR="007C4B36" w:rsidRPr="00DA13C1" w:rsidRDefault="006F7336" w:rsidP="0017702F">
            <w:pPr>
              <w:pStyle w:val="ListParagraph"/>
              <w:keepNext/>
              <w:keepLines/>
              <w:numPr>
                <w:ilvl w:val="0"/>
                <w:numId w:val="51"/>
              </w:numPr>
              <w:rPr>
                <w:highlight w:val="yellow"/>
              </w:rPr>
            </w:pPr>
            <w:r w:rsidRPr="00DA13C1">
              <w:rPr>
                <w:highlight w:val="yellow"/>
              </w:rPr>
              <w:t xml:space="preserve">Maximum </w:t>
            </w:r>
            <w:r w:rsidR="007C4B36" w:rsidRPr="00DA13C1">
              <w:rPr>
                <w:highlight w:val="yellow"/>
              </w:rPr>
              <w:t>Weekly Average</w:t>
            </w:r>
          </w:p>
        </w:tc>
      </w:tr>
      <w:tr w:rsidR="00DA13C1" w:rsidRPr="00A30D47" w14:paraId="16558159" w14:textId="77777777" w:rsidTr="4C327C5F">
        <w:trPr>
          <w:cantSplit/>
          <w:jc w:val="center"/>
        </w:trPr>
        <w:tc>
          <w:tcPr>
            <w:tcW w:w="1620" w:type="dxa"/>
          </w:tcPr>
          <w:p w14:paraId="620661FF" w14:textId="3A23E2AA" w:rsidR="007C4B36" w:rsidRPr="00D74736" w:rsidRDefault="007C4B36" w:rsidP="007C4B36">
            <w:pPr>
              <w:suppressAutoHyphens/>
              <w:jc w:val="left"/>
              <w:rPr>
                <w:spacing w:val="-3"/>
                <w:szCs w:val="22"/>
                <w:highlight w:val="yellow"/>
              </w:rPr>
            </w:pPr>
            <w:r w:rsidRPr="00D74736">
              <w:rPr>
                <w:spacing w:val="-3"/>
                <w:szCs w:val="22"/>
                <w:highlight w:val="yellow"/>
              </w:rPr>
              <w:t>CBOD</w:t>
            </w:r>
            <w:r w:rsidRPr="00D74736">
              <w:rPr>
                <w:spacing w:val="-3"/>
                <w:szCs w:val="22"/>
                <w:highlight w:val="yellow"/>
                <w:vertAlign w:val="subscript"/>
              </w:rPr>
              <w:t>5</w:t>
            </w:r>
            <w:r w:rsidRPr="00D74736">
              <w:rPr>
                <w:spacing w:val="-3"/>
                <w:szCs w:val="22"/>
                <w:highlight w:val="yellow"/>
              </w:rPr>
              <w:t xml:space="preserve"> </w:t>
            </w:r>
            <w:r w:rsidR="00290CAE">
              <w:rPr>
                <w:spacing w:val="-3"/>
                <w:szCs w:val="22"/>
                <w:highlight w:val="yellow"/>
              </w:rPr>
              <w:t>p</w:t>
            </w:r>
            <w:r w:rsidRPr="00D74736">
              <w:rPr>
                <w:spacing w:val="-3"/>
                <w:szCs w:val="22"/>
                <w:highlight w:val="yellow"/>
              </w:rPr>
              <w:t xml:space="preserve">ercent </w:t>
            </w:r>
            <w:r w:rsidR="00290CAE">
              <w:rPr>
                <w:spacing w:val="-3"/>
                <w:szCs w:val="22"/>
                <w:highlight w:val="yellow"/>
              </w:rPr>
              <w:t>r</w:t>
            </w:r>
            <w:r w:rsidRPr="00D74736">
              <w:rPr>
                <w:spacing w:val="-3"/>
                <w:szCs w:val="22"/>
                <w:highlight w:val="yellow"/>
              </w:rPr>
              <w:t>emoval</w:t>
            </w:r>
          </w:p>
          <w:p w14:paraId="003D27B6" w14:textId="21255FBB" w:rsidR="007C4B36" w:rsidRPr="00D74736" w:rsidRDefault="006546C9" w:rsidP="007C4B36">
            <w:pPr>
              <w:suppressAutoHyphens/>
              <w:jc w:val="left"/>
              <w:rPr>
                <w:spacing w:val="-3"/>
                <w:szCs w:val="22"/>
                <w:highlight w:val="yellow"/>
                <w:vertAlign w:val="superscript"/>
              </w:rPr>
            </w:pPr>
            <w:r>
              <w:rPr>
                <w:spacing w:val="-3"/>
                <w:szCs w:val="22"/>
                <w:highlight w:val="yellow"/>
              </w:rPr>
              <w:t>(S</w:t>
            </w:r>
            <w:r w:rsidR="007C4B36" w:rsidRPr="00D74736">
              <w:rPr>
                <w:spacing w:val="-3"/>
                <w:szCs w:val="22"/>
                <w:highlight w:val="yellow"/>
              </w:rPr>
              <w:t>ee note c &amp; d.</w:t>
            </w:r>
            <w:r>
              <w:rPr>
                <w:spacing w:val="-3"/>
                <w:szCs w:val="22"/>
                <w:highlight w:val="yellow"/>
              </w:rPr>
              <w:t>)</w:t>
            </w:r>
          </w:p>
          <w:p w14:paraId="29EA5173" w14:textId="5C9C011B" w:rsidR="007C4B36" w:rsidRPr="00D74736" w:rsidRDefault="007C4B36" w:rsidP="007C4B36">
            <w:pPr>
              <w:suppressAutoHyphens/>
              <w:jc w:val="left"/>
              <w:rPr>
                <w:b/>
                <w:bCs/>
                <w:spacing w:val="-3"/>
                <w:szCs w:val="22"/>
                <w:highlight w:val="yellow"/>
              </w:rPr>
            </w:pPr>
            <w:r w:rsidRPr="00D74736">
              <w:rPr>
                <w:spacing w:val="-3"/>
                <w:szCs w:val="22"/>
                <w:highlight w:val="yellow"/>
              </w:rPr>
              <w:t>(81383)</w:t>
            </w:r>
          </w:p>
        </w:tc>
        <w:tc>
          <w:tcPr>
            <w:tcW w:w="1620" w:type="dxa"/>
          </w:tcPr>
          <w:p w14:paraId="1D436C24" w14:textId="77777777" w:rsidR="007C4B36" w:rsidRPr="00D74736" w:rsidRDefault="007C4B36" w:rsidP="007C4B36">
            <w:pPr>
              <w:suppressAutoHyphens/>
              <w:jc w:val="left"/>
              <w:rPr>
                <w:spacing w:val="-3"/>
                <w:szCs w:val="22"/>
                <w:highlight w:val="yellow"/>
              </w:rPr>
            </w:pPr>
            <w:r w:rsidRPr="00D74736">
              <w:rPr>
                <w:spacing w:val="-3"/>
                <w:szCs w:val="22"/>
                <w:highlight w:val="yellow"/>
              </w:rPr>
              <w:t>%</w:t>
            </w:r>
          </w:p>
        </w:tc>
        <w:tc>
          <w:tcPr>
            <w:tcW w:w="1620" w:type="dxa"/>
          </w:tcPr>
          <w:p w14:paraId="3E985FDE" w14:textId="77777777" w:rsidR="007C4B36" w:rsidRPr="00D74736" w:rsidRDefault="007C4B36" w:rsidP="007C4B36">
            <w:pPr>
              <w:suppressAutoHyphens/>
              <w:jc w:val="left"/>
              <w:rPr>
                <w:spacing w:val="-3"/>
                <w:szCs w:val="22"/>
                <w:highlight w:val="yellow"/>
              </w:rPr>
            </w:pPr>
            <w:r w:rsidRPr="00D74736">
              <w:rPr>
                <w:szCs w:val="22"/>
                <w:highlight w:val="yellow"/>
              </w:rPr>
              <w:t>Year-round</w:t>
            </w:r>
          </w:p>
        </w:tc>
        <w:tc>
          <w:tcPr>
            <w:tcW w:w="1620" w:type="dxa"/>
          </w:tcPr>
          <w:p w14:paraId="76A2A9BA" w14:textId="6F4290DB" w:rsidR="007C4B36" w:rsidRPr="00D74736" w:rsidRDefault="007C4B36" w:rsidP="007C4B36">
            <w:pPr>
              <w:jc w:val="left"/>
              <w:rPr>
                <w:szCs w:val="22"/>
                <w:highlight w:val="yellow"/>
              </w:rPr>
            </w:pPr>
            <w:r w:rsidRPr="00E64E43">
              <w:rPr>
                <w:szCs w:val="22"/>
                <w:highlight w:val="yellow"/>
              </w:rPr>
              <w:t>Monitoring Matrix</w:t>
            </w:r>
          </w:p>
        </w:tc>
        <w:tc>
          <w:tcPr>
            <w:tcW w:w="1620" w:type="dxa"/>
          </w:tcPr>
          <w:p w14:paraId="59563BDB" w14:textId="77777777" w:rsidR="007C4B36" w:rsidRPr="00D74736" w:rsidRDefault="007C4B36" w:rsidP="007C4B36">
            <w:pPr>
              <w:jc w:val="left"/>
              <w:rPr>
                <w:szCs w:val="22"/>
                <w:highlight w:val="yellow"/>
              </w:rPr>
            </w:pPr>
            <w:r w:rsidRPr="00D74736">
              <w:rPr>
                <w:szCs w:val="22"/>
                <w:highlight w:val="yellow"/>
              </w:rPr>
              <w:t>Calculation based on monthly average CBOD</w:t>
            </w:r>
            <w:r w:rsidRPr="00D74736">
              <w:rPr>
                <w:szCs w:val="22"/>
                <w:highlight w:val="yellow"/>
                <w:vertAlign w:val="subscript"/>
              </w:rPr>
              <w:t>5</w:t>
            </w:r>
            <w:r w:rsidRPr="00D74736">
              <w:rPr>
                <w:szCs w:val="22"/>
                <w:highlight w:val="yellow"/>
              </w:rPr>
              <w:t xml:space="preserve"> concentration values</w:t>
            </w:r>
          </w:p>
        </w:tc>
        <w:tc>
          <w:tcPr>
            <w:tcW w:w="1620" w:type="dxa"/>
          </w:tcPr>
          <w:p w14:paraId="5C4320FD" w14:textId="77777777" w:rsidR="007C4B36" w:rsidRPr="00D74736" w:rsidRDefault="007C4B36" w:rsidP="007C4B36">
            <w:pPr>
              <w:contextualSpacing/>
              <w:jc w:val="left"/>
              <w:rPr>
                <w:rFonts w:eastAsia="Calibri"/>
                <w:szCs w:val="22"/>
                <w:highlight w:val="yellow"/>
              </w:rPr>
            </w:pPr>
            <w:r w:rsidRPr="00D74736">
              <w:rPr>
                <w:rFonts w:eastAsia="Calibri"/>
                <w:szCs w:val="22"/>
                <w:highlight w:val="yellow"/>
              </w:rPr>
              <w:t xml:space="preserve">Monthly Average </w:t>
            </w:r>
          </w:p>
        </w:tc>
      </w:tr>
      <w:tr w:rsidR="00DA13C1" w:rsidRPr="00A30D47" w14:paraId="4806A651" w14:textId="77777777" w:rsidTr="4C327C5F">
        <w:trPr>
          <w:cantSplit/>
          <w:jc w:val="center"/>
        </w:trPr>
        <w:tc>
          <w:tcPr>
            <w:tcW w:w="1620" w:type="dxa"/>
          </w:tcPr>
          <w:p w14:paraId="694FFB56" w14:textId="77777777" w:rsidR="007C4B36" w:rsidRPr="00D74736" w:rsidRDefault="007C4B36" w:rsidP="007C4B36">
            <w:pPr>
              <w:suppressAutoHyphens/>
              <w:jc w:val="left"/>
              <w:rPr>
                <w:spacing w:val="-3"/>
                <w:szCs w:val="22"/>
              </w:rPr>
            </w:pPr>
            <w:r w:rsidRPr="00D74736">
              <w:rPr>
                <w:spacing w:val="-3"/>
                <w:szCs w:val="22"/>
              </w:rPr>
              <w:lastRenderedPageBreak/>
              <w:t>TSS</w:t>
            </w:r>
          </w:p>
          <w:p w14:paraId="3C6A0170" w14:textId="60596AA2" w:rsidR="007C4B36" w:rsidRPr="00D74736" w:rsidRDefault="007C4B36" w:rsidP="007C4B36">
            <w:pPr>
              <w:suppressAutoHyphens/>
              <w:jc w:val="left"/>
              <w:rPr>
                <w:spacing w:val="-3"/>
                <w:szCs w:val="22"/>
                <w:highlight w:val="yellow"/>
              </w:rPr>
            </w:pPr>
            <w:r w:rsidRPr="00D74736">
              <w:rPr>
                <w:spacing w:val="-3"/>
                <w:szCs w:val="22"/>
              </w:rPr>
              <w:t>(00530)</w:t>
            </w:r>
          </w:p>
        </w:tc>
        <w:tc>
          <w:tcPr>
            <w:tcW w:w="1620" w:type="dxa"/>
          </w:tcPr>
          <w:p w14:paraId="49C5EE71" w14:textId="77777777" w:rsidR="007C4B36" w:rsidRPr="00D74736" w:rsidRDefault="007C4B36" w:rsidP="007C4B36">
            <w:pPr>
              <w:suppressAutoHyphens/>
              <w:jc w:val="left"/>
              <w:rPr>
                <w:szCs w:val="22"/>
                <w:highlight w:val="yellow"/>
              </w:rPr>
            </w:pPr>
            <w:r w:rsidRPr="00D74736">
              <w:rPr>
                <w:spacing w:val="-3"/>
                <w:szCs w:val="22"/>
              </w:rPr>
              <w:t>mg/L</w:t>
            </w:r>
          </w:p>
        </w:tc>
        <w:tc>
          <w:tcPr>
            <w:tcW w:w="1620" w:type="dxa"/>
          </w:tcPr>
          <w:p w14:paraId="49594D33" w14:textId="77777777" w:rsidR="007C4B36" w:rsidRPr="00D74736" w:rsidRDefault="007C4B36" w:rsidP="007C4B36">
            <w:pPr>
              <w:suppressAutoHyphens/>
              <w:jc w:val="left"/>
              <w:rPr>
                <w:szCs w:val="22"/>
                <w:highlight w:val="yellow"/>
              </w:rPr>
            </w:pPr>
            <w:r w:rsidRPr="00D74736">
              <w:rPr>
                <w:spacing w:val="-3"/>
                <w:szCs w:val="22"/>
              </w:rPr>
              <w:t>Year-round</w:t>
            </w:r>
          </w:p>
        </w:tc>
        <w:tc>
          <w:tcPr>
            <w:tcW w:w="1620" w:type="dxa"/>
          </w:tcPr>
          <w:p w14:paraId="01F389CE" w14:textId="00447991" w:rsidR="007C4B36" w:rsidRPr="00D74736" w:rsidRDefault="007C4B36" w:rsidP="007C4B36">
            <w:pPr>
              <w:suppressAutoHyphens/>
              <w:jc w:val="left"/>
              <w:rPr>
                <w:spacing w:val="-3"/>
                <w:szCs w:val="22"/>
                <w:highlight w:val="yellow"/>
              </w:rPr>
            </w:pPr>
            <w:r w:rsidRPr="00E64E43">
              <w:rPr>
                <w:szCs w:val="22"/>
                <w:highlight w:val="yellow"/>
              </w:rPr>
              <w:t>Monitoring Matrix</w:t>
            </w:r>
          </w:p>
        </w:tc>
        <w:tc>
          <w:tcPr>
            <w:tcW w:w="1620" w:type="dxa"/>
          </w:tcPr>
          <w:p w14:paraId="76FA4301" w14:textId="77777777" w:rsidR="007C4B36" w:rsidRPr="00D74736" w:rsidRDefault="007C4B36" w:rsidP="007C4B36">
            <w:pPr>
              <w:contextualSpacing/>
              <w:jc w:val="left"/>
              <w:rPr>
                <w:rFonts w:eastAsia="Calibri"/>
                <w:spacing w:val="-3"/>
                <w:szCs w:val="22"/>
                <w:highlight w:val="yellow"/>
              </w:rPr>
            </w:pPr>
            <w:r w:rsidRPr="00D74736">
              <w:rPr>
                <w:szCs w:val="22"/>
              </w:rPr>
              <w:t>24-hour composite</w:t>
            </w:r>
          </w:p>
        </w:tc>
        <w:tc>
          <w:tcPr>
            <w:tcW w:w="1620" w:type="dxa"/>
          </w:tcPr>
          <w:p w14:paraId="79E96CC8" w14:textId="77777777" w:rsidR="007C4B36" w:rsidRPr="00DA13C1" w:rsidRDefault="007C4B36" w:rsidP="0017702F">
            <w:pPr>
              <w:pStyle w:val="ListParagraph"/>
              <w:numPr>
                <w:ilvl w:val="0"/>
                <w:numId w:val="52"/>
              </w:numPr>
              <w:rPr>
                <w:highlight w:val="yellow"/>
              </w:rPr>
            </w:pPr>
            <w:r w:rsidRPr="00DA13C1">
              <w:rPr>
                <w:highlight w:val="yellow"/>
              </w:rPr>
              <w:t xml:space="preserve">Monthly Average </w:t>
            </w:r>
          </w:p>
          <w:p w14:paraId="79E10195" w14:textId="2F79AAFE" w:rsidR="007C4B36" w:rsidRPr="00DA13C1" w:rsidRDefault="006F7336" w:rsidP="0017702F">
            <w:pPr>
              <w:pStyle w:val="ListParagraph"/>
              <w:numPr>
                <w:ilvl w:val="0"/>
                <w:numId w:val="52"/>
              </w:numPr>
              <w:rPr>
                <w:highlight w:val="yellow"/>
              </w:rPr>
            </w:pPr>
            <w:r w:rsidRPr="00DA13C1">
              <w:rPr>
                <w:highlight w:val="yellow"/>
              </w:rPr>
              <w:t xml:space="preserve">Maximum </w:t>
            </w:r>
            <w:r w:rsidR="007C4B36" w:rsidRPr="00DA13C1">
              <w:rPr>
                <w:highlight w:val="yellow"/>
              </w:rPr>
              <w:t>Weekly Average</w:t>
            </w:r>
          </w:p>
        </w:tc>
      </w:tr>
      <w:tr w:rsidR="00DA13C1" w:rsidRPr="00A30D47" w14:paraId="2616864B" w14:textId="77777777" w:rsidTr="4C327C5F">
        <w:trPr>
          <w:cantSplit/>
          <w:jc w:val="center"/>
        </w:trPr>
        <w:tc>
          <w:tcPr>
            <w:tcW w:w="1620" w:type="dxa"/>
          </w:tcPr>
          <w:p w14:paraId="42274E90" w14:textId="77777777" w:rsidR="007C4B36" w:rsidRPr="00D74736" w:rsidRDefault="007C4B36" w:rsidP="007C4B36">
            <w:pPr>
              <w:suppressAutoHyphens/>
              <w:jc w:val="left"/>
              <w:rPr>
                <w:spacing w:val="-3"/>
                <w:szCs w:val="22"/>
              </w:rPr>
            </w:pPr>
            <w:r w:rsidRPr="00D74736">
              <w:rPr>
                <w:spacing w:val="-3"/>
                <w:szCs w:val="22"/>
              </w:rPr>
              <w:t>TSS</w:t>
            </w:r>
          </w:p>
          <w:p w14:paraId="78FDBBAE" w14:textId="620F3FF1" w:rsidR="007C4B36" w:rsidRPr="00D74736" w:rsidRDefault="007C4B36" w:rsidP="007C4B36">
            <w:pPr>
              <w:suppressAutoHyphens/>
              <w:jc w:val="left"/>
              <w:rPr>
                <w:spacing w:val="-3"/>
                <w:szCs w:val="22"/>
              </w:rPr>
            </w:pPr>
            <w:r w:rsidRPr="00D74736">
              <w:rPr>
                <w:spacing w:val="-3"/>
                <w:szCs w:val="22"/>
              </w:rPr>
              <w:t>(00530)</w:t>
            </w:r>
          </w:p>
        </w:tc>
        <w:tc>
          <w:tcPr>
            <w:tcW w:w="1620" w:type="dxa"/>
          </w:tcPr>
          <w:p w14:paraId="39160C74" w14:textId="77777777" w:rsidR="007C4B36" w:rsidRPr="00D74736" w:rsidRDefault="007C4B36" w:rsidP="007C4B36">
            <w:pPr>
              <w:suppressAutoHyphens/>
              <w:jc w:val="left"/>
              <w:rPr>
                <w:spacing w:val="-3"/>
                <w:szCs w:val="22"/>
                <w:highlight w:val="yellow"/>
              </w:rPr>
            </w:pPr>
            <w:r w:rsidRPr="00D74736">
              <w:rPr>
                <w:spacing w:val="-3"/>
                <w:szCs w:val="22"/>
              </w:rPr>
              <w:t>lb/day</w:t>
            </w:r>
          </w:p>
        </w:tc>
        <w:tc>
          <w:tcPr>
            <w:tcW w:w="1620" w:type="dxa"/>
          </w:tcPr>
          <w:p w14:paraId="1DE89CED" w14:textId="77777777" w:rsidR="007C4B36" w:rsidRPr="00D74736" w:rsidRDefault="007C4B36" w:rsidP="007C4B36">
            <w:pPr>
              <w:suppressAutoHyphens/>
              <w:jc w:val="left"/>
              <w:rPr>
                <w:spacing w:val="-3"/>
                <w:szCs w:val="22"/>
                <w:highlight w:val="yellow"/>
              </w:rPr>
            </w:pPr>
            <w:r w:rsidRPr="00D74736">
              <w:rPr>
                <w:spacing w:val="-3"/>
                <w:szCs w:val="22"/>
              </w:rPr>
              <w:t>Year-round</w:t>
            </w:r>
          </w:p>
        </w:tc>
        <w:tc>
          <w:tcPr>
            <w:tcW w:w="1620" w:type="dxa"/>
          </w:tcPr>
          <w:p w14:paraId="7FD90151" w14:textId="082B00A4" w:rsidR="007C4B36" w:rsidRPr="00D74736" w:rsidRDefault="007C4B36" w:rsidP="007C4B36">
            <w:pPr>
              <w:jc w:val="left"/>
              <w:rPr>
                <w:szCs w:val="22"/>
              </w:rPr>
            </w:pPr>
            <w:r w:rsidRPr="00E64E43">
              <w:rPr>
                <w:szCs w:val="22"/>
                <w:highlight w:val="yellow"/>
              </w:rPr>
              <w:t>Monitoring Matrix</w:t>
            </w:r>
          </w:p>
        </w:tc>
        <w:tc>
          <w:tcPr>
            <w:tcW w:w="1620" w:type="dxa"/>
          </w:tcPr>
          <w:p w14:paraId="43147CBB" w14:textId="77777777" w:rsidR="007C4B36" w:rsidRPr="00D74736" w:rsidRDefault="007C4B36" w:rsidP="007C4B36">
            <w:pPr>
              <w:jc w:val="left"/>
              <w:rPr>
                <w:szCs w:val="22"/>
              </w:rPr>
            </w:pPr>
            <w:r w:rsidRPr="00D74736">
              <w:rPr>
                <w:szCs w:val="22"/>
              </w:rPr>
              <w:t>Calculation</w:t>
            </w:r>
          </w:p>
        </w:tc>
        <w:tc>
          <w:tcPr>
            <w:tcW w:w="1620" w:type="dxa"/>
          </w:tcPr>
          <w:p w14:paraId="0401F8F7" w14:textId="77777777" w:rsidR="007C4B36" w:rsidRPr="00DA13C1" w:rsidRDefault="007C4B36" w:rsidP="0017702F">
            <w:pPr>
              <w:pStyle w:val="ListParagraph"/>
              <w:numPr>
                <w:ilvl w:val="0"/>
                <w:numId w:val="53"/>
              </w:numPr>
              <w:rPr>
                <w:highlight w:val="yellow"/>
              </w:rPr>
            </w:pPr>
            <w:r w:rsidRPr="00DA13C1">
              <w:rPr>
                <w:highlight w:val="yellow"/>
              </w:rPr>
              <w:t xml:space="preserve">Daily Maximum </w:t>
            </w:r>
          </w:p>
          <w:p w14:paraId="5AB8C5D7" w14:textId="77777777" w:rsidR="007C4B36" w:rsidRPr="00DA13C1" w:rsidRDefault="007C4B36" w:rsidP="0017702F">
            <w:pPr>
              <w:pStyle w:val="ListParagraph"/>
              <w:numPr>
                <w:ilvl w:val="0"/>
                <w:numId w:val="53"/>
              </w:numPr>
              <w:rPr>
                <w:highlight w:val="yellow"/>
              </w:rPr>
            </w:pPr>
            <w:r w:rsidRPr="00DA13C1">
              <w:rPr>
                <w:highlight w:val="yellow"/>
              </w:rPr>
              <w:t xml:space="preserve">Monthly Average </w:t>
            </w:r>
          </w:p>
          <w:p w14:paraId="4B12AA27" w14:textId="3DB67F61" w:rsidR="007C4B36" w:rsidRPr="00DA13C1" w:rsidRDefault="006F7336" w:rsidP="0017702F">
            <w:pPr>
              <w:pStyle w:val="ListParagraph"/>
              <w:numPr>
                <w:ilvl w:val="0"/>
                <w:numId w:val="53"/>
              </w:numPr>
              <w:rPr>
                <w:highlight w:val="yellow"/>
              </w:rPr>
            </w:pPr>
            <w:r w:rsidRPr="00DA13C1">
              <w:rPr>
                <w:highlight w:val="yellow"/>
              </w:rPr>
              <w:t xml:space="preserve">Maximum </w:t>
            </w:r>
            <w:r w:rsidR="007C4B36" w:rsidRPr="00DA13C1">
              <w:rPr>
                <w:highlight w:val="yellow"/>
              </w:rPr>
              <w:t>Weekly Average</w:t>
            </w:r>
          </w:p>
        </w:tc>
      </w:tr>
      <w:tr w:rsidR="00DA13C1" w:rsidRPr="00A30D47" w14:paraId="1C38B8CE" w14:textId="77777777" w:rsidTr="4C327C5F">
        <w:trPr>
          <w:cantSplit/>
          <w:jc w:val="center"/>
        </w:trPr>
        <w:tc>
          <w:tcPr>
            <w:tcW w:w="1620" w:type="dxa"/>
          </w:tcPr>
          <w:p w14:paraId="492AA2D8" w14:textId="77777777" w:rsidR="007C4B36" w:rsidRPr="00D74736" w:rsidRDefault="007C4B36" w:rsidP="007C4B36">
            <w:pPr>
              <w:suppressAutoHyphens/>
              <w:jc w:val="left"/>
              <w:rPr>
                <w:szCs w:val="22"/>
              </w:rPr>
            </w:pPr>
            <w:r w:rsidRPr="00D74736">
              <w:rPr>
                <w:spacing w:val="-3"/>
                <w:szCs w:val="22"/>
              </w:rPr>
              <w:t>TSS</w:t>
            </w:r>
            <w:r w:rsidRPr="00D74736">
              <w:rPr>
                <w:szCs w:val="22"/>
              </w:rPr>
              <w:t xml:space="preserve"> </w:t>
            </w:r>
          </w:p>
          <w:p w14:paraId="03B609C5" w14:textId="5418B0BD" w:rsidR="007C4B36" w:rsidRPr="00D74736" w:rsidRDefault="00290CAE" w:rsidP="007C4B36">
            <w:pPr>
              <w:suppressAutoHyphens/>
              <w:jc w:val="left"/>
              <w:rPr>
                <w:spacing w:val="-3"/>
                <w:szCs w:val="22"/>
                <w:vertAlign w:val="superscript"/>
              </w:rPr>
            </w:pPr>
            <w:r>
              <w:rPr>
                <w:spacing w:val="-3"/>
                <w:szCs w:val="22"/>
              </w:rPr>
              <w:t>p</w:t>
            </w:r>
            <w:r w:rsidR="007C4B36" w:rsidRPr="00D74736">
              <w:rPr>
                <w:spacing w:val="-3"/>
                <w:szCs w:val="22"/>
              </w:rPr>
              <w:t xml:space="preserve">ercent </w:t>
            </w:r>
            <w:r>
              <w:rPr>
                <w:spacing w:val="-3"/>
                <w:szCs w:val="22"/>
              </w:rPr>
              <w:t>r</w:t>
            </w:r>
            <w:r w:rsidR="007C4B36" w:rsidRPr="00D74736">
              <w:rPr>
                <w:spacing w:val="-3"/>
                <w:szCs w:val="22"/>
              </w:rPr>
              <w:t>emoval</w:t>
            </w:r>
            <w:r w:rsidR="007C4B36" w:rsidRPr="00D74736">
              <w:rPr>
                <w:spacing w:val="-3"/>
                <w:szCs w:val="22"/>
                <w:vertAlign w:val="superscript"/>
              </w:rPr>
              <w:t xml:space="preserve"> </w:t>
            </w:r>
          </w:p>
          <w:p w14:paraId="34FFE953" w14:textId="77777777" w:rsidR="007C4B36" w:rsidRDefault="007C4B36" w:rsidP="007C4B36">
            <w:pPr>
              <w:suppressAutoHyphens/>
              <w:jc w:val="left"/>
              <w:rPr>
                <w:spacing w:val="-3"/>
                <w:szCs w:val="22"/>
              </w:rPr>
            </w:pPr>
            <w:r w:rsidRPr="00D74736">
              <w:rPr>
                <w:spacing w:val="-3"/>
                <w:szCs w:val="22"/>
              </w:rPr>
              <w:t>(81011)</w:t>
            </w:r>
          </w:p>
          <w:p w14:paraId="79A1811C" w14:textId="243864C0" w:rsidR="00EB552D" w:rsidRPr="00D74736" w:rsidRDefault="006546C9" w:rsidP="007C4B36">
            <w:pPr>
              <w:suppressAutoHyphens/>
              <w:jc w:val="left"/>
              <w:rPr>
                <w:spacing w:val="-3"/>
                <w:szCs w:val="22"/>
              </w:rPr>
            </w:pPr>
            <w:r>
              <w:rPr>
                <w:spacing w:val="-3"/>
                <w:szCs w:val="22"/>
              </w:rPr>
              <w:t>(S</w:t>
            </w:r>
            <w:r w:rsidR="00EB552D" w:rsidRPr="00D74736">
              <w:rPr>
                <w:spacing w:val="-3"/>
                <w:szCs w:val="22"/>
              </w:rPr>
              <w:t xml:space="preserve">ee note c </w:t>
            </w:r>
            <w:r w:rsidR="00EB552D" w:rsidRPr="00EB552D">
              <w:rPr>
                <w:spacing w:val="-3"/>
                <w:szCs w:val="22"/>
                <w:highlight w:val="yellow"/>
              </w:rPr>
              <w:t>&amp; d</w:t>
            </w:r>
            <w:r w:rsidR="00EB552D" w:rsidRPr="00D74736">
              <w:rPr>
                <w:spacing w:val="-3"/>
                <w:szCs w:val="22"/>
              </w:rPr>
              <w:t>.</w:t>
            </w:r>
            <w:r>
              <w:rPr>
                <w:spacing w:val="-3"/>
                <w:szCs w:val="22"/>
              </w:rPr>
              <w:t>)</w:t>
            </w:r>
          </w:p>
        </w:tc>
        <w:tc>
          <w:tcPr>
            <w:tcW w:w="1620" w:type="dxa"/>
          </w:tcPr>
          <w:p w14:paraId="43E3185E" w14:textId="77777777" w:rsidR="007C4B36" w:rsidRPr="00D74736" w:rsidRDefault="007C4B36" w:rsidP="007C4B36">
            <w:pPr>
              <w:suppressAutoHyphens/>
              <w:jc w:val="left"/>
              <w:rPr>
                <w:spacing w:val="-3"/>
                <w:szCs w:val="22"/>
              </w:rPr>
            </w:pPr>
            <w:r w:rsidRPr="00D74736">
              <w:rPr>
                <w:spacing w:val="-3"/>
                <w:szCs w:val="22"/>
              </w:rPr>
              <w:t>%</w:t>
            </w:r>
          </w:p>
        </w:tc>
        <w:tc>
          <w:tcPr>
            <w:tcW w:w="1620" w:type="dxa"/>
          </w:tcPr>
          <w:p w14:paraId="7A2A9819" w14:textId="77777777" w:rsidR="007C4B36" w:rsidRPr="00D74736" w:rsidRDefault="007C4B36" w:rsidP="007C4B36">
            <w:pPr>
              <w:suppressAutoHyphens/>
              <w:jc w:val="left"/>
              <w:rPr>
                <w:spacing w:val="-3"/>
                <w:szCs w:val="22"/>
              </w:rPr>
            </w:pPr>
            <w:r w:rsidRPr="00D74736">
              <w:rPr>
                <w:szCs w:val="22"/>
              </w:rPr>
              <w:t>Year-round</w:t>
            </w:r>
          </w:p>
        </w:tc>
        <w:tc>
          <w:tcPr>
            <w:tcW w:w="1620" w:type="dxa"/>
          </w:tcPr>
          <w:p w14:paraId="4F1A0200" w14:textId="3667D296" w:rsidR="007C4B36" w:rsidRPr="00D74736" w:rsidRDefault="007C4B36" w:rsidP="007C4B36">
            <w:pPr>
              <w:jc w:val="left"/>
              <w:rPr>
                <w:szCs w:val="22"/>
                <w:highlight w:val="yellow"/>
              </w:rPr>
            </w:pPr>
            <w:r w:rsidRPr="00E64E43">
              <w:rPr>
                <w:szCs w:val="22"/>
                <w:highlight w:val="yellow"/>
              </w:rPr>
              <w:t>Monitoring Matrix</w:t>
            </w:r>
          </w:p>
        </w:tc>
        <w:tc>
          <w:tcPr>
            <w:tcW w:w="1620" w:type="dxa"/>
          </w:tcPr>
          <w:p w14:paraId="33CB8AD9" w14:textId="77777777" w:rsidR="007C4B36" w:rsidRPr="00D74736" w:rsidRDefault="007C4B36" w:rsidP="007C4B36">
            <w:pPr>
              <w:jc w:val="left"/>
              <w:rPr>
                <w:szCs w:val="22"/>
                <w:highlight w:val="yellow"/>
              </w:rPr>
            </w:pPr>
            <w:r w:rsidRPr="00D74736">
              <w:rPr>
                <w:szCs w:val="22"/>
                <w:highlight w:val="yellow"/>
              </w:rPr>
              <w:t>Calculation based on monthly average TSS concentration values</w:t>
            </w:r>
          </w:p>
        </w:tc>
        <w:tc>
          <w:tcPr>
            <w:tcW w:w="1620" w:type="dxa"/>
          </w:tcPr>
          <w:p w14:paraId="229A804C" w14:textId="77777777" w:rsidR="007C4B36" w:rsidRPr="00D74736" w:rsidRDefault="007C4B36" w:rsidP="007C4B36">
            <w:pPr>
              <w:contextualSpacing/>
              <w:jc w:val="left"/>
              <w:rPr>
                <w:rFonts w:eastAsia="Calibri"/>
                <w:szCs w:val="22"/>
                <w:highlight w:val="yellow"/>
              </w:rPr>
            </w:pPr>
            <w:r w:rsidRPr="00D74736">
              <w:rPr>
                <w:rFonts w:eastAsia="Calibri"/>
                <w:szCs w:val="22"/>
                <w:highlight w:val="yellow"/>
              </w:rPr>
              <w:t xml:space="preserve">Monthly Average </w:t>
            </w:r>
          </w:p>
        </w:tc>
      </w:tr>
      <w:tr w:rsidR="00DA13C1" w:rsidRPr="00A30D47" w14:paraId="46FBDC9B" w14:textId="77777777" w:rsidTr="4C327C5F">
        <w:trPr>
          <w:cantSplit/>
          <w:jc w:val="center"/>
        </w:trPr>
        <w:tc>
          <w:tcPr>
            <w:tcW w:w="1620" w:type="dxa"/>
          </w:tcPr>
          <w:p w14:paraId="47167E78" w14:textId="77777777" w:rsidR="007C4B36" w:rsidRPr="00D74736" w:rsidRDefault="007C4B36" w:rsidP="007C4B36">
            <w:pPr>
              <w:keepNext/>
              <w:keepLines/>
              <w:suppressAutoHyphens/>
              <w:jc w:val="left"/>
              <w:rPr>
                <w:spacing w:val="-3"/>
                <w:szCs w:val="22"/>
              </w:rPr>
            </w:pPr>
            <w:r w:rsidRPr="00D74736">
              <w:rPr>
                <w:spacing w:val="-3"/>
                <w:szCs w:val="22"/>
              </w:rPr>
              <w:lastRenderedPageBreak/>
              <w:t>pH</w:t>
            </w:r>
          </w:p>
          <w:p w14:paraId="44FE8DF2" w14:textId="31F25B19" w:rsidR="007C4B36" w:rsidRPr="00D74736" w:rsidRDefault="007C4B36" w:rsidP="007C4B36">
            <w:pPr>
              <w:keepNext/>
              <w:keepLines/>
              <w:suppressAutoHyphens/>
              <w:jc w:val="left"/>
              <w:rPr>
                <w:szCs w:val="22"/>
                <w:highlight w:val="yellow"/>
              </w:rPr>
            </w:pPr>
            <w:r w:rsidRPr="00D74736">
              <w:rPr>
                <w:spacing w:val="-3"/>
                <w:szCs w:val="22"/>
              </w:rPr>
              <w:t>(00400)</w:t>
            </w:r>
          </w:p>
        </w:tc>
        <w:tc>
          <w:tcPr>
            <w:tcW w:w="1620" w:type="dxa"/>
          </w:tcPr>
          <w:p w14:paraId="74985A46" w14:textId="0AA6A4BB" w:rsidR="007C4B36" w:rsidRPr="00D74736" w:rsidRDefault="00970DF0" w:rsidP="007C4B36">
            <w:pPr>
              <w:keepNext/>
              <w:keepLines/>
              <w:suppressAutoHyphens/>
              <w:jc w:val="left"/>
              <w:rPr>
                <w:szCs w:val="22"/>
              </w:rPr>
            </w:pPr>
            <w:r>
              <w:rPr>
                <w:spacing w:val="-3"/>
                <w:szCs w:val="22"/>
              </w:rPr>
              <w:t>SU</w:t>
            </w:r>
          </w:p>
        </w:tc>
        <w:tc>
          <w:tcPr>
            <w:tcW w:w="1620" w:type="dxa"/>
          </w:tcPr>
          <w:p w14:paraId="13CC15B6" w14:textId="77777777" w:rsidR="007C4B36" w:rsidRPr="00D74736" w:rsidRDefault="007C4B36" w:rsidP="007C4B36">
            <w:pPr>
              <w:suppressAutoHyphens/>
              <w:jc w:val="left"/>
              <w:rPr>
                <w:szCs w:val="22"/>
              </w:rPr>
            </w:pPr>
            <w:r w:rsidRPr="00D74736">
              <w:rPr>
                <w:spacing w:val="-3"/>
                <w:szCs w:val="22"/>
              </w:rPr>
              <w:t>Year-round</w:t>
            </w:r>
          </w:p>
        </w:tc>
        <w:tc>
          <w:tcPr>
            <w:tcW w:w="1620" w:type="dxa"/>
          </w:tcPr>
          <w:p w14:paraId="17699859" w14:textId="1F60C576" w:rsidR="007C4B36" w:rsidRPr="00D74736" w:rsidRDefault="007C4B36" w:rsidP="007C4B36">
            <w:pPr>
              <w:keepNext/>
              <w:keepLines/>
              <w:jc w:val="left"/>
              <w:rPr>
                <w:szCs w:val="22"/>
                <w:highlight w:val="yellow"/>
              </w:rPr>
            </w:pPr>
            <w:r w:rsidRPr="004F6D03">
              <w:rPr>
                <w:szCs w:val="22"/>
                <w:highlight w:val="yellow"/>
              </w:rPr>
              <w:t>Monitoring Matrix</w:t>
            </w:r>
          </w:p>
        </w:tc>
        <w:tc>
          <w:tcPr>
            <w:tcW w:w="1620" w:type="dxa"/>
          </w:tcPr>
          <w:p w14:paraId="49064EC5" w14:textId="4C3873D3" w:rsidR="007C4B36" w:rsidRPr="00D74736" w:rsidRDefault="007C4B36" w:rsidP="007C4B36">
            <w:pPr>
              <w:keepNext/>
              <w:keepLines/>
              <w:jc w:val="left"/>
              <w:rPr>
                <w:szCs w:val="22"/>
                <w:highlight w:val="yellow"/>
              </w:rPr>
            </w:pPr>
            <w:r w:rsidRPr="00D74736">
              <w:rPr>
                <w:szCs w:val="22"/>
                <w:highlight w:val="yellow"/>
              </w:rPr>
              <w:t>Continuous</w:t>
            </w:r>
            <w:r w:rsidR="00F75DDA">
              <w:rPr>
                <w:szCs w:val="22"/>
                <w:highlight w:val="yellow"/>
              </w:rPr>
              <w:t xml:space="preserve"> </w:t>
            </w:r>
            <w:r w:rsidR="005E32E4">
              <w:rPr>
                <w:szCs w:val="22"/>
                <w:highlight w:val="yellow"/>
              </w:rPr>
              <w:t>(See note</w:t>
            </w:r>
            <w:r w:rsidR="00F75DDA">
              <w:rPr>
                <w:szCs w:val="22"/>
                <w:highlight w:val="yellow"/>
              </w:rPr>
              <w:t xml:space="preserve"> g</w:t>
            </w:r>
            <w:r w:rsidR="006546C9">
              <w:rPr>
                <w:szCs w:val="22"/>
                <w:highlight w:val="yellow"/>
              </w:rPr>
              <w:t>.</w:t>
            </w:r>
            <w:r w:rsidR="00F75DDA">
              <w:rPr>
                <w:szCs w:val="22"/>
                <w:highlight w:val="yellow"/>
              </w:rPr>
              <w:t>)</w:t>
            </w:r>
            <w:r w:rsidRPr="00D74736">
              <w:rPr>
                <w:szCs w:val="22"/>
                <w:highlight w:val="yellow"/>
              </w:rPr>
              <w:t>/Grab</w:t>
            </w:r>
          </w:p>
        </w:tc>
        <w:tc>
          <w:tcPr>
            <w:tcW w:w="1620" w:type="dxa"/>
          </w:tcPr>
          <w:p w14:paraId="1208BD80" w14:textId="77777777" w:rsidR="007C4B36" w:rsidRPr="00DA13C1" w:rsidRDefault="007C4B36" w:rsidP="0017702F">
            <w:pPr>
              <w:pStyle w:val="ListParagraph"/>
              <w:numPr>
                <w:ilvl w:val="0"/>
                <w:numId w:val="54"/>
              </w:numPr>
              <w:rPr>
                <w:highlight w:val="yellow"/>
              </w:rPr>
            </w:pPr>
            <w:r w:rsidRPr="00DA13C1">
              <w:rPr>
                <w:highlight w:val="yellow"/>
              </w:rPr>
              <w:t>Daily Maximum</w:t>
            </w:r>
          </w:p>
          <w:p w14:paraId="52E56FB9" w14:textId="4978667D" w:rsidR="007C4B36" w:rsidRPr="00DA13C1" w:rsidRDefault="007C4B36" w:rsidP="0017702F">
            <w:pPr>
              <w:pStyle w:val="ListParagraph"/>
              <w:numPr>
                <w:ilvl w:val="0"/>
                <w:numId w:val="54"/>
              </w:numPr>
              <w:rPr>
                <w:highlight w:val="yellow"/>
              </w:rPr>
            </w:pPr>
            <w:r w:rsidRPr="00DA13C1">
              <w:rPr>
                <w:highlight w:val="yellow"/>
              </w:rPr>
              <w:t xml:space="preserve">Daily Minimum </w:t>
            </w:r>
          </w:p>
        </w:tc>
      </w:tr>
      <w:tr w:rsidR="00DA13C1" w:rsidRPr="00A30D47" w14:paraId="3CDFB11C" w14:textId="77777777" w:rsidTr="4C327C5F">
        <w:trPr>
          <w:cantSplit/>
          <w:jc w:val="center"/>
        </w:trPr>
        <w:tc>
          <w:tcPr>
            <w:tcW w:w="1620" w:type="dxa"/>
          </w:tcPr>
          <w:p w14:paraId="474AFC53" w14:textId="77777777" w:rsidR="007C4B36" w:rsidRPr="00351327" w:rsidRDefault="007C4B36" w:rsidP="007C4B36">
            <w:pPr>
              <w:keepNext/>
              <w:keepLines/>
              <w:suppressAutoHyphens/>
              <w:jc w:val="left"/>
              <w:rPr>
                <w:szCs w:val="22"/>
              </w:rPr>
            </w:pPr>
            <w:r w:rsidRPr="00351327">
              <w:rPr>
                <w:szCs w:val="22"/>
              </w:rPr>
              <w:t>Chlorine, Total Residual</w:t>
            </w:r>
          </w:p>
          <w:p w14:paraId="22BEEA13" w14:textId="1644DF35" w:rsidR="007C4B36" w:rsidRPr="00D74736" w:rsidRDefault="007C4B36" w:rsidP="007C4B36">
            <w:pPr>
              <w:keepNext/>
              <w:keepLines/>
              <w:suppressAutoHyphens/>
              <w:jc w:val="left"/>
              <w:rPr>
                <w:szCs w:val="22"/>
                <w:highlight w:val="yellow"/>
              </w:rPr>
            </w:pPr>
            <w:r w:rsidRPr="00351327">
              <w:rPr>
                <w:szCs w:val="22"/>
              </w:rPr>
              <w:t>(50060)</w:t>
            </w:r>
          </w:p>
        </w:tc>
        <w:tc>
          <w:tcPr>
            <w:tcW w:w="1620" w:type="dxa"/>
          </w:tcPr>
          <w:p w14:paraId="1126A04A" w14:textId="77777777" w:rsidR="007C4B36" w:rsidRPr="00D74736" w:rsidRDefault="007C4B36" w:rsidP="007C4B36">
            <w:pPr>
              <w:keepNext/>
              <w:keepLines/>
              <w:suppressAutoHyphens/>
              <w:jc w:val="left"/>
              <w:rPr>
                <w:szCs w:val="22"/>
                <w:highlight w:val="yellow"/>
              </w:rPr>
            </w:pPr>
            <w:r w:rsidRPr="00D74736">
              <w:rPr>
                <w:szCs w:val="22"/>
                <w:highlight w:val="yellow"/>
              </w:rPr>
              <w:t>mg/L</w:t>
            </w:r>
          </w:p>
        </w:tc>
        <w:tc>
          <w:tcPr>
            <w:tcW w:w="1620" w:type="dxa"/>
          </w:tcPr>
          <w:p w14:paraId="11DFF201" w14:textId="77777777" w:rsidR="007C4B36" w:rsidRPr="00D74736" w:rsidRDefault="007C4B36" w:rsidP="007C4B36">
            <w:pPr>
              <w:suppressAutoHyphens/>
              <w:jc w:val="left"/>
              <w:rPr>
                <w:i/>
                <w:szCs w:val="22"/>
                <w:highlight w:val="yellow"/>
              </w:rPr>
            </w:pPr>
            <w:r w:rsidRPr="00D74736">
              <w:rPr>
                <w:i/>
                <w:szCs w:val="22"/>
                <w:highlight w:val="yellow"/>
              </w:rPr>
              <w:t>Example:</w:t>
            </w:r>
          </w:p>
          <w:p w14:paraId="5753CFE7" w14:textId="77777777" w:rsidR="007C4B36" w:rsidRPr="00D74736" w:rsidRDefault="007C4B36" w:rsidP="007C4B36">
            <w:pPr>
              <w:suppressAutoHyphens/>
              <w:jc w:val="left"/>
              <w:rPr>
                <w:i/>
                <w:szCs w:val="22"/>
                <w:highlight w:val="yellow"/>
              </w:rPr>
            </w:pPr>
            <w:r w:rsidRPr="00D74736">
              <w:rPr>
                <w:szCs w:val="22"/>
                <w:highlight w:val="yellow"/>
              </w:rPr>
              <w:t xml:space="preserve">Nov </w:t>
            </w:r>
            <w:r w:rsidRPr="00D74736">
              <w:rPr>
                <w:spacing w:val="-3"/>
                <w:szCs w:val="22"/>
                <w:highlight w:val="yellow"/>
              </w:rPr>
              <w:t>–</w:t>
            </w:r>
            <w:r w:rsidRPr="00D74736">
              <w:rPr>
                <w:szCs w:val="22"/>
                <w:highlight w:val="yellow"/>
              </w:rPr>
              <w:t xml:space="preserve"> May</w:t>
            </w:r>
          </w:p>
        </w:tc>
        <w:tc>
          <w:tcPr>
            <w:tcW w:w="1620" w:type="dxa"/>
          </w:tcPr>
          <w:p w14:paraId="455BABF5" w14:textId="1E91D5E5" w:rsidR="007C4B36" w:rsidRPr="00D74736" w:rsidRDefault="007C4B36" w:rsidP="007C4B36">
            <w:pPr>
              <w:keepNext/>
              <w:keepLines/>
              <w:jc w:val="left"/>
              <w:rPr>
                <w:szCs w:val="22"/>
                <w:highlight w:val="yellow"/>
              </w:rPr>
            </w:pPr>
            <w:r w:rsidRPr="004F6D03">
              <w:rPr>
                <w:szCs w:val="22"/>
                <w:highlight w:val="yellow"/>
              </w:rPr>
              <w:t>Monitoring Matrix</w:t>
            </w:r>
          </w:p>
        </w:tc>
        <w:tc>
          <w:tcPr>
            <w:tcW w:w="1620" w:type="dxa"/>
          </w:tcPr>
          <w:p w14:paraId="68E0A414" w14:textId="77777777" w:rsidR="007C4B36" w:rsidRPr="00D74736" w:rsidRDefault="007C4B36" w:rsidP="007C4B36">
            <w:pPr>
              <w:keepNext/>
              <w:keepLines/>
              <w:jc w:val="left"/>
              <w:rPr>
                <w:szCs w:val="22"/>
                <w:highlight w:val="yellow"/>
              </w:rPr>
            </w:pPr>
            <w:r w:rsidRPr="00D74736">
              <w:rPr>
                <w:szCs w:val="22"/>
                <w:highlight w:val="yellow"/>
              </w:rPr>
              <w:t>Grab</w:t>
            </w:r>
          </w:p>
        </w:tc>
        <w:tc>
          <w:tcPr>
            <w:tcW w:w="1620" w:type="dxa"/>
          </w:tcPr>
          <w:p w14:paraId="0D037773" w14:textId="77777777" w:rsidR="007C4B36" w:rsidRPr="00DA13C1" w:rsidRDefault="007C4B36" w:rsidP="0017702F">
            <w:pPr>
              <w:pStyle w:val="ListParagraph"/>
              <w:numPr>
                <w:ilvl w:val="0"/>
                <w:numId w:val="55"/>
              </w:numPr>
              <w:suppressAutoHyphens/>
              <w:rPr>
                <w:highlight w:val="yellow"/>
              </w:rPr>
            </w:pPr>
            <w:r w:rsidRPr="00DA13C1">
              <w:rPr>
                <w:highlight w:val="yellow"/>
              </w:rPr>
              <w:t>Daily Maximum</w:t>
            </w:r>
          </w:p>
          <w:p w14:paraId="752C3AFB" w14:textId="554C7FD9" w:rsidR="007C4B36" w:rsidRPr="00DA13C1" w:rsidRDefault="007C4B36" w:rsidP="0017702F">
            <w:pPr>
              <w:pStyle w:val="ListParagraph"/>
              <w:numPr>
                <w:ilvl w:val="0"/>
                <w:numId w:val="55"/>
              </w:numPr>
              <w:suppressAutoHyphens/>
              <w:rPr>
                <w:spacing w:val="-3"/>
                <w:highlight w:val="yellow"/>
              </w:rPr>
            </w:pPr>
            <w:r w:rsidRPr="00DA13C1">
              <w:rPr>
                <w:highlight w:val="yellow"/>
              </w:rPr>
              <w:t>Monthly Average</w:t>
            </w:r>
          </w:p>
        </w:tc>
      </w:tr>
      <w:tr w:rsidR="00DA13C1" w:rsidRPr="00A30D47" w14:paraId="29290367" w14:textId="77777777" w:rsidTr="4C327C5F">
        <w:trPr>
          <w:cantSplit/>
          <w:jc w:val="center"/>
        </w:trPr>
        <w:tc>
          <w:tcPr>
            <w:tcW w:w="1620" w:type="dxa"/>
          </w:tcPr>
          <w:p w14:paraId="6C9A57CF" w14:textId="77777777" w:rsidR="007C4B36" w:rsidRPr="00D74736" w:rsidRDefault="007C4B36" w:rsidP="007C4B36">
            <w:pPr>
              <w:keepNext/>
              <w:keepLines/>
              <w:suppressAutoHyphens/>
              <w:jc w:val="left"/>
              <w:rPr>
                <w:szCs w:val="22"/>
                <w:highlight w:val="yellow"/>
              </w:rPr>
            </w:pPr>
            <w:r w:rsidRPr="00D74736">
              <w:rPr>
                <w:szCs w:val="22"/>
                <w:highlight w:val="yellow"/>
              </w:rPr>
              <w:t>Temperature</w:t>
            </w:r>
          </w:p>
          <w:p w14:paraId="78279BD4" w14:textId="24684823" w:rsidR="007C4B36" w:rsidRPr="00D74736" w:rsidRDefault="007C4B36" w:rsidP="007C4B36">
            <w:pPr>
              <w:keepNext/>
              <w:keepLines/>
              <w:suppressAutoHyphens/>
              <w:jc w:val="left"/>
              <w:rPr>
                <w:szCs w:val="22"/>
                <w:highlight w:val="yellow"/>
              </w:rPr>
            </w:pPr>
            <w:r w:rsidRPr="00D74736">
              <w:rPr>
                <w:szCs w:val="22"/>
                <w:highlight w:val="yellow"/>
              </w:rPr>
              <w:t>(00010)</w:t>
            </w:r>
          </w:p>
        </w:tc>
        <w:tc>
          <w:tcPr>
            <w:tcW w:w="1620" w:type="dxa"/>
          </w:tcPr>
          <w:p w14:paraId="22920921" w14:textId="77777777" w:rsidR="007C4B36" w:rsidRPr="00D74736" w:rsidRDefault="007C4B36" w:rsidP="007C4B36">
            <w:pPr>
              <w:keepNext/>
              <w:keepLines/>
              <w:suppressAutoHyphens/>
              <w:jc w:val="left"/>
              <w:rPr>
                <w:szCs w:val="22"/>
                <w:highlight w:val="yellow"/>
              </w:rPr>
            </w:pPr>
            <w:r w:rsidRPr="00D74736">
              <w:rPr>
                <w:szCs w:val="22"/>
                <w:highlight w:val="yellow"/>
              </w:rPr>
              <w:t>ºC</w:t>
            </w:r>
          </w:p>
        </w:tc>
        <w:tc>
          <w:tcPr>
            <w:tcW w:w="1620" w:type="dxa"/>
          </w:tcPr>
          <w:p w14:paraId="57750D3B" w14:textId="77777777" w:rsidR="007C4B36" w:rsidRPr="00D74736" w:rsidRDefault="007C4B36" w:rsidP="007C4B36">
            <w:pPr>
              <w:suppressAutoHyphens/>
              <w:jc w:val="left"/>
              <w:rPr>
                <w:i/>
                <w:szCs w:val="22"/>
                <w:highlight w:val="yellow"/>
              </w:rPr>
            </w:pPr>
            <w:r w:rsidRPr="00D74736">
              <w:rPr>
                <w:i/>
                <w:szCs w:val="22"/>
                <w:highlight w:val="yellow"/>
              </w:rPr>
              <w:t>Example:</w:t>
            </w:r>
          </w:p>
          <w:p w14:paraId="40896CE5" w14:textId="77777777" w:rsidR="007C4B36" w:rsidRPr="00D74736" w:rsidRDefault="007C4B36" w:rsidP="007C4B36">
            <w:pPr>
              <w:suppressAutoHyphens/>
              <w:jc w:val="left"/>
              <w:rPr>
                <w:i/>
                <w:szCs w:val="22"/>
                <w:highlight w:val="yellow"/>
              </w:rPr>
            </w:pPr>
            <w:r w:rsidRPr="00D74736">
              <w:rPr>
                <w:szCs w:val="22"/>
                <w:highlight w:val="yellow"/>
              </w:rPr>
              <w:t xml:space="preserve">Nov </w:t>
            </w:r>
            <w:r w:rsidRPr="00D74736">
              <w:rPr>
                <w:spacing w:val="-3"/>
                <w:szCs w:val="22"/>
                <w:highlight w:val="yellow"/>
              </w:rPr>
              <w:t>–</w:t>
            </w:r>
            <w:r w:rsidRPr="00D74736">
              <w:rPr>
                <w:szCs w:val="22"/>
                <w:highlight w:val="yellow"/>
              </w:rPr>
              <w:t xml:space="preserve"> May</w:t>
            </w:r>
          </w:p>
        </w:tc>
        <w:tc>
          <w:tcPr>
            <w:tcW w:w="1620" w:type="dxa"/>
          </w:tcPr>
          <w:p w14:paraId="73236C93" w14:textId="2519A02B" w:rsidR="007C4B36" w:rsidRPr="00D74736" w:rsidRDefault="007C4B36" w:rsidP="007C4B36">
            <w:pPr>
              <w:keepNext/>
              <w:keepLines/>
              <w:jc w:val="left"/>
              <w:rPr>
                <w:szCs w:val="22"/>
                <w:highlight w:val="yellow"/>
              </w:rPr>
            </w:pPr>
            <w:r w:rsidRPr="004F6D03">
              <w:rPr>
                <w:szCs w:val="22"/>
                <w:highlight w:val="yellow"/>
              </w:rPr>
              <w:t>Monitoring Matrix</w:t>
            </w:r>
          </w:p>
        </w:tc>
        <w:tc>
          <w:tcPr>
            <w:tcW w:w="1620" w:type="dxa"/>
          </w:tcPr>
          <w:p w14:paraId="31092602" w14:textId="3A23838D" w:rsidR="007C4B36" w:rsidRPr="00D74736" w:rsidRDefault="007C4B36" w:rsidP="007C4B36">
            <w:pPr>
              <w:keepNext/>
              <w:keepLines/>
              <w:jc w:val="left"/>
              <w:rPr>
                <w:szCs w:val="22"/>
                <w:highlight w:val="yellow"/>
              </w:rPr>
            </w:pPr>
            <w:r w:rsidRPr="00D74736">
              <w:rPr>
                <w:szCs w:val="22"/>
                <w:highlight w:val="yellow"/>
              </w:rPr>
              <w:t>Continuous</w:t>
            </w:r>
            <w:r w:rsidR="00A77C07">
              <w:rPr>
                <w:szCs w:val="22"/>
                <w:highlight w:val="yellow"/>
              </w:rPr>
              <w:t xml:space="preserve"> (See note </w:t>
            </w:r>
            <w:proofErr w:type="spellStart"/>
            <w:r w:rsidR="00A77C07">
              <w:rPr>
                <w:szCs w:val="22"/>
                <w:highlight w:val="yellow"/>
              </w:rPr>
              <w:t>i</w:t>
            </w:r>
            <w:proofErr w:type="spellEnd"/>
            <w:r w:rsidR="00A77C07">
              <w:rPr>
                <w:szCs w:val="22"/>
                <w:highlight w:val="yellow"/>
              </w:rPr>
              <w:t>.)</w:t>
            </w:r>
            <w:r w:rsidRPr="00D74736">
              <w:rPr>
                <w:szCs w:val="22"/>
                <w:highlight w:val="yellow"/>
              </w:rPr>
              <w:t>/Grab</w:t>
            </w:r>
            <w:r w:rsidR="00A77C07">
              <w:rPr>
                <w:szCs w:val="22"/>
                <w:highlight w:val="yellow"/>
              </w:rPr>
              <w:t xml:space="preserve"> (See note </w:t>
            </w:r>
            <w:proofErr w:type="spellStart"/>
            <w:r w:rsidR="00A77C07">
              <w:rPr>
                <w:szCs w:val="22"/>
                <w:highlight w:val="yellow"/>
              </w:rPr>
              <w:t>i</w:t>
            </w:r>
            <w:proofErr w:type="spellEnd"/>
            <w:r w:rsidR="00A77C07">
              <w:rPr>
                <w:szCs w:val="22"/>
                <w:highlight w:val="yellow"/>
              </w:rPr>
              <w:t>.)</w:t>
            </w:r>
          </w:p>
        </w:tc>
        <w:tc>
          <w:tcPr>
            <w:tcW w:w="1620" w:type="dxa"/>
          </w:tcPr>
          <w:p w14:paraId="4703F610" w14:textId="77777777" w:rsidR="007C4B36" w:rsidRPr="00DA13C1" w:rsidRDefault="007C4B36" w:rsidP="0017702F">
            <w:pPr>
              <w:pStyle w:val="ListParagraph"/>
              <w:numPr>
                <w:ilvl w:val="0"/>
                <w:numId w:val="56"/>
              </w:numPr>
              <w:rPr>
                <w:highlight w:val="yellow"/>
              </w:rPr>
            </w:pPr>
            <w:r w:rsidRPr="00DA13C1">
              <w:rPr>
                <w:highlight w:val="yellow"/>
              </w:rPr>
              <w:t>Daily Maximum</w:t>
            </w:r>
          </w:p>
          <w:p w14:paraId="7E03ADC2" w14:textId="77777777" w:rsidR="007C4B36" w:rsidRPr="00DA13C1" w:rsidRDefault="007C4B36" w:rsidP="0017702F">
            <w:pPr>
              <w:pStyle w:val="ListParagraph"/>
              <w:numPr>
                <w:ilvl w:val="0"/>
                <w:numId w:val="56"/>
              </w:numPr>
              <w:rPr>
                <w:highlight w:val="yellow"/>
              </w:rPr>
            </w:pPr>
            <w:r w:rsidRPr="00DA13C1">
              <w:rPr>
                <w:highlight w:val="yellow"/>
              </w:rPr>
              <w:t>Monthly Average</w:t>
            </w:r>
          </w:p>
          <w:p w14:paraId="71CB8E8F" w14:textId="441DDDB3" w:rsidR="007C4B36" w:rsidRPr="00DA13C1" w:rsidRDefault="007B04DC" w:rsidP="0017702F">
            <w:pPr>
              <w:pStyle w:val="ListParagraph"/>
              <w:numPr>
                <w:ilvl w:val="0"/>
                <w:numId w:val="56"/>
              </w:numPr>
              <w:rPr>
                <w:highlight w:val="yellow"/>
              </w:rPr>
            </w:pPr>
            <w:r>
              <w:rPr>
                <w:highlight w:val="yellow"/>
              </w:rPr>
              <w:t xml:space="preserve">Maximum </w:t>
            </w:r>
            <w:r w:rsidR="003244DA" w:rsidRPr="00DA13C1">
              <w:rPr>
                <w:highlight w:val="yellow"/>
              </w:rPr>
              <w:t xml:space="preserve">7-day </w:t>
            </w:r>
            <w:r w:rsidR="007C4B36" w:rsidRPr="00DA13C1">
              <w:rPr>
                <w:highlight w:val="yellow"/>
              </w:rPr>
              <w:t>Rolling Average</w:t>
            </w:r>
            <w:r w:rsidR="00C81560" w:rsidRPr="00DA13C1">
              <w:rPr>
                <w:highlight w:val="yellow"/>
              </w:rPr>
              <w:t xml:space="preserve"> of Daily Maximum</w:t>
            </w:r>
          </w:p>
        </w:tc>
      </w:tr>
      <w:tr w:rsidR="00DA13C1" w:rsidRPr="00A30D47" w14:paraId="1C7E168E" w14:textId="77777777" w:rsidTr="4C327C5F">
        <w:trPr>
          <w:cantSplit/>
          <w:jc w:val="center"/>
        </w:trPr>
        <w:tc>
          <w:tcPr>
            <w:tcW w:w="1620" w:type="dxa"/>
          </w:tcPr>
          <w:p w14:paraId="25745F36" w14:textId="77777777" w:rsidR="007C4B36" w:rsidRPr="00D74736" w:rsidRDefault="007C4B36" w:rsidP="007C4B36">
            <w:pPr>
              <w:keepNext/>
              <w:keepLines/>
              <w:suppressAutoHyphens/>
              <w:jc w:val="left"/>
              <w:rPr>
                <w:szCs w:val="22"/>
                <w:highlight w:val="yellow"/>
              </w:rPr>
            </w:pPr>
            <w:r w:rsidRPr="00D74736">
              <w:rPr>
                <w:szCs w:val="22"/>
                <w:highlight w:val="yellow"/>
              </w:rPr>
              <w:t>Excess Thermal Load</w:t>
            </w:r>
          </w:p>
          <w:p w14:paraId="7C755775" w14:textId="76C1EB45" w:rsidR="007C4B36" w:rsidRPr="00D74736" w:rsidRDefault="007C4B36" w:rsidP="007C4B36">
            <w:pPr>
              <w:keepNext/>
              <w:keepLines/>
              <w:suppressAutoHyphens/>
              <w:jc w:val="left"/>
              <w:rPr>
                <w:spacing w:val="-3"/>
                <w:szCs w:val="22"/>
                <w:highlight w:val="yellow"/>
              </w:rPr>
            </w:pPr>
            <w:r w:rsidRPr="00D74736">
              <w:rPr>
                <w:szCs w:val="22"/>
                <w:highlight w:val="yellow"/>
              </w:rPr>
              <w:t>(51405)</w:t>
            </w:r>
          </w:p>
        </w:tc>
        <w:tc>
          <w:tcPr>
            <w:tcW w:w="1620" w:type="dxa"/>
          </w:tcPr>
          <w:p w14:paraId="3CA9103A" w14:textId="1397F560" w:rsidR="007C4B36" w:rsidRPr="00D74736" w:rsidRDefault="00FB663B" w:rsidP="007C4B36">
            <w:pPr>
              <w:keepNext/>
              <w:keepLines/>
              <w:suppressAutoHyphens/>
              <w:jc w:val="left"/>
              <w:rPr>
                <w:spacing w:val="-3"/>
                <w:szCs w:val="22"/>
                <w:highlight w:val="yellow"/>
              </w:rPr>
            </w:pPr>
            <w:r>
              <w:rPr>
                <w:szCs w:val="22"/>
                <w:highlight w:val="yellow"/>
              </w:rPr>
              <w:t>Million kcal/day</w:t>
            </w:r>
          </w:p>
        </w:tc>
        <w:tc>
          <w:tcPr>
            <w:tcW w:w="1620" w:type="dxa"/>
          </w:tcPr>
          <w:p w14:paraId="3CE04A20" w14:textId="256B8613" w:rsidR="007C4B36" w:rsidRPr="00D74736" w:rsidRDefault="007C4B36" w:rsidP="009606E9">
            <w:pPr>
              <w:keepNext/>
              <w:keepLines/>
              <w:suppressAutoHyphens/>
              <w:jc w:val="left"/>
              <w:rPr>
                <w:spacing w:val="-3"/>
                <w:szCs w:val="22"/>
                <w:highlight w:val="yellow"/>
              </w:rPr>
            </w:pPr>
            <w:r w:rsidRPr="00D74736">
              <w:rPr>
                <w:i/>
                <w:szCs w:val="22"/>
                <w:highlight w:val="yellow"/>
              </w:rPr>
              <w:t xml:space="preserve">Example: </w:t>
            </w:r>
            <w:r w:rsidR="009606E9">
              <w:rPr>
                <w:szCs w:val="22"/>
                <w:highlight w:val="yellow"/>
              </w:rPr>
              <w:t>Year-round</w:t>
            </w:r>
          </w:p>
        </w:tc>
        <w:tc>
          <w:tcPr>
            <w:tcW w:w="1620" w:type="dxa"/>
          </w:tcPr>
          <w:p w14:paraId="03888B4A" w14:textId="2C4273F1" w:rsidR="007C4B36" w:rsidRPr="00D74736" w:rsidRDefault="007C4B36" w:rsidP="007C4B36">
            <w:pPr>
              <w:keepNext/>
              <w:keepLines/>
              <w:jc w:val="left"/>
              <w:rPr>
                <w:szCs w:val="22"/>
                <w:highlight w:val="yellow"/>
              </w:rPr>
            </w:pPr>
            <w:r w:rsidRPr="004F6D03">
              <w:rPr>
                <w:szCs w:val="22"/>
                <w:highlight w:val="yellow"/>
              </w:rPr>
              <w:t>Monitoring Matrix</w:t>
            </w:r>
          </w:p>
        </w:tc>
        <w:tc>
          <w:tcPr>
            <w:tcW w:w="1620" w:type="dxa"/>
          </w:tcPr>
          <w:p w14:paraId="28544B4F" w14:textId="03ADE25A" w:rsidR="007C4B36" w:rsidRPr="00D74736" w:rsidRDefault="007C4B36" w:rsidP="00B7678D">
            <w:pPr>
              <w:keepNext/>
              <w:keepLines/>
              <w:jc w:val="left"/>
              <w:rPr>
                <w:szCs w:val="22"/>
                <w:highlight w:val="yellow"/>
              </w:rPr>
            </w:pPr>
            <w:r w:rsidRPr="00D74736">
              <w:rPr>
                <w:szCs w:val="22"/>
                <w:highlight w:val="yellow"/>
              </w:rPr>
              <w:t xml:space="preserve">Calculation </w:t>
            </w:r>
            <w:r w:rsidR="005E32E4">
              <w:rPr>
                <w:szCs w:val="22"/>
                <w:highlight w:val="yellow"/>
              </w:rPr>
              <w:t>(See note</w:t>
            </w:r>
            <w:r w:rsidR="009606E9" w:rsidRPr="00D74736">
              <w:rPr>
                <w:szCs w:val="22"/>
                <w:highlight w:val="yellow"/>
              </w:rPr>
              <w:t xml:space="preserve"> </w:t>
            </w:r>
            <w:r w:rsidR="00B7678D">
              <w:rPr>
                <w:szCs w:val="22"/>
                <w:highlight w:val="yellow"/>
              </w:rPr>
              <w:t>e</w:t>
            </w:r>
            <w:r w:rsidR="00B574BC">
              <w:rPr>
                <w:szCs w:val="22"/>
                <w:highlight w:val="yellow"/>
              </w:rPr>
              <w:t>.</w:t>
            </w:r>
            <w:r w:rsidR="009606E9" w:rsidRPr="00D74736">
              <w:rPr>
                <w:szCs w:val="22"/>
                <w:highlight w:val="yellow"/>
              </w:rPr>
              <w:t>)</w:t>
            </w:r>
          </w:p>
        </w:tc>
        <w:tc>
          <w:tcPr>
            <w:tcW w:w="1620" w:type="dxa"/>
          </w:tcPr>
          <w:p w14:paraId="15B6AFAC" w14:textId="783E8167" w:rsidR="009606E9" w:rsidRPr="00D74736" w:rsidRDefault="007C4B36" w:rsidP="003244DA">
            <w:pPr>
              <w:ind w:left="-14"/>
              <w:contextualSpacing/>
              <w:jc w:val="left"/>
              <w:rPr>
                <w:rFonts w:eastAsia="Calibri"/>
                <w:spacing w:val="-3"/>
                <w:szCs w:val="22"/>
                <w:highlight w:val="yellow"/>
              </w:rPr>
            </w:pPr>
            <w:r w:rsidRPr="00D74736">
              <w:rPr>
                <w:rFonts w:eastAsia="Calibri"/>
                <w:szCs w:val="22"/>
                <w:highlight w:val="yellow"/>
              </w:rPr>
              <w:t>Maximum</w:t>
            </w:r>
            <w:r w:rsidR="00B574BC">
              <w:rPr>
                <w:rFonts w:eastAsia="Calibri"/>
                <w:szCs w:val="22"/>
                <w:highlight w:val="yellow"/>
              </w:rPr>
              <w:t xml:space="preserve"> </w:t>
            </w:r>
            <w:r w:rsidR="003244DA">
              <w:rPr>
                <w:rFonts w:eastAsia="Calibri"/>
                <w:szCs w:val="22"/>
                <w:highlight w:val="yellow"/>
              </w:rPr>
              <w:t>7-</w:t>
            </w:r>
            <w:r w:rsidR="003244DA" w:rsidRPr="00D74736">
              <w:rPr>
                <w:rFonts w:eastAsia="Calibri"/>
                <w:szCs w:val="22"/>
                <w:highlight w:val="yellow"/>
              </w:rPr>
              <w:t>day Rolling Average</w:t>
            </w:r>
          </w:p>
        </w:tc>
      </w:tr>
      <w:tr w:rsidR="007E46BF" w:rsidRPr="00A30D47" w14:paraId="50F08AF4" w14:textId="77777777" w:rsidTr="4C327C5F">
        <w:trPr>
          <w:cantSplit/>
          <w:jc w:val="center"/>
        </w:trPr>
        <w:tc>
          <w:tcPr>
            <w:tcW w:w="1620" w:type="dxa"/>
          </w:tcPr>
          <w:p w14:paraId="7BA54A10" w14:textId="241096CC" w:rsidR="007E46BF" w:rsidRPr="00AF21BE" w:rsidRDefault="00092174" w:rsidP="007C4B36">
            <w:pPr>
              <w:keepNext/>
              <w:keepLines/>
              <w:suppressAutoHyphens/>
              <w:jc w:val="left"/>
              <w:rPr>
                <w:iCs/>
                <w:szCs w:val="22"/>
                <w:highlight w:val="yellow"/>
              </w:rPr>
            </w:pPr>
            <w:r w:rsidRPr="00AF21BE">
              <w:rPr>
                <w:iCs/>
                <w:szCs w:val="22"/>
                <w:highlight w:val="yellow"/>
              </w:rPr>
              <w:t>Excess Thermal Load Limit (if using limit Option B)</w:t>
            </w:r>
          </w:p>
        </w:tc>
        <w:tc>
          <w:tcPr>
            <w:tcW w:w="1620" w:type="dxa"/>
          </w:tcPr>
          <w:p w14:paraId="0F1748EB" w14:textId="065C63C9" w:rsidR="007E46BF" w:rsidRDefault="00092174" w:rsidP="007C4B36">
            <w:pPr>
              <w:keepNext/>
              <w:keepLines/>
              <w:suppressAutoHyphens/>
              <w:jc w:val="left"/>
              <w:rPr>
                <w:szCs w:val="22"/>
                <w:highlight w:val="yellow"/>
              </w:rPr>
            </w:pPr>
            <w:r>
              <w:rPr>
                <w:szCs w:val="22"/>
                <w:highlight w:val="yellow"/>
              </w:rPr>
              <w:t>Million kcal/day</w:t>
            </w:r>
          </w:p>
        </w:tc>
        <w:tc>
          <w:tcPr>
            <w:tcW w:w="1620" w:type="dxa"/>
          </w:tcPr>
          <w:p w14:paraId="0B5511A7" w14:textId="4BAC7B2C" w:rsidR="007E46BF" w:rsidRPr="00D74736" w:rsidRDefault="00092174" w:rsidP="007C4B36">
            <w:pPr>
              <w:suppressAutoHyphens/>
              <w:jc w:val="left"/>
              <w:rPr>
                <w:i/>
                <w:szCs w:val="22"/>
                <w:highlight w:val="yellow"/>
              </w:rPr>
            </w:pPr>
            <w:r>
              <w:rPr>
                <w:i/>
                <w:szCs w:val="22"/>
                <w:highlight w:val="yellow"/>
              </w:rPr>
              <w:t>Example: Year-round</w:t>
            </w:r>
          </w:p>
        </w:tc>
        <w:tc>
          <w:tcPr>
            <w:tcW w:w="1620" w:type="dxa"/>
          </w:tcPr>
          <w:p w14:paraId="5992E292" w14:textId="202DC0C1" w:rsidR="007E46BF" w:rsidRPr="004F6D03" w:rsidRDefault="002E0194" w:rsidP="007C4B36">
            <w:pPr>
              <w:keepNext/>
              <w:keepLines/>
              <w:jc w:val="left"/>
              <w:rPr>
                <w:szCs w:val="22"/>
                <w:highlight w:val="yellow"/>
              </w:rPr>
            </w:pPr>
            <w:r>
              <w:rPr>
                <w:szCs w:val="22"/>
                <w:highlight w:val="yellow"/>
              </w:rPr>
              <w:t>Same as above</w:t>
            </w:r>
          </w:p>
        </w:tc>
        <w:tc>
          <w:tcPr>
            <w:tcW w:w="1620" w:type="dxa"/>
          </w:tcPr>
          <w:p w14:paraId="730AF000" w14:textId="5BCE8481" w:rsidR="007E46BF" w:rsidRPr="00D74736" w:rsidRDefault="002E0194" w:rsidP="007C4B36">
            <w:pPr>
              <w:keepNext/>
              <w:keepLines/>
              <w:jc w:val="left"/>
              <w:rPr>
                <w:szCs w:val="22"/>
                <w:highlight w:val="yellow"/>
              </w:rPr>
            </w:pPr>
            <w:r>
              <w:rPr>
                <w:szCs w:val="22"/>
                <w:highlight w:val="yellow"/>
              </w:rPr>
              <w:t>Calculation (see Table A1, also see note j.)</w:t>
            </w:r>
          </w:p>
        </w:tc>
        <w:tc>
          <w:tcPr>
            <w:tcW w:w="1620" w:type="dxa"/>
          </w:tcPr>
          <w:p w14:paraId="05A61E99" w14:textId="2B1B6610" w:rsidR="007E46BF" w:rsidRPr="002E0194" w:rsidRDefault="002E0194" w:rsidP="00E642C4">
            <w:pPr>
              <w:jc w:val="left"/>
              <w:rPr>
                <w:highlight w:val="yellow"/>
              </w:rPr>
            </w:pPr>
            <w:r>
              <w:rPr>
                <w:highlight w:val="yellow"/>
              </w:rPr>
              <w:t>7-day</w:t>
            </w:r>
            <w:r w:rsidR="00E642C4">
              <w:rPr>
                <w:highlight w:val="yellow"/>
              </w:rPr>
              <w:t xml:space="preserve"> </w:t>
            </w:r>
            <w:r>
              <w:rPr>
                <w:highlight w:val="yellow"/>
              </w:rPr>
              <w:t>Rolling Average</w:t>
            </w:r>
          </w:p>
        </w:tc>
      </w:tr>
      <w:tr w:rsidR="00DA13C1" w:rsidRPr="00A30D47" w14:paraId="7BF4A767" w14:textId="77777777" w:rsidTr="4C327C5F">
        <w:trPr>
          <w:cantSplit/>
          <w:jc w:val="center"/>
        </w:trPr>
        <w:tc>
          <w:tcPr>
            <w:tcW w:w="1620" w:type="dxa"/>
          </w:tcPr>
          <w:p w14:paraId="2C33FA7D" w14:textId="77777777" w:rsidR="007C4B36" w:rsidRPr="00D74736" w:rsidRDefault="007C4B36" w:rsidP="007C4B36">
            <w:pPr>
              <w:keepNext/>
              <w:keepLines/>
              <w:suppressAutoHyphens/>
              <w:jc w:val="left"/>
              <w:rPr>
                <w:i/>
                <w:szCs w:val="22"/>
                <w:highlight w:val="yellow"/>
              </w:rPr>
            </w:pPr>
            <w:r w:rsidRPr="00D74736">
              <w:rPr>
                <w:i/>
                <w:szCs w:val="22"/>
                <w:highlight w:val="yellow"/>
              </w:rPr>
              <w:t>E. coli</w:t>
            </w:r>
          </w:p>
          <w:p w14:paraId="611D4A07" w14:textId="033FDBD1" w:rsidR="007C4B36" w:rsidRPr="00D74736" w:rsidRDefault="007C4B36" w:rsidP="007C4B36">
            <w:pPr>
              <w:keepNext/>
              <w:keepLines/>
              <w:suppressAutoHyphens/>
              <w:jc w:val="left"/>
              <w:rPr>
                <w:spacing w:val="-3"/>
                <w:szCs w:val="22"/>
                <w:highlight w:val="yellow"/>
              </w:rPr>
            </w:pPr>
            <w:r w:rsidRPr="00D74736">
              <w:rPr>
                <w:szCs w:val="22"/>
                <w:highlight w:val="yellow"/>
              </w:rPr>
              <w:t>(51040)</w:t>
            </w:r>
          </w:p>
        </w:tc>
        <w:tc>
          <w:tcPr>
            <w:tcW w:w="1620" w:type="dxa"/>
          </w:tcPr>
          <w:p w14:paraId="3BADC65C" w14:textId="161D7A2F" w:rsidR="007C4B36" w:rsidRPr="00D74736" w:rsidRDefault="00B2300D" w:rsidP="007C4B36">
            <w:pPr>
              <w:keepNext/>
              <w:keepLines/>
              <w:suppressAutoHyphens/>
              <w:jc w:val="left"/>
              <w:rPr>
                <w:spacing w:val="-3"/>
                <w:szCs w:val="22"/>
                <w:highlight w:val="yellow"/>
              </w:rPr>
            </w:pPr>
            <w:r>
              <w:rPr>
                <w:szCs w:val="22"/>
                <w:highlight w:val="yellow"/>
              </w:rPr>
              <w:t>#</w:t>
            </w:r>
            <w:r w:rsidR="007C4B36" w:rsidRPr="00D74736">
              <w:rPr>
                <w:szCs w:val="22"/>
                <w:highlight w:val="yellow"/>
              </w:rPr>
              <w:t>/100 mL</w:t>
            </w:r>
          </w:p>
        </w:tc>
        <w:tc>
          <w:tcPr>
            <w:tcW w:w="1620" w:type="dxa"/>
          </w:tcPr>
          <w:p w14:paraId="149F8CC5" w14:textId="77777777" w:rsidR="007C4B36" w:rsidRPr="00D74736" w:rsidRDefault="007C4B36" w:rsidP="007C4B36">
            <w:pPr>
              <w:suppressAutoHyphens/>
              <w:jc w:val="left"/>
              <w:rPr>
                <w:i/>
                <w:szCs w:val="22"/>
                <w:highlight w:val="yellow"/>
              </w:rPr>
            </w:pPr>
            <w:r w:rsidRPr="00D74736">
              <w:rPr>
                <w:i/>
                <w:szCs w:val="22"/>
                <w:highlight w:val="yellow"/>
              </w:rPr>
              <w:t>Example:</w:t>
            </w:r>
          </w:p>
          <w:p w14:paraId="47E810C5" w14:textId="77777777" w:rsidR="007C4B36" w:rsidRPr="00D74736" w:rsidRDefault="007C4B36" w:rsidP="007C4B36">
            <w:pPr>
              <w:keepNext/>
              <w:keepLines/>
              <w:suppressAutoHyphens/>
              <w:jc w:val="left"/>
              <w:rPr>
                <w:spacing w:val="-3"/>
                <w:szCs w:val="22"/>
                <w:highlight w:val="yellow"/>
              </w:rPr>
            </w:pPr>
            <w:r w:rsidRPr="00D74736">
              <w:rPr>
                <w:szCs w:val="22"/>
                <w:highlight w:val="yellow"/>
              </w:rPr>
              <w:t>Year-round</w:t>
            </w:r>
          </w:p>
        </w:tc>
        <w:tc>
          <w:tcPr>
            <w:tcW w:w="1620" w:type="dxa"/>
          </w:tcPr>
          <w:p w14:paraId="2CD8400A" w14:textId="7AFB80C0" w:rsidR="007C4B36" w:rsidRPr="00D74736" w:rsidRDefault="007C4B36" w:rsidP="007C4B36">
            <w:pPr>
              <w:keepNext/>
              <w:keepLines/>
              <w:jc w:val="left"/>
              <w:rPr>
                <w:szCs w:val="22"/>
                <w:highlight w:val="yellow"/>
              </w:rPr>
            </w:pPr>
            <w:r w:rsidRPr="004F6D03">
              <w:rPr>
                <w:szCs w:val="22"/>
                <w:highlight w:val="yellow"/>
              </w:rPr>
              <w:t>Monitoring Matrix</w:t>
            </w:r>
          </w:p>
        </w:tc>
        <w:tc>
          <w:tcPr>
            <w:tcW w:w="1620" w:type="dxa"/>
          </w:tcPr>
          <w:p w14:paraId="7F1D9DBD" w14:textId="77777777" w:rsidR="007C4B36" w:rsidRPr="00D74736" w:rsidRDefault="007C4B36" w:rsidP="007C4B36">
            <w:pPr>
              <w:keepNext/>
              <w:keepLines/>
              <w:jc w:val="left"/>
              <w:rPr>
                <w:szCs w:val="22"/>
                <w:highlight w:val="yellow"/>
              </w:rPr>
            </w:pPr>
            <w:r w:rsidRPr="00D74736">
              <w:rPr>
                <w:szCs w:val="22"/>
                <w:highlight w:val="yellow"/>
              </w:rPr>
              <w:t>Grab</w:t>
            </w:r>
          </w:p>
        </w:tc>
        <w:tc>
          <w:tcPr>
            <w:tcW w:w="1620" w:type="dxa"/>
          </w:tcPr>
          <w:p w14:paraId="2E396142" w14:textId="77777777" w:rsidR="007C4B36" w:rsidRPr="00DA13C1" w:rsidRDefault="007C4B36" w:rsidP="0017702F">
            <w:pPr>
              <w:pStyle w:val="ListParagraph"/>
              <w:numPr>
                <w:ilvl w:val="0"/>
                <w:numId w:val="57"/>
              </w:numPr>
              <w:rPr>
                <w:highlight w:val="yellow"/>
              </w:rPr>
            </w:pPr>
            <w:r w:rsidRPr="00DA13C1">
              <w:rPr>
                <w:highlight w:val="yellow"/>
              </w:rPr>
              <w:t>Daily Maximum</w:t>
            </w:r>
          </w:p>
          <w:p w14:paraId="58637E64" w14:textId="18D7206D" w:rsidR="007C4B36" w:rsidRPr="00DA13C1" w:rsidRDefault="007C4B36" w:rsidP="0017702F">
            <w:pPr>
              <w:pStyle w:val="ListParagraph"/>
              <w:numPr>
                <w:ilvl w:val="0"/>
                <w:numId w:val="57"/>
              </w:numPr>
              <w:rPr>
                <w:highlight w:val="yellow"/>
              </w:rPr>
            </w:pPr>
            <w:r w:rsidRPr="00DA13C1">
              <w:rPr>
                <w:highlight w:val="yellow"/>
              </w:rPr>
              <w:t>Monthly Geometric Mean</w:t>
            </w:r>
          </w:p>
        </w:tc>
      </w:tr>
      <w:tr w:rsidR="00DA13C1" w:rsidRPr="00A30D47" w14:paraId="424A9C9B" w14:textId="77777777" w:rsidTr="4C327C5F">
        <w:trPr>
          <w:cantSplit/>
          <w:jc w:val="center"/>
        </w:trPr>
        <w:tc>
          <w:tcPr>
            <w:tcW w:w="1620" w:type="dxa"/>
          </w:tcPr>
          <w:p w14:paraId="73C71BE4" w14:textId="3C8D227F" w:rsidR="007C4B36" w:rsidRPr="00D74736" w:rsidRDefault="007C4B36" w:rsidP="007C4B36">
            <w:pPr>
              <w:keepNext/>
              <w:keepLines/>
              <w:suppressAutoHyphens/>
              <w:jc w:val="left"/>
              <w:rPr>
                <w:szCs w:val="22"/>
                <w:highlight w:val="yellow"/>
              </w:rPr>
            </w:pPr>
            <w:r w:rsidRPr="00D74736">
              <w:rPr>
                <w:szCs w:val="22"/>
                <w:highlight w:val="yellow"/>
              </w:rPr>
              <w:t xml:space="preserve">Fecal </w:t>
            </w:r>
            <w:r w:rsidR="00290CAE">
              <w:rPr>
                <w:szCs w:val="22"/>
                <w:highlight w:val="yellow"/>
              </w:rPr>
              <w:t>c</w:t>
            </w:r>
            <w:r w:rsidRPr="00D74736">
              <w:rPr>
                <w:szCs w:val="22"/>
                <w:highlight w:val="yellow"/>
              </w:rPr>
              <w:t>oliform</w:t>
            </w:r>
          </w:p>
          <w:p w14:paraId="3885F53C" w14:textId="1003A794" w:rsidR="007C4B36" w:rsidRPr="00D74736" w:rsidRDefault="007C4B36" w:rsidP="007C4B36">
            <w:pPr>
              <w:keepNext/>
              <w:keepLines/>
              <w:suppressAutoHyphens/>
              <w:jc w:val="left"/>
              <w:rPr>
                <w:spacing w:val="-3"/>
                <w:szCs w:val="22"/>
                <w:highlight w:val="yellow"/>
              </w:rPr>
            </w:pPr>
            <w:r w:rsidRPr="00D74736">
              <w:rPr>
                <w:szCs w:val="22"/>
                <w:highlight w:val="yellow"/>
              </w:rPr>
              <w:t>(74055)</w:t>
            </w:r>
          </w:p>
        </w:tc>
        <w:tc>
          <w:tcPr>
            <w:tcW w:w="1620" w:type="dxa"/>
          </w:tcPr>
          <w:p w14:paraId="061DDEEF" w14:textId="6FE3BE49" w:rsidR="007C4B36" w:rsidRPr="00D74736" w:rsidRDefault="00B2300D" w:rsidP="007C4B36">
            <w:pPr>
              <w:keepNext/>
              <w:keepLines/>
              <w:suppressAutoHyphens/>
              <w:jc w:val="left"/>
              <w:rPr>
                <w:spacing w:val="-3"/>
                <w:szCs w:val="22"/>
                <w:highlight w:val="yellow"/>
              </w:rPr>
            </w:pPr>
            <w:r>
              <w:rPr>
                <w:szCs w:val="22"/>
                <w:highlight w:val="yellow"/>
              </w:rPr>
              <w:t>#</w:t>
            </w:r>
            <w:r w:rsidR="007C4B36" w:rsidRPr="00D74736">
              <w:rPr>
                <w:szCs w:val="22"/>
                <w:highlight w:val="yellow"/>
              </w:rPr>
              <w:t xml:space="preserve">/100 mL </w:t>
            </w:r>
          </w:p>
        </w:tc>
        <w:tc>
          <w:tcPr>
            <w:tcW w:w="1620" w:type="dxa"/>
          </w:tcPr>
          <w:p w14:paraId="620E602C" w14:textId="77777777" w:rsidR="000E3E07" w:rsidRPr="00D74736" w:rsidRDefault="000E3E07" w:rsidP="000E3E07">
            <w:pPr>
              <w:suppressAutoHyphens/>
              <w:jc w:val="left"/>
              <w:rPr>
                <w:i/>
                <w:szCs w:val="22"/>
                <w:highlight w:val="yellow"/>
              </w:rPr>
            </w:pPr>
            <w:r w:rsidRPr="00D74736">
              <w:rPr>
                <w:i/>
                <w:szCs w:val="22"/>
                <w:highlight w:val="yellow"/>
              </w:rPr>
              <w:t>Example:</w:t>
            </w:r>
          </w:p>
          <w:p w14:paraId="2BEBBAAC" w14:textId="5C8C6E5F" w:rsidR="007C4B36" w:rsidRPr="00D74736" w:rsidRDefault="000E3E07" w:rsidP="000E3E07">
            <w:pPr>
              <w:keepNext/>
              <w:keepLines/>
              <w:suppressAutoHyphens/>
              <w:jc w:val="left"/>
              <w:rPr>
                <w:spacing w:val="-3"/>
                <w:szCs w:val="22"/>
                <w:highlight w:val="yellow"/>
              </w:rPr>
            </w:pPr>
            <w:r w:rsidRPr="00D74736">
              <w:rPr>
                <w:szCs w:val="22"/>
                <w:highlight w:val="yellow"/>
              </w:rPr>
              <w:t xml:space="preserve">Nov </w:t>
            </w:r>
            <w:r w:rsidRPr="00D74736">
              <w:rPr>
                <w:spacing w:val="-3"/>
                <w:szCs w:val="22"/>
                <w:highlight w:val="yellow"/>
              </w:rPr>
              <w:t>–</w:t>
            </w:r>
            <w:r w:rsidRPr="00D74736">
              <w:rPr>
                <w:szCs w:val="22"/>
                <w:highlight w:val="yellow"/>
              </w:rPr>
              <w:t xml:space="preserve"> May</w:t>
            </w:r>
          </w:p>
        </w:tc>
        <w:tc>
          <w:tcPr>
            <w:tcW w:w="1620" w:type="dxa"/>
          </w:tcPr>
          <w:p w14:paraId="0D651FD2" w14:textId="3BE7E387" w:rsidR="007C4B36" w:rsidRPr="00D74736" w:rsidRDefault="007C4B36" w:rsidP="007C4B36">
            <w:pPr>
              <w:keepNext/>
              <w:keepLines/>
              <w:jc w:val="left"/>
              <w:rPr>
                <w:szCs w:val="22"/>
                <w:highlight w:val="yellow"/>
              </w:rPr>
            </w:pPr>
            <w:r w:rsidRPr="004F6D03">
              <w:rPr>
                <w:szCs w:val="22"/>
                <w:highlight w:val="yellow"/>
              </w:rPr>
              <w:t>Monitoring Matrix</w:t>
            </w:r>
          </w:p>
        </w:tc>
        <w:tc>
          <w:tcPr>
            <w:tcW w:w="1620" w:type="dxa"/>
          </w:tcPr>
          <w:p w14:paraId="7B826BC4" w14:textId="77777777" w:rsidR="007C4B36" w:rsidRPr="00D74736" w:rsidRDefault="007C4B36" w:rsidP="007C4B36">
            <w:pPr>
              <w:keepNext/>
              <w:keepLines/>
              <w:jc w:val="left"/>
              <w:rPr>
                <w:szCs w:val="22"/>
                <w:highlight w:val="yellow"/>
              </w:rPr>
            </w:pPr>
            <w:r w:rsidRPr="00D74736">
              <w:rPr>
                <w:szCs w:val="22"/>
                <w:highlight w:val="yellow"/>
              </w:rPr>
              <w:t>Grab</w:t>
            </w:r>
          </w:p>
        </w:tc>
        <w:tc>
          <w:tcPr>
            <w:tcW w:w="1620" w:type="dxa"/>
          </w:tcPr>
          <w:p w14:paraId="556D2C0C" w14:textId="77777777" w:rsidR="007C4B36" w:rsidRPr="00DA13C1" w:rsidRDefault="007C4B36" w:rsidP="0017702F">
            <w:pPr>
              <w:pStyle w:val="ListParagraph"/>
              <w:numPr>
                <w:ilvl w:val="0"/>
                <w:numId w:val="58"/>
              </w:numPr>
              <w:rPr>
                <w:highlight w:val="yellow"/>
              </w:rPr>
            </w:pPr>
            <w:r w:rsidRPr="00DA13C1">
              <w:rPr>
                <w:highlight w:val="yellow"/>
              </w:rPr>
              <w:t>Daily Maximum</w:t>
            </w:r>
          </w:p>
          <w:p w14:paraId="5E4CC5BC" w14:textId="30FD278D" w:rsidR="007C4B36" w:rsidRPr="00DA13C1" w:rsidRDefault="007C4B36" w:rsidP="0017702F">
            <w:pPr>
              <w:pStyle w:val="ListParagraph"/>
              <w:numPr>
                <w:ilvl w:val="0"/>
                <w:numId w:val="58"/>
              </w:numPr>
              <w:rPr>
                <w:spacing w:val="-3"/>
                <w:highlight w:val="yellow"/>
              </w:rPr>
            </w:pPr>
            <w:r w:rsidRPr="00DA13C1">
              <w:rPr>
                <w:highlight w:val="yellow"/>
              </w:rPr>
              <w:t>Monthly Median</w:t>
            </w:r>
          </w:p>
        </w:tc>
      </w:tr>
      <w:tr w:rsidR="00DA13C1" w:rsidRPr="00A30D47" w14:paraId="1B8D2C3E" w14:textId="77777777" w:rsidTr="4C327C5F">
        <w:trPr>
          <w:cantSplit/>
          <w:jc w:val="center"/>
        </w:trPr>
        <w:tc>
          <w:tcPr>
            <w:tcW w:w="1620" w:type="dxa"/>
          </w:tcPr>
          <w:p w14:paraId="16D51005" w14:textId="1E419404" w:rsidR="000E3E07" w:rsidRPr="00D74736" w:rsidRDefault="000E3E07" w:rsidP="007C4B36">
            <w:pPr>
              <w:keepNext/>
              <w:keepLines/>
              <w:suppressAutoHyphens/>
              <w:jc w:val="left"/>
              <w:rPr>
                <w:szCs w:val="22"/>
                <w:highlight w:val="yellow"/>
              </w:rPr>
            </w:pPr>
            <w:r>
              <w:rPr>
                <w:szCs w:val="22"/>
                <w:highlight w:val="yellow"/>
              </w:rPr>
              <w:t xml:space="preserve">Fecal </w:t>
            </w:r>
            <w:r w:rsidR="00290CAE">
              <w:rPr>
                <w:szCs w:val="22"/>
                <w:highlight w:val="yellow"/>
              </w:rPr>
              <w:t>c</w:t>
            </w:r>
            <w:r>
              <w:rPr>
                <w:szCs w:val="22"/>
                <w:highlight w:val="yellow"/>
              </w:rPr>
              <w:t>oliform (30500)</w:t>
            </w:r>
          </w:p>
        </w:tc>
        <w:tc>
          <w:tcPr>
            <w:tcW w:w="1620" w:type="dxa"/>
          </w:tcPr>
          <w:p w14:paraId="06D452BB" w14:textId="7BF849F6" w:rsidR="000E3E07" w:rsidRDefault="000E3E07" w:rsidP="007C4B36">
            <w:pPr>
              <w:keepNext/>
              <w:keepLines/>
              <w:suppressAutoHyphens/>
              <w:jc w:val="left"/>
              <w:rPr>
                <w:szCs w:val="22"/>
                <w:highlight w:val="yellow"/>
              </w:rPr>
            </w:pPr>
            <w:r>
              <w:rPr>
                <w:szCs w:val="22"/>
                <w:highlight w:val="yellow"/>
              </w:rPr>
              <w:t>%</w:t>
            </w:r>
          </w:p>
        </w:tc>
        <w:tc>
          <w:tcPr>
            <w:tcW w:w="1620" w:type="dxa"/>
          </w:tcPr>
          <w:p w14:paraId="1A768B48" w14:textId="3746470B" w:rsidR="000E3E07" w:rsidRPr="00D74736" w:rsidRDefault="000E3E07" w:rsidP="007C4B36">
            <w:pPr>
              <w:suppressAutoHyphens/>
              <w:jc w:val="left"/>
              <w:rPr>
                <w:i/>
                <w:szCs w:val="22"/>
                <w:highlight w:val="yellow"/>
              </w:rPr>
            </w:pPr>
            <w:r>
              <w:rPr>
                <w:i/>
                <w:szCs w:val="22"/>
                <w:highlight w:val="yellow"/>
              </w:rPr>
              <w:t>Example: Year-round</w:t>
            </w:r>
          </w:p>
        </w:tc>
        <w:tc>
          <w:tcPr>
            <w:tcW w:w="1620" w:type="dxa"/>
          </w:tcPr>
          <w:p w14:paraId="50C9F73D" w14:textId="4D42FAB0" w:rsidR="000E3E07" w:rsidRPr="004F6D03" w:rsidRDefault="000E3E07" w:rsidP="007C4B36">
            <w:pPr>
              <w:keepNext/>
              <w:keepLines/>
              <w:jc w:val="left"/>
              <w:rPr>
                <w:szCs w:val="22"/>
                <w:highlight w:val="yellow"/>
              </w:rPr>
            </w:pPr>
            <w:r>
              <w:rPr>
                <w:szCs w:val="22"/>
                <w:highlight w:val="yellow"/>
              </w:rPr>
              <w:t>Monitoring Matrix</w:t>
            </w:r>
          </w:p>
        </w:tc>
        <w:tc>
          <w:tcPr>
            <w:tcW w:w="1620" w:type="dxa"/>
          </w:tcPr>
          <w:p w14:paraId="6F1EADD5" w14:textId="069B8A28" w:rsidR="000E3E07" w:rsidRPr="00D74736" w:rsidRDefault="000E3E07" w:rsidP="007C4B36">
            <w:pPr>
              <w:keepNext/>
              <w:keepLines/>
              <w:jc w:val="left"/>
              <w:rPr>
                <w:szCs w:val="22"/>
                <w:highlight w:val="yellow"/>
              </w:rPr>
            </w:pPr>
            <w:r>
              <w:rPr>
                <w:szCs w:val="22"/>
                <w:highlight w:val="yellow"/>
              </w:rPr>
              <w:t>Calculation</w:t>
            </w:r>
          </w:p>
        </w:tc>
        <w:tc>
          <w:tcPr>
            <w:tcW w:w="1620" w:type="dxa"/>
          </w:tcPr>
          <w:p w14:paraId="06FFB9F2" w14:textId="1DBD0E05" w:rsidR="000E3E07" w:rsidRPr="00D74736" w:rsidRDefault="000E3E07" w:rsidP="007C4B36">
            <w:pPr>
              <w:ind w:left="-14"/>
              <w:contextualSpacing/>
              <w:jc w:val="left"/>
              <w:rPr>
                <w:rFonts w:eastAsia="Calibri"/>
                <w:szCs w:val="22"/>
                <w:highlight w:val="yellow"/>
              </w:rPr>
            </w:pPr>
            <w:r w:rsidRPr="00D74736">
              <w:rPr>
                <w:rFonts w:eastAsia="Calibri"/>
                <w:szCs w:val="22"/>
                <w:highlight w:val="yellow"/>
              </w:rPr>
              <w:t>Monthly percent over 43</w:t>
            </w:r>
          </w:p>
        </w:tc>
      </w:tr>
      <w:tr w:rsidR="00DA13C1" w:rsidRPr="00A30D47" w14:paraId="778C8491" w14:textId="77777777" w:rsidTr="4C327C5F">
        <w:trPr>
          <w:cantSplit/>
          <w:jc w:val="center"/>
        </w:trPr>
        <w:tc>
          <w:tcPr>
            <w:tcW w:w="1620" w:type="dxa"/>
          </w:tcPr>
          <w:p w14:paraId="4366C1F2" w14:textId="77777777" w:rsidR="007C4B36" w:rsidRPr="00D74736" w:rsidRDefault="007C4B36" w:rsidP="007C4B36">
            <w:pPr>
              <w:keepNext/>
              <w:keepLines/>
              <w:suppressAutoHyphens/>
              <w:jc w:val="left"/>
              <w:rPr>
                <w:szCs w:val="22"/>
                <w:highlight w:val="yellow"/>
              </w:rPr>
            </w:pPr>
            <w:r w:rsidRPr="00D74736">
              <w:rPr>
                <w:szCs w:val="22"/>
                <w:highlight w:val="yellow"/>
              </w:rPr>
              <w:t>Enterococci</w:t>
            </w:r>
          </w:p>
          <w:p w14:paraId="582B405F" w14:textId="77777777" w:rsidR="007C4B36" w:rsidRPr="00D74736" w:rsidRDefault="007C4B36" w:rsidP="007C4B36">
            <w:pPr>
              <w:keepNext/>
              <w:keepLines/>
              <w:suppressAutoHyphens/>
              <w:jc w:val="left"/>
              <w:rPr>
                <w:spacing w:val="-3"/>
                <w:szCs w:val="22"/>
                <w:highlight w:val="yellow"/>
              </w:rPr>
            </w:pPr>
            <w:r w:rsidRPr="00D74736">
              <w:rPr>
                <w:szCs w:val="22"/>
                <w:highlight w:val="yellow"/>
              </w:rPr>
              <w:t>(61211)</w:t>
            </w:r>
          </w:p>
        </w:tc>
        <w:tc>
          <w:tcPr>
            <w:tcW w:w="1620" w:type="dxa"/>
          </w:tcPr>
          <w:p w14:paraId="0E516617" w14:textId="6084EF95" w:rsidR="007C4B36" w:rsidRPr="00D74736" w:rsidRDefault="00B2300D" w:rsidP="007C4B36">
            <w:pPr>
              <w:keepNext/>
              <w:keepLines/>
              <w:suppressAutoHyphens/>
              <w:jc w:val="left"/>
              <w:rPr>
                <w:spacing w:val="-3"/>
                <w:szCs w:val="22"/>
                <w:highlight w:val="yellow"/>
              </w:rPr>
            </w:pPr>
            <w:r>
              <w:rPr>
                <w:szCs w:val="22"/>
                <w:highlight w:val="yellow"/>
              </w:rPr>
              <w:t>#</w:t>
            </w:r>
            <w:r w:rsidR="007C4B36" w:rsidRPr="00D74736">
              <w:rPr>
                <w:szCs w:val="22"/>
                <w:highlight w:val="yellow"/>
              </w:rPr>
              <w:t xml:space="preserve">/100 mL </w:t>
            </w:r>
          </w:p>
        </w:tc>
        <w:tc>
          <w:tcPr>
            <w:tcW w:w="1620" w:type="dxa"/>
          </w:tcPr>
          <w:p w14:paraId="63C63135" w14:textId="77777777" w:rsidR="007C4B36" w:rsidRPr="00D74736" w:rsidRDefault="007C4B36" w:rsidP="007C4B36">
            <w:pPr>
              <w:suppressAutoHyphens/>
              <w:jc w:val="left"/>
              <w:rPr>
                <w:i/>
                <w:szCs w:val="22"/>
                <w:highlight w:val="yellow"/>
              </w:rPr>
            </w:pPr>
            <w:r w:rsidRPr="00D74736">
              <w:rPr>
                <w:i/>
                <w:szCs w:val="22"/>
                <w:highlight w:val="yellow"/>
              </w:rPr>
              <w:t>Example:</w:t>
            </w:r>
          </w:p>
          <w:p w14:paraId="455AA894" w14:textId="77777777" w:rsidR="007C4B36" w:rsidRPr="00D74736" w:rsidRDefault="007C4B36" w:rsidP="007C4B36">
            <w:pPr>
              <w:keepNext/>
              <w:keepLines/>
              <w:suppressAutoHyphens/>
              <w:jc w:val="left"/>
              <w:rPr>
                <w:spacing w:val="-3"/>
                <w:szCs w:val="22"/>
                <w:highlight w:val="yellow"/>
              </w:rPr>
            </w:pPr>
            <w:r w:rsidRPr="00D74736">
              <w:rPr>
                <w:szCs w:val="22"/>
                <w:highlight w:val="yellow"/>
              </w:rPr>
              <w:t xml:space="preserve">Nov </w:t>
            </w:r>
            <w:r w:rsidRPr="00D74736">
              <w:rPr>
                <w:spacing w:val="-3"/>
                <w:szCs w:val="22"/>
                <w:highlight w:val="yellow"/>
              </w:rPr>
              <w:t>–</w:t>
            </w:r>
            <w:r w:rsidRPr="00D74736">
              <w:rPr>
                <w:szCs w:val="22"/>
                <w:highlight w:val="yellow"/>
              </w:rPr>
              <w:t xml:space="preserve"> May</w:t>
            </w:r>
          </w:p>
        </w:tc>
        <w:tc>
          <w:tcPr>
            <w:tcW w:w="1620" w:type="dxa"/>
          </w:tcPr>
          <w:p w14:paraId="420205F0" w14:textId="299E00C9" w:rsidR="007C4B36" w:rsidRPr="00D74736" w:rsidRDefault="007C4B36" w:rsidP="007C4B36">
            <w:pPr>
              <w:keepNext/>
              <w:keepLines/>
              <w:jc w:val="left"/>
              <w:rPr>
                <w:szCs w:val="22"/>
                <w:highlight w:val="yellow"/>
              </w:rPr>
            </w:pPr>
            <w:r w:rsidRPr="004F6D03">
              <w:rPr>
                <w:szCs w:val="22"/>
                <w:highlight w:val="yellow"/>
              </w:rPr>
              <w:t>Monitoring Matrix</w:t>
            </w:r>
          </w:p>
        </w:tc>
        <w:tc>
          <w:tcPr>
            <w:tcW w:w="1620" w:type="dxa"/>
          </w:tcPr>
          <w:p w14:paraId="62AAAFA9" w14:textId="77777777" w:rsidR="007C4B36" w:rsidRPr="00D74736" w:rsidRDefault="007C4B36" w:rsidP="007C4B36">
            <w:pPr>
              <w:keepNext/>
              <w:keepLines/>
              <w:jc w:val="left"/>
              <w:rPr>
                <w:szCs w:val="22"/>
                <w:highlight w:val="yellow"/>
              </w:rPr>
            </w:pPr>
            <w:r w:rsidRPr="00D74736">
              <w:rPr>
                <w:szCs w:val="22"/>
                <w:highlight w:val="yellow"/>
              </w:rPr>
              <w:t>Grab</w:t>
            </w:r>
          </w:p>
        </w:tc>
        <w:tc>
          <w:tcPr>
            <w:tcW w:w="1620" w:type="dxa"/>
          </w:tcPr>
          <w:p w14:paraId="4921E0AD" w14:textId="77777777" w:rsidR="007C4B36" w:rsidRPr="00DA13C1" w:rsidRDefault="007C4B36" w:rsidP="0017702F">
            <w:pPr>
              <w:pStyle w:val="ListParagraph"/>
              <w:numPr>
                <w:ilvl w:val="0"/>
                <w:numId w:val="59"/>
              </w:numPr>
              <w:rPr>
                <w:highlight w:val="yellow"/>
              </w:rPr>
            </w:pPr>
            <w:r w:rsidRPr="00DA13C1">
              <w:rPr>
                <w:highlight w:val="yellow"/>
              </w:rPr>
              <w:t>Daily Maximum</w:t>
            </w:r>
          </w:p>
          <w:p w14:paraId="4A1DE2A4" w14:textId="227C46A7" w:rsidR="007C4B36" w:rsidRPr="00DA13C1" w:rsidRDefault="007C4B36" w:rsidP="0017702F">
            <w:pPr>
              <w:pStyle w:val="ListParagraph"/>
              <w:numPr>
                <w:ilvl w:val="0"/>
                <w:numId w:val="59"/>
              </w:numPr>
              <w:rPr>
                <w:highlight w:val="yellow"/>
              </w:rPr>
            </w:pPr>
            <w:r w:rsidRPr="00DA13C1">
              <w:rPr>
                <w:highlight w:val="yellow"/>
              </w:rPr>
              <w:t>Monthly Geometric Mean</w:t>
            </w:r>
          </w:p>
        </w:tc>
      </w:tr>
      <w:tr w:rsidR="00DA13C1" w:rsidRPr="00A30D47" w14:paraId="34C2B92B" w14:textId="77777777" w:rsidTr="4C327C5F">
        <w:trPr>
          <w:cantSplit/>
          <w:jc w:val="center"/>
        </w:trPr>
        <w:tc>
          <w:tcPr>
            <w:tcW w:w="1620" w:type="dxa"/>
          </w:tcPr>
          <w:p w14:paraId="30A61574" w14:textId="19124A7E" w:rsidR="000E3E07" w:rsidRPr="00D74736" w:rsidRDefault="000E3E07" w:rsidP="007C4B36">
            <w:pPr>
              <w:keepNext/>
              <w:keepLines/>
              <w:suppressAutoHyphens/>
              <w:jc w:val="left"/>
              <w:rPr>
                <w:szCs w:val="22"/>
                <w:highlight w:val="yellow"/>
              </w:rPr>
            </w:pPr>
            <w:r>
              <w:rPr>
                <w:szCs w:val="22"/>
                <w:highlight w:val="yellow"/>
              </w:rPr>
              <w:t xml:space="preserve">Enterococci </w:t>
            </w:r>
            <w:r w:rsidR="00DF5103">
              <w:rPr>
                <w:szCs w:val="22"/>
                <w:highlight w:val="yellow"/>
              </w:rPr>
              <w:t xml:space="preserve">% samples exceeding limit </w:t>
            </w:r>
            <w:r>
              <w:rPr>
                <w:szCs w:val="22"/>
                <w:highlight w:val="yellow"/>
              </w:rPr>
              <w:t>(51937</w:t>
            </w:r>
            <w:r w:rsidR="00AF6018">
              <w:rPr>
                <w:szCs w:val="22"/>
                <w:highlight w:val="yellow"/>
              </w:rPr>
              <w:t>)</w:t>
            </w:r>
          </w:p>
        </w:tc>
        <w:tc>
          <w:tcPr>
            <w:tcW w:w="1620" w:type="dxa"/>
          </w:tcPr>
          <w:p w14:paraId="45755370" w14:textId="7E0C72C8" w:rsidR="004F2A44" w:rsidRPr="00AE6547" w:rsidRDefault="000E3E07" w:rsidP="00DA13C1">
            <w:pPr>
              <w:keepNext/>
              <w:keepLines/>
              <w:suppressAutoHyphens/>
              <w:jc w:val="left"/>
              <w:rPr>
                <w:szCs w:val="22"/>
                <w:highlight w:val="yellow"/>
              </w:rPr>
            </w:pPr>
            <w:r>
              <w:rPr>
                <w:szCs w:val="22"/>
                <w:highlight w:val="yellow"/>
              </w:rPr>
              <w:t>%</w:t>
            </w:r>
          </w:p>
        </w:tc>
        <w:tc>
          <w:tcPr>
            <w:tcW w:w="1620" w:type="dxa"/>
          </w:tcPr>
          <w:p w14:paraId="6CA95CEC" w14:textId="6FB19014" w:rsidR="000E3E07" w:rsidRPr="00D74736" w:rsidRDefault="000E3E07" w:rsidP="007C4B36">
            <w:pPr>
              <w:suppressAutoHyphens/>
              <w:jc w:val="left"/>
              <w:rPr>
                <w:i/>
                <w:szCs w:val="22"/>
                <w:highlight w:val="yellow"/>
              </w:rPr>
            </w:pPr>
            <w:r>
              <w:rPr>
                <w:i/>
                <w:szCs w:val="22"/>
                <w:highlight w:val="yellow"/>
              </w:rPr>
              <w:t>Example: Year-round</w:t>
            </w:r>
          </w:p>
        </w:tc>
        <w:tc>
          <w:tcPr>
            <w:tcW w:w="1620" w:type="dxa"/>
          </w:tcPr>
          <w:p w14:paraId="385EBED9" w14:textId="32659B1C" w:rsidR="000E3E07" w:rsidRPr="004F6D03" w:rsidRDefault="000E3E07" w:rsidP="007C4B36">
            <w:pPr>
              <w:keepNext/>
              <w:keepLines/>
              <w:jc w:val="left"/>
              <w:rPr>
                <w:szCs w:val="22"/>
                <w:highlight w:val="yellow"/>
              </w:rPr>
            </w:pPr>
            <w:r>
              <w:rPr>
                <w:szCs w:val="22"/>
                <w:highlight w:val="yellow"/>
              </w:rPr>
              <w:t>Monitoring Matrix</w:t>
            </w:r>
          </w:p>
        </w:tc>
        <w:tc>
          <w:tcPr>
            <w:tcW w:w="1620" w:type="dxa"/>
          </w:tcPr>
          <w:p w14:paraId="25CC6114" w14:textId="1D03B76B" w:rsidR="000E3E07" w:rsidRPr="00D74736" w:rsidRDefault="000E3E07" w:rsidP="007C4B36">
            <w:pPr>
              <w:keepNext/>
              <w:keepLines/>
              <w:jc w:val="left"/>
              <w:rPr>
                <w:szCs w:val="22"/>
                <w:highlight w:val="yellow"/>
              </w:rPr>
            </w:pPr>
            <w:r>
              <w:rPr>
                <w:szCs w:val="22"/>
                <w:highlight w:val="yellow"/>
              </w:rPr>
              <w:t>Calculation</w:t>
            </w:r>
          </w:p>
        </w:tc>
        <w:tc>
          <w:tcPr>
            <w:tcW w:w="1620" w:type="dxa"/>
          </w:tcPr>
          <w:p w14:paraId="2CB4F25E" w14:textId="2C9BE0C6" w:rsidR="000E3E07" w:rsidRPr="00D74736" w:rsidRDefault="000E3E07" w:rsidP="007C4B36">
            <w:pPr>
              <w:ind w:left="-14"/>
              <w:contextualSpacing/>
              <w:jc w:val="left"/>
              <w:rPr>
                <w:rFonts w:eastAsia="Calibri"/>
                <w:szCs w:val="22"/>
                <w:highlight w:val="yellow"/>
              </w:rPr>
            </w:pPr>
            <w:r>
              <w:rPr>
                <w:rFonts w:eastAsia="Calibri"/>
                <w:szCs w:val="22"/>
                <w:highlight w:val="yellow"/>
              </w:rPr>
              <w:t>Monthly percent over 130</w:t>
            </w:r>
          </w:p>
        </w:tc>
      </w:tr>
      <w:tr w:rsidR="00DA13C1" w:rsidRPr="00A30D47" w14:paraId="51BB766D" w14:textId="77777777" w:rsidTr="4C327C5F">
        <w:trPr>
          <w:cantSplit/>
          <w:jc w:val="center"/>
        </w:trPr>
        <w:tc>
          <w:tcPr>
            <w:tcW w:w="1620" w:type="dxa"/>
          </w:tcPr>
          <w:p w14:paraId="7C33FFD4" w14:textId="40B02DE1" w:rsidR="00B3116C" w:rsidRPr="00D742D9" w:rsidRDefault="00B3116C" w:rsidP="00B3116C">
            <w:pPr>
              <w:suppressAutoHyphens/>
              <w:jc w:val="left"/>
              <w:rPr>
                <w:szCs w:val="22"/>
              </w:rPr>
            </w:pPr>
            <w:r w:rsidRPr="00D742D9">
              <w:rPr>
                <w:szCs w:val="22"/>
              </w:rPr>
              <w:lastRenderedPageBreak/>
              <w:t xml:space="preserve">Total </w:t>
            </w:r>
            <w:r w:rsidR="00290CAE">
              <w:rPr>
                <w:szCs w:val="22"/>
              </w:rPr>
              <w:t>a</w:t>
            </w:r>
            <w:r w:rsidRPr="00D742D9">
              <w:rPr>
                <w:szCs w:val="22"/>
              </w:rPr>
              <w:t xml:space="preserve">mmonia (as N) </w:t>
            </w:r>
          </w:p>
          <w:p w14:paraId="71EA4FF0" w14:textId="4BCA6F37" w:rsidR="00B3116C" w:rsidRPr="00D74736" w:rsidRDefault="00B3116C" w:rsidP="00B3116C">
            <w:pPr>
              <w:suppressAutoHyphens/>
              <w:jc w:val="left"/>
              <w:rPr>
                <w:szCs w:val="22"/>
                <w:highlight w:val="yellow"/>
              </w:rPr>
            </w:pPr>
            <w:r w:rsidRPr="00D742D9">
              <w:rPr>
                <w:szCs w:val="22"/>
              </w:rPr>
              <w:t>(00610)</w:t>
            </w:r>
          </w:p>
        </w:tc>
        <w:tc>
          <w:tcPr>
            <w:tcW w:w="1620" w:type="dxa"/>
          </w:tcPr>
          <w:p w14:paraId="4509A7FE" w14:textId="77777777" w:rsidR="00B3116C" w:rsidRPr="00D74736" w:rsidRDefault="00B3116C" w:rsidP="00B3116C">
            <w:pPr>
              <w:suppressAutoHyphens/>
              <w:jc w:val="left"/>
              <w:rPr>
                <w:szCs w:val="22"/>
                <w:highlight w:val="yellow"/>
              </w:rPr>
            </w:pPr>
            <w:r w:rsidRPr="00D74736">
              <w:rPr>
                <w:szCs w:val="22"/>
                <w:highlight w:val="yellow"/>
              </w:rPr>
              <w:t>mg/L</w:t>
            </w:r>
          </w:p>
        </w:tc>
        <w:tc>
          <w:tcPr>
            <w:tcW w:w="1620" w:type="dxa"/>
          </w:tcPr>
          <w:p w14:paraId="1E7E9437" w14:textId="77777777" w:rsidR="00B3116C" w:rsidRPr="00D74736" w:rsidRDefault="00B3116C" w:rsidP="00B3116C">
            <w:pPr>
              <w:suppressAutoHyphens/>
              <w:jc w:val="left"/>
              <w:rPr>
                <w:i/>
                <w:szCs w:val="22"/>
                <w:highlight w:val="yellow"/>
              </w:rPr>
            </w:pPr>
            <w:r w:rsidRPr="00D74736">
              <w:rPr>
                <w:i/>
                <w:szCs w:val="22"/>
                <w:highlight w:val="yellow"/>
              </w:rPr>
              <w:t>Example:</w:t>
            </w:r>
          </w:p>
          <w:p w14:paraId="7908CCC1" w14:textId="77777777" w:rsidR="00B3116C" w:rsidRPr="00D74736" w:rsidRDefault="00B3116C" w:rsidP="00B3116C">
            <w:pPr>
              <w:suppressAutoHyphens/>
              <w:jc w:val="left"/>
              <w:rPr>
                <w:szCs w:val="22"/>
                <w:highlight w:val="yellow"/>
              </w:rPr>
            </w:pPr>
            <w:r w:rsidRPr="00D74736">
              <w:rPr>
                <w:szCs w:val="22"/>
                <w:highlight w:val="yellow"/>
              </w:rPr>
              <w:t xml:space="preserve">Nov </w:t>
            </w:r>
            <w:r w:rsidRPr="00D74736">
              <w:rPr>
                <w:spacing w:val="-3"/>
                <w:szCs w:val="22"/>
                <w:highlight w:val="yellow"/>
              </w:rPr>
              <w:t>–</w:t>
            </w:r>
            <w:r w:rsidRPr="00D74736">
              <w:rPr>
                <w:szCs w:val="22"/>
                <w:highlight w:val="yellow"/>
              </w:rPr>
              <w:t xml:space="preserve"> May</w:t>
            </w:r>
          </w:p>
        </w:tc>
        <w:tc>
          <w:tcPr>
            <w:tcW w:w="1620" w:type="dxa"/>
          </w:tcPr>
          <w:p w14:paraId="61A412F4" w14:textId="3BEE8897" w:rsidR="00B3116C" w:rsidRPr="00D74736" w:rsidRDefault="00B3116C" w:rsidP="00B3116C">
            <w:pPr>
              <w:suppressAutoHyphens/>
              <w:jc w:val="left"/>
              <w:rPr>
                <w:szCs w:val="22"/>
                <w:highlight w:val="yellow"/>
              </w:rPr>
            </w:pPr>
            <w:r>
              <w:rPr>
                <w:szCs w:val="22"/>
                <w:highlight w:val="yellow"/>
              </w:rPr>
              <w:t>Monitoring Matrix</w:t>
            </w:r>
          </w:p>
        </w:tc>
        <w:tc>
          <w:tcPr>
            <w:tcW w:w="1620" w:type="dxa"/>
          </w:tcPr>
          <w:p w14:paraId="6E780ACE" w14:textId="77777777" w:rsidR="00B3116C" w:rsidRPr="00D74736" w:rsidRDefault="00B3116C" w:rsidP="00B3116C">
            <w:pPr>
              <w:contextualSpacing/>
              <w:jc w:val="left"/>
              <w:rPr>
                <w:szCs w:val="22"/>
                <w:highlight w:val="yellow"/>
              </w:rPr>
            </w:pPr>
            <w:r w:rsidRPr="00D74736">
              <w:rPr>
                <w:szCs w:val="22"/>
                <w:highlight w:val="yellow"/>
              </w:rPr>
              <w:t>24-hour composite</w:t>
            </w:r>
          </w:p>
        </w:tc>
        <w:tc>
          <w:tcPr>
            <w:tcW w:w="1620" w:type="dxa"/>
          </w:tcPr>
          <w:p w14:paraId="4E3E93DD" w14:textId="5A042D62" w:rsidR="00B3116C" w:rsidRPr="00D74736" w:rsidRDefault="00B3116C" w:rsidP="00B3116C">
            <w:pPr>
              <w:ind w:left="-14"/>
              <w:contextualSpacing/>
              <w:jc w:val="left"/>
              <w:rPr>
                <w:rFonts w:eastAsia="Calibri"/>
                <w:szCs w:val="22"/>
                <w:highlight w:val="yellow"/>
              </w:rPr>
            </w:pPr>
            <w:r w:rsidRPr="00D74736">
              <w:rPr>
                <w:rFonts w:eastAsia="Calibri"/>
                <w:szCs w:val="22"/>
                <w:highlight w:val="yellow"/>
              </w:rPr>
              <w:t>Monthly Maximum</w:t>
            </w:r>
          </w:p>
        </w:tc>
      </w:tr>
      <w:tr w:rsidR="00DA13C1" w:rsidRPr="00A30D47" w14:paraId="3B524267" w14:textId="77777777" w:rsidTr="4C327C5F">
        <w:trPr>
          <w:cantSplit/>
          <w:jc w:val="center"/>
        </w:trPr>
        <w:tc>
          <w:tcPr>
            <w:tcW w:w="1620" w:type="dxa"/>
            <w:shd w:val="clear" w:color="auto" w:fill="auto"/>
          </w:tcPr>
          <w:p w14:paraId="49E0C23E" w14:textId="77777777" w:rsidR="00B3116C" w:rsidRDefault="00B3116C" w:rsidP="00B3116C">
            <w:pPr>
              <w:suppressAutoHyphens/>
              <w:jc w:val="left"/>
              <w:rPr>
                <w:spacing w:val="-3"/>
                <w:szCs w:val="22"/>
              </w:rPr>
            </w:pPr>
            <w:r w:rsidRPr="00D74736">
              <w:rPr>
                <w:spacing w:val="-3"/>
                <w:szCs w:val="22"/>
              </w:rPr>
              <w:t>Alkalinity as CaCO</w:t>
            </w:r>
            <w:r w:rsidRPr="00D74736">
              <w:rPr>
                <w:spacing w:val="-3"/>
                <w:szCs w:val="22"/>
                <w:vertAlign w:val="subscript"/>
              </w:rPr>
              <w:t>3</w:t>
            </w:r>
            <w:r w:rsidRPr="00D74736">
              <w:rPr>
                <w:spacing w:val="-3"/>
                <w:szCs w:val="22"/>
              </w:rPr>
              <w:t xml:space="preserve"> </w:t>
            </w:r>
          </w:p>
          <w:p w14:paraId="570F1255" w14:textId="5667DD6F" w:rsidR="00B3116C" w:rsidRPr="00D74736" w:rsidRDefault="00B3116C" w:rsidP="00B3116C">
            <w:pPr>
              <w:suppressAutoHyphens/>
              <w:jc w:val="left"/>
              <w:rPr>
                <w:szCs w:val="22"/>
                <w:highlight w:val="yellow"/>
              </w:rPr>
            </w:pPr>
            <w:r>
              <w:rPr>
                <w:spacing w:val="-3"/>
                <w:szCs w:val="22"/>
              </w:rPr>
              <w:t xml:space="preserve">(00410) </w:t>
            </w:r>
            <w:r w:rsidRPr="00BB6A5B">
              <w:rPr>
                <w:spacing w:val="-3"/>
                <w:szCs w:val="22"/>
                <w:highlight w:val="yellow"/>
              </w:rPr>
              <w:t>(Include if no BLM monitoring)</w:t>
            </w:r>
          </w:p>
        </w:tc>
        <w:tc>
          <w:tcPr>
            <w:tcW w:w="1620" w:type="dxa"/>
          </w:tcPr>
          <w:p w14:paraId="783F1CAB" w14:textId="4F307430" w:rsidR="00B3116C" w:rsidRPr="00D74736" w:rsidRDefault="00B3116C" w:rsidP="00B3116C">
            <w:pPr>
              <w:suppressAutoHyphens/>
              <w:jc w:val="left"/>
              <w:rPr>
                <w:szCs w:val="22"/>
                <w:highlight w:val="yellow"/>
              </w:rPr>
            </w:pPr>
            <w:r w:rsidRPr="00D74736">
              <w:rPr>
                <w:szCs w:val="22"/>
                <w:highlight w:val="yellow"/>
              </w:rPr>
              <w:t>mg/L</w:t>
            </w:r>
          </w:p>
        </w:tc>
        <w:tc>
          <w:tcPr>
            <w:tcW w:w="1620" w:type="dxa"/>
          </w:tcPr>
          <w:p w14:paraId="283BCB80" w14:textId="10E626AA" w:rsidR="00B3116C" w:rsidRPr="00D74736" w:rsidRDefault="00B3116C" w:rsidP="00B3116C">
            <w:pPr>
              <w:suppressAutoHyphens/>
              <w:jc w:val="left"/>
              <w:rPr>
                <w:i/>
                <w:szCs w:val="22"/>
                <w:highlight w:val="yellow"/>
              </w:rPr>
            </w:pPr>
            <w:r w:rsidRPr="00D74736">
              <w:rPr>
                <w:i/>
                <w:szCs w:val="22"/>
                <w:highlight w:val="yellow"/>
              </w:rPr>
              <w:t>Year-round or seasonal (Example: Nov – May)</w:t>
            </w:r>
          </w:p>
        </w:tc>
        <w:tc>
          <w:tcPr>
            <w:tcW w:w="1620" w:type="dxa"/>
          </w:tcPr>
          <w:p w14:paraId="18FABF40" w14:textId="64E19672" w:rsidR="00B3116C" w:rsidRPr="00D74736" w:rsidRDefault="00B3116C" w:rsidP="00B3116C">
            <w:pPr>
              <w:suppressAutoHyphens/>
              <w:jc w:val="left"/>
              <w:rPr>
                <w:szCs w:val="22"/>
                <w:highlight w:val="yellow"/>
              </w:rPr>
            </w:pPr>
            <w:r>
              <w:rPr>
                <w:szCs w:val="22"/>
                <w:highlight w:val="yellow"/>
              </w:rPr>
              <w:t>See Monitoring Matrix</w:t>
            </w:r>
          </w:p>
        </w:tc>
        <w:tc>
          <w:tcPr>
            <w:tcW w:w="1620" w:type="dxa"/>
          </w:tcPr>
          <w:p w14:paraId="6687B43E" w14:textId="1C0FFDD0" w:rsidR="00B3116C" w:rsidRPr="00D74736" w:rsidRDefault="00B3116C" w:rsidP="00B3116C">
            <w:pPr>
              <w:contextualSpacing/>
              <w:jc w:val="left"/>
              <w:rPr>
                <w:szCs w:val="22"/>
                <w:highlight w:val="yellow"/>
              </w:rPr>
            </w:pPr>
            <w:r w:rsidRPr="00D74736">
              <w:rPr>
                <w:rFonts w:eastAsia="Calibri"/>
                <w:szCs w:val="22"/>
                <w:highlight w:val="yellow"/>
              </w:rPr>
              <w:t>24-hour composite</w:t>
            </w:r>
          </w:p>
        </w:tc>
        <w:tc>
          <w:tcPr>
            <w:tcW w:w="1620" w:type="dxa"/>
          </w:tcPr>
          <w:p w14:paraId="7F1A9EFD" w14:textId="168156C6" w:rsidR="00B3116C" w:rsidRPr="00D74736" w:rsidRDefault="00B3116C" w:rsidP="00B3116C">
            <w:pPr>
              <w:ind w:left="-14"/>
              <w:contextualSpacing/>
              <w:jc w:val="left"/>
              <w:rPr>
                <w:rFonts w:eastAsia="Calibri"/>
                <w:szCs w:val="22"/>
                <w:highlight w:val="yellow"/>
              </w:rPr>
            </w:pPr>
            <w:r w:rsidRPr="00D74736">
              <w:rPr>
                <w:rFonts w:eastAsia="Calibri"/>
                <w:szCs w:val="22"/>
                <w:highlight w:val="yellow"/>
              </w:rPr>
              <w:t>Monthly Maximum</w:t>
            </w:r>
          </w:p>
        </w:tc>
      </w:tr>
      <w:tr w:rsidR="00DA13C1" w:rsidRPr="00A30D47" w14:paraId="781FC2AC" w14:textId="77777777" w:rsidTr="4C327C5F">
        <w:trPr>
          <w:cantSplit/>
          <w:jc w:val="center"/>
        </w:trPr>
        <w:tc>
          <w:tcPr>
            <w:tcW w:w="1620" w:type="dxa"/>
            <w:shd w:val="clear" w:color="auto" w:fill="auto"/>
          </w:tcPr>
          <w:p w14:paraId="4830BFDA" w14:textId="75770396" w:rsidR="00B3116C" w:rsidRDefault="00B3116C" w:rsidP="00B3116C">
            <w:pPr>
              <w:suppressAutoHyphens/>
              <w:jc w:val="left"/>
              <w:rPr>
                <w:spacing w:val="-3"/>
                <w:szCs w:val="22"/>
                <w:highlight w:val="yellow"/>
              </w:rPr>
            </w:pPr>
            <w:r w:rsidRPr="00D74736">
              <w:rPr>
                <w:spacing w:val="-3"/>
                <w:szCs w:val="22"/>
                <w:highlight w:val="yellow"/>
              </w:rPr>
              <w:t xml:space="preserve">Chlorine </w:t>
            </w:r>
            <w:r w:rsidR="00290CAE">
              <w:rPr>
                <w:spacing w:val="-3"/>
                <w:szCs w:val="22"/>
                <w:highlight w:val="yellow"/>
              </w:rPr>
              <w:t>u</w:t>
            </w:r>
            <w:r w:rsidRPr="00D74736">
              <w:rPr>
                <w:spacing w:val="-3"/>
                <w:szCs w:val="22"/>
                <w:highlight w:val="yellow"/>
              </w:rPr>
              <w:t>sed</w:t>
            </w:r>
          </w:p>
          <w:p w14:paraId="1FBB1814" w14:textId="6D4DE8F5" w:rsidR="00B3116C" w:rsidRPr="00D74736" w:rsidRDefault="00B3116C" w:rsidP="00B3116C">
            <w:pPr>
              <w:suppressAutoHyphens/>
              <w:jc w:val="left"/>
              <w:rPr>
                <w:spacing w:val="-3"/>
                <w:szCs w:val="22"/>
                <w:highlight w:val="yellow"/>
              </w:rPr>
            </w:pPr>
            <w:r>
              <w:rPr>
                <w:spacing w:val="-3"/>
                <w:szCs w:val="22"/>
                <w:highlight w:val="yellow"/>
              </w:rPr>
              <w:t>(81400)</w:t>
            </w:r>
          </w:p>
        </w:tc>
        <w:tc>
          <w:tcPr>
            <w:tcW w:w="1620" w:type="dxa"/>
          </w:tcPr>
          <w:p w14:paraId="679780FE" w14:textId="60EEEF78" w:rsidR="00B3116C" w:rsidRPr="00D74736" w:rsidRDefault="00B3116C" w:rsidP="00B3116C">
            <w:pPr>
              <w:suppressAutoHyphens/>
              <w:jc w:val="left"/>
              <w:rPr>
                <w:szCs w:val="22"/>
                <w:highlight w:val="yellow"/>
              </w:rPr>
            </w:pPr>
            <w:r w:rsidRPr="00D74736">
              <w:rPr>
                <w:szCs w:val="22"/>
                <w:highlight w:val="yellow"/>
              </w:rPr>
              <w:t>lbs/day</w:t>
            </w:r>
          </w:p>
        </w:tc>
        <w:tc>
          <w:tcPr>
            <w:tcW w:w="1620" w:type="dxa"/>
          </w:tcPr>
          <w:p w14:paraId="3A3C8649" w14:textId="4965C129" w:rsidR="00B3116C" w:rsidRPr="00D74736" w:rsidRDefault="00B3116C" w:rsidP="00B3116C">
            <w:pPr>
              <w:suppressAutoHyphens/>
              <w:jc w:val="left"/>
              <w:rPr>
                <w:szCs w:val="22"/>
                <w:highlight w:val="yellow"/>
              </w:rPr>
            </w:pPr>
            <w:r w:rsidRPr="00D74736">
              <w:rPr>
                <w:szCs w:val="22"/>
                <w:highlight w:val="yellow"/>
              </w:rPr>
              <w:t>Year-round or seasonal (Example: Nov – May)</w:t>
            </w:r>
          </w:p>
        </w:tc>
        <w:tc>
          <w:tcPr>
            <w:tcW w:w="1620" w:type="dxa"/>
          </w:tcPr>
          <w:p w14:paraId="3EF87B95" w14:textId="3D55780B" w:rsidR="00B3116C" w:rsidRPr="00D74736" w:rsidRDefault="00B3116C" w:rsidP="00B3116C">
            <w:pPr>
              <w:suppressAutoHyphens/>
              <w:jc w:val="left"/>
              <w:rPr>
                <w:szCs w:val="22"/>
                <w:highlight w:val="yellow"/>
              </w:rPr>
            </w:pPr>
            <w:r>
              <w:rPr>
                <w:szCs w:val="22"/>
                <w:highlight w:val="yellow"/>
              </w:rPr>
              <w:t>Monitoring Matrix</w:t>
            </w:r>
          </w:p>
        </w:tc>
        <w:tc>
          <w:tcPr>
            <w:tcW w:w="1620" w:type="dxa"/>
          </w:tcPr>
          <w:p w14:paraId="5DA9CD88" w14:textId="0FC2EA04" w:rsidR="00B3116C" w:rsidRPr="00D74736" w:rsidRDefault="00B3116C" w:rsidP="00B3116C">
            <w:pPr>
              <w:contextualSpacing/>
              <w:jc w:val="left"/>
              <w:rPr>
                <w:rFonts w:eastAsia="Calibri"/>
                <w:spacing w:val="-3"/>
                <w:szCs w:val="22"/>
              </w:rPr>
            </w:pPr>
            <w:r w:rsidRPr="00D74736">
              <w:rPr>
                <w:szCs w:val="22"/>
                <w:highlight w:val="yellow"/>
              </w:rPr>
              <w:t>Scale reading</w:t>
            </w:r>
          </w:p>
        </w:tc>
        <w:tc>
          <w:tcPr>
            <w:tcW w:w="1620" w:type="dxa"/>
          </w:tcPr>
          <w:p w14:paraId="40B4EE1E" w14:textId="35D29C4C" w:rsidR="00B3116C" w:rsidRPr="00D74736" w:rsidRDefault="00B3116C" w:rsidP="00B3116C">
            <w:pPr>
              <w:contextualSpacing/>
              <w:jc w:val="left"/>
              <w:rPr>
                <w:rFonts w:eastAsia="Calibri"/>
                <w:spacing w:val="-3"/>
                <w:szCs w:val="22"/>
                <w:highlight w:val="yellow"/>
              </w:rPr>
            </w:pPr>
            <w:r w:rsidRPr="00D74736">
              <w:rPr>
                <w:rFonts w:eastAsia="Calibri"/>
                <w:spacing w:val="-3"/>
                <w:szCs w:val="22"/>
                <w:highlight w:val="yellow"/>
              </w:rPr>
              <w:t xml:space="preserve">See </w:t>
            </w:r>
            <w:proofErr w:type="spellStart"/>
            <w:r w:rsidRPr="00D74736">
              <w:rPr>
                <w:rFonts w:eastAsia="Calibri"/>
                <w:spacing w:val="-3"/>
                <w:szCs w:val="22"/>
                <w:highlight w:val="yellow"/>
              </w:rPr>
              <w:t>eReporting</w:t>
            </w:r>
            <w:proofErr w:type="spellEnd"/>
            <w:r w:rsidRPr="00D74736">
              <w:rPr>
                <w:rFonts w:eastAsia="Calibri"/>
                <w:spacing w:val="-3"/>
                <w:szCs w:val="22"/>
                <w:highlight w:val="yellow"/>
              </w:rPr>
              <w:t xml:space="preserve"> Guidelines for WQ Permits</w:t>
            </w:r>
          </w:p>
        </w:tc>
      </w:tr>
      <w:tr w:rsidR="00DA13C1" w:rsidRPr="00A30D47" w14:paraId="43A14E1C" w14:textId="77777777" w:rsidTr="4C327C5F">
        <w:trPr>
          <w:cantSplit/>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831DF5E" w14:textId="11A4F68B" w:rsidR="00B3116C" w:rsidRPr="00D74736" w:rsidRDefault="007153F3" w:rsidP="00290CAE">
            <w:pPr>
              <w:suppressAutoHyphens/>
              <w:jc w:val="left"/>
              <w:rPr>
                <w:spacing w:val="-3"/>
                <w:szCs w:val="22"/>
                <w:highlight w:val="yellow"/>
              </w:rPr>
            </w:pPr>
            <w:r>
              <w:rPr>
                <w:szCs w:val="22"/>
                <w:highlight w:val="yellow"/>
              </w:rPr>
              <w:t xml:space="preserve">Chlorine, </w:t>
            </w:r>
            <w:r w:rsidR="00290CAE">
              <w:rPr>
                <w:szCs w:val="22"/>
                <w:highlight w:val="yellow"/>
              </w:rPr>
              <w:t>T</w:t>
            </w:r>
            <w:r>
              <w:rPr>
                <w:szCs w:val="22"/>
                <w:highlight w:val="yellow"/>
              </w:rPr>
              <w:t xml:space="preserve">otal </w:t>
            </w:r>
            <w:r w:rsidR="00290CAE">
              <w:rPr>
                <w:szCs w:val="22"/>
                <w:highlight w:val="yellow"/>
              </w:rPr>
              <w:t>R</w:t>
            </w:r>
            <w:r>
              <w:rPr>
                <w:szCs w:val="22"/>
                <w:highlight w:val="yellow"/>
              </w:rPr>
              <w:t xml:space="preserve">esidual prior to </w:t>
            </w:r>
            <w:proofErr w:type="spellStart"/>
            <w:r>
              <w:rPr>
                <w:szCs w:val="22"/>
                <w:highlight w:val="yellow"/>
              </w:rPr>
              <w:t>dechlorination</w:t>
            </w:r>
            <w:proofErr w:type="spellEnd"/>
          </w:p>
        </w:tc>
        <w:tc>
          <w:tcPr>
            <w:tcW w:w="1620" w:type="dxa"/>
            <w:tcBorders>
              <w:top w:val="single" w:sz="4" w:space="0" w:color="auto"/>
              <w:left w:val="single" w:sz="4" w:space="0" w:color="auto"/>
              <w:bottom w:val="single" w:sz="4" w:space="0" w:color="auto"/>
              <w:right w:val="single" w:sz="4" w:space="0" w:color="auto"/>
            </w:tcBorders>
          </w:tcPr>
          <w:p w14:paraId="6C52F682" w14:textId="306DE882" w:rsidR="00B3116C" w:rsidRPr="00D74736" w:rsidRDefault="007153F3" w:rsidP="007153F3">
            <w:pPr>
              <w:suppressAutoHyphens/>
              <w:jc w:val="left"/>
              <w:rPr>
                <w:szCs w:val="22"/>
                <w:highlight w:val="yellow"/>
              </w:rPr>
            </w:pPr>
            <w:r>
              <w:rPr>
                <w:szCs w:val="22"/>
                <w:highlight w:val="yellow"/>
              </w:rPr>
              <w:t>mg/L</w:t>
            </w:r>
          </w:p>
        </w:tc>
        <w:tc>
          <w:tcPr>
            <w:tcW w:w="1620" w:type="dxa"/>
            <w:tcBorders>
              <w:top w:val="single" w:sz="4" w:space="0" w:color="auto"/>
              <w:left w:val="single" w:sz="4" w:space="0" w:color="auto"/>
              <w:bottom w:val="single" w:sz="4" w:space="0" w:color="auto"/>
              <w:right w:val="single" w:sz="4" w:space="0" w:color="auto"/>
            </w:tcBorders>
          </w:tcPr>
          <w:p w14:paraId="45C7BF81" w14:textId="76CA1D7F" w:rsidR="00B3116C" w:rsidRPr="00D74736" w:rsidRDefault="00B3116C" w:rsidP="00B3116C">
            <w:pPr>
              <w:suppressAutoHyphens/>
              <w:jc w:val="left"/>
              <w:rPr>
                <w:szCs w:val="22"/>
                <w:highlight w:val="yellow"/>
              </w:rPr>
            </w:pPr>
            <w:r w:rsidRPr="00D74736">
              <w:rPr>
                <w:szCs w:val="22"/>
                <w:highlight w:val="yellow"/>
              </w:rPr>
              <w:t>Year-round or seasonal (Example: Nov – May)</w:t>
            </w:r>
          </w:p>
        </w:tc>
        <w:tc>
          <w:tcPr>
            <w:tcW w:w="1620" w:type="dxa"/>
            <w:tcBorders>
              <w:top w:val="single" w:sz="4" w:space="0" w:color="auto"/>
              <w:left w:val="single" w:sz="4" w:space="0" w:color="auto"/>
              <w:bottom w:val="single" w:sz="4" w:space="0" w:color="auto"/>
              <w:right w:val="single" w:sz="4" w:space="0" w:color="auto"/>
            </w:tcBorders>
          </w:tcPr>
          <w:p w14:paraId="1B0A8F75" w14:textId="6FF49EE2" w:rsidR="00B3116C" w:rsidRPr="00D74736" w:rsidRDefault="007153F3" w:rsidP="00B3116C">
            <w:pPr>
              <w:suppressAutoHyphens/>
              <w:jc w:val="left"/>
              <w:rPr>
                <w:szCs w:val="22"/>
                <w:highlight w:val="yellow"/>
              </w:rPr>
            </w:pPr>
            <w:r>
              <w:rPr>
                <w:szCs w:val="22"/>
                <w:highlight w:val="yellow"/>
              </w:rPr>
              <w:t>Daily</w:t>
            </w:r>
          </w:p>
        </w:tc>
        <w:tc>
          <w:tcPr>
            <w:tcW w:w="1620" w:type="dxa"/>
            <w:tcBorders>
              <w:top w:val="single" w:sz="4" w:space="0" w:color="auto"/>
              <w:left w:val="single" w:sz="4" w:space="0" w:color="auto"/>
              <w:bottom w:val="single" w:sz="4" w:space="0" w:color="auto"/>
              <w:right w:val="single" w:sz="4" w:space="0" w:color="auto"/>
            </w:tcBorders>
          </w:tcPr>
          <w:p w14:paraId="7F2E3BF0" w14:textId="15D367C3" w:rsidR="00B3116C" w:rsidRPr="00D74736" w:rsidRDefault="007153F3" w:rsidP="007153F3">
            <w:pPr>
              <w:contextualSpacing/>
              <w:jc w:val="left"/>
              <w:rPr>
                <w:szCs w:val="22"/>
                <w:highlight w:val="yellow"/>
              </w:rPr>
            </w:pPr>
            <w:r>
              <w:rPr>
                <w:szCs w:val="22"/>
                <w:highlight w:val="yellow"/>
              </w:rPr>
              <w:t>Grab</w:t>
            </w:r>
          </w:p>
        </w:tc>
        <w:tc>
          <w:tcPr>
            <w:tcW w:w="1620" w:type="dxa"/>
          </w:tcPr>
          <w:p w14:paraId="2BBE6E7C" w14:textId="6782797D" w:rsidR="00B3116C" w:rsidRPr="00D74736" w:rsidDel="00560035" w:rsidRDefault="007153F3" w:rsidP="00B3116C">
            <w:pPr>
              <w:contextualSpacing/>
              <w:jc w:val="left"/>
              <w:rPr>
                <w:rFonts w:eastAsia="Calibri"/>
                <w:spacing w:val="-3"/>
                <w:szCs w:val="22"/>
                <w:highlight w:val="yellow"/>
              </w:rPr>
            </w:pPr>
            <w:r>
              <w:rPr>
                <w:rFonts w:eastAsia="Calibri"/>
                <w:spacing w:val="-3"/>
                <w:szCs w:val="22"/>
                <w:highlight w:val="yellow"/>
              </w:rPr>
              <w:t>Maintain records on-site</w:t>
            </w:r>
          </w:p>
        </w:tc>
      </w:tr>
      <w:tr w:rsidR="00DA13C1" w:rsidRPr="00A30D47" w14:paraId="002A8538" w14:textId="77777777" w:rsidTr="4C327C5F">
        <w:trPr>
          <w:cantSplit/>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084F182" w14:textId="77777777" w:rsidR="007153F3" w:rsidRDefault="007153F3" w:rsidP="007153F3">
            <w:pPr>
              <w:suppressAutoHyphens/>
              <w:jc w:val="left"/>
              <w:rPr>
                <w:szCs w:val="22"/>
                <w:highlight w:val="yellow"/>
              </w:rPr>
            </w:pPr>
            <w:r w:rsidRPr="00D74736">
              <w:rPr>
                <w:szCs w:val="22"/>
                <w:highlight w:val="yellow"/>
              </w:rPr>
              <w:t xml:space="preserve">UV intensity </w:t>
            </w:r>
          </w:p>
          <w:p w14:paraId="45FAD2B3" w14:textId="12EB15AA" w:rsidR="007153F3" w:rsidRPr="00D74736" w:rsidRDefault="007153F3" w:rsidP="007153F3">
            <w:pPr>
              <w:suppressAutoHyphens/>
              <w:jc w:val="left"/>
              <w:rPr>
                <w:szCs w:val="22"/>
                <w:highlight w:val="yellow"/>
              </w:rPr>
            </w:pPr>
          </w:p>
        </w:tc>
        <w:tc>
          <w:tcPr>
            <w:tcW w:w="1620" w:type="dxa"/>
            <w:tcBorders>
              <w:top w:val="single" w:sz="4" w:space="0" w:color="auto"/>
              <w:left w:val="single" w:sz="4" w:space="0" w:color="auto"/>
              <w:bottom w:val="single" w:sz="4" w:space="0" w:color="auto"/>
              <w:right w:val="single" w:sz="4" w:space="0" w:color="auto"/>
            </w:tcBorders>
          </w:tcPr>
          <w:p w14:paraId="42720255" w14:textId="47DA81E2" w:rsidR="007153F3" w:rsidRPr="00D74736" w:rsidRDefault="007153F3" w:rsidP="007153F3">
            <w:pPr>
              <w:suppressAutoHyphens/>
              <w:jc w:val="left"/>
              <w:rPr>
                <w:szCs w:val="22"/>
                <w:highlight w:val="yellow"/>
              </w:rPr>
            </w:pPr>
            <w:proofErr w:type="spellStart"/>
            <w:r w:rsidRPr="00D74736">
              <w:rPr>
                <w:szCs w:val="22"/>
                <w:highlight w:val="yellow"/>
              </w:rPr>
              <w:t>mW</w:t>
            </w:r>
            <w:proofErr w:type="spellEnd"/>
            <w:r w:rsidRPr="00D74736">
              <w:rPr>
                <w:szCs w:val="22"/>
                <w:highlight w:val="yellow"/>
              </w:rPr>
              <w:t>/cm</w:t>
            </w:r>
            <w:r w:rsidRPr="00D74736">
              <w:rPr>
                <w:szCs w:val="22"/>
                <w:highlight w:val="yellow"/>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AD04089" w14:textId="17711F1B" w:rsidR="007153F3" w:rsidRPr="00D74736" w:rsidRDefault="007153F3" w:rsidP="007153F3">
            <w:pPr>
              <w:suppressAutoHyphens/>
              <w:jc w:val="left"/>
              <w:rPr>
                <w:szCs w:val="22"/>
                <w:highlight w:val="yellow"/>
              </w:rPr>
            </w:pPr>
            <w:r w:rsidRPr="00D74736">
              <w:rPr>
                <w:szCs w:val="22"/>
                <w:highlight w:val="yellow"/>
              </w:rPr>
              <w:t>Year-round or seasonal (Example: Nov – May)</w:t>
            </w:r>
          </w:p>
        </w:tc>
        <w:tc>
          <w:tcPr>
            <w:tcW w:w="1620" w:type="dxa"/>
            <w:tcBorders>
              <w:top w:val="single" w:sz="4" w:space="0" w:color="auto"/>
              <w:left w:val="single" w:sz="4" w:space="0" w:color="auto"/>
              <w:bottom w:val="single" w:sz="4" w:space="0" w:color="auto"/>
              <w:right w:val="single" w:sz="4" w:space="0" w:color="auto"/>
            </w:tcBorders>
          </w:tcPr>
          <w:p w14:paraId="12489074" w14:textId="51D77C1D" w:rsidR="007153F3" w:rsidRDefault="007153F3" w:rsidP="007153F3">
            <w:pPr>
              <w:suppressAutoHyphens/>
              <w:jc w:val="left"/>
              <w:rPr>
                <w:szCs w:val="22"/>
                <w:highlight w:val="yellow"/>
              </w:rPr>
            </w:pPr>
            <w:r>
              <w:rPr>
                <w:szCs w:val="22"/>
                <w:highlight w:val="yellow"/>
              </w:rPr>
              <w:t>Daily</w:t>
            </w:r>
          </w:p>
        </w:tc>
        <w:tc>
          <w:tcPr>
            <w:tcW w:w="1620" w:type="dxa"/>
            <w:tcBorders>
              <w:top w:val="single" w:sz="4" w:space="0" w:color="auto"/>
              <w:left w:val="single" w:sz="4" w:space="0" w:color="auto"/>
              <w:bottom w:val="single" w:sz="4" w:space="0" w:color="auto"/>
              <w:right w:val="single" w:sz="4" w:space="0" w:color="auto"/>
            </w:tcBorders>
          </w:tcPr>
          <w:p w14:paraId="04DA6CF7" w14:textId="7A6C2E7B" w:rsidR="007153F3" w:rsidRPr="00D74736" w:rsidRDefault="007153F3" w:rsidP="007153F3">
            <w:pPr>
              <w:contextualSpacing/>
              <w:jc w:val="left"/>
              <w:rPr>
                <w:szCs w:val="22"/>
                <w:highlight w:val="yellow"/>
              </w:rPr>
            </w:pPr>
            <w:r w:rsidRPr="00D74736">
              <w:rPr>
                <w:szCs w:val="22"/>
                <w:highlight w:val="yellow"/>
              </w:rPr>
              <w:t>Continuous</w:t>
            </w:r>
          </w:p>
        </w:tc>
        <w:tc>
          <w:tcPr>
            <w:tcW w:w="1620" w:type="dxa"/>
          </w:tcPr>
          <w:p w14:paraId="4A92E365" w14:textId="39B34312" w:rsidR="007153F3" w:rsidRDefault="007153F3" w:rsidP="007153F3">
            <w:pPr>
              <w:contextualSpacing/>
              <w:jc w:val="left"/>
              <w:rPr>
                <w:rFonts w:eastAsia="Calibri"/>
                <w:spacing w:val="-3"/>
                <w:szCs w:val="22"/>
                <w:highlight w:val="yellow"/>
              </w:rPr>
            </w:pPr>
            <w:r w:rsidRPr="007153F3">
              <w:rPr>
                <w:rFonts w:eastAsia="Calibri"/>
                <w:spacing w:val="-3"/>
                <w:szCs w:val="22"/>
                <w:highlight w:val="yellow"/>
              </w:rPr>
              <w:t>Maintain records on-site</w:t>
            </w:r>
          </w:p>
        </w:tc>
      </w:tr>
      <w:tr w:rsidR="00DA13C1" w:rsidRPr="00A30D47" w14:paraId="7BD5FAC5" w14:textId="77777777" w:rsidTr="4C327C5F">
        <w:trPr>
          <w:cantSplit/>
          <w:jc w:val="center"/>
        </w:trPr>
        <w:tc>
          <w:tcPr>
            <w:tcW w:w="1620" w:type="dxa"/>
            <w:shd w:val="clear" w:color="auto" w:fill="auto"/>
          </w:tcPr>
          <w:p w14:paraId="52FB122F" w14:textId="77777777" w:rsidR="007153F3" w:rsidRDefault="007153F3" w:rsidP="007153F3">
            <w:pPr>
              <w:suppressAutoHyphens/>
              <w:jc w:val="left"/>
              <w:rPr>
                <w:spacing w:val="-3"/>
                <w:szCs w:val="22"/>
                <w:highlight w:val="yellow"/>
              </w:rPr>
            </w:pPr>
            <w:r w:rsidRPr="00D74736">
              <w:rPr>
                <w:spacing w:val="-3"/>
                <w:szCs w:val="22"/>
                <w:highlight w:val="yellow"/>
              </w:rPr>
              <w:t xml:space="preserve">UV dose </w:t>
            </w:r>
          </w:p>
          <w:p w14:paraId="3D2144C9" w14:textId="2D20CCE7" w:rsidR="007153F3" w:rsidRPr="00D74736" w:rsidRDefault="007153F3" w:rsidP="007153F3">
            <w:pPr>
              <w:suppressAutoHyphens/>
              <w:jc w:val="left"/>
              <w:rPr>
                <w:spacing w:val="-3"/>
                <w:szCs w:val="22"/>
                <w:highlight w:val="yellow"/>
              </w:rPr>
            </w:pPr>
          </w:p>
        </w:tc>
        <w:tc>
          <w:tcPr>
            <w:tcW w:w="1620" w:type="dxa"/>
          </w:tcPr>
          <w:p w14:paraId="4058B999" w14:textId="6AB97394" w:rsidR="007153F3" w:rsidRPr="00D74736" w:rsidRDefault="007153F3" w:rsidP="007153F3">
            <w:pPr>
              <w:suppressAutoHyphens/>
              <w:jc w:val="left"/>
              <w:rPr>
                <w:szCs w:val="22"/>
                <w:highlight w:val="yellow"/>
              </w:rPr>
            </w:pPr>
            <w:proofErr w:type="spellStart"/>
            <w:r w:rsidRPr="00D74736">
              <w:rPr>
                <w:spacing w:val="-3"/>
                <w:szCs w:val="22"/>
                <w:highlight w:val="yellow"/>
              </w:rPr>
              <w:t>mJ</w:t>
            </w:r>
            <w:proofErr w:type="spellEnd"/>
            <w:r w:rsidRPr="00D74736">
              <w:rPr>
                <w:spacing w:val="-3"/>
                <w:szCs w:val="22"/>
                <w:highlight w:val="yellow"/>
              </w:rPr>
              <w:t>/cm</w:t>
            </w:r>
            <w:r w:rsidRPr="00D74736">
              <w:rPr>
                <w:spacing w:val="-3"/>
                <w:szCs w:val="22"/>
                <w:highlight w:val="yellow"/>
                <w:vertAlign w:val="superscript"/>
              </w:rPr>
              <w:t>2</w:t>
            </w:r>
          </w:p>
        </w:tc>
        <w:tc>
          <w:tcPr>
            <w:tcW w:w="1620" w:type="dxa"/>
          </w:tcPr>
          <w:p w14:paraId="26D4EF9C" w14:textId="799DBB89" w:rsidR="007153F3" w:rsidRPr="00D74736" w:rsidRDefault="007153F3" w:rsidP="007153F3">
            <w:pPr>
              <w:suppressAutoHyphens/>
              <w:jc w:val="left"/>
              <w:rPr>
                <w:szCs w:val="22"/>
                <w:highlight w:val="yellow"/>
              </w:rPr>
            </w:pPr>
            <w:r w:rsidRPr="00D74736">
              <w:rPr>
                <w:szCs w:val="22"/>
                <w:highlight w:val="yellow"/>
              </w:rPr>
              <w:t>Year-round or seasonal (Example: Nov – May)</w:t>
            </w:r>
          </w:p>
        </w:tc>
        <w:tc>
          <w:tcPr>
            <w:tcW w:w="1620" w:type="dxa"/>
          </w:tcPr>
          <w:p w14:paraId="51F90305" w14:textId="328B358D" w:rsidR="007153F3" w:rsidRPr="00D74736" w:rsidRDefault="007153F3" w:rsidP="007153F3">
            <w:pPr>
              <w:suppressAutoHyphens/>
              <w:jc w:val="left"/>
              <w:rPr>
                <w:szCs w:val="22"/>
                <w:highlight w:val="yellow"/>
              </w:rPr>
            </w:pPr>
            <w:r>
              <w:rPr>
                <w:szCs w:val="22"/>
                <w:highlight w:val="yellow"/>
              </w:rPr>
              <w:t>Daily</w:t>
            </w:r>
          </w:p>
        </w:tc>
        <w:tc>
          <w:tcPr>
            <w:tcW w:w="1620" w:type="dxa"/>
          </w:tcPr>
          <w:p w14:paraId="58F5BE5E" w14:textId="2D8B13B6" w:rsidR="007153F3" w:rsidRPr="00D74736" w:rsidRDefault="007153F3" w:rsidP="007153F3">
            <w:pPr>
              <w:contextualSpacing/>
              <w:jc w:val="left"/>
              <w:rPr>
                <w:szCs w:val="22"/>
                <w:highlight w:val="yellow"/>
              </w:rPr>
            </w:pPr>
            <w:r w:rsidRPr="00D74736">
              <w:rPr>
                <w:szCs w:val="22"/>
                <w:highlight w:val="yellow"/>
              </w:rPr>
              <w:t>Calculation</w:t>
            </w:r>
            <w:r w:rsidR="00751C6B">
              <w:t xml:space="preserve"> </w:t>
            </w:r>
            <w:r w:rsidR="00751C6B" w:rsidRPr="00751C6B">
              <w:rPr>
                <w:szCs w:val="22"/>
              </w:rPr>
              <w:t>OR from manufacturer</w:t>
            </w:r>
            <w:r w:rsidR="00751C6B">
              <w:rPr>
                <w:szCs w:val="22"/>
              </w:rPr>
              <w:t>’</w:t>
            </w:r>
            <w:r w:rsidR="00751C6B" w:rsidRPr="00751C6B">
              <w:rPr>
                <w:szCs w:val="22"/>
              </w:rPr>
              <w:t>s table</w:t>
            </w:r>
          </w:p>
        </w:tc>
        <w:tc>
          <w:tcPr>
            <w:tcW w:w="1620" w:type="dxa"/>
          </w:tcPr>
          <w:p w14:paraId="6694F709" w14:textId="5C6099D5" w:rsidR="007153F3" w:rsidRPr="00D74736" w:rsidDel="00560035" w:rsidRDefault="007153F3" w:rsidP="007153F3">
            <w:pPr>
              <w:contextualSpacing/>
              <w:jc w:val="left"/>
              <w:rPr>
                <w:rFonts w:eastAsia="Calibri"/>
                <w:spacing w:val="-3"/>
                <w:szCs w:val="22"/>
                <w:highlight w:val="yellow"/>
              </w:rPr>
            </w:pPr>
            <w:r w:rsidRPr="007153F3">
              <w:rPr>
                <w:rFonts w:eastAsia="Calibri"/>
                <w:spacing w:val="-3"/>
                <w:szCs w:val="22"/>
                <w:highlight w:val="yellow"/>
              </w:rPr>
              <w:t>Maintain records on-site</w:t>
            </w:r>
          </w:p>
        </w:tc>
      </w:tr>
      <w:tr w:rsidR="00DA13C1" w:rsidRPr="00A30D47" w14:paraId="2711C1A8" w14:textId="77777777" w:rsidTr="4C327C5F">
        <w:trPr>
          <w:cantSplit/>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6429B13" w14:textId="77777777" w:rsidR="007153F3" w:rsidRDefault="007153F3" w:rsidP="007153F3">
            <w:pPr>
              <w:suppressAutoHyphens/>
              <w:jc w:val="left"/>
              <w:rPr>
                <w:spacing w:val="-3"/>
                <w:szCs w:val="22"/>
                <w:highlight w:val="yellow"/>
              </w:rPr>
            </w:pPr>
            <w:r w:rsidRPr="00D74736">
              <w:rPr>
                <w:spacing w:val="-3"/>
                <w:szCs w:val="22"/>
                <w:highlight w:val="yellow"/>
              </w:rPr>
              <w:t xml:space="preserve">UV transmittance </w:t>
            </w:r>
          </w:p>
          <w:p w14:paraId="1DACCEC5" w14:textId="00FA77AB" w:rsidR="007153F3" w:rsidRPr="00D74736" w:rsidRDefault="007153F3" w:rsidP="007153F3">
            <w:pPr>
              <w:suppressAutoHyphens/>
              <w:jc w:val="left"/>
              <w:rPr>
                <w:spacing w:val="-3"/>
                <w:szCs w:val="22"/>
                <w:highlight w:val="yellow"/>
              </w:rPr>
            </w:pPr>
          </w:p>
        </w:tc>
        <w:tc>
          <w:tcPr>
            <w:tcW w:w="1620" w:type="dxa"/>
            <w:tcBorders>
              <w:top w:val="single" w:sz="4" w:space="0" w:color="auto"/>
              <w:left w:val="single" w:sz="4" w:space="0" w:color="auto"/>
              <w:bottom w:val="single" w:sz="4" w:space="0" w:color="auto"/>
              <w:right w:val="single" w:sz="4" w:space="0" w:color="auto"/>
            </w:tcBorders>
          </w:tcPr>
          <w:p w14:paraId="0985102B" w14:textId="34FFBDEC" w:rsidR="007153F3" w:rsidRPr="00D74736" w:rsidRDefault="007153F3" w:rsidP="007153F3">
            <w:pPr>
              <w:suppressAutoHyphens/>
              <w:jc w:val="left"/>
              <w:rPr>
                <w:szCs w:val="22"/>
                <w:highlight w:val="yellow"/>
              </w:rPr>
            </w:pPr>
            <w:r w:rsidRPr="00D74736">
              <w:rPr>
                <w:spacing w:val="-3"/>
                <w:szCs w:val="22"/>
                <w:highlight w:val="yellow"/>
              </w:rPr>
              <w:t>%</w:t>
            </w:r>
          </w:p>
        </w:tc>
        <w:tc>
          <w:tcPr>
            <w:tcW w:w="1620" w:type="dxa"/>
            <w:tcBorders>
              <w:top w:val="single" w:sz="4" w:space="0" w:color="auto"/>
              <w:left w:val="single" w:sz="4" w:space="0" w:color="auto"/>
              <w:bottom w:val="single" w:sz="4" w:space="0" w:color="auto"/>
              <w:right w:val="single" w:sz="4" w:space="0" w:color="auto"/>
            </w:tcBorders>
          </w:tcPr>
          <w:p w14:paraId="50CA08BA" w14:textId="5225D6C2" w:rsidR="007153F3" w:rsidRPr="00D74736" w:rsidRDefault="007153F3" w:rsidP="007153F3">
            <w:pPr>
              <w:suppressAutoHyphens/>
              <w:jc w:val="left"/>
              <w:rPr>
                <w:szCs w:val="22"/>
                <w:highlight w:val="yellow"/>
              </w:rPr>
            </w:pPr>
            <w:r w:rsidRPr="00D74736">
              <w:rPr>
                <w:szCs w:val="22"/>
                <w:highlight w:val="yellow"/>
              </w:rPr>
              <w:t>Year-round or seasonal (Example: Nov – May)</w:t>
            </w:r>
          </w:p>
        </w:tc>
        <w:tc>
          <w:tcPr>
            <w:tcW w:w="1620" w:type="dxa"/>
            <w:tcBorders>
              <w:top w:val="single" w:sz="4" w:space="0" w:color="auto"/>
              <w:left w:val="single" w:sz="4" w:space="0" w:color="auto"/>
              <w:bottom w:val="single" w:sz="4" w:space="0" w:color="auto"/>
            </w:tcBorders>
          </w:tcPr>
          <w:p w14:paraId="71BDAFDE" w14:textId="4578DDA3" w:rsidR="007153F3" w:rsidRPr="00D74736" w:rsidRDefault="007153F3" w:rsidP="007153F3">
            <w:pPr>
              <w:suppressAutoHyphens/>
              <w:jc w:val="left"/>
              <w:rPr>
                <w:szCs w:val="22"/>
                <w:highlight w:val="yellow"/>
              </w:rPr>
            </w:pPr>
            <w:r w:rsidRPr="00D74736">
              <w:rPr>
                <w:szCs w:val="22"/>
                <w:highlight w:val="yellow"/>
              </w:rPr>
              <w:t>Daily</w:t>
            </w:r>
          </w:p>
        </w:tc>
        <w:tc>
          <w:tcPr>
            <w:tcW w:w="1620" w:type="dxa"/>
          </w:tcPr>
          <w:p w14:paraId="1510D1DC" w14:textId="4B03379D" w:rsidR="007153F3" w:rsidRPr="00D74736" w:rsidRDefault="007153F3" w:rsidP="007153F3">
            <w:pPr>
              <w:contextualSpacing/>
              <w:jc w:val="left"/>
              <w:rPr>
                <w:szCs w:val="22"/>
                <w:highlight w:val="yellow"/>
              </w:rPr>
            </w:pPr>
            <w:r w:rsidRPr="00D74736">
              <w:rPr>
                <w:szCs w:val="22"/>
                <w:highlight w:val="yellow"/>
              </w:rPr>
              <w:t>Continuous</w:t>
            </w:r>
          </w:p>
        </w:tc>
        <w:tc>
          <w:tcPr>
            <w:tcW w:w="1620" w:type="dxa"/>
          </w:tcPr>
          <w:p w14:paraId="414FA24A" w14:textId="20E149E0" w:rsidR="007153F3" w:rsidRPr="00D74736" w:rsidDel="00560035" w:rsidRDefault="007153F3" w:rsidP="007153F3">
            <w:pPr>
              <w:contextualSpacing/>
              <w:jc w:val="left"/>
              <w:rPr>
                <w:rFonts w:eastAsia="Calibri"/>
                <w:spacing w:val="-3"/>
                <w:szCs w:val="22"/>
                <w:highlight w:val="yellow"/>
              </w:rPr>
            </w:pPr>
            <w:r w:rsidRPr="007153F3">
              <w:rPr>
                <w:rFonts w:eastAsia="Calibri"/>
                <w:spacing w:val="-3"/>
                <w:szCs w:val="22"/>
                <w:highlight w:val="yellow"/>
              </w:rPr>
              <w:t>Maintain records on-site</w:t>
            </w:r>
          </w:p>
        </w:tc>
      </w:tr>
      <w:tr w:rsidR="00DA13C1" w:rsidRPr="00A30D47" w14:paraId="01FAA2A7" w14:textId="77777777" w:rsidTr="4C327C5F">
        <w:trPr>
          <w:cantSplit/>
          <w:jc w:val="center"/>
        </w:trPr>
        <w:tc>
          <w:tcPr>
            <w:tcW w:w="1620" w:type="dxa"/>
            <w:shd w:val="clear" w:color="auto" w:fill="auto"/>
          </w:tcPr>
          <w:p w14:paraId="114A26BF" w14:textId="77777777" w:rsidR="007153F3" w:rsidRDefault="007153F3" w:rsidP="007153F3">
            <w:pPr>
              <w:suppressAutoHyphens/>
              <w:jc w:val="left"/>
              <w:rPr>
                <w:szCs w:val="22"/>
                <w:highlight w:val="yellow"/>
              </w:rPr>
            </w:pPr>
            <w:r w:rsidRPr="00D74736">
              <w:rPr>
                <w:szCs w:val="22"/>
              </w:rPr>
              <w:t>Salinity [</w:t>
            </w:r>
            <w:r w:rsidRPr="00D74736">
              <w:rPr>
                <w:szCs w:val="22"/>
                <w:highlight w:val="yellow"/>
              </w:rPr>
              <w:t>for marine discharges]</w:t>
            </w:r>
          </w:p>
          <w:p w14:paraId="22B499B6" w14:textId="78A89ED6" w:rsidR="007153F3" w:rsidRPr="00D74736" w:rsidRDefault="007153F3" w:rsidP="007153F3">
            <w:pPr>
              <w:suppressAutoHyphens/>
              <w:jc w:val="left"/>
              <w:rPr>
                <w:spacing w:val="-3"/>
                <w:szCs w:val="22"/>
                <w:highlight w:val="yellow"/>
              </w:rPr>
            </w:pPr>
            <w:r>
              <w:rPr>
                <w:szCs w:val="22"/>
                <w:highlight w:val="yellow"/>
              </w:rPr>
              <w:t>(00480)</w:t>
            </w:r>
          </w:p>
        </w:tc>
        <w:tc>
          <w:tcPr>
            <w:tcW w:w="1620" w:type="dxa"/>
          </w:tcPr>
          <w:p w14:paraId="0579A2AD" w14:textId="1B3F117F" w:rsidR="007153F3" w:rsidRPr="00D74736" w:rsidRDefault="007153F3" w:rsidP="007153F3">
            <w:pPr>
              <w:suppressAutoHyphens/>
              <w:jc w:val="left"/>
              <w:rPr>
                <w:szCs w:val="22"/>
                <w:highlight w:val="yellow"/>
              </w:rPr>
            </w:pPr>
            <w:proofErr w:type="spellStart"/>
            <w:r w:rsidRPr="00D74736">
              <w:rPr>
                <w:szCs w:val="22"/>
              </w:rPr>
              <w:t>psu</w:t>
            </w:r>
            <w:proofErr w:type="spellEnd"/>
          </w:p>
        </w:tc>
        <w:tc>
          <w:tcPr>
            <w:tcW w:w="1620" w:type="dxa"/>
          </w:tcPr>
          <w:p w14:paraId="26628C3C" w14:textId="24D1B998" w:rsidR="007153F3" w:rsidRPr="00D74736" w:rsidRDefault="007153F3" w:rsidP="007153F3">
            <w:pPr>
              <w:suppressAutoHyphens/>
              <w:jc w:val="left"/>
              <w:rPr>
                <w:szCs w:val="22"/>
                <w:highlight w:val="yellow"/>
              </w:rPr>
            </w:pPr>
            <w:r w:rsidRPr="00D74736">
              <w:rPr>
                <w:szCs w:val="22"/>
              </w:rPr>
              <w:t xml:space="preserve">Third year of permit cycle </w:t>
            </w:r>
            <w:r w:rsidRPr="00D74736">
              <w:rPr>
                <w:szCs w:val="22"/>
                <w:highlight w:val="yellow"/>
              </w:rPr>
              <w:t>[year]</w:t>
            </w:r>
          </w:p>
        </w:tc>
        <w:tc>
          <w:tcPr>
            <w:tcW w:w="1620" w:type="dxa"/>
          </w:tcPr>
          <w:p w14:paraId="2DAA94EB" w14:textId="4EAC9EA3" w:rsidR="007153F3" w:rsidRPr="00D74736" w:rsidRDefault="007153F3" w:rsidP="007153F3">
            <w:pPr>
              <w:suppressAutoHyphens/>
              <w:jc w:val="left"/>
              <w:rPr>
                <w:szCs w:val="22"/>
                <w:highlight w:val="yellow"/>
              </w:rPr>
            </w:pPr>
            <w:r w:rsidRPr="00D74736">
              <w:rPr>
                <w:szCs w:val="22"/>
              </w:rPr>
              <w:t>Quarterly</w:t>
            </w:r>
          </w:p>
        </w:tc>
        <w:tc>
          <w:tcPr>
            <w:tcW w:w="1620" w:type="dxa"/>
          </w:tcPr>
          <w:p w14:paraId="041FBAEA" w14:textId="5F906F4D" w:rsidR="007153F3" w:rsidRPr="00D74736" w:rsidRDefault="007153F3" w:rsidP="007153F3">
            <w:pPr>
              <w:contextualSpacing/>
              <w:jc w:val="left"/>
              <w:rPr>
                <w:szCs w:val="22"/>
                <w:highlight w:val="yellow"/>
              </w:rPr>
            </w:pPr>
            <w:r w:rsidRPr="00D74736">
              <w:rPr>
                <w:szCs w:val="22"/>
              </w:rPr>
              <w:t>G</w:t>
            </w:r>
            <w:r w:rsidR="00290CAE">
              <w:rPr>
                <w:szCs w:val="22"/>
              </w:rPr>
              <w:t>r</w:t>
            </w:r>
            <w:r w:rsidRPr="00D74736">
              <w:rPr>
                <w:szCs w:val="22"/>
              </w:rPr>
              <w:t>ab</w:t>
            </w:r>
          </w:p>
        </w:tc>
        <w:tc>
          <w:tcPr>
            <w:tcW w:w="1620" w:type="dxa"/>
          </w:tcPr>
          <w:p w14:paraId="505257AF" w14:textId="56A809E8" w:rsidR="007153F3" w:rsidRPr="00D74736" w:rsidDel="00560035" w:rsidRDefault="007153F3" w:rsidP="007153F3">
            <w:pPr>
              <w:contextualSpacing/>
              <w:jc w:val="left"/>
              <w:rPr>
                <w:rFonts w:eastAsia="Calibri"/>
                <w:spacing w:val="-3"/>
                <w:szCs w:val="22"/>
                <w:highlight w:val="yellow"/>
              </w:rPr>
            </w:pPr>
            <w:r>
              <w:rPr>
                <w:rFonts w:eastAsia="Calibri"/>
                <w:szCs w:val="22"/>
                <w:highlight w:val="yellow"/>
              </w:rPr>
              <w:t>Quarterly</w:t>
            </w:r>
            <w:r w:rsidRPr="00D74736">
              <w:rPr>
                <w:rFonts w:eastAsia="Calibri"/>
                <w:szCs w:val="22"/>
                <w:highlight w:val="yellow"/>
              </w:rPr>
              <w:t xml:space="preserve"> Maximum</w:t>
            </w:r>
          </w:p>
        </w:tc>
      </w:tr>
      <w:tr w:rsidR="00DA13C1" w:rsidRPr="00A30D47" w14:paraId="3F6D6B71" w14:textId="77777777" w:rsidTr="4C327C5F">
        <w:trPr>
          <w:cantSplit/>
          <w:jc w:val="center"/>
        </w:trPr>
        <w:tc>
          <w:tcPr>
            <w:tcW w:w="1620" w:type="dxa"/>
            <w:shd w:val="clear" w:color="auto" w:fill="auto"/>
          </w:tcPr>
          <w:p w14:paraId="28220349" w14:textId="77777777" w:rsidR="007153F3" w:rsidRDefault="007153F3" w:rsidP="007153F3">
            <w:pPr>
              <w:suppressAutoHyphens/>
              <w:jc w:val="left"/>
              <w:rPr>
                <w:szCs w:val="22"/>
              </w:rPr>
            </w:pPr>
            <w:r w:rsidRPr="00D74736">
              <w:rPr>
                <w:szCs w:val="22"/>
              </w:rPr>
              <w:t>Dissolved Oxygen</w:t>
            </w:r>
          </w:p>
          <w:p w14:paraId="1BFA4615" w14:textId="2AD7FA4A" w:rsidR="007153F3" w:rsidRPr="00D74736" w:rsidRDefault="007153F3" w:rsidP="007153F3">
            <w:pPr>
              <w:suppressAutoHyphens/>
              <w:jc w:val="left"/>
              <w:rPr>
                <w:spacing w:val="-3"/>
                <w:szCs w:val="22"/>
                <w:highlight w:val="yellow"/>
              </w:rPr>
            </w:pPr>
            <w:r>
              <w:rPr>
                <w:szCs w:val="22"/>
              </w:rPr>
              <w:t>(00300)</w:t>
            </w:r>
            <w:r w:rsidR="00E16614">
              <w:rPr>
                <w:szCs w:val="22"/>
              </w:rPr>
              <w:t xml:space="preserve"> </w:t>
            </w:r>
          </w:p>
        </w:tc>
        <w:tc>
          <w:tcPr>
            <w:tcW w:w="1620" w:type="dxa"/>
          </w:tcPr>
          <w:p w14:paraId="6B5F557D" w14:textId="05C4D7C8" w:rsidR="007153F3" w:rsidRPr="00D74736" w:rsidRDefault="007153F3" w:rsidP="007153F3">
            <w:pPr>
              <w:suppressAutoHyphens/>
              <w:jc w:val="left"/>
              <w:rPr>
                <w:szCs w:val="22"/>
                <w:highlight w:val="yellow"/>
              </w:rPr>
            </w:pPr>
            <w:r w:rsidRPr="00D74736">
              <w:rPr>
                <w:szCs w:val="22"/>
              </w:rPr>
              <w:t>mg/L</w:t>
            </w:r>
          </w:p>
        </w:tc>
        <w:tc>
          <w:tcPr>
            <w:tcW w:w="1620" w:type="dxa"/>
          </w:tcPr>
          <w:p w14:paraId="435F8FA6" w14:textId="57FBD306" w:rsidR="007153F3" w:rsidRPr="00D74736" w:rsidRDefault="007153F3" w:rsidP="007153F3">
            <w:pPr>
              <w:suppressAutoHyphens/>
              <w:jc w:val="left"/>
              <w:rPr>
                <w:szCs w:val="22"/>
                <w:highlight w:val="yellow"/>
              </w:rPr>
            </w:pPr>
            <w:r w:rsidRPr="00D74736">
              <w:rPr>
                <w:szCs w:val="22"/>
              </w:rPr>
              <w:t xml:space="preserve">Third year of permit cycle </w:t>
            </w:r>
            <w:r w:rsidRPr="00D74736">
              <w:rPr>
                <w:szCs w:val="22"/>
                <w:highlight w:val="yellow"/>
              </w:rPr>
              <w:t>[year]</w:t>
            </w:r>
          </w:p>
        </w:tc>
        <w:tc>
          <w:tcPr>
            <w:tcW w:w="1620" w:type="dxa"/>
          </w:tcPr>
          <w:p w14:paraId="4416BB3B" w14:textId="12A4520D" w:rsidR="007153F3" w:rsidRPr="00D74736" w:rsidRDefault="007153F3" w:rsidP="007153F3">
            <w:pPr>
              <w:suppressAutoHyphens/>
              <w:jc w:val="left"/>
              <w:rPr>
                <w:szCs w:val="22"/>
                <w:highlight w:val="yellow"/>
              </w:rPr>
            </w:pPr>
            <w:r w:rsidRPr="00D74736">
              <w:rPr>
                <w:szCs w:val="22"/>
              </w:rPr>
              <w:t>Quarterly</w:t>
            </w:r>
          </w:p>
        </w:tc>
        <w:tc>
          <w:tcPr>
            <w:tcW w:w="1620" w:type="dxa"/>
          </w:tcPr>
          <w:p w14:paraId="37199DCD" w14:textId="1401AE96" w:rsidR="007153F3" w:rsidRPr="00D74736" w:rsidRDefault="004840FD" w:rsidP="007153F3">
            <w:pPr>
              <w:contextualSpacing/>
              <w:jc w:val="left"/>
              <w:rPr>
                <w:szCs w:val="22"/>
                <w:highlight w:val="yellow"/>
              </w:rPr>
            </w:pPr>
            <w:r w:rsidRPr="004840FD">
              <w:rPr>
                <w:szCs w:val="22"/>
              </w:rPr>
              <w:t>24-hour composite</w:t>
            </w:r>
            <w:r w:rsidR="00E16614">
              <w:rPr>
                <w:szCs w:val="22"/>
              </w:rPr>
              <w:t xml:space="preserve"> (see note h.)</w:t>
            </w:r>
          </w:p>
        </w:tc>
        <w:tc>
          <w:tcPr>
            <w:tcW w:w="1620" w:type="dxa"/>
          </w:tcPr>
          <w:p w14:paraId="6CC7935E" w14:textId="404BA479" w:rsidR="007153F3" w:rsidRPr="00D74736" w:rsidDel="00560035" w:rsidRDefault="007153F3" w:rsidP="007153F3">
            <w:pPr>
              <w:contextualSpacing/>
              <w:jc w:val="left"/>
              <w:rPr>
                <w:rFonts w:eastAsia="Calibri"/>
                <w:spacing w:val="-3"/>
                <w:szCs w:val="22"/>
                <w:highlight w:val="yellow"/>
              </w:rPr>
            </w:pPr>
            <w:r>
              <w:rPr>
                <w:rFonts w:eastAsia="Calibri"/>
                <w:szCs w:val="22"/>
                <w:highlight w:val="yellow"/>
              </w:rPr>
              <w:t>Quarterly</w:t>
            </w:r>
            <w:r w:rsidRPr="00D74736">
              <w:rPr>
                <w:rFonts w:eastAsia="Calibri"/>
                <w:szCs w:val="22"/>
                <w:highlight w:val="yellow"/>
              </w:rPr>
              <w:t xml:space="preserve"> </w:t>
            </w:r>
            <w:r>
              <w:rPr>
                <w:rFonts w:eastAsia="Calibri"/>
                <w:szCs w:val="22"/>
                <w:highlight w:val="yellow"/>
              </w:rPr>
              <w:t xml:space="preserve">Minimum </w:t>
            </w:r>
          </w:p>
        </w:tc>
      </w:tr>
      <w:tr w:rsidR="00237594" w:rsidRPr="00A30D47" w14:paraId="79221406" w14:textId="77777777" w:rsidTr="4C327C5F">
        <w:trPr>
          <w:cantSplit/>
          <w:jc w:val="center"/>
        </w:trPr>
        <w:tc>
          <w:tcPr>
            <w:tcW w:w="1620" w:type="dxa"/>
            <w:shd w:val="clear" w:color="auto" w:fill="auto"/>
          </w:tcPr>
          <w:p w14:paraId="611D33BD" w14:textId="77777777" w:rsidR="00237594" w:rsidRDefault="00237594" w:rsidP="00237594">
            <w:pPr>
              <w:suppressAutoHyphens/>
              <w:jc w:val="left"/>
              <w:rPr>
                <w:szCs w:val="22"/>
              </w:rPr>
            </w:pPr>
            <w:r w:rsidRPr="00D74736">
              <w:rPr>
                <w:szCs w:val="22"/>
              </w:rPr>
              <w:t xml:space="preserve">Total </w:t>
            </w:r>
            <w:proofErr w:type="spellStart"/>
            <w:r w:rsidRPr="00D74736">
              <w:rPr>
                <w:szCs w:val="22"/>
              </w:rPr>
              <w:t>Kjeldahl</w:t>
            </w:r>
            <w:proofErr w:type="spellEnd"/>
            <w:r w:rsidRPr="00D74736">
              <w:rPr>
                <w:szCs w:val="22"/>
              </w:rPr>
              <w:t xml:space="preserve"> Nitrogen (TKN)</w:t>
            </w:r>
          </w:p>
          <w:p w14:paraId="20667C18" w14:textId="3856B73F" w:rsidR="00237594" w:rsidRPr="00D74736" w:rsidRDefault="00237594" w:rsidP="00237594">
            <w:pPr>
              <w:suppressAutoHyphens/>
              <w:jc w:val="left"/>
              <w:rPr>
                <w:szCs w:val="22"/>
              </w:rPr>
            </w:pPr>
            <w:r>
              <w:rPr>
                <w:szCs w:val="22"/>
              </w:rPr>
              <w:t>(00625)</w:t>
            </w:r>
          </w:p>
        </w:tc>
        <w:tc>
          <w:tcPr>
            <w:tcW w:w="1620" w:type="dxa"/>
          </w:tcPr>
          <w:p w14:paraId="16B36456" w14:textId="71C0C0B4" w:rsidR="00237594" w:rsidRPr="00D74736" w:rsidRDefault="00237594" w:rsidP="00237594">
            <w:pPr>
              <w:suppressAutoHyphens/>
              <w:jc w:val="left"/>
              <w:rPr>
                <w:szCs w:val="22"/>
              </w:rPr>
            </w:pPr>
            <w:r w:rsidRPr="00D74736">
              <w:rPr>
                <w:szCs w:val="22"/>
              </w:rPr>
              <w:t>mg/L</w:t>
            </w:r>
          </w:p>
        </w:tc>
        <w:tc>
          <w:tcPr>
            <w:tcW w:w="1620" w:type="dxa"/>
          </w:tcPr>
          <w:p w14:paraId="7B1CF2E2" w14:textId="0AADAAE9" w:rsidR="00237594" w:rsidRPr="00D74736" w:rsidRDefault="00237594" w:rsidP="00237594">
            <w:pPr>
              <w:suppressAutoHyphens/>
              <w:jc w:val="left"/>
              <w:rPr>
                <w:szCs w:val="22"/>
              </w:rPr>
            </w:pPr>
            <w:r w:rsidRPr="00D74736">
              <w:rPr>
                <w:szCs w:val="22"/>
              </w:rPr>
              <w:t xml:space="preserve">Third year of permit cycle </w:t>
            </w:r>
            <w:r w:rsidRPr="00D74736">
              <w:rPr>
                <w:szCs w:val="22"/>
                <w:highlight w:val="yellow"/>
              </w:rPr>
              <w:t>[year]</w:t>
            </w:r>
          </w:p>
        </w:tc>
        <w:tc>
          <w:tcPr>
            <w:tcW w:w="1620" w:type="dxa"/>
          </w:tcPr>
          <w:p w14:paraId="209EB86C" w14:textId="43826750" w:rsidR="00237594" w:rsidRPr="00D74736" w:rsidRDefault="00237594" w:rsidP="00237594">
            <w:pPr>
              <w:suppressAutoHyphens/>
              <w:jc w:val="left"/>
              <w:rPr>
                <w:szCs w:val="22"/>
              </w:rPr>
            </w:pPr>
            <w:r w:rsidRPr="00D74736">
              <w:rPr>
                <w:szCs w:val="22"/>
              </w:rPr>
              <w:t>Quarterly</w:t>
            </w:r>
            <w:r>
              <w:rPr>
                <w:szCs w:val="22"/>
              </w:rPr>
              <w:t>, [see Monitoring Matrix for increased frequency based on facility type]</w:t>
            </w:r>
          </w:p>
        </w:tc>
        <w:tc>
          <w:tcPr>
            <w:tcW w:w="1620" w:type="dxa"/>
          </w:tcPr>
          <w:p w14:paraId="0415C581" w14:textId="7CC24A84" w:rsidR="00237594" w:rsidRPr="004840FD" w:rsidRDefault="00237594" w:rsidP="00237594">
            <w:pPr>
              <w:contextualSpacing/>
              <w:jc w:val="left"/>
              <w:rPr>
                <w:szCs w:val="22"/>
              </w:rPr>
            </w:pPr>
            <w:r w:rsidRPr="004840FD">
              <w:rPr>
                <w:szCs w:val="22"/>
              </w:rPr>
              <w:t>24-hour composite</w:t>
            </w:r>
          </w:p>
        </w:tc>
        <w:tc>
          <w:tcPr>
            <w:tcW w:w="1620" w:type="dxa"/>
          </w:tcPr>
          <w:p w14:paraId="5246972A" w14:textId="44B19DB8" w:rsidR="00237594" w:rsidRDefault="00237594" w:rsidP="00237594">
            <w:pPr>
              <w:contextualSpacing/>
              <w:jc w:val="left"/>
              <w:rPr>
                <w:rFonts w:eastAsia="Calibri"/>
                <w:szCs w:val="22"/>
                <w:highlight w:val="yellow"/>
              </w:rPr>
            </w:pPr>
            <w:r>
              <w:rPr>
                <w:rFonts w:eastAsia="Calibri"/>
                <w:szCs w:val="22"/>
                <w:highlight w:val="yellow"/>
              </w:rPr>
              <w:t>Quarterly</w:t>
            </w:r>
            <w:r w:rsidRPr="00D74736">
              <w:rPr>
                <w:rFonts w:eastAsia="Calibri"/>
                <w:szCs w:val="22"/>
                <w:highlight w:val="yellow"/>
              </w:rPr>
              <w:t xml:space="preserve"> Maximum</w:t>
            </w:r>
          </w:p>
        </w:tc>
      </w:tr>
      <w:tr w:rsidR="00DA13C1" w:rsidRPr="00A30D47" w14:paraId="5A980210" w14:textId="77777777" w:rsidTr="4C327C5F">
        <w:trPr>
          <w:cantSplit/>
          <w:jc w:val="center"/>
        </w:trPr>
        <w:tc>
          <w:tcPr>
            <w:tcW w:w="1620" w:type="dxa"/>
            <w:shd w:val="clear" w:color="auto" w:fill="auto"/>
          </w:tcPr>
          <w:p w14:paraId="585C2E63" w14:textId="6457369C" w:rsidR="007153F3" w:rsidRPr="00D74736" w:rsidRDefault="00237594" w:rsidP="007153F3">
            <w:pPr>
              <w:suppressAutoHyphens/>
              <w:jc w:val="left"/>
              <w:rPr>
                <w:spacing w:val="-3"/>
                <w:szCs w:val="22"/>
              </w:rPr>
            </w:pPr>
            <w:r w:rsidRPr="00D74736">
              <w:rPr>
                <w:szCs w:val="22"/>
              </w:rPr>
              <w:lastRenderedPageBreak/>
              <w:t xml:space="preserve">Nitrate (NO3) </w:t>
            </w:r>
            <w:r>
              <w:rPr>
                <w:szCs w:val="22"/>
              </w:rPr>
              <w:t>P</w:t>
            </w:r>
            <w:r w:rsidRPr="00D74736">
              <w:rPr>
                <w:szCs w:val="22"/>
              </w:rPr>
              <w:t>lus Nitrite (NO2) Nitrogen</w:t>
            </w:r>
            <w:r>
              <w:rPr>
                <w:szCs w:val="22"/>
              </w:rPr>
              <w:t xml:space="preserve"> (00630)</w:t>
            </w:r>
          </w:p>
        </w:tc>
        <w:tc>
          <w:tcPr>
            <w:tcW w:w="1620" w:type="dxa"/>
          </w:tcPr>
          <w:p w14:paraId="636C7324" w14:textId="524D50EF" w:rsidR="007153F3" w:rsidRPr="00D74736" w:rsidRDefault="007153F3" w:rsidP="007153F3">
            <w:pPr>
              <w:suppressAutoHyphens/>
              <w:jc w:val="left"/>
              <w:rPr>
                <w:spacing w:val="-3"/>
                <w:szCs w:val="22"/>
                <w:highlight w:val="yellow"/>
              </w:rPr>
            </w:pPr>
            <w:r w:rsidRPr="00D74736">
              <w:rPr>
                <w:szCs w:val="22"/>
              </w:rPr>
              <w:t>mg/L</w:t>
            </w:r>
          </w:p>
        </w:tc>
        <w:tc>
          <w:tcPr>
            <w:tcW w:w="1620" w:type="dxa"/>
          </w:tcPr>
          <w:p w14:paraId="528A0A7D" w14:textId="1AF02513" w:rsidR="007153F3" w:rsidRPr="00D74736" w:rsidRDefault="007153F3" w:rsidP="007153F3">
            <w:pPr>
              <w:suppressAutoHyphens/>
              <w:jc w:val="left"/>
              <w:rPr>
                <w:szCs w:val="22"/>
                <w:highlight w:val="yellow"/>
              </w:rPr>
            </w:pPr>
            <w:r w:rsidRPr="00D74736">
              <w:rPr>
                <w:szCs w:val="22"/>
              </w:rPr>
              <w:t xml:space="preserve">Third year of permit cycle </w:t>
            </w:r>
            <w:r w:rsidRPr="00D74736">
              <w:rPr>
                <w:szCs w:val="22"/>
                <w:highlight w:val="yellow"/>
              </w:rPr>
              <w:t>[year]</w:t>
            </w:r>
          </w:p>
        </w:tc>
        <w:tc>
          <w:tcPr>
            <w:tcW w:w="1620" w:type="dxa"/>
          </w:tcPr>
          <w:p w14:paraId="14C13228" w14:textId="4B89C25C" w:rsidR="007153F3" w:rsidRPr="00D74736" w:rsidRDefault="007153F3" w:rsidP="007153F3">
            <w:pPr>
              <w:suppressAutoHyphens/>
              <w:jc w:val="left"/>
              <w:rPr>
                <w:szCs w:val="22"/>
              </w:rPr>
            </w:pPr>
            <w:proofErr w:type="gramStart"/>
            <w:r w:rsidRPr="00D74736">
              <w:rPr>
                <w:szCs w:val="22"/>
              </w:rPr>
              <w:t>Quarterly</w:t>
            </w:r>
            <w:r>
              <w:rPr>
                <w:szCs w:val="22"/>
              </w:rPr>
              <w:t>[</w:t>
            </w:r>
            <w:proofErr w:type="gramEnd"/>
            <w:r>
              <w:rPr>
                <w:szCs w:val="22"/>
              </w:rPr>
              <w:t>see Monitoring Matrix for increased frequency based on facility type]</w:t>
            </w:r>
          </w:p>
        </w:tc>
        <w:tc>
          <w:tcPr>
            <w:tcW w:w="1620" w:type="dxa"/>
          </w:tcPr>
          <w:p w14:paraId="52ADECB7" w14:textId="279EB8EE" w:rsidR="007153F3" w:rsidRPr="00D74736" w:rsidRDefault="004840FD" w:rsidP="007153F3">
            <w:pPr>
              <w:contextualSpacing/>
              <w:jc w:val="left"/>
              <w:rPr>
                <w:szCs w:val="22"/>
              </w:rPr>
            </w:pPr>
            <w:r w:rsidRPr="004840FD">
              <w:rPr>
                <w:szCs w:val="22"/>
              </w:rPr>
              <w:t>24-hour composite</w:t>
            </w:r>
          </w:p>
        </w:tc>
        <w:tc>
          <w:tcPr>
            <w:tcW w:w="1620" w:type="dxa"/>
          </w:tcPr>
          <w:p w14:paraId="755F0D8E" w14:textId="3E14E6AF" w:rsidR="007153F3" w:rsidRPr="00D74736" w:rsidDel="00560035" w:rsidRDefault="007153F3" w:rsidP="007153F3">
            <w:pPr>
              <w:contextualSpacing/>
              <w:jc w:val="left"/>
              <w:rPr>
                <w:rFonts w:eastAsia="Calibri"/>
                <w:spacing w:val="-3"/>
                <w:szCs w:val="22"/>
                <w:highlight w:val="yellow"/>
              </w:rPr>
            </w:pPr>
            <w:r>
              <w:rPr>
                <w:rFonts w:eastAsia="Calibri"/>
                <w:szCs w:val="22"/>
                <w:highlight w:val="yellow"/>
              </w:rPr>
              <w:t>Quarterly</w:t>
            </w:r>
            <w:r w:rsidRPr="00D74736">
              <w:rPr>
                <w:rFonts w:eastAsia="Calibri"/>
                <w:szCs w:val="22"/>
                <w:highlight w:val="yellow"/>
              </w:rPr>
              <w:t xml:space="preserve"> Maximum</w:t>
            </w:r>
          </w:p>
        </w:tc>
      </w:tr>
      <w:tr w:rsidR="00DA13C1" w:rsidRPr="00A30D47" w14:paraId="5E6BCA8F" w14:textId="77777777" w:rsidTr="4C327C5F">
        <w:trPr>
          <w:cantSplit/>
          <w:jc w:val="center"/>
        </w:trPr>
        <w:tc>
          <w:tcPr>
            <w:tcW w:w="1620" w:type="dxa"/>
          </w:tcPr>
          <w:p w14:paraId="5691BC00" w14:textId="77777777" w:rsidR="00237594" w:rsidRDefault="00237594" w:rsidP="00237594">
            <w:pPr>
              <w:suppressAutoHyphens/>
              <w:jc w:val="left"/>
              <w:rPr>
                <w:szCs w:val="22"/>
              </w:rPr>
            </w:pPr>
            <w:r w:rsidRPr="00D74736">
              <w:rPr>
                <w:szCs w:val="22"/>
              </w:rPr>
              <w:t>Oil and Grease</w:t>
            </w:r>
          </w:p>
          <w:p w14:paraId="7D2B1899" w14:textId="2FE63ABF" w:rsidR="007153F3" w:rsidRPr="00D74736" w:rsidRDefault="00237594" w:rsidP="007153F3">
            <w:pPr>
              <w:suppressAutoHyphens/>
              <w:jc w:val="left"/>
              <w:rPr>
                <w:szCs w:val="22"/>
              </w:rPr>
            </w:pPr>
            <w:r>
              <w:rPr>
                <w:szCs w:val="22"/>
              </w:rPr>
              <w:t>(00556)</w:t>
            </w:r>
          </w:p>
        </w:tc>
        <w:tc>
          <w:tcPr>
            <w:tcW w:w="1620" w:type="dxa"/>
          </w:tcPr>
          <w:p w14:paraId="795BB045" w14:textId="789E652D" w:rsidR="007153F3" w:rsidRPr="00D74736" w:rsidRDefault="007153F3" w:rsidP="007153F3">
            <w:pPr>
              <w:suppressAutoHyphens/>
              <w:jc w:val="left"/>
              <w:rPr>
                <w:szCs w:val="22"/>
              </w:rPr>
            </w:pPr>
            <w:r w:rsidRPr="00D74736">
              <w:rPr>
                <w:szCs w:val="22"/>
              </w:rPr>
              <w:t>mg/L</w:t>
            </w:r>
          </w:p>
        </w:tc>
        <w:tc>
          <w:tcPr>
            <w:tcW w:w="1620" w:type="dxa"/>
          </w:tcPr>
          <w:p w14:paraId="4D864FA9" w14:textId="5C1D6C40" w:rsidR="007153F3" w:rsidRPr="00D74736" w:rsidRDefault="007153F3" w:rsidP="007153F3">
            <w:pPr>
              <w:suppressAutoHyphens/>
              <w:jc w:val="left"/>
              <w:rPr>
                <w:szCs w:val="22"/>
              </w:rPr>
            </w:pPr>
            <w:r w:rsidRPr="00D74736">
              <w:rPr>
                <w:szCs w:val="22"/>
              </w:rPr>
              <w:t>Third year of permit cycle [</w:t>
            </w:r>
            <w:r w:rsidRPr="00D74736">
              <w:rPr>
                <w:szCs w:val="22"/>
                <w:highlight w:val="yellow"/>
              </w:rPr>
              <w:t>year]</w:t>
            </w:r>
          </w:p>
        </w:tc>
        <w:tc>
          <w:tcPr>
            <w:tcW w:w="1620" w:type="dxa"/>
          </w:tcPr>
          <w:p w14:paraId="34AAE554" w14:textId="66A51F18" w:rsidR="007153F3" w:rsidRPr="00D74736" w:rsidRDefault="00237594" w:rsidP="007153F3">
            <w:pPr>
              <w:suppressAutoHyphens/>
              <w:jc w:val="left"/>
              <w:rPr>
                <w:szCs w:val="22"/>
              </w:rPr>
            </w:pPr>
            <w:r w:rsidRPr="00D74736">
              <w:rPr>
                <w:szCs w:val="22"/>
              </w:rPr>
              <w:t>Quarterly</w:t>
            </w:r>
          </w:p>
        </w:tc>
        <w:tc>
          <w:tcPr>
            <w:tcW w:w="1620" w:type="dxa"/>
          </w:tcPr>
          <w:p w14:paraId="1B2CA6AD" w14:textId="05A6518D" w:rsidR="007153F3" w:rsidRPr="00D74736" w:rsidRDefault="00237594" w:rsidP="007153F3">
            <w:pPr>
              <w:contextualSpacing/>
              <w:jc w:val="left"/>
              <w:rPr>
                <w:szCs w:val="22"/>
              </w:rPr>
            </w:pPr>
            <w:r w:rsidRPr="00D74736">
              <w:rPr>
                <w:szCs w:val="22"/>
              </w:rPr>
              <w:t>Grab</w:t>
            </w:r>
          </w:p>
        </w:tc>
        <w:tc>
          <w:tcPr>
            <w:tcW w:w="1620" w:type="dxa"/>
          </w:tcPr>
          <w:p w14:paraId="1B03088D" w14:textId="23A58934" w:rsidR="007153F3" w:rsidRPr="00D74736" w:rsidDel="00560035" w:rsidRDefault="007153F3" w:rsidP="007153F3">
            <w:pPr>
              <w:contextualSpacing/>
              <w:jc w:val="left"/>
              <w:rPr>
                <w:rFonts w:eastAsia="Calibri"/>
                <w:spacing w:val="-3"/>
                <w:szCs w:val="22"/>
                <w:highlight w:val="yellow"/>
              </w:rPr>
            </w:pPr>
            <w:r w:rsidRPr="00BF5752">
              <w:rPr>
                <w:rFonts w:eastAsia="Calibri"/>
                <w:szCs w:val="22"/>
                <w:highlight w:val="yellow"/>
              </w:rPr>
              <w:t>Quarterly Maximum</w:t>
            </w:r>
          </w:p>
        </w:tc>
      </w:tr>
      <w:tr w:rsidR="00DA13C1" w:rsidRPr="00A30D47" w14:paraId="297A3A3C" w14:textId="77777777" w:rsidTr="4C327C5F">
        <w:trPr>
          <w:cantSplit/>
          <w:jc w:val="center"/>
        </w:trPr>
        <w:tc>
          <w:tcPr>
            <w:tcW w:w="1620" w:type="dxa"/>
          </w:tcPr>
          <w:p w14:paraId="076B2B70" w14:textId="77777777" w:rsidR="00237594" w:rsidRDefault="00237594" w:rsidP="00237594">
            <w:pPr>
              <w:suppressAutoHyphens/>
              <w:jc w:val="left"/>
              <w:rPr>
                <w:szCs w:val="22"/>
              </w:rPr>
            </w:pPr>
            <w:r w:rsidRPr="00D74736">
              <w:rPr>
                <w:szCs w:val="22"/>
              </w:rPr>
              <w:t>Total Phosphorus</w:t>
            </w:r>
          </w:p>
          <w:p w14:paraId="5AC660DE" w14:textId="356E1326" w:rsidR="007153F3" w:rsidRPr="00D74736" w:rsidRDefault="00237594" w:rsidP="007153F3">
            <w:pPr>
              <w:suppressAutoHyphens/>
              <w:jc w:val="left"/>
              <w:rPr>
                <w:szCs w:val="22"/>
              </w:rPr>
            </w:pPr>
            <w:r>
              <w:rPr>
                <w:szCs w:val="22"/>
              </w:rPr>
              <w:t>(00665)</w:t>
            </w:r>
          </w:p>
        </w:tc>
        <w:tc>
          <w:tcPr>
            <w:tcW w:w="1620" w:type="dxa"/>
          </w:tcPr>
          <w:p w14:paraId="077F0C81" w14:textId="123DA08D" w:rsidR="007153F3" w:rsidRPr="00D74736" w:rsidRDefault="007153F3" w:rsidP="007153F3">
            <w:pPr>
              <w:suppressAutoHyphens/>
              <w:jc w:val="left"/>
              <w:rPr>
                <w:szCs w:val="22"/>
              </w:rPr>
            </w:pPr>
            <w:r w:rsidRPr="00D74736">
              <w:rPr>
                <w:szCs w:val="22"/>
              </w:rPr>
              <w:t>mg/L</w:t>
            </w:r>
          </w:p>
        </w:tc>
        <w:tc>
          <w:tcPr>
            <w:tcW w:w="1620" w:type="dxa"/>
          </w:tcPr>
          <w:p w14:paraId="300F5AE6" w14:textId="312C5D81" w:rsidR="007153F3" w:rsidRPr="00D74736" w:rsidRDefault="007153F3" w:rsidP="007153F3">
            <w:pPr>
              <w:suppressAutoHyphens/>
              <w:jc w:val="left"/>
              <w:rPr>
                <w:szCs w:val="22"/>
              </w:rPr>
            </w:pPr>
            <w:r w:rsidRPr="00D74736">
              <w:rPr>
                <w:szCs w:val="22"/>
              </w:rPr>
              <w:t xml:space="preserve">Third year of permit cycle </w:t>
            </w:r>
            <w:r w:rsidRPr="00D74736">
              <w:rPr>
                <w:szCs w:val="22"/>
                <w:highlight w:val="yellow"/>
              </w:rPr>
              <w:t>[year]</w:t>
            </w:r>
          </w:p>
        </w:tc>
        <w:tc>
          <w:tcPr>
            <w:tcW w:w="1620" w:type="dxa"/>
          </w:tcPr>
          <w:p w14:paraId="581EFF92" w14:textId="7CCB7ED1" w:rsidR="007153F3" w:rsidRPr="00D74736" w:rsidRDefault="007153F3" w:rsidP="007153F3">
            <w:pPr>
              <w:suppressAutoHyphens/>
              <w:jc w:val="left"/>
              <w:rPr>
                <w:szCs w:val="22"/>
              </w:rPr>
            </w:pPr>
            <w:r w:rsidRPr="00D74736">
              <w:rPr>
                <w:szCs w:val="22"/>
              </w:rPr>
              <w:t>Quarterly</w:t>
            </w:r>
          </w:p>
        </w:tc>
        <w:tc>
          <w:tcPr>
            <w:tcW w:w="1620" w:type="dxa"/>
          </w:tcPr>
          <w:p w14:paraId="383F71F6" w14:textId="47FB3D8C" w:rsidR="007153F3" w:rsidRPr="00D74736" w:rsidRDefault="00237594" w:rsidP="007153F3">
            <w:pPr>
              <w:contextualSpacing/>
              <w:jc w:val="left"/>
              <w:rPr>
                <w:szCs w:val="22"/>
              </w:rPr>
            </w:pPr>
            <w:r w:rsidRPr="004840FD">
              <w:rPr>
                <w:szCs w:val="22"/>
              </w:rPr>
              <w:t>24-hour composite</w:t>
            </w:r>
          </w:p>
        </w:tc>
        <w:tc>
          <w:tcPr>
            <w:tcW w:w="1620" w:type="dxa"/>
          </w:tcPr>
          <w:p w14:paraId="7503AFBF" w14:textId="7D55834B" w:rsidR="007153F3" w:rsidRPr="00D74736" w:rsidDel="00560035" w:rsidRDefault="007153F3" w:rsidP="007153F3">
            <w:pPr>
              <w:contextualSpacing/>
              <w:jc w:val="left"/>
              <w:rPr>
                <w:rFonts w:eastAsia="Calibri"/>
                <w:spacing w:val="-3"/>
                <w:szCs w:val="22"/>
                <w:highlight w:val="yellow"/>
              </w:rPr>
            </w:pPr>
            <w:r w:rsidRPr="00BF5752">
              <w:rPr>
                <w:rFonts w:eastAsia="Calibri"/>
                <w:szCs w:val="22"/>
                <w:highlight w:val="yellow"/>
              </w:rPr>
              <w:t>Quarterly Maximum</w:t>
            </w:r>
          </w:p>
        </w:tc>
      </w:tr>
      <w:tr w:rsidR="00DA13C1" w:rsidRPr="00A30D47" w14:paraId="6335E81C" w14:textId="77777777" w:rsidTr="4C327C5F">
        <w:trPr>
          <w:cantSplit/>
          <w:jc w:val="center"/>
        </w:trPr>
        <w:tc>
          <w:tcPr>
            <w:tcW w:w="1620" w:type="dxa"/>
          </w:tcPr>
          <w:p w14:paraId="62E3B3F4" w14:textId="77777777" w:rsidR="00237594" w:rsidRDefault="00237594" w:rsidP="00237594">
            <w:pPr>
              <w:suppressAutoHyphens/>
              <w:jc w:val="left"/>
              <w:rPr>
                <w:szCs w:val="22"/>
              </w:rPr>
            </w:pPr>
            <w:r w:rsidRPr="00D74736">
              <w:rPr>
                <w:szCs w:val="22"/>
              </w:rPr>
              <w:t>Total Dissolved Solids</w:t>
            </w:r>
          </w:p>
          <w:p w14:paraId="0E647159" w14:textId="547B7620" w:rsidR="007153F3" w:rsidRPr="00D74736" w:rsidRDefault="00237594" w:rsidP="007153F3">
            <w:pPr>
              <w:suppressAutoHyphens/>
              <w:jc w:val="left"/>
              <w:rPr>
                <w:szCs w:val="22"/>
              </w:rPr>
            </w:pPr>
            <w:r>
              <w:rPr>
                <w:szCs w:val="22"/>
              </w:rPr>
              <w:t>(70295)</w:t>
            </w:r>
          </w:p>
        </w:tc>
        <w:tc>
          <w:tcPr>
            <w:tcW w:w="1620" w:type="dxa"/>
          </w:tcPr>
          <w:p w14:paraId="3E5D14C9" w14:textId="145B1AAC" w:rsidR="007153F3" w:rsidRPr="00D74736" w:rsidRDefault="007153F3" w:rsidP="007153F3">
            <w:pPr>
              <w:suppressAutoHyphens/>
              <w:jc w:val="left"/>
              <w:rPr>
                <w:szCs w:val="22"/>
              </w:rPr>
            </w:pPr>
            <w:r w:rsidRPr="00D74736">
              <w:rPr>
                <w:szCs w:val="22"/>
              </w:rPr>
              <w:t>mg/L</w:t>
            </w:r>
          </w:p>
        </w:tc>
        <w:tc>
          <w:tcPr>
            <w:tcW w:w="1620" w:type="dxa"/>
          </w:tcPr>
          <w:p w14:paraId="13F3385E" w14:textId="539899FE" w:rsidR="007153F3" w:rsidRPr="00D74736" w:rsidRDefault="007153F3" w:rsidP="007153F3">
            <w:pPr>
              <w:suppressAutoHyphens/>
              <w:jc w:val="left"/>
              <w:rPr>
                <w:szCs w:val="22"/>
              </w:rPr>
            </w:pPr>
            <w:r w:rsidRPr="00D74736">
              <w:rPr>
                <w:szCs w:val="22"/>
              </w:rPr>
              <w:t xml:space="preserve">Third year of permit cycle </w:t>
            </w:r>
            <w:r w:rsidRPr="00D74736">
              <w:rPr>
                <w:szCs w:val="22"/>
                <w:highlight w:val="yellow"/>
              </w:rPr>
              <w:t>[year]</w:t>
            </w:r>
          </w:p>
        </w:tc>
        <w:tc>
          <w:tcPr>
            <w:tcW w:w="1620" w:type="dxa"/>
          </w:tcPr>
          <w:p w14:paraId="74C61D5A" w14:textId="000296D6" w:rsidR="007153F3" w:rsidRPr="00D74736" w:rsidRDefault="007153F3" w:rsidP="007153F3">
            <w:pPr>
              <w:suppressAutoHyphens/>
              <w:jc w:val="left"/>
              <w:rPr>
                <w:szCs w:val="22"/>
              </w:rPr>
            </w:pPr>
            <w:r w:rsidRPr="00D74736">
              <w:rPr>
                <w:szCs w:val="22"/>
              </w:rPr>
              <w:t>Quarterly</w:t>
            </w:r>
          </w:p>
        </w:tc>
        <w:tc>
          <w:tcPr>
            <w:tcW w:w="1620" w:type="dxa"/>
          </w:tcPr>
          <w:p w14:paraId="6F60F02A" w14:textId="76AF923E" w:rsidR="007153F3" w:rsidRPr="00D74736" w:rsidRDefault="004840FD" w:rsidP="007153F3">
            <w:pPr>
              <w:contextualSpacing/>
              <w:jc w:val="left"/>
              <w:rPr>
                <w:szCs w:val="22"/>
              </w:rPr>
            </w:pPr>
            <w:r w:rsidRPr="004840FD">
              <w:rPr>
                <w:szCs w:val="22"/>
              </w:rPr>
              <w:t>24-hour composite</w:t>
            </w:r>
          </w:p>
        </w:tc>
        <w:tc>
          <w:tcPr>
            <w:tcW w:w="1620" w:type="dxa"/>
          </w:tcPr>
          <w:p w14:paraId="74EA7FCE" w14:textId="7E87EDD0" w:rsidR="007153F3" w:rsidRPr="00BF5752" w:rsidRDefault="007153F3" w:rsidP="007153F3">
            <w:pPr>
              <w:contextualSpacing/>
              <w:jc w:val="left"/>
              <w:rPr>
                <w:rFonts w:eastAsia="Calibri"/>
                <w:szCs w:val="22"/>
                <w:highlight w:val="yellow"/>
              </w:rPr>
            </w:pPr>
            <w:r w:rsidRPr="00BF5752">
              <w:rPr>
                <w:rFonts w:eastAsia="Calibri"/>
                <w:szCs w:val="22"/>
                <w:highlight w:val="yellow"/>
              </w:rPr>
              <w:t>Quarterly Maximum</w:t>
            </w:r>
          </w:p>
        </w:tc>
      </w:tr>
      <w:tr w:rsidR="00DA13C1" w:rsidRPr="00A30D47" w14:paraId="31F06E13" w14:textId="77777777" w:rsidTr="4C327C5F">
        <w:trPr>
          <w:cantSplit/>
          <w:jc w:val="center"/>
        </w:trPr>
        <w:tc>
          <w:tcPr>
            <w:tcW w:w="1620" w:type="dxa"/>
          </w:tcPr>
          <w:p w14:paraId="19BC8826" w14:textId="36761F80" w:rsidR="007153F3" w:rsidRPr="00D74736" w:rsidRDefault="00425EE8" w:rsidP="007153F3">
            <w:pPr>
              <w:suppressAutoHyphens/>
              <w:jc w:val="left"/>
              <w:rPr>
                <w:szCs w:val="22"/>
              </w:rPr>
            </w:pPr>
            <w:r>
              <w:rPr>
                <w:szCs w:val="22"/>
              </w:rPr>
              <w:t>Total Phenolic Compounds (70029) (see note k.)</w:t>
            </w:r>
          </w:p>
        </w:tc>
        <w:tc>
          <w:tcPr>
            <w:tcW w:w="1620" w:type="dxa"/>
          </w:tcPr>
          <w:p w14:paraId="70BFC9E8" w14:textId="6CA3481D" w:rsidR="007153F3" w:rsidRPr="00D74736" w:rsidRDefault="007153F3" w:rsidP="007153F3">
            <w:pPr>
              <w:suppressAutoHyphens/>
              <w:jc w:val="left"/>
              <w:rPr>
                <w:szCs w:val="22"/>
              </w:rPr>
            </w:pPr>
            <w:r w:rsidRPr="00D74736">
              <w:rPr>
                <w:szCs w:val="22"/>
              </w:rPr>
              <w:t>mg/L</w:t>
            </w:r>
          </w:p>
        </w:tc>
        <w:tc>
          <w:tcPr>
            <w:tcW w:w="1620" w:type="dxa"/>
          </w:tcPr>
          <w:p w14:paraId="08B1BAA7" w14:textId="4F127FD6" w:rsidR="007153F3" w:rsidRPr="00D74736" w:rsidRDefault="007153F3" w:rsidP="007153F3">
            <w:pPr>
              <w:suppressAutoHyphens/>
              <w:jc w:val="left"/>
              <w:rPr>
                <w:szCs w:val="22"/>
              </w:rPr>
            </w:pPr>
            <w:r w:rsidRPr="00D74736">
              <w:rPr>
                <w:szCs w:val="22"/>
              </w:rPr>
              <w:t xml:space="preserve">Third year of permit cycle </w:t>
            </w:r>
            <w:r w:rsidRPr="00D74736">
              <w:rPr>
                <w:szCs w:val="22"/>
                <w:highlight w:val="yellow"/>
              </w:rPr>
              <w:t>[year]</w:t>
            </w:r>
          </w:p>
        </w:tc>
        <w:tc>
          <w:tcPr>
            <w:tcW w:w="1620" w:type="dxa"/>
          </w:tcPr>
          <w:p w14:paraId="25524567" w14:textId="13BF25F6" w:rsidR="007153F3" w:rsidRPr="00D74736" w:rsidRDefault="007153F3" w:rsidP="007153F3">
            <w:pPr>
              <w:suppressAutoHyphens/>
              <w:jc w:val="left"/>
              <w:rPr>
                <w:szCs w:val="22"/>
              </w:rPr>
            </w:pPr>
            <w:r w:rsidRPr="00D74736">
              <w:rPr>
                <w:szCs w:val="22"/>
              </w:rPr>
              <w:t>Quarterly</w:t>
            </w:r>
          </w:p>
        </w:tc>
        <w:tc>
          <w:tcPr>
            <w:tcW w:w="1620" w:type="dxa"/>
          </w:tcPr>
          <w:p w14:paraId="603D44C0" w14:textId="27201374" w:rsidR="007153F3" w:rsidRPr="00D74736" w:rsidRDefault="004840FD" w:rsidP="007153F3">
            <w:pPr>
              <w:contextualSpacing/>
              <w:jc w:val="left"/>
              <w:rPr>
                <w:szCs w:val="22"/>
              </w:rPr>
            </w:pPr>
            <w:r w:rsidRPr="004840FD">
              <w:rPr>
                <w:szCs w:val="22"/>
              </w:rPr>
              <w:t>24-hour composite</w:t>
            </w:r>
          </w:p>
        </w:tc>
        <w:tc>
          <w:tcPr>
            <w:tcW w:w="1620" w:type="dxa"/>
          </w:tcPr>
          <w:p w14:paraId="29836CC4" w14:textId="14970EC1" w:rsidR="007153F3" w:rsidRPr="00D74736" w:rsidDel="00560035" w:rsidRDefault="007153F3" w:rsidP="007153F3">
            <w:pPr>
              <w:contextualSpacing/>
              <w:jc w:val="left"/>
              <w:rPr>
                <w:rFonts w:eastAsia="Calibri"/>
                <w:spacing w:val="-3"/>
                <w:szCs w:val="22"/>
                <w:highlight w:val="yellow"/>
              </w:rPr>
            </w:pPr>
            <w:r w:rsidRPr="00BF5752">
              <w:rPr>
                <w:rFonts w:eastAsia="Calibri"/>
                <w:szCs w:val="22"/>
                <w:highlight w:val="yellow"/>
              </w:rPr>
              <w:t>Quarterly Maximum</w:t>
            </w:r>
          </w:p>
        </w:tc>
      </w:tr>
      <w:tr w:rsidR="007153F3" w:rsidRPr="00A30D47" w14:paraId="371B5C98" w14:textId="77777777" w:rsidTr="4C327C5F">
        <w:trPr>
          <w:cantSplit/>
          <w:trHeight w:val="1061"/>
          <w:jc w:val="center"/>
        </w:trPr>
        <w:tc>
          <w:tcPr>
            <w:tcW w:w="9720" w:type="dxa"/>
            <w:gridSpan w:val="6"/>
            <w:vAlign w:val="center"/>
          </w:tcPr>
          <w:p w14:paraId="757C2F27" w14:textId="77777777" w:rsidR="007153F3" w:rsidRPr="00EB552D" w:rsidRDefault="007153F3" w:rsidP="007153F3">
            <w:pPr>
              <w:keepNext/>
              <w:keepLines/>
              <w:suppressAutoHyphens/>
            </w:pPr>
            <w:r w:rsidRPr="00EB552D">
              <w:lastRenderedPageBreak/>
              <w:t>Notes:</w:t>
            </w:r>
          </w:p>
          <w:p w14:paraId="59DCDDB0" w14:textId="4CE86DDC" w:rsidR="007153F3" w:rsidRPr="005A29C6" w:rsidRDefault="007153F3" w:rsidP="006264E9">
            <w:pPr>
              <w:pStyle w:val="ListParagraph"/>
              <w:numPr>
                <w:ilvl w:val="0"/>
                <w:numId w:val="27"/>
              </w:numPr>
              <w:spacing w:after="120"/>
              <w:rPr>
                <w:rFonts w:eastAsia="Times New Roman"/>
                <w:lang w:val="en-CA"/>
              </w:rPr>
            </w:pPr>
            <w:r w:rsidRPr="00EB552D">
              <w:rPr>
                <w:rFonts w:eastAsia="Times New Roman"/>
                <w:lang w:val="en-CA"/>
              </w:rPr>
              <w:t xml:space="preserve">In the event of equipment failure or loss, the permittee must notify DEQ and deploy new equipment to minimize interruption of data collection. If new equipment cannot be immediately deployed, </w:t>
            </w:r>
            <w:r>
              <w:rPr>
                <w:rFonts w:eastAsia="Times New Roman"/>
                <w:lang w:val="en-CA"/>
              </w:rPr>
              <w:t>the p</w:t>
            </w:r>
            <w:r w:rsidRPr="00EB552D">
              <w:rPr>
                <w:rFonts w:eastAsia="Times New Roman"/>
                <w:lang w:val="en-CA"/>
              </w:rPr>
              <w:t>ermittee must</w:t>
            </w:r>
            <w:r>
              <w:rPr>
                <w:rFonts w:eastAsia="Times New Roman"/>
                <w:lang w:val="en-CA"/>
              </w:rPr>
              <w:t xml:space="preserve"> perform</w:t>
            </w:r>
            <w:r w:rsidRPr="00EB552D">
              <w:rPr>
                <w:rFonts w:eastAsia="Times New Roman"/>
                <w:lang w:val="en-CA"/>
              </w:rPr>
              <w:t xml:space="preserve"> grab measurements</w:t>
            </w:r>
            <w:r>
              <w:rPr>
                <w:rFonts w:eastAsia="Times New Roman"/>
                <w:lang w:val="en-CA"/>
              </w:rPr>
              <w:t xml:space="preserve">. If the failure or loss is for continuous temperature monitoring equipment, the permittee must </w:t>
            </w:r>
            <w:r w:rsidR="002E015B">
              <w:rPr>
                <w:rFonts w:eastAsia="Times New Roman"/>
                <w:lang w:val="en-CA"/>
              </w:rPr>
              <w:t xml:space="preserve">collect one </w:t>
            </w:r>
            <w:r>
              <w:rPr>
                <w:rFonts w:eastAsia="Times New Roman"/>
                <w:lang w:val="en-CA"/>
              </w:rPr>
              <w:t xml:space="preserve">grab </w:t>
            </w:r>
            <w:r w:rsidR="002E015B">
              <w:rPr>
                <w:rFonts w:eastAsia="Times New Roman"/>
                <w:lang w:val="en-CA"/>
              </w:rPr>
              <w:t>sample</w:t>
            </w:r>
            <w:r w:rsidR="002E015B" w:rsidRPr="00EB552D">
              <w:rPr>
                <w:rFonts w:eastAsia="Times New Roman"/>
                <w:lang w:val="en-CA"/>
              </w:rPr>
              <w:t xml:space="preserve"> </w:t>
            </w:r>
            <w:r w:rsidRPr="00EB552D">
              <w:rPr>
                <w:rFonts w:eastAsia="Times New Roman"/>
                <w:lang w:val="en-CA"/>
              </w:rPr>
              <w:t xml:space="preserve">daily between </w:t>
            </w:r>
            <w:r w:rsidR="00A77C07">
              <w:rPr>
                <w:rFonts w:eastAsia="Times New Roman"/>
                <w:lang w:val="en-CA"/>
              </w:rPr>
              <w:t>1</w:t>
            </w:r>
            <w:r>
              <w:rPr>
                <w:rFonts w:eastAsia="Times New Roman"/>
                <w:lang w:val="en-CA"/>
              </w:rPr>
              <w:t>2 PM</w:t>
            </w:r>
            <w:r w:rsidRPr="00EB552D">
              <w:rPr>
                <w:rFonts w:eastAsia="Times New Roman"/>
                <w:lang w:val="en-CA"/>
              </w:rPr>
              <w:t xml:space="preserve"> and </w:t>
            </w:r>
            <w:r w:rsidR="00A77C07">
              <w:rPr>
                <w:rFonts w:eastAsia="Times New Roman"/>
                <w:lang w:val="en-CA"/>
              </w:rPr>
              <w:t xml:space="preserve">5 </w:t>
            </w:r>
            <w:r>
              <w:rPr>
                <w:rFonts w:eastAsia="Times New Roman"/>
                <w:lang w:val="en-CA"/>
              </w:rPr>
              <w:t>PM</w:t>
            </w:r>
            <w:r w:rsidRPr="00EB552D">
              <w:rPr>
                <w:rFonts w:eastAsia="Times New Roman"/>
                <w:lang w:val="en-CA"/>
              </w:rPr>
              <w:t xml:space="preserve"> until</w:t>
            </w:r>
            <w:r>
              <w:rPr>
                <w:rFonts w:eastAsia="Times New Roman"/>
                <w:lang w:val="en-CA"/>
              </w:rPr>
              <w:t xml:space="preserve"> continuous</w:t>
            </w:r>
            <w:r w:rsidRPr="00EB552D">
              <w:rPr>
                <w:rFonts w:eastAsia="Times New Roman"/>
                <w:lang w:val="en-CA"/>
              </w:rPr>
              <w:t xml:space="preserve"> monitoring equipment is redeployed.</w:t>
            </w:r>
          </w:p>
          <w:p w14:paraId="45E3335D" w14:textId="063BEAAF" w:rsidR="007153F3" w:rsidRPr="007B03B5" w:rsidRDefault="007153F3" w:rsidP="006264E9">
            <w:pPr>
              <w:pStyle w:val="ListParagraph"/>
              <w:numPr>
                <w:ilvl w:val="0"/>
                <w:numId w:val="27"/>
              </w:numPr>
              <w:rPr>
                <w:rFonts w:eastAsia="Times New Roman"/>
                <w:lang w:val="en-CA"/>
              </w:rPr>
            </w:pPr>
            <w:r w:rsidRPr="007B03B5">
              <w:rPr>
                <w:rFonts w:eastAsia="Times New Roman"/>
                <w:lang w:val="en-CA"/>
              </w:rPr>
              <w:t xml:space="preserve">When submitting DMRs electronically, all data used to determine summary statistics </w:t>
            </w:r>
            <w:r>
              <w:rPr>
                <w:rFonts w:eastAsia="Times New Roman"/>
                <w:lang w:val="en-CA"/>
              </w:rPr>
              <w:t>must</w:t>
            </w:r>
            <w:r w:rsidRPr="007B03B5">
              <w:rPr>
                <w:rFonts w:eastAsia="Times New Roman"/>
                <w:lang w:val="en-CA"/>
              </w:rPr>
              <w:t xml:space="preserve"> be submitted in a DEQ</w:t>
            </w:r>
            <w:r w:rsidR="00122925">
              <w:rPr>
                <w:rFonts w:eastAsia="Times New Roman"/>
                <w:lang w:val="en-CA"/>
              </w:rPr>
              <w:t>-</w:t>
            </w:r>
            <w:r w:rsidRPr="007B03B5">
              <w:rPr>
                <w:rFonts w:eastAsia="Times New Roman"/>
                <w:lang w:val="en-CA"/>
              </w:rPr>
              <w:t xml:space="preserve">approved format as </w:t>
            </w:r>
            <w:r>
              <w:rPr>
                <w:rFonts w:eastAsia="Times New Roman"/>
                <w:lang w:val="en-CA"/>
              </w:rPr>
              <w:t xml:space="preserve">a spreadsheet via electronic reporting </w:t>
            </w:r>
            <w:r w:rsidRPr="007B03B5">
              <w:rPr>
                <w:rFonts w:eastAsia="Times New Roman"/>
                <w:lang w:val="en-CA"/>
              </w:rPr>
              <w:t>unless otherwise directed by DEQ.</w:t>
            </w:r>
            <w:r w:rsidRPr="007B03B5" w:rsidDel="005B0FC7">
              <w:rPr>
                <w:rFonts w:eastAsia="Times New Roman"/>
                <w:lang w:val="en-CA"/>
              </w:rPr>
              <w:t xml:space="preserve"> </w:t>
            </w:r>
          </w:p>
          <w:p w14:paraId="39791562" w14:textId="55E306E0" w:rsidR="007153F3" w:rsidRPr="00EB552D" w:rsidRDefault="007153F3" w:rsidP="006264E9">
            <w:pPr>
              <w:pStyle w:val="Tablecellentry"/>
              <w:keepNext/>
              <w:keepLines/>
              <w:numPr>
                <w:ilvl w:val="0"/>
                <w:numId w:val="27"/>
              </w:numPr>
              <w:suppressAutoHyphens w:val="0"/>
            </w:pPr>
            <w:r w:rsidRPr="00EB552D">
              <w:t xml:space="preserve">Percent Removal </w:t>
            </w:r>
            <w:r>
              <w:t>must</w:t>
            </w:r>
            <w:r w:rsidRPr="00EB552D">
              <w:t xml:space="preserve"> be calculated on a monthly basis using the following formula:</w:t>
            </w:r>
            <w:r w:rsidRPr="00EB552D">
              <w:br/>
            </w:r>
            <m:oMathPara>
              <m:oMath>
                <m:r>
                  <w:rPr>
                    <w:rFonts w:ascii="Cambria Math" w:hAnsi="Cambria Math"/>
                  </w:rPr>
                  <m:t>Percent Removal=</m:t>
                </m:r>
                <m:f>
                  <m:fPr>
                    <m:ctrlPr>
                      <w:rPr>
                        <w:rFonts w:ascii="Cambria Math" w:hAnsi="Cambria Math"/>
                        <w:i/>
                      </w:rPr>
                    </m:ctrlPr>
                  </m:fPr>
                  <m:num>
                    <m:d>
                      <m:dPr>
                        <m:begChr m:val="["/>
                        <m:endChr m:val="]"/>
                        <m:ctrlPr>
                          <w:rPr>
                            <w:rFonts w:ascii="Cambria Math" w:hAnsi="Cambria Math"/>
                            <w:i/>
                          </w:rPr>
                        </m:ctrlPr>
                      </m:dPr>
                      <m:e>
                        <m:r>
                          <w:rPr>
                            <w:rFonts w:ascii="Cambria Math" w:hAnsi="Cambria Math"/>
                          </w:rPr>
                          <m:t>Influent Concentration</m:t>
                        </m:r>
                      </m:e>
                    </m:d>
                    <m:r>
                      <w:rPr>
                        <w:rFonts w:ascii="Cambria Math" w:hAnsi="Cambria Math"/>
                      </w:rPr>
                      <m:t>-</m:t>
                    </m:r>
                    <m:d>
                      <m:dPr>
                        <m:begChr m:val="["/>
                        <m:endChr m:val="]"/>
                        <m:ctrlPr>
                          <w:rPr>
                            <w:rFonts w:ascii="Cambria Math" w:hAnsi="Cambria Math"/>
                            <w:i/>
                          </w:rPr>
                        </m:ctrlPr>
                      </m:dPr>
                      <m:e>
                        <m:r>
                          <w:rPr>
                            <w:rFonts w:ascii="Cambria Math" w:hAnsi="Cambria Math"/>
                          </w:rPr>
                          <m:t>Effluent Concentration</m:t>
                        </m:r>
                      </m:e>
                    </m:d>
                  </m:num>
                  <m:den>
                    <m:r>
                      <w:rPr>
                        <w:rFonts w:ascii="Cambria Math" w:hAnsi="Cambria Math"/>
                      </w:rPr>
                      <m:t>[Influent Concentration]</m:t>
                    </m:r>
                  </m:den>
                </m:f>
                <m:r>
                  <w:rPr>
                    <w:rFonts w:ascii="Cambria Math" w:hAnsi="Cambria Math"/>
                  </w:rPr>
                  <m:t xml:space="preserve"> ×100</m:t>
                </m:r>
                <m:r>
                  <m:rPr>
                    <m:sty m:val="p"/>
                  </m:rPr>
                  <w:rPr>
                    <w:rFonts w:ascii="Cambria Math" w:hAnsi="Cambria Math"/>
                  </w:rPr>
                  <w:br/>
                </m:r>
              </m:oMath>
            </m:oMathPara>
            <w:r w:rsidRPr="00EB552D">
              <w:t xml:space="preserve">Where: </w:t>
            </w:r>
          </w:p>
          <w:p w14:paraId="7536195B" w14:textId="6DA7CF55" w:rsidR="007153F3" w:rsidRPr="00EB552D" w:rsidRDefault="007153F3" w:rsidP="007153F3">
            <w:pPr>
              <w:pStyle w:val="Tablecellentry"/>
              <w:keepNext/>
              <w:keepLines/>
              <w:ind w:left="360"/>
            </w:pPr>
            <w:r w:rsidRPr="00EB552D">
              <w:t xml:space="preserve">Influent Concentration = Corresponding </w:t>
            </w:r>
            <w:r w:rsidR="00F74EA8">
              <w:t>Monthly</w:t>
            </w:r>
            <w:r w:rsidRPr="00EB552D">
              <w:t>- average influent concentration based on the analytical results of the reporting period.</w:t>
            </w:r>
            <w:r>
              <w:t xml:space="preserve"> </w:t>
            </w:r>
          </w:p>
          <w:p w14:paraId="3777A036" w14:textId="59C9DB8D" w:rsidR="007153F3" w:rsidRPr="00EB552D" w:rsidRDefault="007153F3" w:rsidP="007153F3">
            <w:pPr>
              <w:pStyle w:val="Tablecellentry"/>
              <w:keepNext/>
              <w:keepLines/>
              <w:ind w:left="360"/>
            </w:pPr>
            <w:r w:rsidRPr="00EB552D">
              <w:t xml:space="preserve">Effluent Concentration = Corresponding </w:t>
            </w:r>
            <w:r w:rsidR="00F74EA8">
              <w:t>Monthly</w:t>
            </w:r>
            <w:r w:rsidRPr="00EB552D">
              <w:t xml:space="preserve"> average effluent concentration based on the analytical results of the reporting period.</w:t>
            </w:r>
          </w:p>
          <w:p w14:paraId="1B3A800C" w14:textId="42863356" w:rsidR="007153F3" w:rsidRDefault="007153F3" w:rsidP="006264E9">
            <w:pPr>
              <w:pStyle w:val="ListParagraph"/>
              <w:numPr>
                <w:ilvl w:val="0"/>
                <w:numId w:val="27"/>
              </w:numPr>
              <w:autoSpaceDE w:val="0"/>
              <w:autoSpaceDN w:val="0"/>
              <w:adjustRightInd w:val="0"/>
            </w:pPr>
            <w:r w:rsidRPr="00EB552D">
              <w:rPr>
                <w:i/>
                <w:highlight w:val="yellow"/>
              </w:rPr>
              <w:t xml:space="preserve">Insert for systems where preliminary treatment occurs in septic tanks </w:t>
            </w:r>
            <w:r w:rsidR="001646A9">
              <w:rPr>
                <w:i/>
                <w:highlight w:val="yellow"/>
              </w:rPr>
              <w:t>(such as STEP systems)</w:t>
            </w:r>
            <w:r w:rsidRPr="00EB552D">
              <w:rPr>
                <w:i/>
                <w:highlight w:val="yellow"/>
              </w:rPr>
              <w:t xml:space="preserve"> </w:t>
            </w:r>
            <w:r w:rsidR="00BC0230">
              <w:rPr>
                <w:i/>
                <w:highlight w:val="yellow"/>
              </w:rPr>
              <w:t xml:space="preserve">and influent is unable to be </w:t>
            </w:r>
            <w:r w:rsidR="001646A9">
              <w:rPr>
                <w:i/>
                <w:highlight w:val="yellow"/>
              </w:rPr>
              <w:t>monitored</w:t>
            </w:r>
            <w:r w:rsidRPr="00EB552D">
              <w:rPr>
                <w:i/>
                <w:highlight w:val="yellow"/>
              </w:rPr>
              <w:t>:</w:t>
            </w:r>
            <w:r w:rsidRPr="00EB552D">
              <w:rPr>
                <w:i/>
              </w:rPr>
              <w:t xml:space="preserve"> </w:t>
            </w:r>
            <w:r w:rsidRPr="00DE6EA2">
              <w:rPr>
                <w:highlight w:val="yellow"/>
              </w:rPr>
              <w:t>The influent BOD</w:t>
            </w:r>
            <w:r w:rsidRPr="00DE6EA2">
              <w:rPr>
                <w:highlight w:val="yellow"/>
                <w:vertAlign w:val="subscript"/>
              </w:rPr>
              <w:t>5</w:t>
            </w:r>
            <w:r w:rsidRPr="00EB552D">
              <w:t xml:space="preserve"> </w:t>
            </w:r>
            <w:r w:rsidRPr="00EB552D">
              <w:rPr>
                <w:i/>
                <w:highlight w:val="yellow"/>
              </w:rPr>
              <w:t xml:space="preserve">or </w:t>
            </w:r>
            <w:r w:rsidRPr="00EB552D">
              <w:rPr>
                <w:highlight w:val="yellow"/>
              </w:rPr>
              <w:t>CBOD</w:t>
            </w:r>
            <w:r w:rsidRPr="00EB552D">
              <w:rPr>
                <w:highlight w:val="yellow"/>
                <w:vertAlign w:val="subscript"/>
              </w:rPr>
              <w:t>5</w:t>
            </w:r>
            <w:r w:rsidRPr="00EB552D">
              <w:t xml:space="preserve"> and TSS concentrations are assumed to be 200 mg/l for calculation of the percent removal efficiency.</w:t>
            </w:r>
            <w:r>
              <w:t xml:space="preserve"> </w:t>
            </w:r>
          </w:p>
          <w:p w14:paraId="6FB2EED4" w14:textId="52320D28" w:rsidR="007153F3" w:rsidRPr="005B4983" w:rsidRDefault="007153F3" w:rsidP="006264E9">
            <w:pPr>
              <w:pStyle w:val="ListParagraph"/>
              <w:numPr>
                <w:ilvl w:val="0"/>
                <w:numId w:val="27"/>
              </w:numPr>
              <w:autoSpaceDE w:val="0"/>
              <w:autoSpaceDN w:val="0"/>
              <w:adjustRightInd w:val="0"/>
            </w:pPr>
            <w:r w:rsidRPr="005B4983">
              <w:rPr>
                <w:spacing w:val="-3"/>
              </w:rPr>
              <w:t xml:space="preserve">The daily </w:t>
            </w:r>
            <w:r w:rsidRPr="005B4983">
              <w:t xml:space="preserve">excess thermal load </w:t>
            </w:r>
            <w:r>
              <w:t xml:space="preserve">(ETL) discharged </w:t>
            </w:r>
            <w:r w:rsidRPr="005B4983">
              <w:t>must be calculated using the daily maximum effluent temperature and the corresponding daily effluent flow using the formula below.</w:t>
            </w:r>
            <w:r>
              <w:t xml:space="preserve"> </w:t>
            </w:r>
          </w:p>
          <w:p w14:paraId="3E813A05" w14:textId="12419726" w:rsidR="007153F3" w:rsidRPr="005B4983" w:rsidRDefault="007153F3" w:rsidP="00E8253B">
            <w:pPr>
              <w:autoSpaceDE w:val="0"/>
              <w:autoSpaceDN w:val="0"/>
              <w:adjustRightInd w:val="0"/>
              <w:ind w:left="340"/>
              <w:rPr>
                <w:szCs w:val="22"/>
              </w:rPr>
            </w:pPr>
            <w:r w:rsidRPr="005B4983">
              <w:rPr>
                <w:szCs w:val="22"/>
              </w:rPr>
              <w:t xml:space="preserve">The 7-day </w:t>
            </w:r>
            <w:r>
              <w:rPr>
                <w:szCs w:val="22"/>
              </w:rPr>
              <w:t>rolling</w:t>
            </w:r>
            <w:r w:rsidRPr="005B4983">
              <w:rPr>
                <w:szCs w:val="22"/>
              </w:rPr>
              <w:t xml:space="preserve"> average </w:t>
            </w:r>
            <w:r>
              <w:rPr>
                <w:szCs w:val="22"/>
              </w:rPr>
              <w:t>is then calculated from</w:t>
            </w:r>
            <w:r w:rsidRPr="005B4983">
              <w:rPr>
                <w:szCs w:val="22"/>
              </w:rPr>
              <w:t xml:space="preserve"> the daily </w:t>
            </w:r>
            <w:r>
              <w:rPr>
                <w:szCs w:val="22"/>
              </w:rPr>
              <w:t>ETLs</w:t>
            </w:r>
            <w:r w:rsidRPr="005B4983">
              <w:rPr>
                <w:szCs w:val="22"/>
              </w:rPr>
              <w:t>.</w:t>
            </w:r>
            <w:r w:rsidR="003A2D69">
              <w:rPr>
                <w:szCs w:val="22"/>
              </w:rPr>
              <w:t xml:space="preserve"> </w:t>
            </w:r>
            <w:r w:rsidR="00885A8D" w:rsidRPr="00885A8D">
              <w:rPr>
                <w:szCs w:val="22"/>
              </w:rPr>
              <w:t>7-day average periods must not include daily ETLs outside of a limited period or daily ETLs with different criteria.  </w:t>
            </w:r>
          </w:p>
          <w:p w14:paraId="7E9BA728" w14:textId="6AE50AE7" w:rsidR="007153F3" w:rsidRPr="005B4983" w:rsidRDefault="007153F3" w:rsidP="007153F3">
            <w:pPr>
              <w:pStyle w:val="FootnoteText"/>
              <w:ind w:left="720" w:hanging="360"/>
              <w:rPr>
                <w:sz w:val="22"/>
                <w:szCs w:val="22"/>
              </w:rPr>
            </w:pPr>
            <w:r w:rsidRPr="005B4983">
              <w:rPr>
                <w:sz w:val="22"/>
                <w:szCs w:val="22"/>
              </w:rPr>
              <w:t>The</w:t>
            </w:r>
            <w:r>
              <w:rPr>
                <w:sz w:val="22"/>
                <w:szCs w:val="22"/>
              </w:rPr>
              <w:t xml:space="preserve"> daily</w:t>
            </w:r>
            <w:r w:rsidRPr="005B4983">
              <w:rPr>
                <w:sz w:val="22"/>
                <w:szCs w:val="22"/>
              </w:rPr>
              <w:t xml:space="preserve"> ETL is calculated as follows: ETL= 3.785 * </w:t>
            </w:r>
            <w:r w:rsidR="002A2E30" w:rsidRPr="005B4983">
              <w:rPr>
                <w:sz w:val="22"/>
                <w:szCs w:val="22"/>
              </w:rPr>
              <w:t>Q</w:t>
            </w:r>
            <w:r w:rsidR="002A2E30" w:rsidRPr="007E20C6">
              <w:rPr>
                <w:sz w:val="22"/>
                <w:szCs w:val="22"/>
                <w:vertAlign w:val="subscript"/>
              </w:rPr>
              <w:t>E</w:t>
            </w:r>
            <w:r w:rsidRPr="005B4983">
              <w:rPr>
                <w:sz w:val="22"/>
                <w:szCs w:val="22"/>
              </w:rPr>
              <w:t xml:space="preserve"> *ΔT </w:t>
            </w:r>
          </w:p>
          <w:p w14:paraId="527EA36F" w14:textId="295E7134" w:rsidR="007153F3" w:rsidRDefault="007153F3" w:rsidP="007153F3">
            <w:pPr>
              <w:pStyle w:val="ListParagraph"/>
              <w:spacing w:after="120"/>
              <w:ind w:left="360"/>
            </w:pPr>
            <w:r w:rsidRPr="005B4983">
              <w:t>Where:</w:t>
            </w:r>
          </w:p>
          <w:tbl>
            <w:tblPr>
              <w:tblW w:w="9525" w:type="dxa"/>
              <w:shd w:val="clear" w:color="auto" w:fill="FFFFFF" w:themeFill="background1"/>
              <w:tblLayout w:type="fixed"/>
              <w:tblLook w:val="04A0" w:firstRow="1" w:lastRow="0" w:firstColumn="1" w:lastColumn="0" w:noHBand="0" w:noVBand="1"/>
            </w:tblPr>
            <w:tblGrid>
              <w:gridCol w:w="1807"/>
              <w:gridCol w:w="7718"/>
            </w:tblGrid>
            <w:tr w:rsidR="007153F3" w:rsidRPr="005B4983" w14:paraId="4667A822" w14:textId="77777777" w:rsidTr="00DA13C1">
              <w:trPr>
                <w:trHeight w:val="21"/>
              </w:trPr>
              <w:tc>
                <w:tcPr>
                  <w:tcW w:w="1807" w:type="dxa"/>
                  <w:shd w:val="clear" w:color="auto" w:fill="FFFFFF" w:themeFill="background1"/>
                  <w:noWrap/>
                  <w:vAlign w:val="bottom"/>
                  <w:hideMark/>
                </w:tcPr>
                <w:p w14:paraId="61232331" w14:textId="77777777" w:rsidR="007153F3" w:rsidRPr="005B4983" w:rsidRDefault="007153F3" w:rsidP="007153F3">
                  <w:pPr>
                    <w:ind w:left="605" w:hanging="360"/>
                    <w:jc w:val="right"/>
                    <w:rPr>
                      <w:color w:val="000000"/>
                      <w:szCs w:val="22"/>
                    </w:rPr>
                  </w:pPr>
                  <w:r w:rsidRPr="005B4983">
                    <w:rPr>
                      <w:color w:val="000000"/>
                      <w:szCs w:val="22"/>
                    </w:rPr>
                    <w:t>ETL =</w:t>
                  </w:r>
                </w:p>
              </w:tc>
              <w:tc>
                <w:tcPr>
                  <w:tcW w:w="7718" w:type="dxa"/>
                  <w:shd w:val="clear" w:color="auto" w:fill="FFFFFF" w:themeFill="background1"/>
                  <w:noWrap/>
                  <w:vAlign w:val="bottom"/>
                  <w:hideMark/>
                </w:tcPr>
                <w:p w14:paraId="1C09FE26" w14:textId="77777777" w:rsidR="007153F3" w:rsidRPr="005B4983" w:rsidRDefault="007153F3" w:rsidP="007153F3">
                  <w:pPr>
                    <w:ind w:left="605" w:hanging="360"/>
                    <w:rPr>
                      <w:color w:val="000000"/>
                      <w:szCs w:val="22"/>
                    </w:rPr>
                  </w:pPr>
                  <w:r w:rsidRPr="005B4983">
                    <w:rPr>
                      <w:color w:val="000000"/>
                      <w:szCs w:val="22"/>
                    </w:rPr>
                    <w:t>Excess Thermal Load (</w:t>
                  </w:r>
                  <w:r>
                    <w:rPr>
                      <w:color w:val="000000"/>
                      <w:szCs w:val="22"/>
                    </w:rPr>
                    <w:t xml:space="preserve">million </w:t>
                  </w:r>
                  <w:r w:rsidRPr="005B4983">
                    <w:rPr>
                      <w:color w:val="000000"/>
                      <w:szCs w:val="22"/>
                    </w:rPr>
                    <w:t>kcal/day)</w:t>
                  </w:r>
                </w:p>
              </w:tc>
            </w:tr>
            <w:tr w:rsidR="007153F3" w:rsidRPr="005B4983" w14:paraId="35D6AB7E" w14:textId="77777777" w:rsidTr="00DA13C1">
              <w:trPr>
                <w:trHeight w:val="21"/>
              </w:trPr>
              <w:tc>
                <w:tcPr>
                  <w:tcW w:w="1807" w:type="dxa"/>
                  <w:shd w:val="clear" w:color="auto" w:fill="FFFFFF" w:themeFill="background1"/>
                  <w:noWrap/>
                  <w:vAlign w:val="bottom"/>
                  <w:hideMark/>
                </w:tcPr>
                <w:p w14:paraId="11AA0043" w14:textId="04C1885C" w:rsidR="007153F3" w:rsidRPr="005B4983" w:rsidRDefault="002A2E30" w:rsidP="007153F3">
                  <w:pPr>
                    <w:ind w:left="605" w:hanging="360"/>
                    <w:jc w:val="right"/>
                    <w:rPr>
                      <w:color w:val="000000"/>
                      <w:szCs w:val="22"/>
                    </w:rPr>
                  </w:pPr>
                  <w:r w:rsidRPr="005B4983">
                    <w:rPr>
                      <w:szCs w:val="22"/>
                    </w:rPr>
                    <w:t>Q</w:t>
                  </w:r>
                  <w:r w:rsidRPr="007E20C6">
                    <w:rPr>
                      <w:szCs w:val="22"/>
                      <w:vertAlign w:val="subscript"/>
                    </w:rPr>
                    <w:t>E</w:t>
                  </w:r>
                  <w:r w:rsidR="007153F3" w:rsidRPr="005B4983">
                    <w:rPr>
                      <w:color w:val="000000"/>
                      <w:szCs w:val="22"/>
                    </w:rPr>
                    <w:t xml:space="preserve"> = </w:t>
                  </w:r>
                </w:p>
              </w:tc>
              <w:tc>
                <w:tcPr>
                  <w:tcW w:w="7718" w:type="dxa"/>
                  <w:shd w:val="clear" w:color="auto" w:fill="FFFFFF" w:themeFill="background1"/>
                  <w:noWrap/>
                  <w:vAlign w:val="bottom"/>
                  <w:hideMark/>
                </w:tcPr>
                <w:p w14:paraId="41D8D0FF" w14:textId="70163695" w:rsidR="007153F3" w:rsidRPr="005B4983" w:rsidRDefault="007153F3" w:rsidP="007153F3">
                  <w:pPr>
                    <w:ind w:left="605" w:hanging="360"/>
                    <w:rPr>
                      <w:color w:val="000000"/>
                      <w:szCs w:val="22"/>
                    </w:rPr>
                  </w:pPr>
                  <w:r w:rsidRPr="005B4983">
                    <w:rPr>
                      <w:color w:val="000000"/>
                      <w:szCs w:val="22"/>
                    </w:rPr>
                    <w:t xml:space="preserve">Daily </w:t>
                  </w:r>
                  <w:r w:rsidR="004D6D27">
                    <w:rPr>
                      <w:color w:val="000000"/>
                      <w:szCs w:val="22"/>
                    </w:rPr>
                    <w:t>e</w:t>
                  </w:r>
                  <w:r w:rsidRPr="005B4983">
                    <w:rPr>
                      <w:color w:val="000000"/>
                      <w:szCs w:val="22"/>
                    </w:rPr>
                    <w:t>ffluent flow (MGD)</w:t>
                  </w:r>
                </w:p>
              </w:tc>
            </w:tr>
            <w:tr w:rsidR="007153F3" w:rsidRPr="005B4983" w14:paraId="721DBBC9" w14:textId="77777777" w:rsidTr="00DA13C1">
              <w:trPr>
                <w:trHeight w:val="21"/>
              </w:trPr>
              <w:tc>
                <w:tcPr>
                  <w:tcW w:w="1807" w:type="dxa"/>
                  <w:shd w:val="clear" w:color="auto" w:fill="FFFFFF" w:themeFill="background1"/>
                  <w:noWrap/>
                  <w:vAlign w:val="bottom"/>
                  <w:hideMark/>
                </w:tcPr>
                <w:p w14:paraId="077DC6FC" w14:textId="77777777" w:rsidR="007153F3" w:rsidRPr="005B4983" w:rsidRDefault="007153F3" w:rsidP="007153F3">
                  <w:pPr>
                    <w:ind w:left="605" w:hanging="360"/>
                    <w:jc w:val="right"/>
                    <w:rPr>
                      <w:szCs w:val="22"/>
                    </w:rPr>
                  </w:pPr>
                  <w:r w:rsidRPr="005B4983">
                    <w:rPr>
                      <w:szCs w:val="22"/>
                    </w:rPr>
                    <w:t xml:space="preserve">ΔT = </w:t>
                  </w:r>
                </w:p>
              </w:tc>
              <w:tc>
                <w:tcPr>
                  <w:tcW w:w="7718" w:type="dxa"/>
                  <w:shd w:val="clear" w:color="auto" w:fill="FFFFFF" w:themeFill="background1"/>
                  <w:noWrap/>
                  <w:vAlign w:val="bottom"/>
                  <w:hideMark/>
                </w:tcPr>
                <w:p w14:paraId="7F476C96" w14:textId="4411C26E" w:rsidR="007153F3" w:rsidRPr="005B4983" w:rsidRDefault="007153F3" w:rsidP="007153F3">
                  <w:pPr>
                    <w:ind w:left="605" w:hanging="360"/>
                    <w:rPr>
                      <w:color w:val="000000"/>
                      <w:szCs w:val="22"/>
                    </w:rPr>
                  </w:pPr>
                  <w:r w:rsidRPr="005B4983">
                    <w:rPr>
                      <w:color w:val="000000"/>
                      <w:szCs w:val="22"/>
                    </w:rPr>
                    <w:t xml:space="preserve">Daily </w:t>
                  </w:r>
                  <w:r w:rsidR="004D6D27">
                    <w:rPr>
                      <w:color w:val="000000"/>
                      <w:szCs w:val="22"/>
                    </w:rPr>
                    <w:t>m</w:t>
                  </w:r>
                  <w:r w:rsidRPr="005B4983">
                    <w:rPr>
                      <w:color w:val="000000"/>
                      <w:szCs w:val="22"/>
                    </w:rPr>
                    <w:t xml:space="preserve">aximum </w:t>
                  </w:r>
                  <w:r w:rsidR="004D6D27">
                    <w:rPr>
                      <w:color w:val="000000"/>
                      <w:szCs w:val="22"/>
                    </w:rPr>
                    <w:t>e</w:t>
                  </w:r>
                  <w:r w:rsidRPr="005B4983">
                    <w:rPr>
                      <w:color w:val="000000"/>
                      <w:szCs w:val="22"/>
                    </w:rPr>
                    <w:t>ffluent temperature (</w:t>
                  </w:r>
                  <w:r w:rsidRPr="005B4983">
                    <w:rPr>
                      <w:szCs w:val="22"/>
                    </w:rPr>
                    <w:t>°C)</w:t>
                  </w:r>
                  <w:r w:rsidRPr="005B4983">
                    <w:rPr>
                      <w:color w:val="000000"/>
                      <w:szCs w:val="22"/>
                    </w:rPr>
                    <w:t xml:space="preserve"> minus ambient criterion (</w:t>
                  </w:r>
                  <w:r w:rsidRPr="00B574BC">
                    <w:rPr>
                      <w:color w:val="000000"/>
                      <w:szCs w:val="22"/>
                      <w:highlight w:val="yellow"/>
                    </w:rPr>
                    <w:t>X</w:t>
                  </w:r>
                  <w:r w:rsidR="00C932E7">
                    <w:rPr>
                      <w:color w:val="000000"/>
                      <w:szCs w:val="22"/>
                    </w:rPr>
                    <w:t xml:space="preserve"> </w:t>
                  </w:r>
                  <w:r w:rsidRPr="005B4983">
                    <w:rPr>
                      <w:szCs w:val="22"/>
                    </w:rPr>
                    <w:t>°C)</w:t>
                  </w:r>
                </w:p>
              </w:tc>
            </w:tr>
          </w:tbl>
          <w:p w14:paraId="2729B2C8" w14:textId="77777777" w:rsidR="007153F3" w:rsidRPr="00B5506B" w:rsidRDefault="007153F3" w:rsidP="007153F3">
            <w:pPr>
              <w:pStyle w:val="ListParagraph"/>
              <w:spacing w:after="120"/>
              <w:ind w:left="360"/>
              <w:rPr>
                <w:rFonts w:eastAsia="Times New Roman"/>
                <w:lang w:val="en-CA"/>
              </w:rPr>
            </w:pPr>
          </w:p>
          <w:p w14:paraId="1A61D133" w14:textId="31E2A5A0" w:rsidR="00F75DDA" w:rsidRPr="00E16614" w:rsidRDefault="00F75DDA" w:rsidP="00670AEB">
            <w:pPr>
              <w:pStyle w:val="ListParagraph"/>
              <w:numPr>
                <w:ilvl w:val="0"/>
                <w:numId w:val="90"/>
              </w:numPr>
              <w:spacing w:after="120"/>
              <w:rPr>
                <w:rFonts w:eastAsia="Times New Roman"/>
                <w:lang w:val="en-CA"/>
              </w:rPr>
            </w:pPr>
            <w:r>
              <w:t>The permittee must keep on file either daily calibration logs or an instrument manual showing that less than daily calibration is required along with calibration logs that comply with manufacturer instructions and any Proficiency (PT) or Water Pollution (WP) tests must be done using the continuous pH monitor</w:t>
            </w:r>
          </w:p>
          <w:p w14:paraId="5EF8AA10" w14:textId="2C5A4264" w:rsidR="00E16614" w:rsidRDefault="00F052F8" w:rsidP="00670AEB">
            <w:pPr>
              <w:pStyle w:val="ListParagraph"/>
              <w:numPr>
                <w:ilvl w:val="0"/>
                <w:numId w:val="90"/>
              </w:numPr>
              <w:spacing w:after="120"/>
              <w:rPr>
                <w:rFonts w:eastAsia="Times New Roman"/>
                <w:lang w:val="en-CA"/>
              </w:rPr>
            </w:pPr>
            <w:r w:rsidRPr="00F052F8">
              <w:rPr>
                <w:rFonts w:eastAsia="Times New Roman"/>
                <w:lang w:val="en-CA"/>
              </w:rPr>
              <w:t xml:space="preserve">CFR 122.21 requires that Dissolved Oxygen be collected as a 24-hour composite for permit application purposes. CFR 136.3(e) specifies that if a composite measurement is required but a composite sample would compromise sample integrity, that individual grab samples must be collected. </w:t>
            </w:r>
            <w:r w:rsidR="00E16614" w:rsidRPr="4C327C5F">
              <w:rPr>
                <w:rFonts w:eastAsia="Times New Roman"/>
                <w:lang w:val="en-CA"/>
              </w:rPr>
              <w:t>For Dissolved Oxygen, the permittee must collect and analyze at least four discrete grab samples over the operating day with samples collected no less than one hour apart. The analytical results for all samples in a day must be averaged for reporting purposes.</w:t>
            </w:r>
          </w:p>
          <w:p w14:paraId="0EB8018C" w14:textId="77777777" w:rsidR="00A77C07" w:rsidRPr="00A77C07" w:rsidRDefault="00A77C07" w:rsidP="00670AEB">
            <w:pPr>
              <w:pStyle w:val="ListParagraph"/>
              <w:numPr>
                <w:ilvl w:val="0"/>
                <w:numId w:val="90"/>
              </w:numPr>
              <w:spacing w:after="120"/>
              <w:rPr>
                <w:rFonts w:eastAsia="Times New Roman"/>
                <w:lang w:val="en-CA"/>
              </w:rPr>
            </w:pPr>
            <w:r w:rsidRPr="4C327C5F">
              <w:rPr>
                <w:rFonts w:eastAsia="Times New Roman"/>
                <w:lang w:val="en-CA"/>
              </w:rPr>
              <w:t>The permittee must perform temperature grab measurements daily between 12 PM and 5 PM.</w:t>
            </w:r>
          </w:p>
          <w:p w14:paraId="3A068B79" w14:textId="77777777" w:rsidR="007153F3" w:rsidRDefault="2E63E452" w:rsidP="4C327C5F">
            <w:pPr>
              <w:pStyle w:val="ListParagraph"/>
              <w:numPr>
                <w:ilvl w:val="0"/>
                <w:numId w:val="84"/>
              </w:numPr>
              <w:spacing w:after="120"/>
              <w:rPr>
                <w:rFonts w:eastAsia="Times New Roman"/>
                <w:lang w:val="en-CA"/>
              </w:rPr>
            </w:pPr>
            <w:r w:rsidRPr="4C327C5F">
              <w:rPr>
                <w:rFonts w:eastAsia="Times New Roman"/>
                <w:lang w:val="en-CA"/>
              </w:rPr>
              <w:t>When determining the daily maximum temperature, t</w:t>
            </w:r>
            <w:r w:rsidR="00A77C07" w:rsidRPr="4C327C5F">
              <w:rPr>
                <w:rFonts w:eastAsia="Times New Roman"/>
                <w:lang w:val="en-CA"/>
              </w:rPr>
              <w:t xml:space="preserve">he permittee may report the hourly average maximum temperature if continuous monitoring of temperature is performed at less than hourly intervals. </w:t>
            </w:r>
          </w:p>
          <w:p w14:paraId="3FD712A3" w14:textId="77777777" w:rsidR="00425EE8" w:rsidRDefault="00683DF9" w:rsidP="00425EE8">
            <w:pPr>
              <w:pStyle w:val="ListParagraph"/>
              <w:numPr>
                <w:ilvl w:val="0"/>
                <w:numId w:val="84"/>
              </w:numPr>
              <w:spacing w:after="120"/>
              <w:rPr>
                <w:rFonts w:eastAsia="Times New Roman"/>
                <w:lang w:val="en-CA"/>
              </w:rPr>
            </w:pPr>
            <w:r w:rsidRPr="002B53C6">
              <w:rPr>
                <w:rFonts w:eastAsia="Times New Roman"/>
                <w:lang w:val="en-CA"/>
              </w:rPr>
              <w:t>If the permittee selects final Excess Thermal Load Limit (ETLL) Option B from Table A1, then the permittee must calculate the ETLL (million kcal/day) each day the permittee uses this option. The permittee must use the equation and procedure noted in Table A1.</w:t>
            </w:r>
          </w:p>
          <w:p w14:paraId="3829CFF3" w14:textId="3C799F01" w:rsidR="002023AF" w:rsidRPr="00EB552D" w:rsidRDefault="002251FE" w:rsidP="4C327C5F">
            <w:pPr>
              <w:pStyle w:val="ListParagraph"/>
              <w:numPr>
                <w:ilvl w:val="0"/>
                <w:numId w:val="84"/>
              </w:numPr>
              <w:spacing w:after="120"/>
              <w:rPr>
                <w:rFonts w:eastAsia="Times New Roman"/>
                <w:lang w:val="en-CA"/>
              </w:rPr>
            </w:pPr>
            <w:r w:rsidRPr="002251FE">
              <w:rPr>
                <w:rFonts w:eastAsia="Times New Roman"/>
                <w:lang w:val="en-CA"/>
              </w:rPr>
              <w:t>Total Phenolic Compounds is identified as “Phenols” in 40 CFR 136.3, Table IB.</w:t>
            </w:r>
          </w:p>
        </w:tc>
      </w:tr>
    </w:tbl>
    <w:p w14:paraId="658E8ED0" w14:textId="33CDEB3E" w:rsidR="00036E71" w:rsidRDefault="00036E71" w:rsidP="00E352A9">
      <w:pPr>
        <w:pStyle w:val="PermitNormal"/>
      </w:pPr>
    </w:p>
    <w:p w14:paraId="7DC679C5" w14:textId="47646441" w:rsidR="00EC49FA" w:rsidRDefault="00EC49FA" w:rsidP="00E352A9">
      <w:pPr>
        <w:pStyle w:val="PermitNormal"/>
      </w:pPr>
      <w:r w:rsidRPr="00EC49FA">
        <w:rPr>
          <w:highlight w:val="yellow"/>
        </w:rPr>
        <w:t xml:space="preserve">[If no monitoring stations are upstream of the facility, include the following. </w:t>
      </w:r>
      <w:r w:rsidR="00106C61" w:rsidRPr="00EC49FA">
        <w:rPr>
          <w:highlight w:val="yellow"/>
        </w:rPr>
        <w:t>Discuss</w:t>
      </w:r>
      <w:r w:rsidRPr="00EC49FA">
        <w:rPr>
          <w:highlight w:val="yellow"/>
        </w:rPr>
        <w:t xml:space="preserve"> with Direct Sup</w:t>
      </w:r>
      <w:r>
        <w:rPr>
          <w:highlight w:val="yellow"/>
        </w:rPr>
        <w:t>p</w:t>
      </w:r>
      <w:r w:rsidRPr="00EC49FA">
        <w:rPr>
          <w:highlight w:val="yellow"/>
        </w:rPr>
        <w:t>ort if needed]</w:t>
      </w:r>
    </w:p>
    <w:p w14:paraId="7166E6A7" w14:textId="13AB9B18" w:rsidR="001C408A" w:rsidRDefault="001C408A" w:rsidP="00E352A9">
      <w:pPr>
        <w:pStyle w:val="PermitNormal"/>
      </w:pPr>
    </w:p>
    <w:p w14:paraId="3969961A" w14:textId="77777777" w:rsidR="001C408A" w:rsidRPr="00036E71" w:rsidRDefault="001C408A" w:rsidP="00E352A9">
      <w:pPr>
        <w:pStyle w:val="PermitNormal"/>
      </w:pPr>
    </w:p>
    <w:p w14:paraId="5BF6229F" w14:textId="1673D16A" w:rsidR="00E72270" w:rsidRDefault="00A24FB9" w:rsidP="0017702F">
      <w:pPr>
        <w:pStyle w:val="ListParagraph"/>
        <w:numPr>
          <w:ilvl w:val="0"/>
          <w:numId w:val="33"/>
        </w:numPr>
        <w:ind w:left="1440" w:hanging="720"/>
      </w:pPr>
      <w:r>
        <w:t>The permittee must monitor</w:t>
      </w:r>
      <w:r w:rsidRPr="00FE5F46">
        <w:t xml:space="preserve"> </w:t>
      </w:r>
      <w:r w:rsidRPr="001C408A">
        <w:rPr>
          <w:highlight w:val="yellow"/>
        </w:rPr>
        <w:t>(waterbody name)</w:t>
      </w:r>
      <w:r w:rsidR="00EB552D">
        <w:t xml:space="preserve"> and report the results in accordance with Table B1 and the table below</w:t>
      </w:r>
      <w:r w:rsidRPr="00C3454F">
        <w:t>.</w:t>
      </w:r>
      <w:r>
        <w:t xml:space="preserve"> </w:t>
      </w:r>
      <w:r w:rsidR="00EB552D">
        <w:t>The p</w:t>
      </w:r>
      <w:r>
        <w:t>ermittee must collect samples such that the effluent does not impact the samples (</w:t>
      </w:r>
      <w:r w:rsidR="00F42429">
        <w:t>e.g.</w:t>
      </w:r>
      <w:r w:rsidR="00EC49FA">
        <w:t>,</w:t>
      </w:r>
      <w:r>
        <w:t xml:space="preserve"> upstream for riverine discharges)</w:t>
      </w:r>
      <w:r w:rsidR="00BC64F6">
        <w:t>.</w:t>
      </w:r>
    </w:p>
    <w:p w14:paraId="74357D10" w14:textId="77777777" w:rsidR="00C20980" w:rsidRPr="001C408A" w:rsidRDefault="00C20980" w:rsidP="00C20980">
      <w:pPr>
        <w:pStyle w:val="ListParagraph"/>
        <w:ind w:left="1440"/>
      </w:pPr>
    </w:p>
    <w:p w14:paraId="0F602425" w14:textId="68377BF8" w:rsidR="00E72270" w:rsidRPr="0020291C" w:rsidRDefault="00E72270" w:rsidP="004B4930">
      <w:pPr>
        <w:pStyle w:val="Caption"/>
        <w:keepNext/>
        <w:keepLines/>
        <w:spacing w:after="120"/>
      </w:pPr>
      <w:bookmarkStart w:id="72" w:name="_Toc203135928"/>
      <w:r w:rsidRPr="0020291C">
        <w:t>Table B</w:t>
      </w:r>
      <w:r w:rsidR="00A24FB9">
        <w:t>4</w:t>
      </w:r>
      <w:r w:rsidRPr="0020291C">
        <w:t xml:space="preserve">: </w:t>
      </w:r>
      <w:r w:rsidR="00D742D9">
        <w:t>Receiving Stream Monitoring (</w:t>
      </w:r>
      <w:r w:rsidR="00D742D9" w:rsidRPr="00EC49FA">
        <w:rPr>
          <w:highlight w:val="yellow"/>
        </w:rPr>
        <w:t>waterbody name</w:t>
      </w:r>
      <w:r w:rsidR="00D742D9">
        <w:t>)</w:t>
      </w:r>
      <w:bookmarkEnd w:id="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071"/>
        <w:gridCol w:w="1622"/>
        <w:gridCol w:w="1350"/>
        <w:gridCol w:w="2018"/>
        <w:gridCol w:w="2270"/>
      </w:tblGrid>
      <w:tr w:rsidR="00D742D9" w:rsidRPr="001C59C3" w14:paraId="55EE3826" w14:textId="2099A42E" w:rsidTr="00A14E63">
        <w:trPr>
          <w:cantSplit/>
          <w:trHeight w:val="800"/>
          <w:tblHeader/>
          <w:jc w:val="center"/>
        </w:trPr>
        <w:tc>
          <w:tcPr>
            <w:tcW w:w="871" w:type="pct"/>
            <w:shd w:val="clear" w:color="auto" w:fill="D9D9D9"/>
            <w:vAlign w:val="center"/>
          </w:tcPr>
          <w:p w14:paraId="6B51073D" w14:textId="77777777" w:rsidR="00D742D9" w:rsidRPr="00B05613" w:rsidRDefault="00D742D9" w:rsidP="00D742D9">
            <w:pPr>
              <w:suppressAutoHyphens/>
              <w:jc w:val="center"/>
              <w:rPr>
                <w:rFonts w:ascii="Arial" w:hAnsi="Arial" w:cs="Arial"/>
                <w:b/>
                <w:szCs w:val="22"/>
              </w:rPr>
            </w:pPr>
            <w:r w:rsidRPr="00B05613">
              <w:rPr>
                <w:rFonts w:ascii="Arial" w:hAnsi="Arial" w:cs="Arial"/>
                <w:b/>
                <w:szCs w:val="22"/>
              </w:rPr>
              <w:t>Item or Parameter</w:t>
            </w:r>
          </w:p>
        </w:tc>
        <w:tc>
          <w:tcPr>
            <w:tcW w:w="531" w:type="pct"/>
            <w:shd w:val="clear" w:color="auto" w:fill="D9D9D9"/>
            <w:vAlign w:val="center"/>
          </w:tcPr>
          <w:p w14:paraId="1E8F9FC8" w14:textId="77777777" w:rsidR="00D742D9" w:rsidRPr="00B05613" w:rsidRDefault="00D742D9" w:rsidP="00D742D9">
            <w:pPr>
              <w:suppressAutoHyphens/>
              <w:jc w:val="center"/>
              <w:rPr>
                <w:rFonts w:ascii="Arial" w:hAnsi="Arial" w:cs="Arial"/>
                <w:b/>
                <w:szCs w:val="22"/>
              </w:rPr>
            </w:pPr>
            <w:r w:rsidRPr="00B05613">
              <w:rPr>
                <w:rFonts w:ascii="Arial" w:hAnsi="Arial" w:cs="Arial"/>
                <w:b/>
                <w:szCs w:val="22"/>
              </w:rPr>
              <w:t>Units</w:t>
            </w:r>
          </w:p>
        </w:tc>
        <w:tc>
          <w:tcPr>
            <w:tcW w:w="804" w:type="pct"/>
            <w:shd w:val="clear" w:color="auto" w:fill="D9D9D9"/>
            <w:vAlign w:val="center"/>
          </w:tcPr>
          <w:p w14:paraId="06F16F6F" w14:textId="77777777" w:rsidR="00D742D9" w:rsidRPr="00B05613" w:rsidRDefault="00D742D9" w:rsidP="00D742D9">
            <w:pPr>
              <w:suppressAutoHyphens/>
              <w:jc w:val="center"/>
              <w:rPr>
                <w:rFonts w:ascii="Arial" w:hAnsi="Arial" w:cs="Arial"/>
                <w:b/>
                <w:szCs w:val="22"/>
              </w:rPr>
            </w:pPr>
            <w:r w:rsidRPr="00B05613">
              <w:rPr>
                <w:rFonts w:ascii="Arial" w:hAnsi="Arial" w:cs="Arial"/>
                <w:b/>
                <w:szCs w:val="22"/>
              </w:rPr>
              <w:t>Time Period</w:t>
            </w:r>
          </w:p>
        </w:tc>
        <w:tc>
          <w:tcPr>
            <w:tcW w:w="669" w:type="pct"/>
            <w:shd w:val="clear" w:color="auto" w:fill="D9D9D9"/>
            <w:vAlign w:val="center"/>
          </w:tcPr>
          <w:p w14:paraId="774CBC81" w14:textId="23E3E8B3" w:rsidR="00D742D9" w:rsidRPr="00A24FB9" w:rsidRDefault="00D742D9" w:rsidP="00A24FB9">
            <w:pPr>
              <w:suppressAutoHyphens/>
              <w:jc w:val="center"/>
              <w:rPr>
                <w:rFonts w:ascii="Arial" w:hAnsi="Arial" w:cs="Arial"/>
                <w:b/>
                <w:szCs w:val="22"/>
              </w:rPr>
            </w:pPr>
            <w:r w:rsidRPr="00B05613">
              <w:rPr>
                <w:rFonts w:ascii="Arial" w:hAnsi="Arial" w:cs="Arial"/>
                <w:b/>
                <w:szCs w:val="22"/>
              </w:rPr>
              <w:t>Minimum Frequency</w:t>
            </w:r>
          </w:p>
        </w:tc>
        <w:tc>
          <w:tcPr>
            <w:tcW w:w="1000" w:type="pct"/>
            <w:shd w:val="clear" w:color="auto" w:fill="D9D9D9"/>
            <w:vAlign w:val="center"/>
          </w:tcPr>
          <w:p w14:paraId="0E9E611D" w14:textId="77777777" w:rsidR="00A24FB9" w:rsidRDefault="00D742D9" w:rsidP="00D742D9">
            <w:pPr>
              <w:suppressAutoHyphens/>
              <w:jc w:val="center"/>
              <w:rPr>
                <w:rFonts w:ascii="Arial" w:hAnsi="Arial" w:cs="Arial"/>
                <w:b/>
                <w:szCs w:val="22"/>
              </w:rPr>
            </w:pPr>
            <w:r w:rsidRPr="00B05613">
              <w:rPr>
                <w:rFonts w:ascii="Arial" w:hAnsi="Arial" w:cs="Arial"/>
                <w:b/>
                <w:szCs w:val="22"/>
              </w:rPr>
              <w:t>Sample Type</w:t>
            </w:r>
            <w:r>
              <w:rPr>
                <w:rFonts w:ascii="Arial" w:hAnsi="Arial" w:cs="Arial"/>
                <w:b/>
                <w:szCs w:val="22"/>
              </w:rPr>
              <w:t xml:space="preserve"> </w:t>
            </w:r>
            <w:r w:rsidRPr="00B05613">
              <w:rPr>
                <w:rFonts w:ascii="Arial" w:hAnsi="Arial" w:cs="Arial"/>
                <w:b/>
                <w:szCs w:val="22"/>
              </w:rPr>
              <w:t>/</w:t>
            </w:r>
          </w:p>
          <w:p w14:paraId="2A5718A8" w14:textId="77777777" w:rsidR="00D742D9" w:rsidRDefault="00D742D9" w:rsidP="00D742D9">
            <w:pPr>
              <w:suppressAutoHyphens/>
              <w:jc w:val="center"/>
              <w:rPr>
                <w:rFonts w:ascii="Arial" w:hAnsi="Arial" w:cs="Arial"/>
                <w:b/>
                <w:szCs w:val="22"/>
              </w:rPr>
            </w:pPr>
            <w:r w:rsidRPr="00B05613">
              <w:rPr>
                <w:rFonts w:ascii="Arial" w:hAnsi="Arial" w:cs="Arial"/>
                <w:b/>
                <w:szCs w:val="22"/>
              </w:rPr>
              <w:t>Required Action</w:t>
            </w:r>
          </w:p>
          <w:p w14:paraId="55E89021" w14:textId="164A4EE3" w:rsidR="00A24FB9" w:rsidRPr="00B05613" w:rsidRDefault="00122925" w:rsidP="00D742D9">
            <w:pPr>
              <w:suppressAutoHyphens/>
              <w:jc w:val="center"/>
              <w:rPr>
                <w:rFonts w:ascii="Arial" w:hAnsi="Arial" w:cs="Arial"/>
                <w:b/>
                <w:szCs w:val="22"/>
              </w:rPr>
            </w:pPr>
            <w:r>
              <w:rPr>
                <w:szCs w:val="22"/>
              </w:rPr>
              <w:t>(</w:t>
            </w:r>
            <w:r w:rsidR="00A24FB9" w:rsidRPr="00C8055E">
              <w:rPr>
                <w:szCs w:val="22"/>
              </w:rPr>
              <w:t xml:space="preserve">See note </w:t>
            </w:r>
            <w:r w:rsidR="005F780A">
              <w:rPr>
                <w:szCs w:val="22"/>
              </w:rPr>
              <w:t>a</w:t>
            </w:r>
            <w:r w:rsidR="00A24FB9" w:rsidRPr="00C8055E">
              <w:rPr>
                <w:szCs w:val="22"/>
              </w:rPr>
              <w:t>.</w:t>
            </w:r>
            <w:r>
              <w:rPr>
                <w:szCs w:val="22"/>
              </w:rPr>
              <w:t>)</w:t>
            </w:r>
          </w:p>
        </w:tc>
        <w:tc>
          <w:tcPr>
            <w:tcW w:w="1125" w:type="pct"/>
            <w:shd w:val="clear" w:color="auto" w:fill="D9D9D9"/>
            <w:vAlign w:val="center"/>
          </w:tcPr>
          <w:p w14:paraId="18AE7994" w14:textId="77777777" w:rsidR="00D742D9" w:rsidRDefault="00D742D9" w:rsidP="00D742D9">
            <w:pPr>
              <w:pStyle w:val="TableColumnHeading"/>
            </w:pPr>
            <w:r>
              <w:t>Report</w:t>
            </w:r>
            <w:r w:rsidRPr="00A30D47">
              <w:t xml:space="preserve"> Statistic</w:t>
            </w:r>
          </w:p>
          <w:p w14:paraId="413C2F2F" w14:textId="28227C4D" w:rsidR="00D742D9" w:rsidRPr="00D742D9" w:rsidRDefault="00122925" w:rsidP="00D742D9">
            <w:pPr>
              <w:suppressAutoHyphens/>
              <w:jc w:val="center"/>
              <w:rPr>
                <w:rFonts w:ascii="Arial" w:hAnsi="Arial" w:cs="Arial"/>
                <w:szCs w:val="22"/>
              </w:rPr>
            </w:pPr>
            <w:r>
              <w:t>(</w:t>
            </w:r>
            <w:r w:rsidR="00D742D9" w:rsidRPr="00D742D9">
              <w:t xml:space="preserve">See note </w:t>
            </w:r>
            <w:r w:rsidR="005F780A">
              <w:t>b</w:t>
            </w:r>
            <w:r w:rsidR="00D742D9" w:rsidRPr="00D742D9">
              <w:t>.</w:t>
            </w:r>
            <w:r>
              <w:t>)</w:t>
            </w:r>
          </w:p>
        </w:tc>
      </w:tr>
      <w:tr w:rsidR="00A24FB9" w:rsidRPr="001C59C3" w14:paraId="39C84396" w14:textId="5A77BB09" w:rsidTr="00A14E63">
        <w:trPr>
          <w:cantSplit/>
          <w:jc w:val="center"/>
        </w:trPr>
        <w:tc>
          <w:tcPr>
            <w:tcW w:w="871" w:type="pct"/>
            <w:tcBorders>
              <w:top w:val="single" w:sz="4" w:space="0" w:color="auto"/>
              <w:left w:val="single" w:sz="4" w:space="0" w:color="auto"/>
              <w:bottom w:val="single" w:sz="4" w:space="0" w:color="auto"/>
              <w:right w:val="single" w:sz="4" w:space="0" w:color="auto"/>
            </w:tcBorders>
          </w:tcPr>
          <w:p w14:paraId="2DBC8E0A" w14:textId="414FA87E" w:rsidR="00A24FB9" w:rsidRDefault="00A24FB9" w:rsidP="00A24FB9">
            <w:pPr>
              <w:suppressAutoHyphens/>
              <w:jc w:val="left"/>
              <w:rPr>
                <w:szCs w:val="22"/>
                <w:highlight w:val="yellow"/>
              </w:rPr>
            </w:pPr>
            <w:r>
              <w:rPr>
                <w:szCs w:val="22"/>
                <w:highlight w:val="yellow"/>
              </w:rPr>
              <w:t>Flow</w:t>
            </w:r>
            <w:r w:rsidR="00B2300D">
              <w:rPr>
                <w:szCs w:val="22"/>
                <w:highlight w:val="yellow"/>
              </w:rPr>
              <w:t>, stream</w:t>
            </w:r>
            <w:r w:rsidR="00833AB8">
              <w:rPr>
                <w:szCs w:val="22"/>
                <w:highlight w:val="yellow"/>
              </w:rPr>
              <w:t xml:space="preserve"> </w:t>
            </w:r>
          </w:p>
          <w:p w14:paraId="10DD232E" w14:textId="564336D0" w:rsidR="00833AB8" w:rsidRPr="00AD6B6B" w:rsidRDefault="00833AB8" w:rsidP="00A24FB9">
            <w:pPr>
              <w:suppressAutoHyphens/>
              <w:jc w:val="left"/>
              <w:rPr>
                <w:szCs w:val="22"/>
                <w:highlight w:val="yellow"/>
              </w:rPr>
            </w:pPr>
            <w:r>
              <w:rPr>
                <w:szCs w:val="22"/>
                <w:highlight w:val="yellow"/>
              </w:rPr>
              <w:t>(00056)</w:t>
            </w:r>
          </w:p>
        </w:tc>
        <w:tc>
          <w:tcPr>
            <w:tcW w:w="531" w:type="pct"/>
            <w:tcBorders>
              <w:top w:val="single" w:sz="4" w:space="0" w:color="auto"/>
              <w:left w:val="single" w:sz="4" w:space="0" w:color="auto"/>
              <w:bottom w:val="single" w:sz="4" w:space="0" w:color="auto"/>
              <w:right w:val="single" w:sz="4" w:space="0" w:color="auto"/>
            </w:tcBorders>
          </w:tcPr>
          <w:p w14:paraId="0E9B63CC" w14:textId="4DF9FA23" w:rsidR="00A24FB9" w:rsidRPr="00AD6B6B" w:rsidRDefault="00970DF0" w:rsidP="00A24FB9">
            <w:pPr>
              <w:suppressAutoHyphens/>
              <w:jc w:val="left"/>
              <w:rPr>
                <w:szCs w:val="22"/>
                <w:highlight w:val="yellow"/>
              </w:rPr>
            </w:pPr>
            <w:proofErr w:type="spellStart"/>
            <w:r>
              <w:rPr>
                <w:szCs w:val="22"/>
                <w:highlight w:val="yellow"/>
              </w:rPr>
              <w:t>cfs</w:t>
            </w:r>
            <w:proofErr w:type="spellEnd"/>
          </w:p>
        </w:tc>
        <w:tc>
          <w:tcPr>
            <w:tcW w:w="804" w:type="pct"/>
            <w:tcBorders>
              <w:top w:val="single" w:sz="4" w:space="0" w:color="auto"/>
              <w:left w:val="single" w:sz="4" w:space="0" w:color="auto"/>
              <w:bottom w:val="single" w:sz="4" w:space="0" w:color="auto"/>
              <w:right w:val="single" w:sz="4" w:space="0" w:color="auto"/>
            </w:tcBorders>
          </w:tcPr>
          <w:p w14:paraId="71AFE97E" w14:textId="53C879CB" w:rsidR="00A24FB9" w:rsidRPr="00AD6B6B" w:rsidRDefault="00A24FB9" w:rsidP="00A24FB9">
            <w:pPr>
              <w:suppressAutoHyphens/>
              <w:jc w:val="left"/>
              <w:rPr>
                <w:szCs w:val="22"/>
                <w:highlight w:val="yellow"/>
              </w:rPr>
            </w:pPr>
            <w:r w:rsidRPr="007D4BD9">
              <w:rPr>
                <w:szCs w:val="22"/>
                <w:highlight w:val="yellow"/>
              </w:rPr>
              <w:t>Year-round or seasonal (Example: Nov – May)</w:t>
            </w:r>
          </w:p>
        </w:tc>
        <w:tc>
          <w:tcPr>
            <w:tcW w:w="669" w:type="pct"/>
          </w:tcPr>
          <w:p w14:paraId="049D6F4D" w14:textId="4CF5484C" w:rsidR="00A24FB9" w:rsidRPr="00AD6B6B" w:rsidRDefault="00A24FB9" w:rsidP="00A24FB9">
            <w:pPr>
              <w:suppressAutoHyphens/>
              <w:jc w:val="left"/>
              <w:rPr>
                <w:szCs w:val="22"/>
                <w:highlight w:val="yellow"/>
              </w:rPr>
            </w:pPr>
            <w:r w:rsidRPr="00D74736">
              <w:rPr>
                <w:szCs w:val="22"/>
                <w:highlight w:val="yellow"/>
              </w:rPr>
              <w:t>1/month</w:t>
            </w:r>
          </w:p>
        </w:tc>
        <w:tc>
          <w:tcPr>
            <w:tcW w:w="1000" w:type="pct"/>
          </w:tcPr>
          <w:p w14:paraId="26C39F70" w14:textId="78E3667F" w:rsidR="00A24FB9" w:rsidRPr="00AD6B6B" w:rsidRDefault="00A24FB9" w:rsidP="00A24FB9">
            <w:pPr>
              <w:pStyle w:val="ListParagraph"/>
              <w:ind w:left="0"/>
            </w:pPr>
            <w:r w:rsidRPr="00D74736">
              <w:rPr>
                <w:highlight w:val="yellow"/>
              </w:rPr>
              <w:t>Grab</w:t>
            </w:r>
          </w:p>
        </w:tc>
        <w:tc>
          <w:tcPr>
            <w:tcW w:w="1125" w:type="pct"/>
          </w:tcPr>
          <w:p w14:paraId="3E4F2C73" w14:textId="11329096" w:rsidR="00A24FB9" w:rsidRPr="00AD6B6B" w:rsidDel="00D74736" w:rsidRDefault="00A24FB9" w:rsidP="00A24FB9">
            <w:pPr>
              <w:pStyle w:val="ListParagraph"/>
              <w:ind w:left="0"/>
              <w:rPr>
                <w:highlight w:val="yellow"/>
              </w:rPr>
            </w:pPr>
            <w:r w:rsidRPr="00D74736">
              <w:rPr>
                <w:highlight w:val="yellow"/>
              </w:rPr>
              <w:t>Monthly Maximum</w:t>
            </w:r>
          </w:p>
        </w:tc>
      </w:tr>
      <w:tr w:rsidR="00A24FB9" w:rsidRPr="001C59C3" w14:paraId="7E782C50" w14:textId="7E690BFE" w:rsidTr="00A14E63">
        <w:trPr>
          <w:cantSplit/>
          <w:jc w:val="center"/>
        </w:trPr>
        <w:tc>
          <w:tcPr>
            <w:tcW w:w="871" w:type="pct"/>
          </w:tcPr>
          <w:p w14:paraId="078A1742" w14:textId="77777777" w:rsidR="00A24FB9" w:rsidRDefault="00A24FB9" w:rsidP="00A24FB9">
            <w:pPr>
              <w:suppressAutoHyphens/>
              <w:jc w:val="left"/>
              <w:rPr>
                <w:spacing w:val="-3"/>
                <w:szCs w:val="22"/>
                <w:highlight w:val="yellow"/>
              </w:rPr>
            </w:pPr>
            <w:r>
              <w:rPr>
                <w:spacing w:val="-3"/>
                <w:szCs w:val="22"/>
                <w:highlight w:val="yellow"/>
              </w:rPr>
              <w:t>pH</w:t>
            </w:r>
          </w:p>
          <w:p w14:paraId="52D5984C" w14:textId="56C931F1" w:rsidR="00833AB8" w:rsidRPr="00AD6B6B" w:rsidRDefault="00833AB8" w:rsidP="00A24FB9">
            <w:pPr>
              <w:suppressAutoHyphens/>
              <w:jc w:val="left"/>
              <w:rPr>
                <w:spacing w:val="-3"/>
                <w:szCs w:val="22"/>
                <w:highlight w:val="yellow"/>
              </w:rPr>
            </w:pPr>
            <w:r>
              <w:rPr>
                <w:spacing w:val="-3"/>
                <w:szCs w:val="22"/>
                <w:highlight w:val="yellow"/>
              </w:rPr>
              <w:t>(00400)</w:t>
            </w:r>
          </w:p>
        </w:tc>
        <w:tc>
          <w:tcPr>
            <w:tcW w:w="531" w:type="pct"/>
          </w:tcPr>
          <w:p w14:paraId="67408E66" w14:textId="5C772DC0" w:rsidR="00A24FB9" w:rsidRPr="00AD6B6B" w:rsidRDefault="00A24FB9" w:rsidP="00A24FB9">
            <w:pPr>
              <w:suppressAutoHyphens/>
              <w:jc w:val="left"/>
              <w:rPr>
                <w:szCs w:val="22"/>
                <w:highlight w:val="yellow"/>
              </w:rPr>
            </w:pPr>
            <w:r>
              <w:rPr>
                <w:spacing w:val="-3"/>
                <w:szCs w:val="22"/>
                <w:highlight w:val="yellow"/>
              </w:rPr>
              <w:t>SU</w:t>
            </w:r>
          </w:p>
        </w:tc>
        <w:tc>
          <w:tcPr>
            <w:tcW w:w="804" w:type="pct"/>
          </w:tcPr>
          <w:p w14:paraId="4F8B68C2" w14:textId="304171C4" w:rsidR="00A24FB9" w:rsidRPr="00AD6B6B" w:rsidRDefault="00A24FB9" w:rsidP="00A24FB9">
            <w:pPr>
              <w:suppressAutoHyphens/>
              <w:jc w:val="left"/>
              <w:rPr>
                <w:szCs w:val="22"/>
                <w:highlight w:val="yellow"/>
              </w:rPr>
            </w:pPr>
            <w:r w:rsidRPr="007D4BD9">
              <w:rPr>
                <w:szCs w:val="22"/>
                <w:highlight w:val="yellow"/>
              </w:rPr>
              <w:t>Year-round or seasonal (Example: Nov – May)</w:t>
            </w:r>
          </w:p>
        </w:tc>
        <w:tc>
          <w:tcPr>
            <w:tcW w:w="669" w:type="pct"/>
          </w:tcPr>
          <w:p w14:paraId="323EB25E" w14:textId="59B62AEB" w:rsidR="00A24FB9" w:rsidRPr="00AD6B6B" w:rsidRDefault="00A24FB9" w:rsidP="00A24FB9">
            <w:pPr>
              <w:suppressAutoHyphens/>
              <w:jc w:val="left"/>
              <w:rPr>
                <w:szCs w:val="22"/>
                <w:highlight w:val="yellow"/>
              </w:rPr>
            </w:pPr>
            <w:r w:rsidRPr="00D74736">
              <w:rPr>
                <w:szCs w:val="22"/>
                <w:highlight w:val="yellow"/>
              </w:rPr>
              <w:t>1/month</w:t>
            </w:r>
          </w:p>
        </w:tc>
        <w:tc>
          <w:tcPr>
            <w:tcW w:w="1000" w:type="pct"/>
          </w:tcPr>
          <w:p w14:paraId="2A4D9C76" w14:textId="3C99547C" w:rsidR="00A24FB9" w:rsidRPr="00AD6B6B" w:rsidRDefault="00A24FB9" w:rsidP="00A24FB9">
            <w:pPr>
              <w:pStyle w:val="ListParagraph"/>
              <w:ind w:left="0"/>
              <w:rPr>
                <w:spacing w:val="-3"/>
              </w:rPr>
            </w:pPr>
            <w:r w:rsidRPr="00D74736">
              <w:rPr>
                <w:highlight w:val="yellow"/>
              </w:rPr>
              <w:t>Grab</w:t>
            </w:r>
          </w:p>
        </w:tc>
        <w:tc>
          <w:tcPr>
            <w:tcW w:w="1125" w:type="pct"/>
          </w:tcPr>
          <w:p w14:paraId="1EFE15C6" w14:textId="3815DA8C" w:rsidR="00A24FB9" w:rsidRPr="00AD6B6B" w:rsidDel="00D74736" w:rsidRDefault="00A24FB9" w:rsidP="00A24FB9">
            <w:pPr>
              <w:pStyle w:val="ListParagraph"/>
              <w:ind w:left="0"/>
              <w:rPr>
                <w:highlight w:val="yellow"/>
              </w:rPr>
            </w:pPr>
            <w:r w:rsidRPr="00D74736">
              <w:rPr>
                <w:highlight w:val="yellow"/>
              </w:rPr>
              <w:t>Monthly Maximum</w:t>
            </w:r>
          </w:p>
        </w:tc>
      </w:tr>
      <w:tr w:rsidR="00A24FB9" w:rsidRPr="001C59C3" w14:paraId="6A19DA15" w14:textId="14960235" w:rsidTr="00A14E63">
        <w:trPr>
          <w:cantSplit/>
          <w:jc w:val="center"/>
        </w:trPr>
        <w:tc>
          <w:tcPr>
            <w:tcW w:w="871" w:type="pct"/>
            <w:tcBorders>
              <w:top w:val="single" w:sz="4" w:space="0" w:color="auto"/>
              <w:left w:val="single" w:sz="4" w:space="0" w:color="auto"/>
              <w:bottom w:val="single" w:sz="4" w:space="0" w:color="auto"/>
              <w:right w:val="single" w:sz="4" w:space="0" w:color="auto"/>
            </w:tcBorders>
          </w:tcPr>
          <w:p w14:paraId="59FDCC0D" w14:textId="77777777" w:rsidR="00A24FB9" w:rsidRDefault="00A24FB9" w:rsidP="00A24FB9">
            <w:pPr>
              <w:suppressAutoHyphens/>
              <w:jc w:val="left"/>
              <w:rPr>
                <w:spacing w:val="-3"/>
                <w:szCs w:val="22"/>
                <w:highlight w:val="yellow"/>
              </w:rPr>
            </w:pPr>
            <w:r>
              <w:rPr>
                <w:spacing w:val="-3"/>
                <w:szCs w:val="22"/>
                <w:highlight w:val="yellow"/>
              </w:rPr>
              <w:t>Temperature</w:t>
            </w:r>
          </w:p>
          <w:p w14:paraId="6348E3E9" w14:textId="23FAE8A2" w:rsidR="00833AB8" w:rsidRPr="00AD6B6B" w:rsidRDefault="00833AB8" w:rsidP="00A24FB9">
            <w:pPr>
              <w:suppressAutoHyphens/>
              <w:jc w:val="left"/>
              <w:rPr>
                <w:spacing w:val="-3"/>
                <w:szCs w:val="22"/>
                <w:highlight w:val="yellow"/>
              </w:rPr>
            </w:pPr>
            <w:r>
              <w:rPr>
                <w:spacing w:val="-3"/>
                <w:szCs w:val="22"/>
                <w:highlight w:val="yellow"/>
              </w:rPr>
              <w:t>(00010)</w:t>
            </w:r>
          </w:p>
        </w:tc>
        <w:tc>
          <w:tcPr>
            <w:tcW w:w="531" w:type="pct"/>
            <w:tcBorders>
              <w:top w:val="single" w:sz="4" w:space="0" w:color="auto"/>
              <w:left w:val="single" w:sz="4" w:space="0" w:color="auto"/>
              <w:bottom w:val="single" w:sz="4" w:space="0" w:color="auto"/>
              <w:right w:val="single" w:sz="4" w:space="0" w:color="auto"/>
            </w:tcBorders>
          </w:tcPr>
          <w:p w14:paraId="7E5C3C61" w14:textId="129CC86B" w:rsidR="00A24FB9" w:rsidRPr="00AD6B6B" w:rsidRDefault="00A24FB9" w:rsidP="00A24FB9">
            <w:pPr>
              <w:suppressAutoHyphens/>
              <w:jc w:val="left"/>
              <w:rPr>
                <w:szCs w:val="22"/>
                <w:highlight w:val="yellow"/>
              </w:rPr>
            </w:pPr>
            <w:r w:rsidRPr="00D74736">
              <w:rPr>
                <w:szCs w:val="22"/>
                <w:highlight w:val="yellow"/>
              </w:rPr>
              <w:t>ºC</w:t>
            </w:r>
            <w:r w:rsidRPr="00AD6B6B" w:rsidDel="00D74736">
              <w:rPr>
                <w:spacing w:val="-3"/>
                <w:szCs w:val="22"/>
                <w:highlight w:val="yellow"/>
              </w:rPr>
              <w:t xml:space="preserve"> </w:t>
            </w:r>
          </w:p>
        </w:tc>
        <w:tc>
          <w:tcPr>
            <w:tcW w:w="804" w:type="pct"/>
            <w:tcBorders>
              <w:top w:val="single" w:sz="4" w:space="0" w:color="auto"/>
              <w:left w:val="single" w:sz="4" w:space="0" w:color="auto"/>
              <w:bottom w:val="single" w:sz="4" w:space="0" w:color="auto"/>
              <w:right w:val="single" w:sz="4" w:space="0" w:color="auto"/>
            </w:tcBorders>
          </w:tcPr>
          <w:p w14:paraId="1CFAC413" w14:textId="23E81769" w:rsidR="00A24FB9" w:rsidRPr="00AD6B6B" w:rsidRDefault="00A24FB9" w:rsidP="00A24FB9">
            <w:pPr>
              <w:suppressAutoHyphens/>
              <w:jc w:val="left"/>
              <w:rPr>
                <w:szCs w:val="22"/>
                <w:highlight w:val="yellow"/>
              </w:rPr>
            </w:pPr>
            <w:r w:rsidRPr="007D4BD9">
              <w:rPr>
                <w:szCs w:val="22"/>
                <w:highlight w:val="yellow"/>
              </w:rPr>
              <w:t>Year-round or seasonal (Example: Nov – May)</w:t>
            </w:r>
          </w:p>
        </w:tc>
        <w:tc>
          <w:tcPr>
            <w:tcW w:w="669" w:type="pct"/>
          </w:tcPr>
          <w:p w14:paraId="5B40C732" w14:textId="19D6CB26" w:rsidR="00A24FB9" w:rsidRPr="00AD6B6B" w:rsidRDefault="00A24FB9" w:rsidP="00A24FB9">
            <w:pPr>
              <w:suppressAutoHyphens/>
              <w:jc w:val="left"/>
              <w:rPr>
                <w:szCs w:val="22"/>
                <w:highlight w:val="yellow"/>
              </w:rPr>
            </w:pPr>
            <w:r w:rsidRPr="00D74736">
              <w:rPr>
                <w:szCs w:val="22"/>
                <w:highlight w:val="yellow"/>
              </w:rPr>
              <w:t>1/month</w:t>
            </w:r>
          </w:p>
        </w:tc>
        <w:tc>
          <w:tcPr>
            <w:tcW w:w="1000" w:type="pct"/>
          </w:tcPr>
          <w:p w14:paraId="5F26AF24" w14:textId="603C2687" w:rsidR="00A24FB9" w:rsidRPr="00AD6B6B" w:rsidRDefault="00A24FB9" w:rsidP="00A24FB9">
            <w:pPr>
              <w:pStyle w:val="ListParagraph"/>
              <w:ind w:left="0"/>
            </w:pPr>
            <w:r w:rsidRPr="00D74736">
              <w:rPr>
                <w:highlight w:val="yellow"/>
              </w:rPr>
              <w:t>Grab</w:t>
            </w:r>
          </w:p>
        </w:tc>
        <w:tc>
          <w:tcPr>
            <w:tcW w:w="1125" w:type="pct"/>
          </w:tcPr>
          <w:p w14:paraId="59DF6459" w14:textId="6F8432EA" w:rsidR="00A24FB9" w:rsidRPr="00AD6B6B" w:rsidDel="00D74736" w:rsidRDefault="00A24FB9" w:rsidP="00A24FB9">
            <w:pPr>
              <w:pStyle w:val="ListParagraph"/>
              <w:ind w:left="0"/>
              <w:rPr>
                <w:highlight w:val="yellow"/>
              </w:rPr>
            </w:pPr>
            <w:r w:rsidRPr="00D74736">
              <w:rPr>
                <w:highlight w:val="yellow"/>
              </w:rPr>
              <w:t>Monthly Maximum</w:t>
            </w:r>
          </w:p>
        </w:tc>
      </w:tr>
      <w:tr w:rsidR="00A24FB9" w:rsidRPr="001C59C3" w14:paraId="446CE970" w14:textId="6A1993E7" w:rsidTr="00A14E63">
        <w:trPr>
          <w:cantSplit/>
          <w:trHeight w:val="170"/>
          <w:jc w:val="center"/>
        </w:trPr>
        <w:tc>
          <w:tcPr>
            <w:tcW w:w="871" w:type="pct"/>
            <w:shd w:val="clear" w:color="auto" w:fill="auto"/>
          </w:tcPr>
          <w:p w14:paraId="19571829" w14:textId="77777777" w:rsidR="00A24FB9" w:rsidRPr="00A24FB9" w:rsidRDefault="00A24FB9" w:rsidP="00A24FB9">
            <w:pPr>
              <w:suppressAutoHyphens/>
              <w:jc w:val="left"/>
              <w:rPr>
                <w:spacing w:val="-3"/>
                <w:szCs w:val="22"/>
                <w:highlight w:val="yellow"/>
              </w:rPr>
            </w:pPr>
            <w:r w:rsidRPr="00A24FB9">
              <w:rPr>
                <w:spacing w:val="-3"/>
                <w:szCs w:val="22"/>
                <w:highlight w:val="yellow"/>
              </w:rPr>
              <w:t>Alkalinity as CaCO</w:t>
            </w:r>
            <w:r w:rsidRPr="00A24FB9">
              <w:rPr>
                <w:spacing w:val="-3"/>
                <w:szCs w:val="22"/>
                <w:highlight w:val="yellow"/>
                <w:vertAlign w:val="subscript"/>
              </w:rPr>
              <w:t>3</w:t>
            </w:r>
            <w:r w:rsidRPr="00A24FB9">
              <w:rPr>
                <w:spacing w:val="-3"/>
                <w:szCs w:val="22"/>
                <w:highlight w:val="yellow"/>
              </w:rPr>
              <w:t xml:space="preserve"> </w:t>
            </w:r>
          </w:p>
          <w:p w14:paraId="7CD047F1" w14:textId="31CE9A20" w:rsidR="00A24FB9" w:rsidRPr="00AD6B6B" w:rsidRDefault="00A24FB9" w:rsidP="00A24FB9">
            <w:pPr>
              <w:suppressAutoHyphens/>
              <w:jc w:val="left"/>
              <w:rPr>
                <w:szCs w:val="22"/>
              </w:rPr>
            </w:pPr>
            <w:r w:rsidRPr="00A24FB9">
              <w:rPr>
                <w:spacing w:val="-3"/>
                <w:szCs w:val="22"/>
                <w:highlight w:val="yellow"/>
              </w:rPr>
              <w:t>(00410)</w:t>
            </w:r>
          </w:p>
        </w:tc>
        <w:tc>
          <w:tcPr>
            <w:tcW w:w="531" w:type="pct"/>
          </w:tcPr>
          <w:p w14:paraId="5D64F377" w14:textId="5DFB972A" w:rsidR="00A24FB9" w:rsidRPr="00AD6B6B" w:rsidRDefault="00A24FB9" w:rsidP="00A24FB9">
            <w:pPr>
              <w:suppressAutoHyphens/>
              <w:jc w:val="left"/>
              <w:rPr>
                <w:szCs w:val="22"/>
              </w:rPr>
            </w:pPr>
            <w:r w:rsidRPr="00D74736">
              <w:rPr>
                <w:szCs w:val="22"/>
                <w:highlight w:val="yellow"/>
              </w:rPr>
              <w:t>mg/L</w:t>
            </w:r>
          </w:p>
        </w:tc>
        <w:tc>
          <w:tcPr>
            <w:tcW w:w="804" w:type="pct"/>
          </w:tcPr>
          <w:p w14:paraId="04DD1372" w14:textId="184FE81E" w:rsidR="00A24FB9" w:rsidRPr="00AD6B6B" w:rsidRDefault="00A24FB9" w:rsidP="00A24FB9">
            <w:pPr>
              <w:suppressAutoHyphens/>
              <w:jc w:val="left"/>
              <w:rPr>
                <w:szCs w:val="22"/>
              </w:rPr>
            </w:pPr>
            <w:r w:rsidRPr="007D4BD9">
              <w:rPr>
                <w:szCs w:val="22"/>
                <w:highlight w:val="yellow"/>
              </w:rPr>
              <w:t>Year-round or seasonal (Example: Nov – May)</w:t>
            </w:r>
          </w:p>
        </w:tc>
        <w:tc>
          <w:tcPr>
            <w:tcW w:w="669" w:type="pct"/>
          </w:tcPr>
          <w:p w14:paraId="303FAF84" w14:textId="4C887A60" w:rsidR="00A24FB9" w:rsidRPr="00AD6B6B" w:rsidRDefault="00A24FB9" w:rsidP="00A24FB9">
            <w:pPr>
              <w:suppressAutoHyphens/>
              <w:jc w:val="left"/>
              <w:rPr>
                <w:szCs w:val="22"/>
              </w:rPr>
            </w:pPr>
            <w:r w:rsidRPr="00D74736">
              <w:rPr>
                <w:szCs w:val="22"/>
                <w:highlight w:val="yellow"/>
              </w:rPr>
              <w:t>1/month</w:t>
            </w:r>
          </w:p>
        </w:tc>
        <w:tc>
          <w:tcPr>
            <w:tcW w:w="1000" w:type="pct"/>
          </w:tcPr>
          <w:p w14:paraId="163D3026" w14:textId="2ACB868C" w:rsidR="00A24FB9" w:rsidRPr="00AD6B6B" w:rsidRDefault="00A24FB9" w:rsidP="00A24FB9">
            <w:pPr>
              <w:jc w:val="left"/>
              <w:rPr>
                <w:szCs w:val="22"/>
              </w:rPr>
            </w:pPr>
            <w:r w:rsidRPr="00D74736">
              <w:rPr>
                <w:szCs w:val="22"/>
                <w:highlight w:val="yellow"/>
              </w:rPr>
              <w:t>Grab</w:t>
            </w:r>
          </w:p>
        </w:tc>
        <w:tc>
          <w:tcPr>
            <w:tcW w:w="1125" w:type="pct"/>
          </w:tcPr>
          <w:p w14:paraId="724C027F" w14:textId="6295F9B9" w:rsidR="00A24FB9" w:rsidRPr="00AD6B6B" w:rsidDel="00D74736" w:rsidRDefault="00A24FB9" w:rsidP="00A24FB9">
            <w:pPr>
              <w:jc w:val="left"/>
              <w:rPr>
                <w:szCs w:val="22"/>
              </w:rPr>
            </w:pPr>
            <w:r w:rsidRPr="00D74736">
              <w:rPr>
                <w:rFonts w:eastAsia="Calibri"/>
                <w:szCs w:val="22"/>
                <w:highlight w:val="yellow"/>
              </w:rPr>
              <w:t>Monthly Maximum</w:t>
            </w:r>
          </w:p>
        </w:tc>
      </w:tr>
      <w:tr w:rsidR="00A24FB9" w:rsidRPr="001C59C3" w14:paraId="4AF445D3" w14:textId="6908AC75" w:rsidTr="00A14E63">
        <w:trPr>
          <w:cantSplit/>
          <w:jc w:val="center"/>
        </w:trPr>
        <w:tc>
          <w:tcPr>
            <w:tcW w:w="871" w:type="pct"/>
          </w:tcPr>
          <w:p w14:paraId="21443A0B" w14:textId="5CF5823F" w:rsidR="00A24FB9" w:rsidRPr="00AD6B6B" w:rsidRDefault="00A24FB9" w:rsidP="00A24FB9">
            <w:pPr>
              <w:suppressAutoHyphens/>
              <w:jc w:val="left"/>
              <w:rPr>
                <w:szCs w:val="22"/>
              </w:rPr>
            </w:pPr>
            <w:r w:rsidRPr="00A24FB9">
              <w:rPr>
                <w:szCs w:val="22"/>
                <w:highlight w:val="yellow"/>
              </w:rPr>
              <w:t>Add parameters as needed</w:t>
            </w:r>
          </w:p>
        </w:tc>
        <w:tc>
          <w:tcPr>
            <w:tcW w:w="531" w:type="pct"/>
          </w:tcPr>
          <w:p w14:paraId="51736EFE" w14:textId="51929F79" w:rsidR="00A24FB9" w:rsidRPr="00AD6B6B" w:rsidRDefault="00A24FB9" w:rsidP="00A24FB9">
            <w:pPr>
              <w:suppressAutoHyphens/>
              <w:jc w:val="left"/>
              <w:rPr>
                <w:szCs w:val="22"/>
              </w:rPr>
            </w:pPr>
          </w:p>
        </w:tc>
        <w:tc>
          <w:tcPr>
            <w:tcW w:w="804" w:type="pct"/>
          </w:tcPr>
          <w:p w14:paraId="5475EC8D" w14:textId="1C74FBA0" w:rsidR="00A24FB9" w:rsidRPr="00AD6B6B" w:rsidRDefault="00A24FB9" w:rsidP="00A24FB9">
            <w:pPr>
              <w:suppressAutoHyphens/>
              <w:jc w:val="left"/>
              <w:rPr>
                <w:szCs w:val="22"/>
              </w:rPr>
            </w:pPr>
            <w:r w:rsidRPr="007D4BD9">
              <w:rPr>
                <w:szCs w:val="22"/>
                <w:highlight w:val="yellow"/>
              </w:rPr>
              <w:t>Year-round or seasonal (Example: Nov – May)</w:t>
            </w:r>
          </w:p>
        </w:tc>
        <w:tc>
          <w:tcPr>
            <w:tcW w:w="669" w:type="pct"/>
          </w:tcPr>
          <w:p w14:paraId="4B00B4BD" w14:textId="4EE5E2E5" w:rsidR="00A24FB9" w:rsidRPr="00AD6B6B" w:rsidRDefault="00A24FB9" w:rsidP="00A24FB9">
            <w:pPr>
              <w:jc w:val="left"/>
              <w:rPr>
                <w:szCs w:val="22"/>
              </w:rPr>
            </w:pPr>
            <w:r w:rsidRPr="00D74736">
              <w:rPr>
                <w:szCs w:val="22"/>
                <w:highlight w:val="yellow"/>
              </w:rPr>
              <w:t>1/month</w:t>
            </w:r>
          </w:p>
        </w:tc>
        <w:tc>
          <w:tcPr>
            <w:tcW w:w="1000" w:type="pct"/>
          </w:tcPr>
          <w:p w14:paraId="7522967E" w14:textId="643E46C0" w:rsidR="00A24FB9" w:rsidRPr="00AD6B6B" w:rsidRDefault="00A24FB9" w:rsidP="00A24FB9">
            <w:pPr>
              <w:jc w:val="left"/>
              <w:rPr>
                <w:szCs w:val="22"/>
              </w:rPr>
            </w:pPr>
            <w:r w:rsidRPr="00D74736">
              <w:rPr>
                <w:szCs w:val="22"/>
                <w:highlight w:val="yellow"/>
              </w:rPr>
              <w:t>Grab</w:t>
            </w:r>
          </w:p>
        </w:tc>
        <w:tc>
          <w:tcPr>
            <w:tcW w:w="1125" w:type="pct"/>
          </w:tcPr>
          <w:p w14:paraId="0CCCFB1E" w14:textId="6EBBBC87" w:rsidR="00A24FB9" w:rsidRPr="00AD6B6B" w:rsidDel="00D74736" w:rsidRDefault="00A24FB9" w:rsidP="00A24FB9">
            <w:pPr>
              <w:jc w:val="left"/>
              <w:rPr>
                <w:szCs w:val="22"/>
              </w:rPr>
            </w:pPr>
            <w:r w:rsidRPr="00D74736">
              <w:rPr>
                <w:rFonts w:eastAsia="Calibri"/>
                <w:szCs w:val="22"/>
                <w:highlight w:val="yellow"/>
              </w:rPr>
              <w:t>Monthly Maximum</w:t>
            </w:r>
          </w:p>
        </w:tc>
      </w:tr>
      <w:tr w:rsidR="00A24FB9" w:rsidRPr="001C59C3" w14:paraId="42AF87BC" w14:textId="45CC521C" w:rsidTr="00A14E63">
        <w:trPr>
          <w:cantSplit/>
          <w:jc w:val="center"/>
        </w:trPr>
        <w:tc>
          <w:tcPr>
            <w:tcW w:w="5000" w:type="pct"/>
            <w:gridSpan w:val="6"/>
          </w:tcPr>
          <w:p w14:paraId="7212A720" w14:textId="48B22263" w:rsidR="00A24FB9" w:rsidRPr="004B4930" w:rsidRDefault="00A24FB9" w:rsidP="00FB0C37">
            <w:pPr>
              <w:keepNext/>
              <w:keepLines/>
              <w:spacing w:after="60"/>
              <w:jc w:val="left"/>
              <w:rPr>
                <w:rFonts w:eastAsia="Calibri"/>
                <w:spacing w:val="-3"/>
                <w:szCs w:val="22"/>
              </w:rPr>
            </w:pPr>
            <w:r w:rsidRPr="004B4930">
              <w:rPr>
                <w:rFonts w:eastAsia="Calibri"/>
                <w:spacing w:val="-3"/>
                <w:szCs w:val="22"/>
              </w:rPr>
              <w:t>Note</w:t>
            </w:r>
            <w:r w:rsidR="00122925">
              <w:rPr>
                <w:rFonts w:eastAsia="Calibri"/>
                <w:spacing w:val="-3"/>
                <w:szCs w:val="22"/>
              </w:rPr>
              <w:t>s</w:t>
            </w:r>
            <w:r w:rsidRPr="004B4930">
              <w:rPr>
                <w:rFonts w:eastAsia="Calibri"/>
                <w:spacing w:val="-3"/>
                <w:szCs w:val="22"/>
              </w:rPr>
              <w:t xml:space="preserve">: </w:t>
            </w:r>
          </w:p>
          <w:p w14:paraId="503E097E" w14:textId="26FBABA1" w:rsidR="0056025E" w:rsidRPr="005A29C6" w:rsidRDefault="0056025E" w:rsidP="00FB0C37">
            <w:pPr>
              <w:pStyle w:val="ListParagraph"/>
              <w:numPr>
                <w:ilvl w:val="0"/>
                <w:numId w:val="32"/>
              </w:numPr>
              <w:spacing w:after="60"/>
              <w:ind w:left="360"/>
              <w:contextualSpacing w:val="0"/>
              <w:rPr>
                <w:rFonts w:eastAsia="Times New Roman"/>
                <w:lang w:val="en-CA"/>
              </w:rPr>
            </w:pPr>
            <w:r w:rsidRPr="00EB552D">
              <w:rPr>
                <w:rFonts w:eastAsia="Times New Roman"/>
                <w:lang w:val="en-CA"/>
              </w:rPr>
              <w:t xml:space="preserve">In the event of equipment failure or loss, the permittee must notify DEQ and deploy new equipment to minimize interruption of data collection. If new equipment cannot be immediately deployed, </w:t>
            </w:r>
            <w:r>
              <w:rPr>
                <w:rFonts w:eastAsia="Times New Roman"/>
                <w:lang w:val="en-CA"/>
              </w:rPr>
              <w:t>the p</w:t>
            </w:r>
            <w:r w:rsidRPr="00EB552D">
              <w:rPr>
                <w:rFonts w:eastAsia="Times New Roman"/>
                <w:lang w:val="en-CA"/>
              </w:rPr>
              <w:t>ermittee must</w:t>
            </w:r>
            <w:r>
              <w:rPr>
                <w:rFonts w:eastAsia="Times New Roman"/>
                <w:lang w:val="en-CA"/>
              </w:rPr>
              <w:t xml:space="preserve"> perform</w:t>
            </w:r>
            <w:r w:rsidRPr="00EB552D">
              <w:rPr>
                <w:rFonts w:eastAsia="Times New Roman"/>
                <w:lang w:val="en-CA"/>
              </w:rPr>
              <w:t xml:space="preserve"> grab measurements</w:t>
            </w:r>
            <w:r>
              <w:rPr>
                <w:rFonts w:eastAsia="Times New Roman"/>
                <w:lang w:val="en-CA"/>
              </w:rPr>
              <w:t>. If the failure or loss is for continuous temperature monitoring equipment, the permittee must perform grab measurements</w:t>
            </w:r>
            <w:r w:rsidRPr="00EB552D">
              <w:rPr>
                <w:rFonts w:eastAsia="Times New Roman"/>
                <w:lang w:val="en-CA"/>
              </w:rPr>
              <w:t xml:space="preserve"> daily between </w:t>
            </w:r>
            <w:r w:rsidR="00F6392B">
              <w:rPr>
                <w:rFonts w:eastAsia="Times New Roman"/>
                <w:lang w:val="en-CA"/>
              </w:rPr>
              <w:t>1</w:t>
            </w:r>
            <w:r>
              <w:rPr>
                <w:rFonts w:eastAsia="Times New Roman"/>
                <w:lang w:val="en-CA"/>
              </w:rPr>
              <w:t>2 PM</w:t>
            </w:r>
            <w:r w:rsidRPr="00EB552D">
              <w:rPr>
                <w:rFonts w:eastAsia="Times New Roman"/>
                <w:lang w:val="en-CA"/>
              </w:rPr>
              <w:t xml:space="preserve"> and </w:t>
            </w:r>
            <w:r w:rsidR="00F6392B">
              <w:rPr>
                <w:rFonts w:eastAsia="Times New Roman"/>
                <w:lang w:val="en-CA"/>
              </w:rPr>
              <w:t xml:space="preserve">5 </w:t>
            </w:r>
            <w:r>
              <w:rPr>
                <w:rFonts w:eastAsia="Times New Roman"/>
                <w:lang w:val="en-CA"/>
              </w:rPr>
              <w:t>PM</w:t>
            </w:r>
            <w:r w:rsidRPr="00EB552D">
              <w:rPr>
                <w:rFonts w:eastAsia="Times New Roman"/>
                <w:lang w:val="en-CA"/>
              </w:rPr>
              <w:t xml:space="preserve"> until</w:t>
            </w:r>
            <w:r>
              <w:rPr>
                <w:rFonts w:eastAsia="Times New Roman"/>
                <w:lang w:val="en-CA"/>
              </w:rPr>
              <w:t xml:space="preserve"> continuous</w:t>
            </w:r>
            <w:r w:rsidRPr="00EB552D">
              <w:rPr>
                <w:rFonts w:eastAsia="Times New Roman"/>
                <w:lang w:val="en-CA"/>
              </w:rPr>
              <w:t xml:space="preserve"> monitoring equipment is redeployed.</w:t>
            </w:r>
          </w:p>
          <w:p w14:paraId="5C63B9E3" w14:textId="43A6E888" w:rsidR="005B0FC7" w:rsidRPr="005B0FC7" w:rsidRDefault="007B03B5" w:rsidP="00FB0C37">
            <w:pPr>
              <w:pStyle w:val="ListParagraph"/>
              <w:numPr>
                <w:ilvl w:val="0"/>
                <w:numId w:val="32"/>
              </w:numPr>
              <w:spacing w:after="60"/>
              <w:ind w:left="360"/>
              <w:contextualSpacing w:val="0"/>
              <w:rPr>
                <w:rFonts w:eastAsia="Times New Roman"/>
              </w:rPr>
            </w:pPr>
            <w:r w:rsidRPr="005B18FC">
              <w:rPr>
                <w:rFonts w:eastAsia="Times New Roman"/>
              </w:rPr>
              <w:t xml:space="preserve">When submitting DMRs electronically, all data used to determine summary statistics </w:t>
            </w:r>
            <w:r w:rsidR="005F780A">
              <w:rPr>
                <w:rFonts w:eastAsia="Times New Roman"/>
              </w:rPr>
              <w:t>must</w:t>
            </w:r>
            <w:r w:rsidRPr="005B18FC">
              <w:rPr>
                <w:rFonts w:eastAsia="Times New Roman"/>
              </w:rPr>
              <w:t xml:space="preserve"> be submitted in a DEQ</w:t>
            </w:r>
            <w:r w:rsidR="00122925">
              <w:rPr>
                <w:rFonts w:eastAsia="Times New Roman"/>
              </w:rPr>
              <w:t>-</w:t>
            </w:r>
            <w:r w:rsidRPr="005B18FC">
              <w:rPr>
                <w:rFonts w:eastAsia="Times New Roman"/>
              </w:rPr>
              <w:t>approved format as a</w:t>
            </w:r>
            <w:r w:rsidR="005452EE">
              <w:rPr>
                <w:rFonts w:eastAsia="Times New Roman"/>
              </w:rPr>
              <w:t xml:space="preserve"> spreadsheet</w:t>
            </w:r>
            <w:r w:rsidRPr="005B18FC">
              <w:rPr>
                <w:rFonts w:eastAsia="Times New Roman"/>
              </w:rPr>
              <w:t xml:space="preserve"> </w:t>
            </w:r>
            <w:r w:rsidR="00AD0C45">
              <w:rPr>
                <w:rFonts w:eastAsia="Times New Roman"/>
              </w:rPr>
              <w:t>via electronic reporting</w:t>
            </w:r>
            <w:r w:rsidRPr="005B18FC">
              <w:rPr>
                <w:rFonts w:eastAsia="Times New Roman"/>
              </w:rPr>
              <w:t xml:space="preserve"> unless otherwise directed by DEQ. </w:t>
            </w:r>
          </w:p>
          <w:p w14:paraId="4A76CEE4" w14:textId="4B3806D7" w:rsidR="00A24FB9" w:rsidRPr="00FB0C37" w:rsidRDefault="00A24FB9" w:rsidP="00FB0C37">
            <w:pPr>
              <w:spacing w:after="120"/>
              <w:rPr>
                <w:spacing w:val="-3"/>
              </w:rPr>
            </w:pPr>
          </w:p>
        </w:tc>
      </w:tr>
    </w:tbl>
    <w:p w14:paraId="561613BD" w14:textId="77777777" w:rsidR="00AD6B6B" w:rsidRDefault="00AD6B6B" w:rsidP="00E352A9">
      <w:pPr>
        <w:pStyle w:val="PermitNormal"/>
      </w:pPr>
      <w:bookmarkStart w:id="73" w:name="_Toc378605449"/>
      <w:bookmarkStart w:id="74" w:name="_Ref326272307"/>
    </w:p>
    <w:bookmarkEnd w:id="73"/>
    <w:p w14:paraId="34F0D843" w14:textId="3858C83C" w:rsidR="00233394" w:rsidRPr="0092281E" w:rsidRDefault="00073356" w:rsidP="00036E71">
      <w:pPr>
        <w:pStyle w:val="Caption"/>
        <w:keepNext/>
        <w:keepLines/>
        <w:spacing w:after="120"/>
      </w:pPr>
      <w:r w:rsidRPr="0092281E">
        <w:t xml:space="preserve"> </w:t>
      </w:r>
    </w:p>
    <w:p w14:paraId="4E82C71F" w14:textId="77777777" w:rsidR="00233394" w:rsidRDefault="00233394"/>
    <w:p w14:paraId="28D4FC43" w14:textId="2C4C9D55" w:rsidR="00B35520" w:rsidRPr="005B18FC" w:rsidRDefault="00B35520" w:rsidP="00432386">
      <w:pPr>
        <w:pStyle w:val="Caption"/>
        <w:keepNext/>
        <w:keepLines/>
        <w:spacing w:after="120"/>
        <w:jc w:val="both"/>
        <w:rPr>
          <w:highlight w:val="cyan"/>
        </w:rPr>
      </w:pPr>
      <w:bookmarkStart w:id="75" w:name="_Toc378605450"/>
    </w:p>
    <w:p w14:paraId="7D420872" w14:textId="77777777" w:rsidR="002B3B0A" w:rsidRPr="005B18FC" w:rsidRDefault="002B3B0A">
      <w:pPr>
        <w:pStyle w:val="PermitNormal"/>
        <w:rPr>
          <w:highlight w:val="cyan"/>
        </w:rPr>
      </w:pPr>
    </w:p>
    <w:p w14:paraId="0203B06A" w14:textId="77777777" w:rsidR="00BA093C" w:rsidRDefault="00BA093C">
      <w:pPr>
        <w:pStyle w:val="PermitNormal"/>
      </w:pPr>
    </w:p>
    <w:bookmarkEnd w:id="74"/>
    <w:bookmarkEnd w:id="75"/>
    <w:p w14:paraId="281D4B77" w14:textId="3F429C50" w:rsidR="00A43B5B" w:rsidRDefault="00A43B5B">
      <w:pPr>
        <w:jc w:val="left"/>
      </w:pPr>
    </w:p>
    <w:p w14:paraId="0D74606B" w14:textId="7EDEECBE" w:rsidR="00283005" w:rsidRPr="005B18FC" w:rsidRDefault="00283005" w:rsidP="00283005">
      <w:pPr>
        <w:pStyle w:val="PermitNormal"/>
        <w:keepNext/>
        <w:keepLines/>
        <w:ind w:left="720"/>
        <w:rPr>
          <w:i/>
          <w:highlight w:val="cyan"/>
        </w:rPr>
      </w:pPr>
      <w:bookmarkStart w:id="76" w:name="_Ref326265599"/>
      <w:bookmarkStart w:id="77" w:name="_Ref328669539"/>
      <w:bookmarkStart w:id="78" w:name="_Toc378775959"/>
      <w:r>
        <w:rPr>
          <w:highlight w:val="cyan"/>
        </w:rPr>
        <w:lastRenderedPageBreak/>
        <w:t xml:space="preserve"> </w:t>
      </w:r>
    </w:p>
    <w:p w14:paraId="27F190C8" w14:textId="048EB19C" w:rsidR="00233394" w:rsidRPr="000251C6" w:rsidRDefault="00073356" w:rsidP="00600027">
      <w:pPr>
        <w:pStyle w:val="Caption"/>
        <w:spacing w:after="120"/>
        <w:rPr>
          <w:highlight w:val="cyan"/>
        </w:rPr>
      </w:pPr>
      <w:bookmarkStart w:id="79" w:name="_Ref326258303"/>
      <w:bookmarkEnd w:id="76"/>
      <w:bookmarkEnd w:id="77"/>
      <w:bookmarkEnd w:id="78"/>
      <w:r w:rsidRPr="000251C6">
        <w:rPr>
          <w:highlight w:val="cyan"/>
        </w:rPr>
        <w:t xml:space="preserve"> </w:t>
      </w:r>
      <w:bookmarkEnd w:id="79"/>
    </w:p>
    <w:p w14:paraId="4144FA39" w14:textId="77777777" w:rsidR="00233394" w:rsidRDefault="00233394">
      <w:pPr>
        <w:pStyle w:val="ListParagraph"/>
      </w:pPr>
    </w:p>
    <w:p w14:paraId="0E9AF84F" w14:textId="77777777" w:rsidR="000022FE" w:rsidRDefault="000022FE" w:rsidP="000022FE">
      <w:pPr>
        <w:pStyle w:val="PermitHanging1TOC"/>
        <w:keepNext w:val="0"/>
      </w:pPr>
      <w:bookmarkStart w:id="80" w:name="_Toc528585780"/>
      <w:bookmarkStart w:id="81" w:name="_Toc528740268"/>
      <w:bookmarkStart w:id="82" w:name="bmTempMonitor"/>
      <w:bookmarkStart w:id="83" w:name="_Toc203135898"/>
      <w:bookmarkStart w:id="84" w:name="_Toc378605453"/>
      <w:bookmarkEnd w:id="80"/>
      <w:bookmarkEnd w:id="81"/>
      <w:bookmarkEnd w:id="82"/>
      <w:r w:rsidRPr="00074D1C">
        <w:t xml:space="preserve">Recycled Water Monitoring Requirements: Outfall </w:t>
      </w:r>
      <w:r w:rsidRPr="0054158F">
        <w:rPr>
          <w:highlight w:val="yellow"/>
        </w:rPr>
        <w:t>00?</w:t>
      </w:r>
      <w:bookmarkEnd w:id="83"/>
    </w:p>
    <w:p w14:paraId="6A34AAB7" w14:textId="77777777" w:rsidR="000022FE" w:rsidRDefault="000022FE" w:rsidP="75EAEC27">
      <w:pPr>
        <w:pStyle w:val="PermitHanging1-text"/>
        <w:spacing w:after="120"/>
        <w:ind w:left="0"/>
      </w:pPr>
      <w:r>
        <w:t xml:space="preserve">The permittee must monitor recycled water for Outfall </w:t>
      </w:r>
      <w:r>
        <w:rPr>
          <w:highlight w:val="yellow"/>
        </w:rPr>
        <w:t>(insert outfall number)</w:t>
      </w:r>
      <w:r>
        <w:t xml:space="preserve"> as listed below. The samples must be representative of the recycled water delivered for beneficial reuse at a location identified in the Recycled Water Use Plan. </w:t>
      </w:r>
      <w:r w:rsidRPr="008E4EAB">
        <w:rPr>
          <w:highlight w:val="yellow"/>
        </w:rPr>
        <w:t>[Communicate with the Recycled Water Program Coordinator to determin</w:t>
      </w:r>
      <w:r>
        <w:rPr>
          <w:highlight w:val="yellow"/>
        </w:rPr>
        <w:t>e</w:t>
      </w:r>
      <w:r w:rsidRPr="008E4EAB">
        <w:rPr>
          <w:highlight w:val="yellow"/>
        </w:rPr>
        <w:t xml:space="preserve"> reporting requirements.</w:t>
      </w:r>
      <w:r>
        <w:rPr>
          <w:highlight w:val="yellow"/>
        </w:rPr>
        <w:t xml:space="preserve"> Remove highlighted text and shading before finalizing.</w:t>
      </w:r>
      <w:r w:rsidRPr="008E4EAB">
        <w:rPr>
          <w:highlight w:val="yellow"/>
        </w:rPr>
        <w:t>]</w:t>
      </w:r>
      <w:r>
        <w:t xml:space="preserve"> </w:t>
      </w:r>
    </w:p>
    <w:p w14:paraId="4A7A7CC8" w14:textId="77777777" w:rsidR="000022FE" w:rsidRDefault="000022FE" w:rsidP="000022FE">
      <w:pPr>
        <w:pStyle w:val="Caption"/>
        <w:spacing w:after="120"/>
      </w:pPr>
      <w:bookmarkStart w:id="85" w:name="_Toc203135929"/>
      <w:bookmarkStart w:id="86" w:name="_Ref326258383"/>
      <w:bookmarkStart w:id="87" w:name="_Toc378775961"/>
      <w:bookmarkEnd w:id="84"/>
      <w:r>
        <w:t xml:space="preserve">Table </w:t>
      </w:r>
      <w:proofErr w:type="gramStart"/>
      <w:r w:rsidRPr="00C26470">
        <w:rPr>
          <w:highlight w:val="yellow"/>
        </w:rPr>
        <w:t>B?:</w:t>
      </w:r>
      <w:proofErr w:type="gramEnd"/>
      <w:r>
        <w:t xml:space="preserve"> Recycled Water Monitoring</w:t>
      </w:r>
      <w:bookmarkEnd w:id="85"/>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7"/>
        <w:gridCol w:w="1165"/>
        <w:gridCol w:w="1069"/>
        <w:gridCol w:w="1942"/>
        <w:gridCol w:w="1942"/>
        <w:gridCol w:w="2127"/>
      </w:tblGrid>
      <w:tr w:rsidR="000022FE" w14:paraId="11BC2466" w14:textId="77777777" w:rsidTr="00B75758">
        <w:trPr>
          <w:trHeight w:val="288"/>
          <w:tblHeader/>
          <w:jc w:val="center"/>
        </w:trPr>
        <w:tc>
          <w:tcPr>
            <w:tcW w:w="911" w:type="pct"/>
            <w:tcBorders>
              <w:top w:val="single" w:sz="4" w:space="0" w:color="auto"/>
            </w:tcBorders>
            <w:shd w:val="clear" w:color="auto" w:fill="D9D9D9" w:themeFill="background1" w:themeFillShade="D9"/>
            <w:vAlign w:val="center"/>
          </w:tcPr>
          <w:p w14:paraId="5811DC66" w14:textId="77777777" w:rsidR="000022FE" w:rsidRDefault="000022FE" w:rsidP="00B75758">
            <w:pPr>
              <w:pStyle w:val="TableColumnHeading"/>
            </w:pPr>
            <w:r>
              <w:t>Item or Parameter</w:t>
            </w:r>
          </w:p>
        </w:tc>
        <w:tc>
          <w:tcPr>
            <w:tcW w:w="578" w:type="pct"/>
            <w:tcBorders>
              <w:top w:val="single" w:sz="4" w:space="0" w:color="auto"/>
            </w:tcBorders>
            <w:shd w:val="clear" w:color="auto" w:fill="D9D9D9" w:themeFill="background1" w:themeFillShade="D9"/>
            <w:vAlign w:val="center"/>
          </w:tcPr>
          <w:p w14:paraId="40411A6F" w14:textId="77777777" w:rsidR="000022FE" w:rsidRDefault="000022FE" w:rsidP="00B75758">
            <w:pPr>
              <w:pStyle w:val="TableColumnHeading"/>
            </w:pPr>
            <w:r>
              <w:t>Units</w:t>
            </w:r>
          </w:p>
        </w:tc>
        <w:tc>
          <w:tcPr>
            <w:tcW w:w="530" w:type="pct"/>
            <w:tcBorders>
              <w:top w:val="single" w:sz="4" w:space="0" w:color="auto"/>
            </w:tcBorders>
            <w:shd w:val="clear" w:color="auto" w:fill="D9D9D9" w:themeFill="background1" w:themeFillShade="D9"/>
            <w:vAlign w:val="center"/>
          </w:tcPr>
          <w:p w14:paraId="1C9FE4F3" w14:textId="77777777" w:rsidR="000022FE" w:rsidRDefault="000022FE" w:rsidP="00B75758">
            <w:pPr>
              <w:pStyle w:val="TableColumnHeading"/>
            </w:pPr>
            <w:r>
              <w:t>Time Period</w:t>
            </w:r>
          </w:p>
        </w:tc>
        <w:tc>
          <w:tcPr>
            <w:tcW w:w="963" w:type="pct"/>
            <w:tcBorders>
              <w:top w:val="single" w:sz="4" w:space="0" w:color="auto"/>
            </w:tcBorders>
            <w:shd w:val="clear" w:color="auto" w:fill="D9D9D9" w:themeFill="background1" w:themeFillShade="D9"/>
            <w:vAlign w:val="center"/>
          </w:tcPr>
          <w:p w14:paraId="3D1F02D6" w14:textId="77777777" w:rsidR="000022FE" w:rsidRDefault="000022FE" w:rsidP="00B75758">
            <w:pPr>
              <w:pStyle w:val="TableColumnHeading"/>
            </w:pPr>
            <w:r>
              <w:t>Minimum Frequency</w:t>
            </w:r>
          </w:p>
        </w:tc>
        <w:tc>
          <w:tcPr>
            <w:tcW w:w="963" w:type="pct"/>
            <w:tcBorders>
              <w:top w:val="single" w:sz="4" w:space="0" w:color="auto"/>
            </w:tcBorders>
            <w:shd w:val="clear" w:color="auto" w:fill="D9D9D9" w:themeFill="background1" w:themeFillShade="D9"/>
            <w:vAlign w:val="center"/>
          </w:tcPr>
          <w:p w14:paraId="69BCAD4C" w14:textId="77777777" w:rsidR="000022FE" w:rsidRDefault="000022FE" w:rsidP="00B75758">
            <w:pPr>
              <w:pStyle w:val="TableColumnHeading"/>
            </w:pPr>
            <w:r>
              <w:t>Sample Type/ Required Action</w:t>
            </w:r>
          </w:p>
        </w:tc>
        <w:tc>
          <w:tcPr>
            <w:tcW w:w="1055" w:type="pct"/>
            <w:tcBorders>
              <w:top w:val="single" w:sz="4" w:space="0" w:color="auto"/>
            </w:tcBorders>
            <w:shd w:val="clear" w:color="auto" w:fill="D9D9D9" w:themeFill="background1" w:themeFillShade="D9"/>
            <w:vAlign w:val="center"/>
          </w:tcPr>
          <w:p w14:paraId="0651297C" w14:textId="77777777" w:rsidR="000022FE" w:rsidRDefault="000022FE" w:rsidP="00B75758">
            <w:pPr>
              <w:pStyle w:val="TableColumnHeading"/>
            </w:pPr>
            <w:r>
              <w:t>Report</w:t>
            </w:r>
          </w:p>
          <w:p w14:paraId="72B12A99" w14:textId="77777777" w:rsidR="000022FE" w:rsidRDefault="000022FE" w:rsidP="00B75758">
            <w:pPr>
              <w:pStyle w:val="TableColumnHeading"/>
            </w:pPr>
            <w:r>
              <w:t>(See note a.)</w:t>
            </w:r>
          </w:p>
        </w:tc>
      </w:tr>
      <w:tr w:rsidR="000022FE" w14:paraId="4A33B642" w14:textId="77777777" w:rsidTr="00B75758">
        <w:trPr>
          <w:jc w:val="center"/>
        </w:trPr>
        <w:tc>
          <w:tcPr>
            <w:tcW w:w="911" w:type="pct"/>
            <w:tcBorders>
              <w:top w:val="single" w:sz="4" w:space="0" w:color="auto"/>
            </w:tcBorders>
            <w:shd w:val="clear" w:color="auto" w:fill="auto"/>
          </w:tcPr>
          <w:p w14:paraId="79CD176C" w14:textId="77777777" w:rsidR="000022FE" w:rsidRPr="009621F1" w:rsidRDefault="000022FE" w:rsidP="00B75758">
            <w:pPr>
              <w:pStyle w:val="Tablecellentry"/>
              <w:keepNext/>
            </w:pPr>
            <w:r w:rsidRPr="00EF0F0F">
              <w:t xml:space="preserve">Total </w:t>
            </w:r>
            <w:r w:rsidRPr="00FB1835">
              <w:t>flow</w:t>
            </w:r>
            <w:r>
              <w:t xml:space="preserve"> (50050)</w:t>
            </w:r>
          </w:p>
        </w:tc>
        <w:tc>
          <w:tcPr>
            <w:tcW w:w="578" w:type="pct"/>
            <w:tcBorders>
              <w:top w:val="single" w:sz="4" w:space="0" w:color="auto"/>
            </w:tcBorders>
            <w:shd w:val="clear" w:color="auto" w:fill="auto"/>
          </w:tcPr>
          <w:p w14:paraId="4C08772E" w14:textId="77777777" w:rsidR="000022FE" w:rsidRDefault="000022FE" w:rsidP="00B75758">
            <w:pPr>
              <w:pStyle w:val="Tablecellentry"/>
              <w:keepNext/>
              <w:rPr>
                <w:szCs w:val="22"/>
              </w:rPr>
            </w:pPr>
            <w:r>
              <w:rPr>
                <w:szCs w:val="22"/>
              </w:rPr>
              <w:t>MGD</w:t>
            </w:r>
          </w:p>
        </w:tc>
        <w:tc>
          <w:tcPr>
            <w:tcW w:w="530" w:type="pct"/>
            <w:tcBorders>
              <w:top w:val="single" w:sz="4" w:space="0" w:color="auto"/>
            </w:tcBorders>
            <w:shd w:val="clear" w:color="auto" w:fill="auto"/>
          </w:tcPr>
          <w:p w14:paraId="7BD0FDBE" w14:textId="77777777" w:rsidR="000022FE" w:rsidRDefault="000022FE" w:rsidP="00B75758">
            <w:pPr>
              <w:pStyle w:val="Tablecellentry"/>
              <w:keepNext/>
              <w:rPr>
                <w:szCs w:val="22"/>
              </w:rPr>
            </w:pPr>
          </w:p>
        </w:tc>
        <w:tc>
          <w:tcPr>
            <w:tcW w:w="963" w:type="pct"/>
            <w:tcBorders>
              <w:top w:val="single" w:sz="4" w:space="0" w:color="auto"/>
            </w:tcBorders>
            <w:shd w:val="clear" w:color="auto" w:fill="auto"/>
          </w:tcPr>
          <w:p w14:paraId="1BA360A8" w14:textId="77777777" w:rsidR="000022FE" w:rsidRDefault="000022FE" w:rsidP="00B75758">
            <w:pPr>
              <w:pStyle w:val="Tablecellentry"/>
              <w:keepNext/>
              <w:rPr>
                <w:szCs w:val="22"/>
              </w:rPr>
            </w:pPr>
            <w:r>
              <w:rPr>
                <w:szCs w:val="22"/>
              </w:rPr>
              <w:t>Daily</w:t>
            </w:r>
          </w:p>
        </w:tc>
        <w:tc>
          <w:tcPr>
            <w:tcW w:w="963" w:type="pct"/>
            <w:tcBorders>
              <w:top w:val="single" w:sz="4" w:space="0" w:color="auto"/>
            </w:tcBorders>
            <w:shd w:val="clear" w:color="auto" w:fill="auto"/>
          </w:tcPr>
          <w:p w14:paraId="65BFBF9B" w14:textId="77777777" w:rsidR="000022FE" w:rsidRDefault="000022FE" w:rsidP="00B75758">
            <w:pPr>
              <w:pStyle w:val="Tablecellentry"/>
              <w:keepNext/>
              <w:rPr>
                <w:szCs w:val="22"/>
              </w:rPr>
            </w:pPr>
            <w:r>
              <w:rPr>
                <w:szCs w:val="22"/>
              </w:rPr>
              <w:t>Measure</w:t>
            </w:r>
          </w:p>
        </w:tc>
        <w:tc>
          <w:tcPr>
            <w:tcW w:w="1055" w:type="pct"/>
            <w:tcBorders>
              <w:top w:val="single" w:sz="4" w:space="0" w:color="auto"/>
            </w:tcBorders>
            <w:shd w:val="clear" w:color="auto" w:fill="auto"/>
          </w:tcPr>
          <w:p w14:paraId="08268E74" w14:textId="77777777" w:rsidR="000022FE" w:rsidRDefault="000022FE" w:rsidP="00B75758">
            <w:pPr>
              <w:pStyle w:val="Tablecellentry"/>
              <w:keepNext/>
              <w:rPr>
                <w:szCs w:val="22"/>
              </w:rPr>
            </w:pPr>
            <w:r>
              <w:rPr>
                <w:szCs w:val="22"/>
              </w:rPr>
              <w:t>Monthly Total</w:t>
            </w:r>
          </w:p>
        </w:tc>
      </w:tr>
      <w:tr w:rsidR="000022FE" w:rsidRPr="00EF0F0F" w14:paraId="0A0AAE68" w14:textId="77777777" w:rsidTr="00B75758">
        <w:trPr>
          <w:jc w:val="center"/>
        </w:trPr>
        <w:tc>
          <w:tcPr>
            <w:tcW w:w="5000" w:type="pct"/>
            <w:gridSpan w:val="6"/>
            <w:shd w:val="clear" w:color="auto" w:fill="F2DBDB" w:themeFill="accent2" w:themeFillTint="33"/>
          </w:tcPr>
          <w:p w14:paraId="3CE3CBB5" w14:textId="77777777" w:rsidR="000022FE" w:rsidRPr="00EF0F0F" w:rsidRDefault="000022FE" w:rsidP="00B75758">
            <w:pPr>
              <w:pStyle w:val="Tablecellentry"/>
              <w:keepNext/>
              <w:rPr>
                <w:i/>
                <w:iCs/>
                <w:szCs w:val="22"/>
                <w:highlight w:val="yellow"/>
              </w:rPr>
            </w:pPr>
            <w:r w:rsidRPr="00EF0F0F">
              <w:rPr>
                <w:i/>
                <w:iCs/>
                <w:szCs w:val="22"/>
                <w:highlight w:val="yellow"/>
              </w:rPr>
              <w:t>[</w:t>
            </w:r>
            <w:r>
              <w:rPr>
                <w:i/>
                <w:iCs/>
                <w:szCs w:val="22"/>
                <w:highlight w:val="yellow"/>
              </w:rPr>
              <w:t>Only include if irrigating</w:t>
            </w:r>
            <w:r w:rsidRPr="00EF0F0F">
              <w:rPr>
                <w:i/>
                <w:iCs/>
                <w:szCs w:val="22"/>
                <w:highlight w:val="yellow"/>
              </w:rPr>
              <w:t>]</w:t>
            </w:r>
          </w:p>
        </w:tc>
      </w:tr>
      <w:tr w:rsidR="000022FE" w14:paraId="2DBAC63A" w14:textId="77777777" w:rsidTr="00B75758">
        <w:trPr>
          <w:jc w:val="center"/>
        </w:trPr>
        <w:tc>
          <w:tcPr>
            <w:tcW w:w="911" w:type="pct"/>
            <w:tcBorders>
              <w:top w:val="single" w:sz="4" w:space="0" w:color="auto"/>
            </w:tcBorders>
            <w:shd w:val="clear" w:color="auto" w:fill="F2DBDB" w:themeFill="accent2" w:themeFillTint="33"/>
          </w:tcPr>
          <w:p w14:paraId="56D1827A" w14:textId="77777777" w:rsidR="000022FE" w:rsidRPr="00EF0F0F" w:rsidRDefault="000022FE" w:rsidP="00B75758">
            <w:pPr>
              <w:pStyle w:val="Tablecellentry"/>
            </w:pPr>
            <w:r w:rsidRPr="00EF0F0F">
              <w:t xml:space="preserve">Quantity </w:t>
            </w:r>
            <w:r>
              <w:t>i</w:t>
            </w:r>
            <w:r w:rsidRPr="00EF0F0F">
              <w:t>rrigated</w:t>
            </w:r>
            <w:r>
              <w:t xml:space="preserve"> (51789)</w:t>
            </w:r>
          </w:p>
        </w:tc>
        <w:tc>
          <w:tcPr>
            <w:tcW w:w="578" w:type="pct"/>
            <w:tcBorders>
              <w:top w:val="single" w:sz="4" w:space="0" w:color="auto"/>
            </w:tcBorders>
            <w:shd w:val="clear" w:color="auto" w:fill="F2DBDB" w:themeFill="accent2" w:themeFillTint="33"/>
          </w:tcPr>
          <w:p w14:paraId="3E877316" w14:textId="77777777" w:rsidR="000022FE" w:rsidRDefault="000022FE" w:rsidP="00B75758">
            <w:pPr>
              <w:pStyle w:val="Tablecellentry"/>
              <w:rPr>
                <w:szCs w:val="22"/>
              </w:rPr>
            </w:pPr>
            <w:r>
              <w:rPr>
                <w:szCs w:val="22"/>
              </w:rPr>
              <w:t>in/ac</w:t>
            </w:r>
          </w:p>
        </w:tc>
        <w:tc>
          <w:tcPr>
            <w:tcW w:w="530" w:type="pct"/>
            <w:tcBorders>
              <w:top w:val="single" w:sz="4" w:space="0" w:color="auto"/>
            </w:tcBorders>
            <w:shd w:val="clear" w:color="auto" w:fill="F2DBDB" w:themeFill="accent2" w:themeFillTint="33"/>
          </w:tcPr>
          <w:p w14:paraId="6D56FAFD" w14:textId="77777777" w:rsidR="000022FE" w:rsidRDefault="000022FE" w:rsidP="00B75758">
            <w:pPr>
              <w:pStyle w:val="Tablecellentry"/>
              <w:rPr>
                <w:szCs w:val="22"/>
              </w:rPr>
            </w:pPr>
          </w:p>
        </w:tc>
        <w:tc>
          <w:tcPr>
            <w:tcW w:w="963" w:type="pct"/>
            <w:tcBorders>
              <w:top w:val="single" w:sz="4" w:space="0" w:color="auto"/>
            </w:tcBorders>
            <w:shd w:val="clear" w:color="auto" w:fill="F2DBDB" w:themeFill="accent2" w:themeFillTint="33"/>
          </w:tcPr>
          <w:p w14:paraId="3CE7C09C" w14:textId="77777777" w:rsidR="000022FE" w:rsidRDefault="000022FE" w:rsidP="00B75758">
            <w:pPr>
              <w:pStyle w:val="Tablecellentry"/>
              <w:rPr>
                <w:szCs w:val="22"/>
              </w:rPr>
            </w:pPr>
            <w:r>
              <w:rPr>
                <w:szCs w:val="22"/>
              </w:rPr>
              <w:t>Daily</w:t>
            </w:r>
          </w:p>
        </w:tc>
        <w:tc>
          <w:tcPr>
            <w:tcW w:w="963" w:type="pct"/>
            <w:tcBorders>
              <w:top w:val="single" w:sz="4" w:space="0" w:color="auto"/>
            </w:tcBorders>
            <w:shd w:val="clear" w:color="auto" w:fill="F2DBDB" w:themeFill="accent2" w:themeFillTint="33"/>
          </w:tcPr>
          <w:p w14:paraId="21D4EE86" w14:textId="77777777" w:rsidR="000022FE" w:rsidRDefault="000022FE" w:rsidP="00B75758">
            <w:pPr>
              <w:pStyle w:val="Tablecellentry"/>
              <w:rPr>
                <w:szCs w:val="22"/>
              </w:rPr>
            </w:pPr>
            <w:r>
              <w:rPr>
                <w:szCs w:val="22"/>
              </w:rPr>
              <w:t>Calculate</w:t>
            </w:r>
          </w:p>
        </w:tc>
        <w:tc>
          <w:tcPr>
            <w:tcW w:w="1055" w:type="pct"/>
            <w:tcBorders>
              <w:top w:val="single" w:sz="4" w:space="0" w:color="auto"/>
            </w:tcBorders>
            <w:shd w:val="clear" w:color="auto" w:fill="F2DBDB" w:themeFill="accent2" w:themeFillTint="33"/>
          </w:tcPr>
          <w:p w14:paraId="00CF59F5" w14:textId="77777777" w:rsidR="000022FE" w:rsidRDefault="000022FE" w:rsidP="00B75758">
            <w:pPr>
              <w:pStyle w:val="Tablecellentry"/>
              <w:rPr>
                <w:szCs w:val="22"/>
              </w:rPr>
            </w:pPr>
            <w:r>
              <w:rPr>
                <w:szCs w:val="22"/>
              </w:rPr>
              <w:t>Monthly Total</w:t>
            </w:r>
          </w:p>
        </w:tc>
      </w:tr>
      <w:tr w:rsidR="000022FE" w14:paraId="03035EA8" w14:textId="77777777" w:rsidTr="00B75758">
        <w:trPr>
          <w:jc w:val="center"/>
        </w:trPr>
        <w:tc>
          <w:tcPr>
            <w:tcW w:w="911" w:type="pct"/>
          </w:tcPr>
          <w:p w14:paraId="715357B7" w14:textId="77777777" w:rsidR="000022FE" w:rsidRDefault="000022FE" w:rsidP="00B75758">
            <w:pPr>
              <w:pStyle w:val="Tablecellentry"/>
              <w:rPr>
                <w:szCs w:val="22"/>
              </w:rPr>
            </w:pPr>
            <w:r>
              <w:rPr>
                <w:szCs w:val="22"/>
              </w:rPr>
              <w:t>pH (00400)</w:t>
            </w:r>
          </w:p>
        </w:tc>
        <w:tc>
          <w:tcPr>
            <w:tcW w:w="578" w:type="pct"/>
          </w:tcPr>
          <w:p w14:paraId="2558F91C" w14:textId="77777777" w:rsidR="000022FE" w:rsidRDefault="000022FE" w:rsidP="00B75758">
            <w:pPr>
              <w:pStyle w:val="Tablecellentry"/>
              <w:rPr>
                <w:szCs w:val="22"/>
              </w:rPr>
            </w:pPr>
            <w:r>
              <w:rPr>
                <w:szCs w:val="22"/>
              </w:rPr>
              <w:t>SU</w:t>
            </w:r>
          </w:p>
        </w:tc>
        <w:tc>
          <w:tcPr>
            <w:tcW w:w="530" w:type="pct"/>
          </w:tcPr>
          <w:p w14:paraId="61597F83" w14:textId="77777777" w:rsidR="000022FE" w:rsidRDefault="000022FE" w:rsidP="00B75758">
            <w:pPr>
              <w:pStyle w:val="Tablecellentry"/>
              <w:rPr>
                <w:szCs w:val="22"/>
              </w:rPr>
            </w:pPr>
          </w:p>
        </w:tc>
        <w:tc>
          <w:tcPr>
            <w:tcW w:w="963" w:type="pct"/>
          </w:tcPr>
          <w:p w14:paraId="417DA459" w14:textId="77777777" w:rsidR="000022FE" w:rsidRDefault="000022FE" w:rsidP="00B75758">
            <w:pPr>
              <w:pStyle w:val="Tablecellentry"/>
              <w:rPr>
                <w:szCs w:val="22"/>
              </w:rPr>
            </w:pPr>
            <w:r>
              <w:rPr>
                <w:szCs w:val="22"/>
              </w:rPr>
              <w:t>2/Week</w:t>
            </w:r>
          </w:p>
        </w:tc>
        <w:tc>
          <w:tcPr>
            <w:tcW w:w="963" w:type="pct"/>
          </w:tcPr>
          <w:p w14:paraId="0C16C96B" w14:textId="77777777" w:rsidR="000022FE" w:rsidRDefault="000022FE" w:rsidP="00B75758">
            <w:pPr>
              <w:pStyle w:val="Tablecellentry"/>
              <w:rPr>
                <w:szCs w:val="22"/>
              </w:rPr>
            </w:pPr>
            <w:r>
              <w:rPr>
                <w:szCs w:val="22"/>
              </w:rPr>
              <w:t>Grab</w:t>
            </w:r>
          </w:p>
        </w:tc>
        <w:tc>
          <w:tcPr>
            <w:tcW w:w="1055" w:type="pct"/>
          </w:tcPr>
          <w:p w14:paraId="6139D49A" w14:textId="77777777" w:rsidR="000022FE" w:rsidRDefault="000022FE" w:rsidP="00B75758">
            <w:pPr>
              <w:pStyle w:val="Tablecellentry"/>
              <w:rPr>
                <w:szCs w:val="22"/>
              </w:rPr>
            </w:pPr>
            <w:r>
              <w:rPr>
                <w:szCs w:val="22"/>
              </w:rPr>
              <w:t>Monthly Minimum</w:t>
            </w:r>
          </w:p>
          <w:p w14:paraId="029E03C5" w14:textId="77777777" w:rsidR="000022FE" w:rsidRDefault="000022FE" w:rsidP="00B75758">
            <w:pPr>
              <w:pStyle w:val="Tablecellentry"/>
              <w:rPr>
                <w:szCs w:val="22"/>
              </w:rPr>
            </w:pPr>
            <w:r>
              <w:rPr>
                <w:szCs w:val="22"/>
              </w:rPr>
              <w:t>Monthly Maximum</w:t>
            </w:r>
          </w:p>
        </w:tc>
      </w:tr>
      <w:tr w:rsidR="000022FE" w:rsidRPr="00EF0F0F" w14:paraId="145E4431" w14:textId="77777777" w:rsidTr="00B75758">
        <w:trPr>
          <w:jc w:val="center"/>
        </w:trPr>
        <w:tc>
          <w:tcPr>
            <w:tcW w:w="5000" w:type="pct"/>
            <w:gridSpan w:val="6"/>
            <w:shd w:val="clear" w:color="auto" w:fill="FDE9D9" w:themeFill="accent6" w:themeFillTint="33"/>
          </w:tcPr>
          <w:p w14:paraId="33530E74" w14:textId="77777777" w:rsidR="000022FE" w:rsidRPr="00EF0F0F" w:rsidRDefault="000022FE" w:rsidP="00B75758">
            <w:pPr>
              <w:pStyle w:val="Tablecellentry"/>
              <w:keepNext/>
              <w:rPr>
                <w:i/>
                <w:iCs/>
                <w:szCs w:val="22"/>
                <w:highlight w:val="yellow"/>
              </w:rPr>
            </w:pPr>
            <w:r w:rsidRPr="00EF0F0F">
              <w:rPr>
                <w:i/>
                <w:iCs/>
                <w:szCs w:val="22"/>
                <w:highlight w:val="yellow"/>
              </w:rPr>
              <w:t>[</w:t>
            </w:r>
            <w:r>
              <w:rPr>
                <w:i/>
                <w:iCs/>
                <w:szCs w:val="22"/>
                <w:highlight w:val="yellow"/>
              </w:rPr>
              <w:t>Only include when using</w:t>
            </w:r>
            <w:r w:rsidRPr="00EF0F0F">
              <w:rPr>
                <w:i/>
                <w:iCs/>
                <w:szCs w:val="22"/>
                <w:highlight w:val="yellow"/>
              </w:rPr>
              <w:t xml:space="preserve"> UV]</w:t>
            </w:r>
          </w:p>
        </w:tc>
      </w:tr>
      <w:tr w:rsidR="000022FE" w14:paraId="31110AAE" w14:textId="77777777" w:rsidTr="00B75758">
        <w:trPr>
          <w:jc w:val="center"/>
        </w:trPr>
        <w:tc>
          <w:tcPr>
            <w:tcW w:w="911" w:type="pct"/>
            <w:shd w:val="clear" w:color="auto" w:fill="FDE9D9" w:themeFill="accent6" w:themeFillTint="33"/>
          </w:tcPr>
          <w:p w14:paraId="7F6AC5A4" w14:textId="77777777" w:rsidR="000022FE" w:rsidRDefault="000022FE" w:rsidP="00B75758">
            <w:pPr>
              <w:pStyle w:val="Tablecellentry"/>
              <w:rPr>
                <w:szCs w:val="22"/>
              </w:rPr>
            </w:pPr>
            <w:r>
              <w:rPr>
                <w:szCs w:val="22"/>
              </w:rPr>
              <w:t>UV dosage (61938)</w:t>
            </w:r>
          </w:p>
        </w:tc>
        <w:tc>
          <w:tcPr>
            <w:tcW w:w="578" w:type="pct"/>
            <w:shd w:val="clear" w:color="auto" w:fill="FDE9D9" w:themeFill="accent6" w:themeFillTint="33"/>
          </w:tcPr>
          <w:p w14:paraId="3E2D2D79" w14:textId="77777777" w:rsidR="000022FE" w:rsidRDefault="000022FE" w:rsidP="00B75758">
            <w:pPr>
              <w:pStyle w:val="Tablecellentry"/>
              <w:rPr>
                <w:szCs w:val="22"/>
              </w:rPr>
            </w:pPr>
            <w:proofErr w:type="spellStart"/>
            <w:r>
              <w:rPr>
                <w:szCs w:val="22"/>
              </w:rPr>
              <w:t>mJ</w:t>
            </w:r>
            <w:proofErr w:type="spellEnd"/>
            <w:r>
              <w:rPr>
                <w:szCs w:val="22"/>
              </w:rPr>
              <w:t>/cm</w:t>
            </w:r>
            <w:r w:rsidRPr="009621F1">
              <w:rPr>
                <w:szCs w:val="22"/>
                <w:vertAlign w:val="superscript"/>
              </w:rPr>
              <w:t>2</w:t>
            </w:r>
          </w:p>
        </w:tc>
        <w:tc>
          <w:tcPr>
            <w:tcW w:w="530" w:type="pct"/>
            <w:shd w:val="clear" w:color="auto" w:fill="FDE9D9" w:themeFill="accent6" w:themeFillTint="33"/>
          </w:tcPr>
          <w:p w14:paraId="66364F66" w14:textId="77777777" w:rsidR="000022FE" w:rsidRDefault="000022FE" w:rsidP="00B75758">
            <w:pPr>
              <w:pStyle w:val="Tablecellentry"/>
              <w:rPr>
                <w:szCs w:val="22"/>
              </w:rPr>
            </w:pPr>
          </w:p>
        </w:tc>
        <w:tc>
          <w:tcPr>
            <w:tcW w:w="963" w:type="pct"/>
            <w:shd w:val="clear" w:color="auto" w:fill="FDE9D9" w:themeFill="accent6" w:themeFillTint="33"/>
          </w:tcPr>
          <w:p w14:paraId="4C90F118" w14:textId="77777777" w:rsidR="000022FE" w:rsidRDefault="000022FE" w:rsidP="00B75758">
            <w:pPr>
              <w:pStyle w:val="Tablecellentry"/>
              <w:rPr>
                <w:szCs w:val="22"/>
              </w:rPr>
            </w:pPr>
            <w:r>
              <w:rPr>
                <w:szCs w:val="22"/>
              </w:rPr>
              <w:t>Daily</w:t>
            </w:r>
          </w:p>
        </w:tc>
        <w:tc>
          <w:tcPr>
            <w:tcW w:w="963" w:type="pct"/>
            <w:shd w:val="clear" w:color="auto" w:fill="FDE9D9" w:themeFill="accent6" w:themeFillTint="33"/>
          </w:tcPr>
          <w:p w14:paraId="6F7DF4EA" w14:textId="77777777" w:rsidR="000022FE" w:rsidRDefault="000022FE" w:rsidP="00B75758">
            <w:pPr>
              <w:pStyle w:val="Tablecellentry"/>
              <w:rPr>
                <w:szCs w:val="22"/>
              </w:rPr>
            </w:pPr>
            <w:r>
              <w:rPr>
                <w:szCs w:val="22"/>
              </w:rPr>
              <w:t>Calculate based on UVI grab and average daily flow</w:t>
            </w:r>
            <w:r w:rsidDel="004A72E2">
              <w:rPr>
                <w:szCs w:val="22"/>
              </w:rPr>
              <w:t xml:space="preserve"> </w:t>
            </w:r>
          </w:p>
        </w:tc>
        <w:tc>
          <w:tcPr>
            <w:tcW w:w="1055" w:type="pct"/>
            <w:shd w:val="clear" w:color="auto" w:fill="FDE9D9" w:themeFill="accent6" w:themeFillTint="33"/>
          </w:tcPr>
          <w:p w14:paraId="4E29B4FC" w14:textId="77777777" w:rsidR="000022FE" w:rsidRDefault="000022FE" w:rsidP="00B75758">
            <w:pPr>
              <w:pStyle w:val="Tablecellentry"/>
              <w:rPr>
                <w:szCs w:val="22"/>
              </w:rPr>
            </w:pPr>
            <w:r>
              <w:rPr>
                <w:szCs w:val="22"/>
              </w:rPr>
              <w:t>Monthly Minimum</w:t>
            </w:r>
          </w:p>
        </w:tc>
      </w:tr>
      <w:tr w:rsidR="000022FE" w14:paraId="4C2D050C" w14:textId="77777777" w:rsidTr="00B75758">
        <w:trPr>
          <w:jc w:val="center"/>
        </w:trPr>
        <w:tc>
          <w:tcPr>
            <w:tcW w:w="5000" w:type="pct"/>
            <w:gridSpan w:val="6"/>
            <w:shd w:val="clear" w:color="auto" w:fill="E5DFEC" w:themeFill="accent4" w:themeFillTint="33"/>
          </w:tcPr>
          <w:p w14:paraId="75D37499" w14:textId="77777777" w:rsidR="000022FE" w:rsidRPr="00EF0F0F" w:rsidRDefault="000022FE" w:rsidP="00B75758">
            <w:pPr>
              <w:pStyle w:val="Tablecellentry"/>
              <w:keepNext/>
              <w:rPr>
                <w:i/>
                <w:szCs w:val="22"/>
                <w:highlight w:val="yellow"/>
              </w:rPr>
            </w:pPr>
            <w:r>
              <w:rPr>
                <w:i/>
                <w:szCs w:val="22"/>
                <w:highlight w:val="yellow"/>
              </w:rPr>
              <w:t>[Delete those that do not apply]</w:t>
            </w:r>
          </w:p>
        </w:tc>
      </w:tr>
      <w:tr w:rsidR="000022FE" w:rsidRPr="000C7554" w14:paraId="00A49F22" w14:textId="77777777" w:rsidTr="00B75758">
        <w:trPr>
          <w:jc w:val="center"/>
        </w:trPr>
        <w:tc>
          <w:tcPr>
            <w:tcW w:w="911" w:type="pct"/>
            <w:shd w:val="clear" w:color="auto" w:fill="E5DFEC" w:themeFill="accent4" w:themeFillTint="33"/>
          </w:tcPr>
          <w:p w14:paraId="762773C0" w14:textId="77777777" w:rsidR="000022FE" w:rsidRPr="00295D22" w:rsidRDefault="000022FE" w:rsidP="00B75758">
            <w:pPr>
              <w:pStyle w:val="Tablecellentry"/>
              <w:keepNext/>
              <w:rPr>
                <w:szCs w:val="22"/>
              </w:rPr>
            </w:pPr>
            <w:r w:rsidRPr="00295D22">
              <w:rPr>
                <w:szCs w:val="22"/>
              </w:rPr>
              <w:t>Turbidity</w:t>
            </w:r>
            <w:r>
              <w:rPr>
                <w:szCs w:val="22"/>
              </w:rPr>
              <w:t xml:space="preserve"> (00070)</w:t>
            </w:r>
          </w:p>
        </w:tc>
        <w:tc>
          <w:tcPr>
            <w:tcW w:w="578" w:type="pct"/>
            <w:shd w:val="clear" w:color="auto" w:fill="E5DFEC" w:themeFill="accent4" w:themeFillTint="33"/>
          </w:tcPr>
          <w:p w14:paraId="62907725" w14:textId="77777777" w:rsidR="000022FE" w:rsidRPr="00295D22" w:rsidRDefault="000022FE" w:rsidP="00B75758">
            <w:pPr>
              <w:pStyle w:val="Tablecellentry"/>
              <w:keepNext/>
              <w:rPr>
                <w:szCs w:val="22"/>
              </w:rPr>
            </w:pPr>
            <w:r w:rsidRPr="00295D22">
              <w:rPr>
                <w:szCs w:val="22"/>
              </w:rPr>
              <w:t>NTU</w:t>
            </w:r>
          </w:p>
        </w:tc>
        <w:tc>
          <w:tcPr>
            <w:tcW w:w="530" w:type="pct"/>
            <w:shd w:val="clear" w:color="auto" w:fill="E5DFEC" w:themeFill="accent4" w:themeFillTint="33"/>
          </w:tcPr>
          <w:p w14:paraId="5B37C3F2" w14:textId="77777777" w:rsidR="000022FE" w:rsidRPr="00295D22" w:rsidRDefault="000022FE" w:rsidP="00B75758">
            <w:pPr>
              <w:pStyle w:val="Tablecellentry"/>
              <w:keepNext/>
              <w:rPr>
                <w:szCs w:val="22"/>
              </w:rPr>
            </w:pPr>
          </w:p>
        </w:tc>
        <w:tc>
          <w:tcPr>
            <w:tcW w:w="963" w:type="pct"/>
            <w:shd w:val="clear" w:color="auto" w:fill="E5DFEC" w:themeFill="accent4" w:themeFillTint="33"/>
          </w:tcPr>
          <w:p w14:paraId="0564FE46" w14:textId="77777777" w:rsidR="000022FE" w:rsidRPr="00295D22" w:rsidRDefault="000022FE" w:rsidP="00B75758">
            <w:pPr>
              <w:pStyle w:val="Tablecellentry"/>
              <w:keepNext/>
              <w:rPr>
                <w:szCs w:val="22"/>
              </w:rPr>
            </w:pPr>
            <w:r w:rsidRPr="00295D22">
              <w:rPr>
                <w:szCs w:val="22"/>
              </w:rPr>
              <w:t xml:space="preserve">Hourly </w:t>
            </w:r>
            <w:r w:rsidRPr="00EF0F0F">
              <w:rPr>
                <w:szCs w:val="22"/>
                <w:highlight w:val="yellow"/>
              </w:rPr>
              <w:t>(Class A)</w:t>
            </w:r>
          </w:p>
        </w:tc>
        <w:tc>
          <w:tcPr>
            <w:tcW w:w="963" w:type="pct"/>
            <w:shd w:val="clear" w:color="auto" w:fill="E5DFEC" w:themeFill="accent4" w:themeFillTint="33"/>
          </w:tcPr>
          <w:p w14:paraId="0E7B715D" w14:textId="77777777" w:rsidR="000022FE" w:rsidRPr="00295D22" w:rsidRDefault="000022FE" w:rsidP="00B75758">
            <w:pPr>
              <w:pStyle w:val="Tablecellentry"/>
              <w:keepNext/>
              <w:rPr>
                <w:szCs w:val="22"/>
              </w:rPr>
            </w:pPr>
            <w:r>
              <w:rPr>
                <w:szCs w:val="22"/>
              </w:rPr>
              <w:t>Measure</w:t>
            </w:r>
          </w:p>
        </w:tc>
        <w:tc>
          <w:tcPr>
            <w:tcW w:w="1055" w:type="pct"/>
            <w:shd w:val="clear" w:color="auto" w:fill="E5DFEC" w:themeFill="accent4" w:themeFillTint="33"/>
          </w:tcPr>
          <w:p w14:paraId="30B8BD86" w14:textId="77777777" w:rsidR="000022FE" w:rsidRPr="000C7554" w:rsidRDefault="000022FE" w:rsidP="00B75758">
            <w:pPr>
              <w:pStyle w:val="Tablecellentry"/>
              <w:keepNext/>
              <w:rPr>
                <w:szCs w:val="22"/>
              </w:rPr>
            </w:pPr>
            <w:r w:rsidRPr="000C7554">
              <w:rPr>
                <w:szCs w:val="22"/>
              </w:rPr>
              <w:t>Daily Average</w:t>
            </w:r>
          </w:p>
          <w:p w14:paraId="3A4B951F" w14:textId="77777777" w:rsidR="000022FE" w:rsidRPr="00295D22" w:rsidRDefault="000022FE" w:rsidP="00B75758">
            <w:pPr>
              <w:pStyle w:val="Tablecellentry"/>
              <w:keepNext/>
              <w:rPr>
                <w:szCs w:val="22"/>
              </w:rPr>
            </w:pPr>
            <w:r w:rsidRPr="000C7554">
              <w:rPr>
                <w:szCs w:val="22"/>
              </w:rPr>
              <w:t>Daily Maximum</w:t>
            </w:r>
          </w:p>
        </w:tc>
      </w:tr>
      <w:tr w:rsidR="000022FE" w14:paraId="0074AEE4" w14:textId="77777777" w:rsidTr="00B75758">
        <w:trPr>
          <w:jc w:val="center"/>
        </w:trPr>
        <w:tc>
          <w:tcPr>
            <w:tcW w:w="911" w:type="pct"/>
            <w:shd w:val="clear" w:color="auto" w:fill="E5DFEC" w:themeFill="accent4" w:themeFillTint="33"/>
          </w:tcPr>
          <w:p w14:paraId="467978CC" w14:textId="77777777" w:rsidR="000022FE" w:rsidRPr="00295D22" w:rsidRDefault="000022FE" w:rsidP="00B75758">
            <w:pPr>
              <w:pStyle w:val="Tablecellentry"/>
              <w:keepNext/>
              <w:rPr>
                <w:szCs w:val="22"/>
              </w:rPr>
            </w:pPr>
            <w:r w:rsidRPr="00295D22">
              <w:rPr>
                <w:szCs w:val="22"/>
              </w:rPr>
              <w:t xml:space="preserve">Turbidity, time </w:t>
            </w:r>
            <w:r>
              <w:rPr>
                <w:szCs w:val="22"/>
              </w:rPr>
              <w:t xml:space="preserve">above </w:t>
            </w:r>
            <w:r w:rsidRPr="00295D22">
              <w:rPr>
                <w:szCs w:val="22"/>
              </w:rPr>
              <w:t>limit</w:t>
            </w:r>
            <w:r>
              <w:rPr>
                <w:szCs w:val="22"/>
              </w:rPr>
              <w:t xml:space="preserve"> (61736)</w:t>
            </w:r>
          </w:p>
        </w:tc>
        <w:tc>
          <w:tcPr>
            <w:tcW w:w="578" w:type="pct"/>
            <w:shd w:val="clear" w:color="auto" w:fill="E5DFEC" w:themeFill="accent4" w:themeFillTint="33"/>
          </w:tcPr>
          <w:p w14:paraId="3D1C12B6" w14:textId="77777777" w:rsidR="000022FE" w:rsidRPr="00295D22" w:rsidRDefault="000022FE" w:rsidP="00B75758">
            <w:pPr>
              <w:pStyle w:val="Tablecellentry"/>
              <w:keepNext/>
              <w:rPr>
                <w:szCs w:val="22"/>
              </w:rPr>
            </w:pPr>
            <w:r>
              <w:rPr>
                <w:szCs w:val="22"/>
              </w:rPr>
              <w:t>%</w:t>
            </w:r>
          </w:p>
        </w:tc>
        <w:tc>
          <w:tcPr>
            <w:tcW w:w="530" w:type="pct"/>
            <w:shd w:val="clear" w:color="auto" w:fill="E5DFEC" w:themeFill="accent4" w:themeFillTint="33"/>
          </w:tcPr>
          <w:p w14:paraId="7906A4EF" w14:textId="77777777" w:rsidR="000022FE" w:rsidRPr="00295D22" w:rsidRDefault="000022FE" w:rsidP="00B75758">
            <w:pPr>
              <w:pStyle w:val="Tablecellentry"/>
              <w:keepNext/>
              <w:rPr>
                <w:szCs w:val="22"/>
              </w:rPr>
            </w:pPr>
          </w:p>
        </w:tc>
        <w:tc>
          <w:tcPr>
            <w:tcW w:w="963" w:type="pct"/>
            <w:shd w:val="clear" w:color="auto" w:fill="E5DFEC" w:themeFill="accent4" w:themeFillTint="33"/>
          </w:tcPr>
          <w:p w14:paraId="0EF25658" w14:textId="77777777" w:rsidR="000022FE" w:rsidRPr="00295D22" w:rsidRDefault="000022FE" w:rsidP="00B75758">
            <w:pPr>
              <w:pStyle w:val="Tablecellentry"/>
              <w:keepNext/>
              <w:rPr>
                <w:szCs w:val="22"/>
              </w:rPr>
            </w:pPr>
            <w:r>
              <w:rPr>
                <w:szCs w:val="22"/>
              </w:rPr>
              <w:t>Daily</w:t>
            </w:r>
            <w:r w:rsidRPr="00295D22">
              <w:rPr>
                <w:szCs w:val="22"/>
              </w:rPr>
              <w:t xml:space="preserve"> </w:t>
            </w:r>
            <w:r w:rsidRPr="00EF0F0F">
              <w:rPr>
                <w:szCs w:val="22"/>
                <w:highlight w:val="yellow"/>
              </w:rPr>
              <w:t>(Class A)</w:t>
            </w:r>
          </w:p>
        </w:tc>
        <w:tc>
          <w:tcPr>
            <w:tcW w:w="963" w:type="pct"/>
            <w:shd w:val="clear" w:color="auto" w:fill="E5DFEC" w:themeFill="accent4" w:themeFillTint="33"/>
          </w:tcPr>
          <w:p w14:paraId="01E728A4" w14:textId="77777777" w:rsidR="000022FE" w:rsidRPr="00295D22" w:rsidRDefault="000022FE" w:rsidP="00B75758">
            <w:pPr>
              <w:pStyle w:val="Tablecellentry"/>
              <w:keepNext/>
              <w:rPr>
                <w:szCs w:val="22"/>
              </w:rPr>
            </w:pPr>
            <w:r w:rsidRPr="00295D22">
              <w:rPr>
                <w:szCs w:val="22"/>
              </w:rPr>
              <w:t>Calcula</w:t>
            </w:r>
            <w:r>
              <w:rPr>
                <w:szCs w:val="22"/>
              </w:rPr>
              <w:t>te</w:t>
            </w:r>
          </w:p>
        </w:tc>
        <w:tc>
          <w:tcPr>
            <w:tcW w:w="1055" w:type="pct"/>
            <w:shd w:val="clear" w:color="auto" w:fill="E5DFEC" w:themeFill="accent4" w:themeFillTint="33"/>
          </w:tcPr>
          <w:p w14:paraId="1C0ED7AC" w14:textId="77777777" w:rsidR="000022FE" w:rsidRPr="001F4950" w:rsidRDefault="000022FE" w:rsidP="00B75758">
            <w:pPr>
              <w:pStyle w:val="Tablecellentry"/>
              <w:keepNext/>
              <w:rPr>
                <w:szCs w:val="22"/>
              </w:rPr>
            </w:pPr>
            <w:r>
              <w:rPr>
                <w:szCs w:val="22"/>
              </w:rPr>
              <w:t>Daily Maximum</w:t>
            </w:r>
          </w:p>
        </w:tc>
      </w:tr>
      <w:tr w:rsidR="000022FE" w:rsidRPr="000C7554" w14:paraId="6084A2E2" w14:textId="77777777" w:rsidTr="00B75758">
        <w:trPr>
          <w:jc w:val="center"/>
        </w:trPr>
        <w:tc>
          <w:tcPr>
            <w:tcW w:w="911" w:type="pct"/>
            <w:shd w:val="clear" w:color="auto" w:fill="E5DFEC" w:themeFill="accent4" w:themeFillTint="33"/>
          </w:tcPr>
          <w:p w14:paraId="17661D4C" w14:textId="77777777" w:rsidR="000022FE" w:rsidRPr="00EF0F0F" w:rsidRDefault="000022FE" w:rsidP="00B75758">
            <w:pPr>
              <w:pStyle w:val="Tablecellentry"/>
              <w:keepNext/>
              <w:rPr>
                <w:szCs w:val="22"/>
              </w:rPr>
            </w:pPr>
            <w:r w:rsidRPr="00EF0F0F">
              <w:rPr>
                <w:szCs w:val="22"/>
              </w:rPr>
              <w:t xml:space="preserve">Total coliform </w:t>
            </w:r>
            <w:r>
              <w:rPr>
                <w:szCs w:val="22"/>
              </w:rPr>
              <w:t>(74056)</w:t>
            </w:r>
          </w:p>
        </w:tc>
        <w:tc>
          <w:tcPr>
            <w:tcW w:w="578" w:type="pct"/>
            <w:shd w:val="clear" w:color="auto" w:fill="E5DFEC" w:themeFill="accent4" w:themeFillTint="33"/>
          </w:tcPr>
          <w:p w14:paraId="437EB67D" w14:textId="77777777" w:rsidR="000022FE" w:rsidRPr="00EF0F0F" w:rsidRDefault="000022FE" w:rsidP="00B75758">
            <w:pPr>
              <w:pStyle w:val="Tablecellentry"/>
              <w:keepNext/>
              <w:rPr>
                <w:szCs w:val="22"/>
              </w:rPr>
            </w:pPr>
            <w:r w:rsidRPr="00EF0F0F">
              <w:rPr>
                <w:szCs w:val="22"/>
              </w:rPr>
              <w:t>#/100 mL</w:t>
            </w:r>
          </w:p>
        </w:tc>
        <w:tc>
          <w:tcPr>
            <w:tcW w:w="530" w:type="pct"/>
            <w:shd w:val="clear" w:color="auto" w:fill="E5DFEC" w:themeFill="accent4" w:themeFillTint="33"/>
          </w:tcPr>
          <w:p w14:paraId="6F2BC27F" w14:textId="77777777" w:rsidR="000022FE" w:rsidRPr="00EF0F0F" w:rsidRDefault="000022FE" w:rsidP="00B75758">
            <w:pPr>
              <w:pStyle w:val="Tablecellentry"/>
              <w:keepNext/>
              <w:rPr>
                <w:szCs w:val="22"/>
              </w:rPr>
            </w:pPr>
          </w:p>
        </w:tc>
        <w:tc>
          <w:tcPr>
            <w:tcW w:w="963" w:type="pct"/>
            <w:shd w:val="clear" w:color="auto" w:fill="E5DFEC" w:themeFill="accent4" w:themeFillTint="33"/>
          </w:tcPr>
          <w:p w14:paraId="7CD165A3" w14:textId="77777777" w:rsidR="000022FE" w:rsidRPr="00EF0F0F" w:rsidRDefault="000022FE" w:rsidP="00B75758">
            <w:pPr>
              <w:pStyle w:val="Tablecellentry"/>
              <w:keepNext/>
              <w:rPr>
                <w:szCs w:val="22"/>
              </w:rPr>
            </w:pPr>
            <w:r w:rsidRPr="00EF0F0F">
              <w:rPr>
                <w:szCs w:val="22"/>
              </w:rPr>
              <w:t xml:space="preserve">Daily </w:t>
            </w:r>
            <w:r w:rsidRPr="004A72E2">
              <w:rPr>
                <w:szCs w:val="22"/>
                <w:highlight w:val="yellow"/>
              </w:rPr>
              <w:t>(Class A)</w:t>
            </w:r>
          </w:p>
          <w:p w14:paraId="083526D0" w14:textId="77777777" w:rsidR="000022FE" w:rsidRPr="00EF0F0F" w:rsidRDefault="000022FE" w:rsidP="00B75758">
            <w:pPr>
              <w:pStyle w:val="Tablecellentry"/>
              <w:keepNext/>
              <w:rPr>
                <w:szCs w:val="22"/>
              </w:rPr>
            </w:pPr>
            <w:r w:rsidRPr="00EF0F0F">
              <w:rPr>
                <w:szCs w:val="22"/>
              </w:rPr>
              <w:t xml:space="preserve">3/Week </w:t>
            </w:r>
            <w:r w:rsidRPr="004A72E2">
              <w:rPr>
                <w:szCs w:val="22"/>
                <w:highlight w:val="yellow"/>
              </w:rPr>
              <w:t>(Class B)</w:t>
            </w:r>
          </w:p>
          <w:p w14:paraId="7A1EB221" w14:textId="77777777" w:rsidR="000022FE" w:rsidRPr="00EF0F0F" w:rsidRDefault="000022FE" w:rsidP="00B75758">
            <w:pPr>
              <w:pStyle w:val="Tablecellentry"/>
              <w:keepNext/>
              <w:rPr>
                <w:szCs w:val="22"/>
              </w:rPr>
            </w:pPr>
            <w:r w:rsidRPr="00EF0F0F">
              <w:rPr>
                <w:szCs w:val="22"/>
              </w:rPr>
              <w:t xml:space="preserve">Weekly </w:t>
            </w:r>
            <w:r w:rsidRPr="004A72E2">
              <w:rPr>
                <w:szCs w:val="22"/>
                <w:highlight w:val="yellow"/>
              </w:rPr>
              <w:t>(Class C)</w:t>
            </w:r>
          </w:p>
        </w:tc>
        <w:tc>
          <w:tcPr>
            <w:tcW w:w="963" w:type="pct"/>
            <w:shd w:val="clear" w:color="auto" w:fill="E5DFEC" w:themeFill="accent4" w:themeFillTint="33"/>
          </w:tcPr>
          <w:p w14:paraId="06A4A184" w14:textId="77777777" w:rsidR="000022FE" w:rsidRPr="00EF0F0F" w:rsidRDefault="000022FE" w:rsidP="00B75758">
            <w:pPr>
              <w:pStyle w:val="Tablecellentry"/>
              <w:keepNext/>
              <w:rPr>
                <w:szCs w:val="22"/>
              </w:rPr>
            </w:pPr>
            <w:r w:rsidRPr="00EF0F0F">
              <w:rPr>
                <w:szCs w:val="22"/>
              </w:rPr>
              <w:t>Grab</w:t>
            </w:r>
            <w:r>
              <w:rPr>
                <w:szCs w:val="22"/>
              </w:rPr>
              <w:t xml:space="preserve"> </w:t>
            </w:r>
            <w:r w:rsidRPr="007F3D7C">
              <w:rPr>
                <w:szCs w:val="22"/>
                <w:highlight w:val="yellow"/>
              </w:rPr>
              <w:t>(see note b.)</w:t>
            </w:r>
          </w:p>
        </w:tc>
        <w:tc>
          <w:tcPr>
            <w:tcW w:w="1055" w:type="pct"/>
            <w:shd w:val="clear" w:color="auto" w:fill="E5DFEC" w:themeFill="accent4" w:themeFillTint="33"/>
          </w:tcPr>
          <w:p w14:paraId="74D4EC70" w14:textId="77777777" w:rsidR="000022FE" w:rsidRPr="00EF0F0F" w:rsidRDefault="000022FE" w:rsidP="00B75758">
            <w:pPr>
              <w:pStyle w:val="Tablecellentry"/>
              <w:keepNext/>
              <w:rPr>
                <w:szCs w:val="22"/>
              </w:rPr>
            </w:pPr>
            <w:r w:rsidRPr="00EF0F0F">
              <w:rPr>
                <w:szCs w:val="22"/>
              </w:rPr>
              <w:t>7-</w:t>
            </w:r>
            <w:r>
              <w:rPr>
                <w:szCs w:val="22"/>
              </w:rPr>
              <w:t>D</w:t>
            </w:r>
            <w:r w:rsidRPr="00EF0F0F">
              <w:rPr>
                <w:szCs w:val="22"/>
              </w:rPr>
              <w:t xml:space="preserve">ay </w:t>
            </w:r>
            <w:r>
              <w:rPr>
                <w:szCs w:val="22"/>
              </w:rPr>
              <w:t>M</w:t>
            </w:r>
            <w:r w:rsidRPr="00EF0F0F">
              <w:rPr>
                <w:szCs w:val="22"/>
              </w:rPr>
              <w:t>edian</w:t>
            </w:r>
          </w:p>
          <w:p w14:paraId="277F7A54" w14:textId="77777777" w:rsidR="000022FE" w:rsidRPr="00EF0F0F" w:rsidRDefault="000022FE" w:rsidP="00B75758">
            <w:pPr>
              <w:pStyle w:val="Tablecellentry"/>
              <w:keepNext/>
              <w:rPr>
                <w:szCs w:val="22"/>
              </w:rPr>
            </w:pPr>
            <w:r w:rsidRPr="000C7554">
              <w:rPr>
                <w:szCs w:val="22"/>
              </w:rPr>
              <w:t>Maximum Single Sample</w:t>
            </w:r>
          </w:p>
        </w:tc>
      </w:tr>
      <w:tr w:rsidR="000022FE" w:rsidRPr="000C7554" w14:paraId="35527EA9" w14:textId="77777777" w:rsidTr="00B75758">
        <w:trPr>
          <w:jc w:val="center"/>
        </w:trPr>
        <w:tc>
          <w:tcPr>
            <w:tcW w:w="911" w:type="pct"/>
            <w:shd w:val="clear" w:color="auto" w:fill="E5DFEC" w:themeFill="accent4" w:themeFillTint="33"/>
          </w:tcPr>
          <w:p w14:paraId="5B69A50C" w14:textId="77777777" w:rsidR="000022FE" w:rsidRPr="00EF0F0F" w:rsidRDefault="000022FE" w:rsidP="00B75758">
            <w:pPr>
              <w:pStyle w:val="Tablecellentry"/>
            </w:pPr>
            <w:r w:rsidRPr="00EF0F0F">
              <w:t>E. coli (51040)</w:t>
            </w:r>
          </w:p>
        </w:tc>
        <w:tc>
          <w:tcPr>
            <w:tcW w:w="578" w:type="pct"/>
            <w:shd w:val="clear" w:color="auto" w:fill="E5DFEC" w:themeFill="accent4" w:themeFillTint="33"/>
          </w:tcPr>
          <w:p w14:paraId="7EED9B3E" w14:textId="77777777" w:rsidR="000022FE" w:rsidRPr="00EF0F0F" w:rsidRDefault="000022FE" w:rsidP="00B75758">
            <w:pPr>
              <w:pStyle w:val="Tablecellentry"/>
              <w:rPr>
                <w:szCs w:val="22"/>
              </w:rPr>
            </w:pPr>
            <w:r w:rsidRPr="00EF0F0F">
              <w:rPr>
                <w:szCs w:val="22"/>
              </w:rPr>
              <w:t>#/100 mL</w:t>
            </w:r>
          </w:p>
        </w:tc>
        <w:tc>
          <w:tcPr>
            <w:tcW w:w="530" w:type="pct"/>
            <w:shd w:val="clear" w:color="auto" w:fill="E5DFEC" w:themeFill="accent4" w:themeFillTint="33"/>
          </w:tcPr>
          <w:p w14:paraId="7C698A36" w14:textId="77777777" w:rsidR="000022FE" w:rsidRPr="00EF0F0F" w:rsidRDefault="000022FE" w:rsidP="00B75758">
            <w:pPr>
              <w:pStyle w:val="Tablecellentry"/>
              <w:rPr>
                <w:szCs w:val="22"/>
              </w:rPr>
            </w:pPr>
          </w:p>
        </w:tc>
        <w:tc>
          <w:tcPr>
            <w:tcW w:w="963" w:type="pct"/>
            <w:shd w:val="clear" w:color="auto" w:fill="E5DFEC" w:themeFill="accent4" w:themeFillTint="33"/>
          </w:tcPr>
          <w:p w14:paraId="77E84102" w14:textId="77777777" w:rsidR="000022FE" w:rsidRPr="00EF0F0F" w:rsidRDefault="000022FE" w:rsidP="00B75758">
            <w:pPr>
              <w:pStyle w:val="Tablecellentry"/>
              <w:rPr>
                <w:szCs w:val="22"/>
              </w:rPr>
            </w:pPr>
            <w:r w:rsidRPr="00EF0F0F">
              <w:rPr>
                <w:szCs w:val="22"/>
              </w:rPr>
              <w:t xml:space="preserve">Weekly </w:t>
            </w:r>
            <w:r w:rsidRPr="004A72E2">
              <w:rPr>
                <w:szCs w:val="22"/>
                <w:highlight w:val="yellow"/>
              </w:rPr>
              <w:t>(Class D)</w:t>
            </w:r>
          </w:p>
        </w:tc>
        <w:tc>
          <w:tcPr>
            <w:tcW w:w="963" w:type="pct"/>
            <w:shd w:val="clear" w:color="auto" w:fill="E5DFEC" w:themeFill="accent4" w:themeFillTint="33"/>
          </w:tcPr>
          <w:p w14:paraId="2412F29F" w14:textId="77777777" w:rsidR="000022FE" w:rsidRPr="00EF0F0F" w:rsidRDefault="000022FE" w:rsidP="00B75758">
            <w:pPr>
              <w:pStyle w:val="Tablecellentry"/>
              <w:rPr>
                <w:szCs w:val="22"/>
              </w:rPr>
            </w:pPr>
            <w:r w:rsidRPr="00EF0F0F">
              <w:rPr>
                <w:szCs w:val="22"/>
              </w:rPr>
              <w:t>Grab</w:t>
            </w:r>
          </w:p>
        </w:tc>
        <w:tc>
          <w:tcPr>
            <w:tcW w:w="1055" w:type="pct"/>
            <w:shd w:val="clear" w:color="auto" w:fill="E5DFEC" w:themeFill="accent4" w:themeFillTint="33"/>
          </w:tcPr>
          <w:p w14:paraId="05F29236" w14:textId="77777777" w:rsidR="000022FE" w:rsidRPr="000C7554" w:rsidRDefault="000022FE" w:rsidP="00B75758">
            <w:pPr>
              <w:pStyle w:val="Tablecellentry"/>
              <w:rPr>
                <w:szCs w:val="22"/>
              </w:rPr>
            </w:pPr>
            <w:r w:rsidRPr="000C7554">
              <w:rPr>
                <w:szCs w:val="22"/>
              </w:rPr>
              <w:t>Monthly Geometric Mean</w:t>
            </w:r>
          </w:p>
          <w:p w14:paraId="45DFC9EE" w14:textId="77777777" w:rsidR="000022FE" w:rsidRPr="00EF0F0F" w:rsidRDefault="000022FE" w:rsidP="00B75758">
            <w:pPr>
              <w:pStyle w:val="Tablecellentry"/>
              <w:rPr>
                <w:szCs w:val="22"/>
              </w:rPr>
            </w:pPr>
            <w:r w:rsidRPr="00EF0F0F">
              <w:rPr>
                <w:szCs w:val="22"/>
              </w:rPr>
              <w:t>Maximum Single Sample</w:t>
            </w:r>
          </w:p>
        </w:tc>
      </w:tr>
      <w:tr w:rsidR="000022FE" w14:paraId="696476DB" w14:textId="77777777" w:rsidTr="00B75758">
        <w:trPr>
          <w:jc w:val="center"/>
        </w:trPr>
        <w:tc>
          <w:tcPr>
            <w:tcW w:w="5000" w:type="pct"/>
            <w:gridSpan w:val="6"/>
            <w:shd w:val="clear" w:color="auto" w:fill="DAEEF3" w:themeFill="accent5" w:themeFillTint="33"/>
          </w:tcPr>
          <w:p w14:paraId="38D1F302" w14:textId="77777777" w:rsidR="000022FE" w:rsidRPr="00EF0F0F" w:rsidRDefault="000022FE" w:rsidP="00B75758">
            <w:pPr>
              <w:pStyle w:val="Tablecellentry"/>
              <w:keepNext/>
              <w:rPr>
                <w:i/>
                <w:szCs w:val="22"/>
                <w:highlight w:val="yellow"/>
              </w:rPr>
            </w:pPr>
            <w:r>
              <w:rPr>
                <w:i/>
                <w:szCs w:val="22"/>
                <w:highlight w:val="yellow"/>
              </w:rPr>
              <w:t>[Only include if land applying]</w:t>
            </w:r>
          </w:p>
        </w:tc>
      </w:tr>
      <w:tr w:rsidR="000022FE" w14:paraId="5A14ABC4" w14:textId="77777777" w:rsidTr="00B75758">
        <w:trPr>
          <w:jc w:val="center"/>
        </w:trPr>
        <w:tc>
          <w:tcPr>
            <w:tcW w:w="911" w:type="pct"/>
            <w:shd w:val="clear" w:color="auto" w:fill="DAEEF3" w:themeFill="accent5" w:themeFillTint="33"/>
          </w:tcPr>
          <w:p w14:paraId="4E309550" w14:textId="77777777" w:rsidR="000022FE" w:rsidRDefault="000022FE" w:rsidP="00B75758">
            <w:pPr>
              <w:pStyle w:val="Tablecellentry"/>
              <w:rPr>
                <w:color w:val="000000" w:themeColor="text1"/>
              </w:rPr>
            </w:pPr>
            <w:r>
              <w:rPr>
                <w:color w:val="000000" w:themeColor="text1"/>
              </w:rPr>
              <w:t>Total</w:t>
            </w:r>
            <w:r w:rsidRPr="00FB1835">
              <w:rPr>
                <w:color w:val="000000" w:themeColor="text1"/>
              </w:rPr>
              <w:t xml:space="preserve"> </w:t>
            </w:r>
            <w:proofErr w:type="spellStart"/>
            <w:r w:rsidRPr="00FB1835">
              <w:rPr>
                <w:color w:val="000000" w:themeColor="text1"/>
              </w:rPr>
              <w:t>Kjeldahl</w:t>
            </w:r>
            <w:proofErr w:type="spellEnd"/>
            <w:r w:rsidRPr="00FB1835">
              <w:rPr>
                <w:color w:val="000000" w:themeColor="text1"/>
              </w:rPr>
              <w:t>, Nitrogen</w:t>
            </w:r>
            <w:r>
              <w:rPr>
                <w:color w:val="000000" w:themeColor="text1"/>
              </w:rPr>
              <w:t xml:space="preserve"> (00625)</w:t>
            </w:r>
          </w:p>
        </w:tc>
        <w:tc>
          <w:tcPr>
            <w:tcW w:w="578" w:type="pct"/>
            <w:shd w:val="clear" w:color="auto" w:fill="DAEEF3" w:themeFill="accent5" w:themeFillTint="33"/>
          </w:tcPr>
          <w:p w14:paraId="38DCEB2A" w14:textId="77777777" w:rsidR="000022FE" w:rsidRDefault="000022FE" w:rsidP="00B75758">
            <w:pPr>
              <w:pStyle w:val="Tablecellentry"/>
              <w:rPr>
                <w:color w:val="000000" w:themeColor="text1"/>
                <w:szCs w:val="22"/>
                <w:highlight w:val="yellow"/>
              </w:rPr>
            </w:pPr>
            <w:r w:rsidRPr="00EF0F0F">
              <w:rPr>
                <w:color w:val="000000" w:themeColor="text1"/>
                <w:szCs w:val="22"/>
              </w:rPr>
              <w:t>mg/L</w:t>
            </w:r>
          </w:p>
        </w:tc>
        <w:tc>
          <w:tcPr>
            <w:tcW w:w="530" w:type="pct"/>
            <w:shd w:val="clear" w:color="auto" w:fill="DAEEF3" w:themeFill="accent5" w:themeFillTint="33"/>
          </w:tcPr>
          <w:p w14:paraId="0E368094" w14:textId="77777777" w:rsidR="000022FE" w:rsidRDefault="000022FE" w:rsidP="00B75758">
            <w:pPr>
              <w:pStyle w:val="Tablecellentry"/>
              <w:rPr>
                <w:color w:val="000000" w:themeColor="text1"/>
                <w:szCs w:val="22"/>
                <w:highlight w:val="yellow"/>
              </w:rPr>
            </w:pPr>
          </w:p>
        </w:tc>
        <w:tc>
          <w:tcPr>
            <w:tcW w:w="963" w:type="pct"/>
            <w:shd w:val="clear" w:color="auto" w:fill="DAEEF3" w:themeFill="accent5" w:themeFillTint="33"/>
          </w:tcPr>
          <w:p w14:paraId="5BEF6AD5" w14:textId="77777777" w:rsidR="000022FE" w:rsidRDefault="000022FE" w:rsidP="00B75758">
            <w:pPr>
              <w:pStyle w:val="Tablecellentry"/>
              <w:rPr>
                <w:color w:val="000000" w:themeColor="text1"/>
              </w:rPr>
            </w:pPr>
            <w:r>
              <w:rPr>
                <w:szCs w:val="22"/>
              </w:rPr>
              <w:t>Quarterly</w:t>
            </w:r>
          </w:p>
        </w:tc>
        <w:tc>
          <w:tcPr>
            <w:tcW w:w="963" w:type="pct"/>
            <w:shd w:val="clear" w:color="auto" w:fill="DAEEF3" w:themeFill="accent5" w:themeFillTint="33"/>
          </w:tcPr>
          <w:p w14:paraId="0AE248A5" w14:textId="77777777" w:rsidR="000022FE" w:rsidRDefault="000022FE" w:rsidP="00B75758">
            <w:pPr>
              <w:pStyle w:val="Tablecellentry"/>
              <w:rPr>
                <w:color w:val="000000" w:themeColor="text1"/>
              </w:rPr>
            </w:pPr>
            <w:r>
              <w:rPr>
                <w:szCs w:val="22"/>
              </w:rPr>
              <w:t>Grab</w:t>
            </w:r>
          </w:p>
        </w:tc>
        <w:tc>
          <w:tcPr>
            <w:tcW w:w="1055" w:type="pct"/>
            <w:shd w:val="clear" w:color="auto" w:fill="DAEEF3" w:themeFill="accent5" w:themeFillTint="33"/>
          </w:tcPr>
          <w:p w14:paraId="26099E8F" w14:textId="77777777" w:rsidR="000022FE" w:rsidRPr="001F4950" w:rsidRDefault="000022FE" w:rsidP="00B75758">
            <w:pPr>
              <w:pStyle w:val="Tablecellentry"/>
              <w:rPr>
                <w:color w:val="000000" w:themeColor="text1"/>
                <w:szCs w:val="22"/>
              </w:rPr>
            </w:pPr>
            <w:r>
              <w:rPr>
                <w:color w:val="000000" w:themeColor="text1"/>
                <w:szCs w:val="22"/>
              </w:rPr>
              <w:t>Value</w:t>
            </w:r>
          </w:p>
        </w:tc>
      </w:tr>
      <w:tr w:rsidR="000022FE" w14:paraId="739C880D" w14:textId="77777777" w:rsidTr="00B75758">
        <w:trPr>
          <w:jc w:val="center"/>
        </w:trPr>
        <w:tc>
          <w:tcPr>
            <w:tcW w:w="911" w:type="pct"/>
            <w:shd w:val="clear" w:color="auto" w:fill="DAEEF3" w:themeFill="accent5" w:themeFillTint="33"/>
          </w:tcPr>
          <w:p w14:paraId="660E538B" w14:textId="77777777" w:rsidR="000022FE" w:rsidRDefault="000022FE" w:rsidP="00B75758">
            <w:pPr>
              <w:pStyle w:val="Tablecellentry"/>
              <w:rPr>
                <w:color w:val="000000" w:themeColor="text1"/>
              </w:rPr>
            </w:pPr>
            <w:r w:rsidRPr="00FB1835">
              <w:rPr>
                <w:color w:val="000000" w:themeColor="text1"/>
              </w:rPr>
              <w:t xml:space="preserve">Nitrite + Nitrate </w:t>
            </w:r>
            <w:r>
              <w:rPr>
                <w:color w:val="000000" w:themeColor="text1"/>
              </w:rPr>
              <w:t>(NO</w:t>
            </w:r>
            <w:r w:rsidRPr="00EF0F0F">
              <w:rPr>
                <w:color w:val="000000" w:themeColor="text1"/>
                <w:vertAlign w:val="subscript"/>
              </w:rPr>
              <w:t>2</w:t>
            </w:r>
            <w:r>
              <w:rPr>
                <w:color w:val="000000" w:themeColor="text1"/>
              </w:rPr>
              <w:t>+NO</w:t>
            </w:r>
            <w:r w:rsidRPr="00EF0F0F">
              <w:rPr>
                <w:color w:val="000000" w:themeColor="text1"/>
                <w:vertAlign w:val="subscript"/>
              </w:rPr>
              <w:t>3</w:t>
            </w:r>
            <w:r>
              <w:rPr>
                <w:color w:val="000000" w:themeColor="text1"/>
              </w:rPr>
              <w:t>) (00630)</w:t>
            </w:r>
          </w:p>
        </w:tc>
        <w:tc>
          <w:tcPr>
            <w:tcW w:w="578" w:type="pct"/>
            <w:shd w:val="clear" w:color="auto" w:fill="DAEEF3" w:themeFill="accent5" w:themeFillTint="33"/>
          </w:tcPr>
          <w:p w14:paraId="4EA7F76D" w14:textId="77777777" w:rsidR="000022FE" w:rsidRDefault="000022FE" w:rsidP="00B75758">
            <w:pPr>
              <w:pStyle w:val="Tablecellentry"/>
              <w:rPr>
                <w:color w:val="000000" w:themeColor="text1"/>
                <w:szCs w:val="22"/>
                <w:highlight w:val="yellow"/>
              </w:rPr>
            </w:pPr>
            <w:r w:rsidRPr="00295D22">
              <w:rPr>
                <w:color w:val="000000" w:themeColor="text1"/>
                <w:szCs w:val="22"/>
              </w:rPr>
              <w:t>mg/L</w:t>
            </w:r>
          </w:p>
        </w:tc>
        <w:tc>
          <w:tcPr>
            <w:tcW w:w="530" w:type="pct"/>
            <w:shd w:val="clear" w:color="auto" w:fill="DAEEF3" w:themeFill="accent5" w:themeFillTint="33"/>
          </w:tcPr>
          <w:p w14:paraId="1CCBFB13" w14:textId="77777777" w:rsidR="000022FE" w:rsidRDefault="000022FE" w:rsidP="00B75758">
            <w:pPr>
              <w:pStyle w:val="Tablecellentry"/>
              <w:rPr>
                <w:color w:val="000000" w:themeColor="text1"/>
                <w:szCs w:val="22"/>
                <w:highlight w:val="yellow"/>
              </w:rPr>
            </w:pPr>
          </w:p>
        </w:tc>
        <w:tc>
          <w:tcPr>
            <w:tcW w:w="963" w:type="pct"/>
            <w:shd w:val="clear" w:color="auto" w:fill="DAEEF3" w:themeFill="accent5" w:themeFillTint="33"/>
          </w:tcPr>
          <w:p w14:paraId="586BBFA6" w14:textId="77777777" w:rsidR="000022FE" w:rsidRDefault="000022FE" w:rsidP="00B75758">
            <w:pPr>
              <w:pStyle w:val="Tablecellentry"/>
              <w:rPr>
                <w:color w:val="000000" w:themeColor="text1"/>
              </w:rPr>
            </w:pPr>
            <w:r>
              <w:rPr>
                <w:szCs w:val="22"/>
              </w:rPr>
              <w:t>Quarterly</w:t>
            </w:r>
          </w:p>
        </w:tc>
        <w:tc>
          <w:tcPr>
            <w:tcW w:w="963" w:type="pct"/>
            <w:shd w:val="clear" w:color="auto" w:fill="DAEEF3" w:themeFill="accent5" w:themeFillTint="33"/>
          </w:tcPr>
          <w:p w14:paraId="38A4228A" w14:textId="77777777" w:rsidR="000022FE" w:rsidRDefault="000022FE" w:rsidP="00B75758">
            <w:pPr>
              <w:pStyle w:val="Tablecellentry"/>
              <w:rPr>
                <w:color w:val="000000" w:themeColor="text1"/>
              </w:rPr>
            </w:pPr>
            <w:r>
              <w:rPr>
                <w:szCs w:val="22"/>
              </w:rPr>
              <w:t>Grab</w:t>
            </w:r>
          </w:p>
        </w:tc>
        <w:tc>
          <w:tcPr>
            <w:tcW w:w="1055" w:type="pct"/>
            <w:shd w:val="clear" w:color="auto" w:fill="DAEEF3" w:themeFill="accent5" w:themeFillTint="33"/>
          </w:tcPr>
          <w:p w14:paraId="0BCDDCCE" w14:textId="77777777" w:rsidR="000022FE" w:rsidRPr="001F4950" w:rsidRDefault="000022FE" w:rsidP="00B75758">
            <w:pPr>
              <w:pStyle w:val="Tablecellentry"/>
              <w:rPr>
                <w:color w:val="000000" w:themeColor="text1"/>
                <w:szCs w:val="22"/>
              </w:rPr>
            </w:pPr>
            <w:r>
              <w:rPr>
                <w:color w:val="000000" w:themeColor="text1"/>
                <w:szCs w:val="22"/>
              </w:rPr>
              <w:t>Value</w:t>
            </w:r>
          </w:p>
        </w:tc>
      </w:tr>
      <w:tr w:rsidR="000022FE" w14:paraId="3D4FAA61" w14:textId="77777777" w:rsidTr="00B75758">
        <w:trPr>
          <w:jc w:val="center"/>
        </w:trPr>
        <w:tc>
          <w:tcPr>
            <w:tcW w:w="911" w:type="pct"/>
            <w:shd w:val="clear" w:color="auto" w:fill="DAEEF3" w:themeFill="accent5" w:themeFillTint="33"/>
          </w:tcPr>
          <w:p w14:paraId="571C43EC" w14:textId="77777777" w:rsidR="000022FE" w:rsidRDefault="000022FE" w:rsidP="00B75758">
            <w:pPr>
              <w:pStyle w:val="Tablecellentry"/>
              <w:rPr>
                <w:color w:val="000000" w:themeColor="text1"/>
              </w:rPr>
            </w:pPr>
            <w:r>
              <w:rPr>
                <w:color w:val="000000" w:themeColor="text1"/>
              </w:rPr>
              <w:t>Total Ammonia [as N] (00610)</w:t>
            </w:r>
          </w:p>
        </w:tc>
        <w:tc>
          <w:tcPr>
            <w:tcW w:w="578" w:type="pct"/>
            <w:shd w:val="clear" w:color="auto" w:fill="DAEEF3" w:themeFill="accent5" w:themeFillTint="33"/>
          </w:tcPr>
          <w:p w14:paraId="72668F78" w14:textId="77777777" w:rsidR="000022FE" w:rsidRDefault="000022FE" w:rsidP="00B75758">
            <w:pPr>
              <w:pStyle w:val="Tablecellentry"/>
              <w:rPr>
                <w:color w:val="000000" w:themeColor="text1"/>
                <w:szCs w:val="22"/>
                <w:highlight w:val="yellow"/>
              </w:rPr>
            </w:pPr>
            <w:r w:rsidRPr="00295D22">
              <w:rPr>
                <w:color w:val="000000" w:themeColor="text1"/>
                <w:szCs w:val="22"/>
              </w:rPr>
              <w:t>mg/L</w:t>
            </w:r>
          </w:p>
        </w:tc>
        <w:tc>
          <w:tcPr>
            <w:tcW w:w="530" w:type="pct"/>
            <w:shd w:val="clear" w:color="auto" w:fill="DAEEF3" w:themeFill="accent5" w:themeFillTint="33"/>
          </w:tcPr>
          <w:p w14:paraId="639AED85" w14:textId="77777777" w:rsidR="000022FE" w:rsidRDefault="000022FE" w:rsidP="00B75758">
            <w:pPr>
              <w:pStyle w:val="Tablecellentry"/>
              <w:rPr>
                <w:color w:val="000000" w:themeColor="text1"/>
                <w:szCs w:val="22"/>
                <w:highlight w:val="yellow"/>
              </w:rPr>
            </w:pPr>
          </w:p>
        </w:tc>
        <w:tc>
          <w:tcPr>
            <w:tcW w:w="963" w:type="pct"/>
            <w:shd w:val="clear" w:color="auto" w:fill="DAEEF3" w:themeFill="accent5" w:themeFillTint="33"/>
          </w:tcPr>
          <w:p w14:paraId="4996FC21" w14:textId="77777777" w:rsidR="000022FE" w:rsidRDefault="000022FE" w:rsidP="00B75758">
            <w:pPr>
              <w:pStyle w:val="Tablecellentry"/>
              <w:rPr>
                <w:color w:val="000000" w:themeColor="text1"/>
              </w:rPr>
            </w:pPr>
            <w:r>
              <w:rPr>
                <w:szCs w:val="22"/>
              </w:rPr>
              <w:t>Quarterly</w:t>
            </w:r>
          </w:p>
        </w:tc>
        <w:tc>
          <w:tcPr>
            <w:tcW w:w="963" w:type="pct"/>
            <w:shd w:val="clear" w:color="auto" w:fill="DAEEF3" w:themeFill="accent5" w:themeFillTint="33"/>
          </w:tcPr>
          <w:p w14:paraId="40535EA5" w14:textId="77777777" w:rsidR="000022FE" w:rsidRDefault="000022FE" w:rsidP="00B75758">
            <w:pPr>
              <w:pStyle w:val="Tablecellentry"/>
              <w:rPr>
                <w:color w:val="000000" w:themeColor="text1"/>
              </w:rPr>
            </w:pPr>
            <w:r>
              <w:rPr>
                <w:szCs w:val="22"/>
              </w:rPr>
              <w:t>Grab</w:t>
            </w:r>
          </w:p>
        </w:tc>
        <w:tc>
          <w:tcPr>
            <w:tcW w:w="1055" w:type="pct"/>
            <w:shd w:val="clear" w:color="auto" w:fill="DAEEF3" w:themeFill="accent5" w:themeFillTint="33"/>
          </w:tcPr>
          <w:p w14:paraId="5962C5EB" w14:textId="77777777" w:rsidR="000022FE" w:rsidRPr="00CD3BCB" w:rsidRDefault="000022FE" w:rsidP="00B75758">
            <w:pPr>
              <w:pStyle w:val="Tablecellentry"/>
              <w:rPr>
                <w:color w:val="000000" w:themeColor="text1"/>
                <w:szCs w:val="22"/>
              </w:rPr>
            </w:pPr>
            <w:r>
              <w:rPr>
                <w:color w:val="000000" w:themeColor="text1"/>
                <w:szCs w:val="22"/>
              </w:rPr>
              <w:t>Value</w:t>
            </w:r>
          </w:p>
        </w:tc>
      </w:tr>
      <w:tr w:rsidR="000022FE" w14:paraId="2B36A653" w14:textId="77777777" w:rsidTr="00B75758">
        <w:trPr>
          <w:jc w:val="center"/>
        </w:trPr>
        <w:tc>
          <w:tcPr>
            <w:tcW w:w="911" w:type="pct"/>
            <w:shd w:val="clear" w:color="auto" w:fill="DAEEF3" w:themeFill="accent5" w:themeFillTint="33"/>
          </w:tcPr>
          <w:p w14:paraId="34481532" w14:textId="77777777" w:rsidR="000022FE" w:rsidRDefault="000022FE" w:rsidP="00B75758">
            <w:pPr>
              <w:pStyle w:val="Tablecellentry"/>
              <w:rPr>
                <w:szCs w:val="22"/>
              </w:rPr>
            </w:pPr>
            <w:r>
              <w:rPr>
                <w:szCs w:val="22"/>
              </w:rPr>
              <w:t>Total Phosphorus (</w:t>
            </w:r>
            <w:r w:rsidRPr="00FB1835">
              <w:rPr>
                <w:szCs w:val="22"/>
              </w:rPr>
              <w:t>00665</w:t>
            </w:r>
            <w:r>
              <w:rPr>
                <w:szCs w:val="22"/>
              </w:rPr>
              <w:t>)</w:t>
            </w:r>
          </w:p>
        </w:tc>
        <w:tc>
          <w:tcPr>
            <w:tcW w:w="578" w:type="pct"/>
            <w:shd w:val="clear" w:color="auto" w:fill="DAEEF3" w:themeFill="accent5" w:themeFillTint="33"/>
          </w:tcPr>
          <w:p w14:paraId="4C61DD5B" w14:textId="77777777" w:rsidR="000022FE" w:rsidRDefault="000022FE" w:rsidP="00B75758">
            <w:pPr>
              <w:pStyle w:val="Tablecellentry"/>
              <w:rPr>
                <w:szCs w:val="22"/>
              </w:rPr>
            </w:pPr>
            <w:r>
              <w:rPr>
                <w:szCs w:val="22"/>
              </w:rPr>
              <w:t>mg/L</w:t>
            </w:r>
          </w:p>
        </w:tc>
        <w:tc>
          <w:tcPr>
            <w:tcW w:w="530" w:type="pct"/>
            <w:shd w:val="clear" w:color="auto" w:fill="DAEEF3" w:themeFill="accent5" w:themeFillTint="33"/>
          </w:tcPr>
          <w:p w14:paraId="6175BCC1" w14:textId="77777777" w:rsidR="000022FE" w:rsidRDefault="000022FE" w:rsidP="00B75758">
            <w:pPr>
              <w:pStyle w:val="Tablecellentry"/>
              <w:rPr>
                <w:szCs w:val="22"/>
              </w:rPr>
            </w:pPr>
          </w:p>
        </w:tc>
        <w:tc>
          <w:tcPr>
            <w:tcW w:w="963" w:type="pct"/>
            <w:shd w:val="clear" w:color="auto" w:fill="DAEEF3" w:themeFill="accent5" w:themeFillTint="33"/>
          </w:tcPr>
          <w:p w14:paraId="7CD72A00" w14:textId="77777777" w:rsidR="000022FE" w:rsidRDefault="000022FE" w:rsidP="00B75758">
            <w:pPr>
              <w:pStyle w:val="Tablecellentry"/>
              <w:rPr>
                <w:szCs w:val="22"/>
              </w:rPr>
            </w:pPr>
            <w:r>
              <w:rPr>
                <w:szCs w:val="22"/>
              </w:rPr>
              <w:t>Quarterly</w:t>
            </w:r>
          </w:p>
        </w:tc>
        <w:tc>
          <w:tcPr>
            <w:tcW w:w="963" w:type="pct"/>
            <w:shd w:val="clear" w:color="auto" w:fill="DAEEF3" w:themeFill="accent5" w:themeFillTint="33"/>
          </w:tcPr>
          <w:p w14:paraId="657345CC" w14:textId="77777777" w:rsidR="000022FE" w:rsidRDefault="000022FE" w:rsidP="00B75758">
            <w:pPr>
              <w:pStyle w:val="Tablecellentry"/>
              <w:rPr>
                <w:szCs w:val="22"/>
              </w:rPr>
            </w:pPr>
            <w:r>
              <w:rPr>
                <w:szCs w:val="22"/>
              </w:rPr>
              <w:t>Grab</w:t>
            </w:r>
          </w:p>
        </w:tc>
        <w:tc>
          <w:tcPr>
            <w:tcW w:w="1055" w:type="pct"/>
            <w:shd w:val="clear" w:color="auto" w:fill="DAEEF3" w:themeFill="accent5" w:themeFillTint="33"/>
          </w:tcPr>
          <w:p w14:paraId="1249906F" w14:textId="77777777" w:rsidR="000022FE" w:rsidRDefault="000022FE" w:rsidP="00B75758">
            <w:pPr>
              <w:pStyle w:val="Tablecellentry"/>
              <w:rPr>
                <w:szCs w:val="22"/>
              </w:rPr>
            </w:pPr>
            <w:r>
              <w:rPr>
                <w:szCs w:val="22"/>
              </w:rPr>
              <w:t>Value</w:t>
            </w:r>
          </w:p>
        </w:tc>
      </w:tr>
      <w:tr w:rsidR="000022FE" w14:paraId="0B86A48F" w14:textId="77777777" w:rsidTr="00B75758">
        <w:trPr>
          <w:jc w:val="center"/>
        </w:trPr>
        <w:tc>
          <w:tcPr>
            <w:tcW w:w="911" w:type="pct"/>
            <w:shd w:val="clear" w:color="auto" w:fill="DAEEF3" w:themeFill="accent5" w:themeFillTint="33"/>
          </w:tcPr>
          <w:p w14:paraId="6A979A3D" w14:textId="77777777" w:rsidR="000022FE" w:rsidRDefault="000022FE" w:rsidP="00B75758">
            <w:pPr>
              <w:pStyle w:val="Tablecellentry"/>
              <w:rPr>
                <w:color w:val="000000" w:themeColor="text1"/>
                <w:szCs w:val="22"/>
                <w:highlight w:val="yellow"/>
              </w:rPr>
            </w:pPr>
            <w:r>
              <w:rPr>
                <w:color w:val="000000" w:themeColor="text1"/>
              </w:rPr>
              <w:t>Nitrogen Loading Rate</w:t>
            </w:r>
          </w:p>
        </w:tc>
        <w:tc>
          <w:tcPr>
            <w:tcW w:w="578" w:type="pct"/>
            <w:shd w:val="clear" w:color="auto" w:fill="DAEEF3" w:themeFill="accent5" w:themeFillTint="33"/>
          </w:tcPr>
          <w:p w14:paraId="5504F911" w14:textId="77777777" w:rsidR="000022FE" w:rsidRDefault="000022FE" w:rsidP="00B75758">
            <w:pPr>
              <w:pStyle w:val="Tablecellentry"/>
              <w:rPr>
                <w:color w:val="000000" w:themeColor="text1"/>
                <w:szCs w:val="22"/>
                <w:highlight w:val="yellow"/>
              </w:rPr>
            </w:pPr>
            <w:r>
              <w:rPr>
                <w:color w:val="000000" w:themeColor="text1"/>
              </w:rPr>
              <w:t>lb/acre-year</w:t>
            </w:r>
          </w:p>
        </w:tc>
        <w:tc>
          <w:tcPr>
            <w:tcW w:w="530" w:type="pct"/>
            <w:shd w:val="clear" w:color="auto" w:fill="DAEEF3" w:themeFill="accent5" w:themeFillTint="33"/>
          </w:tcPr>
          <w:p w14:paraId="3AD3D206" w14:textId="77777777" w:rsidR="000022FE" w:rsidRDefault="000022FE" w:rsidP="00B75758">
            <w:pPr>
              <w:pStyle w:val="Tablecellentry"/>
              <w:rPr>
                <w:color w:val="000000" w:themeColor="text1"/>
                <w:szCs w:val="22"/>
                <w:highlight w:val="yellow"/>
              </w:rPr>
            </w:pPr>
          </w:p>
        </w:tc>
        <w:tc>
          <w:tcPr>
            <w:tcW w:w="963" w:type="pct"/>
            <w:shd w:val="clear" w:color="auto" w:fill="DAEEF3" w:themeFill="accent5" w:themeFillTint="33"/>
          </w:tcPr>
          <w:p w14:paraId="6B2D09A4" w14:textId="77777777" w:rsidR="000022FE" w:rsidRDefault="000022FE" w:rsidP="00B75758">
            <w:pPr>
              <w:pStyle w:val="Tablecellentry"/>
              <w:rPr>
                <w:color w:val="000000" w:themeColor="text1"/>
                <w:szCs w:val="22"/>
                <w:highlight w:val="yellow"/>
              </w:rPr>
            </w:pPr>
            <w:r>
              <w:rPr>
                <w:color w:val="000000" w:themeColor="text1"/>
              </w:rPr>
              <w:t>Annually</w:t>
            </w:r>
          </w:p>
        </w:tc>
        <w:tc>
          <w:tcPr>
            <w:tcW w:w="963" w:type="pct"/>
            <w:shd w:val="clear" w:color="auto" w:fill="DAEEF3" w:themeFill="accent5" w:themeFillTint="33"/>
          </w:tcPr>
          <w:p w14:paraId="39D7D423" w14:textId="77777777" w:rsidR="000022FE" w:rsidRDefault="000022FE" w:rsidP="00B75758">
            <w:pPr>
              <w:pStyle w:val="Tablecellentry"/>
              <w:rPr>
                <w:color w:val="000000" w:themeColor="text1"/>
                <w:szCs w:val="22"/>
                <w:highlight w:val="yellow"/>
              </w:rPr>
            </w:pPr>
            <w:r>
              <w:rPr>
                <w:color w:val="000000" w:themeColor="text1"/>
              </w:rPr>
              <w:t>Calculate</w:t>
            </w:r>
          </w:p>
        </w:tc>
        <w:tc>
          <w:tcPr>
            <w:tcW w:w="1055" w:type="pct"/>
            <w:shd w:val="clear" w:color="auto" w:fill="DAEEF3" w:themeFill="accent5" w:themeFillTint="33"/>
          </w:tcPr>
          <w:p w14:paraId="27F20A6C" w14:textId="77777777" w:rsidR="000022FE" w:rsidRDefault="000022FE" w:rsidP="00B75758">
            <w:pPr>
              <w:pStyle w:val="Tablecellentry"/>
              <w:rPr>
                <w:color w:val="000000" w:themeColor="text1"/>
                <w:szCs w:val="22"/>
                <w:highlight w:val="yellow"/>
              </w:rPr>
            </w:pPr>
            <w:r>
              <w:rPr>
                <w:color w:val="000000" w:themeColor="text1"/>
                <w:szCs w:val="22"/>
              </w:rPr>
              <w:t>Value for each field</w:t>
            </w:r>
          </w:p>
        </w:tc>
      </w:tr>
      <w:tr w:rsidR="000022FE" w14:paraId="2B516D1C" w14:textId="77777777" w:rsidTr="00B75758">
        <w:trPr>
          <w:jc w:val="center"/>
        </w:trPr>
        <w:tc>
          <w:tcPr>
            <w:tcW w:w="5000" w:type="pct"/>
            <w:gridSpan w:val="6"/>
          </w:tcPr>
          <w:p w14:paraId="4763B4D3" w14:textId="77777777" w:rsidR="000022FE" w:rsidRDefault="000022FE" w:rsidP="00B75758">
            <w:pPr>
              <w:pStyle w:val="Tablecellentry"/>
              <w:rPr>
                <w:szCs w:val="22"/>
              </w:rPr>
            </w:pPr>
            <w:r>
              <w:rPr>
                <w:szCs w:val="22"/>
              </w:rPr>
              <w:lastRenderedPageBreak/>
              <w:t>Note:</w:t>
            </w:r>
          </w:p>
          <w:p w14:paraId="571CE94E" w14:textId="77777777" w:rsidR="000022FE" w:rsidRDefault="000022FE" w:rsidP="000022FE">
            <w:pPr>
              <w:pStyle w:val="Tablecellentry"/>
              <w:numPr>
                <w:ilvl w:val="1"/>
                <w:numId w:val="29"/>
              </w:numPr>
              <w:ind w:left="360" w:hanging="360"/>
              <w:rPr>
                <w:szCs w:val="22"/>
              </w:rPr>
            </w:pPr>
            <w:r>
              <w:rPr>
                <w:szCs w:val="22"/>
              </w:rPr>
              <w:t xml:space="preserve">All data collected should be included in the Recycled Water Annual Report in addition to monthly and quarterly reporting as indicated. </w:t>
            </w:r>
          </w:p>
          <w:p w14:paraId="0B2F2956" w14:textId="77777777" w:rsidR="000022FE" w:rsidRDefault="000022FE" w:rsidP="000022FE">
            <w:pPr>
              <w:pStyle w:val="Tablecellentry"/>
              <w:numPr>
                <w:ilvl w:val="1"/>
                <w:numId w:val="29"/>
              </w:numPr>
              <w:ind w:left="360" w:hanging="360"/>
              <w:rPr>
                <w:szCs w:val="22"/>
              </w:rPr>
            </w:pPr>
            <w:r w:rsidRPr="007F3D7C">
              <w:rPr>
                <w:szCs w:val="22"/>
                <w:highlight w:val="yellow"/>
              </w:rPr>
              <w:t>[</w:t>
            </w:r>
            <w:r w:rsidRPr="007F3D7C">
              <w:rPr>
                <w:i/>
                <w:iCs/>
                <w:szCs w:val="22"/>
                <w:highlight w:val="yellow"/>
              </w:rPr>
              <w:t>only include for Class A, B or C water</w:t>
            </w:r>
            <w:r w:rsidRPr="007F3D7C">
              <w:rPr>
                <w:szCs w:val="22"/>
                <w:highlight w:val="yellow"/>
              </w:rPr>
              <w:t>]</w:t>
            </w:r>
            <w:r>
              <w:rPr>
                <w:szCs w:val="22"/>
              </w:rPr>
              <w:t xml:space="preserve"> </w:t>
            </w:r>
            <w:r w:rsidRPr="007F3D7C">
              <w:rPr>
                <w:szCs w:val="22"/>
              </w:rPr>
              <w:t>Calculations of the median total coliform levels in Classes A – C are based on the results of the last seven days that analyses have been completed.</w:t>
            </w:r>
          </w:p>
        </w:tc>
      </w:tr>
    </w:tbl>
    <w:p w14:paraId="38635712" w14:textId="32AD2FF7" w:rsidR="003C5DA2" w:rsidRDefault="00073356" w:rsidP="00A0366F">
      <w:pPr>
        <w:pStyle w:val="PermitHanging1TOC"/>
      </w:pPr>
      <w:bookmarkStart w:id="88" w:name="_Toc378605454"/>
      <w:bookmarkStart w:id="89" w:name="_Toc203135899"/>
      <w:bookmarkEnd w:id="86"/>
      <w:bookmarkEnd w:id="87"/>
      <w:r w:rsidRPr="00074D1C">
        <w:t>Biosolids Monitoring Requirements</w:t>
      </w:r>
      <w:bookmarkEnd w:id="88"/>
      <w:bookmarkEnd w:id="89"/>
    </w:p>
    <w:p w14:paraId="7BB5C37E" w14:textId="348F810F" w:rsidR="00233394" w:rsidRDefault="00073356" w:rsidP="75EAEC27">
      <w:pPr>
        <w:pStyle w:val="PermitHanging1-text"/>
        <w:ind w:left="0"/>
      </w:pPr>
      <w:r>
        <w:t xml:space="preserve">The permittee must monitor biosolids land applied or produced for sale or distribution as listed below. The samples must be representative of the quality and quantity of biosolids generated and undergo the same treatment process used to prepare the biosolids. </w:t>
      </w:r>
      <w:r w:rsidR="0004059F">
        <w:t>Results must be rep</w:t>
      </w:r>
      <w:r w:rsidR="0030115F">
        <w:t>orted</w:t>
      </w:r>
      <w:r w:rsidR="0004059F">
        <w:t xml:space="preserve"> as required in the biosolids management plan described in Schedule D. </w:t>
      </w:r>
    </w:p>
    <w:p w14:paraId="49EB0EBE" w14:textId="77777777" w:rsidR="008F4D0A" w:rsidRDefault="008F4D0A" w:rsidP="004325BE">
      <w:pPr>
        <w:pStyle w:val="PermitHanging1-text"/>
      </w:pPr>
    </w:p>
    <w:p w14:paraId="0719C27F" w14:textId="40673280" w:rsidR="00233394" w:rsidRDefault="00073356" w:rsidP="00E546A5">
      <w:pPr>
        <w:pStyle w:val="Caption"/>
        <w:keepNext/>
        <w:keepLines/>
        <w:spacing w:after="120"/>
      </w:pPr>
      <w:bookmarkStart w:id="90" w:name="_Toc378775962"/>
      <w:bookmarkStart w:id="91" w:name="_Toc203135930"/>
      <w:bookmarkStart w:id="92" w:name="_Ref325112723"/>
      <w:bookmarkStart w:id="93" w:name="_Ref324856323"/>
      <w:bookmarkStart w:id="94" w:name="_Toc325148552"/>
      <w:r>
        <w:t>T</w:t>
      </w:r>
      <w:r w:rsidRPr="00C26470">
        <w:rPr>
          <w:highlight w:val="yellow"/>
        </w:rPr>
        <w:t xml:space="preserve">able </w:t>
      </w:r>
      <w:proofErr w:type="gramStart"/>
      <w:r w:rsidR="008632B3" w:rsidRPr="00C26470">
        <w:rPr>
          <w:highlight w:val="yellow"/>
        </w:rPr>
        <w:t>B?</w:t>
      </w:r>
      <w:r>
        <w:t>:</w:t>
      </w:r>
      <w:proofErr w:type="gramEnd"/>
      <w:r>
        <w:t xml:space="preserve"> Biosolids Monitoring</w:t>
      </w:r>
      <w:bookmarkEnd w:id="90"/>
      <w:bookmarkEnd w:id="91"/>
      <w:r>
        <w:t xml:space="preserve"> </w:t>
      </w:r>
      <w:bookmarkEnd w:id="92"/>
      <w:bookmarkEnd w:id="93"/>
      <w:bookmarkEnd w:id="94"/>
    </w:p>
    <w:p w14:paraId="02473039" w14:textId="0D7451CE" w:rsidR="00233394" w:rsidRDefault="00073356" w:rsidP="00EA1401">
      <w:pPr>
        <w:pStyle w:val="PermitNormal"/>
        <w:keepNext/>
        <w:keepLines/>
        <w:ind w:left="720"/>
      </w:pPr>
      <w:r>
        <w:rPr>
          <w:highlight w:val="yellow"/>
        </w:rPr>
        <w:t>[Note: the language in the following table has been written so that it requires no modification by the permit writer.</w:t>
      </w:r>
      <w:r w:rsidR="007C461A">
        <w:rPr>
          <w:highlight w:val="yellow"/>
        </w:rPr>
        <w:t xml:space="preserve"> </w:t>
      </w:r>
      <w:r>
        <w:rPr>
          <w:highlight w:val="yellow"/>
        </w:rPr>
        <w:t xml:space="preserve">It also captures the situation where a facility’s monitoring may change on a yearly basis, depending on the quantity of biosolids produced, and </w:t>
      </w:r>
      <w:r w:rsidR="00184F4B">
        <w:rPr>
          <w:highlight w:val="yellow"/>
        </w:rPr>
        <w:t>ensures</w:t>
      </w:r>
      <w:r>
        <w:rPr>
          <w:highlight w:val="yellow"/>
        </w:rPr>
        <w:t xml:space="preserve"> that a facility isn’t required to monitor more or less frequently than required by rule or federal regulation.]</w:t>
      </w:r>
      <w:r w:rsidR="007C461A">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09"/>
        <w:gridCol w:w="4118"/>
        <w:gridCol w:w="2161"/>
      </w:tblGrid>
      <w:tr w:rsidR="00233394" w14:paraId="035EED4F" w14:textId="77777777" w:rsidTr="000D341F">
        <w:trPr>
          <w:cantSplit/>
          <w:trHeight w:val="432"/>
          <w:tblHeader/>
          <w:jc w:val="center"/>
        </w:trPr>
        <w:tc>
          <w:tcPr>
            <w:tcW w:w="18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1A306" w14:textId="77777777" w:rsidR="00233394" w:rsidRPr="003C5DA2" w:rsidRDefault="00073356" w:rsidP="003C5DA2">
            <w:pPr>
              <w:keepNext/>
              <w:keepLines/>
              <w:spacing w:before="120" w:after="120"/>
              <w:jc w:val="center"/>
              <w:rPr>
                <w:rFonts w:ascii="Arial" w:hAnsi="Arial" w:cs="Arial"/>
                <w:b/>
                <w:szCs w:val="22"/>
              </w:rPr>
            </w:pPr>
            <w:r w:rsidRPr="003C5DA2">
              <w:rPr>
                <w:rFonts w:ascii="Arial" w:hAnsi="Arial" w:cs="Arial"/>
                <w:b/>
                <w:szCs w:val="22"/>
              </w:rPr>
              <w:t>Item or Parameter</w:t>
            </w:r>
          </w:p>
        </w:tc>
        <w:tc>
          <w:tcPr>
            <w:tcW w:w="20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7C605" w14:textId="77777777" w:rsidR="00233394" w:rsidRPr="003C5DA2" w:rsidRDefault="00073356" w:rsidP="003C5DA2">
            <w:pPr>
              <w:keepNext/>
              <w:keepLines/>
              <w:spacing w:before="120" w:after="120"/>
              <w:jc w:val="center"/>
              <w:rPr>
                <w:rFonts w:ascii="Arial" w:hAnsi="Arial" w:cs="Arial"/>
                <w:b/>
                <w:szCs w:val="22"/>
              </w:rPr>
            </w:pPr>
            <w:r w:rsidRPr="003C5DA2">
              <w:rPr>
                <w:rFonts w:ascii="Arial" w:hAnsi="Arial" w:cs="Arial"/>
                <w:b/>
                <w:szCs w:val="22"/>
              </w:rPr>
              <w:t>Minimum Frequency</w:t>
            </w:r>
          </w:p>
        </w:tc>
        <w:tc>
          <w:tcPr>
            <w:tcW w:w="1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47811" w14:textId="77777777" w:rsidR="00233394" w:rsidRPr="003C5DA2" w:rsidRDefault="00073356" w:rsidP="003C5DA2">
            <w:pPr>
              <w:keepNext/>
              <w:keepLines/>
              <w:spacing w:before="120" w:after="120"/>
              <w:jc w:val="center"/>
              <w:rPr>
                <w:rFonts w:ascii="Arial" w:hAnsi="Arial" w:cs="Arial"/>
                <w:b/>
                <w:szCs w:val="22"/>
              </w:rPr>
            </w:pPr>
            <w:r w:rsidRPr="003C5DA2">
              <w:rPr>
                <w:rFonts w:ascii="Arial" w:hAnsi="Arial" w:cs="Arial"/>
                <w:b/>
                <w:szCs w:val="22"/>
              </w:rPr>
              <w:t>Sample Type</w:t>
            </w:r>
          </w:p>
        </w:tc>
      </w:tr>
      <w:tr w:rsidR="00233394" w14:paraId="3D3E06A6" w14:textId="77777777" w:rsidTr="000D341F">
        <w:trPr>
          <w:cantSplit/>
          <w:jc w:val="center"/>
        </w:trPr>
        <w:tc>
          <w:tcPr>
            <w:tcW w:w="1888" w:type="pct"/>
            <w:tcBorders>
              <w:top w:val="single" w:sz="4" w:space="0" w:color="auto"/>
              <w:bottom w:val="single" w:sz="6" w:space="0" w:color="auto"/>
            </w:tcBorders>
            <w:shd w:val="clear" w:color="auto" w:fill="auto"/>
          </w:tcPr>
          <w:p w14:paraId="6BC2ADF6" w14:textId="59240B19" w:rsidR="00233394" w:rsidRDefault="00073356">
            <w:pPr>
              <w:pStyle w:val="Tablecellentry"/>
            </w:pPr>
            <w:r>
              <w:t xml:space="preserve">Nutrient and conventional parameters (% dry weight unless otherwise specified): </w:t>
            </w:r>
          </w:p>
          <w:p w14:paraId="2698B466" w14:textId="77777777" w:rsidR="00233394" w:rsidRDefault="00073356">
            <w:pPr>
              <w:pStyle w:val="Tablecellentry"/>
            </w:pPr>
            <w:r>
              <w:t xml:space="preserve">Total </w:t>
            </w:r>
            <w:proofErr w:type="spellStart"/>
            <w:r>
              <w:t>Kjeldahl</w:t>
            </w:r>
            <w:proofErr w:type="spellEnd"/>
            <w:r>
              <w:t xml:space="preserve"> Nitrogen (TKN) </w:t>
            </w:r>
          </w:p>
          <w:p w14:paraId="4B4D749C" w14:textId="77777777" w:rsidR="00233394" w:rsidRDefault="00073356">
            <w:pPr>
              <w:pStyle w:val="Tablecellentry"/>
            </w:pPr>
            <w:r>
              <w:t>Nitrate-Nitrogen (NO</w:t>
            </w:r>
            <w:r>
              <w:rPr>
                <w:vertAlign w:val="subscript"/>
              </w:rPr>
              <w:t>3</w:t>
            </w:r>
            <w:r>
              <w:t>-N)</w:t>
            </w:r>
          </w:p>
          <w:p w14:paraId="757F706A" w14:textId="6F981CF9" w:rsidR="00233394" w:rsidRDefault="00CC3A7B">
            <w:pPr>
              <w:pStyle w:val="Tablecellentry"/>
            </w:pPr>
            <w:r>
              <w:t>Total Ammonia</w:t>
            </w:r>
            <w:r w:rsidR="00D54146">
              <w:t>-</w:t>
            </w:r>
            <w:r w:rsidR="00073356">
              <w:t>Nitrogen (NH</w:t>
            </w:r>
            <w:r w:rsidR="00681572">
              <w:rPr>
                <w:vertAlign w:val="subscript"/>
              </w:rPr>
              <w:t>3</w:t>
            </w:r>
            <w:r w:rsidR="00073356">
              <w:t xml:space="preserve">-N) </w:t>
            </w:r>
          </w:p>
          <w:p w14:paraId="35089A5B" w14:textId="77777777" w:rsidR="00233394" w:rsidRDefault="00073356">
            <w:pPr>
              <w:pStyle w:val="Tablecellentry"/>
            </w:pPr>
            <w:r>
              <w:t>Total Phosphorus (P)</w:t>
            </w:r>
          </w:p>
          <w:p w14:paraId="261654AD" w14:textId="77777777" w:rsidR="00233394" w:rsidRDefault="00073356">
            <w:pPr>
              <w:pStyle w:val="Tablecellentry"/>
            </w:pPr>
            <w:r>
              <w:t>Potassium (K)</w:t>
            </w:r>
          </w:p>
          <w:p w14:paraId="41BB2C7E" w14:textId="77777777" w:rsidR="00233394" w:rsidRDefault="00073356">
            <w:pPr>
              <w:pStyle w:val="Tablecellentry"/>
            </w:pPr>
            <w:r>
              <w:t>pH (S.U.)</w:t>
            </w:r>
          </w:p>
          <w:p w14:paraId="44A6A7BA" w14:textId="77777777" w:rsidR="00233394" w:rsidRDefault="00073356">
            <w:pPr>
              <w:pStyle w:val="Tablecellentry"/>
            </w:pPr>
            <w:r>
              <w:t>Total Solids</w:t>
            </w:r>
          </w:p>
          <w:p w14:paraId="487D6F20" w14:textId="77777777" w:rsidR="00233394" w:rsidRDefault="00073356">
            <w:pPr>
              <w:pStyle w:val="Tablecellentry"/>
            </w:pPr>
            <w:r>
              <w:t>Volatile Solids</w:t>
            </w:r>
          </w:p>
        </w:tc>
        <w:tc>
          <w:tcPr>
            <w:tcW w:w="2041" w:type="pct"/>
            <w:tcBorders>
              <w:top w:val="single" w:sz="4" w:space="0" w:color="auto"/>
              <w:bottom w:val="single" w:sz="6" w:space="0" w:color="auto"/>
            </w:tcBorders>
            <w:shd w:val="clear" w:color="auto" w:fill="auto"/>
          </w:tcPr>
          <w:p w14:paraId="0F1CEF53" w14:textId="5BED44B3" w:rsidR="00233394" w:rsidRDefault="00073356" w:rsidP="008632B3">
            <w:pPr>
              <w:pStyle w:val="Tablecellentry"/>
            </w:pPr>
            <w:r>
              <w:t xml:space="preserve">As described in DEQ-approved Biosolids Management Plan, but not less than the frequency in Table </w:t>
            </w:r>
            <w:proofErr w:type="gramStart"/>
            <w:r w:rsidR="00BD4F9C">
              <w:t>B</w:t>
            </w:r>
            <w:r>
              <w:rPr>
                <w:highlight w:val="yellow"/>
              </w:rPr>
              <w:t>?</w:t>
            </w:r>
            <w:r>
              <w:t>.</w:t>
            </w:r>
            <w:proofErr w:type="gramEnd"/>
          </w:p>
        </w:tc>
        <w:tc>
          <w:tcPr>
            <w:tcW w:w="1071" w:type="pct"/>
            <w:tcBorders>
              <w:top w:val="single" w:sz="4" w:space="0" w:color="auto"/>
              <w:bottom w:val="single" w:sz="6" w:space="0" w:color="auto"/>
            </w:tcBorders>
            <w:shd w:val="clear" w:color="auto" w:fill="auto"/>
          </w:tcPr>
          <w:p w14:paraId="64160EAE" w14:textId="38716656" w:rsidR="00233394" w:rsidRDefault="00073356">
            <w:pPr>
              <w:pStyle w:val="Tablecellentry"/>
            </w:pPr>
            <w:r>
              <w:t>As described in DEQ-approved Biosolids Management Plan</w:t>
            </w:r>
          </w:p>
        </w:tc>
      </w:tr>
      <w:tr w:rsidR="00233394" w14:paraId="71776905" w14:textId="77777777" w:rsidTr="000D341F">
        <w:trPr>
          <w:cantSplit/>
          <w:jc w:val="center"/>
        </w:trPr>
        <w:tc>
          <w:tcPr>
            <w:tcW w:w="1888" w:type="pct"/>
            <w:tcBorders>
              <w:top w:val="single" w:sz="6" w:space="0" w:color="auto"/>
              <w:bottom w:val="single" w:sz="6" w:space="0" w:color="auto"/>
            </w:tcBorders>
            <w:shd w:val="clear" w:color="auto" w:fill="auto"/>
          </w:tcPr>
          <w:p w14:paraId="0F91D531" w14:textId="56CAB13F" w:rsidR="00233394" w:rsidRDefault="00073356">
            <w:pPr>
              <w:pStyle w:val="Tablecellentry"/>
            </w:pPr>
            <w:r>
              <w:t>Pollutants: As, Cd, Cu, Hg, Pb, Mo, Ni, Se, Zn, mg/kg dry weight</w:t>
            </w:r>
          </w:p>
        </w:tc>
        <w:tc>
          <w:tcPr>
            <w:tcW w:w="2041" w:type="pct"/>
            <w:tcBorders>
              <w:top w:val="single" w:sz="6" w:space="0" w:color="auto"/>
              <w:bottom w:val="single" w:sz="6" w:space="0" w:color="auto"/>
            </w:tcBorders>
            <w:shd w:val="clear" w:color="auto" w:fill="auto"/>
          </w:tcPr>
          <w:p w14:paraId="68AC65D5" w14:textId="716FCCE0" w:rsidR="00233394" w:rsidRDefault="00073356" w:rsidP="008632B3">
            <w:pPr>
              <w:pStyle w:val="Tablecellentry"/>
            </w:pPr>
            <w:r>
              <w:t xml:space="preserve">As described in DEQ-approved Biosolids Management Plan, but not less than the frequency in Table </w:t>
            </w:r>
            <w:r w:rsidR="00BD4F9C">
              <w:rPr>
                <w:highlight w:val="yellow"/>
              </w:rPr>
              <w:t>B</w:t>
            </w:r>
            <w:r>
              <w:rPr>
                <w:highlight w:val="yellow"/>
              </w:rPr>
              <w:t>?</w:t>
            </w:r>
          </w:p>
        </w:tc>
        <w:tc>
          <w:tcPr>
            <w:tcW w:w="1071" w:type="pct"/>
            <w:tcBorders>
              <w:top w:val="single" w:sz="6" w:space="0" w:color="auto"/>
              <w:bottom w:val="single" w:sz="6" w:space="0" w:color="auto"/>
            </w:tcBorders>
            <w:shd w:val="clear" w:color="auto" w:fill="auto"/>
          </w:tcPr>
          <w:p w14:paraId="38CB7C96" w14:textId="6913B332" w:rsidR="00233394" w:rsidRDefault="00073356">
            <w:pPr>
              <w:pStyle w:val="Tablecellentry"/>
            </w:pPr>
            <w:r>
              <w:t>As described in DEQ-approved Biosolids Management Plan</w:t>
            </w:r>
          </w:p>
        </w:tc>
      </w:tr>
      <w:tr w:rsidR="00233394" w14:paraId="551A91AD" w14:textId="77777777" w:rsidTr="000D341F">
        <w:trPr>
          <w:cantSplit/>
          <w:jc w:val="center"/>
        </w:trPr>
        <w:tc>
          <w:tcPr>
            <w:tcW w:w="1888" w:type="pct"/>
            <w:tcBorders>
              <w:top w:val="single" w:sz="6" w:space="0" w:color="auto"/>
              <w:bottom w:val="single" w:sz="6" w:space="0" w:color="auto"/>
            </w:tcBorders>
            <w:shd w:val="clear" w:color="auto" w:fill="auto"/>
          </w:tcPr>
          <w:p w14:paraId="0D04DF8D" w14:textId="77777777" w:rsidR="00233394" w:rsidRDefault="00073356">
            <w:pPr>
              <w:pStyle w:val="Tablecellentry"/>
            </w:pPr>
            <w:r>
              <w:t>Pathogen reduction</w:t>
            </w:r>
          </w:p>
        </w:tc>
        <w:tc>
          <w:tcPr>
            <w:tcW w:w="2041" w:type="pct"/>
            <w:tcBorders>
              <w:top w:val="single" w:sz="6" w:space="0" w:color="auto"/>
              <w:bottom w:val="single" w:sz="6" w:space="0" w:color="auto"/>
            </w:tcBorders>
            <w:shd w:val="clear" w:color="auto" w:fill="auto"/>
          </w:tcPr>
          <w:p w14:paraId="0F00EC15" w14:textId="33CE6EE4" w:rsidR="00233394" w:rsidRDefault="00073356" w:rsidP="00B82419">
            <w:pPr>
              <w:pStyle w:val="Tablecellentry"/>
            </w:pPr>
            <w:r>
              <w:t xml:space="preserve">As described in DEQ-approved Biosolids Management Plan, but not less than the frequency in Table </w:t>
            </w:r>
            <w:proofErr w:type="gramStart"/>
            <w:r w:rsidR="00BD4F9C">
              <w:rPr>
                <w:highlight w:val="yellow"/>
              </w:rPr>
              <w:t>B</w:t>
            </w:r>
            <w:r>
              <w:rPr>
                <w:highlight w:val="yellow"/>
              </w:rPr>
              <w:t>?</w:t>
            </w:r>
            <w:r>
              <w:t>.</w:t>
            </w:r>
            <w:proofErr w:type="gramEnd"/>
            <w:r>
              <w:t xml:space="preserve"> </w:t>
            </w:r>
          </w:p>
        </w:tc>
        <w:tc>
          <w:tcPr>
            <w:tcW w:w="1071" w:type="pct"/>
            <w:tcBorders>
              <w:top w:val="single" w:sz="6" w:space="0" w:color="auto"/>
              <w:bottom w:val="single" w:sz="6" w:space="0" w:color="auto"/>
            </w:tcBorders>
            <w:shd w:val="clear" w:color="auto" w:fill="auto"/>
          </w:tcPr>
          <w:p w14:paraId="316D9C86" w14:textId="1180DF9F" w:rsidR="00233394" w:rsidRDefault="00073356">
            <w:pPr>
              <w:pStyle w:val="Tablecellentry"/>
            </w:pPr>
            <w:r>
              <w:t>As described in DEQ-approved Biosolids Management Plan</w:t>
            </w:r>
          </w:p>
        </w:tc>
      </w:tr>
      <w:tr w:rsidR="00233394" w14:paraId="4C37929C" w14:textId="77777777" w:rsidTr="000D341F">
        <w:trPr>
          <w:cantSplit/>
          <w:jc w:val="center"/>
        </w:trPr>
        <w:tc>
          <w:tcPr>
            <w:tcW w:w="1888" w:type="pct"/>
            <w:tcBorders>
              <w:top w:val="single" w:sz="6" w:space="0" w:color="auto"/>
              <w:bottom w:val="single" w:sz="6" w:space="0" w:color="auto"/>
            </w:tcBorders>
            <w:shd w:val="clear" w:color="auto" w:fill="auto"/>
          </w:tcPr>
          <w:p w14:paraId="7753813F" w14:textId="77777777" w:rsidR="00233394" w:rsidRDefault="00073356">
            <w:pPr>
              <w:pStyle w:val="Tablecellentry"/>
            </w:pPr>
            <w:r>
              <w:t>Vector attraction reduction</w:t>
            </w:r>
          </w:p>
        </w:tc>
        <w:tc>
          <w:tcPr>
            <w:tcW w:w="2041" w:type="pct"/>
            <w:tcBorders>
              <w:top w:val="single" w:sz="6" w:space="0" w:color="auto"/>
              <w:bottom w:val="single" w:sz="6" w:space="0" w:color="auto"/>
            </w:tcBorders>
            <w:shd w:val="clear" w:color="auto" w:fill="auto"/>
          </w:tcPr>
          <w:p w14:paraId="59924133" w14:textId="180F927B" w:rsidR="00233394" w:rsidRDefault="00073356" w:rsidP="00B82419">
            <w:pPr>
              <w:pStyle w:val="Tablecellentry"/>
            </w:pPr>
            <w:r>
              <w:t xml:space="preserve">As described in DEQ-approved Biosolids Management Plan, but not less than the frequency in Table </w:t>
            </w:r>
            <w:proofErr w:type="gramStart"/>
            <w:r w:rsidR="00BD4F9C">
              <w:rPr>
                <w:highlight w:val="yellow"/>
              </w:rPr>
              <w:t>B</w:t>
            </w:r>
            <w:r>
              <w:rPr>
                <w:highlight w:val="yellow"/>
              </w:rPr>
              <w:t>?</w:t>
            </w:r>
            <w:r>
              <w:t>.</w:t>
            </w:r>
            <w:proofErr w:type="gramEnd"/>
          </w:p>
        </w:tc>
        <w:tc>
          <w:tcPr>
            <w:tcW w:w="1071" w:type="pct"/>
            <w:tcBorders>
              <w:top w:val="single" w:sz="6" w:space="0" w:color="auto"/>
              <w:bottom w:val="single" w:sz="6" w:space="0" w:color="auto"/>
            </w:tcBorders>
            <w:shd w:val="clear" w:color="auto" w:fill="auto"/>
          </w:tcPr>
          <w:p w14:paraId="5ADC3058" w14:textId="2873499C" w:rsidR="00233394" w:rsidRDefault="00073356">
            <w:pPr>
              <w:pStyle w:val="Tablecellentry"/>
            </w:pPr>
            <w:r>
              <w:t>As described in DEQ-approved Biosolids Management Plan</w:t>
            </w:r>
          </w:p>
        </w:tc>
      </w:tr>
      <w:tr w:rsidR="00233394" w14:paraId="46F780D5" w14:textId="77777777" w:rsidTr="000D341F">
        <w:trPr>
          <w:cantSplit/>
          <w:jc w:val="center"/>
        </w:trPr>
        <w:tc>
          <w:tcPr>
            <w:tcW w:w="1888" w:type="pct"/>
            <w:tcBorders>
              <w:top w:val="single" w:sz="6" w:space="0" w:color="auto"/>
              <w:bottom w:val="single" w:sz="6" w:space="0" w:color="auto"/>
            </w:tcBorders>
            <w:shd w:val="clear" w:color="auto" w:fill="auto"/>
          </w:tcPr>
          <w:p w14:paraId="0B004111" w14:textId="77777777" w:rsidR="00233394" w:rsidRDefault="00073356">
            <w:pPr>
              <w:pStyle w:val="Tablecellentry"/>
            </w:pPr>
            <w:r>
              <w:lastRenderedPageBreak/>
              <w:t>Record of biosolids land application: date, quantity, location.</w:t>
            </w:r>
          </w:p>
        </w:tc>
        <w:tc>
          <w:tcPr>
            <w:tcW w:w="2041" w:type="pct"/>
            <w:tcBorders>
              <w:top w:val="single" w:sz="6" w:space="0" w:color="auto"/>
              <w:bottom w:val="single" w:sz="6" w:space="0" w:color="auto"/>
            </w:tcBorders>
            <w:shd w:val="clear" w:color="auto" w:fill="auto"/>
          </w:tcPr>
          <w:p w14:paraId="23CCED36" w14:textId="77777777" w:rsidR="00233394" w:rsidRDefault="00073356">
            <w:pPr>
              <w:pStyle w:val="Tablecellentry"/>
            </w:pPr>
            <w:r>
              <w:t>Each event</w:t>
            </w:r>
          </w:p>
        </w:tc>
        <w:tc>
          <w:tcPr>
            <w:tcW w:w="1071" w:type="pct"/>
            <w:tcBorders>
              <w:top w:val="single" w:sz="6" w:space="0" w:color="auto"/>
              <w:bottom w:val="single" w:sz="6" w:space="0" w:color="auto"/>
            </w:tcBorders>
            <w:shd w:val="clear" w:color="auto" w:fill="auto"/>
          </w:tcPr>
          <w:p w14:paraId="07B507C3" w14:textId="77777777" w:rsidR="00233394" w:rsidRDefault="00073356">
            <w:pPr>
              <w:pStyle w:val="Tablecellentry"/>
            </w:pPr>
            <w:r>
              <w:t>Record the date, quantity, and location of biosolids land applied on site location map or equivalent electronic system, such as GIS.</w:t>
            </w:r>
          </w:p>
        </w:tc>
      </w:tr>
    </w:tbl>
    <w:p w14:paraId="20163FAD" w14:textId="5B27B6C7" w:rsidR="00233394" w:rsidRDefault="00233394"/>
    <w:p w14:paraId="1D9BD7B2" w14:textId="32B3A5BE" w:rsidR="008F4D0A" w:rsidRDefault="008F4D0A"/>
    <w:p w14:paraId="30EA3EFE" w14:textId="77777777" w:rsidR="008F4D0A" w:rsidRDefault="008F4D0A"/>
    <w:p w14:paraId="10959097" w14:textId="16841AA4" w:rsidR="00233394" w:rsidRDefault="00073356" w:rsidP="00960566">
      <w:pPr>
        <w:pStyle w:val="Caption"/>
        <w:keepNext/>
        <w:keepLines/>
        <w:spacing w:after="120"/>
      </w:pPr>
      <w:bookmarkStart w:id="95" w:name="_Toc378775963"/>
      <w:bookmarkStart w:id="96" w:name="_Toc203135931"/>
      <w:r>
        <w:t xml:space="preserve">Table </w:t>
      </w:r>
      <w:proofErr w:type="gramStart"/>
      <w:r w:rsidR="008632B3" w:rsidRPr="00C26470">
        <w:rPr>
          <w:highlight w:val="yellow"/>
        </w:rPr>
        <w:t>B?</w:t>
      </w:r>
      <w:r w:rsidRPr="00C26470">
        <w:rPr>
          <w:highlight w:val="yellow"/>
        </w:rPr>
        <w:t>:</w:t>
      </w:r>
      <w:proofErr w:type="gramEnd"/>
      <w:r>
        <w:t xml:space="preserve"> Biosolids Minimum Monitoring Frequency</w:t>
      </w:r>
      <w:bookmarkEnd w:id="95"/>
      <w:bookmarkEnd w:id="96"/>
      <w:r>
        <w:t xml:space="preserve"> </w:t>
      </w:r>
    </w:p>
    <w:tbl>
      <w:tblPr>
        <w:tblStyle w:val="TableGrid"/>
        <w:tblW w:w="5000" w:type="pct"/>
        <w:jc w:val="center"/>
        <w:tblLook w:val="04A0" w:firstRow="1" w:lastRow="0" w:firstColumn="1" w:lastColumn="0" w:noHBand="0" w:noVBand="1"/>
      </w:tblPr>
      <w:tblGrid>
        <w:gridCol w:w="3212"/>
        <w:gridCol w:w="2833"/>
        <w:gridCol w:w="4043"/>
      </w:tblGrid>
      <w:tr w:rsidR="00233394" w14:paraId="6855BF48" w14:textId="77777777" w:rsidTr="000D341F">
        <w:trPr>
          <w:cantSplit/>
          <w:trHeight w:val="432"/>
          <w:tblHeader/>
          <w:jc w:val="center"/>
        </w:trPr>
        <w:tc>
          <w:tcPr>
            <w:tcW w:w="2996" w:type="pct"/>
            <w:gridSpan w:val="2"/>
            <w:shd w:val="clear" w:color="auto" w:fill="D9D9D9" w:themeFill="background1" w:themeFillShade="D9"/>
            <w:vAlign w:val="center"/>
          </w:tcPr>
          <w:p w14:paraId="54D8A1EF" w14:textId="77777777" w:rsidR="00233394" w:rsidRDefault="00073356" w:rsidP="00AC3938">
            <w:pPr>
              <w:pStyle w:val="TableColumnHeading"/>
              <w:keepNext/>
              <w:keepLines/>
            </w:pPr>
            <w:r>
              <w:t xml:space="preserve">Quantity of biosolids land applied or produced </w:t>
            </w:r>
          </w:p>
          <w:p w14:paraId="15C926B1" w14:textId="77777777" w:rsidR="00233394" w:rsidRDefault="00073356" w:rsidP="00AC3938">
            <w:pPr>
              <w:pStyle w:val="TableColumnHeading"/>
              <w:keepNext/>
              <w:keepLines/>
            </w:pPr>
            <w:r>
              <w:t>for sale or distribution per calendar year</w:t>
            </w:r>
          </w:p>
        </w:tc>
        <w:tc>
          <w:tcPr>
            <w:tcW w:w="2004" w:type="pct"/>
            <w:vMerge w:val="restart"/>
            <w:shd w:val="clear" w:color="auto" w:fill="D9D9D9" w:themeFill="background1" w:themeFillShade="D9"/>
            <w:vAlign w:val="center"/>
          </w:tcPr>
          <w:p w14:paraId="60DE181C" w14:textId="77777777" w:rsidR="00233394" w:rsidRDefault="00073356" w:rsidP="00AC3938">
            <w:pPr>
              <w:pStyle w:val="TableColumnHeading"/>
              <w:keepNext/>
              <w:keepLines/>
            </w:pPr>
            <w:r>
              <w:t>Minimum Sampling Frequency</w:t>
            </w:r>
          </w:p>
          <w:p w14:paraId="434FD2C6" w14:textId="77777777" w:rsidR="00233394" w:rsidRDefault="00233394" w:rsidP="00AC3938">
            <w:pPr>
              <w:pStyle w:val="TableColumnHeading"/>
              <w:keepNext/>
              <w:keepLines/>
            </w:pPr>
          </w:p>
        </w:tc>
      </w:tr>
      <w:tr w:rsidR="00233394" w14:paraId="75E21C59" w14:textId="77777777" w:rsidTr="000D341F">
        <w:trPr>
          <w:cantSplit/>
          <w:trHeight w:val="432"/>
          <w:tblHeader/>
          <w:jc w:val="center"/>
        </w:trPr>
        <w:tc>
          <w:tcPr>
            <w:tcW w:w="1592" w:type="pct"/>
            <w:shd w:val="clear" w:color="auto" w:fill="D9D9D9" w:themeFill="background1" w:themeFillShade="D9"/>
            <w:vAlign w:val="center"/>
          </w:tcPr>
          <w:p w14:paraId="3C9826B1" w14:textId="77777777" w:rsidR="00233394" w:rsidRDefault="00073356">
            <w:pPr>
              <w:pStyle w:val="TableColumnHeading"/>
            </w:pPr>
            <w:r>
              <w:t>(dry metric tons)</w:t>
            </w:r>
          </w:p>
        </w:tc>
        <w:tc>
          <w:tcPr>
            <w:tcW w:w="1404" w:type="pct"/>
            <w:shd w:val="clear" w:color="auto" w:fill="D9D9D9" w:themeFill="background1" w:themeFillShade="D9"/>
            <w:vAlign w:val="center"/>
          </w:tcPr>
          <w:p w14:paraId="34111F9B" w14:textId="77777777" w:rsidR="00233394" w:rsidRDefault="00073356">
            <w:pPr>
              <w:pStyle w:val="TableColumnHeading"/>
            </w:pPr>
            <w:r>
              <w:t>(dry U.S. tons)</w:t>
            </w:r>
          </w:p>
        </w:tc>
        <w:tc>
          <w:tcPr>
            <w:tcW w:w="2004" w:type="pct"/>
            <w:vMerge/>
            <w:shd w:val="clear" w:color="auto" w:fill="D9D9D9" w:themeFill="background1" w:themeFillShade="D9"/>
            <w:vAlign w:val="center"/>
          </w:tcPr>
          <w:p w14:paraId="0FF645D8" w14:textId="77777777" w:rsidR="00233394" w:rsidRDefault="00233394">
            <w:pPr>
              <w:pStyle w:val="TableColumnHeading"/>
            </w:pPr>
          </w:p>
        </w:tc>
      </w:tr>
      <w:tr w:rsidR="00233394" w14:paraId="7687DF72" w14:textId="77777777" w:rsidTr="000D341F">
        <w:trPr>
          <w:cantSplit/>
          <w:jc w:val="center"/>
        </w:trPr>
        <w:tc>
          <w:tcPr>
            <w:tcW w:w="1592" w:type="pct"/>
          </w:tcPr>
          <w:p w14:paraId="7E667AF7" w14:textId="77777777" w:rsidR="00233394" w:rsidRDefault="00073356">
            <w:pPr>
              <w:pStyle w:val="Tablecellentry"/>
              <w:jc w:val="center"/>
            </w:pPr>
            <w:r>
              <w:t>Less than 290</w:t>
            </w:r>
          </w:p>
        </w:tc>
        <w:tc>
          <w:tcPr>
            <w:tcW w:w="1404" w:type="pct"/>
          </w:tcPr>
          <w:p w14:paraId="3C8840A7" w14:textId="77777777" w:rsidR="00233394" w:rsidRDefault="00073356">
            <w:pPr>
              <w:pStyle w:val="Tablecellentry"/>
              <w:jc w:val="center"/>
            </w:pPr>
            <w:r>
              <w:t>Less than 320</w:t>
            </w:r>
          </w:p>
        </w:tc>
        <w:tc>
          <w:tcPr>
            <w:tcW w:w="2004" w:type="pct"/>
          </w:tcPr>
          <w:p w14:paraId="5225284C" w14:textId="77777777" w:rsidR="00233394" w:rsidRDefault="00073356">
            <w:pPr>
              <w:pStyle w:val="Tablecellentry"/>
              <w:jc w:val="center"/>
            </w:pPr>
            <w:r>
              <w:t>Once per year</w:t>
            </w:r>
          </w:p>
        </w:tc>
      </w:tr>
      <w:tr w:rsidR="00233394" w14:paraId="1FC81D85" w14:textId="77777777" w:rsidTr="000D341F">
        <w:trPr>
          <w:cantSplit/>
          <w:jc w:val="center"/>
        </w:trPr>
        <w:tc>
          <w:tcPr>
            <w:tcW w:w="1592" w:type="pct"/>
          </w:tcPr>
          <w:p w14:paraId="55941192" w14:textId="77777777" w:rsidR="00233394" w:rsidRDefault="00073356">
            <w:pPr>
              <w:pStyle w:val="Tablecellentry"/>
              <w:jc w:val="center"/>
            </w:pPr>
            <w:r>
              <w:t>290 to 1,500</w:t>
            </w:r>
          </w:p>
        </w:tc>
        <w:tc>
          <w:tcPr>
            <w:tcW w:w="1404" w:type="pct"/>
          </w:tcPr>
          <w:p w14:paraId="2C73034E" w14:textId="77777777" w:rsidR="00233394" w:rsidRDefault="00073356">
            <w:pPr>
              <w:pStyle w:val="Tablecellentry"/>
              <w:jc w:val="center"/>
            </w:pPr>
            <w:r>
              <w:t>320 to 1,653</w:t>
            </w:r>
          </w:p>
        </w:tc>
        <w:tc>
          <w:tcPr>
            <w:tcW w:w="2004" w:type="pct"/>
          </w:tcPr>
          <w:p w14:paraId="53528513" w14:textId="77777777" w:rsidR="00233394" w:rsidRDefault="00073356">
            <w:pPr>
              <w:pStyle w:val="Tablecellentry"/>
              <w:jc w:val="center"/>
            </w:pPr>
            <w:r>
              <w:t>Once per quarter (4x/year)</w:t>
            </w:r>
          </w:p>
        </w:tc>
      </w:tr>
      <w:tr w:rsidR="00233394" w14:paraId="1B0235C1" w14:textId="77777777" w:rsidTr="000D341F">
        <w:trPr>
          <w:cantSplit/>
          <w:jc w:val="center"/>
        </w:trPr>
        <w:tc>
          <w:tcPr>
            <w:tcW w:w="1592" w:type="pct"/>
          </w:tcPr>
          <w:p w14:paraId="5B213535" w14:textId="66ECD231" w:rsidR="00233394" w:rsidRDefault="00073356">
            <w:pPr>
              <w:pStyle w:val="Tablecellentry"/>
              <w:jc w:val="center"/>
            </w:pPr>
            <w:r>
              <w:t>1</w:t>
            </w:r>
            <w:r w:rsidR="003042EA">
              <w:t>,</w:t>
            </w:r>
            <w:r>
              <w:t>500 to 15,000</w:t>
            </w:r>
          </w:p>
        </w:tc>
        <w:tc>
          <w:tcPr>
            <w:tcW w:w="1404" w:type="pct"/>
          </w:tcPr>
          <w:p w14:paraId="24030D72" w14:textId="77777777" w:rsidR="00233394" w:rsidRDefault="00073356">
            <w:pPr>
              <w:pStyle w:val="Tablecellentry"/>
              <w:jc w:val="center"/>
            </w:pPr>
            <w:r>
              <w:t>1,653 to 16,535</w:t>
            </w:r>
          </w:p>
        </w:tc>
        <w:tc>
          <w:tcPr>
            <w:tcW w:w="2004" w:type="pct"/>
          </w:tcPr>
          <w:p w14:paraId="24278411" w14:textId="77777777" w:rsidR="00233394" w:rsidRDefault="00073356">
            <w:pPr>
              <w:pStyle w:val="Tablecellentry"/>
              <w:jc w:val="center"/>
            </w:pPr>
            <w:r>
              <w:t>Once per 60 days (6x/year)</w:t>
            </w:r>
          </w:p>
        </w:tc>
      </w:tr>
      <w:tr w:rsidR="00233394" w14:paraId="39E0395F" w14:textId="77777777" w:rsidTr="000D341F">
        <w:trPr>
          <w:cantSplit/>
          <w:jc w:val="center"/>
        </w:trPr>
        <w:tc>
          <w:tcPr>
            <w:tcW w:w="1592" w:type="pct"/>
          </w:tcPr>
          <w:p w14:paraId="3ED4DBB8" w14:textId="77777777" w:rsidR="00233394" w:rsidRDefault="00073356">
            <w:pPr>
              <w:pStyle w:val="Tablecellentry"/>
              <w:jc w:val="center"/>
            </w:pPr>
            <w:r>
              <w:t>15,000 or more</w:t>
            </w:r>
          </w:p>
        </w:tc>
        <w:tc>
          <w:tcPr>
            <w:tcW w:w="1404" w:type="pct"/>
          </w:tcPr>
          <w:p w14:paraId="06FDFAF0" w14:textId="77777777" w:rsidR="00233394" w:rsidRDefault="00073356">
            <w:pPr>
              <w:pStyle w:val="Tablecellentry"/>
              <w:jc w:val="center"/>
            </w:pPr>
            <w:r>
              <w:t>16,535 or more</w:t>
            </w:r>
          </w:p>
        </w:tc>
        <w:tc>
          <w:tcPr>
            <w:tcW w:w="2004" w:type="pct"/>
          </w:tcPr>
          <w:p w14:paraId="58907B8A" w14:textId="77777777" w:rsidR="00233394" w:rsidRDefault="00073356">
            <w:pPr>
              <w:pStyle w:val="Tablecellentry"/>
              <w:jc w:val="center"/>
            </w:pPr>
            <w:r>
              <w:t>Once per month (12x/year)</w:t>
            </w:r>
          </w:p>
        </w:tc>
      </w:tr>
    </w:tbl>
    <w:p w14:paraId="1B1384C0" w14:textId="77777777" w:rsidR="00E546A5" w:rsidRDefault="00E546A5">
      <w:pPr>
        <w:rPr>
          <w:rFonts w:eastAsia="Calibri"/>
          <w:b/>
          <w:bCs/>
          <w:szCs w:val="18"/>
        </w:rPr>
      </w:pPr>
      <w:bookmarkStart w:id="97" w:name="_Ref328648404"/>
      <w:bookmarkStart w:id="98" w:name="_Ref328648407"/>
    </w:p>
    <w:p w14:paraId="274159E6" w14:textId="0E1BF11B" w:rsidR="00EA1401" w:rsidRDefault="00EA1401">
      <w:pPr>
        <w:jc w:val="left"/>
      </w:pPr>
      <w:r>
        <w:br w:type="page"/>
      </w:r>
    </w:p>
    <w:p w14:paraId="60FD4AC9" w14:textId="77777777" w:rsidR="004C0A57" w:rsidRDefault="004C0A57"/>
    <w:p w14:paraId="047EE605" w14:textId="429F211D" w:rsidR="00233394" w:rsidRDefault="00073356" w:rsidP="009F40BD">
      <w:pPr>
        <w:pStyle w:val="PermitSchHeadingTOC"/>
        <w:keepNext/>
        <w:keepLines/>
        <w:numPr>
          <w:ilvl w:val="0"/>
          <w:numId w:val="3"/>
        </w:numPr>
      </w:pPr>
      <w:bookmarkStart w:id="99" w:name="bmInfluent"/>
      <w:bookmarkStart w:id="100" w:name="ScheduleC"/>
      <w:bookmarkStart w:id="101" w:name="_Toc378605457"/>
      <w:bookmarkStart w:id="102" w:name="_Toc203135900"/>
      <w:bookmarkStart w:id="103" w:name="_Ref444405789"/>
      <w:bookmarkEnd w:id="97"/>
      <w:bookmarkEnd w:id="98"/>
      <w:bookmarkEnd w:id="99"/>
      <w:r>
        <w:t>SCHEDULE C</w:t>
      </w:r>
      <w:bookmarkEnd w:id="100"/>
      <w:r>
        <w:t>: COMPLIANCE SCHEDULE</w:t>
      </w:r>
      <w:bookmarkEnd w:id="101"/>
      <w:bookmarkEnd w:id="102"/>
    </w:p>
    <w:p w14:paraId="134B10F5" w14:textId="28F5FF10" w:rsidR="00233394" w:rsidRPr="00AE4759" w:rsidRDefault="00073356" w:rsidP="00AE4759">
      <w:pPr>
        <w:pStyle w:val="PermitNormal"/>
        <w:keepNext/>
        <w:keepLines/>
        <w:ind w:left="720"/>
        <w:rPr>
          <w:highlight w:val="yellow"/>
        </w:rPr>
      </w:pPr>
      <w:r>
        <w:rPr>
          <w:highlight w:val="yellow"/>
        </w:rPr>
        <w:t xml:space="preserve">Note to permit writer: </w:t>
      </w:r>
      <w:r w:rsidR="000B3C4F">
        <w:rPr>
          <w:highlight w:val="yellow"/>
        </w:rPr>
        <w:t xml:space="preserve">The following is only included if a compliance schedule is </w:t>
      </w:r>
      <w:r w:rsidR="00147903">
        <w:rPr>
          <w:highlight w:val="yellow"/>
        </w:rPr>
        <w:t xml:space="preserve">required </w:t>
      </w:r>
      <w:r w:rsidR="000B3C4F">
        <w:rPr>
          <w:highlight w:val="yellow"/>
        </w:rPr>
        <w:t>in the permit (contact subject matter expert for more information)</w:t>
      </w:r>
      <w:r w:rsidR="00D35640">
        <w:rPr>
          <w:highlight w:val="yellow"/>
        </w:rPr>
        <w:t xml:space="preserve"> If no compliance schedule in the permit, maintain Schedule C </w:t>
      </w:r>
      <w:r w:rsidR="00AE4759">
        <w:rPr>
          <w:highlight w:val="yellow"/>
        </w:rPr>
        <w:t xml:space="preserve">header </w:t>
      </w:r>
      <w:r w:rsidR="00D35640">
        <w:rPr>
          <w:highlight w:val="yellow"/>
        </w:rPr>
        <w:t>and include the following language “A compliance schedule is not part of this permit”</w:t>
      </w:r>
      <w:r w:rsidR="000B3C4F">
        <w:rPr>
          <w:highlight w:val="yellow"/>
        </w:rPr>
        <w:t>.</w:t>
      </w:r>
    </w:p>
    <w:p w14:paraId="71511FE3" w14:textId="046903E5" w:rsidR="00565E59" w:rsidRDefault="00073356" w:rsidP="0017702F">
      <w:pPr>
        <w:pStyle w:val="PermitHanging1TOC"/>
        <w:numPr>
          <w:ilvl w:val="0"/>
          <w:numId w:val="61"/>
        </w:numPr>
      </w:pPr>
      <w:bookmarkStart w:id="104" w:name="_Toc326239887"/>
      <w:bookmarkStart w:id="105" w:name="_Toc378605458"/>
      <w:bookmarkStart w:id="106" w:name="_Toc203135901"/>
      <w:r>
        <w:t xml:space="preserve">Compliance Schedule to Meet Final </w:t>
      </w:r>
      <w:r w:rsidR="001A67B4">
        <w:t>Effluent</w:t>
      </w:r>
      <w:r>
        <w:t xml:space="preserve"> </w:t>
      </w:r>
      <w:bookmarkEnd w:id="104"/>
      <w:bookmarkEnd w:id="105"/>
      <w:r w:rsidR="005919C4">
        <w:t>Limits</w:t>
      </w:r>
      <w:bookmarkEnd w:id="106"/>
    </w:p>
    <w:p w14:paraId="17BE8782" w14:textId="77777777" w:rsidR="000B3C4F" w:rsidRDefault="000B3C4F" w:rsidP="75EAEC27">
      <w:pPr>
        <w:pStyle w:val="PermitHanging1-text"/>
        <w:ind w:left="0"/>
      </w:pPr>
      <w:r>
        <w:t>The permittee must comply with the following schedule:</w:t>
      </w:r>
    </w:p>
    <w:p w14:paraId="03614E16" w14:textId="77777777" w:rsidR="000B3C4F" w:rsidRDefault="000B3C4F" w:rsidP="000B3C4F">
      <w:pPr>
        <w:pStyle w:val="PermitNormal"/>
      </w:pPr>
    </w:p>
    <w:tbl>
      <w:tblPr>
        <w:tblW w:w="5000" w:type="pct"/>
        <w:jc w:val="center"/>
        <w:tblBorders>
          <w:top w:val="nil"/>
          <w:left w:val="nil"/>
          <w:bottom w:val="nil"/>
          <w:right w:val="nil"/>
        </w:tblBorders>
        <w:tblLook w:val="0000" w:firstRow="0" w:lastRow="0" w:firstColumn="0" w:lastColumn="0" w:noHBand="0" w:noVBand="0"/>
      </w:tblPr>
      <w:tblGrid>
        <w:gridCol w:w="2869"/>
        <w:gridCol w:w="7219"/>
      </w:tblGrid>
      <w:tr w:rsidR="000B3C4F" w:rsidRPr="003B29A3" w14:paraId="5C993344" w14:textId="77777777" w:rsidTr="000D341F">
        <w:trPr>
          <w:trHeight w:val="176"/>
          <w:jc w:val="center"/>
        </w:trPr>
        <w:tc>
          <w:tcPr>
            <w:tcW w:w="14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FD5CE3" w14:textId="4E513CAA" w:rsidR="000B3C4F" w:rsidRPr="003B29A3" w:rsidRDefault="00766D3B" w:rsidP="000B3C4F">
            <w:pPr>
              <w:pStyle w:val="TableColumnHeading"/>
              <w:spacing w:before="120" w:after="120"/>
              <w:rPr>
                <w:lang w:val="en-ZW" w:eastAsia="en-CA"/>
              </w:rPr>
            </w:pPr>
            <w:r>
              <w:rPr>
                <w:lang w:val="en-ZW" w:eastAsia="en-CA"/>
              </w:rPr>
              <w:t>Compliance Date</w:t>
            </w:r>
            <w:r w:rsidR="000B3C4F" w:rsidRPr="003B29A3">
              <w:rPr>
                <w:lang w:val="en-ZW" w:eastAsia="en-CA"/>
              </w:rPr>
              <w:t xml:space="preserve">: </w:t>
            </w:r>
          </w:p>
        </w:tc>
        <w:tc>
          <w:tcPr>
            <w:tcW w:w="35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E14177" w14:textId="77777777" w:rsidR="000B3C4F" w:rsidRPr="003B29A3" w:rsidRDefault="000B3C4F" w:rsidP="000B3C4F">
            <w:pPr>
              <w:pStyle w:val="TableColumnHeading"/>
              <w:spacing w:before="120" w:after="120"/>
              <w:rPr>
                <w:lang w:val="en-ZW" w:eastAsia="en-CA"/>
              </w:rPr>
            </w:pPr>
            <w:r w:rsidRPr="003B29A3">
              <w:rPr>
                <w:lang w:val="en-ZW" w:eastAsia="en-CA"/>
              </w:rPr>
              <w:t xml:space="preserve">Requirement: </w:t>
            </w:r>
          </w:p>
        </w:tc>
      </w:tr>
      <w:tr w:rsidR="000B3C4F" w:rsidRPr="003B29A3" w14:paraId="317BE120" w14:textId="77777777" w:rsidTr="00F26989">
        <w:trPr>
          <w:trHeight w:val="539"/>
          <w:jc w:val="center"/>
        </w:trPr>
        <w:tc>
          <w:tcPr>
            <w:tcW w:w="1422" w:type="pct"/>
            <w:tcBorders>
              <w:top w:val="single" w:sz="4" w:space="0" w:color="000000"/>
              <w:left w:val="single" w:sz="4" w:space="0" w:color="000000"/>
              <w:bottom w:val="single" w:sz="4" w:space="0" w:color="000000"/>
              <w:right w:val="single" w:sz="4" w:space="0" w:color="000000"/>
            </w:tcBorders>
          </w:tcPr>
          <w:p w14:paraId="0D730123" w14:textId="77777777" w:rsidR="000B3C4F" w:rsidRDefault="000B3C4F" w:rsidP="00F26989">
            <w:pPr>
              <w:autoSpaceDE w:val="0"/>
              <w:autoSpaceDN w:val="0"/>
              <w:adjustRightInd w:val="0"/>
              <w:jc w:val="left"/>
              <w:rPr>
                <w:color w:val="000000"/>
                <w:szCs w:val="22"/>
                <w:lang w:val="en-ZW" w:eastAsia="en-CA"/>
              </w:rPr>
            </w:pPr>
            <w:r>
              <w:rPr>
                <w:color w:val="000000"/>
                <w:szCs w:val="22"/>
                <w:lang w:val="en-ZW" w:eastAsia="en-CA"/>
              </w:rPr>
              <w:t>By XX/XX/XXXX</w:t>
            </w:r>
          </w:p>
          <w:p w14:paraId="7C50AB04" w14:textId="4B887AB5" w:rsidR="00B61D53" w:rsidRPr="00B61D53" w:rsidRDefault="00B61D53" w:rsidP="00F26989">
            <w:pPr>
              <w:autoSpaceDE w:val="0"/>
              <w:autoSpaceDN w:val="0"/>
              <w:adjustRightInd w:val="0"/>
              <w:jc w:val="left"/>
              <w:rPr>
                <w:color w:val="000000"/>
                <w:szCs w:val="22"/>
                <w:lang w:val="en-ZW" w:eastAsia="en-CA"/>
              </w:rPr>
            </w:pPr>
            <w:r w:rsidRPr="00B61D53">
              <w:rPr>
                <w:rStyle w:val="cf01"/>
                <w:rFonts w:ascii="Times New Roman" w:hAnsi="Times New Roman" w:cs="Times New Roman"/>
                <w:sz w:val="22"/>
                <w:szCs w:val="22"/>
              </w:rPr>
              <w:t xml:space="preserve">Within </w:t>
            </w:r>
            <w:r>
              <w:rPr>
                <w:rStyle w:val="cf01"/>
                <w:rFonts w:ascii="Times New Roman" w:hAnsi="Times New Roman" w:cs="Times New Roman"/>
                <w:sz w:val="22"/>
                <w:szCs w:val="22"/>
              </w:rPr>
              <w:t>X</w:t>
            </w:r>
            <w:r w:rsidRPr="00B61D53">
              <w:rPr>
                <w:rStyle w:val="cf01"/>
                <w:rFonts w:ascii="Times New Roman" w:hAnsi="Times New Roman" w:cs="Times New Roman"/>
                <w:sz w:val="22"/>
                <w:szCs w:val="22"/>
              </w:rPr>
              <w:t xml:space="preserve"> months of permit effective date</w:t>
            </w:r>
          </w:p>
        </w:tc>
        <w:tc>
          <w:tcPr>
            <w:tcW w:w="3578" w:type="pct"/>
            <w:tcBorders>
              <w:top w:val="single" w:sz="4" w:space="0" w:color="000000"/>
              <w:left w:val="single" w:sz="4" w:space="0" w:color="000000"/>
              <w:bottom w:val="single" w:sz="4" w:space="0" w:color="000000"/>
              <w:right w:val="single" w:sz="4" w:space="0" w:color="000000"/>
            </w:tcBorders>
          </w:tcPr>
          <w:p w14:paraId="3DBDB2A9" w14:textId="12603750" w:rsidR="000B3C4F" w:rsidRDefault="000B3C4F" w:rsidP="000B3C4F">
            <w:pPr>
              <w:autoSpaceDE w:val="0"/>
              <w:autoSpaceDN w:val="0"/>
              <w:adjustRightInd w:val="0"/>
              <w:jc w:val="left"/>
              <w:rPr>
                <w:color w:val="000000"/>
                <w:szCs w:val="22"/>
                <w:lang w:val="en-ZW" w:eastAsia="en-CA"/>
              </w:rPr>
            </w:pPr>
            <w:r>
              <w:rPr>
                <w:color w:val="000000"/>
                <w:szCs w:val="22"/>
                <w:lang w:val="en-ZW" w:eastAsia="en-CA"/>
              </w:rPr>
              <w:t>The permittee</w:t>
            </w:r>
            <w:r w:rsidRPr="003B29A3">
              <w:rPr>
                <w:color w:val="000000"/>
                <w:szCs w:val="22"/>
                <w:lang w:val="en-ZW" w:eastAsia="en-CA"/>
              </w:rPr>
              <w:t xml:space="preserve"> must</w:t>
            </w:r>
            <w:r>
              <w:rPr>
                <w:color w:val="000000"/>
                <w:szCs w:val="22"/>
                <w:lang w:val="en-ZW" w:eastAsia="en-CA"/>
              </w:rPr>
              <w:t xml:space="preserve"> </w:t>
            </w:r>
            <w:r w:rsidR="003D74C6" w:rsidRPr="003D74C6">
              <w:rPr>
                <w:color w:val="000000"/>
                <w:szCs w:val="22"/>
                <w:highlight w:val="yellow"/>
                <w:lang w:val="en-ZW" w:eastAsia="en-CA"/>
              </w:rPr>
              <w:t>[insert interim requirement</w:t>
            </w:r>
            <w:r w:rsidR="005F6F06">
              <w:rPr>
                <w:color w:val="000000"/>
                <w:szCs w:val="22"/>
                <w:highlight w:val="yellow"/>
                <w:lang w:val="en-ZW" w:eastAsia="en-CA"/>
              </w:rPr>
              <w:t xml:space="preserve"> as necessary</w:t>
            </w:r>
            <w:r w:rsidR="003D74C6" w:rsidRPr="003D74C6">
              <w:rPr>
                <w:color w:val="000000"/>
                <w:szCs w:val="22"/>
                <w:highlight w:val="yellow"/>
                <w:lang w:val="en-ZW" w:eastAsia="en-CA"/>
              </w:rPr>
              <w:t>]</w:t>
            </w:r>
          </w:p>
        </w:tc>
      </w:tr>
      <w:tr w:rsidR="000B3C4F" w:rsidRPr="003B29A3" w14:paraId="778CAA9C" w14:textId="77777777" w:rsidTr="000D341F">
        <w:trPr>
          <w:trHeight w:val="539"/>
          <w:jc w:val="center"/>
        </w:trPr>
        <w:tc>
          <w:tcPr>
            <w:tcW w:w="1422" w:type="pct"/>
            <w:tcBorders>
              <w:top w:val="single" w:sz="4" w:space="0" w:color="000000"/>
              <w:left w:val="single" w:sz="4" w:space="0" w:color="000000"/>
              <w:bottom w:val="single" w:sz="4" w:space="0" w:color="000000"/>
              <w:right w:val="single" w:sz="4" w:space="0" w:color="000000"/>
            </w:tcBorders>
          </w:tcPr>
          <w:p w14:paraId="09236731" w14:textId="77777777" w:rsidR="000B3C4F" w:rsidRDefault="000B3C4F" w:rsidP="000B3C4F">
            <w:pPr>
              <w:autoSpaceDE w:val="0"/>
              <w:autoSpaceDN w:val="0"/>
              <w:adjustRightInd w:val="0"/>
              <w:jc w:val="left"/>
              <w:rPr>
                <w:color w:val="000000"/>
                <w:szCs w:val="22"/>
                <w:lang w:val="en-ZW" w:eastAsia="en-CA"/>
              </w:rPr>
            </w:pPr>
            <w:r>
              <w:rPr>
                <w:color w:val="000000"/>
                <w:szCs w:val="22"/>
                <w:lang w:val="en-ZW" w:eastAsia="en-CA"/>
              </w:rPr>
              <w:t>By XX/XX/XXXX</w:t>
            </w:r>
          </w:p>
          <w:p w14:paraId="78785965" w14:textId="2E3A6F9C" w:rsidR="00B61D53" w:rsidRPr="003B29A3" w:rsidRDefault="00B61D53" w:rsidP="000B3C4F">
            <w:pPr>
              <w:autoSpaceDE w:val="0"/>
              <w:autoSpaceDN w:val="0"/>
              <w:adjustRightInd w:val="0"/>
              <w:jc w:val="left"/>
              <w:rPr>
                <w:color w:val="000000"/>
                <w:szCs w:val="22"/>
                <w:lang w:val="en-ZW" w:eastAsia="en-CA"/>
              </w:rPr>
            </w:pPr>
            <w:r w:rsidRPr="00B61D53">
              <w:rPr>
                <w:rStyle w:val="cf01"/>
                <w:rFonts w:ascii="Times New Roman" w:hAnsi="Times New Roman" w:cs="Times New Roman"/>
                <w:sz w:val="22"/>
                <w:szCs w:val="22"/>
              </w:rPr>
              <w:t xml:space="preserve">Within </w:t>
            </w:r>
            <w:r>
              <w:rPr>
                <w:rStyle w:val="cf01"/>
                <w:rFonts w:ascii="Times New Roman" w:hAnsi="Times New Roman" w:cs="Times New Roman"/>
                <w:sz w:val="22"/>
                <w:szCs w:val="22"/>
              </w:rPr>
              <w:t>X</w:t>
            </w:r>
            <w:r w:rsidRPr="00B61D53">
              <w:rPr>
                <w:rStyle w:val="cf01"/>
                <w:rFonts w:ascii="Times New Roman" w:hAnsi="Times New Roman" w:cs="Times New Roman"/>
                <w:sz w:val="22"/>
                <w:szCs w:val="22"/>
              </w:rPr>
              <w:t xml:space="preserve"> months of permit effective date</w:t>
            </w:r>
          </w:p>
        </w:tc>
        <w:tc>
          <w:tcPr>
            <w:tcW w:w="3578" w:type="pct"/>
            <w:tcBorders>
              <w:top w:val="single" w:sz="4" w:space="0" w:color="000000"/>
              <w:left w:val="single" w:sz="4" w:space="0" w:color="000000"/>
              <w:bottom w:val="single" w:sz="4" w:space="0" w:color="000000"/>
              <w:right w:val="single" w:sz="4" w:space="0" w:color="000000"/>
            </w:tcBorders>
          </w:tcPr>
          <w:p w14:paraId="3C0A708D" w14:textId="6BCAEB6F" w:rsidR="000B3C4F" w:rsidRPr="003B29A3" w:rsidRDefault="000B3C4F" w:rsidP="000B3C4F">
            <w:pPr>
              <w:autoSpaceDE w:val="0"/>
              <w:autoSpaceDN w:val="0"/>
              <w:adjustRightInd w:val="0"/>
              <w:jc w:val="left"/>
              <w:rPr>
                <w:color w:val="000000"/>
                <w:szCs w:val="22"/>
                <w:lang w:val="en-ZW" w:eastAsia="en-CA"/>
              </w:rPr>
            </w:pPr>
            <w:r>
              <w:rPr>
                <w:color w:val="000000"/>
                <w:szCs w:val="22"/>
                <w:lang w:val="en-ZW" w:eastAsia="en-CA"/>
              </w:rPr>
              <w:t>The permittee</w:t>
            </w:r>
            <w:r w:rsidRPr="003B29A3">
              <w:rPr>
                <w:color w:val="000000"/>
                <w:szCs w:val="22"/>
                <w:lang w:val="en-ZW" w:eastAsia="en-CA"/>
              </w:rPr>
              <w:t xml:space="preserve"> must </w:t>
            </w:r>
            <w:r w:rsidR="003D74C6" w:rsidRPr="003D74C6">
              <w:rPr>
                <w:color w:val="000000"/>
                <w:szCs w:val="22"/>
                <w:highlight w:val="yellow"/>
                <w:lang w:val="en-ZW" w:eastAsia="en-CA"/>
              </w:rPr>
              <w:t>[insert interim requirement</w:t>
            </w:r>
            <w:r w:rsidR="005F6F06">
              <w:rPr>
                <w:color w:val="000000"/>
                <w:szCs w:val="22"/>
                <w:highlight w:val="yellow"/>
                <w:lang w:val="en-ZW" w:eastAsia="en-CA"/>
              </w:rPr>
              <w:t xml:space="preserve"> as necessary</w:t>
            </w:r>
            <w:r w:rsidR="003D74C6" w:rsidRPr="003D74C6">
              <w:rPr>
                <w:color w:val="000000"/>
                <w:szCs w:val="22"/>
                <w:highlight w:val="yellow"/>
                <w:lang w:val="en-ZW" w:eastAsia="en-CA"/>
              </w:rPr>
              <w:t>]</w:t>
            </w:r>
          </w:p>
        </w:tc>
      </w:tr>
      <w:tr w:rsidR="000B3C4F" w:rsidRPr="003B29A3" w14:paraId="3BF731B2" w14:textId="77777777" w:rsidTr="000D341F">
        <w:trPr>
          <w:trHeight w:val="651"/>
          <w:jc w:val="center"/>
        </w:trPr>
        <w:tc>
          <w:tcPr>
            <w:tcW w:w="1422" w:type="pct"/>
            <w:tcBorders>
              <w:top w:val="single" w:sz="4" w:space="0" w:color="000000"/>
              <w:left w:val="single" w:sz="4" w:space="0" w:color="000000"/>
              <w:bottom w:val="single" w:sz="4" w:space="0" w:color="000000"/>
              <w:right w:val="single" w:sz="4" w:space="0" w:color="000000"/>
            </w:tcBorders>
          </w:tcPr>
          <w:p w14:paraId="570A78A1" w14:textId="77777777" w:rsidR="000B3C4F" w:rsidRDefault="000B3C4F" w:rsidP="000B3C4F">
            <w:pPr>
              <w:autoSpaceDE w:val="0"/>
              <w:autoSpaceDN w:val="0"/>
              <w:adjustRightInd w:val="0"/>
              <w:jc w:val="left"/>
              <w:rPr>
                <w:color w:val="000000"/>
                <w:szCs w:val="22"/>
                <w:lang w:val="en-ZW" w:eastAsia="en-CA"/>
              </w:rPr>
            </w:pPr>
            <w:r>
              <w:rPr>
                <w:color w:val="000000"/>
                <w:szCs w:val="22"/>
                <w:lang w:val="en-ZW" w:eastAsia="en-CA"/>
              </w:rPr>
              <w:t>By XX/XX/XXXX</w:t>
            </w:r>
          </w:p>
          <w:p w14:paraId="6A7A1742" w14:textId="47C2A9B4" w:rsidR="00B61D53" w:rsidRPr="003B29A3" w:rsidRDefault="00B61D53" w:rsidP="000B3C4F">
            <w:pPr>
              <w:autoSpaceDE w:val="0"/>
              <w:autoSpaceDN w:val="0"/>
              <w:adjustRightInd w:val="0"/>
              <w:jc w:val="left"/>
              <w:rPr>
                <w:color w:val="000000"/>
                <w:szCs w:val="22"/>
                <w:lang w:val="en-ZW" w:eastAsia="en-CA"/>
              </w:rPr>
            </w:pPr>
            <w:r w:rsidRPr="00B61D53">
              <w:rPr>
                <w:rStyle w:val="cf01"/>
                <w:rFonts w:ascii="Times New Roman" w:hAnsi="Times New Roman" w:cs="Times New Roman"/>
                <w:sz w:val="22"/>
                <w:szCs w:val="22"/>
              </w:rPr>
              <w:t xml:space="preserve">Within </w:t>
            </w:r>
            <w:r>
              <w:rPr>
                <w:rStyle w:val="cf01"/>
                <w:rFonts w:ascii="Times New Roman" w:hAnsi="Times New Roman" w:cs="Times New Roman"/>
                <w:sz w:val="22"/>
                <w:szCs w:val="22"/>
              </w:rPr>
              <w:t>X</w:t>
            </w:r>
            <w:r w:rsidRPr="00B61D53">
              <w:rPr>
                <w:rStyle w:val="cf01"/>
                <w:rFonts w:ascii="Times New Roman" w:hAnsi="Times New Roman" w:cs="Times New Roman"/>
                <w:sz w:val="22"/>
                <w:szCs w:val="22"/>
              </w:rPr>
              <w:t xml:space="preserve"> months of permit effective date</w:t>
            </w:r>
          </w:p>
        </w:tc>
        <w:tc>
          <w:tcPr>
            <w:tcW w:w="3578" w:type="pct"/>
            <w:tcBorders>
              <w:top w:val="single" w:sz="4" w:space="0" w:color="000000"/>
              <w:left w:val="single" w:sz="4" w:space="0" w:color="000000"/>
              <w:bottom w:val="single" w:sz="4" w:space="0" w:color="000000"/>
              <w:right w:val="single" w:sz="4" w:space="0" w:color="000000"/>
            </w:tcBorders>
          </w:tcPr>
          <w:p w14:paraId="68DB3117" w14:textId="6BF4D2C3" w:rsidR="000B3C4F" w:rsidRPr="003B29A3" w:rsidRDefault="000B3C4F" w:rsidP="000B3C4F">
            <w:pPr>
              <w:autoSpaceDE w:val="0"/>
              <w:autoSpaceDN w:val="0"/>
              <w:adjustRightInd w:val="0"/>
              <w:jc w:val="left"/>
              <w:rPr>
                <w:color w:val="000000"/>
                <w:szCs w:val="22"/>
                <w:lang w:val="en-ZW" w:eastAsia="en-CA"/>
              </w:rPr>
            </w:pPr>
            <w:r>
              <w:rPr>
                <w:color w:val="000000"/>
                <w:szCs w:val="22"/>
                <w:lang w:val="en-ZW" w:eastAsia="en-CA"/>
              </w:rPr>
              <w:t>The permittee</w:t>
            </w:r>
            <w:r w:rsidRPr="003B29A3">
              <w:rPr>
                <w:color w:val="000000"/>
                <w:szCs w:val="22"/>
                <w:lang w:val="en-ZW" w:eastAsia="en-CA"/>
              </w:rPr>
              <w:t xml:space="preserve"> must </w:t>
            </w:r>
            <w:r w:rsidR="003D74C6" w:rsidRPr="003D74C6">
              <w:rPr>
                <w:color w:val="000000"/>
                <w:szCs w:val="22"/>
                <w:highlight w:val="yellow"/>
                <w:lang w:val="en-ZW" w:eastAsia="en-CA"/>
              </w:rPr>
              <w:t>[insert interim requirement</w:t>
            </w:r>
            <w:r w:rsidR="005F6F06">
              <w:rPr>
                <w:color w:val="000000"/>
                <w:szCs w:val="22"/>
                <w:highlight w:val="yellow"/>
                <w:lang w:val="en-ZW" w:eastAsia="en-CA"/>
              </w:rPr>
              <w:t xml:space="preserve"> as necessary</w:t>
            </w:r>
            <w:r w:rsidR="003D74C6" w:rsidRPr="003D74C6">
              <w:rPr>
                <w:color w:val="000000"/>
                <w:szCs w:val="22"/>
                <w:highlight w:val="yellow"/>
                <w:lang w:val="en-ZW" w:eastAsia="en-CA"/>
              </w:rPr>
              <w:t>]</w:t>
            </w:r>
          </w:p>
        </w:tc>
      </w:tr>
      <w:tr w:rsidR="000B3C4F" w:rsidRPr="003B29A3" w14:paraId="60603BE1" w14:textId="77777777" w:rsidTr="000D341F">
        <w:trPr>
          <w:trHeight w:val="494"/>
          <w:jc w:val="center"/>
        </w:trPr>
        <w:tc>
          <w:tcPr>
            <w:tcW w:w="1422" w:type="pct"/>
            <w:tcBorders>
              <w:top w:val="single" w:sz="4" w:space="0" w:color="000000"/>
              <w:left w:val="single" w:sz="4" w:space="0" w:color="000000"/>
              <w:bottom w:val="single" w:sz="4" w:space="0" w:color="000000"/>
              <w:right w:val="single" w:sz="4" w:space="0" w:color="000000"/>
            </w:tcBorders>
          </w:tcPr>
          <w:p w14:paraId="213365BE" w14:textId="77777777" w:rsidR="000B3C4F" w:rsidRDefault="000B3C4F" w:rsidP="000B3C4F">
            <w:pPr>
              <w:autoSpaceDE w:val="0"/>
              <w:autoSpaceDN w:val="0"/>
              <w:adjustRightInd w:val="0"/>
              <w:jc w:val="left"/>
              <w:rPr>
                <w:color w:val="000000"/>
                <w:szCs w:val="22"/>
                <w:lang w:val="en-ZW" w:eastAsia="en-CA"/>
              </w:rPr>
            </w:pPr>
            <w:r>
              <w:rPr>
                <w:color w:val="000000"/>
                <w:szCs w:val="22"/>
                <w:lang w:val="en-ZW" w:eastAsia="en-CA"/>
              </w:rPr>
              <w:t>By XX/XX/XXXX</w:t>
            </w:r>
          </w:p>
          <w:p w14:paraId="153A5A8D" w14:textId="4BD2E0B8" w:rsidR="00B61D53" w:rsidRPr="003B29A3" w:rsidRDefault="00B61D53" w:rsidP="000B3C4F">
            <w:pPr>
              <w:autoSpaceDE w:val="0"/>
              <w:autoSpaceDN w:val="0"/>
              <w:adjustRightInd w:val="0"/>
              <w:jc w:val="left"/>
              <w:rPr>
                <w:color w:val="000000"/>
                <w:szCs w:val="22"/>
                <w:lang w:val="en-ZW" w:eastAsia="en-CA"/>
              </w:rPr>
            </w:pPr>
            <w:r w:rsidRPr="00B61D53">
              <w:rPr>
                <w:rStyle w:val="cf01"/>
                <w:rFonts w:ascii="Times New Roman" w:hAnsi="Times New Roman" w:cs="Times New Roman"/>
                <w:sz w:val="22"/>
                <w:szCs w:val="22"/>
              </w:rPr>
              <w:t xml:space="preserve">Within </w:t>
            </w:r>
            <w:r>
              <w:rPr>
                <w:rStyle w:val="cf01"/>
                <w:rFonts w:ascii="Times New Roman" w:hAnsi="Times New Roman" w:cs="Times New Roman"/>
                <w:sz w:val="22"/>
                <w:szCs w:val="22"/>
              </w:rPr>
              <w:t>X</w:t>
            </w:r>
            <w:r w:rsidRPr="00B61D53">
              <w:rPr>
                <w:rStyle w:val="cf01"/>
                <w:rFonts w:ascii="Times New Roman" w:hAnsi="Times New Roman" w:cs="Times New Roman"/>
                <w:sz w:val="22"/>
                <w:szCs w:val="22"/>
              </w:rPr>
              <w:t xml:space="preserve"> months of permit effective date</w:t>
            </w:r>
          </w:p>
        </w:tc>
        <w:tc>
          <w:tcPr>
            <w:tcW w:w="3578" w:type="pct"/>
            <w:tcBorders>
              <w:top w:val="single" w:sz="4" w:space="0" w:color="000000"/>
              <w:left w:val="single" w:sz="4" w:space="0" w:color="000000"/>
              <w:bottom w:val="single" w:sz="4" w:space="0" w:color="000000"/>
              <w:right w:val="single" w:sz="4" w:space="0" w:color="000000"/>
            </w:tcBorders>
          </w:tcPr>
          <w:p w14:paraId="7AB08160" w14:textId="22906673" w:rsidR="000B3C4F" w:rsidRPr="003B29A3" w:rsidRDefault="000B3C4F" w:rsidP="000B3C4F">
            <w:pPr>
              <w:autoSpaceDE w:val="0"/>
              <w:autoSpaceDN w:val="0"/>
              <w:adjustRightInd w:val="0"/>
              <w:jc w:val="left"/>
              <w:rPr>
                <w:color w:val="000000"/>
                <w:szCs w:val="22"/>
                <w:lang w:val="en-ZW" w:eastAsia="en-CA"/>
              </w:rPr>
            </w:pPr>
            <w:r>
              <w:rPr>
                <w:color w:val="000000"/>
                <w:szCs w:val="22"/>
                <w:lang w:val="en-ZW" w:eastAsia="en-CA"/>
              </w:rPr>
              <w:t>The permittee</w:t>
            </w:r>
            <w:r w:rsidRPr="003B29A3">
              <w:rPr>
                <w:color w:val="000000"/>
                <w:szCs w:val="22"/>
                <w:lang w:val="en-ZW" w:eastAsia="en-CA"/>
              </w:rPr>
              <w:t xml:space="preserve"> must </w:t>
            </w:r>
            <w:r w:rsidR="003D74C6" w:rsidRPr="003D74C6">
              <w:rPr>
                <w:color w:val="000000"/>
                <w:szCs w:val="22"/>
                <w:highlight w:val="yellow"/>
                <w:lang w:val="en-ZW" w:eastAsia="en-CA"/>
              </w:rPr>
              <w:t>[insert interim requirement</w:t>
            </w:r>
            <w:r w:rsidR="005F6F06">
              <w:rPr>
                <w:color w:val="000000"/>
                <w:szCs w:val="22"/>
                <w:highlight w:val="yellow"/>
                <w:lang w:val="en-ZW" w:eastAsia="en-CA"/>
              </w:rPr>
              <w:t xml:space="preserve"> as necessary</w:t>
            </w:r>
            <w:r w:rsidR="003D74C6" w:rsidRPr="003D74C6">
              <w:rPr>
                <w:color w:val="000000"/>
                <w:szCs w:val="22"/>
                <w:highlight w:val="yellow"/>
                <w:lang w:val="en-ZW" w:eastAsia="en-CA"/>
              </w:rPr>
              <w:t>]</w:t>
            </w:r>
          </w:p>
        </w:tc>
      </w:tr>
      <w:tr w:rsidR="000B3C4F" w:rsidRPr="003B29A3" w14:paraId="674DA99D" w14:textId="77777777" w:rsidTr="000D341F">
        <w:trPr>
          <w:trHeight w:val="651"/>
          <w:jc w:val="center"/>
        </w:trPr>
        <w:tc>
          <w:tcPr>
            <w:tcW w:w="1422" w:type="pct"/>
            <w:tcBorders>
              <w:top w:val="single" w:sz="4" w:space="0" w:color="000000"/>
              <w:left w:val="single" w:sz="4" w:space="0" w:color="000000"/>
              <w:bottom w:val="single" w:sz="4" w:space="0" w:color="000000"/>
              <w:right w:val="single" w:sz="4" w:space="0" w:color="000000"/>
            </w:tcBorders>
          </w:tcPr>
          <w:p w14:paraId="6D32A00F" w14:textId="77777777" w:rsidR="000B3C4F" w:rsidRDefault="000B3C4F" w:rsidP="000B3C4F">
            <w:pPr>
              <w:autoSpaceDE w:val="0"/>
              <w:autoSpaceDN w:val="0"/>
              <w:adjustRightInd w:val="0"/>
              <w:jc w:val="left"/>
              <w:rPr>
                <w:color w:val="000000"/>
                <w:szCs w:val="22"/>
                <w:lang w:val="en-ZW" w:eastAsia="en-CA"/>
              </w:rPr>
            </w:pPr>
            <w:r>
              <w:rPr>
                <w:color w:val="000000"/>
                <w:szCs w:val="22"/>
                <w:lang w:val="en-ZW" w:eastAsia="en-CA"/>
              </w:rPr>
              <w:t>By XX/XX/XXXX</w:t>
            </w:r>
          </w:p>
          <w:p w14:paraId="43428782" w14:textId="4A335037" w:rsidR="00B61D53" w:rsidRPr="003B29A3" w:rsidRDefault="00B61D53" w:rsidP="000B3C4F">
            <w:pPr>
              <w:autoSpaceDE w:val="0"/>
              <w:autoSpaceDN w:val="0"/>
              <w:adjustRightInd w:val="0"/>
              <w:jc w:val="left"/>
              <w:rPr>
                <w:color w:val="000000"/>
                <w:szCs w:val="22"/>
                <w:lang w:val="en-ZW" w:eastAsia="en-CA"/>
              </w:rPr>
            </w:pPr>
            <w:r w:rsidRPr="00B61D53">
              <w:rPr>
                <w:rStyle w:val="cf01"/>
                <w:rFonts w:ascii="Times New Roman" w:hAnsi="Times New Roman" w:cs="Times New Roman"/>
                <w:sz w:val="22"/>
                <w:szCs w:val="22"/>
              </w:rPr>
              <w:t xml:space="preserve">Within </w:t>
            </w:r>
            <w:r>
              <w:rPr>
                <w:rStyle w:val="cf01"/>
                <w:rFonts w:ascii="Times New Roman" w:hAnsi="Times New Roman" w:cs="Times New Roman"/>
                <w:sz w:val="22"/>
                <w:szCs w:val="22"/>
              </w:rPr>
              <w:t>X</w:t>
            </w:r>
            <w:r w:rsidRPr="00B61D53">
              <w:rPr>
                <w:rStyle w:val="cf01"/>
                <w:rFonts w:ascii="Times New Roman" w:hAnsi="Times New Roman" w:cs="Times New Roman"/>
                <w:sz w:val="22"/>
                <w:szCs w:val="22"/>
              </w:rPr>
              <w:t xml:space="preserve"> months of permit effective date</w:t>
            </w:r>
          </w:p>
        </w:tc>
        <w:tc>
          <w:tcPr>
            <w:tcW w:w="3578" w:type="pct"/>
            <w:tcBorders>
              <w:top w:val="single" w:sz="4" w:space="0" w:color="000000"/>
              <w:left w:val="single" w:sz="4" w:space="0" w:color="000000"/>
              <w:bottom w:val="single" w:sz="4" w:space="0" w:color="000000"/>
              <w:right w:val="single" w:sz="4" w:space="0" w:color="000000"/>
            </w:tcBorders>
          </w:tcPr>
          <w:p w14:paraId="6A55593F" w14:textId="399864DA" w:rsidR="000B3C4F" w:rsidRDefault="000B3C4F" w:rsidP="003D74C6">
            <w:pPr>
              <w:autoSpaceDE w:val="0"/>
              <w:autoSpaceDN w:val="0"/>
              <w:adjustRightInd w:val="0"/>
              <w:jc w:val="left"/>
              <w:rPr>
                <w:color w:val="000000"/>
                <w:szCs w:val="22"/>
                <w:lang w:val="en-ZW" w:eastAsia="en-CA"/>
              </w:rPr>
            </w:pPr>
            <w:r>
              <w:rPr>
                <w:color w:val="000000"/>
                <w:szCs w:val="22"/>
                <w:lang w:val="en-ZW" w:eastAsia="en-CA"/>
              </w:rPr>
              <w:t>The permittee must achieve compliance with the final effluent limit</w:t>
            </w:r>
            <w:r w:rsidR="005919C4">
              <w:rPr>
                <w:color w:val="000000"/>
                <w:szCs w:val="22"/>
                <w:lang w:val="en-ZW" w:eastAsia="en-CA"/>
              </w:rPr>
              <w:t>s</w:t>
            </w:r>
            <w:r w:rsidR="00766D3B">
              <w:rPr>
                <w:color w:val="000000"/>
                <w:szCs w:val="22"/>
                <w:lang w:val="en-ZW" w:eastAsia="en-CA"/>
              </w:rPr>
              <w:t xml:space="preserve"> for </w:t>
            </w:r>
            <w:r w:rsidR="003D74C6">
              <w:rPr>
                <w:color w:val="000000"/>
                <w:szCs w:val="22"/>
                <w:highlight w:val="yellow"/>
                <w:lang w:val="en-ZW" w:eastAsia="en-CA"/>
              </w:rPr>
              <w:t>[e</w:t>
            </w:r>
            <w:r w:rsidR="00766D3B" w:rsidRPr="00766D3B">
              <w:rPr>
                <w:color w:val="000000"/>
                <w:szCs w:val="22"/>
                <w:highlight w:val="yellow"/>
                <w:lang w:val="en-ZW" w:eastAsia="en-CA"/>
              </w:rPr>
              <w:t>nter paramete</w:t>
            </w:r>
            <w:r w:rsidR="003D74C6">
              <w:rPr>
                <w:color w:val="000000"/>
                <w:szCs w:val="22"/>
                <w:highlight w:val="yellow"/>
                <w:lang w:val="en-ZW" w:eastAsia="en-CA"/>
              </w:rPr>
              <w:t>r]</w:t>
            </w:r>
            <w:r>
              <w:rPr>
                <w:color w:val="000000"/>
                <w:szCs w:val="22"/>
                <w:lang w:val="en-ZW" w:eastAsia="en-CA"/>
              </w:rPr>
              <w:t xml:space="preserve"> in Schedule A of this permit. </w:t>
            </w:r>
          </w:p>
        </w:tc>
      </w:tr>
    </w:tbl>
    <w:p w14:paraId="161C17DB" w14:textId="65A91130" w:rsidR="00233394" w:rsidRDefault="00073356" w:rsidP="00A0366F">
      <w:pPr>
        <w:pStyle w:val="PermitHanging1TOC"/>
      </w:pPr>
      <w:bookmarkStart w:id="107" w:name="_Toc323910625"/>
      <w:bookmarkStart w:id="108" w:name="_Toc323910683"/>
      <w:bookmarkStart w:id="109" w:name="_Toc323911051"/>
      <w:bookmarkStart w:id="110" w:name="_Toc325146269"/>
      <w:bookmarkStart w:id="111" w:name="_Toc325147264"/>
      <w:bookmarkStart w:id="112" w:name="_Toc325148089"/>
      <w:bookmarkStart w:id="113" w:name="_Toc326239890"/>
      <w:bookmarkStart w:id="114" w:name="_Toc378605459"/>
      <w:bookmarkStart w:id="115" w:name="_Toc203135902"/>
      <w:bookmarkEnd w:id="107"/>
      <w:bookmarkEnd w:id="108"/>
      <w:bookmarkEnd w:id="109"/>
      <w:bookmarkEnd w:id="110"/>
      <w:bookmarkEnd w:id="111"/>
      <w:bookmarkEnd w:id="112"/>
      <w:r>
        <w:t>Responsibility to Meet Compliance Dates</w:t>
      </w:r>
      <w:bookmarkEnd w:id="113"/>
      <w:bookmarkEnd w:id="114"/>
      <w:bookmarkEnd w:id="115"/>
    </w:p>
    <w:p w14:paraId="020A80A8" w14:textId="0C8DFEA1" w:rsidR="00233394" w:rsidRDefault="00073356" w:rsidP="004325BE">
      <w:pPr>
        <w:pStyle w:val="PermitHanging1-text"/>
        <w:rPr>
          <w:spacing w:val="-2"/>
        </w:rPr>
      </w:pPr>
      <w:r>
        <w:t xml:space="preserve">No later than 14 days following each </w:t>
      </w:r>
      <w:r w:rsidR="00766D3B">
        <w:t>compliance date listed in the table above</w:t>
      </w:r>
      <w:r>
        <w:t>, the permittee must notify DEQ in writing of its compliance or noncompliance with the requirements.</w:t>
      </w:r>
      <w:r w:rsidR="007C461A">
        <w:t xml:space="preserve"> </w:t>
      </w:r>
      <w:r>
        <w:rPr>
          <w:spacing w:val="-2"/>
        </w:rPr>
        <w:t>Any reports of noncompliance must include the cause of noncompliance, any remedial actions taken, and a discussion of the likelihood of meeting the next scheduled requirement</w:t>
      </w:r>
      <w:r w:rsidR="00766D3B">
        <w:rPr>
          <w:spacing w:val="-2"/>
        </w:rPr>
        <w:t>(</w:t>
      </w:r>
      <w:r>
        <w:rPr>
          <w:spacing w:val="-2"/>
        </w:rPr>
        <w:t>s</w:t>
      </w:r>
      <w:r w:rsidR="00766D3B">
        <w:rPr>
          <w:spacing w:val="-2"/>
        </w:rPr>
        <w:t>)</w:t>
      </w:r>
      <w:r>
        <w:rPr>
          <w:spacing w:val="-2"/>
        </w:rPr>
        <w:t>.</w:t>
      </w:r>
    </w:p>
    <w:p w14:paraId="51C842BC" w14:textId="77777777" w:rsidR="00960566" w:rsidRDefault="00960566" w:rsidP="004325BE">
      <w:pPr>
        <w:pStyle w:val="PermitHanging1-text"/>
      </w:pPr>
    </w:p>
    <w:p w14:paraId="05F4338F" w14:textId="625D5194" w:rsidR="00F4563D" w:rsidRPr="00F4563D" w:rsidRDefault="00073356" w:rsidP="00F4563D">
      <w:pPr>
        <w:pStyle w:val="PermitNormal"/>
        <w:ind w:left="720"/>
        <w:rPr>
          <w:highlight w:val="lightGray"/>
        </w:rPr>
      </w:pPr>
      <w:bookmarkStart w:id="116" w:name="_Re-opener_Clause"/>
      <w:bookmarkEnd w:id="116"/>
      <w:r>
        <w:br w:type="column"/>
      </w:r>
      <w:bookmarkStart w:id="117" w:name="ScheduleD"/>
      <w:r>
        <w:lastRenderedPageBreak/>
        <w:t>SCHEDULE D</w:t>
      </w:r>
      <w:bookmarkEnd w:id="117"/>
      <w:r>
        <w:t xml:space="preserve">: SPECIAL </w:t>
      </w:r>
      <w:proofErr w:type="gramStart"/>
      <w:r>
        <w:t>CONDITION</w:t>
      </w:r>
      <w:r w:rsidR="00F4563D">
        <w:t>S</w:t>
      </w:r>
      <w:r w:rsidR="00F4563D" w:rsidRPr="00F4563D">
        <w:rPr>
          <w:highlight w:val="lightGray"/>
        </w:rPr>
        <w:t>(</w:t>
      </w:r>
      <w:proofErr w:type="gramEnd"/>
      <w:r w:rsidR="00F4563D" w:rsidRPr="00F4563D">
        <w:rPr>
          <w:highlight w:val="lightGray"/>
        </w:rPr>
        <w:t>Note: The intent of the suggested text is to remove the reference to a specific design flow (DAWWF) and just keep it "wet weather design flow" since newer permits are based on maximum month flows.</w:t>
      </w:r>
    </w:p>
    <w:p w14:paraId="311EE959" w14:textId="3663B305" w:rsidR="008F4D0A" w:rsidRDefault="00F4563D" w:rsidP="008F4D0A">
      <w:pPr>
        <w:pStyle w:val="PermitNormal"/>
        <w:ind w:left="720"/>
      </w:pPr>
      <w:r w:rsidRPr="0024651C">
        <w:rPr>
          <w:highlight w:val="yellow"/>
        </w:rPr>
        <w:t>[Include only with the first permit renewal that includes wet weather mass limits based on a wet weather design flow, (Do not include Condition 1 if the prior permit included approved wet weather mass limits based on a wet weather design flow.)]</w:t>
      </w:r>
      <w:r>
        <w:t xml:space="preserve">  </w:t>
      </w:r>
    </w:p>
    <w:p w14:paraId="0A6587F1" w14:textId="2BD343A6" w:rsidR="00233394" w:rsidRDefault="00073356" w:rsidP="0017702F">
      <w:pPr>
        <w:pStyle w:val="PermitHanging1TOC"/>
        <w:numPr>
          <w:ilvl w:val="0"/>
          <w:numId w:val="62"/>
        </w:numPr>
        <w:spacing w:after="120"/>
      </w:pPr>
      <w:bookmarkStart w:id="118" w:name="_Toc378605462"/>
      <w:bookmarkStart w:id="119" w:name="_Toc203135903"/>
      <w:r>
        <w:t>Inflow Removal</w:t>
      </w:r>
      <w:bookmarkEnd w:id="118"/>
      <w:bookmarkEnd w:id="119"/>
    </w:p>
    <w:p w14:paraId="3F38272D" w14:textId="77777777" w:rsidR="00AD694D" w:rsidRPr="00AD694D" w:rsidRDefault="001531DF" w:rsidP="009F40BD">
      <w:pPr>
        <w:pStyle w:val="PermitHanging2Non-TOC"/>
        <w:numPr>
          <w:ilvl w:val="3"/>
          <w:numId w:val="3"/>
        </w:numPr>
      </w:pPr>
      <w:bookmarkStart w:id="120" w:name="_Ref328649108"/>
      <w:r w:rsidRPr="00AD694D">
        <w:t>By the date listed in Table B1</w:t>
      </w:r>
      <w:r w:rsidR="00073356" w:rsidRPr="00AD694D">
        <w:t xml:space="preserve">, the permittee must submit to DEQ for approval </w:t>
      </w:r>
      <w:r w:rsidR="00073356" w:rsidRPr="00AD694D">
        <w:rPr>
          <w:highlight w:val="yellow"/>
        </w:rPr>
        <w:t>an/an updated</w:t>
      </w:r>
      <w:r w:rsidR="00073356" w:rsidRPr="00AD694D">
        <w:t xml:space="preserve"> Inflow Removal Program. The program must consist of the following:</w:t>
      </w:r>
      <w:bookmarkEnd w:id="120"/>
    </w:p>
    <w:p w14:paraId="714A59B5" w14:textId="77777777" w:rsidR="00AD694D" w:rsidRDefault="00073356" w:rsidP="009F40BD">
      <w:pPr>
        <w:pStyle w:val="PermitHanging3"/>
        <w:numPr>
          <w:ilvl w:val="4"/>
          <w:numId w:val="3"/>
        </w:numPr>
      </w:pPr>
      <w:r w:rsidRPr="00AD694D">
        <w:t>Identification of all overflow points.</w:t>
      </w:r>
    </w:p>
    <w:p w14:paraId="37D241D6" w14:textId="77777777" w:rsidR="00AD694D" w:rsidRDefault="00073356" w:rsidP="009F40BD">
      <w:pPr>
        <w:pStyle w:val="PermitHanging3"/>
        <w:numPr>
          <w:ilvl w:val="4"/>
          <w:numId w:val="3"/>
        </w:numPr>
      </w:pPr>
      <w:r w:rsidRPr="00AD694D">
        <w:t>Verification that sewer system overflows are not occurring up to a 24-hour, 5-year storm event or equivalent.</w:t>
      </w:r>
    </w:p>
    <w:p w14:paraId="224D97CF" w14:textId="77777777" w:rsidR="00AD694D" w:rsidRDefault="00073356" w:rsidP="009F40BD">
      <w:pPr>
        <w:pStyle w:val="PermitHanging3"/>
        <w:numPr>
          <w:ilvl w:val="4"/>
          <w:numId w:val="3"/>
        </w:numPr>
      </w:pPr>
      <w:r w:rsidRPr="00AD694D">
        <w:t>Monitoring of all pump station overflow points.</w:t>
      </w:r>
    </w:p>
    <w:p w14:paraId="1BE1A9F9" w14:textId="77777777" w:rsidR="00AD694D" w:rsidRDefault="00073356" w:rsidP="009F40BD">
      <w:pPr>
        <w:pStyle w:val="PermitHanging3"/>
        <w:numPr>
          <w:ilvl w:val="4"/>
          <w:numId w:val="3"/>
        </w:numPr>
      </w:pPr>
      <w:r w:rsidRPr="00AD694D">
        <w:t>A process for identifying and removing all inflow sources into the permittee’s sewer system over which the permittee has legal control, including a time schedule for identifying and reducing inflow.</w:t>
      </w:r>
    </w:p>
    <w:p w14:paraId="434E77FC" w14:textId="1BD6D622" w:rsidR="00233394" w:rsidRPr="00F91E1D" w:rsidRDefault="00073356" w:rsidP="009F40BD">
      <w:pPr>
        <w:pStyle w:val="PermitHanging3"/>
        <w:numPr>
          <w:ilvl w:val="4"/>
          <w:numId w:val="3"/>
        </w:numPr>
      </w:pPr>
      <w:r w:rsidRPr="00AD694D">
        <w:t>If the permittee does not have the necessary legal authority for all portions of the sewer system or treatment facility, a strategy and schedule for gaining legal authority to require inflow reduction and a process and schedule for identifying and removing inflow sources once legal aut</w:t>
      </w:r>
      <w:r w:rsidRPr="00F91E1D">
        <w:t>hority has been obtained.</w:t>
      </w:r>
    </w:p>
    <w:p w14:paraId="345DC91A" w14:textId="77777777" w:rsidR="00233394" w:rsidRPr="00F91E1D" w:rsidRDefault="00073356" w:rsidP="009F40BD">
      <w:pPr>
        <w:pStyle w:val="PermitHanging2Non-TOC"/>
        <w:numPr>
          <w:ilvl w:val="3"/>
          <w:numId w:val="3"/>
        </w:numPr>
      </w:pPr>
      <w:r w:rsidRPr="00F91E1D">
        <w:t>Within 60 days of receiving written DEQ comments, the permittee must submit a final approvable program and time schedule.</w:t>
      </w:r>
    </w:p>
    <w:p w14:paraId="0CF8BA06" w14:textId="77777777" w:rsidR="00233394" w:rsidRPr="00AD694D" w:rsidRDefault="00073356" w:rsidP="009F40BD">
      <w:pPr>
        <w:pStyle w:val="PermitHanging2Non-TOC"/>
        <w:numPr>
          <w:ilvl w:val="3"/>
          <w:numId w:val="3"/>
        </w:numPr>
      </w:pPr>
      <w:r w:rsidRPr="00F91E1D">
        <w:t>A copy of the program must be kept at the wastewater treatment facility for review upon request b</w:t>
      </w:r>
      <w:r w:rsidRPr="00AD694D">
        <w:t>y DEQ.</w:t>
      </w:r>
    </w:p>
    <w:p w14:paraId="29126F1C" w14:textId="3330875E" w:rsidR="00AD694D" w:rsidRPr="00AD694D" w:rsidRDefault="00073356" w:rsidP="009F40BD">
      <w:pPr>
        <w:pStyle w:val="PermitHanging2Non-TOC"/>
        <w:numPr>
          <w:ilvl w:val="3"/>
          <w:numId w:val="3"/>
        </w:numPr>
      </w:pPr>
      <w:r w:rsidRPr="00AD694D">
        <w:t>An annual inflow and infiltration</w:t>
      </w:r>
      <w:r w:rsidR="00DF2A89">
        <w:t xml:space="preserve"> report must be submitted to</w:t>
      </w:r>
      <w:r w:rsidRPr="00AD694D">
        <w:t xml:space="preserve"> DEQ as directed in Schedule B.</w:t>
      </w:r>
      <w:r w:rsidR="007C461A" w:rsidRPr="00AD694D">
        <w:t xml:space="preserve"> </w:t>
      </w:r>
      <w:r w:rsidRPr="00AD694D">
        <w:t>The report must include the following:</w:t>
      </w:r>
    </w:p>
    <w:p w14:paraId="33002439" w14:textId="77777777" w:rsidR="00AD694D" w:rsidRDefault="00073356" w:rsidP="009F40BD">
      <w:pPr>
        <w:pStyle w:val="PermitHanging3"/>
        <w:numPr>
          <w:ilvl w:val="4"/>
          <w:numId w:val="3"/>
        </w:numPr>
      </w:pPr>
      <w:r w:rsidRPr="00AD694D">
        <w:t>Details of activities performed in the previous year to identify and reduce inflow and infiltration.</w:t>
      </w:r>
    </w:p>
    <w:p w14:paraId="3BA1B31F" w14:textId="77777777" w:rsidR="00AD694D" w:rsidRDefault="00073356" w:rsidP="009F40BD">
      <w:pPr>
        <w:pStyle w:val="PermitHanging3"/>
        <w:numPr>
          <w:ilvl w:val="4"/>
          <w:numId w:val="3"/>
        </w:numPr>
      </w:pPr>
      <w:r w:rsidRPr="00AD694D">
        <w:t>Details of activities planned for the following year to identify and reduce inflow and infiltration.</w:t>
      </w:r>
    </w:p>
    <w:p w14:paraId="7F112CDB" w14:textId="77777777" w:rsidR="00AD694D" w:rsidRDefault="00073356" w:rsidP="009F40BD">
      <w:pPr>
        <w:pStyle w:val="PermitHanging3"/>
        <w:numPr>
          <w:ilvl w:val="4"/>
          <w:numId w:val="3"/>
        </w:numPr>
      </w:pPr>
      <w:r w:rsidRPr="00AD694D">
        <w:t>A summary of sanitary sewer overflows that occurred during the previous year.</w:t>
      </w:r>
    </w:p>
    <w:p w14:paraId="43B37A68" w14:textId="017C47F3" w:rsidR="00233394" w:rsidRPr="00AD694D" w:rsidRDefault="00073356" w:rsidP="009F40BD">
      <w:pPr>
        <w:pStyle w:val="PermitHanging3"/>
        <w:numPr>
          <w:ilvl w:val="4"/>
          <w:numId w:val="3"/>
        </w:numPr>
      </w:pPr>
      <w:r w:rsidRPr="00AD694D">
        <w:t xml:space="preserve">Information that demonstrates compliance with DEQ-approved Inflow Removal Plan required by condition </w:t>
      </w:r>
      <w:r w:rsidRPr="00AD694D">
        <w:rPr>
          <w:highlight w:val="yellow"/>
        </w:rPr>
        <w:t>1.a?</w:t>
      </w:r>
      <w:r w:rsidRPr="00AD694D">
        <w:t xml:space="preserve"> above.</w:t>
      </w:r>
    </w:p>
    <w:p w14:paraId="576BAE36" w14:textId="77777777" w:rsidR="00233394" w:rsidRDefault="00233394" w:rsidP="00960566">
      <w:pPr>
        <w:pStyle w:val="PermitHanging3-text"/>
        <w:spacing w:after="0"/>
      </w:pPr>
    </w:p>
    <w:p w14:paraId="590743EE" w14:textId="208CD32A" w:rsidR="00233394" w:rsidRDefault="00073356" w:rsidP="008F4D0A">
      <w:pPr>
        <w:pStyle w:val="PermitNormal"/>
        <w:ind w:left="720"/>
      </w:pPr>
      <w:r>
        <w:rPr>
          <w:highlight w:val="yellow"/>
        </w:rPr>
        <w:t xml:space="preserve">[Include the following for all municipal permits that do not have the </w:t>
      </w:r>
      <w:r w:rsidR="00C75D3C">
        <w:rPr>
          <w:highlight w:val="yellow"/>
        </w:rPr>
        <w:t xml:space="preserve">permit condition </w:t>
      </w:r>
      <w:r>
        <w:rPr>
          <w:highlight w:val="yellow"/>
        </w:rPr>
        <w:t>regarding Inflow Removal above]</w:t>
      </w:r>
    </w:p>
    <w:p w14:paraId="06C5D409" w14:textId="0A36EE40" w:rsidR="00233394" w:rsidRDefault="00073356" w:rsidP="00A0366F">
      <w:pPr>
        <w:pStyle w:val="PermitHanging1TOC"/>
      </w:pPr>
      <w:bookmarkStart w:id="121" w:name="_Toc378605463"/>
      <w:bookmarkStart w:id="122" w:name="_Toc203135904"/>
      <w:r w:rsidRPr="00074D1C">
        <w:t>Inflow and Infiltration</w:t>
      </w:r>
      <w:bookmarkEnd w:id="121"/>
      <w:bookmarkEnd w:id="122"/>
      <w:r w:rsidR="007C461A">
        <w:t xml:space="preserve"> </w:t>
      </w:r>
    </w:p>
    <w:p w14:paraId="6E641730" w14:textId="086D2863" w:rsidR="00233394" w:rsidRDefault="00073356" w:rsidP="75EAEC27">
      <w:pPr>
        <w:pStyle w:val="PermitHanging1-text"/>
        <w:spacing w:after="120"/>
        <w:ind w:left="0"/>
      </w:pPr>
      <w:r>
        <w:t xml:space="preserve">The permittee must submit to DEQ an annual inflow and infiltration report </w:t>
      </w:r>
      <w:r w:rsidR="00DF2A89">
        <w:t>on a DEQ-</w:t>
      </w:r>
      <w:r w:rsidR="001F4950">
        <w:t xml:space="preserve">approved form </w:t>
      </w:r>
      <w:r>
        <w:t xml:space="preserve">as directed in </w:t>
      </w:r>
      <w:r w:rsidR="001531DF">
        <w:t>Table B1</w:t>
      </w:r>
      <w:r>
        <w:t>.</w:t>
      </w:r>
      <w:r w:rsidR="007C461A">
        <w:t xml:space="preserve"> </w:t>
      </w:r>
      <w:r>
        <w:t>The report must include the following:</w:t>
      </w:r>
    </w:p>
    <w:p w14:paraId="10DA75F1" w14:textId="66C06013" w:rsidR="00233394" w:rsidRPr="00F91E1D" w:rsidRDefault="00073356" w:rsidP="0017702F">
      <w:pPr>
        <w:pStyle w:val="PermitHanging2TOC"/>
        <w:numPr>
          <w:ilvl w:val="2"/>
          <w:numId w:val="63"/>
        </w:numPr>
      </w:pPr>
      <w:r w:rsidRPr="00F91E1D">
        <w:t>An assessment of the facility’s I/I issues based on a comparison of summer and winter flows to the plant.</w:t>
      </w:r>
      <w:r w:rsidR="007C461A" w:rsidRPr="00F91E1D">
        <w:t xml:space="preserve"> </w:t>
      </w:r>
    </w:p>
    <w:p w14:paraId="27EB4870" w14:textId="77777777" w:rsidR="00233394" w:rsidRPr="00F91E1D" w:rsidRDefault="00073356" w:rsidP="0017702F">
      <w:pPr>
        <w:pStyle w:val="PermitHanging2TOC"/>
        <w:numPr>
          <w:ilvl w:val="2"/>
          <w:numId w:val="63"/>
        </w:numPr>
      </w:pPr>
      <w:r w:rsidRPr="00F91E1D">
        <w:lastRenderedPageBreak/>
        <w:t xml:space="preserve">Details of activities performed in the previous year to identify and reduce inflow and infiltration. </w:t>
      </w:r>
    </w:p>
    <w:p w14:paraId="0846B8C6" w14:textId="77777777" w:rsidR="00233394" w:rsidRPr="00F91E1D" w:rsidRDefault="00073356" w:rsidP="0017702F">
      <w:pPr>
        <w:pStyle w:val="PermitHanging2TOC"/>
        <w:numPr>
          <w:ilvl w:val="2"/>
          <w:numId w:val="63"/>
        </w:numPr>
      </w:pPr>
      <w:r w:rsidRPr="00F91E1D">
        <w:t>Details of activities planned for the following year to identify and reduce inflow and infiltration.</w:t>
      </w:r>
    </w:p>
    <w:p w14:paraId="1C2B2D5E" w14:textId="3C30CDC6" w:rsidR="00233394" w:rsidRPr="00F91E1D" w:rsidRDefault="00073356" w:rsidP="0017702F">
      <w:pPr>
        <w:pStyle w:val="PermitHanging2TOC"/>
        <w:numPr>
          <w:ilvl w:val="2"/>
          <w:numId w:val="63"/>
        </w:numPr>
      </w:pPr>
      <w:r w:rsidRPr="00F91E1D">
        <w:t>A summary of sanitary sewer overflows that occurred during the previous year.</w:t>
      </w:r>
      <w:r w:rsidR="007C461A" w:rsidRPr="00F91E1D">
        <w:t xml:space="preserve"> </w:t>
      </w:r>
      <w:r w:rsidRPr="00F91E1D">
        <w:t xml:space="preserve">This should include the following: date of the SSO, location, estimated volume, cause, </w:t>
      </w:r>
      <w:r w:rsidR="00B82419" w:rsidRPr="00F91E1D">
        <w:t>follow-up</w:t>
      </w:r>
      <w:r w:rsidRPr="00F91E1D">
        <w:t xml:space="preserve"> actions and if performed, the results of </w:t>
      </w:r>
      <w:r w:rsidR="00C41A9E" w:rsidRPr="00F91E1D">
        <w:t xml:space="preserve">receiving stream </w:t>
      </w:r>
      <w:r w:rsidRPr="00F91E1D">
        <w:t xml:space="preserve">monitoring. </w:t>
      </w:r>
    </w:p>
    <w:p w14:paraId="3F7833C8" w14:textId="0C955D95" w:rsidR="00233394" w:rsidRDefault="00073356" w:rsidP="008F4D0A">
      <w:pPr>
        <w:pStyle w:val="PermitNormal"/>
        <w:ind w:left="720"/>
      </w:pPr>
      <w:r>
        <w:rPr>
          <w:highlight w:val="yellow"/>
        </w:rPr>
        <w:t xml:space="preserve">Include </w:t>
      </w:r>
      <w:r w:rsidR="00C75D3C">
        <w:rPr>
          <w:highlight w:val="yellow"/>
        </w:rPr>
        <w:t xml:space="preserve">the following condition </w:t>
      </w:r>
      <w:r>
        <w:rPr>
          <w:highlight w:val="yellow"/>
        </w:rPr>
        <w:t>if a mixing zone study or update is needed:</w:t>
      </w:r>
    </w:p>
    <w:p w14:paraId="0167682F" w14:textId="4BEA9963" w:rsidR="00233394" w:rsidRDefault="00073356" w:rsidP="00A0366F">
      <w:pPr>
        <w:pStyle w:val="PermitHanging1TOC"/>
      </w:pPr>
      <w:bookmarkStart w:id="123" w:name="_Toc378605464"/>
      <w:bookmarkStart w:id="124" w:name="_Toc203135905"/>
      <w:r>
        <w:t>Mixing Zone Study</w:t>
      </w:r>
      <w:bookmarkEnd w:id="123"/>
      <w:bookmarkEnd w:id="124"/>
    </w:p>
    <w:p w14:paraId="77149575" w14:textId="755B978D" w:rsidR="00233394" w:rsidRDefault="008E4EAB" w:rsidP="75EAEC27">
      <w:pPr>
        <w:pStyle w:val="PermitHanging1-text"/>
        <w:ind w:left="0"/>
      </w:pPr>
      <w:r>
        <w:rPr>
          <w:highlight w:val="yellow"/>
        </w:rPr>
        <w:t>[</w:t>
      </w:r>
      <w:r w:rsidR="00F33747" w:rsidRPr="00F33747">
        <w:rPr>
          <w:highlight w:val="yellow"/>
        </w:rPr>
        <w:t xml:space="preserve">Mixing Zone subject matter expert will </w:t>
      </w:r>
      <w:proofErr w:type="gramStart"/>
      <w:r w:rsidR="00F33747" w:rsidRPr="00F33747">
        <w:rPr>
          <w:highlight w:val="yellow"/>
        </w:rPr>
        <w:t>provided</w:t>
      </w:r>
      <w:proofErr w:type="gramEnd"/>
      <w:r w:rsidR="00F33747" w:rsidRPr="00F33747">
        <w:rPr>
          <w:highlight w:val="yellow"/>
        </w:rPr>
        <w:t xml:space="preserve"> </w:t>
      </w:r>
      <w:r w:rsidR="00B82419" w:rsidRPr="00F33747">
        <w:rPr>
          <w:highlight w:val="yellow"/>
        </w:rPr>
        <w:t>language</w:t>
      </w:r>
      <w:r w:rsidR="00F33747" w:rsidRPr="00F33747">
        <w:rPr>
          <w:highlight w:val="yellow"/>
        </w:rPr>
        <w:t xml:space="preserve"> i</w:t>
      </w:r>
      <w:r w:rsidR="00C75D3C">
        <w:rPr>
          <w:highlight w:val="yellow"/>
        </w:rPr>
        <w:t>f</w:t>
      </w:r>
      <w:r w:rsidR="00F33747" w:rsidRPr="00F33747">
        <w:rPr>
          <w:highlight w:val="yellow"/>
        </w:rPr>
        <w:t xml:space="preserve"> a new/revised study is needed.</w:t>
      </w:r>
      <w:r>
        <w:t>]</w:t>
      </w:r>
    </w:p>
    <w:p w14:paraId="17BB03B9" w14:textId="77777777" w:rsidR="00F33747" w:rsidRDefault="00F33747">
      <w:pPr>
        <w:rPr>
          <w:highlight w:val="yellow"/>
        </w:rPr>
      </w:pPr>
    </w:p>
    <w:p w14:paraId="6BB6A728" w14:textId="752F2F13" w:rsidR="00233394" w:rsidRDefault="00073356" w:rsidP="00C75D3C">
      <w:pPr>
        <w:ind w:left="720"/>
      </w:pPr>
      <w:r>
        <w:rPr>
          <w:highlight w:val="yellow"/>
        </w:rPr>
        <w:t xml:space="preserve">Include </w:t>
      </w:r>
      <w:r w:rsidR="00C75D3C">
        <w:rPr>
          <w:highlight w:val="yellow"/>
        </w:rPr>
        <w:t>the following condition in</w:t>
      </w:r>
      <w:r>
        <w:rPr>
          <w:highlight w:val="yellow"/>
        </w:rPr>
        <w:t xml:space="preserve"> all municipal permits:</w:t>
      </w:r>
    </w:p>
    <w:p w14:paraId="5937A66F" w14:textId="3D1283A9" w:rsidR="00233394" w:rsidRDefault="00073356" w:rsidP="00A0366F">
      <w:pPr>
        <w:pStyle w:val="PermitHanging1TOC"/>
      </w:pPr>
      <w:bookmarkStart w:id="125" w:name="_Toc4416479"/>
      <w:bookmarkStart w:id="126" w:name="_Toc4416543"/>
      <w:bookmarkStart w:id="127" w:name="_Toc4416813"/>
      <w:bookmarkStart w:id="128" w:name="_Toc4416881"/>
      <w:bookmarkStart w:id="129" w:name="_Toc378605465"/>
      <w:bookmarkStart w:id="130" w:name="_Toc203135906"/>
      <w:bookmarkEnd w:id="125"/>
      <w:bookmarkEnd w:id="126"/>
      <w:bookmarkEnd w:id="127"/>
      <w:bookmarkEnd w:id="128"/>
      <w:r w:rsidRPr="00074D1C">
        <w:t>Emergency Response and Public Notification Plan</w:t>
      </w:r>
      <w:bookmarkEnd w:id="129"/>
      <w:bookmarkEnd w:id="130"/>
    </w:p>
    <w:p w14:paraId="23D18A89" w14:textId="16C6CAC5" w:rsidR="00496EE5" w:rsidRPr="00496EE5" w:rsidRDefault="00496EE5" w:rsidP="00496EE5">
      <w:pPr>
        <w:pStyle w:val="ListParagraph"/>
      </w:pPr>
      <w:r w:rsidRPr="00496EE5">
        <w:rPr>
          <w:highlight w:val="yellow"/>
        </w:rPr>
        <w:t>Include for all municipal permits:</w:t>
      </w:r>
    </w:p>
    <w:p w14:paraId="643694E3" w14:textId="5413E495" w:rsidR="008F4D0A" w:rsidRDefault="00073356" w:rsidP="75EAEC27">
      <w:pPr>
        <w:pStyle w:val="PermitHanging1-text"/>
        <w:ind w:left="0"/>
      </w:pPr>
      <w:r>
        <w:t>The</w:t>
      </w:r>
      <w:r>
        <w:rPr>
          <w:snapToGrid w:val="0"/>
        </w:rPr>
        <w:t xml:space="preserve"> permittee must develop an</w:t>
      </w:r>
      <w:r w:rsidR="00753801">
        <w:rPr>
          <w:snapToGrid w:val="0"/>
        </w:rPr>
        <w:t xml:space="preserve"> </w:t>
      </w:r>
      <w:r>
        <w:rPr>
          <w:snapToGrid w:val="0"/>
        </w:rPr>
        <w:t>Emergency Response and Public Notification Plan (</w:t>
      </w:r>
      <w:r w:rsidR="00C75D3C">
        <w:rPr>
          <w:snapToGrid w:val="0"/>
        </w:rPr>
        <w:t>“</w:t>
      </w:r>
      <w:r w:rsidR="0001429B">
        <w:rPr>
          <w:snapToGrid w:val="0"/>
        </w:rPr>
        <w:t>p</w:t>
      </w:r>
      <w:r>
        <w:rPr>
          <w:snapToGrid w:val="0"/>
        </w:rPr>
        <w:t>lan</w:t>
      </w:r>
      <w:r w:rsidR="00C75D3C">
        <w:rPr>
          <w:snapToGrid w:val="0"/>
        </w:rPr>
        <w:t>”</w:t>
      </w:r>
      <w:proofErr w:type="gramStart"/>
      <w:r>
        <w:rPr>
          <w:snapToGrid w:val="0"/>
        </w:rPr>
        <w:t>)</w:t>
      </w:r>
      <w:r w:rsidR="00C75D3C">
        <w:rPr>
          <w:snapToGrid w:val="0"/>
        </w:rPr>
        <w:t>, or</w:t>
      </w:r>
      <w:proofErr w:type="gramEnd"/>
      <w:r w:rsidR="00C75D3C">
        <w:rPr>
          <w:snapToGrid w:val="0"/>
        </w:rPr>
        <w:t xml:space="preserve"> ensure the facility’s </w:t>
      </w:r>
      <w:r w:rsidR="003920E6">
        <w:rPr>
          <w:snapToGrid w:val="0"/>
        </w:rPr>
        <w:t>existing</w:t>
      </w:r>
      <w:r w:rsidR="00C75D3C">
        <w:rPr>
          <w:snapToGrid w:val="0"/>
        </w:rPr>
        <w:t xml:space="preserve"> plan is current and accurate,</w:t>
      </w:r>
      <w:r>
        <w:rPr>
          <w:snapToGrid w:val="0"/>
        </w:rPr>
        <w:t xml:space="preserve"> per </w:t>
      </w:r>
      <w:hyperlink w:anchor="ScheduleF" w:history="1">
        <w:r>
          <w:rPr>
            <w:rStyle w:val="Hyperlink"/>
            <w:snapToGrid w:val="0"/>
            <w:color w:val="auto"/>
          </w:rPr>
          <w:t>Schedule F</w:t>
        </w:r>
      </w:hyperlink>
      <w:r>
        <w:rPr>
          <w:snapToGrid w:val="0"/>
        </w:rPr>
        <w:t>, Section B, and Condition 8</w:t>
      </w:r>
      <w:r w:rsidR="0001429B">
        <w:rPr>
          <w:snapToGrid w:val="0"/>
        </w:rPr>
        <w:t xml:space="preserve"> within 6 months of permit effective date</w:t>
      </w:r>
      <w:r>
        <w:rPr>
          <w:snapToGrid w:val="0"/>
        </w:rPr>
        <w:t>.</w:t>
      </w:r>
      <w:r w:rsidR="007C461A">
        <w:rPr>
          <w:snapToGrid w:val="0"/>
        </w:rPr>
        <w:t xml:space="preserve"> </w:t>
      </w:r>
      <w:r>
        <w:rPr>
          <w:snapToGrid w:val="0"/>
        </w:rPr>
        <w:t>The permittee must</w:t>
      </w:r>
      <w:r w:rsidR="007C461A">
        <w:rPr>
          <w:snapToGrid w:val="0"/>
        </w:rPr>
        <w:t xml:space="preserve"> </w:t>
      </w:r>
      <w:r>
        <w:t xml:space="preserve">update the </w:t>
      </w:r>
      <w:r w:rsidR="0001429B">
        <w:t>p</w:t>
      </w:r>
      <w:r>
        <w:t>lan annually to ensure</w:t>
      </w:r>
      <w:r w:rsidR="00C75D3C">
        <w:t xml:space="preserve"> all information contained in the plan, including</w:t>
      </w:r>
      <w:r>
        <w:t xml:space="preserve"> telephone and email contact information for applicable public agencies</w:t>
      </w:r>
      <w:r w:rsidR="00C75D3C">
        <w:t>, is</w:t>
      </w:r>
      <w:r>
        <w:t xml:space="preserve"> current and accurate.</w:t>
      </w:r>
      <w:r w:rsidR="007C461A">
        <w:t xml:space="preserve"> </w:t>
      </w:r>
      <w:r>
        <w:t>An updated copy of the plan must be kept on file at the facility for DEQ review.</w:t>
      </w:r>
      <w:r w:rsidR="007C461A">
        <w:t xml:space="preserve"> </w:t>
      </w:r>
      <w:r>
        <w:t>The latest plan</w:t>
      </w:r>
      <w:r>
        <w:rPr>
          <w:snapToGrid w:val="0"/>
        </w:rPr>
        <w:t xml:space="preserve"> revision date must be listed on the </w:t>
      </w:r>
      <w:r w:rsidR="0001429B">
        <w:rPr>
          <w:snapToGrid w:val="0"/>
        </w:rPr>
        <w:t>p</w:t>
      </w:r>
      <w:r>
        <w:rPr>
          <w:snapToGrid w:val="0"/>
        </w:rPr>
        <w:t>lan cover along with the reviewer’s initials or signature.</w:t>
      </w:r>
    </w:p>
    <w:p w14:paraId="46F8E8BC" w14:textId="340E7DC0" w:rsidR="00233394" w:rsidRDefault="007C461A" w:rsidP="004325BE">
      <w:pPr>
        <w:pStyle w:val="PermitHanging1-text"/>
        <w:rPr>
          <w:snapToGrid w:val="0"/>
        </w:rPr>
      </w:pPr>
      <w:r>
        <w:rPr>
          <w:snapToGrid w:val="0"/>
        </w:rPr>
        <w:t xml:space="preserve"> </w:t>
      </w:r>
    </w:p>
    <w:p w14:paraId="1A59012D" w14:textId="00934202" w:rsidR="00496EE5" w:rsidRPr="0001429B" w:rsidRDefault="0001429B" w:rsidP="0001429B">
      <w:pPr>
        <w:pStyle w:val="ListParagraph"/>
      </w:pPr>
      <w:r>
        <w:rPr>
          <w:highlight w:val="yellow"/>
        </w:rPr>
        <w:t>Include for all industrial</w:t>
      </w:r>
      <w:r w:rsidRPr="00496EE5">
        <w:rPr>
          <w:highlight w:val="yellow"/>
        </w:rPr>
        <w:t xml:space="preserve"> permits:</w:t>
      </w:r>
    </w:p>
    <w:p w14:paraId="638ED74A" w14:textId="08DBAF57" w:rsidR="00496EE5" w:rsidRDefault="0001429B" w:rsidP="75EAEC27">
      <w:pPr>
        <w:pStyle w:val="PermitHanging1-text"/>
        <w:ind w:left="0"/>
      </w:pPr>
      <w:r>
        <w:t>The</w:t>
      </w:r>
      <w:r>
        <w:rPr>
          <w:snapToGrid w:val="0"/>
        </w:rPr>
        <w:t xml:space="preserve"> permittee must develop an</w:t>
      </w:r>
      <w:r w:rsidR="00753801">
        <w:rPr>
          <w:snapToGrid w:val="0"/>
        </w:rPr>
        <w:t xml:space="preserve"> </w:t>
      </w:r>
      <w:r>
        <w:rPr>
          <w:snapToGrid w:val="0"/>
        </w:rPr>
        <w:t xml:space="preserve">Emergency Response and Public Notification Plan </w:t>
      </w:r>
      <w:r w:rsidR="003920E6">
        <w:rPr>
          <w:snapToGrid w:val="0"/>
        </w:rPr>
        <w:t>(“plan”</w:t>
      </w:r>
      <w:proofErr w:type="gramStart"/>
      <w:r w:rsidR="003920E6">
        <w:rPr>
          <w:snapToGrid w:val="0"/>
        </w:rPr>
        <w:t>), or</w:t>
      </w:r>
      <w:proofErr w:type="gramEnd"/>
      <w:r w:rsidR="003920E6">
        <w:rPr>
          <w:snapToGrid w:val="0"/>
        </w:rPr>
        <w:t xml:space="preserve"> ensure the facility’s existing plan is current and accurate</w:t>
      </w:r>
      <w:r w:rsidR="00B82419">
        <w:rPr>
          <w:snapToGrid w:val="0"/>
        </w:rPr>
        <w:t>,</w:t>
      </w:r>
      <w:r w:rsidR="00B82419" w:rsidDel="003920E6">
        <w:rPr>
          <w:snapToGrid w:val="0"/>
        </w:rPr>
        <w:t xml:space="preserve"> </w:t>
      </w:r>
      <w:r w:rsidR="00B82419">
        <w:rPr>
          <w:snapToGrid w:val="0"/>
        </w:rPr>
        <w:t>per</w:t>
      </w:r>
      <w:r>
        <w:rPr>
          <w:snapToGrid w:val="0"/>
        </w:rPr>
        <w:t xml:space="preserve"> </w:t>
      </w:r>
      <w:hyperlink w:anchor="ScheduleF" w:history="1">
        <w:r>
          <w:rPr>
            <w:rStyle w:val="Hyperlink"/>
            <w:snapToGrid w:val="0"/>
            <w:color w:val="auto"/>
          </w:rPr>
          <w:t>Schedule F</w:t>
        </w:r>
      </w:hyperlink>
      <w:r>
        <w:rPr>
          <w:snapToGrid w:val="0"/>
        </w:rPr>
        <w:t>, Section B, and Condition 7 within 6 months of permit effective date.</w:t>
      </w:r>
      <w:r w:rsidR="007C461A">
        <w:rPr>
          <w:snapToGrid w:val="0"/>
        </w:rPr>
        <w:t xml:space="preserve"> </w:t>
      </w:r>
      <w:r>
        <w:rPr>
          <w:snapToGrid w:val="0"/>
        </w:rPr>
        <w:t>The permittee must</w:t>
      </w:r>
      <w:r w:rsidR="007C461A">
        <w:rPr>
          <w:snapToGrid w:val="0"/>
        </w:rPr>
        <w:t xml:space="preserve"> </w:t>
      </w:r>
      <w:r>
        <w:t xml:space="preserve">update the plan annually to ensure </w:t>
      </w:r>
      <w:r w:rsidR="003920E6">
        <w:t>all information contained in the plan, including</w:t>
      </w:r>
      <w:r>
        <w:t xml:space="preserve"> telephone and email contact information for applicable public agencies</w:t>
      </w:r>
      <w:r w:rsidR="003920E6">
        <w:t>, is</w:t>
      </w:r>
      <w:r>
        <w:t xml:space="preserve"> current and accurate.</w:t>
      </w:r>
      <w:r w:rsidR="007C461A">
        <w:t xml:space="preserve"> </w:t>
      </w:r>
      <w:r>
        <w:t>An updated copy of the plan must be kept on file at the facility for DEQ review.</w:t>
      </w:r>
      <w:r w:rsidR="007C461A">
        <w:t xml:space="preserve"> </w:t>
      </w:r>
      <w:r>
        <w:t>The latest plan</w:t>
      </w:r>
      <w:r>
        <w:rPr>
          <w:snapToGrid w:val="0"/>
        </w:rPr>
        <w:t xml:space="preserve"> revision date must be listed on the plan cover along with the reviewer’s initials or signature.</w:t>
      </w:r>
      <w:r w:rsidR="007C461A">
        <w:rPr>
          <w:snapToGrid w:val="0"/>
        </w:rPr>
        <w:t xml:space="preserve"> </w:t>
      </w:r>
    </w:p>
    <w:p w14:paraId="28564345" w14:textId="77777777" w:rsidR="008F4D0A" w:rsidRPr="0001429B" w:rsidRDefault="008F4D0A" w:rsidP="004325BE">
      <w:pPr>
        <w:pStyle w:val="PermitHanging1-text"/>
        <w:rPr>
          <w:snapToGrid w:val="0"/>
        </w:rPr>
      </w:pPr>
    </w:p>
    <w:p w14:paraId="56054A2A" w14:textId="754D5749" w:rsidR="00233394" w:rsidRDefault="00073356" w:rsidP="008F4D0A">
      <w:pPr>
        <w:pStyle w:val="PermitNormal"/>
        <w:ind w:left="720"/>
      </w:pPr>
      <w:r>
        <w:rPr>
          <w:highlight w:val="yellow"/>
        </w:rPr>
        <w:t>Insert language below for source</w:t>
      </w:r>
      <w:r w:rsidR="003920E6">
        <w:rPr>
          <w:highlight w:val="yellow"/>
        </w:rPr>
        <w:t>s</w:t>
      </w:r>
      <w:r>
        <w:rPr>
          <w:highlight w:val="yellow"/>
        </w:rPr>
        <w:t xml:space="preserve"> that </w:t>
      </w:r>
      <w:r w:rsidR="003920E6" w:rsidRPr="00074D1C">
        <w:rPr>
          <w:highlight w:val="yellow"/>
        </w:rPr>
        <w:t xml:space="preserve">have or will have an active recycled water </w:t>
      </w:r>
      <w:r w:rsidR="00B82419" w:rsidRPr="00074D1C">
        <w:rPr>
          <w:highlight w:val="yellow"/>
        </w:rPr>
        <w:t>program</w:t>
      </w:r>
      <w:r w:rsidR="00B82419" w:rsidDel="003920E6">
        <w:rPr>
          <w:highlight w:val="yellow"/>
        </w:rPr>
        <w:t xml:space="preserve">. </w:t>
      </w:r>
      <w:r>
        <w:rPr>
          <w:highlight w:val="yellow"/>
        </w:rPr>
        <w:t xml:space="preserve">Note: Do NOT include mention of </w:t>
      </w:r>
      <w:proofErr w:type="gramStart"/>
      <w:r>
        <w:rPr>
          <w:highlight w:val="yellow"/>
        </w:rPr>
        <w:t>third party</w:t>
      </w:r>
      <w:proofErr w:type="gramEnd"/>
      <w:r>
        <w:rPr>
          <w:highlight w:val="yellow"/>
        </w:rPr>
        <w:t xml:space="preserve"> contracts.</w:t>
      </w:r>
      <w:r w:rsidR="007C461A">
        <w:rPr>
          <w:highlight w:val="yellow"/>
        </w:rPr>
        <w:t xml:space="preserve"> </w:t>
      </w:r>
      <w:r>
        <w:rPr>
          <w:highlight w:val="yellow"/>
        </w:rPr>
        <w:t>DEQ does not have the authority to enforce these contracts.</w:t>
      </w:r>
    </w:p>
    <w:p w14:paraId="23FB0D3E" w14:textId="790EFEF2" w:rsidR="00233394" w:rsidRDefault="00073356" w:rsidP="00A0366F">
      <w:pPr>
        <w:pStyle w:val="PermitHanging1TOC"/>
      </w:pPr>
      <w:bookmarkStart w:id="131" w:name="_Toc4416481"/>
      <w:bookmarkStart w:id="132" w:name="_Toc4416545"/>
      <w:bookmarkStart w:id="133" w:name="_Toc4416815"/>
      <w:bookmarkStart w:id="134" w:name="_Toc4416883"/>
      <w:bookmarkStart w:id="135" w:name="_Toc378605466"/>
      <w:bookmarkStart w:id="136" w:name="_Toc203135907"/>
      <w:bookmarkEnd w:id="131"/>
      <w:bookmarkEnd w:id="132"/>
      <w:bookmarkEnd w:id="133"/>
      <w:bookmarkEnd w:id="134"/>
      <w:r>
        <w:t>Recycled Water Use Plan</w:t>
      </w:r>
      <w:bookmarkEnd w:id="135"/>
      <w:bookmarkEnd w:id="136"/>
    </w:p>
    <w:p w14:paraId="5616462C" w14:textId="77777777" w:rsidR="00E65FF0" w:rsidRDefault="00C974BA" w:rsidP="75EAEC27">
      <w:pPr>
        <w:pStyle w:val="PermitHanging1-text"/>
        <w:ind w:left="0"/>
      </w:pPr>
      <w:r w:rsidRPr="00C974BA">
        <w:rPr>
          <w:highlight w:val="yellow"/>
        </w:rPr>
        <w:t xml:space="preserve">Include for </w:t>
      </w:r>
      <w:r w:rsidR="00005B6F" w:rsidRPr="00C974BA">
        <w:rPr>
          <w:highlight w:val="yellow"/>
        </w:rPr>
        <w:t>facilities</w:t>
      </w:r>
      <w:r w:rsidRPr="00C974BA">
        <w:rPr>
          <w:highlight w:val="yellow"/>
        </w:rPr>
        <w:t xml:space="preserve"> without a Recycled water use plan</w:t>
      </w:r>
      <w:r w:rsidRPr="00E65FF0">
        <w:rPr>
          <w:highlight w:val="yellow"/>
        </w:rPr>
        <w:t>.</w:t>
      </w:r>
      <w:r w:rsidR="00E65FF0" w:rsidRPr="00E65FF0">
        <w:rPr>
          <w:highlight w:val="yellow"/>
        </w:rPr>
        <w:t xml:space="preserve"> OR delete entire section “Recycled Water Use Plan” if </w:t>
      </w:r>
      <w:r w:rsidR="00E65FF0">
        <w:rPr>
          <w:highlight w:val="yellow"/>
        </w:rPr>
        <w:t>permittee indicates</w:t>
      </w:r>
      <w:r w:rsidR="00E65FF0" w:rsidRPr="00E65FF0">
        <w:rPr>
          <w:highlight w:val="yellow"/>
        </w:rPr>
        <w:t xml:space="preserve"> that </w:t>
      </w:r>
      <w:r w:rsidR="00E65FF0">
        <w:rPr>
          <w:highlight w:val="yellow"/>
        </w:rPr>
        <w:t>they do not intend to recycle</w:t>
      </w:r>
      <w:r w:rsidR="00E65FF0" w:rsidRPr="00E65FF0">
        <w:rPr>
          <w:highlight w:val="yellow"/>
        </w:rPr>
        <w:t xml:space="preserve"> water</w:t>
      </w:r>
      <w:r w:rsidR="00E65FF0">
        <w:rPr>
          <w:highlight w:val="yellow"/>
        </w:rPr>
        <w:t xml:space="preserve"> during the next permit cycle.</w:t>
      </w:r>
    </w:p>
    <w:p w14:paraId="5E11765B" w14:textId="0F08E38D" w:rsidR="00D17811" w:rsidRDefault="00D17811" w:rsidP="75EAEC27">
      <w:pPr>
        <w:pStyle w:val="PermitHanging1-text"/>
        <w:ind w:left="0"/>
      </w:pPr>
      <w:proofErr w:type="gramStart"/>
      <w:r>
        <w:t>In order to</w:t>
      </w:r>
      <w:proofErr w:type="gramEnd"/>
      <w:r>
        <w:t xml:space="preserve"> distribute recycled water, the permittee must </w:t>
      </w:r>
      <w:r w:rsidR="00487697" w:rsidRPr="00C974BA">
        <w:t>develop</w:t>
      </w:r>
      <w:r w:rsidRPr="00C974BA">
        <w:t xml:space="preserve"> and</w:t>
      </w:r>
      <w:r>
        <w:t xml:space="preserve"> maintain a DEQ-approved Recycled Water Use Plan meeting the requirements in OAR 340-055-0025.</w:t>
      </w:r>
      <w:r w:rsidR="00487697">
        <w:t xml:space="preserve"> Th</w:t>
      </w:r>
      <w:r w:rsidR="002664CF">
        <w:t xml:space="preserve">e permittee must </w:t>
      </w:r>
      <w:r w:rsidR="002664CF" w:rsidRPr="00C974BA">
        <w:t>submit th</w:t>
      </w:r>
      <w:r w:rsidR="00487697" w:rsidRPr="00C974BA">
        <w:t xml:space="preserve">is plan </w:t>
      </w:r>
      <w:r w:rsidR="004A34B9" w:rsidRPr="00C974BA">
        <w:t>or</w:t>
      </w:r>
      <w:r w:rsidR="004A34B9">
        <w:t xml:space="preserve"> any significant modifications </w:t>
      </w:r>
      <w:r w:rsidR="002664CF">
        <w:t xml:space="preserve">to DEQ for review and approval </w:t>
      </w:r>
      <w:r w:rsidR="00C57CED">
        <w:rPr>
          <w:snapToGrid w:val="0"/>
        </w:rPr>
        <w:t>with sufficient time to clear DEQ review and a public notice period</w:t>
      </w:r>
      <w:r w:rsidR="002664CF">
        <w:t xml:space="preserve"> prior to distribution of recycled water.</w:t>
      </w:r>
      <w:r w:rsidR="00C57CED">
        <w:t xml:space="preserve"> The permittee is prohibited from distributing recycled water prior to receipt of written approval of its Recycled Water Use Plan from DEQ. </w:t>
      </w:r>
      <w:r w:rsidR="00C57CED">
        <w:rPr>
          <w:snapToGrid w:val="0"/>
        </w:rPr>
        <w:t>The permittee must keep the plan</w:t>
      </w:r>
      <w:r w:rsidR="004A34B9">
        <w:rPr>
          <w:snapToGrid w:val="0"/>
        </w:rPr>
        <w:t xml:space="preserve"> update</w:t>
      </w:r>
      <w:r w:rsidR="00AD0BF3">
        <w:rPr>
          <w:snapToGrid w:val="0"/>
        </w:rPr>
        <w:t>d</w:t>
      </w:r>
      <w:r w:rsidR="00C57CED">
        <w:rPr>
          <w:snapToGrid w:val="0"/>
        </w:rPr>
        <w:t xml:space="preserve">. </w:t>
      </w:r>
      <w:r w:rsidR="008C2D29" w:rsidRPr="00AD0BF3">
        <w:rPr>
          <w:snapToGrid w:val="0"/>
        </w:rPr>
        <w:t xml:space="preserve">All plan revisions require written authorization from DEQ </w:t>
      </w:r>
      <w:r w:rsidR="008C2D29">
        <w:t>and</w:t>
      </w:r>
      <w:r w:rsidR="00C57CED">
        <w:t xml:space="preserve"> are effective upon permittee’s receipt of DEQ written approval. </w:t>
      </w:r>
      <w:r w:rsidR="00C57CED">
        <w:rPr>
          <w:snapToGrid w:val="0"/>
        </w:rPr>
        <w:t xml:space="preserve">No </w:t>
      </w:r>
      <w:r w:rsidR="00477AA6">
        <w:rPr>
          <w:snapToGrid w:val="0"/>
        </w:rPr>
        <w:t xml:space="preserve">significant </w:t>
      </w:r>
      <w:r w:rsidR="00C57CED">
        <w:rPr>
          <w:snapToGrid w:val="0"/>
        </w:rPr>
        <w:t>modifications can be made to a plan for an administratively extended permit (after the permit expiration date). Conditions in the plan are enforceable requirements under this permit.</w:t>
      </w:r>
      <w:r w:rsidR="00117345">
        <w:rPr>
          <w:snapToGrid w:val="0"/>
        </w:rPr>
        <w:t xml:space="preserve"> </w:t>
      </w:r>
      <w:r w:rsidR="00AD0BF3" w:rsidRPr="00AD0BF3">
        <w:rPr>
          <w:snapToGrid w:val="0"/>
        </w:rPr>
        <w:t xml:space="preserve">DEQ will provide an opportunity for public review and comment on any significant plan modifications prior to approving or </w:t>
      </w:r>
      <w:r w:rsidR="00AD0BF3" w:rsidRPr="00AD0BF3">
        <w:rPr>
          <w:snapToGrid w:val="0"/>
        </w:rPr>
        <w:lastRenderedPageBreak/>
        <w:t xml:space="preserve">denying. Public review is not required for </w:t>
      </w:r>
      <w:r w:rsidR="008C2D29">
        <w:rPr>
          <w:snapToGrid w:val="0"/>
        </w:rPr>
        <w:t xml:space="preserve">minor modifications, </w:t>
      </w:r>
      <w:r w:rsidR="00AD0BF3" w:rsidRPr="00AD0BF3">
        <w:rPr>
          <w:snapToGrid w:val="0"/>
        </w:rPr>
        <w:t>changes to utilization dates or changes in use within the recycled water class.</w:t>
      </w:r>
    </w:p>
    <w:p w14:paraId="5B8D9061" w14:textId="77777777" w:rsidR="0066673D" w:rsidRDefault="0066673D" w:rsidP="004325BE">
      <w:pPr>
        <w:pStyle w:val="PermitHanging1-text"/>
        <w:rPr>
          <w:snapToGrid w:val="0"/>
        </w:rPr>
      </w:pPr>
    </w:p>
    <w:p w14:paraId="35810935" w14:textId="17E0EA7B" w:rsidR="008A5F03" w:rsidRPr="00457CED" w:rsidRDefault="008A5F03" w:rsidP="0017702F">
      <w:pPr>
        <w:pStyle w:val="PermitHanging2TOC"/>
        <w:numPr>
          <w:ilvl w:val="2"/>
          <w:numId w:val="65"/>
        </w:numPr>
        <w:rPr>
          <w:snapToGrid w:val="0"/>
        </w:rPr>
      </w:pPr>
      <w:r w:rsidRPr="00457CED">
        <w:rPr>
          <w:snapToGrid w:val="0"/>
        </w:rPr>
        <w:t>Recycled Water Annual Report – If the permittee distributes recycled water under a recycled water use plan, the permittee must submit a recycled water annual report by the date specified in Table B1: Reporting Requirements and Due Dates. The permittee must use DEQ approved recycled water annual report form. This report must include the monitoring data and analytical laboratory reports for the previous year’s monitoring required under Schedule B.</w:t>
      </w:r>
    </w:p>
    <w:p w14:paraId="2FDB9157" w14:textId="5AEC882D" w:rsidR="00C974BA" w:rsidRDefault="00C974BA" w:rsidP="004325BE">
      <w:pPr>
        <w:pStyle w:val="PermitHanging1-text"/>
        <w:rPr>
          <w:snapToGrid w:val="0"/>
        </w:rPr>
      </w:pPr>
    </w:p>
    <w:p w14:paraId="3F31170A" w14:textId="054D1AD6" w:rsidR="00C974BA" w:rsidRPr="00D17811" w:rsidRDefault="00F54D18" w:rsidP="004325BE">
      <w:pPr>
        <w:pStyle w:val="PermitHanging1-text"/>
      </w:pPr>
      <w:r>
        <w:rPr>
          <w:snapToGrid w:val="0"/>
          <w:highlight w:val="yellow"/>
        </w:rPr>
        <w:t xml:space="preserve">Include for facilities with a </w:t>
      </w:r>
      <w:r w:rsidR="00C974BA" w:rsidRPr="00C974BA">
        <w:rPr>
          <w:snapToGrid w:val="0"/>
          <w:highlight w:val="yellow"/>
        </w:rPr>
        <w:t>recycled water use plan.</w:t>
      </w:r>
      <w:r>
        <w:rPr>
          <w:snapToGrid w:val="0"/>
          <w:highlight w:val="yellow"/>
        </w:rPr>
        <w:t xml:space="preserve"> Include the highlighted text</w:t>
      </w:r>
      <w:r w:rsidR="00AE0A07">
        <w:rPr>
          <w:snapToGrid w:val="0"/>
          <w:highlight w:val="yellow"/>
        </w:rPr>
        <w:t xml:space="preserve"> below</w:t>
      </w:r>
      <w:r>
        <w:rPr>
          <w:snapToGrid w:val="0"/>
          <w:highlight w:val="yellow"/>
        </w:rPr>
        <w:t xml:space="preserve"> if the facility needs to update their RWUP.</w:t>
      </w:r>
    </w:p>
    <w:p w14:paraId="7596EAF1" w14:textId="24070334" w:rsidR="00C974BA" w:rsidRDefault="00C974BA" w:rsidP="75EAEC27">
      <w:pPr>
        <w:pStyle w:val="PermitHanging1-text"/>
        <w:ind w:left="0"/>
      </w:pPr>
      <w:r>
        <w:t xml:space="preserve">The permittee must </w:t>
      </w:r>
      <w:r w:rsidRPr="00F54D18">
        <w:rPr>
          <w:highlight w:val="yellow"/>
        </w:rPr>
        <w:t>update and</w:t>
      </w:r>
      <w:r>
        <w:t xml:space="preserve"> maintain a DEQ-approved Recycled Water Use Plan meeting the requirements in OAR 340-055-0025. The permittee must </w:t>
      </w:r>
      <w:r w:rsidRPr="00C974BA">
        <w:t xml:space="preserve">submit </w:t>
      </w:r>
      <w:r w:rsidRPr="00F54D18">
        <w:rPr>
          <w:highlight w:val="yellow"/>
        </w:rPr>
        <w:t>this plan or</w:t>
      </w:r>
      <w:r>
        <w:t xml:space="preserve"> any significant modifications to DEQ for review and approval </w:t>
      </w:r>
      <w:r>
        <w:rPr>
          <w:snapToGrid w:val="0"/>
        </w:rPr>
        <w:t>with sufficient time to clear DEQ review and a public notice period</w:t>
      </w:r>
      <w:r>
        <w:t xml:space="preserve"> prior to </w:t>
      </w:r>
      <w:r w:rsidR="00F54D18">
        <w:t xml:space="preserve">implementing changes to the </w:t>
      </w:r>
      <w:r>
        <w:t>recycled water</w:t>
      </w:r>
      <w:r w:rsidR="00F54D18">
        <w:t xml:space="preserve"> program</w:t>
      </w:r>
      <w:r>
        <w:t xml:space="preserve">. </w:t>
      </w:r>
      <w:r>
        <w:rPr>
          <w:snapToGrid w:val="0"/>
        </w:rPr>
        <w:t>The permittee must keep the plan update</w:t>
      </w:r>
      <w:r w:rsidR="008C2D29">
        <w:rPr>
          <w:snapToGrid w:val="0"/>
        </w:rPr>
        <w:t>d</w:t>
      </w:r>
      <w:r>
        <w:rPr>
          <w:snapToGrid w:val="0"/>
        </w:rPr>
        <w:t xml:space="preserve">. </w:t>
      </w:r>
      <w:r w:rsidR="008C2D29" w:rsidRPr="00AD0BF3">
        <w:rPr>
          <w:snapToGrid w:val="0"/>
        </w:rPr>
        <w:t>All plan revisions require written authorization from DEQ</w:t>
      </w:r>
      <w:r w:rsidR="00DF2A89">
        <w:rPr>
          <w:snapToGrid w:val="0"/>
        </w:rPr>
        <w:t xml:space="preserve"> </w:t>
      </w:r>
      <w:r w:rsidR="008C2D29">
        <w:t>and</w:t>
      </w:r>
      <w:r>
        <w:t xml:space="preserve"> are effective upon permittee’s receipt of DEQ written approval. </w:t>
      </w:r>
      <w:r>
        <w:rPr>
          <w:snapToGrid w:val="0"/>
        </w:rPr>
        <w:t xml:space="preserve">No </w:t>
      </w:r>
      <w:r w:rsidR="00477AA6">
        <w:rPr>
          <w:snapToGrid w:val="0"/>
        </w:rPr>
        <w:t xml:space="preserve">significant </w:t>
      </w:r>
      <w:r>
        <w:rPr>
          <w:snapToGrid w:val="0"/>
        </w:rPr>
        <w:t>modifications can be made to a plan for an administratively extended permit (after the permit expiration date). Conditions in the plan are enforceable requirements under this permit.</w:t>
      </w:r>
      <w:r w:rsidR="00117345">
        <w:rPr>
          <w:snapToGrid w:val="0"/>
        </w:rPr>
        <w:t xml:space="preserve"> </w:t>
      </w:r>
      <w:r w:rsidR="00AD0BF3" w:rsidRPr="00AD0BF3">
        <w:rPr>
          <w:snapToGrid w:val="0"/>
        </w:rPr>
        <w:t>DEQ will provide an opportunity for public review and comment on any significant plan modifications prior to approving or denying. Public review is not required for</w:t>
      </w:r>
      <w:r w:rsidR="008C2D29">
        <w:rPr>
          <w:snapToGrid w:val="0"/>
        </w:rPr>
        <w:t xml:space="preserve"> minor modifications,</w:t>
      </w:r>
      <w:r w:rsidR="00AD0BF3" w:rsidRPr="00AD0BF3">
        <w:rPr>
          <w:snapToGrid w:val="0"/>
        </w:rPr>
        <w:t xml:space="preserve"> changes to utilization dates or changes in use within the recycled water class.</w:t>
      </w:r>
    </w:p>
    <w:p w14:paraId="79C063BA" w14:textId="77777777" w:rsidR="0066673D" w:rsidRDefault="0066673D" w:rsidP="004325BE">
      <w:pPr>
        <w:pStyle w:val="PermitHanging1-text"/>
        <w:rPr>
          <w:snapToGrid w:val="0"/>
        </w:rPr>
      </w:pPr>
    </w:p>
    <w:p w14:paraId="055F7F8B" w14:textId="2A9022D0" w:rsidR="00233394" w:rsidRPr="00F91E1D" w:rsidRDefault="00073356" w:rsidP="0017702F">
      <w:pPr>
        <w:pStyle w:val="PermitHanging2TOC"/>
        <w:numPr>
          <w:ilvl w:val="2"/>
          <w:numId w:val="64"/>
        </w:numPr>
      </w:pPr>
      <w:r w:rsidRPr="00F91E1D">
        <w:t xml:space="preserve">Recycled Water Annual Report – The permittee must submit a recycled water annual report by the date specified in Table </w:t>
      </w:r>
      <w:r w:rsidR="004539C5" w:rsidRPr="00F91E1D">
        <w:t>B</w:t>
      </w:r>
      <w:r w:rsidR="00F33747" w:rsidRPr="00F91E1D">
        <w:t>1</w:t>
      </w:r>
      <w:r w:rsidRPr="00F91E1D">
        <w:t>: Reporting Requirements and Due Dates.</w:t>
      </w:r>
      <w:r w:rsidR="007C461A" w:rsidRPr="00F91E1D">
        <w:t xml:space="preserve"> </w:t>
      </w:r>
      <w:r w:rsidRPr="00F91E1D">
        <w:t>Th</w:t>
      </w:r>
      <w:r w:rsidR="004539C5" w:rsidRPr="00F91E1D">
        <w:t>e permittee must use DEQ approved recycled water annual report form. Th</w:t>
      </w:r>
      <w:r w:rsidRPr="00F91E1D">
        <w:t>is report must include the monitoring data</w:t>
      </w:r>
      <w:r w:rsidR="004539C5" w:rsidRPr="00F91E1D">
        <w:t xml:space="preserve"> and analytical laboratory reports</w:t>
      </w:r>
      <w:r w:rsidRPr="00F91E1D">
        <w:t xml:space="preserve"> for the previous year</w:t>
      </w:r>
      <w:r w:rsidR="009954F5" w:rsidRPr="00F91E1D">
        <w:t>’s monitoring</w:t>
      </w:r>
      <w:r w:rsidRPr="00F91E1D">
        <w:t xml:space="preserve"> required under Schedule B</w:t>
      </w:r>
      <w:r w:rsidR="001531DF" w:rsidRPr="00F91E1D">
        <w:t>.</w:t>
      </w:r>
    </w:p>
    <w:p w14:paraId="3BAC97CA" w14:textId="180BDC2F" w:rsidR="00233394" w:rsidRDefault="00073356" w:rsidP="008F4D0A">
      <w:pPr>
        <w:pStyle w:val="PermitNormal"/>
        <w:ind w:left="720"/>
      </w:pPr>
      <w:r>
        <w:rPr>
          <w:highlight w:val="yellow"/>
        </w:rPr>
        <w:t>Include the following condition for all domestic facilities:</w:t>
      </w:r>
    </w:p>
    <w:p w14:paraId="6748053C" w14:textId="63551CA0" w:rsidR="00233394" w:rsidRDefault="00073356" w:rsidP="00A0366F">
      <w:pPr>
        <w:pStyle w:val="PermitHanging1TOC"/>
      </w:pPr>
      <w:bookmarkStart w:id="137" w:name="_Toc4416483"/>
      <w:bookmarkStart w:id="138" w:name="_Toc4416547"/>
      <w:bookmarkStart w:id="139" w:name="_Toc4416817"/>
      <w:bookmarkStart w:id="140" w:name="_Toc4416885"/>
      <w:bookmarkStart w:id="141" w:name="_Toc378605467"/>
      <w:bookmarkStart w:id="142" w:name="_Toc203135908"/>
      <w:bookmarkEnd w:id="137"/>
      <w:bookmarkEnd w:id="138"/>
      <w:bookmarkEnd w:id="139"/>
      <w:bookmarkEnd w:id="140"/>
      <w:r w:rsidRPr="00074D1C">
        <w:t>Exempt Wastewater Reuse at the Treatment System</w:t>
      </w:r>
      <w:bookmarkEnd w:id="141"/>
      <w:bookmarkEnd w:id="142"/>
    </w:p>
    <w:p w14:paraId="50FDBB5E" w14:textId="3B51626A" w:rsidR="00233394" w:rsidRDefault="001F4950" w:rsidP="75EAEC27">
      <w:pPr>
        <w:pStyle w:val="PermitHanging1-text"/>
        <w:spacing w:after="120"/>
        <w:ind w:left="0"/>
      </w:pPr>
      <w:r>
        <w:t>R</w:t>
      </w:r>
      <w:r w:rsidR="00073356">
        <w:t xml:space="preserve">ecycled water used for landscape irrigation </w:t>
      </w:r>
      <w:r w:rsidR="001A67B4">
        <w:t xml:space="preserve">within the property boundary </w:t>
      </w:r>
      <w:r w:rsidR="00073356">
        <w:t xml:space="preserve">or in-plant processes at the wastewater treatment system </w:t>
      </w:r>
      <w:r>
        <w:t>is exempt from the requirements of OAR 340-055</w:t>
      </w:r>
      <w:r w:rsidR="006435D7">
        <w:t xml:space="preserve"> if </w:t>
      </w:r>
      <w:proofErr w:type="gramStart"/>
      <w:r w:rsidR="00073356">
        <w:t>all of</w:t>
      </w:r>
      <w:proofErr w:type="gramEnd"/>
      <w:r w:rsidR="00073356">
        <w:t xml:space="preserve"> the following conditions are met: </w:t>
      </w:r>
    </w:p>
    <w:p w14:paraId="3109E68E" w14:textId="77777777" w:rsidR="00233394" w:rsidRPr="00F91E1D" w:rsidRDefault="00073356" w:rsidP="0017702F">
      <w:pPr>
        <w:pStyle w:val="PermitHanging2TOC"/>
        <w:numPr>
          <w:ilvl w:val="2"/>
          <w:numId w:val="66"/>
        </w:numPr>
        <w:spacing w:after="120"/>
      </w:pPr>
      <w:r w:rsidRPr="00F91E1D">
        <w:t xml:space="preserve">The recycled water is an oxidized and disinfected wastewater. </w:t>
      </w:r>
    </w:p>
    <w:p w14:paraId="63DEB485" w14:textId="63214D55" w:rsidR="00233394" w:rsidRPr="00F91E1D" w:rsidRDefault="00073356" w:rsidP="009F40BD">
      <w:pPr>
        <w:pStyle w:val="PermitHanging2TOC"/>
        <w:numPr>
          <w:ilvl w:val="2"/>
          <w:numId w:val="3"/>
        </w:numPr>
        <w:spacing w:after="120"/>
      </w:pPr>
      <w:r w:rsidRPr="00F91E1D">
        <w:t xml:space="preserve">The recycled water is used at the wastewater treatment system site where it is generated or at an auxiliary wastewater or sludge treatment facility that is subject to the same NPDES or WPCF permit as the wastewater treatment system. </w:t>
      </w:r>
    </w:p>
    <w:p w14:paraId="71C03179" w14:textId="3C395F90" w:rsidR="00233394" w:rsidRPr="00F91E1D" w:rsidRDefault="00073356" w:rsidP="009F40BD">
      <w:pPr>
        <w:pStyle w:val="PermitHanging2TOC"/>
        <w:numPr>
          <w:ilvl w:val="2"/>
          <w:numId w:val="3"/>
        </w:numPr>
        <w:spacing w:after="120"/>
      </w:pPr>
      <w:r w:rsidRPr="00F91E1D">
        <w:t xml:space="preserve">Spray </w:t>
      </w:r>
      <w:r w:rsidR="001A67B4" w:rsidRPr="00F91E1D">
        <w:t>and/</w:t>
      </w:r>
      <w:r w:rsidRPr="00F91E1D">
        <w:t xml:space="preserve">or drift from the use does not </w:t>
      </w:r>
      <w:r w:rsidR="009954F5" w:rsidRPr="00F91E1D">
        <w:t xml:space="preserve">migrate </w:t>
      </w:r>
      <w:r w:rsidRPr="00F91E1D">
        <w:t xml:space="preserve">off the site. </w:t>
      </w:r>
    </w:p>
    <w:p w14:paraId="7536E305" w14:textId="77777777" w:rsidR="00233394" w:rsidRPr="00F91E1D" w:rsidRDefault="00073356" w:rsidP="009F40BD">
      <w:pPr>
        <w:pStyle w:val="PermitHanging2TOC"/>
        <w:numPr>
          <w:ilvl w:val="2"/>
          <w:numId w:val="3"/>
        </w:numPr>
        <w:spacing w:after="120"/>
      </w:pPr>
      <w:r w:rsidRPr="00F91E1D">
        <w:t xml:space="preserve">Public access to the site is restricted. </w:t>
      </w:r>
    </w:p>
    <w:p w14:paraId="5AF340A2" w14:textId="583642A6" w:rsidR="007A123B" w:rsidRDefault="007A123B" w:rsidP="007A123B">
      <w:pPr>
        <w:pStyle w:val="PermitNormal"/>
        <w:ind w:left="720"/>
      </w:pPr>
      <w:r>
        <w:rPr>
          <w:highlight w:val="yellow"/>
        </w:rPr>
        <w:t xml:space="preserve">Include the following conditions pertaining to Wastewater Solids only if the facility does </w:t>
      </w:r>
      <w:r w:rsidRPr="007A123B">
        <w:rPr>
          <w:b/>
          <w:highlight w:val="yellow"/>
          <w:u w:val="single"/>
        </w:rPr>
        <w:t>not</w:t>
      </w:r>
      <w:r>
        <w:rPr>
          <w:highlight w:val="yellow"/>
        </w:rPr>
        <w:t xml:space="preserve"> have a biosolids program</w:t>
      </w:r>
      <w:r w:rsidRPr="00DC1D35">
        <w:rPr>
          <w:highlight w:val="yellow"/>
        </w:rPr>
        <w:t>:</w:t>
      </w:r>
      <w:r w:rsidR="00DC1D35" w:rsidRPr="00DC1D35">
        <w:rPr>
          <w:highlight w:val="yellow"/>
        </w:rPr>
        <w:t xml:space="preserve"> (Wastewater solids are untreated sludge, or the solids that accumulate at wastewater treatment </w:t>
      </w:r>
      <w:r w:rsidR="00DC1D35">
        <w:rPr>
          <w:highlight w:val="yellow"/>
        </w:rPr>
        <w:t>facilitie</w:t>
      </w:r>
      <w:r w:rsidR="00DC1D35" w:rsidRPr="00DC1D35">
        <w:rPr>
          <w:highlight w:val="yellow"/>
        </w:rPr>
        <w:t xml:space="preserve">s that do not meet the specifications of biosolids. This does not include solids extracted </w:t>
      </w:r>
      <w:r w:rsidR="00DC1D35">
        <w:rPr>
          <w:highlight w:val="yellow"/>
        </w:rPr>
        <w:t>from</w:t>
      </w:r>
      <w:r w:rsidR="00DC1D35" w:rsidRPr="00DC1D35">
        <w:rPr>
          <w:highlight w:val="yellow"/>
        </w:rPr>
        <w:t xml:space="preserve"> screening at the headworks.)</w:t>
      </w:r>
      <w:r w:rsidR="00DC1D35">
        <w:t xml:space="preserve"> </w:t>
      </w:r>
    </w:p>
    <w:p w14:paraId="41037BD1" w14:textId="79C2C5FB" w:rsidR="007A123B" w:rsidRDefault="007A123B" w:rsidP="00A0366F">
      <w:pPr>
        <w:pStyle w:val="PermitHanging1TOC"/>
      </w:pPr>
      <w:bookmarkStart w:id="143" w:name="_Toc203135909"/>
      <w:r>
        <w:t>Wastewater Solids Annual Report</w:t>
      </w:r>
      <w:bookmarkEnd w:id="143"/>
    </w:p>
    <w:p w14:paraId="6694D075" w14:textId="76945865" w:rsidR="007A123B" w:rsidRDefault="003353CE" w:rsidP="75EAEC27">
      <w:pPr>
        <w:pStyle w:val="PermitHanging1-text"/>
        <w:ind w:left="0"/>
      </w:pPr>
      <w:r>
        <w:t xml:space="preserve">The permittee must submit a </w:t>
      </w:r>
      <w:r w:rsidR="00F911AD">
        <w:t>W</w:t>
      </w:r>
      <w:r>
        <w:t xml:space="preserve">astewater </w:t>
      </w:r>
      <w:r w:rsidR="00F911AD">
        <w:t>Solids A</w:t>
      </w:r>
      <w:r>
        <w:t xml:space="preserve">nnual </w:t>
      </w:r>
      <w:r w:rsidR="00F911AD">
        <w:t>R</w:t>
      </w:r>
      <w:r>
        <w:t xml:space="preserve">eport by February 19 each year documenting removal of wastewater solids from the facility during the previous </w:t>
      </w:r>
      <w:r w:rsidR="00005B6F">
        <w:t>calendar</w:t>
      </w:r>
      <w:r>
        <w:t xml:space="preserve"> year.</w:t>
      </w:r>
      <w:r w:rsidR="00DF2A89">
        <w:t xml:space="preserve"> The permittee must use DEQ-</w:t>
      </w:r>
      <w:r>
        <w:t xml:space="preserve">approved </w:t>
      </w:r>
      <w:r>
        <w:lastRenderedPageBreak/>
        <w:t xml:space="preserve">wastewater solids annual report form. This report must include the volume of material removed and the name of the </w:t>
      </w:r>
      <w:r w:rsidR="00005B6F">
        <w:t>permitted</w:t>
      </w:r>
      <w:r>
        <w:t xml:space="preserve"> facility that received the solids.</w:t>
      </w:r>
    </w:p>
    <w:p w14:paraId="12671101" w14:textId="7A376DEC" w:rsidR="007A123B" w:rsidRPr="00457CED" w:rsidRDefault="007A123B" w:rsidP="00457CED">
      <w:pPr>
        <w:pStyle w:val="PermitHanging2-text"/>
      </w:pPr>
    </w:p>
    <w:p w14:paraId="55B01E97" w14:textId="18D4EE4F" w:rsidR="00233394" w:rsidRDefault="00073356" w:rsidP="008F4D0A">
      <w:pPr>
        <w:pStyle w:val="PermitNormal"/>
        <w:ind w:left="720"/>
      </w:pPr>
      <w:r>
        <w:rPr>
          <w:highlight w:val="yellow"/>
        </w:rPr>
        <w:t xml:space="preserve">Include the following conditions pertaining to Biosolids Management Plans if biosolids conditions have been included in </w:t>
      </w:r>
      <w:hyperlink w:anchor="ScheduleA" w:history="1">
        <w:r>
          <w:rPr>
            <w:rStyle w:val="Hyperlink"/>
            <w:rFonts w:eastAsia="Calibri"/>
            <w:i/>
            <w:color w:val="auto"/>
            <w:highlight w:val="yellow"/>
          </w:rPr>
          <w:t>Schedule A</w:t>
        </w:r>
      </w:hyperlink>
      <w:r>
        <w:rPr>
          <w:highlight w:val="yellow"/>
        </w:rPr>
        <w:t>:</w:t>
      </w:r>
    </w:p>
    <w:p w14:paraId="609276B9" w14:textId="128DDE8F" w:rsidR="00233394" w:rsidRDefault="00073356" w:rsidP="00A0366F">
      <w:pPr>
        <w:pStyle w:val="PermitHanging1TOC"/>
      </w:pPr>
      <w:bookmarkStart w:id="144" w:name="_Toc4416485"/>
      <w:bookmarkStart w:id="145" w:name="_Toc4416549"/>
      <w:bookmarkStart w:id="146" w:name="_Toc4416819"/>
      <w:bookmarkStart w:id="147" w:name="_Toc4416887"/>
      <w:bookmarkStart w:id="148" w:name="_Toc326239896"/>
      <w:bookmarkStart w:id="149" w:name="_Ref328580456"/>
      <w:bookmarkStart w:id="150" w:name="_Toc378605468"/>
      <w:bookmarkStart w:id="151" w:name="_Toc203135910"/>
      <w:bookmarkEnd w:id="144"/>
      <w:bookmarkEnd w:id="145"/>
      <w:bookmarkEnd w:id="146"/>
      <w:bookmarkEnd w:id="147"/>
      <w:r w:rsidRPr="00074D1C">
        <w:t>Biosolids Management Plan</w:t>
      </w:r>
      <w:bookmarkEnd w:id="148"/>
      <w:bookmarkEnd w:id="149"/>
      <w:bookmarkEnd w:id="150"/>
      <w:bookmarkEnd w:id="151"/>
    </w:p>
    <w:p w14:paraId="49536A6A" w14:textId="74ADE724" w:rsidR="005E49D3" w:rsidRPr="00C974BA" w:rsidRDefault="005E49D3" w:rsidP="004325BE">
      <w:pPr>
        <w:pStyle w:val="PermitHanging1-text"/>
      </w:pPr>
      <w:r w:rsidRPr="00C974BA">
        <w:rPr>
          <w:highlight w:val="yellow"/>
        </w:rPr>
        <w:t xml:space="preserve">Include for </w:t>
      </w:r>
      <w:r w:rsidR="00005B6F" w:rsidRPr="00C974BA">
        <w:rPr>
          <w:highlight w:val="yellow"/>
        </w:rPr>
        <w:t>facilities</w:t>
      </w:r>
      <w:r w:rsidRPr="00C974BA">
        <w:rPr>
          <w:highlight w:val="yellow"/>
        </w:rPr>
        <w:t xml:space="preserve"> without a </w:t>
      </w:r>
      <w:r>
        <w:rPr>
          <w:highlight w:val="yellow"/>
        </w:rPr>
        <w:t xml:space="preserve">Biosolids </w:t>
      </w:r>
      <w:r w:rsidR="00005B6F">
        <w:rPr>
          <w:highlight w:val="yellow"/>
        </w:rPr>
        <w:t>Management</w:t>
      </w:r>
      <w:r w:rsidRPr="00C974BA">
        <w:rPr>
          <w:highlight w:val="yellow"/>
        </w:rPr>
        <w:t xml:space="preserve"> plan.</w:t>
      </w:r>
    </w:p>
    <w:p w14:paraId="1AE114E0" w14:textId="133E5E05" w:rsidR="005E49D3" w:rsidRDefault="004A34B9" w:rsidP="75EAEC27">
      <w:pPr>
        <w:pStyle w:val="PermitHanging1-text"/>
        <w:ind w:left="0"/>
      </w:pPr>
      <w:r>
        <w:t>Prior to distributing biosolids to the public, the</w:t>
      </w:r>
      <w:r>
        <w:rPr>
          <w:snapToGrid w:val="0"/>
        </w:rPr>
        <w:t xml:space="preserve"> </w:t>
      </w:r>
      <w:r w:rsidR="00073356">
        <w:rPr>
          <w:snapToGrid w:val="0"/>
        </w:rPr>
        <w:t xml:space="preserve">permittee must </w:t>
      </w:r>
      <w:r w:rsidR="002D3CD4">
        <w:rPr>
          <w:snapToGrid w:val="0"/>
        </w:rPr>
        <w:t xml:space="preserve">develop and </w:t>
      </w:r>
      <w:r w:rsidR="00073356">
        <w:rPr>
          <w:snapToGrid w:val="0"/>
        </w:rPr>
        <w:t xml:space="preserve">maintain a Biosolids Management Plan </w:t>
      </w:r>
      <w:r w:rsidR="00C90111">
        <w:rPr>
          <w:snapToGrid w:val="0"/>
        </w:rPr>
        <w:t xml:space="preserve">and Land </w:t>
      </w:r>
      <w:r w:rsidR="00005B6F">
        <w:rPr>
          <w:snapToGrid w:val="0"/>
        </w:rPr>
        <w:t>Application</w:t>
      </w:r>
      <w:r w:rsidR="00C90111">
        <w:rPr>
          <w:snapToGrid w:val="0"/>
        </w:rPr>
        <w:t xml:space="preserve"> Plan </w:t>
      </w:r>
      <w:r w:rsidR="00073356">
        <w:rPr>
          <w:snapToGrid w:val="0"/>
        </w:rPr>
        <w:t xml:space="preserve">meeting the requirements in OAR 340-050-0031. </w:t>
      </w:r>
      <w:r w:rsidR="002D3CD4">
        <w:rPr>
          <w:snapToGrid w:val="0"/>
        </w:rPr>
        <w:t>The permitte</w:t>
      </w:r>
      <w:r w:rsidR="00005B6F">
        <w:rPr>
          <w:snapToGrid w:val="0"/>
        </w:rPr>
        <w:t>e</w:t>
      </w:r>
      <w:r w:rsidR="002D3CD4">
        <w:rPr>
          <w:snapToGrid w:val="0"/>
        </w:rPr>
        <w:t xml:space="preserve"> must submit </w:t>
      </w:r>
      <w:r w:rsidR="00C90111">
        <w:rPr>
          <w:snapToGrid w:val="0"/>
        </w:rPr>
        <w:t>these plans</w:t>
      </w:r>
      <w:r>
        <w:rPr>
          <w:snapToGrid w:val="0"/>
        </w:rPr>
        <w:t xml:space="preserve"> and any significant modification of these plans</w:t>
      </w:r>
      <w:r w:rsidR="002D3CD4">
        <w:rPr>
          <w:snapToGrid w:val="0"/>
        </w:rPr>
        <w:t xml:space="preserve"> to DEQ for review and approval </w:t>
      </w:r>
      <w:r w:rsidR="00C90111" w:rsidRPr="00C90111">
        <w:rPr>
          <w:snapToGrid w:val="0"/>
        </w:rPr>
        <w:t>with sufficient time to clear DEQ review and a public notice period</w:t>
      </w:r>
      <w:r w:rsidR="002D3CD4">
        <w:rPr>
          <w:snapToGrid w:val="0"/>
        </w:rPr>
        <w:t xml:space="preserve"> prior to removing biosolids from the facility. </w:t>
      </w:r>
      <w:r w:rsidR="00073356">
        <w:rPr>
          <w:snapToGrid w:val="0"/>
        </w:rPr>
        <w:t>The permittee must keep the plan</w:t>
      </w:r>
      <w:r w:rsidR="00C90111">
        <w:rPr>
          <w:snapToGrid w:val="0"/>
        </w:rPr>
        <w:t>s</w:t>
      </w:r>
      <w:r w:rsidR="00073356">
        <w:rPr>
          <w:snapToGrid w:val="0"/>
        </w:rPr>
        <w:t xml:space="preserve"> updated. </w:t>
      </w:r>
      <w:r w:rsidR="00152BF8" w:rsidRPr="0002794C">
        <w:t>All plan revisions require written authorization from DEQ</w:t>
      </w:r>
      <w:r w:rsidR="00F127BB">
        <w:t xml:space="preserve"> </w:t>
      </w:r>
      <w:r w:rsidR="00152BF8">
        <w:t>and</w:t>
      </w:r>
      <w:r w:rsidR="00F45ADE">
        <w:t xml:space="preserve"> are effective upon permittee’s receipt of DEQ written approval. </w:t>
      </w:r>
      <w:r w:rsidR="00C90111">
        <w:t xml:space="preserve">No </w:t>
      </w:r>
      <w:r w:rsidR="00477AA6">
        <w:t xml:space="preserve">significant </w:t>
      </w:r>
      <w:r w:rsidR="00C90111">
        <w:t xml:space="preserve">modifications can be made to a plan for an administratively extended permit (after the permit expiration date). </w:t>
      </w:r>
      <w:r w:rsidR="00073356">
        <w:rPr>
          <w:snapToGrid w:val="0"/>
        </w:rPr>
        <w:t>Conditions in the plan</w:t>
      </w:r>
      <w:r w:rsidR="00FC44B6">
        <w:rPr>
          <w:snapToGrid w:val="0"/>
        </w:rPr>
        <w:t>s</w:t>
      </w:r>
      <w:r w:rsidR="00073356">
        <w:rPr>
          <w:snapToGrid w:val="0"/>
        </w:rPr>
        <w:t xml:space="preserve"> are enforceable requirements under this permit.</w:t>
      </w:r>
      <w:r w:rsidR="00117345">
        <w:rPr>
          <w:snapToGrid w:val="0"/>
        </w:rPr>
        <w:t xml:space="preserve"> </w:t>
      </w:r>
    </w:p>
    <w:p w14:paraId="6DE17850" w14:textId="7B2AEE3B" w:rsidR="00233394" w:rsidRDefault="005E49D3" w:rsidP="004325BE">
      <w:pPr>
        <w:pStyle w:val="PermitHanging1-text"/>
        <w:rPr>
          <w:snapToGrid w:val="0"/>
        </w:rPr>
      </w:pPr>
      <w:r>
        <w:rPr>
          <w:snapToGrid w:val="0"/>
          <w:highlight w:val="yellow"/>
        </w:rPr>
        <w:t xml:space="preserve">Include for facilities with a </w:t>
      </w:r>
      <w:r w:rsidR="00152BF8">
        <w:rPr>
          <w:snapToGrid w:val="0"/>
          <w:highlight w:val="yellow"/>
        </w:rPr>
        <w:t xml:space="preserve">Biosolids </w:t>
      </w:r>
      <w:r w:rsidR="00F127BB">
        <w:rPr>
          <w:snapToGrid w:val="0"/>
          <w:highlight w:val="yellow"/>
        </w:rPr>
        <w:t>Management P</w:t>
      </w:r>
      <w:r w:rsidRPr="00C974BA">
        <w:rPr>
          <w:snapToGrid w:val="0"/>
          <w:highlight w:val="yellow"/>
        </w:rPr>
        <w:t>lan.</w:t>
      </w:r>
      <w:r>
        <w:rPr>
          <w:snapToGrid w:val="0"/>
          <w:highlight w:val="yellow"/>
        </w:rPr>
        <w:t xml:space="preserve"> Include the highlighted text if the facility needs to update their </w:t>
      </w:r>
      <w:r w:rsidR="00152BF8">
        <w:rPr>
          <w:snapToGrid w:val="0"/>
          <w:highlight w:val="yellow"/>
        </w:rPr>
        <w:t>BMP</w:t>
      </w:r>
      <w:r>
        <w:rPr>
          <w:snapToGrid w:val="0"/>
          <w:highlight w:val="yellow"/>
        </w:rPr>
        <w:t>.</w:t>
      </w:r>
      <w:r w:rsidRPr="005E49D3">
        <w:rPr>
          <w:snapToGrid w:val="0"/>
        </w:rPr>
        <w:t xml:space="preserve"> </w:t>
      </w:r>
    </w:p>
    <w:p w14:paraId="59B25E56" w14:textId="2BBD8AB0" w:rsidR="005E49D3" w:rsidRDefault="005E49D3" w:rsidP="75EAEC27">
      <w:pPr>
        <w:pStyle w:val="PermitHanging1-text"/>
        <w:ind w:left="0"/>
      </w:pPr>
      <w:r>
        <w:t>The</w:t>
      </w:r>
      <w:r>
        <w:rPr>
          <w:snapToGrid w:val="0"/>
        </w:rPr>
        <w:t xml:space="preserve"> permittee must </w:t>
      </w:r>
      <w:r w:rsidRPr="005E49D3">
        <w:rPr>
          <w:snapToGrid w:val="0"/>
          <w:highlight w:val="yellow"/>
        </w:rPr>
        <w:t>update and</w:t>
      </w:r>
      <w:r>
        <w:rPr>
          <w:snapToGrid w:val="0"/>
        </w:rPr>
        <w:t xml:space="preserve"> maintain a Biosolids Management Plan and Land </w:t>
      </w:r>
      <w:r w:rsidR="00005B6F">
        <w:rPr>
          <w:snapToGrid w:val="0"/>
        </w:rPr>
        <w:t>Application</w:t>
      </w:r>
      <w:r>
        <w:rPr>
          <w:snapToGrid w:val="0"/>
        </w:rPr>
        <w:t xml:space="preserve"> Plan meeting the requirements in OAR 340-050-0031. The permitte</w:t>
      </w:r>
      <w:r w:rsidR="00005B6F">
        <w:rPr>
          <w:snapToGrid w:val="0"/>
        </w:rPr>
        <w:t>e</w:t>
      </w:r>
      <w:r>
        <w:rPr>
          <w:snapToGrid w:val="0"/>
        </w:rPr>
        <w:t xml:space="preserve"> must submit </w:t>
      </w:r>
      <w:r w:rsidRPr="005E49D3">
        <w:rPr>
          <w:snapToGrid w:val="0"/>
          <w:highlight w:val="yellow"/>
        </w:rPr>
        <w:t>these plans and</w:t>
      </w:r>
      <w:r>
        <w:rPr>
          <w:snapToGrid w:val="0"/>
        </w:rPr>
        <w:t xml:space="preserve"> any significant modification of these plans to DEQ for review and approval </w:t>
      </w:r>
      <w:r w:rsidRPr="00C90111">
        <w:rPr>
          <w:snapToGrid w:val="0"/>
        </w:rPr>
        <w:t>with sufficient time to clear DEQ review and a public notice period</w:t>
      </w:r>
      <w:r>
        <w:rPr>
          <w:snapToGrid w:val="0"/>
        </w:rPr>
        <w:t xml:space="preserve"> prior to implementing any significant changes to the biosolids program. The permittee must keep the plans updated. </w:t>
      </w:r>
      <w:r w:rsidR="00152BF8" w:rsidRPr="00830026">
        <w:t>All plan revisions require written authorization from DEQ</w:t>
      </w:r>
      <w:r w:rsidR="00DF2A89">
        <w:t xml:space="preserve"> </w:t>
      </w:r>
      <w:r w:rsidR="00152BF8">
        <w:t>and</w:t>
      </w:r>
      <w:r>
        <w:t xml:space="preserve"> are effective upon permittee’s receipt of DEQ written approval. No </w:t>
      </w:r>
      <w:r w:rsidR="00477AA6">
        <w:t xml:space="preserve">significant </w:t>
      </w:r>
      <w:r>
        <w:t xml:space="preserve">modifications can be made to a plan for an administratively extended permit (after the permit expiration date). </w:t>
      </w:r>
      <w:r>
        <w:rPr>
          <w:snapToGrid w:val="0"/>
        </w:rPr>
        <w:t>Conditions in the plan</w:t>
      </w:r>
      <w:r w:rsidR="00FC44B6">
        <w:rPr>
          <w:snapToGrid w:val="0"/>
        </w:rPr>
        <w:t>s</w:t>
      </w:r>
      <w:r>
        <w:rPr>
          <w:snapToGrid w:val="0"/>
        </w:rPr>
        <w:t xml:space="preserve"> are enforceable requirements under this permit</w:t>
      </w:r>
      <w:r w:rsidR="00AD0BF3" w:rsidRPr="00830026">
        <w:rPr>
          <w:snapToGrid w:val="0"/>
        </w:rPr>
        <w:t>.</w:t>
      </w:r>
      <w:r w:rsidR="00117345">
        <w:rPr>
          <w:snapToGrid w:val="0"/>
        </w:rPr>
        <w:t xml:space="preserve"> </w:t>
      </w:r>
    </w:p>
    <w:p w14:paraId="7FBDCC8F" w14:textId="35892288" w:rsidR="00152BF8" w:rsidRDefault="00152BF8" w:rsidP="00152BF8">
      <w:pPr>
        <w:pStyle w:val="PermitNormal"/>
        <w:ind w:left="720"/>
      </w:pPr>
      <w:r>
        <w:rPr>
          <w:highlight w:val="yellow"/>
        </w:rPr>
        <w:t xml:space="preserve">Include the following conditions if biosolids conditions have been included in </w:t>
      </w:r>
      <w:hyperlink w:anchor="ScheduleA" w:history="1">
        <w:r>
          <w:rPr>
            <w:rStyle w:val="Hyperlink"/>
            <w:rFonts w:eastAsia="Calibri"/>
            <w:i/>
            <w:color w:val="auto"/>
            <w:highlight w:val="yellow"/>
          </w:rPr>
          <w:t>Schedule A</w:t>
        </w:r>
      </w:hyperlink>
      <w:r>
        <w:rPr>
          <w:highlight w:val="yellow"/>
        </w:rPr>
        <w:t>:</w:t>
      </w:r>
    </w:p>
    <w:p w14:paraId="1EB17936" w14:textId="4D11215C" w:rsidR="002D3CD4" w:rsidRPr="006546C9" w:rsidRDefault="002D3CD4" w:rsidP="0017702F">
      <w:pPr>
        <w:pStyle w:val="PermitHanging2TOC"/>
        <w:numPr>
          <w:ilvl w:val="2"/>
          <w:numId w:val="67"/>
        </w:numPr>
        <w:rPr>
          <w:b/>
          <w:bCs/>
        </w:rPr>
      </w:pPr>
      <w:r w:rsidRPr="006546C9">
        <w:rPr>
          <w:b/>
          <w:bCs/>
          <w:snapToGrid w:val="0"/>
        </w:rPr>
        <w:t>Annual Report</w:t>
      </w:r>
    </w:p>
    <w:p w14:paraId="1983BE39" w14:textId="3410002F" w:rsidR="002D3CD4" w:rsidRPr="00457CED" w:rsidRDefault="002D3CD4" w:rsidP="00457CED">
      <w:pPr>
        <w:pStyle w:val="PermitHanging2-text"/>
      </w:pPr>
      <w:r w:rsidRPr="00457CED">
        <w:t xml:space="preserve">The permittee must submit a </w:t>
      </w:r>
      <w:r w:rsidR="00F911AD" w:rsidRPr="00457CED">
        <w:t>B</w:t>
      </w:r>
      <w:r w:rsidRPr="00457CED">
        <w:t xml:space="preserve">iosolids </w:t>
      </w:r>
      <w:r w:rsidR="00F911AD" w:rsidRPr="00457CED">
        <w:t>A</w:t>
      </w:r>
      <w:r w:rsidRPr="00457CED">
        <w:t xml:space="preserve">nnual </w:t>
      </w:r>
      <w:r w:rsidR="00F911AD" w:rsidRPr="00457CED">
        <w:t>R</w:t>
      </w:r>
      <w:r w:rsidRPr="00457CED">
        <w:t xml:space="preserve">eport by February 19 each year documenting biosolids management activities of the previous </w:t>
      </w:r>
      <w:r w:rsidR="00005B6F" w:rsidRPr="00457CED">
        <w:t>calendar</w:t>
      </w:r>
      <w:r w:rsidRPr="00457CED">
        <w:t xml:space="preserve"> year as described in OAR 340-050-</w:t>
      </w:r>
      <w:r w:rsidR="003353CE" w:rsidRPr="00457CED">
        <w:t>0035(6)</w:t>
      </w:r>
      <w:r w:rsidRPr="00457CED">
        <w:t xml:space="preserve">. The permittee must use DEQ approved </w:t>
      </w:r>
      <w:r w:rsidR="00F911AD" w:rsidRPr="00457CED">
        <w:t>B</w:t>
      </w:r>
      <w:r w:rsidRPr="00457CED">
        <w:t xml:space="preserve">iosolids </w:t>
      </w:r>
      <w:r w:rsidR="00F911AD" w:rsidRPr="00457CED">
        <w:t>A</w:t>
      </w:r>
      <w:r w:rsidRPr="00457CED">
        <w:t xml:space="preserve">nnual </w:t>
      </w:r>
      <w:r w:rsidR="00F911AD" w:rsidRPr="00457CED">
        <w:t>r</w:t>
      </w:r>
      <w:r w:rsidRPr="00457CED">
        <w:t xml:space="preserve">eport form. This report must include the monitoring data and analytical laboratory reports for the previous year’s monitoring </w:t>
      </w:r>
      <w:r w:rsidR="003353CE" w:rsidRPr="00457CED">
        <w:t>specified</w:t>
      </w:r>
      <w:r w:rsidRPr="00457CED">
        <w:t xml:space="preserve"> under Schedule B.</w:t>
      </w:r>
      <w:r w:rsidR="00117345" w:rsidRPr="00457CED">
        <w:t xml:space="preserve"> </w:t>
      </w:r>
    </w:p>
    <w:p w14:paraId="5D428EBA" w14:textId="50EFA9C1" w:rsidR="00233394" w:rsidRPr="006546C9" w:rsidRDefault="00073356" w:rsidP="009F40BD">
      <w:pPr>
        <w:pStyle w:val="PermitHanging2TOC"/>
        <w:numPr>
          <w:ilvl w:val="2"/>
          <w:numId w:val="3"/>
        </w:numPr>
        <w:rPr>
          <w:b/>
          <w:bCs/>
        </w:rPr>
      </w:pPr>
      <w:bookmarkStart w:id="152" w:name="_Toc326239899"/>
      <w:bookmarkStart w:id="153" w:name="_Ref326248221"/>
      <w:bookmarkStart w:id="154" w:name="_Ref328580475"/>
      <w:bookmarkStart w:id="155" w:name="_Ref328580502"/>
      <w:bookmarkStart w:id="156" w:name="_Ref328580508"/>
      <w:r w:rsidRPr="006546C9">
        <w:rPr>
          <w:b/>
          <w:bCs/>
          <w:snapToGrid w:val="0"/>
        </w:rPr>
        <w:t>Site Authorization</w:t>
      </w:r>
      <w:bookmarkEnd w:id="152"/>
      <w:bookmarkEnd w:id="153"/>
      <w:bookmarkEnd w:id="154"/>
      <w:bookmarkEnd w:id="155"/>
      <w:bookmarkEnd w:id="156"/>
    </w:p>
    <w:p w14:paraId="5D6A5913" w14:textId="6898806F" w:rsidR="00233394" w:rsidRPr="00457CED" w:rsidRDefault="00073356" w:rsidP="00457CED">
      <w:pPr>
        <w:pStyle w:val="PermitHanging2-text"/>
      </w:pPr>
      <w:r w:rsidRPr="00457CED">
        <w:t>The permittee must obtain written authorization from DEQ for each land application site prior to its use. Conditions in site authorizations are enforceable requirements under this permit.</w:t>
      </w:r>
      <w:r w:rsidR="007C461A" w:rsidRPr="00457CED">
        <w:t xml:space="preserve"> </w:t>
      </w:r>
      <w:r w:rsidRPr="00457CED">
        <w:t xml:space="preserve">The permittee </w:t>
      </w:r>
      <w:r w:rsidR="00F45ADE" w:rsidRPr="00457CED">
        <w:t>is prohibited from</w:t>
      </w:r>
      <w:r w:rsidRPr="00457CED">
        <w:t xml:space="preserve"> land apply</w:t>
      </w:r>
      <w:r w:rsidR="00F45ADE" w:rsidRPr="00457CED">
        <w:t>ing</w:t>
      </w:r>
      <w:r w:rsidRPr="00457CED">
        <w:t xml:space="preserve"> biosolids to a DEQ-approved site </w:t>
      </w:r>
      <w:r w:rsidR="00F45ADE" w:rsidRPr="00457CED">
        <w:t>except in accordance with</w:t>
      </w:r>
      <w:r w:rsidRPr="00457CED">
        <w:t xml:space="preserve"> the site authorization, while this permit is effective and with the written approval of the property owner.</w:t>
      </w:r>
      <w:r w:rsidR="007C461A" w:rsidRPr="00457CED">
        <w:t xml:space="preserve"> </w:t>
      </w:r>
      <w:r w:rsidRPr="00457CED">
        <w:t>DEQ may modify or revoke a site authorization following the procedures for a permit modification described in OAR 340-045-0055.</w:t>
      </w:r>
      <w:r w:rsidR="007C461A" w:rsidRPr="00457CED">
        <w:t xml:space="preserve"> </w:t>
      </w:r>
    </w:p>
    <w:p w14:paraId="553D94C8" w14:textId="77777777" w:rsidR="00AD694D" w:rsidRPr="006546C9" w:rsidRDefault="00073356" w:rsidP="009F40BD">
      <w:pPr>
        <w:pStyle w:val="PermitHanging2TOC"/>
        <w:numPr>
          <w:ilvl w:val="2"/>
          <w:numId w:val="3"/>
        </w:numPr>
        <w:rPr>
          <w:b/>
          <w:bCs/>
        </w:rPr>
      </w:pPr>
      <w:bookmarkStart w:id="157" w:name="_Toc326239900"/>
      <w:bookmarkStart w:id="158" w:name="_Ref328580032"/>
      <w:bookmarkStart w:id="159" w:name="_Hlk106974246"/>
      <w:r w:rsidRPr="006546C9">
        <w:rPr>
          <w:b/>
          <w:bCs/>
          <w:snapToGrid w:val="0"/>
        </w:rPr>
        <w:t>Public Participation</w:t>
      </w:r>
      <w:bookmarkEnd w:id="157"/>
      <w:bookmarkEnd w:id="158"/>
    </w:p>
    <w:bookmarkEnd w:id="159"/>
    <w:p w14:paraId="73E57DCD" w14:textId="77777777" w:rsidR="00152BF8" w:rsidRDefault="00152BF8" w:rsidP="009F40BD">
      <w:pPr>
        <w:pStyle w:val="PermitHanging3"/>
        <w:numPr>
          <w:ilvl w:val="4"/>
          <w:numId w:val="3"/>
        </w:numPr>
      </w:pPr>
      <w:r w:rsidRPr="0002794C">
        <w:t xml:space="preserve">DEQ will provide an opportunity for public review and comment on any significant plan modifications prior to approving or denying. Public review is not required for </w:t>
      </w:r>
      <w:r>
        <w:t xml:space="preserve">minor modifications or </w:t>
      </w:r>
      <w:r w:rsidRPr="0002794C">
        <w:t>changes to utilization dates.</w:t>
      </w:r>
    </w:p>
    <w:p w14:paraId="38ACFE60" w14:textId="64E3D314" w:rsidR="00AD694D" w:rsidRPr="00AD694D" w:rsidRDefault="00073356" w:rsidP="009F40BD">
      <w:pPr>
        <w:pStyle w:val="PermitHanging3"/>
        <w:numPr>
          <w:ilvl w:val="4"/>
          <w:numId w:val="3"/>
        </w:numPr>
      </w:pPr>
      <w:r w:rsidRPr="00AD694D">
        <w:lastRenderedPageBreak/>
        <w:t xml:space="preserve">No DEQ-initiated public notice is required for continued use of sites identified in DEQ-approved </w:t>
      </w:r>
      <w:r w:rsidR="00434F62" w:rsidRPr="00AD694D">
        <w:t xml:space="preserve">biosolids </w:t>
      </w:r>
      <w:r w:rsidR="00B82419" w:rsidRPr="00AD694D">
        <w:t>management</w:t>
      </w:r>
      <w:r w:rsidRPr="00AD694D">
        <w:t xml:space="preserve"> plan.</w:t>
      </w:r>
    </w:p>
    <w:p w14:paraId="57724670" w14:textId="5B04111D" w:rsidR="00AD694D" w:rsidRDefault="00073356" w:rsidP="009F40BD">
      <w:pPr>
        <w:pStyle w:val="PermitHanging3"/>
        <w:keepNext/>
        <w:keepLines/>
        <w:numPr>
          <w:ilvl w:val="4"/>
          <w:numId w:val="3"/>
        </w:numPr>
      </w:pPr>
      <w:r w:rsidRPr="00AD694D">
        <w:t xml:space="preserve">For new sites that fail to meet the site selection criteria in the </w:t>
      </w:r>
      <w:r w:rsidR="00434F62" w:rsidRPr="00AD694D">
        <w:t xml:space="preserve">biosolids </w:t>
      </w:r>
      <w:r w:rsidR="00B82419" w:rsidRPr="00AD694D">
        <w:t>management</w:t>
      </w:r>
      <w:r w:rsidRPr="00AD694D">
        <w:t xml:space="preserve"> plan or that are deemed by DEQ to be sensitive with respect to residential housing, runoff potential, or threat to groundwater, DEQ will provide an opportunity for public comment as </w:t>
      </w:r>
      <w:r w:rsidRPr="002A189E">
        <w:t xml:space="preserve">directed by </w:t>
      </w:r>
      <w:r w:rsidR="00087FF8" w:rsidRPr="002A189E">
        <w:t>OAR 340-050-0030(2).</w:t>
      </w:r>
    </w:p>
    <w:p w14:paraId="52FFEDEC" w14:textId="19045D0C" w:rsidR="00233394" w:rsidRPr="00AD694D" w:rsidRDefault="00073356" w:rsidP="009F40BD">
      <w:pPr>
        <w:pStyle w:val="PermitHanging3"/>
        <w:numPr>
          <w:ilvl w:val="4"/>
          <w:numId w:val="3"/>
        </w:numPr>
      </w:pPr>
      <w:r w:rsidRPr="00AD694D">
        <w:t xml:space="preserve">For all other new sites, the permittee must provide for public participation following procedures in its DEQ-approved land application plan. </w:t>
      </w:r>
    </w:p>
    <w:p w14:paraId="3F57694D" w14:textId="16B5C0B8" w:rsidR="00233394" w:rsidRDefault="00073356" w:rsidP="75EAEC27">
      <w:pPr>
        <w:pStyle w:val="PermitHanging1-text"/>
        <w:ind w:left="0"/>
      </w:pPr>
      <w:r>
        <w:rPr>
          <w:highlight w:val="yellow"/>
        </w:rPr>
        <w:t xml:space="preserve">Include </w:t>
      </w:r>
      <w:r w:rsidR="003920E6">
        <w:rPr>
          <w:highlight w:val="yellow"/>
        </w:rPr>
        <w:t xml:space="preserve">the following </w:t>
      </w:r>
      <w:r>
        <w:rPr>
          <w:highlight w:val="yellow"/>
        </w:rPr>
        <w:t>for sources that produce Class A biosolids only.</w:t>
      </w:r>
      <w:r w:rsidR="007C461A">
        <w:rPr>
          <w:highlight w:val="yellow"/>
        </w:rPr>
        <w:t xml:space="preserve"> </w:t>
      </w:r>
      <w:r>
        <w:rPr>
          <w:highlight w:val="yellow"/>
        </w:rPr>
        <w:t xml:space="preserve">Alternatively, this language may be included for all facilities with biosolids programs </w:t>
      </w:r>
      <w:proofErr w:type="gramStart"/>
      <w:r>
        <w:rPr>
          <w:highlight w:val="yellow"/>
        </w:rPr>
        <w:t>so as to</w:t>
      </w:r>
      <w:proofErr w:type="gramEnd"/>
      <w:r>
        <w:rPr>
          <w:highlight w:val="yellow"/>
        </w:rPr>
        <w:t xml:space="preserve"> allow them to upgrade to Class A biosolids without obtaining a permit modification.</w:t>
      </w:r>
    </w:p>
    <w:p w14:paraId="176F7E66" w14:textId="779CB740" w:rsidR="00233394" w:rsidRPr="006546C9" w:rsidRDefault="00073356" w:rsidP="009F40BD">
      <w:pPr>
        <w:pStyle w:val="PermitHanging2TOC"/>
        <w:numPr>
          <w:ilvl w:val="2"/>
          <w:numId w:val="3"/>
        </w:numPr>
        <w:rPr>
          <w:b/>
          <w:bCs/>
        </w:rPr>
      </w:pPr>
      <w:bookmarkStart w:id="160" w:name="_Toc326239901"/>
      <w:r w:rsidRPr="006546C9">
        <w:rPr>
          <w:b/>
          <w:bCs/>
          <w:snapToGrid w:val="0"/>
        </w:rPr>
        <w:t>Exceptional Quality</w:t>
      </w:r>
      <w:r w:rsidR="007C461A" w:rsidRPr="006546C9">
        <w:rPr>
          <w:b/>
          <w:bCs/>
          <w:snapToGrid w:val="0"/>
        </w:rPr>
        <w:t xml:space="preserve"> </w:t>
      </w:r>
      <w:r w:rsidRPr="006546C9">
        <w:rPr>
          <w:b/>
          <w:bCs/>
          <w:snapToGrid w:val="0"/>
        </w:rPr>
        <w:t>Biosolids</w:t>
      </w:r>
      <w:bookmarkEnd w:id="160"/>
    </w:p>
    <w:p w14:paraId="5879F301" w14:textId="719757B9" w:rsidR="00AD694D" w:rsidRPr="00457CED" w:rsidRDefault="00073356" w:rsidP="00457CED">
      <w:pPr>
        <w:pStyle w:val="PermitHanging2-text"/>
      </w:pPr>
      <w:r w:rsidRPr="00457CED">
        <w:t xml:space="preserve">The permittee is exempt from the requirements in </w:t>
      </w:r>
      <w:proofErr w:type="gramStart"/>
      <w:r w:rsidRPr="00457CED">
        <w:t>condition</w:t>
      </w:r>
      <w:r w:rsidR="00600AA6" w:rsidRPr="00457CED">
        <w:rPr>
          <w:highlight w:val="yellow"/>
        </w:rPr>
        <w:t xml:space="preserve"> </w:t>
      </w:r>
      <w:r w:rsidR="001531DF" w:rsidRPr="00457CED">
        <w:rPr>
          <w:highlight w:val="yellow"/>
        </w:rPr>
        <w:t>?</w:t>
      </w:r>
      <w:r w:rsidR="00422A2D" w:rsidRPr="00457CED">
        <w:t>.</w:t>
      </w:r>
      <w:r w:rsidR="003920E6" w:rsidRPr="00457CED">
        <w:t>b</w:t>
      </w:r>
      <w:proofErr w:type="gramEnd"/>
      <w:r w:rsidR="00600AA6" w:rsidRPr="00457CED">
        <w:t xml:space="preserve"> above</w:t>
      </w:r>
      <w:r w:rsidR="00B82419" w:rsidRPr="00457CED">
        <w:t>,</w:t>
      </w:r>
      <w:r w:rsidRPr="00457CED">
        <w:t xml:space="preserve"> if:</w:t>
      </w:r>
    </w:p>
    <w:p w14:paraId="286D1445" w14:textId="77777777" w:rsidR="006546C9" w:rsidRPr="00AD694D" w:rsidRDefault="00073356" w:rsidP="009F40BD">
      <w:pPr>
        <w:pStyle w:val="PermitHanging3"/>
        <w:numPr>
          <w:ilvl w:val="4"/>
          <w:numId w:val="3"/>
        </w:numPr>
      </w:pPr>
      <w:r w:rsidRPr="00AD694D">
        <w:t xml:space="preserve">Pollutant concentrations of biosolids are less than the pollutant concentration limits in </w:t>
      </w:r>
      <w:r w:rsidR="00422A2D" w:rsidRPr="00422A2D">
        <w:t>Schedule A</w:t>
      </w:r>
      <w:r w:rsidRPr="00AD694D">
        <w:t xml:space="preserve">, </w:t>
      </w:r>
      <w:r w:rsidRPr="00AD694D">
        <w:rPr>
          <w:highlight w:val="yellow"/>
        </w:rPr>
        <w:t xml:space="preserve">Table </w:t>
      </w:r>
      <w:proofErr w:type="gramStart"/>
      <w:r w:rsidRPr="00AD694D">
        <w:rPr>
          <w:highlight w:val="yellow"/>
        </w:rPr>
        <w:t>A?</w:t>
      </w:r>
      <w:r w:rsidRPr="00AD694D">
        <w:t>;</w:t>
      </w:r>
      <w:proofErr w:type="gramEnd"/>
    </w:p>
    <w:p w14:paraId="13E5A850" w14:textId="77777777" w:rsidR="006546C9" w:rsidRPr="00AD694D" w:rsidRDefault="00073356" w:rsidP="009F40BD">
      <w:pPr>
        <w:pStyle w:val="PermitHanging3"/>
        <w:numPr>
          <w:ilvl w:val="4"/>
          <w:numId w:val="3"/>
        </w:numPr>
      </w:pPr>
      <w:r w:rsidRPr="00AD694D">
        <w:t>Biosolids meet one of the Class A pathogen reduction alternatives in 40 CFR 503.32(a); and</w:t>
      </w:r>
    </w:p>
    <w:p w14:paraId="2113DD7F" w14:textId="77777777" w:rsidR="006546C9" w:rsidRPr="00AD694D" w:rsidRDefault="00073356" w:rsidP="009F40BD">
      <w:pPr>
        <w:pStyle w:val="PermitHanging3"/>
        <w:numPr>
          <w:ilvl w:val="4"/>
          <w:numId w:val="3"/>
        </w:numPr>
      </w:pPr>
      <w:r w:rsidRPr="00AD694D">
        <w:t>Biosolids meet one of the vector attraction reduction options in 40 CFR 503.33(b)(1) through (8).</w:t>
      </w:r>
    </w:p>
    <w:p w14:paraId="75F00992" w14:textId="27F5C09D" w:rsidR="00233394" w:rsidRDefault="00073356" w:rsidP="008F4D0A">
      <w:pPr>
        <w:pStyle w:val="PermitNormal"/>
        <w:ind w:left="720"/>
      </w:pPr>
      <w:r>
        <w:rPr>
          <w:highlight w:val="yellow"/>
        </w:rPr>
        <w:t>Insert the following conditions for all facilities.</w:t>
      </w:r>
    </w:p>
    <w:p w14:paraId="14AC0F17" w14:textId="066E8122" w:rsidR="00233394" w:rsidRDefault="00073356" w:rsidP="0066673D">
      <w:pPr>
        <w:pStyle w:val="PermitHanging1TOC"/>
        <w:spacing w:after="120"/>
      </w:pPr>
      <w:bookmarkStart w:id="161" w:name="_Toc4416487"/>
      <w:bookmarkStart w:id="162" w:name="_Toc4416551"/>
      <w:bookmarkStart w:id="163" w:name="_Toc4416821"/>
      <w:bookmarkStart w:id="164" w:name="_Toc4416889"/>
      <w:bookmarkStart w:id="165" w:name="_Toc326239902"/>
      <w:bookmarkStart w:id="166" w:name="_Toc378605470"/>
      <w:bookmarkStart w:id="167" w:name="_Toc203135911"/>
      <w:bookmarkEnd w:id="161"/>
      <w:bookmarkEnd w:id="162"/>
      <w:bookmarkEnd w:id="163"/>
      <w:bookmarkEnd w:id="164"/>
      <w:r>
        <w:t>Wastewater Solids</w:t>
      </w:r>
      <w:bookmarkEnd w:id="165"/>
      <w:r>
        <w:t xml:space="preserve"> Transfers</w:t>
      </w:r>
      <w:bookmarkEnd w:id="166"/>
      <w:bookmarkEnd w:id="167"/>
    </w:p>
    <w:p w14:paraId="27CBB24F" w14:textId="3BCF3632" w:rsidR="00233394" w:rsidRPr="005E3CBD" w:rsidRDefault="00073356" w:rsidP="006264E9">
      <w:pPr>
        <w:pStyle w:val="PermitHanging2Non-TOC"/>
        <w:numPr>
          <w:ilvl w:val="3"/>
          <w:numId w:val="24"/>
        </w:numPr>
        <w:rPr>
          <w:snapToGrid w:val="0"/>
        </w:rPr>
      </w:pPr>
      <w:r w:rsidRPr="005E3CBD">
        <w:rPr>
          <w:i/>
        </w:rPr>
        <w:t>Within state.</w:t>
      </w:r>
      <w:r w:rsidRPr="00F91E1D">
        <w:t xml:space="preserve"> The permittee may transfer wastewater solids including Class A and Class B biosolids, to another facility permitted to process or dispose of wastewater solids, including but not limited </w:t>
      </w:r>
      <w:proofErr w:type="gramStart"/>
      <w:r w:rsidRPr="00F91E1D">
        <w:t>to:</w:t>
      </w:r>
      <w:proofErr w:type="gramEnd"/>
      <w:r w:rsidRPr="00F91E1D">
        <w:t xml:space="preserve"> another wastewater treatment facility, landfill, or incinerator. The permittee must</w:t>
      </w:r>
      <w:r w:rsidR="00AE0A07" w:rsidRPr="00F91E1D">
        <w:t xml:space="preserve"> </w:t>
      </w:r>
      <w:r w:rsidR="00EE7BC3" w:rsidRPr="00F91E1D">
        <w:t>satisfy the requirements</w:t>
      </w:r>
      <w:r w:rsidR="00117345">
        <w:t xml:space="preserve"> </w:t>
      </w:r>
      <w:r w:rsidRPr="00F91E1D">
        <w:t>of the receiving facility</w:t>
      </w:r>
      <w:r w:rsidR="00EE7BC3" w:rsidRPr="00F91E1D">
        <w:t xml:space="preserve">. The permittee must report the name of the receiving </w:t>
      </w:r>
      <w:proofErr w:type="gramStart"/>
      <w:r w:rsidR="00EE7BC3" w:rsidRPr="00F91E1D">
        <w:t>facility</w:t>
      </w:r>
      <w:proofErr w:type="gramEnd"/>
      <w:r w:rsidR="00EE7BC3" w:rsidRPr="00F91E1D">
        <w:t xml:space="preserve"> and the </w:t>
      </w:r>
      <w:r w:rsidR="00931269" w:rsidRPr="00F91E1D">
        <w:t>quantity</w:t>
      </w:r>
      <w:r w:rsidR="00EE7BC3" w:rsidRPr="00F91E1D">
        <w:t xml:space="preserve"> of </w:t>
      </w:r>
      <w:r w:rsidR="00931269" w:rsidRPr="00F91E1D">
        <w:t>material</w:t>
      </w:r>
      <w:r w:rsidR="00EE7BC3" w:rsidRPr="00F91E1D">
        <w:t xml:space="preserve"> </w:t>
      </w:r>
      <w:r w:rsidR="00931269" w:rsidRPr="00F91E1D">
        <w:t>transferred</w:t>
      </w:r>
      <w:r w:rsidR="00EE7BC3" w:rsidRPr="00F91E1D">
        <w:t xml:space="preserve"> in the wastewater solids</w:t>
      </w:r>
      <w:r w:rsidR="00490289">
        <w:t xml:space="preserve"> or biosolids</w:t>
      </w:r>
      <w:r w:rsidR="00EE7BC3" w:rsidRPr="00F91E1D">
        <w:t xml:space="preserve"> annual report identified in Schedule B</w:t>
      </w:r>
      <w:r w:rsidRPr="00F91E1D">
        <w:t xml:space="preserve">. </w:t>
      </w:r>
    </w:p>
    <w:p w14:paraId="4C844914" w14:textId="77777777" w:rsidR="00233394" w:rsidRPr="00F91E1D" w:rsidRDefault="00073356" w:rsidP="009F40BD">
      <w:pPr>
        <w:pStyle w:val="PermitHanging2Non-TOC"/>
        <w:numPr>
          <w:ilvl w:val="3"/>
          <w:numId w:val="3"/>
        </w:numPr>
      </w:pPr>
      <w:r w:rsidRPr="00F91E1D">
        <w:rPr>
          <w:i/>
        </w:rPr>
        <w:t xml:space="preserve">Out of state. </w:t>
      </w:r>
      <w:r w:rsidRPr="00F91E1D">
        <w:t>If wastewater solids, including Class A and Class B biosolids, are transferred out of state for use or disposal, the permittee must obtain written authorization from DEQ, meet Oregon requirements for the use or disposal of wastewater solids, notify in writing the receiving state of the proposed use or disposal of wastewater solids, and satisfy the requirements of the receiving state.</w:t>
      </w:r>
      <w:r w:rsidRPr="00F91E1D">
        <w:rPr>
          <w:snapToGrid w:val="0"/>
        </w:rPr>
        <w:t xml:space="preserve"> </w:t>
      </w:r>
    </w:p>
    <w:p w14:paraId="5FA555E2" w14:textId="1A87679F" w:rsidR="00C20008" w:rsidRDefault="00A33FFB" w:rsidP="00A0366F">
      <w:pPr>
        <w:pStyle w:val="PermitHanging1TOC"/>
      </w:pPr>
      <w:bookmarkStart w:id="168" w:name="_Toc203135912"/>
      <w:r w:rsidRPr="00A33FFB">
        <w:t>Hauled Waste Control Plan</w:t>
      </w:r>
      <w:bookmarkEnd w:id="168"/>
      <w:r w:rsidR="00706E15">
        <w:t xml:space="preserve"> </w:t>
      </w:r>
    </w:p>
    <w:p w14:paraId="09F46FF1" w14:textId="2F851144" w:rsidR="00233394" w:rsidRDefault="00706E15" w:rsidP="00C20008">
      <w:pPr>
        <w:pStyle w:val="PermitNormal"/>
      </w:pPr>
      <w:r w:rsidRPr="00706E15">
        <w:rPr>
          <w:highlight w:val="yellow"/>
        </w:rPr>
        <w:t>[Remove this condition if the facility has a formal pretreatment program. Consult with the pretreatment coordinator if you are not sure.</w:t>
      </w:r>
      <w:r w:rsidR="001B749D">
        <w:rPr>
          <w:highlight w:val="yellow"/>
        </w:rPr>
        <w:t xml:space="preserve"> If there is not a pretreatment program one of the two paragraphs below must be in the permit.</w:t>
      </w:r>
      <w:r w:rsidRPr="00706E15">
        <w:rPr>
          <w:highlight w:val="yellow"/>
        </w:rPr>
        <w:t>]</w:t>
      </w:r>
    </w:p>
    <w:p w14:paraId="017724B4" w14:textId="5E88F8FE" w:rsidR="00233394" w:rsidRDefault="00F4713F" w:rsidP="004325BE">
      <w:pPr>
        <w:pStyle w:val="PermitHanging1-text"/>
      </w:pPr>
      <w:r w:rsidRPr="00F4713F">
        <w:rPr>
          <w:highlight w:val="yellow"/>
        </w:rPr>
        <w:t xml:space="preserve">For </w:t>
      </w:r>
      <w:r w:rsidR="00CE714D">
        <w:rPr>
          <w:highlight w:val="yellow"/>
        </w:rPr>
        <w:t xml:space="preserve">domestic </w:t>
      </w:r>
      <w:r w:rsidRPr="00F4713F">
        <w:rPr>
          <w:highlight w:val="yellow"/>
        </w:rPr>
        <w:t>facilities that do not have a formal pretreatment program and either have a DEQ approved hauled waste plan or do not currently accept hauled waste</w:t>
      </w:r>
      <w:r w:rsidR="00073356" w:rsidRPr="00F4713F">
        <w:rPr>
          <w:highlight w:val="yellow"/>
        </w:rPr>
        <w:t>:</w:t>
      </w:r>
    </w:p>
    <w:p w14:paraId="52C7D10D" w14:textId="760AAF00" w:rsidR="00233394" w:rsidRDefault="00073356" w:rsidP="75EAEC27">
      <w:pPr>
        <w:pStyle w:val="PermitHanging1-text"/>
        <w:ind w:left="0"/>
      </w:pPr>
      <w:r>
        <w:t xml:space="preserve">The permittee may accept hauled wastes at discharge points designated by the POTW after receiving written DEQ approval of a </w:t>
      </w:r>
      <w:r w:rsidR="00F911AD">
        <w:t>H</w:t>
      </w:r>
      <w:r>
        <w:t xml:space="preserve">auled </w:t>
      </w:r>
      <w:r w:rsidR="00F911AD">
        <w:t>W</w:t>
      </w:r>
      <w:r>
        <w:t xml:space="preserve">aste </w:t>
      </w:r>
      <w:r w:rsidR="00F911AD">
        <w:t>C</w:t>
      </w:r>
      <w:r>
        <w:t xml:space="preserve">ontrol </w:t>
      </w:r>
      <w:r w:rsidR="00F911AD">
        <w:t>P</w:t>
      </w:r>
      <w:r>
        <w:t>lan.</w:t>
      </w:r>
      <w:r w:rsidR="007C461A">
        <w:t xml:space="preserve"> </w:t>
      </w:r>
      <w:r>
        <w:t>Hauled wastes may include wastewater solids from another wastewater treatment facility, septage, grease trap wastes, portable and chemical toilet wastes, landfill leachate, groundwater remediation wastewaters and commercial/industrial wastewaters.</w:t>
      </w:r>
      <w:r w:rsidR="007C461A">
        <w:t xml:space="preserve"> </w:t>
      </w:r>
      <w:r w:rsidR="001B53AA" w:rsidRPr="00F505D8">
        <w:t>A Hauled Waste Control Plan is not required in the event biological seed must be added to the process at the POTW to facilitate effective wastewater treatment.</w:t>
      </w:r>
      <w:r w:rsidR="00117345">
        <w:rPr>
          <w:color w:val="4472C4"/>
        </w:rPr>
        <w:t xml:space="preserve"> </w:t>
      </w:r>
    </w:p>
    <w:p w14:paraId="56ABBA63" w14:textId="6F9C2426" w:rsidR="00233394" w:rsidRDefault="00F4713F" w:rsidP="004325BE">
      <w:pPr>
        <w:pStyle w:val="PermitHanging1-text"/>
      </w:pPr>
      <w:r w:rsidRPr="00F4713F">
        <w:rPr>
          <w:highlight w:val="yellow"/>
        </w:rPr>
        <w:lastRenderedPageBreak/>
        <w:t xml:space="preserve">For </w:t>
      </w:r>
      <w:r w:rsidR="00CE714D">
        <w:rPr>
          <w:highlight w:val="yellow"/>
        </w:rPr>
        <w:t xml:space="preserve">domestic </w:t>
      </w:r>
      <w:r w:rsidRPr="00F4713F">
        <w:rPr>
          <w:highlight w:val="yellow"/>
        </w:rPr>
        <w:t>facilities that do not have a formal pretreatment program and currently accept hauled waste but do not have a DEQ approved hauled waste plan</w:t>
      </w:r>
      <w:r w:rsidR="00073356" w:rsidRPr="00F4713F">
        <w:rPr>
          <w:highlight w:val="yellow"/>
        </w:rPr>
        <w:t>:</w:t>
      </w:r>
    </w:p>
    <w:p w14:paraId="24670B82" w14:textId="77777777" w:rsidR="006546C9" w:rsidRDefault="00073356" w:rsidP="75EAEC27">
      <w:pPr>
        <w:pStyle w:val="PermitHanging1-text"/>
        <w:ind w:left="0"/>
      </w:pPr>
      <w:r>
        <w:t>The permittee may accept hauled wastes at discharge points designated by the POTW. The p</w:t>
      </w:r>
      <w:r w:rsidR="005D5A86">
        <w:t>ermittee must submit a written Hauled Waste Control P</w:t>
      </w:r>
      <w:r>
        <w:t xml:space="preserve">lan </w:t>
      </w:r>
      <w:r w:rsidR="00F4713F">
        <w:t>b</w:t>
      </w:r>
      <w:r w:rsidR="00F4713F" w:rsidRPr="00F4713F">
        <w:t>y the date listed in Table B1</w:t>
      </w:r>
      <w:r>
        <w:t xml:space="preserve">. </w:t>
      </w:r>
      <w:r w:rsidR="000B4640">
        <w:t xml:space="preserve">Within 60 days of receiving DEQ </w:t>
      </w:r>
      <w:r w:rsidR="00B82419">
        <w:t>comments, the</w:t>
      </w:r>
      <w:r>
        <w:t xml:space="preserve"> permittee must submit hauled waste control </w:t>
      </w:r>
      <w:r w:rsidR="00B82419">
        <w:t>plan revised</w:t>
      </w:r>
      <w:r w:rsidR="000B4640">
        <w:t xml:space="preserve"> to be consistent with DEQ’s comments</w:t>
      </w:r>
      <w:r>
        <w:t xml:space="preserve">. Hauled wastes may include wastewater solids from another wastewater treatment facility, septage, grease trap wastes, portable and chemical toilet wastes, landfill leachate, groundwater remediation wastewaters and commercial/industrial wastewaters. </w:t>
      </w:r>
      <w:r>
        <w:rPr>
          <w:snapToGrid w:val="0"/>
        </w:rPr>
        <w:t>The permittee must keep the plan updated and submit substantial modifications to an existing plan to DEQ for approval at least 60 days prior to making the proposed changes.</w:t>
      </w:r>
      <w:r w:rsidR="00117345">
        <w:rPr>
          <w:snapToGrid w:val="0"/>
        </w:rPr>
        <w:t xml:space="preserve"> </w:t>
      </w:r>
      <w:r w:rsidR="000B4640">
        <w:rPr>
          <w:snapToGrid w:val="0"/>
        </w:rPr>
        <w:t>Plan modifications are effective upon receipt of written DEQ approval.</w:t>
      </w:r>
      <w:r w:rsidR="001B53AA" w:rsidRPr="001B53AA">
        <w:rPr>
          <w:color w:val="4472C4"/>
        </w:rPr>
        <w:t xml:space="preserve"> </w:t>
      </w:r>
      <w:r w:rsidR="001B53AA" w:rsidRPr="00F505D8">
        <w:rPr>
          <w:snapToGrid w:val="0"/>
        </w:rPr>
        <w:t>A Hauled Waste Control Plan is not required in the event biological seed must be added to the process at the POTW to facilitate effective wastewater treatment.</w:t>
      </w:r>
    </w:p>
    <w:p w14:paraId="1B794FA2" w14:textId="77777777" w:rsidR="006546C9" w:rsidRDefault="006546C9" w:rsidP="004325BE">
      <w:pPr>
        <w:pStyle w:val="PermitHanging1-text"/>
        <w:rPr>
          <w:snapToGrid w:val="0"/>
        </w:rPr>
      </w:pPr>
    </w:p>
    <w:p w14:paraId="23CF0214" w14:textId="2031398B" w:rsidR="00E549CA" w:rsidRDefault="00005B6F" w:rsidP="004325BE">
      <w:pPr>
        <w:pStyle w:val="PermitHanging1-text"/>
        <w:rPr>
          <w:snapToGrid w:val="0"/>
        </w:rPr>
      </w:pPr>
      <w:r w:rsidRPr="00E549CA">
        <w:rPr>
          <w:snapToGrid w:val="0"/>
          <w:highlight w:val="yellow"/>
        </w:rPr>
        <w:t>Insert</w:t>
      </w:r>
      <w:r w:rsidR="00E549CA" w:rsidRPr="00E549CA">
        <w:rPr>
          <w:snapToGrid w:val="0"/>
          <w:highlight w:val="yellow"/>
        </w:rPr>
        <w:t xml:space="preserve"> the follow if Hauled Waste Control Plan </w:t>
      </w:r>
      <w:r w:rsidR="00114885">
        <w:rPr>
          <w:snapToGrid w:val="0"/>
          <w:highlight w:val="yellow"/>
        </w:rPr>
        <w:t xml:space="preserve">condition </w:t>
      </w:r>
      <w:r w:rsidR="00E549CA" w:rsidRPr="00E549CA">
        <w:rPr>
          <w:snapToGrid w:val="0"/>
          <w:highlight w:val="yellow"/>
        </w:rPr>
        <w:t>is included.</w:t>
      </w:r>
    </w:p>
    <w:p w14:paraId="2E599496" w14:textId="07E01699" w:rsidR="00A33FFB" w:rsidRPr="00A33FFB" w:rsidRDefault="00A33FFB" w:rsidP="00A0366F">
      <w:pPr>
        <w:pStyle w:val="PermitHanging1TOC"/>
      </w:pPr>
      <w:bookmarkStart w:id="169" w:name="_Toc203135913"/>
      <w:r w:rsidRPr="00A33FFB">
        <w:t xml:space="preserve">Hauled Waste </w:t>
      </w:r>
      <w:r w:rsidR="00E549CA">
        <w:t>Annual</w:t>
      </w:r>
      <w:r w:rsidRPr="00A33FFB">
        <w:t xml:space="preserve"> </w:t>
      </w:r>
      <w:r>
        <w:t>Report</w:t>
      </w:r>
      <w:bookmarkEnd w:id="169"/>
    </w:p>
    <w:p w14:paraId="06148976" w14:textId="2E9F6E5E" w:rsidR="008F4D0A" w:rsidRDefault="00114885" w:rsidP="75EAEC27">
      <w:pPr>
        <w:pStyle w:val="PermitHanging1-text"/>
        <w:ind w:left="0"/>
      </w:pPr>
      <w:r w:rsidRPr="00114885">
        <w:t xml:space="preserve">If the permittee has a Hauled Waste Control Plan, or otherwise accepts hauled waste, the permittee must submit an annual report of hauled waste received by the POTW. </w:t>
      </w:r>
      <w:r w:rsidR="00C21D83">
        <w:t xml:space="preserve">The permittee must use DEQ approved form. </w:t>
      </w:r>
      <w:r w:rsidRPr="00114885">
        <w:t xml:space="preserve">This report, if required, must be submitted as described in Table B1. </w:t>
      </w:r>
    </w:p>
    <w:p w14:paraId="074D4028" w14:textId="77777777" w:rsidR="006546C9" w:rsidRDefault="006546C9" w:rsidP="008F4D0A">
      <w:pPr>
        <w:pStyle w:val="PermitNormal"/>
        <w:ind w:left="720"/>
        <w:rPr>
          <w:highlight w:val="yellow"/>
        </w:rPr>
      </w:pPr>
    </w:p>
    <w:p w14:paraId="2BD6E7F3" w14:textId="17F0ADEE" w:rsidR="00233394" w:rsidRDefault="00073356" w:rsidP="008F4D0A">
      <w:pPr>
        <w:pStyle w:val="PermitNormal"/>
        <w:ind w:left="720"/>
      </w:pPr>
      <w:r>
        <w:rPr>
          <w:highlight w:val="yellow"/>
        </w:rPr>
        <w:t>Insert the following if the permittee has a lagoon.</w:t>
      </w:r>
    </w:p>
    <w:p w14:paraId="6E8D16E9" w14:textId="2ED82504" w:rsidR="00233394" w:rsidRDefault="00073356" w:rsidP="00A0366F">
      <w:pPr>
        <w:pStyle w:val="PermitHanging1TOC"/>
      </w:pPr>
      <w:bookmarkStart w:id="170" w:name="_Toc4416490"/>
      <w:bookmarkStart w:id="171" w:name="_Toc4416554"/>
      <w:bookmarkStart w:id="172" w:name="_Toc4416824"/>
      <w:bookmarkStart w:id="173" w:name="_Toc4416892"/>
      <w:bookmarkStart w:id="174" w:name="_Toc326239905"/>
      <w:bookmarkStart w:id="175" w:name="_Toc378605472"/>
      <w:bookmarkStart w:id="176" w:name="_Toc203135914"/>
      <w:bookmarkEnd w:id="170"/>
      <w:bookmarkEnd w:id="171"/>
      <w:bookmarkEnd w:id="172"/>
      <w:bookmarkEnd w:id="173"/>
      <w:r>
        <w:t>Lagoon Solids</w:t>
      </w:r>
      <w:bookmarkEnd w:id="174"/>
      <w:bookmarkEnd w:id="175"/>
      <w:bookmarkEnd w:id="176"/>
    </w:p>
    <w:p w14:paraId="35B4ED58" w14:textId="6A3C65A1" w:rsidR="00233394" w:rsidRDefault="00F4713F" w:rsidP="75EAEC27">
      <w:pPr>
        <w:pStyle w:val="PermitHanging1-text"/>
        <w:ind w:left="0"/>
      </w:pPr>
      <w:r w:rsidRPr="00F4713F">
        <w:t>By the date listed in Table B1</w:t>
      </w:r>
      <w:r>
        <w:t>, t</w:t>
      </w:r>
      <w:r w:rsidR="006435D7" w:rsidRPr="006435D7">
        <w:t xml:space="preserve">he permittee must </w:t>
      </w:r>
      <w:r w:rsidR="00D23888">
        <w:t xml:space="preserve">submit to DEQ a </w:t>
      </w:r>
      <w:r w:rsidR="006435D7">
        <w:t>sludge depth survey</w:t>
      </w:r>
      <w:r w:rsidR="00690D6E">
        <w:t xml:space="preserve"> and</w:t>
      </w:r>
      <w:r w:rsidR="006435D7">
        <w:t xml:space="preserve"> </w:t>
      </w:r>
      <w:r w:rsidR="00690D6E">
        <w:t>report. The</w:t>
      </w:r>
      <w:r w:rsidR="00D23888">
        <w:t xml:space="preserve"> report must include </w:t>
      </w:r>
      <w:r w:rsidR="00690D6E" w:rsidRPr="00690D6E">
        <w:t>the sludge depths throughout the lagoons and an evaluation of the impact of sludge on treatment efficiency and odors</w:t>
      </w:r>
      <w:r w:rsidR="00690D6E">
        <w:t xml:space="preserve">. </w:t>
      </w:r>
      <w:r w:rsidR="00690D6E" w:rsidRPr="00690D6E">
        <w:t xml:space="preserve">If the evaluation finds that the sludge is impacting the treatment efficiency and causing odors, the permittee must submit a plan to reduce or remove the sludge. See Schedule D, conditions </w:t>
      </w:r>
      <w:proofErr w:type="gramStart"/>
      <w:r w:rsidR="00690D6E" w:rsidRPr="00690D6E">
        <w:rPr>
          <w:highlight w:val="yellow"/>
        </w:rPr>
        <w:t>7</w:t>
      </w:r>
      <w:r w:rsidR="00EA1326">
        <w:rPr>
          <w:highlight w:val="yellow"/>
        </w:rPr>
        <w:t>?</w:t>
      </w:r>
      <w:r w:rsidR="00690D6E" w:rsidRPr="00690D6E">
        <w:rPr>
          <w:highlight w:val="yellow"/>
        </w:rPr>
        <w:t>,</w:t>
      </w:r>
      <w:proofErr w:type="gramEnd"/>
      <w:r w:rsidR="00690D6E" w:rsidRPr="00690D6E">
        <w:rPr>
          <w:highlight w:val="yellow"/>
        </w:rPr>
        <w:t xml:space="preserve"> 8</w:t>
      </w:r>
      <w:r w:rsidR="00EA1326">
        <w:rPr>
          <w:highlight w:val="yellow"/>
        </w:rPr>
        <w:t>?</w:t>
      </w:r>
      <w:r w:rsidR="00690D6E" w:rsidRPr="00690D6E">
        <w:rPr>
          <w:highlight w:val="yellow"/>
        </w:rPr>
        <w:t xml:space="preserve"> and 9</w:t>
      </w:r>
      <w:r w:rsidR="00EA1326">
        <w:t>?</w:t>
      </w:r>
      <w:r w:rsidR="00690D6E" w:rsidRPr="00690D6E">
        <w:t>, for sludge removal requirements.</w:t>
      </w:r>
    </w:p>
    <w:p w14:paraId="22B309EE" w14:textId="77777777" w:rsidR="000253C1" w:rsidRDefault="000253C1" w:rsidP="75EAEC27">
      <w:pPr>
        <w:pStyle w:val="PermitHanging1-text"/>
        <w:ind w:left="0"/>
      </w:pPr>
    </w:p>
    <w:p w14:paraId="2E2E4E91" w14:textId="71711467" w:rsidR="000253C1" w:rsidRDefault="008C54BA" w:rsidP="000253C1">
      <w:pPr>
        <w:pStyle w:val="PermitHanging1TOC"/>
      </w:pPr>
      <w:bookmarkStart w:id="177" w:name="_Toc203135915"/>
      <w:r>
        <w:t>Lagoon Leak Test</w:t>
      </w:r>
      <w:bookmarkEnd w:id="177"/>
    </w:p>
    <w:p w14:paraId="279900D0" w14:textId="025EB548" w:rsidR="008C54BA" w:rsidRPr="008C54BA" w:rsidRDefault="008C54BA" w:rsidP="008C54BA">
      <w:pPr>
        <w:pStyle w:val="PermitHanging1-text"/>
        <w:ind w:left="0"/>
      </w:pPr>
      <w:r w:rsidRPr="008C54BA">
        <w:t>The permittee must perform a lagoon leak test and submit the results by the date specified in Table B1. The lagoon leak test must confirm the lagoon leak rate. The lagoon leak test must be conducted in accordance with DEQ’s Guidelines for Estimating Leakage from Existing Sewage Lagoons. For lagoons that are unable to demonstrate a leak test rate less than ¼ inch per day, a Preliminary Groundwater Assessment must be conducted and submitted to DEQ in writing. The Preliminary Groundwater Assessment must be conducted in accordance with DEQ’s Preliminary Groundwater Assessment Guidelines.</w:t>
      </w:r>
    </w:p>
    <w:p w14:paraId="3F6F9D0C" w14:textId="77777777" w:rsidR="008F4D0A" w:rsidRDefault="008F4D0A" w:rsidP="004325BE">
      <w:pPr>
        <w:pStyle w:val="PermitHanging1-text"/>
      </w:pPr>
    </w:p>
    <w:p w14:paraId="6B041152" w14:textId="77777777" w:rsidR="00233394" w:rsidRDefault="00233394">
      <w:pPr>
        <w:pStyle w:val="PermitNormal"/>
        <w:rPr>
          <w:highlight w:val="yellow"/>
        </w:rPr>
      </w:pPr>
    </w:p>
    <w:p w14:paraId="16196E74" w14:textId="169185D1" w:rsidR="00233394" w:rsidRDefault="00073356" w:rsidP="008F4D0A">
      <w:pPr>
        <w:pStyle w:val="PermitNormal"/>
        <w:ind w:left="720"/>
      </w:pPr>
      <w:r>
        <w:rPr>
          <w:highlight w:val="yellow"/>
        </w:rPr>
        <w:t>Operator Certification language to be inserted in all DOMESTIC</w:t>
      </w:r>
      <w:r w:rsidR="0017225F">
        <w:rPr>
          <w:highlight w:val="yellow"/>
        </w:rPr>
        <w:t xml:space="preserve"> AND CERTAIN INDUSTRIAL</w:t>
      </w:r>
      <w:r>
        <w:rPr>
          <w:highlight w:val="yellow"/>
        </w:rPr>
        <w:t xml:space="preserve"> permits:</w:t>
      </w:r>
      <w:r w:rsidR="007C461A">
        <w:t xml:space="preserve"> </w:t>
      </w:r>
    </w:p>
    <w:p w14:paraId="68AF0EC3" w14:textId="76EDA571" w:rsidR="00233394" w:rsidRDefault="00073356" w:rsidP="0066673D">
      <w:pPr>
        <w:pStyle w:val="PermitHanging1TOC"/>
        <w:spacing w:after="120"/>
      </w:pPr>
      <w:bookmarkStart w:id="178" w:name="_Toc4416494"/>
      <w:bookmarkStart w:id="179" w:name="_Toc4416558"/>
      <w:bookmarkStart w:id="180" w:name="_Toc4416828"/>
      <w:bookmarkStart w:id="181" w:name="_Toc4416896"/>
      <w:bookmarkStart w:id="182" w:name="_Toc378605475"/>
      <w:bookmarkStart w:id="183" w:name="_Toc203135916"/>
      <w:bookmarkEnd w:id="178"/>
      <w:bookmarkEnd w:id="179"/>
      <w:bookmarkEnd w:id="180"/>
      <w:bookmarkEnd w:id="181"/>
      <w:r>
        <w:t>Operator Certification</w:t>
      </w:r>
      <w:bookmarkEnd w:id="182"/>
      <w:bookmarkEnd w:id="183"/>
    </w:p>
    <w:p w14:paraId="1ED638A4" w14:textId="77777777" w:rsidR="00233394" w:rsidRPr="00094A00" w:rsidRDefault="00073356" w:rsidP="0017702F">
      <w:pPr>
        <w:pStyle w:val="PermitHanging2Non-TOC"/>
        <w:numPr>
          <w:ilvl w:val="3"/>
          <w:numId w:val="68"/>
        </w:numPr>
      </w:pPr>
      <w:r w:rsidRPr="00094A00">
        <w:t>Definitions</w:t>
      </w:r>
    </w:p>
    <w:p w14:paraId="1B47B157" w14:textId="5E4261E6" w:rsidR="00233394" w:rsidRDefault="005A3E68" w:rsidP="0017702F">
      <w:pPr>
        <w:pStyle w:val="PermitHanging3"/>
        <w:numPr>
          <w:ilvl w:val="4"/>
          <w:numId w:val="82"/>
        </w:numPr>
      </w:pPr>
      <w:r>
        <w:t>“</w:t>
      </w:r>
      <w:r w:rsidR="00073356">
        <w:t>Supervise</w:t>
      </w:r>
      <w:r>
        <w:t>”</w:t>
      </w:r>
      <w:r w:rsidR="00073356">
        <w:t xml:space="preserve"> means to have full and active responsibility for the daily </w:t>
      </w:r>
      <w:proofErr w:type="gramStart"/>
      <w:r w:rsidR="00073356">
        <w:t>on site</w:t>
      </w:r>
      <w:proofErr w:type="gramEnd"/>
      <w:r w:rsidR="00073356">
        <w:t xml:space="preserve"> technical operation of a wastewater treatment system or wastewater collection system.</w:t>
      </w:r>
    </w:p>
    <w:p w14:paraId="286B0E34" w14:textId="39E4E997" w:rsidR="00233394" w:rsidRDefault="005A3E68" w:rsidP="009F40BD">
      <w:pPr>
        <w:pStyle w:val="PermitHanging3"/>
        <w:numPr>
          <w:ilvl w:val="4"/>
          <w:numId w:val="3"/>
        </w:numPr>
      </w:pPr>
      <w:r>
        <w:lastRenderedPageBreak/>
        <w:t>“</w:t>
      </w:r>
      <w:r w:rsidR="00073356">
        <w:t>Supervisor</w:t>
      </w:r>
      <w:r>
        <w:t>”</w:t>
      </w:r>
      <w:r w:rsidR="00073356">
        <w:t xml:space="preserve"> or “designated operator”, means the operator delegated authority by the permittee for establishing and executing the specific practice and procedures for operating the wastewater treatment system or wastewater collection system in accordance with the policies of the owner of the system and any permit requirements. </w:t>
      </w:r>
    </w:p>
    <w:p w14:paraId="2E0CB230" w14:textId="29AD61DE" w:rsidR="00233394" w:rsidRDefault="00073356" w:rsidP="009F40BD">
      <w:pPr>
        <w:pStyle w:val="PermitHanging3"/>
        <w:numPr>
          <w:ilvl w:val="4"/>
          <w:numId w:val="3"/>
        </w:numPr>
      </w:pPr>
      <w:r>
        <w:t>“Shift Supervisor</w:t>
      </w:r>
      <w:r w:rsidR="005A3E68">
        <w:t>”</w:t>
      </w:r>
      <w:r>
        <w:t xml:space="preserve"> means the operator delegated authority by the permittee for executing the specific practice and procedures for operating the wastewater treatment system or wastewater collection system when the system is operated on more than one daily shift. </w:t>
      </w:r>
    </w:p>
    <w:p w14:paraId="381CB859" w14:textId="77777777" w:rsidR="00233394" w:rsidRDefault="00073356" w:rsidP="009F40BD">
      <w:pPr>
        <w:pStyle w:val="PermitHanging3"/>
        <w:numPr>
          <w:ilvl w:val="4"/>
          <w:numId w:val="3"/>
        </w:numPr>
      </w:pPr>
      <w:r>
        <w:t>“System” includes both the collection system and the treatment systems.</w:t>
      </w:r>
    </w:p>
    <w:p w14:paraId="55B8773B" w14:textId="526C85FB" w:rsidR="006546C9" w:rsidRPr="00094A00" w:rsidRDefault="00073356" w:rsidP="0017702F">
      <w:pPr>
        <w:pStyle w:val="PermitHanging2Non-TOC"/>
        <w:numPr>
          <w:ilvl w:val="3"/>
          <w:numId w:val="68"/>
        </w:numPr>
      </w:pPr>
      <w:r w:rsidRPr="00565226">
        <w:t xml:space="preserve">The permittee must comply with OAR Chapter 340, Division 49, “Regulations Pertaining to Certification of Wastewater System Operator Personnel" and designate a supervisor whose certification corresponds with the classification of the collection and/or treatment system as specified </w:t>
      </w:r>
      <w:r w:rsidR="006B2186">
        <w:t>in DEQ Supervisory Wastewater Operator Status Report.</w:t>
      </w:r>
      <w:r w:rsidR="00C02C5A">
        <w:t xml:space="preserve"> </w:t>
      </w:r>
      <w:r w:rsidR="006B2186" w:rsidRPr="00565226">
        <w:t>DEQ</w:t>
      </w:r>
      <w:r w:rsidR="00F42429" w:rsidRPr="00565226">
        <w:t xml:space="preserve"> may revise the permittee’s classification in writing at any time to reflect changes in the collection or treatment system. This reclassification is not considered a permit modification and may be made after the permit expiration date provide</w:t>
      </w:r>
      <w:r w:rsidR="009C2105" w:rsidRPr="00565226">
        <w:t>d</w:t>
      </w:r>
      <w:r w:rsidR="00F42429" w:rsidRPr="00565226">
        <w:t xml:space="preserve"> the permit has been administratively extended by DEQ. </w:t>
      </w:r>
      <w:r w:rsidR="00565226" w:rsidRPr="00565226">
        <w:t xml:space="preserve">If a facility is re-classified, a certified letter will be mailed to the system owner from DEQ Operator Certification Program. Current system classifications are publicized on DEQ Supervisory Wastewater Operator </w:t>
      </w:r>
      <w:r w:rsidR="008D4E4E" w:rsidRPr="00565226">
        <w:t xml:space="preserve">Status </w:t>
      </w:r>
      <w:r w:rsidR="008D4E4E">
        <w:t>Report</w:t>
      </w:r>
      <w:r w:rsidR="006B2186" w:rsidRPr="00565226">
        <w:t xml:space="preserve"> </w:t>
      </w:r>
      <w:r w:rsidR="006B2186">
        <w:t>found</w:t>
      </w:r>
      <w:r w:rsidR="00C15E44">
        <w:t xml:space="preserve"> on </w:t>
      </w:r>
      <w:hyperlink r:id="rId14" w:history="1">
        <w:r w:rsidR="00C15E44" w:rsidRPr="00C15E44">
          <w:rPr>
            <w:rStyle w:val="Hyperlink"/>
          </w:rPr>
          <w:t>DEQ Wastewater Operator Certification Homepage</w:t>
        </w:r>
      </w:hyperlink>
      <w:r w:rsidR="00C15E44">
        <w:t>.</w:t>
      </w:r>
      <w:r w:rsidR="00117345">
        <w:t xml:space="preserve"> </w:t>
      </w:r>
    </w:p>
    <w:p w14:paraId="62744223" w14:textId="6721E9E1" w:rsidR="00233394" w:rsidRDefault="00073356" w:rsidP="008F4D0A">
      <w:pPr>
        <w:pStyle w:val="PermitNormal"/>
        <w:ind w:left="720"/>
      </w:pPr>
      <w:r>
        <w:rPr>
          <w:highlight w:val="yellow"/>
        </w:rPr>
        <w:t xml:space="preserve">Include the following for wastewater systems with a </w:t>
      </w:r>
      <w:r w:rsidR="00CD2F90">
        <w:rPr>
          <w:highlight w:val="yellow"/>
        </w:rPr>
        <w:t xml:space="preserve">Design </w:t>
      </w:r>
      <w:r>
        <w:rPr>
          <w:highlight w:val="yellow"/>
        </w:rPr>
        <w:t>Average Dry Weather Flow (</w:t>
      </w:r>
      <w:r w:rsidR="00CD2F90">
        <w:rPr>
          <w:highlight w:val="yellow"/>
        </w:rPr>
        <w:t>D</w:t>
      </w:r>
      <w:r>
        <w:rPr>
          <w:highlight w:val="yellow"/>
        </w:rPr>
        <w:t>ADWF) of 0.075 MGD or greater:</w:t>
      </w:r>
    </w:p>
    <w:p w14:paraId="72451BB6" w14:textId="77777777" w:rsidR="006546C9" w:rsidRPr="00094A00" w:rsidRDefault="00073356" w:rsidP="0017702F">
      <w:pPr>
        <w:pStyle w:val="PermitHanging2Non-TOC"/>
        <w:numPr>
          <w:ilvl w:val="3"/>
          <w:numId w:val="68"/>
        </w:numPr>
      </w:pPr>
      <w:r w:rsidRPr="00F91E1D">
        <w:t xml:space="preserve">The permittee must have its system supervised full-time by one or more operators who hold a valid certificate for the type of wastewater treatment or wastewater collection system, and at a grade equal to or greater than the wastewater system’s classification. </w:t>
      </w:r>
    </w:p>
    <w:p w14:paraId="00D65CCC" w14:textId="16DF7305" w:rsidR="00233394" w:rsidRDefault="00073356" w:rsidP="008F4D0A">
      <w:pPr>
        <w:pStyle w:val="PermitNormal"/>
        <w:ind w:left="720"/>
      </w:pPr>
      <w:r>
        <w:rPr>
          <w:highlight w:val="yellow"/>
        </w:rPr>
        <w:t xml:space="preserve">OR </w:t>
      </w:r>
      <w:proofErr w:type="gramStart"/>
      <w:r>
        <w:rPr>
          <w:highlight w:val="yellow"/>
        </w:rPr>
        <w:t>Include</w:t>
      </w:r>
      <w:proofErr w:type="gramEnd"/>
      <w:r>
        <w:rPr>
          <w:highlight w:val="yellow"/>
        </w:rPr>
        <w:t xml:space="preserve"> the following for wastewater systems with a </w:t>
      </w:r>
      <w:r w:rsidR="00CD2F90">
        <w:rPr>
          <w:highlight w:val="yellow"/>
        </w:rPr>
        <w:t xml:space="preserve">Design Average Dry Weather Flow (DADWF) </w:t>
      </w:r>
      <w:r>
        <w:rPr>
          <w:highlight w:val="yellow"/>
        </w:rPr>
        <w:t>of less than 0.075 MGD:</w:t>
      </w:r>
    </w:p>
    <w:p w14:paraId="50BDD119" w14:textId="77777777" w:rsidR="006546C9" w:rsidRPr="00094A00" w:rsidRDefault="00073356" w:rsidP="0017702F">
      <w:pPr>
        <w:pStyle w:val="PermitHanging2Non-TOC"/>
        <w:numPr>
          <w:ilvl w:val="3"/>
          <w:numId w:val="68"/>
        </w:numPr>
      </w:pPr>
      <w:bookmarkStart w:id="184" w:name="_Ref96436447"/>
      <w:r w:rsidRPr="00F91E1D">
        <w:t>The permittee must have its system supervised on a part-time or full-time basis by one or more operators who hold a valid certificate for the type of</w:t>
      </w:r>
      <w:r w:rsidR="007C461A" w:rsidRPr="00F91E1D">
        <w:t xml:space="preserve"> </w:t>
      </w:r>
      <w:r w:rsidRPr="00F91E1D">
        <w:t>wastewater treatment or wastewater collection system the operator is</w:t>
      </w:r>
      <w:r w:rsidR="007C461A" w:rsidRPr="00F91E1D">
        <w:t xml:space="preserve"> </w:t>
      </w:r>
      <w:r w:rsidRPr="00F91E1D">
        <w:t>supervising and at a grade equal to or greater than the wastewater system’s classification.</w:t>
      </w:r>
      <w:bookmarkEnd w:id="184"/>
      <w:r w:rsidRPr="00F91E1D">
        <w:t xml:space="preserve"> </w:t>
      </w:r>
    </w:p>
    <w:p w14:paraId="72203283" w14:textId="77777777" w:rsidR="00233394" w:rsidRDefault="00073356" w:rsidP="008F4D0A">
      <w:pPr>
        <w:pStyle w:val="PermitNormal"/>
        <w:ind w:left="720"/>
      </w:pPr>
      <w:r>
        <w:rPr>
          <w:highlight w:val="yellow"/>
        </w:rPr>
        <w:t>Include the following for all wastewater systems:</w:t>
      </w:r>
      <w:r>
        <w:t xml:space="preserve"> </w:t>
      </w:r>
    </w:p>
    <w:p w14:paraId="5C7133AD" w14:textId="77777777" w:rsidR="006546C9" w:rsidRPr="00094A00" w:rsidRDefault="00073356" w:rsidP="0017702F">
      <w:pPr>
        <w:pStyle w:val="PermitHanging2Non-TOC"/>
        <w:numPr>
          <w:ilvl w:val="3"/>
          <w:numId w:val="68"/>
        </w:numPr>
      </w:pPr>
      <w:r w:rsidRPr="00F91E1D">
        <w:t xml:space="preserve">The permittee's wastewater system may </w:t>
      </w:r>
      <w:r w:rsidR="00B82419" w:rsidRPr="00F91E1D">
        <w:t>be without</w:t>
      </w:r>
      <w:r w:rsidRPr="00F91E1D">
        <w:t xml:space="preserve"> the designated supervisor for </w:t>
      </w:r>
      <w:r w:rsidR="00360391" w:rsidRPr="00F91E1D">
        <w:t>up to</w:t>
      </w:r>
      <w:r w:rsidRPr="00F91E1D">
        <w:t xml:space="preserve"> 30 </w:t>
      </w:r>
      <w:r w:rsidR="00360391" w:rsidRPr="00F91E1D">
        <w:t xml:space="preserve">consecutive </w:t>
      </w:r>
      <w:r w:rsidRPr="00F91E1D">
        <w:t>days</w:t>
      </w:r>
      <w:r w:rsidR="00360391" w:rsidRPr="00F91E1D">
        <w:t xml:space="preserve"> if</w:t>
      </w:r>
      <w:r w:rsidRPr="00F91E1D">
        <w:t xml:space="preserve"> another person </w:t>
      </w:r>
      <w:r w:rsidR="00FE0721">
        <w:t xml:space="preserve">supervises the system, </w:t>
      </w:r>
      <w:r w:rsidRPr="00F91E1D">
        <w:t xml:space="preserve">who is certified at no more than one grade lower than the classification of the wastewater system. The permittee must delegate authority to this operator to supervise the operation of the system. </w:t>
      </w:r>
    </w:p>
    <w:p w14:paraId="6E208AFF" w14:textId="77777777" w:rsidR="006546C9" w:rsidRPr="00094A00" w:rsidRDefault="00073356" w:rsidP="0017702F">
      <w:pPr>
        <w:pStyle w:val="PermitHanging2Non-TOC"/>
        <w:numPr>
          <w:ilvl w:val="3"/>
          <w:numId w:val="68"/>
        </w:numPr>
      </w:pPr>
      <w:r w:rsidRPr="00F91E1D">
        <w:t xml:space="preserve">If the wastewater system has more than one daily shift, the permittee must have another properly certified operator available to supervise operation of the system. Each shift supervisor must be certified at no more than one grade lower than the system classification. </w:t>
      </w:r>
    </w:p>
    <w:p w14:paraId="06462F61" w14:textId="77777777" w:rsidR="006546C9" w:rsidRPr="00094A00" w:rsidRDefault="00073356" w:rsidP="0017702F">
      <w:pPr>
        <w:pStyle w:val="PermitHanging2Non-TOC"/>
        <w:numPr>
          <w:ilvl w:val="3"/>
          <w:numId w:val="68"/>
        </w:numPr>
      </w:pPr>
      <w:r w:rsidRPr="00F91E1D">
        <w:t xml:space="preserve">The permittee is not required to </w:t>
      </w:r>
      <w:proofErr w:type="gramStart"/>
      <w:r w:rsidRPr="00F91E1D">
        <w:t>have a supervisor on site at all times</w:t>
      </w:r>
      <w:proofErr w:type="gramEnd"/>
      <w:r w:rsidRPr="00F91E1D">
        <w:t>; however, the supervisor must be available to the permittee and operator at all times.</w:t>
      </w:r>
      <w:r w:rsidR="007C461A" w:rsidRPr="00F91E1D">
        <w:t xml:space="preserve"> </w:t>
      </w:r>
    </w:p>
    <w:p w14:paraId="0F9B88F0" w14:textId="285CBE35" w:rsidR="006546C9" w:rsidRPr="00094A00" w:rsidRDefault="00073356" w:rsidP="0017702F">
      <w:pPr>
        <w:pStyle w:val="PermitHanging2Non-TOC"/>
        <w:numPr>
          <w:ilvl w:val="3"/>
          <w:numId w:val="68"/>
        </w:numPr>
      </w:pPr>
      <w:r w:rsidRPr="00F91E1D">
        <w:t>The permittee must notify DEQ in writing of the name of the system supervisor</w:t>
      </w:r>
      <w:r w:rsidR="00A9683D" w:rsidRPr="00F91E1D">
        <w:t xml:space="preserve"> by completing and submitting the Supervisory Wastewater System Operator Designation Form</w:t>
      </w:r>
      <w:r w:rsidR="000D7387">
        <w:t>.</w:t>
      </w:r>
      <w:r w:rsidRPr="00F91E1D">
        <w:t xml:space="preserve"> </w:t>
      </w:r>
      <w:r w:rsidR="00461ACE" w:rsidRPr="00F91E1D">
        <w:t xml:space="preserve">The most recent version of this form may be found on </w:t>
      </w:r>
      <w:hyperlink r:id="rId15" w:history="1">
        <w:r w:rsidR="0061070D" w:rsidRPr="0061070D">
          <w:rPr>
            <w:rStyle w:val="Hyperlink"/>
          </w:rPr>
          <w:t xml:space="preserve">DEQ Wastewater </w:t>
        </w:r>
        <w:r w:rsidR="00461ACE" w:rsidRPr="0061070D">
          <w:rPr>
            <w:rStyle w:val="Hyperlink"/>
          </w:rPr>
          <w:t xml:space="preserve">Operator Certification </w:t>
        </w:r>
        <w:r w:rsidR="0061070D" w:rsidRPr="0061070D">
          <w:rPr>
            <w:rStyle w:val="Hyperlink"/>
          </w:rPr>
          <w:t>homepage</w:t>
        </w:r>
      </w:hyperlink>
      <w:r w:rsidR="00461ACE" w:rsidRPr="00F91E1D">
        <w:t xml:space="preserve"> *NOTE: This form is different from the Delegated Authority </w:t>
      </w:r>
      <w:r w:rsidR="00B82419" w:rsidRPr="00F91E1D">
        <w:t>form. The</w:t>
      </w:r>
      <w:r w:rsidRPr="00F91E1D">
        <w:t xml:space="preserve"> permittee may replace or re-designate the system supervisor with another properly certified operator at any time and must notify DEQ in writing within 30 days of replacement or re-designation of </w:t>
      </w:r>
      <w:r w:rsidR="00360391" w:rsidRPr="00F91E1D">
        <w:t xml:space="preserve">the </w:t>
      </w:r>
      <w:r w:rsidRPr="00F91E1D">
        <w:t xml:space="preserve">operator in charge. As of this writing, the notice of replacement or re-designation must be sent to Water Quality </w:t>
      </w:r>
      <w:r w:rsidRPr="00F91E1D">
        <w:lastRenderedPageBreak/>
        <w:t>Division, Operator Certification Program, 700 NE Multnomah St, Suite 600, Portland, OR 97232-4100.</w:t>
      </w:r>
      <w:r w:rsidR="007C461A" w:rsidRPr="00F91E1D">
        <w:t xml:space="preserve"> </w:t>
      </w:r>
      <w:r w:rsidRPr="00F91E1D">
        <w:t>This address may be updated in writing by DEQ during the term of this permit.</w:t>
      </w:r>
      <w:r w:rsidR="00117345">
        <w:t xml:space="preserve"> </w:t>
      </w:r>
    </w:p>
    <w:p w14:paraId="041B4E86" w14:textId="1521B17C" w:rsidR="006546C9" w:rsidRPr="00094A00" w:rsidRDefault="00073356" w:rsidP="0017702F">
      <w:pPr>
        <w:pStyle w:val="PermitHanging2Non-TOC"/>
        <w:numPr>
          <w:ilvl w:val="3"/>
          <w:numId w:val="68"/>
        </w:numPr>
      </w:pPr>
      <w:r w:rsidRPr="00F91E1D">
        <w:t>When compliance with item (</w:t>
      </w:r>
      <w:r w:rsidR="006546C9" w:rsidRPr="006546C9">
        <w:rPr>
          <w:highlight w:val="yellow"/>
        </w:rPr>
        <w:fldChar w:fldCharType="begin"/>
      </w:r>
      <w:r w:rsidR="006546C9" w:rsidRPr="006546C9">
        <w:rPr>
          <w:highlight w:val="yellow"/>
        </w:rPr>
        <w:instrText xml:space="preserve"> REF _Ref96436447 \r \h </w:instrText>
      </w:r>
      <w:r w:rsidR="006546C9">
        <w:rPr>
          <w:highlight w:val="yellow"/>
        </w:rPr>
        <w:instrText xml:space="preserve"> \* MERGEFORMAT </w:instrText>
      </w:r>
      <w:r w:rsidR="006546C9" w:rsidRPr="006546C9">
        <w:rPr>
          <w:highlight w:val="yellow"/>
        </w:rPr>
      </w:r>
      <w:r w:rsidR="006546C9" w:rsidRPr="006546C9">
        <w:rPr>
          <w:highlight w:val="yellow"/>
        </w:rPr>
        <w:fldChar w:fldCharType="separate"/>
      </w:r>
      <w:r w:rsidR="006546C9" w:rsidRPr="006546C9">
        <w:rPr>
          <w:highlight w:val="yellow"/>
        </w:rPr>
        <w:t>d</w:t>
      </w:r>
      <w:r w:rsidR="006546C9" w:rsidRPr="006546C9">
        <w:rPr>
          <w:highlight w:val="yellow"/>
        </w:rPr>
        <w:fldChar w:fldCharType="end"/>
      </w:r>
      <w:r w:rsidRPr="00F91E1D">
        <w:t>) of this section is not possible or practicable because the system supervisor is not available or the position is vacated unexpectedly, and another certified operator is not qualified to assume supervisory responsibility, the Director may grant a time extension for compliance with the requirements in response to a written request from the system owner.</w:t>
      </w:r>
      <w:r w:rsidR="007C461A" w:rsidRPr="00F91E1D">
        <w:t xml:space="preserve"> </w:t>
      </w:r>
      <w:r w:rsidRPr="00F91E1D">
        <w:t>The Director will not grant an extension longer than 120 days unless the system owner documents the existence of extraordinary circumstances.</w:t>
      </w:r>
      <w:r w:rsidR="007C461A" w:rsidRPr="00F91E1D">
        <w:t xml:space="preserve"> </w:t>
      </w:r>
    </w:p>
    <w:p w14:paraId="575222FC" w14:textId="5691C99B" w:rsidR="00233394" w:rsidRDefault="00073356" w:rsidP="008F4D0A">
      <w:pPr>
        <w:pStyle w:val="PermitNormal"/>
        <w:ind w:left="720"/>
      </w:pPr>
      <w:r>
        <w:rPr>
          <w:highlight w:val="yellow"/>
        </w:rPr>
        <w:t>Include if needed (for industrial permits):</w:t>
      </w:r>
    </w:p>
    <w:p w14:paraId="0515113D" w14:textId="5D371B1C" w:rsidR="00233394" w:rsidRDefault="00073356" w:rsidP="00A0366F">
      <w:pPr>
        <w:pStyle w:val="PermitHanging1TOC"/>
      </w:pPr>
      <w:bookmarkStart w:id="185" w:name="_Toc4416496"/>
      <w:bookmarkStart w:id="186" w:name="_Toc4416560"/>
      <w:bookmarkStart w:id="187" w:name="_Toc4416830"/>
      <w:bookmarkStart w:id="188" w:name="_Toc4416898"/>
      <w:bookmarkStart w:id="189" w:name="_Toc378605476"/>
      <w:bookmarkStart w:id="190" w:name="_Toc203135917"/>
      <w:bookmarkEnd w:id="185"/>
      <w:bookmarkEnd w:id="186"/>
      <w:bookmarkEnd w:id="187"/>
      <w:bookmarkEnd w:id="188"/>
      <w:r>
        <w:t>Spill/Emergency Response Plan</w:t>
      </w:r>
      <w:bookmarkEnd w:id="189"/>
      <w:bookmarkEnd w:id="190"/>
    </w:p>
    <w:p w14:paraId="14431606" w14:textId="4A1E896F" w:rsidR="00233394" w:rsidRDefault="00073356" w:rsidP="75EAEC27">
      <w:pPr>
        <w:pStyle w:val="PermitHanging1-text"/>
        <w:spacing w:after="120"/>
        <w:ind w:left="0"/>
      </w:pPr>
      <w:r>
        <w:t xml:space="preserve">The permittee must have an up-to-date spill response plan for prevention and handling of spills and unplanned discharges. </w:t>
      </w:r>
      <w:r w:rsidR="009A585B">
        <w:t>This plan must be available for review during a DEQ inspection.</w:t>
      </w:r>
      <w:r w:rsidR="00117345">
        <w:t xml:space="preserve"> </w:t>
      </w:r>
      <w:r>
        <w:t xml:space="preserve">The spill response plan must include </w:t>
      </w:r>
      <w:proofErr w:type="gramStart"/>
      <w:r>
        <w:t>all of</w:t>
      </w:r>
      <w:proofErr w:type="gramEnd"/>
      <w:r>
        <w:t xml:space="preserve"> the following: </w:t>
      </w:r>
    </w:p>
    <w:p w14:paraId="6CB094E1" w14:textId="77777777" w:rsidR="00233394" w:rsidRPr="00F91E1D" w:rsidRDefault="00073356" w:rsidP="0017702F">
      <w:pPr>
        <w:pStyle w:val="PermitHanging2TOC"/>
        <w:numPr>
          <w:ilvl w:val="2"/>
          <w:numId w:val="69"/>
        </w:numPr>
      </w:pPr>
      <w:r w:rsidRPr="00F91E1D">
        <w:t xml:space="preserve">A description of the reporting system that will be used to alert responsible managers and legal authorities in the event of a spill. </w:t>
      </w:r>
    </w:p>
    <w:p w14:paraId="4D4C7E7D" w14:textId="06B449C1" w:rsidR="00233394" w:rsidRPr="00F91E1D" w:rsidRDefault="00073356" w:rsidP="0017702F">
      <w:pPr>
        <w:pStyle w:val="PermitHanging2TOC"/>
        <w:numPr>
          <w:ilvl w:val="2"/>
          <w:numId w:val="69"/>
        </w:numPr>
      </w:pPr>
      <w:r w:rsidRPr="00F91E1D">
        <w:t>A description of preventive measures and facilities (including an overall facility plot showing drainage patterns) to prevent, contain, or treat spills.</w:t>
      </w:r>
      <w:r w:rsidR="007C461A" w:rsidRPr="00F91E1D">
        <w:t xml:space="preserve"> </w:t>
      </w:r>
    </w:p>
    <w:p w14:paraId="0A9D59E7" w14:textId="4D7E3227" w:rsidR="00233394" w:rsidRPr="00F91E1D" w:rsidRDefault="00073356" w:rsidP="0017702F">
      <w:pPr>
        <w:pStyle w:val="PermitHanging2TOC"/>
        <w:numPr>
          <w:ilvl w:val="2"/>
          <w:numId w:val="69"/>
        </w:numPr>
      </w:pPr>
      <w:r w:rsidRPr="00F91E1D">
        <w:t>A description of the permittee’s training program to ensure that employees are properly trained at all times to respond to unplanned and emergency incidents.</w:t>
      </w:r>
      <w:r w:rsidR="007C461A" w:rsidRPr="00F91E1D">
        <w:t xml:space="preserve"> </w:t>
      </w:r>
    </w:p>
    <w:p w14:paraId="518EBA40" w14:textId="77777777" w:rsidR="00233394" w:rsidRPr="00F91E1D" w:rsidRDefault="00073356" w:rsidP="0017702F">
      <w:pPr>
        <w:pStyle w:val="PermitHanging2TOC"/>
        <w:numPr>
          <w:ilvl w:val="2"/>
          <w:numId w:val="69"/>
        </w:numPr>
      </w:pPr>
      <w:r w:rsidRPr="00F91E1D">
        <w:t xml:space="preserve">A description of the applicable reporting requirements. These must be consistent with the reporting requirements found in </w:t>
      </w:r>
      <w:hyperlink w:anchor="ScheduleF" w:history="1">
        <w:r w:rsidRPr="006546C9">
          <w:rPr>
            <w:rStyle w:val="Hyperlink"/>
            <w:color w:val="auto"/>
          </w:rPr>
          <w:t>Schedule F</w:t>
        </w:r>
      </w:hyperlink>
      <w:r w:rsidRPr="00F91E1D">
        <w:t>, condition D.5.</w:t>
      </w:r>
    </w:p>
    <w:p w14:paraId="6B8C0017" w14:textId="4E9362E3" w:rsidR="00233394" w:rsidRDefault="00073356" w:rsidP="008F4D0A">
      <w:pPr>
        <w:pStyle w:val="PermitNormal"/>
        <w:ind w:left="720"/>
      </w:pPr>
      <w:r>
        <w:rPr>
          <w:highlight w:val="yellow"/>
        </w:rPr>
        <w:t>Th</w:t>
      </w:r>
      <w:r w:rsidR="00B338CA">
        <w:rPr>
          <w:highlight w:val="yellow"/>
        </w:rPr>
        <w:t xml:space="preserve">e next section </w:t>
      </w:r>
      <w:r>
        <w:rPr>
          <w:highlight w:val="yellow"/>
        </w:rPr>
        <w:t>must be included in all POTW permits that don’t already have a pretreatment program:</w:t>
      </w:r>
      <w:r>
        <w:t xml:space="preserve"> </w:t>
      </w:r>
      <w:bookmarkStart w:id="191" w:name="_Toc378605477"/>
    </w:p>
    <w:p w14:paraId="74EC6033" w14:textId="2EB4F962" w:rsidR="00233394" w:rsidRDefault="00073356" w:rsidP="00A0366F">
      <w:pPr>
        <w:pStyle w:val="PermitHanging1TOC"/>
      </w:pPr>
      <w:bookmarkStart w:id="192" w:name="_Toc4416498"/>
      <w:bookmarkStart w:id="193" w:name="_Toc4416562"/>
      <w:bookmarkStart w:id="194" w:name="_Toc4416832"/>
      <w:bookmarkStart w:id="195" w:name="_Toc4416900"/>
      <w:bookmarkStart w:id="196" w:name="_Toc203135918"/>
      <w:bookmarkEnd w:id="192"/>
      <w:bookmarkEnd w:id="193"/>
      <w:bookmarkEnd w:id="194"/>
      <w:bookmarkEnd w:id="195"/>
      <w:r>
        <w:t>Industrial User Survey</w:t>
      </w:r>
      <w:bookmarkEnd w:id="191"/>
      <w:bookmarkEnd w:id="196"/>
    </w:p>
    <w:p w14:paraId="39933195" w14:textId="6B432511" w:rsidR="008951D8" w:rsidRDefault="008951D8" w:rsidP="008951D8">
      <w:pPr>
        <w:pStyle w:val="PermitHanging1-text"/>
        <w:ind w:left="0"/>
        <w:rPr>
          <w:rFonts w:eastAsia="Calibri"/>
          <w:highlight w:val="yellow"/>
        </w:rPr>
      </w:pPr>
    </w:p>
    <w:p w14:paraId="1A377FBA" w14:textId="77777777" w:rsidR="00A85C6E" w:rsidRPr="00A85C6E" w:rsidRDefault="00A85C6E" w:rsidP="00A85C6E">
      <w:pPr>
        <w:pStyle w:val="PermitHanging1-text"/>
        <w:ind w:left="0"/>
        <w:rPr>
          <w:rFonts w:eastAsia="Calibri"/>
          <w:highlight w:val="yellow"/>
        </w:rPr>
      </w:pPr>
      <w:r w:rsidRPr="00A85C6E">
        <w:rPr>
          <w:rFonts w:eastAsia="Calibri"/>
          <w:highlight w:val="yellow"/>
        </w:rPr>
        <w:t>If a facility has a pretreatment program (i.e., Schedule E is included in the permit), this condition is not required and should be deleted. If a facility is privately owned, this condition is not required and should be deleted.</w:t>
      </w:r>
    </w:p>
    <w:p w14:paraId="7E543ABC" w14:textId="77777777" w:rsidR="008951D8" w:rsidRDefault="008951D8" w:rsidP="008951D8">
      <w:pPr>
        <w:pStyle w:val="PermitHanging1-text"/>
        <w:rPr>
          <w:rFonts w:eastAsia="Calibri"/>
          <w:highlight w:val="yellow"/>
        </w:rPr>
      </w:pPr>
    </w:p>
    <w:p w14:paraId="425E2F04" w14:textId="1CA472C9" w:rsidR="0021074B" w:rsidRPr="0021074B" w:rsidRDefault="008951D8" w:rsidP="75EAEC27">
      <w:pPr>
        <w:pStyle w:val="PermitHanging1-text"/>
        <w:ind w:left="0"/>
        <w:rPr>
          <w:rFonts w:eastAsia="Calibri"/>
          <w:highlight w:val="yellow"/>
        </w:rPr>
      </w:pPr>
      <w:r>
        <w:rPr>
          <w:rFonts w:eastAsia="Calibri"/>
          <w:highlight w:val="yellow"/>
        </w:rPr>
        <w:t>If a facility does not have a pretreatment program, a</w:t>
      </w:r>
      <w:r w:rsidR="0021074B" w:rsidRPr="0021074B">
        <w:rPr>
          <w:rFonts w:eastAsia="Calibri"/>
          <w:highlight w:val="yellow"/>
        </w:rPr>
        <w:t xml:space="preserve"> survey or report is required in the following cases:</w:t>
      </w:r>
    </w:p>
    <w:p w14:paraId="323E8F36" w14:textId="77777777" w:rsidR="0021074B" w:rsidRPr="0021074B" w:rsidRDefault="0021074B" w:rsidP="0021074B">
      <w:pPr>
        <w:spacing w:line="259" w:lineRule="auto"/>
        <w:jc w:val="left"/>
        <w:rPr>
          <w:rFonts w:eastAsia="Calibri"/>
          <w:szCs w:val="22"/>
          <w:highlight w:val="yellow"/>
          <w:lang w:val="en-ZW"/>
        </w:rPr>
      </w:pPr>
    </w:p>
    <w:p w14:paraId="2508CD88" w14:textId="561842E8" w:rsidR="0021074B" w:rsidRPr="0021074B" w:rsidRDefault="0021074B" w:rsidP="0021074B">
      <w:pPr>
        <w:spacing w:line="259" w:lineRule="auto"/>
        <w:ind w:left="720"/>
        <w:jc w:val="left"/>
        <w:rPr>
          <w:rFonts w:eastAsia="Calibri"/>
          <w:szCs w:val="22"/>
          <w:lang w:val="en-ZW"/>
        </w:rPr>
      </w:pPr>
      <w:r w:rsidRPr="0021074B">
        <w:rPr>
          <w:rFonts w:eastAsia="Calibri"/>
          <w:szCs w:val="22"/>
          <w:highlight w:val="yellow"/>
          <w:lang w:val="en-ZW"/>
        </w:rPr>
        <w:t xml:space="preserve">1. If the permittee </w:t>
      </w:r>
      <w:r w:rsidRPr="0021074B">
        <w:rPr>
          <w:rFonts w:eastAsia="Calibri"/>
          <w:b/>
          <w:bCs/>
          <w:szCs w:val="22"/>
          <w:highlight w:val="yellow"/>
          <w:lang w:val="en-ZW"/>
        </w:rPr>
        <w:t xml:space="preserve">does not </w:t>
      </w:r>
      <w:r w:rsidRPr="0021074B">
        <w:rPr>
          <w:rFonts w:eastAsia="Calibri"/>
          <w:szCs w:val="22"/>
          <w:highlight w:val="yellow"/>
          <w:lang w:val="en-ZW"/>
        </w:rPr>
        <w:t xml:space="preserve">have a pretreatment program, and </w:t>
      </w:r>
      <w:r w:rsidRPr="0021074B">
        <w:rPr>
          <w:rFonts w:eastAsia="Calibri"/>
          <w:b/>
          <w:bCs/>
          <w:szCs w:val="22"/>
          <w:highlight w:val="yellow"/>
          <w:lang w:val="en-ZW"/>
        </w:rPr>
        <w:t xml:space="preserve">no </w:t>
      </w:r>
      <w:r w:rsidRPr="0021074B">
        <w:rPr>
          <w:rFonts w:eastAsia="Calibri"/>
          <w:szCs w:val="22"/>
          <w:highlight w:val="yellow"/>
          <w:lang w:val="en-ZW"/>
        </w:rPr>
        <w:t xml:space="preserve">industrial waste survey has been completed, a survey must be </w:t>
      </w:r>
      <w:proofErr w:type="gramStart"/>
      <w:r w:rsidRPr="0021074B">
        <w:rPr>
          <w:rFonts w:eastAsia="Calibri"/>
          <w:szCs w:val="22"/>
          <w:highlight w:val="yellow"/>
          <w:lang w:val="en-ZW"/>
        </w:rPr>
        <w:t>completed</w:t>
      </w:r>
      <w:proofErr w:type="gramEnd"/>
      <w:r w:rsidRPr="0021074B">
        <w:rPr>
          <w:rFonts w:eastAsia="Calibri"/>
          <w:szCs w:val="22"/>
          <w:highlight w:val="yellow"/>
          <w:lang w:val="en-ZW"/>
        </w:rPr>
        <w:t xml:space="preserve"> and the following language </w:t>
      </w:r>
      <w:r w:rsidR="006D66BC">
        <w:rPr>
          <w:rFonts w:eastAsia="Calibri"/>
          <w:szCs w:val="22"/>
          <w:highlight w:val="yellow"/>
          <w:lang w:val="en-ZW"/>
        </w:rPr>
        <w:t xml:space="preserve">should be </w:t>
      </w:r>
      <w:r w:rsidRPr="0021074B">
        <w:rPr>
          <w:rFonts w:eastAsia="Calibri"/>
          <w:szCs w:val="22"/>
          <w:highlight w:val="yellow"/>
          <w:lang w:val="en-ZW"/>
        </w:rPr>
        <w:t>included:</w:t>
      </w:r>
    </w:p>
    <w:p w14:paraId="5DC195BF" w14:textId="77777777" w:rsidR="0021074B" w:rsidRPr="0021074B" w:rsidRDefault="0021074B" w:rsidP="0021074B">
      <w:pPr>
        <w:spacing w:line="259" w:lineRule="auto"/>
        <w:jc w:val="left"/>
        <w:rPr>
          <w:rFonts w:eastAsia="Calibri"/>
          <w:szCs w:val="22"/>
          <w:lang w:val="en-ZW"/>
        </w:rPr>
      </w:pPr>
    </w:p>
    <w:p w14:paraId="669ABB31" w14:textId="393A6776" w:rsidR="0021074B" w:rsidRPr="0021074B" w:rsidRDefault="006D66BC" w:rsidP="0066673D">
      <w:pPr>
        <w:spacing w:after="120" w:line="259" w:lineRule="auto"/>
        <w:ind w:firstLine="720"/>
        <w:jc w:val="left"/>
        <w:rPr>
          <w:rFonts w:eastAsia="Calibri"/>
          <w:b/>
          <w:szCs w:val="22"/>
          <w:lang w:val="en-ZW"/>
        </w:rPr>
      </w:pPr>
      <w:r>
        <w:rPr>
          <w:rFonts w:eastAsia="Calibri"/>
          <w:b/>
          <w:szCs w:val="22"/>
          <w:lang w:val="en-ZW"/>
        </w:rPr>
        <w:t>Industrial User</w:t>
      </w:r>
      <w:r w:rsidR="0021074B" w:rsidRPr="0021074B">
        <w:rPr>
          <w:rFonts w:eastAsia="Calibri"/>
          <w:b/>
          <w:szCs w:val="22"/>
          <w:lang w:val="en-ZW"/>
        </w:rPr>
        <w:t xml:space="preserve"> Survey</w:t>
      </w:r>
    </w:p>
    <w:p w14:paraId="20A767F4" w14:textId="540EF4FB" w:rsidR="0021074B" w:rsidRPr="0021074B" w:rsidRDefault="0021074B" w:rsidP="00732C29">
      <w:pPr>
        <w:spacing w:line="259" w:lineRule="auto"/>
        <w:ind w:left="1440" w:hanging="720"/>
        <w:jc w:val="left"/>
        <w:rPr>
          <w:rFonts w:eastAsia="Calibri"/>
          <w:szCs w:val="22"/>
          <w:lang w:val="en-ZW"/>
        </w:rPr>
      </w:pPr>
      <w:r w:rsidRPr="0021074B">
        <w:rPr>
          <w:rFonts w:eastAsia="Calibri"/>
          <w:szCs w:val="22"/>
          <w:lang w:val="en-ZW"/>
        </w:rPr>
        <w:t xml:space="preserve">a. </w:t>
      </w:r>
      <w:r w:rsidRPr="0021074B">
        <w:rPr>
          <w:rFonts w:eastAsia="Calibri"/>
          <w:szCs w:val="22"/>
          <w:lang w:val="en-ZW"/>
        </w:rPr>
        <w:tab/>
      </w:r>
      <w:r w:rsidR="004C632A">
        <w:rPr>
          <w:rFonts w:eastAsia="Calibri"/>
          <w:szCs w:val="22"/>
          <w:lang w:val="en-US"/>
        </w:rPr>
        <w:t>By the date listed in Table B1</w:t>
      </w:r>
      <w:r w:rsidR="009A585B">
        <w:rPr>
          <w:rFonts w:eastAsia="Calibri"/>
          <w:szCs w:val="22"/>
          <w:lang w:val="en-US"/>
        </w:rPr>
        <w:t>, t</w:t>
      </w:r>
      <w:r w:rsidRPr="0021074B">
        <w:rPr>
          <w:rFonts w:eastAsia="Calibri"/>
          <w:szCs w:val="22"/>
          <w:lang w:val="en-US"/>
        </w:rPr>
        <w:t xml:space="preserve">he permittee must conduct an industrial user survey as described </w:t>
      </w:r>
      <w:r w:rsidRPr="0021074B">
        <w:rPr>
          <w:rFonts w:eastAsia="Calibri"/>
          <w:szCs w:val="22"/>
          <w:lang w:val="en-ZW"/>
        </w:rPr>
        <w:t>in 40CFR 403.8(f)(</w:t>
      </w:r>
      <w:proofErr w:type="gramStart"/>
      <w:r w:rsidRPr="0021074B">
        <w:rPr>
          <w:rFonts w:eastAsia="Calibri"/>
          <w:szCs w:val="22"/>
          <w:lang w:val="en-ZW"/>
        </w:rPr>
        <w:t>2)(</w:t>
      </w:r>
      <w:proofErr w:type="spellStart"/>
      <w:proofErr w:type="gramEnd"/>
      <w:r w:rsidRPr="0021074B">
        <w:rPr>
          <w:rFonts w:eastAsia="Calibri"/>
          <w:szCs w:val="22"/>
          <w:lang w:val="en-ZW"/>
        </w:rPr>
        <w:t>i</w:t>
      </w:r>
      <w:proofErr w:type="spellEnd"/>
      <w:r w:rsidRPr="0021074B">
        <w:rPr>
          <w:rFonts w:eastAsia="Calibri"/>
          <w:szCs w:val="22"/>
          <w:lang w:val="en-ZW"/>
        </w:rPr>
        <w:t xml:space="preserve">-iii) </w:t>
      </w:r>
      <w:r w:rsidRPr="0021074B">
        <w:rPr>
          <w:rFonts w:eastAsia="Calibri"/>
          <w:szCs w:val="22"/>
          <w:lang w:val="en-US"/>
        </w:rPr>
        <w:t xml:space="preserve">to determine the presence of any industrial users discharging wastewaters subject to pretreatment and submit a report on the findings to DEQ. The purpose of the survey is to identify whether there are any industrial users discharging to the </w:t>
      </w:r>
      <w:proofErr w:type="gramStart"/>
      <w:r w:rsidRPr="0021074B">
        <w:rPr>
          <w:rFonts w:eastAsia="Calibri"/>
          <w:szCs w:val="22"/>
          <w:lang w:val="en-US"/>
        </w:rPr>
        <w:t>POTW, and</w:t>
      </w:r>
      <w:proofErr w:type="gramEnd"/>
      <w:r w:rsidRPr="0021074B">
        <w:rPr>
          <w:rFonts w:eastAsia="Calibri"/>
          <w:szCs w:val="22"/>
          <w:lang w:val="en-US"/>
        </w:rPr>
        <w:t xml:space="preserve"> ensure regulatory oversight of these discharges to state waters.</w:t>
      </w:r>
    </w:p>
    <w:p w14:paraId="514BB868" w14:textId="77777777" w:rsidR="0021074B" w:rsidRPr="0021074B" w:rsidRDefault="0021074B" w:rsidP="0021074B">
      <w:pPr>
        <w:spacing w:line="259" w:lineRule="auto"/>
        <w:jc w:val="left"/>
        <w:rPr>
          <w:rFonts w:eastAsia="Calibri"/>
          <w:szCs w:val="22"/>
          <w:lang w:val="en-ZW"/>
        </w:rPr>
      </w:pPr>
    </w:p>
    <w:p w14:paraId="6AF3842D" w14:textId="08F9D0CC" w:rsidR="0021074B" w:rsidRPr="0021074B" w:rsidRDefault="0021074B" w:rsidP="00732C29">
      <w:pPr>
        <w:spacing w:line="259" w:lineRule="auto"/>
        <w:ind w:left="1440" w:hanging="720"/>
        <w:jc w:val="left"/>
        <w:rPr>
          <w:rFonts w:eastAsia="Calibri"/>
          <w:szCs w:val="22"/>
          <w:lang w:val="en-ZW"/>
        </w:rPr>
      </w:pPr>
      <w:r w:rsidRPr="0021074B">
        <w:rPr>
          <w:rFonts w:eastAsia="Calibri"/>
          <w:szCs w:val="22"/>
          <w:lang w:val="en-ZW"/>
        </w:rPr>
        <w:t xml:space="preserve">b. </w:t>
      </w:r>
      <w:r w:rsidRPr="0021074B">
        <w:rPr>
          <w:rFonts w:eastAsia="Calibri"/>
          <w:szCs w:val="22"/>
          <w:lang w:val="en-ZW"/>
        </w:rPr>
        <w:tab/>
        <w:t xml:space="preserve">Should </w:t>
      </w:r>
      <w:r w:rsidR="009A585B">
        <w:rPr>
          <w:rFonts w:eastAsia="Calibri"/>
          <w:szCs w:val="22"/>
          <w:lang w:val="en-ZW"/>
        </w:rPr>
        <w:t>DEQ</w:t>
      </w:r>
      <w:r w:rsidRPr="0021074B">
        <w:rPr>
          <w:rFonts w:eastAsia="Calibri"/>
          <w:szCs w:val="22"/>
          <w:lang w:val="en-ZW"/>
        </w:rPr>
        <w:t xml:space="preserve"> determine that a pretreatment program is required, the permit</w:t>
      </w:r>
      <w:r w:rsidR="00732C29">
        <w:rPr>
          <w:rFonts w:eastAsia="Calibri"/>
          <w:szCs w:val="22"/>
          <w:lang w:val="en-ZW"/>
        </w:rPr>
        <w:t xml:space="preserve"> </w:t>
      </w:r>
      <w:r w:rsidR="00FD369B">
        <w:rPr>
          <w:rFonts w:eastAsia="Calibri"/>
          <w:szCs w:val="22"/>
          <w:lang w:val="en-ZW"/>
        </w:rPr>
        <w:t>must</w:t>
      </w:r>
      <w:r w:rsidRPr="0021074B">
        <w:rPr>
          <w:rFonts w:eastAsia="Calibri"/>
          <w:szCs w:val="22"/>
          <w:lang w:val="en-ZW"/>
        </w:rPr>
        <w:t xml:space="preserve"> be reopened and modified in accordance with 40 CFR 403.8(e)(1) to incorporate a</w:t>
      </w:r>
      <w:r w:rsidR="00732C29">
        <w:rPr>
          <w:rFonts w:eastAsia="Calibri"/>
          <w:szCs w:val="22"/>
          <w:lang w:val="en-ZW"/>
        </w:rPr>
        <w:t xml:space="preserve"> </w:t>
      </w:r>
      <w:r w:rsidRPr="0021074B">
        <w:rPr>
          <w:rFonts w:eastAsia="Calibri"/>
          <w:szCs w:val="22"/>
          <w:lang w:val="en-ZW"/>
        </w:rPr>
        <w:t xml:space="preserve">compliance </w:t>
      </w:r>
      <w:r w:rsidR="00B82419" w:rsidRPr="0021074B">
        <w:rPr>
          <w:rFonts w:eastAsia="Calibri"/>
          <w:szCs w:val="22"/>
          <w:lang w:val="en-ZW"/>
        </w:rPr>
        <w:t>schedule for</w:t>
      </w:r>
      <w:r w:rsidRPr="0021074B">
        <w:rPr>
          <w:rFonts w:eastAsia="Calibri"/>
          <w:szCs w:val="22"/>
          <w:lang w:val="en-ZW"/>
        </w:rPr>
        <w:t xml:space="preserve"> </w:t>
      </w:r>
      <w:r w:rsidRPr="0021074B">
        <w:rPr>
          <w:rFonts w:eastAsia="Calibri"/>
          <w:szCs w:val="22"/>
          <w:lang w:val="en-ZW"/>
        </w:rPr>
        <w:lastRenderedPageBreak/>
        <w:t>development of a pretreatment program. The compliance</w:t>
      </w:r>
      <w:r w:rsidR="009A585B">
        <w:rPr>
          <w:rFonts w:eastAsia="Calibri"/>
          <w:szCs w:val="22"/>
          <w:lang w:val="en-ZW"/>
        </w:rPr>
        <w:t xml:space="preserve"> </w:t>
      </w:r>
      <w:r w:rsidRPr="0021074B">
        <w:rPr>
          <w:rFonts w:eastAsia="Calibri"/>
          <w:szCs w:val="22"/>
          <w:lang w:val="en-ZW"/>
        </w:rPr>
        <w:t xml:space="preserve">schedule </w:t>
      </w:r>
      <w:r w:rsidR="009A585B">
        <w:rPr>
          <w:rFonts w:eastAsia="Calibri"/>
          <w:szCs w:val="22"/>
          <w:lang w:val="en-ZW"/>
        </w:rPr>
        <w:t>must</w:t>
      </w:r>
      <w:r w:rsidRPr="0021074B">
        <w:rPr>
          <w:rFonts w:eastAsia="Calibri"/>
          <w:szCs w:val="22"/>
          <w:lang w:val="en-ZW"/>
        </w:rPr>
        <w:t xml:space="preserve"> be developed in accordance with the</w:t>
      </w:r>
      <w:r w:rsidR="00732C29">
        <w:rPr>
          <w:rFonts w:eastAsia="Calibri"/>
          <w:szCs w:val="22"/>
          <w:lang w:val="en-ZW"/>
        </w:rPr>
        <w:t xml:space="preserve"> </w:t>
      </w:r>
      <w:r w:rsidRPr="0021074B">
        <w:rPr>
          <w:rFonts w:eastAsia="Calibri"/>
          <w:szCs w:val="22"/>
          <w:lang w:val="en-ZW"/>
        </w:rPr>
        <w:t xml:space="preserve">provisions of 40 CFR </w:t>
      </w:r>
      <w:proofErr w:type="gramStart"/>
      <w:r w:rsidRPr="0021074B">
        <w:rPr>
          <w:rFonts w:eastAsia="Calibri"/>
          <w:szCs w:val="22"/>
          <w:lang w:val="en-ZW"/>
        </w:rPr>
        <w:t>403.12(k), and</w:t>
      </w:r>
      <w:proofErr w:type="gramEnd"/>
      <w:r w:rsidRPr="0021074B">
        <w:rPr>
          <w:rFonts w:eastAsia="Calibri"/>
          <w:szCs w:val="22"/>
          <w:lang w:val="en-ZW"/>
        </w:rPr>
        <w:t xml:space="preserve"> </w:t>
      </w:r>
      <w:r w:rsidR="006D66BC">
        <w:rPr>
          <w:rFonts w:eastAsia="Calibri"/>
          <w:szCs w:val="22"/>
          <w:lang w:val="en-ZW"/>
        </w:rPr>
        <w:t>must</w:t>
      </w:r>
      <w:r w:rsidRPr="0021074B">
        <w:rPr>
          <w:rFonts w:eastAsia="Calibri"/>
          <w:szCs w:val="22"/>
          <w:lang w:val="en-ZW"/>
        </w:rPr>
        <w:t xml:space="preserve"> not exceed twelve (12) months.</w:t>
      </w:r>
    </w:p>
    <w:p w14:paraId="1B22957B" w14:textId="77777777" w:rsidR="0021074B" w:rsidRPr="0021074B" w:rsidRDefault="0021074B" w:rsidP="0021074B">
      <w:pPr>
        <w:spacing w:line="259" w:lineRule="auto"/>
        <w:ind w:firstLine="720"/>
        <w:jc w:val="left"/>
        <w:rPr>
          <w:rFonts w:eastAsia="Calibri"/>
          <w:szCs w:val="22"/>
          <w:lang w:val="en-ZW"/>
        </w:rPr>
      </w:pPr>
    </w:p>
    <w:p w14:paraId="176238E1" w14:textId="02CAAF4D" w:rsidR="0021074B" w:rsidRPr="00732C29" w:rsidRDefault="0021074B" w:rsidP="00732C29">
      <w:pPr>
        <w:spacing w:line="259" w:lineRule="auto"/>
        <w:ind w:left="720"/>
        <w:jc w:val="left"/>
        <w:rPr>
          <w:rFonts w:eastAsia="Calibri"/>
          <w:szCs w:val="22"/>
          <w:highlight w:val="yellow"/>
          <w:lang w:val="en-ZW"/>
        </w:rPr>
      </w:pPr>
      <w:r w:rsidRPr="0021074B">
        <w:rPr>
          <w:rFonts w:eastAsia="Calibri"/>
          <w:szCs w:val="22"/>
          <w:highlight w:val="yellow"/>
          <w:lang w:val="en-ZW"/>
        </w:rPr>
        <w:t>2. If a permittee does not have a pretreatment program, and an industrial waste survey has been</w:t>
      </w:r>
      <w:r w:rsidR="00732C29">
        <w:rPr>
          <w:rFonts w:eastAsia="Calibri"/>
          <w:szCs w:val="22"/>
          <w:highlight w:val="yellow"/>
          <w:lang w:val="en-ZW"/>
        </w:rPr>
        <w:t xml:space="preserve"> </w:t>
      </w:r>
      <w:r w:rsidRPr="0021074B">
        <w:rPr>
          <w:rFonts w:eastAsia="Calibri"/>
          <w:szCs w:val="22"/>
          <w:highlight w:val="yellow"/>
          <w:lang w:val="en-ZW"/>
        </w:rPr>
        <w:t>completed, an update to the original industrial waste survey must be completed and following language</w:t>
      </w:r>
      <w:r w:rsidRPr="0021074B">
        <w:rPr>
          <w:rFonts w:eastAsia="Calibri"/>
          <w:szCs w:val="22"/>
          <w:lang w:val="en-ZW"/>
        </w:rPr>
        <w:t xml:space="preserve"> </w:t>
      </w:r>
      <w:r w:rsidRPr="0021074B">
        <w:rPr>
          <w:rFonts w:eastAsia="Calibri"/>
          <w:szCs w:val="22"/>
          <w:highlight w:val="yellow"/>
          <w:lang w:val="en-ZW"/>
        </w:rPr>
        <w:t>should be included</w:t>
      </w:r>
      <w:r w:rsidRPr="0021074B">
        <w:rPr>
          <w:rFonts w:eastAsia="Calibri"/>
          <w:szCs w:val="22"/>
          <w:lang w:val="en-ZW"/>
        </w:rPr>
        <w:t>:</w:t>
      </w:r>
    </w:p>
    <w:p w14:paraId="0524B3D9" w14:textId="6102FCF5" w:rsidR="0021074B" w:rsidRPr="0021074B" w:rsidRDefault="006D66BC" w:rsidP="0066673D">
      <w:pPr>
        <w:spacing w:after="120" w:line="259" w:lineRule="auto"/>
        <w:ind w:firstLine="720"/>
        <w:jc w:val="left"/>
        <w:rPr>
          <w:rFonts w:eastAsia="Calibri"/>
          <w:b/>
          <w:szCs w:val="22"/>
          <w:lang w:val="en-ZW"/>
        </w:rPr>
      </w:pPr>
      <w:r>
        <w:rPr>
          <w:rFonts w:eastAsia="Calibri"/>
          <w:b/>
          <w:szCs w:val="22"/>
          <w:lang w:val="en-ZW"/>
        </w:rPr>
        <w:t>Industrial User</w:t>
      </w:r>
      <w:r w:rsidR="0021074B" w:rsidRPr="0021074B">
        <w:rPr>
          <w:rFonts w:eastAsia="Calibri"/>
          <w:b/>
          <w:szCs w:val="22"/>
          <w:lang w:val="en-ZW"/>
        </w:rPr>
        <w:t xml:space="preserve"> Survey Update</w:t>
      </w:r>
    </w:p>
    <w:p w14:paraId="23122670" w14:textId="72CBD7E8" w:rsidR="009F33F4" w:rsidRDefault="004C632A" w:rsidP="006264E9">
      <w:pPr>
        <w:numPr>
          <w:ilvl w:val="0"/>
          <w:numId w:val="30"/>
        </w:numPr>
        <w:spacing w:after="120" w:line="259" w:lineRule="auto"/>
        <w:ind w:left="1440" w:hanging="720"/>
        <w:contextualSpacing/>
        <w:jc w:val="left"/>
        <w:rPr>
          <w:rFonts w:eastAsia="Calibri"/>
          <w:szCs w:val="22"/>
          <w:lang w:val="en-ZW"/>
        </w:rPr>
      </w:pPr>
      <w:r>
        <w:rPr>
          <w:rFonts w:eastAsia="Calibri"/>
          <w:szCs w:val="22"/>
          <w:lang w:val="en-US"/>
        </w:rPr>
        <w:t>By the date listed in Table B1</w:t>
      </w:r>
      <w:r w:rsidR="00B338CA">
        <w:rPr>
          <w:rFonts w:eastAsia="Calibri"/>
          <w:szCs w:val="22"/>
          <w:lang w:val="en-ZW"/>
        </w:rPr>
        <w:t xml:space="preserve">, the </w:t>
      </w:r>
      <w:r w:rsidR="0021074B" w:rsidRPr="0021074B">
        <w:rPr>
          <w:rFonts w:eastAsia="Calibri"/>
          <w:szCs w:val="22"/>
          <w:lang w:val="en-ZW"/>
        </w:rPr>
        <w:t xml:space="preserve">permittee </w:t>
      </w:r>
      <w:r w:rsidR="00FD369B">
        <w:rPr>
          <w:rFonts w:eastAsia="Calibri"/>
          <w:szCs w:val="22"/>
          <w:lang w:val="en-ZW"/>
        </w:rPr>
        <w:t>must</w:t>
      </w:r>
      <w:r w:rsidR="0021074B" w:rsidRPr="0021074B">
        <w:rPr>
          <w:rFonts w:eastAsia="Calibri"/>
          <w:szCs w:val="22"/>
          <w:lang w:val="en-ZW"/>
        </w:rPr>
        <w:t xml:space="preserve"> </w:t>
      </w:r>
      <w:r w:rsidR="00FD369B">
        <w:rPr>
          <w:rFonts w:eastAsia="Calibri"/>
          <w:szCs w:val="22"/>
          <w:lang w:val="en-ZW"/>
        </w:rPr>
        <w:t>s</w:t>
      </w:r>
      <w:r w:rsidR="0021074B" w:rsidRPr="0021074B">
        <w:rPr>
          <w:rFonts w:eastAsia="Calibri"/>
          <w:szCs w:val="22"/>
          <w:lang w:val="en-ZW"/>
        </w:rPr>
        <w:t>ubmit to DEQ an update to the ind</w:t>
      </w:r>
      <w:r w:rsidR="00732C29">
        <w:rPr>
          <w:rFonts w:eastAsia="Calibri"/>
          <w:szCs w:val="22"/>
          <w:lang w:val="en-ZW"/>
        </w:rPr>
        <w:t xml:space="preserve">ustrial </w:t>
      </w:r>
      <w:r w:rsidR="00B338CA">
        <w:rPr>
          <w:rFonts w:eastAsia="Calibri"/>
          <w:szCs w:val="22"/>
          <w:lang w:val="en-ZW"/>
        </w:rPr>
        <w:t>user</w:t>
      </w:r>
      <w:r w:rsidR="00732C29">
        <w:rPr>
          <w:rFonts w:eastAsia="Calibri"/>
          <w:szCs w:val="22"/>
          <w:lang w:val="en-ZW"/>
        </w:rPr>
        <w:t xml:space="preserve"> survey that was </w:t>
      </w:r>
      <w:r w:rsidR="0021074B" w:rsidRPr="0021074B">
        <w:rPr>
          <w:rFonts w:eastAsia="Calibri"/>
          <w:szCs w:val="22"/>
          <w:lang w:val="en-ZW"/>
        </w:rPr>
        <w:t xml:space="preserve">completed </w:t>
      </w:r>
      <w:r w:rsidR="0021074B" w:rsidRPr="004C632A">
        <w:rPr>
          <w:rFonts w:eastAsia="Calibri"/>
          <w:b/>
          <w:bCs/>
          <w:szCs w:val="22"/>
          <w:highlight w:val="yellow"/>
          <w:lang w:val="en-ZW"/>
        </w:rPr>
        <w:t xml:space="preserve">[insert date that survey </w:t>
      </w:r>
      <w:r w:rsidR="00732C29" w:rsidRPr="004C632A">
        <w:rPr>
          <w:rFonts w:eastAsia="Calibri"/>
          <w:b/>
          <w:bCs/>
          <w:szCs w:val="22"/>
          <w:highlight w:val="yellow"/>
          <w:lang w:val="en-ZW"/>
        </w:rPr>
        <w:t>w</w:t>
      </w:r>
      <w:r w:rsidR="0021074B" w:rsidRPr="004C632A">
        <w:rPr>
          <w:rFonts w:eastAsia="Calibri"/>
          <w:b/>
          <w:bCs/>
          <w:szCs w:val="22"/>
          <w:highlight w:val="yellow"/>
          <w:lang w:val="en-ZW"/>
        </w:rPr>
        <w:t xml:space="preserve">as </w:t>
      </w:r>
      <w:r w:rsidR="00D65EAA">
        <w:rPr>
          <w:rFonts w:eastAsia="Calibri"/>
          <w:b/>
          <w:bCs/>
          <w:szCs w:val="22"/>
          <w:highlight w:val="yellow"/>
          <w:lang w:val="en-ZW"/>
        </w:rPr>
        <w:t>most recently</w:t>
      </w:r>
      <w:r w:rsidR="00D65EAA" w:rsidRPr="004C632A">
        <w:rPr>
          <w:rFonts w:eastAsia="Calibri"/>
          <w:b/>
          <w:bCs/>
          <w:szCs w:val="22"/>
          <w:highlight w:val="yellow"/>
          <w:lang w:val="en-ZW"/>
        </w:rPr>
        <w:t xml:space="preserve"> </w:t>
      </w:r>
      <w:r w:rsidR="0021074B" w:rsidRPr="004C632A">
        <w:rPr>
          <w:rFonts w:eastAsia="Calibri"/>
          <w:b/>
          <w:bCs/>
          <w:szCs w:val="22"/>
          <w:highlight w:val="yellow"/>
          <w:lang w:val="en-ZW"/>
        </w:rPr>
        <w:t>completed]</w:t>
      </w:r>
      <w:r w:rsidR="0021074B" w:rsidRPr="0021074B">
        <w:rPr>
          <w:rFonts w:eastAsia="Calibri"/>
          <w:szCs w:val="22"/>
          <w:lang w:val="en-ZW"/>
        </w:rPr>
        <w:t xml:space="preserve">. The update </w:t>
      </w:r>
      <w:r w:rsidR="006D66BC">
        <w:rPr>
          <w:rFonts w:eastAsia="Calibri"/>
          <w:szCs w:val="22"/>
          <w:lang w:val="en-ZW"/>
        </w:rPr>
        <w:t>must</w:t>
      </w:r>
      <w:r w:rsidR="0021074B" w:rsidRPr="0021074B">
        <w:rPr>
          <w:rFonts w:eastAsia="Calibri"/>
          <w:szCs w:val="22"/>
          <w:lang w:val="en-ZW"/>
        </w:rPr>
        <w:t xml:space="preserve"> be</w:t>
      </w:r>
      <w:r w:rsidR="00732C29">
        <w:rPr>
          <w:rFonts w:eastAsia="Calibri"/>
          <w:szCs w:val="22"/>
          <w:lang w:val="en-ZW"/>
        </w:rPr>
        <w:t xml:space="preserve"> </w:t>
      </w:r>
      <w:r w:rsidR="0021074B" w:rsidRPr="00732C29">
        <w:rPr>
          <w:rFonts w:eastAsia="Calibri"/>
          <w:szCs w:val="22"/>
          <w:lang w:val="en-ZW"/>
        </w:rPr>
        <w:t xml:space="preserve">completed </w:t>
      </w:r>
      <w:r w:rsidR="009A585B">
        <w:rPr>
          <w:rFonts w:eastAsia="Calibri"/>
          <w:szCs w:val="22"/>
          <w:lang w:val="en-ZW"/>
        </w:rPr>
        <w:t>in accordance with</w:t>
      </w:r>
      <w:r w:rsidR="0021074B" w:rsidRPr="00732C29">
        <w:rPr>
          <w:rFonts w:eastAsia="Calibri"/>
          <w:szCs w:val="22"/>
          <w:lang w:val="en-ZW"/>
        </w:rPr>
        <w:t xml:space="preserve"> 40 CFR 403.8(f)(</w:t>
      </w:r>
      <w:proofErr w:type="gramStart"/>
      <w:r w:rsidR="0021074B" w:rsidRPr="00732C29">
        <w:rPr>
          <w:rFonts w:eastAsia="Calibri"/>
          <w:szCs w:val="22"/>
          <w:lang w:val="en-ZW"/>
        </w:rPr>
        <w:t>2)</w:t>
      </w:r>
      <w:r w:rsidR="00732C29">
        <w:rPr>
          <w:rFonts w:eastAsia="Calibri"/>
          <w:szCs w:val="22"/>
          <w:lang w:val="en-ZW"/>
        </w:rPr>
        <w:t>(</w:t>
      </w:r>
      <w:proofErr w:type="spellStart"/>
      <w:proofErr w:type="gramEnd"/>
      <w:r w:rsidR="00732C29">
        <w:rPr>
          <w:rFonts w:eastAsia="Calibri"/>
          <w:szCs w:val="22"/>
          <w:lang w:val="en-ZW"/>
        </w:rPr>
        <w:t>i</w:t>
      </w:r>
      <w:proofErr w:type="spellEnd"/>
      <w:r w:rsidR="00732C29">
        <w:rPr>
          <w:rFonts w:eastAsia="Calibri"/>
          <w:szCs w:val="22"/>
          <w:lang w:val="en-ZW"/>
        </w:rPr>
        <w:t xml:space="preserve">-iii) and </w:t>
      </w:r>
      <w:r w:rsidR="009A585B">
        <w:rPr>
          <w:rFonts w:eastAsia="Calibri"/>
          <w:szCs w:val="22"/>
          <w:lang w:val="en-ZW"/>
        </w:rPr>
        <w:t xml:space="preserve">provide DEQ with sufficient </w:t>
      </w:r>
      <w:r w:rsidR="00B82419">
        <w:rPr>
          <w:rFonts w:eastAsia="Calibri"/>
          <w:szCs w:val="22"/>
          <w:lang w:val="en-ZW"/>
        </w:rPr>
        <w:t>information to</w:t>
      </w:r>
      <w:r w:rsidR="00732C29">
        <w:rPr>
          <w:rFonts w:eastAsia="Calibri"/>
          <w:szCs w:val="22"/>
          <w:lang w:val="en-ZW"/>
        </w:rPr>
        <w:t xml:space="preserve"> </w:t>
      </w:r>
      <w:r w:rsidR="0021074B" w:rsidRPr="00732C29">
        <w:rPr>
          <w:rFonts w:eastAsia="Calibri"/>
          <w:szCs w:val="22"/>
          <w:lang w:val="en-ZW"/>
        </w:rPr>
        <w:t>determi</w:t>
      </w:r>
      <w:r w:rsidR="009A585B">
        <w:rPr>
          <w:rFonts w:eastAsia="Calibri"/>
          <w:szCs w:val="22"/>
          <w:lang w:val="en-ZW"/>
        </w:rPr>
        <w:t>ne</w:t>
      </w:r>
      <w:r w:rsidR="0021074B" w:rsidRPr="00732C29">
        <w:rPr>
          <w:rFonts w:eastAsia="Calibri"/>
          <w:szCs w:val="22"/>
          <w:lang w:val="en-ZW"/>
        </w:rPr>
        <w:t xml:space="preserve"> the need for development of a pretreatment program.</w:t>
      </w:r>
    </w:p>
    <w:p w14:paraId="16B86199" w14:textId="77777777" w:rsidR="009F33F4" w:rsidRDefault="009F33F4" w:rsidP="009F33F4">
      <w:pPr>
        <w:spacing w:after="120" w:line="259" w:lineRule="auto"/>
        <w:ind w:left="1440"/>
        <w:contextualSpacing/>
        <w:jc w:val="left"/>
        <w:rPr>
          <w:rFonts w:eastAsia="Calibri"/>
          <w:szCs w:val="22"/>
          <w:lang w:val="en-ZW"/>
        </w:rPr>
      </w:pPr>
    </w:p>
    <w:p w14:paraId="1EAA0CA5" w14:textId="6757818F" w:rsidR="0021074B" w:rsidRPr="009F33F4" w:rsidRDefault="0021074B" w:rsidP="006264E9">
      <w:pPr>
        <w:numPr>
          <w:ilvl w:val="0"/>
          <w:numId w:val="30"/>
        </w:numPr>
        <w:spacing w:before="120" w:line="259" w:lineRule="auto"/>
        <w:ind w:left="1440" w:hanging="720"/>
        <w:contextualSpacing/>
        <w:jc w:val="left"/>
        <w:rPr>
          <w:rFonts w:eastAsia="Calibri"/>
          <w:szCs w:val="22"/>
          <w:lang w:val="en-ZW"/>
        </w:rPr>
      </w:pPr>
      <w:r w:rsidRPr="009F33F4">
        <w:rPr>
          <w:rFonts w:eastAsia="Calibri"/>
          <w:szCs w:val="22"/>
          <w:lang w:val="en-ZW"/>
        </w:rPr>
        <w:t xml:space="preserve">Should </w:t>
      </w:r>
      <w:r w:rsidR="00F42429" w:rsidRPr="009F33F4">
        <w:rPr>
          <w:rFonts w:eastAsia="Calibri"/>
          <w:szCs w:val="22"/>
          <w:lang w:val="en-ZW"/>
        </w:rPr>
        <w:t>DEQ</w:t>
      </w:r>
      <w:r w:rsidRPr="009F33F4">
        <w:rPr>
          <w:rFonts w:eastAsia="Calibri"/>
          <w:szCs w:val="22"/>
          <w:lang w:val="en-ZW"/>
        </w:rPr>
        <w:t xml:space="preserve"> determine that a pretreatment pro</w:t>
      </w:r>
      <w:r w:rsidR="00732C29" w:rsidRPr="009F33F4">
        <w:rPr>
          <w:rFonts w:eastAsia="Calibri"/>
          <w:szCs w:val="22"/>
          <w:lang w:val="en-ZW"/>
        </w:rPr>
        <w:t xml:space="preserve">gram is required, the permit </w:t>
      </w:r>
      <w:r w:rsidR="00FD369B" w:rsidRPr="009F33F4">
        <w:rPr>
          <w:rFonts w:eastAsia="Calibri"/>
          <w:szCs w:val="22"/>
          <w:lang w:val="en-ZW"/>
        </w:rPr>
        <w:t>must</w:t>
      </w:r>
      <w:r w:rsidRPr="009F33F4">
        <w:rPr>
          <w:rFonts w:eastAsia="Calibri"/>
          <w:szCs w:val="22"/>
          <w:lang w:val="en-ZW"/>
        </w:rPr>
        <w:t xml:space="preserve"> be reopened</w:t>
      </w:r>
      <w:r w:rsidR="004B4930" w:rsidRPr="009F33F4">
        <w:rPr>
          <w:rFonts w:eastAsia="Calibri"/>
          <w:szCs w:val="22"/>
          <w:lang w:val="en-ZW"/>
        </w:rPr>
        <w:t xml:space="preserve"> </w:t>
      </w:r>
      <w:r w:rsidR="00732C29" w:rsidRPr="009F33F4">
        <w:rPr>
          <w:rFonts w:eastAsia="Calibri"/>
          <w:szCs w:val="22"/>
          <w:lang w:val="en-ZW"/>
        </w:rPr>
        <w:t>a</w:t>
      </w:r>
      <w:r w:rsidRPr="009F33F4">
        <w:rPr>
          <w:rFonts w:eastAsia="Calibri"/>
          <w:szCs w:val="22"/>
          <w:lang w:val="en-ZW"/>
        </w:rPr>
        <w:t>nd modified in accordance with 40 CFR 403.8</w:t>
      </w:r>
      <w:r w:rsidR="00732C29" w:rsidRPr="009F33F4">
        <w:rPr>
          <w:rFonts w:eastAsia="Calibri"/>
          <w:szCs w:val="22"/>
          <w:lang w:val="en-ZW"/>
        </w:rPr>
        <w:t xml:space="preserve">(e)(1) to incorporate a </w:t>
      </w:r>
      <w:r w:rsidRPr="009F33F4">
        <w:rPr>
          <w:rFonts w:eastAsia="Calibri"/>
          <w:szCs w:val="22"/>
          <w:lang w:val="en-ZW"/>
        </w:rPr>
        <w:t xml:space="preserve">compliance schedule to require </w:t>
      </w:r>
      <w:r w:rsidR="00732C29" w:rsidRPr="009F33F4">
        <w:rPr>
          <w:rFonts w:eastAsia="Calibri"/>
          <w:szCs w:val="22"/>
          <w:lang w:val="en-ZW"/>
        </w:rPr>
        <w:t>d</w:t>
      </w:r>
      <w:r w:rsidRPr="009F33F4">
        <w:rPr>
          <w:rFonts w:eastAsia="Calibri"/>
          <w:szCs w:val="22"/>
          <w:lang w:val="en-ZW"/>
        </w:rPr>
        <w:t>evelopment of a pretrea</w:t>
      </w:r>
      <w:r w:rsidR="00732C29" w:rsidRPr="009F33F4">
        <w:rPr>
          <w:rFonts w:eastAsia="Calibri"/>
          <w:szCs w:val="22"/>
          <w:lang w:val="en-ZW"/>
        </w:rPr>
        <w:t xml:space="preserve">tment program. The compliance </w:t>
      </w:r>
      <w:r w:rsidRPr="009F33F4">
        <w:rPr>
          <w:rFonts w:eastAsia="Calibri"/>
          <w:szCs w:val="22"/>
          <w:lang w:val="en-ZW"/>
        </w:rPr>
        <w:t xml:space="preserve">schedule </w:t>
      </w:r>
      <w:r w:rsidR="00FD369B" w:rsidRPr="009F33F4">
        <w:rPr>
          <w:rFonts w:eastAsia="Calibri"/>
          <w:szCs w:val="22"/>
          <w:lang w:val="en-ZW"/>
        </w:rPr>
        <w:t>must</w:t>
      </w:r>
      <w:r w:rsidR="00732C29" w:rsidRPr="009F33F4">
        <w:rPr>
          <w:rFonts w:eastAsia="Calibri"/>
          <w:szCs w:val="22"/>
          <w:lang w:val="en-ZW"/>
        </w:rPr>
        <w:t xml:space="preserve"> be de</w:t>
      </w:r>
      <w:r w:rsidRPr="009F33F4">
        <w:rPr>
          <w:rFonts w:eastAsia="Calibri"/>
          <w:szCs w:val="22"/>
          <w:lang w:val="en-ZW"/>
        </w:rPr>
        <w:t>ve</w:t>
      </w:r>
      <w:r w:rsidR="00732C29" w:rsidRPr="009F33F4">
        <w:rPr>
          <w:rFonts w:eastAsia="Calibri"/>
          <w:szCs w:val="22"/>
          <w:lang w:val="en-ZW"/>
        </w:rPr>
        <w:t xml:space="preserve">loped in accordance with the </w:t>
      </w:r>
      <w:r w:rsidRPr="009F33F4">
        <w:rPr>
          <w:rFonts w:eastAsia="Calibri"/>
          <w:szCs w:val="22"/>
          <w:lang w:val="en-ZW"/>
        </w:rPr>
        <w:t xml:space="preserve">provisions of 40 CFR </w:t>
      </w:r>
      <w:proofErr w:type="gramStart"/>
      <w:r w:rsidRPr="009F33F4">
        <w:rPr>
          <w:rFonts w:eastAsia="Calibri"/>
          <w:szCs w:val="22"/>
          <w:lang w:val="en-ZW"/>
        </w:rPr>
        <w:t>403.12(k), and</w:t>
      </w:r>
      <w:proofErr w:type="gramEnd"/>
      <w:r w:rsidRPr="009F33F4">
        <w:rPr>
          <w:rFonts w:eastAsia="Calibri"/>
          <w:szCs w:val="22"/>
          <w:lang w:val="en-ZW"/>
        </w:rPr>
        <w:t xml:space="preserve"> </w:t>
      </w:r>
      <w:r w:rsidR="006D66BC" w:rsidRPr="009F33F4">
        <w:rPr>
          <w:rFonts w:eastAsia="Calibri"/>
          <w:szCs w:val="22"/>
          <w:lang w:val="en-ZW"/>
        </w:rPr>
        <w:t>must</w:t>
      </w:r>
      <w:r w:rsidRPr="009F33F4">
        <w:rPr>
          <w:rFonts w:eastAsia="Calibri"/>
          <w:szCs w:val="22"/>
          <w:lang w:val="en-ZW"/>
        </w:rPr>
        <w:t xml:space="preserve"> not exceed twelve (12) </w:t>
      </w:r>
      <w:r w:rsidR="00FD369B" w:rsidRPr="009F33F4">
        <w:rPr>
          <w:rFonts w:eastAsia="Calibri"/>
          <w:szCs w:val="22"/>
          <w:lang w:val="en-ZW"/>
        </w:rPr>
        <w:t>m</w:t>
      </w:r>
      <w:r w:rsidRPr="009F33F4">
        <w:rPr>
          <w:rFonts w:eastAsia="Calibri"/>
          <w:szCs w:val="22"/>
          <w:lang w:val="en-ZW"/>
        </w:rPr>
        <w:t>onths.</w:t>
      </w:r>
    </w:p>
    <w:p w14:paraId="5EB62131" w14:textId="3ABE1F2C" w:rsidR="000F21FA" w:rsidRDefault="000F21FA" w:rsidP="00A0366F">
      <w:pPr>
        <w:pStyle w:val="PermitHanging1TOC"/>
      </w:pPr>
      <w:bookmarkStart w:id="197" w:name="_Toc203135919"/>
      <w:r w:rsidRPr="00074D1C">
        <w:t>Outfall Inspection</w:t>
      </w:r>
      <w:bookmarkEnd w:id="197"/>
    </w:p>
    <w:p w14:paraId="0C243F0D" w14:textId="4B301E38" w:rsidR="000F21FA" w:rsidRDefault="009D35AF" w:rsidP="75EAEC27">
      <w:pPr>
        <w:pStyle w:val="PermitHanging1-text"/>
        <w:ind w:left="0"/>
      </w:pPr>
      <w:r>
        <w:t>T</w:t>
      </w:r>
      <w:r w:rsidR="000F21FA">
        <w:t xml:space="preserve">he permittee must inspect </w:t>
      </w:r>
      <w:r w:rsidR="0066673D">
        <w:t>O</w:t>
      </w:r>
      <w:r w:rsidR="000F21FA">
        <w:t xml:space="preserve">utfall </w:t>
      </w:r>
      <w:r w:rsidR="000F21FA">
        <w:rPr>
          <w:highlight w:val="yellow"/>
        </w:rPr>
        <w:t>001</w:t>
      </w:r>
      <w:r w:rsidR="000F21FA">
        <w:t xml:space="preserve"> including the </w:t>
      </w:r>
      <w:r w:rsidR="000F21FA" w:rsidRPr="00D55017">
        <w:t xml:space="preserve">submerged portion of the outfall line and diffuser to document its integrity and </w:t>
      </w:r>
      <w:r w:rsidR="000F21FA">
        <w:t>to determine whether it is functioning as designed.</w:t>
      </w:r>
      <w:r w:rsidR="007C461A">
        <w:t xml:space="preserve"> </w:t>
      </w:r>
      <w:r w:rsidR="000F21FA">
        <w:t xml:space="preserve">The inspection </w:t>
      </w:r>
      <w:r w:rsidR="004B4930">
        <w:t>mu</w:t>
      </w:r>
      <w:r w:rsidR="000F21FA">
        <w:t>s</w:t>
      </w:r>
      <w:r w:rsidR="004B4930">
        <w:t>t</w:t>
      </w:r>
      <w:r w:rsidR="000F21FA">
        <w:t xml:space="preserve"> </w:t>
      </w:r>
      <w:r w:rsidR="009A585B">
        <w:t xml:space="preserve">determine whether </w:t>
      </w:r>
      <w:r w:rsidR="00A80D07">
        <w:t>all</w:t>
      </w:r>
      <w:r w:rsidR="000F21FA">
        <w:t xml:space="preserve"> ports are intact, clear and fully functional</w:t>
      </w:r>
      <w:r w:rsidR="00B82419">
        <w:t>.</w:t>
      </w:r>
      <w:r w:rsidR="007C461A">
        <w:t xml:space="preserve"> </w:t>
      </w:r>
      <w:r w:rsidR="007C498A">
        <w:t xml:space="preserve">The inspection must verify the latitude and longitude of the </w:t>
      </w:r>
      <w:r w:rsidR="00216B4D">
        <w:t>outfall end pipe and</w:t>
      </w:r>
      <w:r w:rsidR="00BA0A23">
        <w:t>/or</w:t>
      </w:r>
      <w:r w:rsidR="00216B4D">
        <w:t xml:space="preserve"> </w:t>
      </w:r>
      <w:r w:rsidR="007C498A">
        <w:t>diffuser</w:t>
      </w:r>
      <w:r w:rsidR="00BA0A23">
        <w:t xml:space="preserve"> ports</w:t>
      </w:r>
      <w:r w:rsidR="007C498A">
        <w:t xml:space="preserve">. </w:t>
      </w:r>
      <w:r w:rsidR="000F21FA">
        <w:t xml:space="preserve">The permittee must submit a written report to DEQ regarding the results of the outfall inspection </w:t>
      </w:r>
      <w:r w:rsidR="00B82419">
        <w:t>by the</w:t>
      </w:r>
      <w:r w:rsidR="004B4930">
        <w:t xml:space="preserve"> date in Table B1</w:t>
      </w:r>
      <w:r w:rsidR="000F21FA">
        <w:t>.</w:t>
      </w:r>
      <w:r w:rsidR="007C461A">
        <w:t xml:space="preserve"> </w:t>
      </w:r>
      <w:r w:rsidR="000F21FA">
        <w:t xml:space="preserve">The report </w:t>
      </w:r>
      <w:r w:rsidR="009A585B">
        <w:t xml:space="preserve">must </w:t>
      </w:r>
      <w:r w:rsidR="000F21FA">
        <w:t xml:space="preserve">include a description of the outfall as originally constructed, the condition of the current outfall and </w:t>
      </w:r>
      <w:r w:rsidR="009A585B">
        <w:t>identify</w:t>
      </w:r>
      <w:r w:rsidR="000F21FA">
        <w:t xml:space="preserve"> any repairs </w:t>
      </w:r>
      <w:r w:rsidR="009A585B">
        <w:t>needed</w:t>
      </w:r>
      <w:r w:rsidR="000F21FA">
        <w:t xml:space="preserve"> to return the outfall to satisfactory condition.</w:t>
      </w:r>
    </w:p>
    <w:p w14:paraId="53D63697" w14:textId="77777777" w:rsidR="00287125" w:rsidRDefault="00287125" w:rsidP="75EAEC27">
      <w:pPr>
        <w:pStyle w:val="PermitHanging1-text"/>
        <w:ind w:left="0"/>
      </w:pPr>
    </w:p>
    <w:p w14:paraId="05C63941" w14:textId="208F2E8F" w:rsidR="00055F75" w:rsidRDefault="00055F75" w:rsidP="004325BE">
      <w:pPr>
        <w:pStyle w:val="PermitHanging1-text"/>
      </w:pPr>
    </w:p>
    <w:p w14:paraId="2FF9E36A" w14:textId="3CB3DE03" w:rsidR="00055F75" w:rsidRDefault="00055F75" w:rsidP="00055F75">
      <w:pPr>
        <w:pStyle w:val="PermitHanging1TOC"/>
      </w:pPr>
      <w:bookmarkStart w:id="198" w:name="_Toc203135920"/>
      <w:r>
        <w:t xml:space="preserve">Water Quality Trading </w:t>
      </w:r>
      <w:r w:rsidRPr="00055F75">
        <w:rPr>
          <w:highlight w:val="yellow"/>
        </w:rPr>
        <w:t>[</w:t>
      </w:r>
      <w:r>
        <w:rPr>
          <w:highlight w:val="yellow"/>
        </w:rPr>
        <w:t xml:space="preserve">for </w:t>
      </w:r>
      <w:r w:rsidRPr="00055F75">
        <w:rPr>
          <w:highlight w:val="yellow"/>
        </w:rPr>
        <w:t>basin]</w:t>
      </w:r>
      <w:bookmarkEnd w:id="198"/>
    </w:p>
    <w:p w14:paraId="30B70468" w14:textId="77777777" w:rsidR="00055F75" w:rsidRPr="00055F75" w:rsidRDefault="00055F75" w:rsidP="0017702F">
      <w:pPr>
        <w:pStyle w:val="PermitHanging1-text"/>
        <w:numPr>
          <w:ilvl w:val="1"/>
          <w:numId w:val="39"/>
        </w:numPr>
        <w:rPr>
          <w:lang w:val="en-CA"/>
        </w:rPr>
      </w:pPr>
      <w:r w:rsidRPr="00055F75">
        <w:rPr>
          <w:lang w:val="en-CA"/>
        </w:rPr>
        <w:t>Water Quality Trading Plan</w:t>
      </w:r>
    </w:p>
    <w:p w14:paraId="7830E6EA" w14:textId="77777777" w:rsidR="00055F75" w:rsidRPr="00055F75" w:rsidRDefault="00055F75" w:rsidP="0017702F">
      <w:pPr>
        <w:pStyle w:val="PermitHanging1-text"/>
        <w:ind w:left="1440"/>
        <w:rPr>
          <w:lang w:val="en-CA"/>
        </w:rPr>
      </w:pPr>
      <w:r w:rsidRPr="00055F75">
        <w:rPr>
          <w:lang w:val="en-CA"/>
        </w:rPr>
        <w:t>The permittee’s water quality trading plan is incorporated into this permit by reference as enforceable conditions of this permit provided the plan is approved by DEQ. Prior to approval, DEQ must provide an opportunity for public notice and comment on the trading plan for a minimum of 35 days as a Category III permitting action pursuant to OAR 340-045-0027. Once DEQ approves of the plan, the permittee is authorized to use water quality trading to comply with the Excess Thermal Load waste discharge limitations in Schedule A provided its trading activities comply with the requirements of this section, OAR 340-039, and its trading plan.</w:t>
      </w:r>
    </w:p>
    <w:p w14:paraId="071796BF" w14:textId="77777777" w:rsidR="00055F75" w:rsidRPr="00055F75" w:rsidRDefault="00055F75" w:rsidP="0017702F">
      <w:pPr>
        <w:pStyle w:val="PermitHanging1-text"/>
        <w:numPr>
          <w:ilvl w:val="1"/>
          <w:numId w:val="39"/>
        </w:numPr>
        <w:rPr>
          <w:lang w:val="en-CA"/>
        </w:rPr>
      </w:pPr>
      <w:r w:rsidRPr="00055F75">
        <w:rPr>
          <w:lang w:val="en-CA"/>
        </w:rPr>
        <w:t>Water Quality Trading Plan Modifications</w:t>
      </w:r>
    </w:p>
    <w:p w14:paraId="2EFEDB0E" w14:textId="77777777" w:rsidR="00055F75" w:rsidRPr="00055F75" w:rsidRDefault="00055F75" w:rsidP="0017702F">
      <w:pPr>
        <w:pStyle w:val="PermitHanging1-text"/>
        <w:ind w:left="1440"/>
        <w:rPr>
          <w:lang w:val="en-CA"/>
        </w:rPr>
      </w:pPr>
      <w:r w:rsidRPr="00055F75">
        <w:rPr>
          <w:lang w:val="en-CA"/>
        </w:rPr>
        <w:t>Any changes to the plan must be submitted to DEQ for review and approval according to OAR 340-039-0025(7). Prior to approval, DEQ must provide an opportunity for public notice and comment on the trading plan for a minimum of 35 days as a Category III permitting action pursuant to OAR 340-045-0027. DEQ cannot approve of any modifications to the plan if this permit is administratively extended beyond its expiration date.</w:t>
      </w:r>
    </w:p>
    <w:p w14:paraId="02266E5F" w14:textId="77777777" w:rsidR="00055F75" w:rsidRPr="00055F75" w:rsidRDefault="00055F75" w:rsidP="0017702F">
      <w:pPr>
        <w:pStyle w:val="PermitHanging1-text"/>
        <w:numPr>
          <w:ilvl w:val="4"/>
          <w:numId w:val="74"/>
        </w:numPr>
        <w:rPr>
          <w:lang w:val="en-CA"/>
        </w:rPr>
      </w:pPr>
      <w:r w:rsidRPr="00055F75">
        <w:rPr>
          <w:lang w:val="en-CA"/>
        </w:rPr>
        <w:t>TMDLs are revised periodically. Development of new or revised TMDLs can change implementation requirements. Any new TMDL requirements must be incorporated into subsequent baseline determinations at project initiation per OAR 340-039-0030.</w:t>
      </w:r>
    </w:p>
    <w:p w14:paraId="1764F487" w14:textId="77777777" w:rsidR="00055F75" w:rsidRPr="00055F75" w:rsidRDefault="00055F75" w:rsidP="00055F75">
      <w:pPr>
        <w:pStyle w:val="PermitHanging1-text"/>
        <w:rPr>
          <w:lang w:val="en-CA"/>
        </w:rPr>
      </w:pPr>
    </w:p>
    <w:p w14:paraId="1705937F" w14:textId="77777777" w:rsidR="00055F75" w:rsidRPr="00055F75" w:rsidRDefault="00055F75" w:rsidP="0017702F">
      <w:pPr>
        <w:pStyle w:val="PermitHanging1-text"/>
        <w:numPr>
          <w:ilvl w:val="1"/>
          <w:numId w:val="39"/>
        </w:numPr>
        <w:rPr>
          <w:lang w:val="en-CA"/>
        </w:rPr>
      </w:pPr>
      <w:r w:rsidRPr="00055F75">
        <w:rPr>
          <w:lang w:val="en-CA"/>
        </w:rPr>
        <w:t>Individual Trading Projects</w:t>
      </w:r>
    </w:p>
    <w:p w14:paraId="4BF83F4F" w14:textId="17FFD056" w:rsidR="00055F75" w:rsidRPr="00055F75" w:rsidRDefault="00055F75" w:rsidP="0017702F">
      <w:pPr>
        <w:pStyle w:val="PermitHanging1-text"/>
        <w:ind w:left="1440"/>
        <w:rPr>
          <w:lang w:val="en-CA"/>
        </w:rPr>
      </w:pPr>
      <w:r w:rsidRPr="00055F75">
        <w:rPr>
          <w:lang w:val="en-CA"/>
        </w:rPr>
        <w:t>All individual trading projects and modifications to these projects must be consistent with DEQ-approved plan; they are not subject to public notice and comment and may be modified if this permit is administratively extended beyond its expiration date.</w:t>
      </w:r>
    </w:p>
    <w:p w14:paraId="0DA1A12E" w14:textId="77777777" w:rsidR="00055F75" w:rsidRPr="00055F75" w:rsidRDefault="00055F75" w:rsidP="0017702F">
      <w:pPr>
        <w:pStyle w:val="PermitHanging1-text"/>
        <w:numPr>
          <w:ilvl w:val="1"/>
          <w:numId w:val="39"/>
        </w:numPr>
        <w:rPr>
          <w:lang w:val="en-CA"/>
        </w:rPr>
      </w:pPr>
      <w:r w:rsidRPr="00055F75">
        <w:rPr>
          <w:lang w:val="en-CA"/>
        </w:rPr>
        <w:t>Events Beyond the Permittee’s Reasonable Control</w:t>
      </w:r>
    </w:p>
    <w:p w14:paraId="0CB10F45" w14:textId="77777777" w:rsidR="00055F75" w:rsidRPr="00055F75" w:rsidRDefault="00055F75" w:rsidP="0017702F">
      <w:pPr>
        <w:pStyle w:val="PermitHanging1-text"/>
        <w:numPr>
          <w:ilvl w:val="4"/>
          <w:numId w:val="83"/>
        </w:numPr>
        <w:rPr>
          <w:lang w:val="en-CA"/>
        </w:rPr>
      </w:pPr>
      <w:r w:rsidRPr="00055F75">
        <w:rPr>
          <w:lang w:val="en-CA"/>
        </w:rPr>
        <w:t xml:space="preserve">Damage to a project due to an event beyond the permittee’s reasonable control (for example, wildfire, flood, vandalism) is not in and of itself considered a violation of this permit. </w:t>
      </w:r>
    </w:p>
    <w:p w14:paraId="7FA38E53" w14:textId="77777777" w:rsidR="00055F75" w:rsidRPr="00055F75" w:rsidRDefault="00055F75" w:rsidP="0017702F">
      <w:pPr>
        <w:pStyle w:val="PermitHanging1-text"/>
        <w:numPr>
          <w:ilvl w:val="4"/>
          <w:numId w:val="83"/>
        </w:numPr>
        <w:rPr>
          <w:lang w:val="en-CA"/>
        </w:rPr>
      </w:pPr>
      <w:r w:rsidRPr="00055F75">
        <w:rPr>
          <w:lang w:val="en-CA"/>
        </w:rPr>
        <w:t xml:space="preserve">The permittee must report these events as required in Schedule F, Section D whenever applicable. </w:t>
      </w:r>
      <w:proofErr w:type="spellStart"/>
      <w:r w:rsidRPr="00055F75">
        <w:rPr>
          <w:lang w:val="en-CA"/>
        </w:rPr>
        <w:t>Ther</w:t>
      </w:r>
      <w:proofErr w:type="spellEnd"/>
      <w:r w:rsidRPr="00055F75">
        <w:rPr>
          <w:lang w:val="en-CA"/>
        </w:rPr>
        <w:t xml:space="preserve"> permittee must also report the following to DEQ within 90 days of the damage:</w:t>
      </w:r>
    </w:p>
    <w:p w14:paraId="4097F233" w14:textId="77777777" w:rsidR="00055F75" w:rsidRPr="00055F75" w:rsidRDefault="00055F75" w:rsidP="00055F75">
      <w:pPr>
        <w:pStyle w:val="PermitHanging1-text"/>
        <w:numPr>
          <w:ilvl w:val="5"/>
          <w:numId w:val="22"/>
        </w:numPr>
        <w:rPr>
          <w:lang w:val="en-CA"/>
        </w:rPr>
      </w:pPr>
      <w:r w:rsidRPr="00055F75">
        <w:rPr>
          <w:lang w:val="en-CA"/>
        </w:rPr>
        <w:t>A description of the event, including an assessment of the damage.</w:t>
      </w:r>
    </w:p>
    <w:p w14:paraId="203365AC" w14:textId="77777777" w:rsidR="00055F75" w:rsidRPr="00055F75" w:rsidRDefault="00055F75" w:rsidP="00055F75">
      <w:pPr>
        <w:pStyle w:val="PermitHanging1-text"/>
        <w:numPr>
          <w:ilvl w:val="5"/>
          <w:numId w:val="22"/>
        </w:numPr>
        <w:rPr>
          <w:lang w:val="en-CA"/>
        </w:rPr>
      </w:pPr>
      <w:r w:rsidRPr="00055F75">
        <w:rPr>
          <w:lang w:val="en-CA"/>
        </w:rPr>
        <w:t xml:space="preserve">A plan for addressing the damage. Natural restoration and/or active replanting of the site is allowed if continued maintenance is expected to provide a reasonable potential for the </w:t>
      </w:r>
      <w:proofErr w:type="gramStart"/>
      <w:r w:rsidRPr="00055F75">
        <w:rPr>
          <w:lang w:val="en-CA"/>
        </w:rPr>
        <w:t>long term</w:t>
      </w:r>
      <w:proofErr w:type="gramEnd"/>
      <w:r w:rsidRPr="00055F75">
        <w:rPr>
          <w:lang w:val="en-CA"/>
        </w:rPr>
        <w:t xml:space="preserve"> restoration of the shading function in an ecologically appropriate manner. Replacement with an alternate site or sites is also allowed. </w:t>
      </w:r>
    </w:p>
    <w:p w14:paraId="6ED03479" w14:textId="77777777" w:rsidR="00055F75" w:rsidRPr="00055F75" w:rsidRDefault="00055F75" w:rsidP="00055F75">
      <w:pPr>
        <w:pStyle w:val="PermitHanging1-text"/>
        <w:numPr>
          <w:ilvl w:val="5"/>
          <w:numId w:val="22"/>
        </w:numPr>
        <w:rPr>
          <w:lang w:val="en-CA"/>
        </w:rPr>
      </w:pPr>
      <w:r w:rsidRPr="00055F75">
        <w:rPr>
          <w:lang w:val="en-CA"/>
        </w:rPr>
        <w:t>Schedule for implementation of the permittee’s plan.</w:t>
      </w:r>
    </w:p>
    <w:p w14:paraId="447A009D" w14:textId="77777777" w:rsidR="00055F75" w:rsidRPr="00055F75" w:rsidRDefault="00055F75" w:rsidP="0017702F">
      <w:pPr>
        <w:pStyle w:val="PermitHanging1-text"/>
        <w:numPr>
          <w:ilvl w:val="4"/>
          <w:numId w:val="83"/>
        </w:numPr>
        <w:rPr>
          <w:lang w:val="en-CA"/>
        </w:rPr>
      </w:pPr>
      <w:r w:rsidRPr="00055F75">
        <w:rPr>
          <w:lang w:val="en-CA"/>
        </w:rPr>
        <w:t>Credits from projects that are damaged due to events beyond the reasonable control of the permittee remain valid provided the permittee demonstrates to DEQ that the sites will be restored or alternative solutions implemented within a reasonable timeframe.</w:t>
      </w:r>
    </w:p>
    <w:p w14:paraId="17766E37" w14:textId="77777777" w:rsidR="00055F75" w:rsidRPr="00055F75" w:rsidRDefault="00055F75" w:rsidP="0017702F">
      <w:pPr>
        <w:pStyle w:val="PermitHanging1-text"/>
        <w:numPr>
          <w:ilvl w:val="1"/>
          <w:numId w:val="39"/>
        </w:numPr>
        <w:rPr>
          <w:lang w:val="en-CA"/>
        </w:rPr>
      </w:pPr>
      <w:r w:rsidRPr="00055F75">
        <w:rPr>
          <w:lang w:val="en-CA"/>
        </w:rPr>
        <w:t>Recordkeeping</w:t>
      </w:r>
    </w:p>
    <w:p w14:paraId="356EEC07" w14:textId="77777777" w:rsidR="00055F75" w:rsidRPr="00055F75" w:rsidRDefault="00055F75" w:rsidP="0017702F">
      <w:pPr>
        <w:pStyle w:val="PermitHanging1-text"/>
        <w:ind w:left="1440"/>
        <w:rPr>
          <w:lang w:val="en-CA"/>
        </w:rPr>
      </w:pPr>
      <w:r w:rsidRPr="00055F75">
        <w:rPr>
          <w:lang w:val="en-CA"/>
        </w:rPr>
        <w:t xml:space="preserve">The permittee must keep the following records for each project site for as long as credits generated at the site is being used. These records must be made available to DEQ within 14 days of request. </w:t>
      </w:r>
    </w:p>
    <w:p w14:paraId="7B619D49" w14:textId="77777777" w:rsidR="00055F75" w:rsidRPr="00055F75" w:rsidRDefault="00055F75" w:rsidP="0017702F">
      <w:pPr>
        <w:pStyle w:val="PermitHanging1-text"/>
        <w:numPr>
          <w:ilvl w:val="4"/>
          <w:numId w:val="75"/>
        </w:numPr>
        <w:rPr>
          <w:lang w:val="en-CA"/>
        </w:rPr>
      </w:pPr>
      <w:r w:rsidRPr="00055F75">
        <w:rPr>
          <w:lang w:val="en-CA"/>
        </w:rPr>
        <w:t>Project name and address.</w:t>
      </w:r>
    </w:p>
    <w:p w14:paraId="6ADBE411" w14:textId="77777777" w:rsidR="00055F75" w:rsidRPr="00055F75" w:rsidRDefault="00055F75" w:rsidP="0017702F">
      <w:pPr>
        <w:pStyle w:val="PermitHanging1-text"/>
        <w:numPr>
          <w:ilvl w:val="4"/>
          <w:numId w:val="75"/>
        </w:numPr>
        <w:rPr>
          <w:lang w:val="en-CA"/>
        </w:rPr>
      </w:pPr>
      <w:r w:rsidRPr="00055F75">
        <w:rPr>
          <w:lang w:val="en-CA"/>
        </w:rPr>
        <w:t>General description of the project, including land ownership information, a description with latitudes and longitudes delineating the project boundary and, if applicable, the georeferenced GIS shapefile of the project boundary.</w:t>
      </w:r>
    </w:p>
    <w:p w14:paraId="10C94568" w14:textId="77777777" w:rsidR="00055F75" w:rsidRPr="00055F75" w:rsidRDefault="00055F75" w:rsidP="0017702F">
      <w:pPr>
        <w:pStyle w:val="PermitHanging1-text"/>
        <w:numPr>
          <w:ilvl w:val="4"/>
          <w:numId w:val="75"/>
        </w:numPr>
        <w:rPr>
          <w:lang w:val="en-CA"/>
        </w:rPr>
      </w:pPr>
      <w:r w:rsidRPr="00055F75">
        <w:rPr>
          <w:lang w:val="en-CA"/>
        </w:rPr>
        <w:t>Site-specific design or, for riparian restoration, a planting plan if developed.</w:t>
      </w:r>
    </w:p>
    <w:p w14:paraId="1478698C" w14:textId="77777777" w:rsidR="00055F75" w:rsidRPr="00055F75" w:rsidRDefault="00055F75" w:rsidP="0017702F">
      <w:pPr>
        <w:pStyle w:val="PermitHanging1-text"/>
        <w:numPr>
          <w:ilvl w:val="4"/>
          <w:numId w:val="75"/>
        </w:numPr>
        <w:rPr>
          <w:lang w:val="en-CA"/>
        </w:rPr>
      </w:pPr>
      <w:r w:rsidRPr="00055F75">
        <w:rPr>
          <w:lang w:val="en-CA"/>
        </w:rPr>
        <w:t>Monitoring documentation including photos.</w:t>
      </w:r>
    </w:p>
    <w:p w14:paraId="6A75CD43" w14:textId="77777777" w:rsidR="00055F75" w:rsidRPr="00055F75" w:rsidRDefault="00055F75" w:rsidP="0017702F">
      <w:pPr>
        <w:pStyle w:val="PermitHanging1-text"/>
        <w:numPr>
          <w:ilvl w:val="4"/>
          <w:numId w:val="75"/>
        </w:numPr>
        <w:rPr>
          <w:lang w:val="en-CA"/>
        </w:rPr>
      </w:pPr>
      <w:r w:rsidRPr="00055F75">
        <w:rPr>
          <w:lang w:val="en-CA"/>
        </w:rPr>
        <w:t>Name and contact information of party or parties responsible for conducting the planting and monitoring.</w:t>
      </w:r>
    </w:p>
    <w:p w14:paraId="44508664" w14:textId="77777777" w:rsidR="00055F75" w:rsidRPr="00055F75" w:rsidRDefault="00055F75" w:rsidP="0017702F">
      <w:pPr>
        <w:pStyle w:val="PermitHanging1-text"/>
        <w:numPr>
          <w:ilvl w:val="1"/>
          <w:numId w:val="39"/>
        </w:numPr>
        <w:rPr>
          <w:lang w:val="en-CA"/>
        </w:rPr>
      </w:pPr>
      <w:r w:rsidRPr="00055F75">
        <w:rPr>
          <w:lang w:val="en-CA"/>
        </w:rPr>
        <w:t>Annual Report</w:t>
      </w:r>
    </w:p>
    <w:p w14:paraId="60407840" w14:textId="77777777" w:rsidR="00055F75" w:rsidRPr="00055F75" w:rsidRDefault="00055F75" w:rsidP="0017702F">
      <w:pPr>
        <w:pStyle w:val="PermitHanging1-text"/>
        <w:numPr>
          <w:ilvl w:val="4"/>
          <w:numId w:val="76"/>
        </w:numPr>
        <w:rPr>
          <w:lang w:val="en-CA"/>
        </w:rPr>
      </w:pPr>
      <w:r w:rsidRPr="00055F75">
        <w:rPr>
          <w:lang w:val="en-CA"/>
        </w:rPr>
        <w:t>By February May 1 of each year, the permittee must submit an annual report to DEQ. The report must describe trading plan implementation and performance over the past year. The annual report must include information specific to each trading project implemented including:</w:t>
      </w:r>
    </w:p>
    <w:p w14:paraId="24522BDC" w14:textId="77777777" w:rsidR="00055F75" w:rsidRPr="00055F75" w:rsidRDefault="00055F75" w:rsidP="0017702F">
      <w:pPr>
        <w:pStyle w:val="PermitHanging1-text"/>
        <w:numPr>
          <w:ilvl w:val="4"/>
          <w:numId w:val="76"/>
        </w:numPr>
        <w:rPr>
          <w:lang w:val="en-CA"/>
        </w:rPr>
      </w:pPr>
      <w:r w:rsidRPr="00055F75">
        <w:rPr>
          <w:lang w:val="en-CA"/>
        </w:rPr>
        <w:t xml:space="preserve">The location of each trading project and best management practices implemented in the preceding year. </w:t>
      </w:r>
    </w:p>
    <w:p w14:paraId="7F694D04" w14:textId="77777777" w:rsidR="00055F75" w:rsidRPr="00055F75" w:rsidRDefault="00055F75" w:rsidP="0017702F">
      <w:pPr>
        <w:pStyle w:val="PermitHanging1-text"/>
        <w:numPr>
          <w:ilvl w:val="4"/>
          <w:numId w:val="76"/>
        </w:numPr>
        <w:rPr>
          <w:lang w:val="en-CA"/>
        </w:rPr>
      </w:pPr>
      <w:r w:rsidRPr="00055F75">
        <w:rPr>
          <w:lang w:val="en-CA"/>
        </w:rPr>
        <w:t>The trading project baseline.</w:t>
      </w:r>
    </w:p>
    <w:p w14:paraId="05BC9834" w14:textId="77777777" w:rsidR="00055F75" w:rsidRPr="00055F75" w:rsidRDefault="00055F75" w:rsidP="0017702F">
      <w:pPr>
        <w:pStyle w:val="PermitHanging1-text"/>
        <w:numPr>
          <w:ilvl w:val="4"/>
          <w:numId w:val="76"/>
        </w:numPr>
        <w:rPr>
          <w:lang w:val="en-CA"/>
        </w:rPr>
      </w:pPr>
      <w:r w:rsidRPr="00055F75">
        <w:rPr>
          <w:lang w:val="en-CA"/>
        </w:rPr>
        <w:lastRenderedPageBreak/>
        <w:t xml:space="preserve">The trading ratios used. </w:t>
      </w:r>
    </w:p>
    <w:p w14:paraId="2F27BF36" w14:textId="77777777" w:rsidR="00055F75" w:rsidRPr="00055F75" w:rsidRDefault="00055F75" w:rsidP="0017702F">
      <w:pPr>
        <w:pStyle w:val="PermitHanging1-text"/>
        <w:numPr>
          <w:ilvl w:val="4"/>
          <w:numId w:val="76"/>
        </w:numPr>
        <w:rPr>
          <w:lang w:val="en-CA"/>
        </w:rPr>
      </w:pPr>
      <w:r w:rsidRPr="00055F75">
        <w:rPr>
          <w:lang w:val="en-CA"/>
        </w:rPr>
        <w:t>Trading project monitoring results.</w:t>
      </w:r>
    </w:p>
    <w:p w14:paraId="22DF3690" w14:textId="77777777" w:rsidR="00055F75" w:rsidRPr="00055F75" w:rsidRDefault="00055F75" w:rsidP="0017702F">
      <w:pPr>
        <w:pStyle w:val="PermitHanging1-text"/>
        <w:numPr>
          <w:ilvl w:val="4"/>
          <w:numId w:val="76"/>
        </w:numPr>
        <w:rPr>
          <w:lang w:val="en-CA"/>
        </w:rPr>
      </w:pPr>
      <w:r w:rsidRPr="00055F75">
        <w:rPr>
          <w:lang w:val="en-CA"/>
        </w:rPr>
        <w:t>Verification of trading plan performance including the quantity of credits acquired from each trading project and the total quantity of credits generated under the trading plan to date.</w:t>
      </w:r>
    </w:p>
    <w:p w14:paraId="683CF1C6" w14:textId="77777777" w:rsidR="00055F75" w:rsidRPr="00055F75" w:rsidRDefault="00055F75" w:rsidP="0017702F">
      <w:pPr>
        <w:pStyle w:val="PermitHanging1-text"/>
        <w:numPr>
          <w:ilvl w:val="4"/>
          <w:numId w:val="76"/>
        </w:numPr>
        <w:rPr>
          <w:lang w:val="en-CA"/>
        </w:rPr>
      </w:pPr>
      <w:r w:rsidRPr="00055F75">
        <w:rPr>
          <w:lang w:val="en-CA"/>
        </w:rPr>
        <w:t>Funding source for each trading project.</w:t>
      </w:r>
    </w:p>
    <w:p w14:paraId="0514335E" w14:textId="77777777" w:rsidR="00055F75" w:rsidRPr="00055F75" w:rsidRDefault="00055F75" w:rsidP="0017702F">
      <w:pPr>
        <w:pStyle w:val="PermitHanging1-text"/>
        <w:numPr>
          <w:ilvl w:val="4"/>
          <w:numId w:val="76"/>
        </w:numPr>
        <w:rPr>
          <w:lang w:val="en-CA"/>
        </w:rPr>
      </w:pPr>
      <w:r w:rsidRPr="00055F75">
        <w:rPr>
          <w:lang w:val="en-CA"/>
        </w:rPr>
        <w:t>If applicable, adaptive management measures implemented under the trading plan.</w:t>
      </w:r>
    </w:p>
    <w:p w14:paraId="4CE839DA" w14:textId="02B849F3" w:rsidR="00147903" w:rsidRDefault="00147903" w:rsidP="009D5D7E">
      <w:pPr>
        <w:pStyle w:val="PermitHanging1-text"/>
        <w:ind w:left="0"/>
      </w:pPr>
      <w:bookmarkStart w:id="199" w:name="ScheduleE"/>
      <w:bookmarkStart w:id="200" w:name="_Toc302723386"/>
      <w:bookmarkStart w:id="201" w:name="_Toc306712162"/>
      <w:bookmarkStart w:id="202" w:name="_Ref451133865"/>
      <w:bookmarkStart w:id="203" w:name="_Ref373284514"/>
      <w:bookmarkStart w:id="204" w:name="_Ref373233154"/>
      <w:bookmarkEnd w:id="103"/>
      <w:bookmarkEnd w:id="199"/>
    </w:p>
    <w:p w14:paraId="1718AB5B" w14:textId="77777777" w:rsidR="00233394" w:rsidRDefault="00233394" w:rsidP="004325BE">
      <w:pPr>
        <w:pStyle w:val="PermitHanging1-text"/>
      </w:pPr>
    </w:p>
    <w:p w14:paraId="0F45844B" w14:textId="091CE1D5" w:rsidR="00233394" w:rsidRDefault="00073356" w:rsidP="009F40BD">
      <w:pPr>
        <w:pStyle w:val="PermitSchHeadingTOC"/>
        <w:numPr>
          <w:ilvl w:val="0"/>
          <w:numId w:val="3"/>
        </w:numPr>
      </w:pPr>
      <w:bookmarkStart w:id="205" w:name="ScheduleF"/>
      <w:bookmarkStart w:id="206" w:name="_Toc379545849"/>
      <w:bookmarkStart w:id="207" w:name="_Toc203135921"/>
      <w:bookmarkEnd w:id="205"/>
      <w:r>
        <w:t>SCHEDULE F: NPDES GENERAL CONDITIONS</w:t>
      </w:r>
      <w:bookmarkEnd w:id="206"/>
      <w:bookmarkEnd w:id="207"/>
    </w:p>
    <w:p w14:paraId="78F0E34C" w14:textId="4B9A1F8C" w:rsidR="00233394" w:rsidRPr="008B1626" w:rsidRDefault="00073356" w:rsidP="008F4D0A">
      <w:pPr>
        <w:pStyle w:val="PermitNormal"/>
        <w:ind w:left="720"/>
        <w:rPr>
          <w:rFonts w:ascii="Arial" w:hAnsi="Arial" w:cs="Arial"/>
          <w:sz w:val="24"/>
          <w:szCs w:val="24"/>
          <w:highlight w:val="yellow"/>
        </w:rPr>
      </w:pPr>
      <w:r w:rsidRPr="008B1626">
        <w:rPr>
          <w:rFonts w:ascii="Arial" w:hAnsi="Arial" w:cs="Arial"/>
          <w:sz w:val="24"/>
          <w:szCs w:val="24"/>
          <w:highlight w:val="yellow"/>
        </w:rPr>
        <w:t>For this Schedule to appear in the Table of Contents, do not delete the above.</w:t>
      </w:r>
      <w:r w:rsidR="00117345">
        <w:rPr>
          <w:rFonts w:ascii="Arial" w:hAnsi="Arial" w:cs="Arial"/>
          <w:sz w:val="24"/>
          <w:szCs w:val="24"/>
          <w:highlight w:val="yellow"/>
        </w:rPr>
        <w:t xml:space="preserve"> </w:t>
      </w:r>
    </w:p>
    <w:p w14:paraId="4C4CC156" w14:textId="14C4FF36" w:rsidR="00233394" w:rsidRPr="008B1626" w:rsidRDefault="00073356" w:rsidP="008F4D0A">
      <w:pPr>
        <w:pStyle w:val="PermitNormal"/>
        <w:ind w:left="720"/>
        <w:rPr>
          <w:rFonts w:ascii="Arial" w:hAnsi="Arial" w:cs="Arial"/>
          <w:sz w:val="24"/>
          <w:szCs w:val="24"/>
        </w:rPr>
      </w:pPr>
      <w:r w:rsidRPr="008B1626">
        <w:rPr>
          <w:rFonts w:ascii="Arial" w:hAnsi="Arial" w:cs="Arial"/>
          <w:sz w:val="24"/>
          <w:szCs w:val="24"/>
          <w:highlight w:val="yellow"/>
        </w:rPr>
        <w:t>Insert the appropriate version of the General conditions.</w:t>
      </w:r>
      <w:r w:rsidR="007C461A" w:rsidRPr="008B1626">
        <w:rPr>
          <w:rFonts w:ascii="Arial" w:hAnsi="Arial" w:cs="Arial"/>
          <w:sz w:val="24"/>
          <w:szCs w:val="24"/>
          <w:highlight w:val="yellow"/>
        </w:rPr>
        <w:t xml:space="preserve"> </w:t>
      </w:r>
      <w:r w:rsidRPr="008B1626">
        <w:rPr>
          <w:rFonts w:ascii="Arial" w:hAnsi="Arial" w:cs="Arial"/>
          <w:sz w:val="24"/>
          <w:szCs w:val="24"/>
          <w:highlight w:val="yellow"/>
        </w:rPr>
        <w:t xml:space="preserve">These may be found </w:t>
      </w:r>
      <w:r w:rsidR="008B1626" w:rsidRPr="008B1626">
        <w:rPr>
          <w:rFonts w:ascii="Arial" w:hAnsi="Arial" w:cs="Arial"/>
          <w:sz w:val="24"/>
          <w:szCs w:val="24"/>
          <w:highlight w:val="yellow"/>
        </w:rPr>
        <w:t xml:space="preserve">on </w:t>
      </w:r>
      <w:r w:rsidR="008D4E4E" w:rsidRPr="008B1626">
        <w:rPr>
          <w:rFonts w:ascii="Arial" w:hAnsi="Arial" w:cs="Arial"/>
          <w:sz w:val="24"/>
          <w:szCs w:val="24"/>
          <w:highlight w:val="yellow"/>
        </w:rPr>
        <w:t>SharePoint</w:t>
      </w:r>
      <w:r w:rsidRPr="008B1626">
        <w:rPr>
          <w:rFonts w:ascii="Arial" w:hAnsi="Arial" w:cs="Arial"/>
          <w:sz w:val="24"/>
          <w:szCs w:val="24"/>
          <w:highlight w:val="yellow"/>
        </w:rPr>
        <w:t>:</w:t>
      </w:r>
      <w:r w:rsidR="008E1E7D" w:rsidRPr="008B1626">
        <w:rPr>
          <w:rFonts w:ascii="Arial" w:hAnsi="Arial" w:cs="Arial"/>
          <w:sz w:val="24"/>
          <w:szCs w:val="24"/>
        </w:rPr>
        <w:t xml:space="preserve"> </w:t>
      </w:r>
    </w:p>
    <w:p w14:paraId="37A1DB48" w14:textId="28703EF1" w:rsidR="00233394" w:rsidRPr="008B1626" w:rsidRDefault="00233394" w:rsidP="008F4D0A">
      <w:pPr>
        <w:ind w:left="720"/>
        <w:rPr>
          <w:rStyle w:val="Hyperlink"/>
          <w:rFonts w:ascii="Arial" w:hAnsi="Arial" w:cs="Arial"/>
          <w:sz w:val="24"/>
          <w:szCs w:val="24"/>
          <w:u w:val="single"/>
        </w:rPr>
      </w:pPr>
    </w:p>
    <w:bookmarkEnd w:id="200"/>
    <w:bookmarkEnd w:id="201"/>
    <w:bookmarkEnd w:id="202"/>
    <w:bookmarkEnd w:id="203"/>
    <w:bookmarkEnd w:id="204"/>
    <w:p w14:paraId="4ECAE941" w14:textId="77777777" w:rsidR="00233394" w:rsidRDefault="00233394" w:rsidP="00396116">
      <w:pPr>
        <w:pStyle w:val="PermitNormal"/>
      </w:pPr>
    </w:p>
    <w:p w14:paraId="500474F3" w14:textId="34551570" w:rsidR="00233394" w:rsidRPr="00D1719B" w:rsidRDefault="00233394" w:rsidP="00695297">
      <w:pPr>
        <w:pStyle w:val="PermitNormal"/>
        <w:rPr>
          <w:sz w:val="44"/>
        </w:rPr>
      </w:pPr>
    </w:p>
    <w:sectPr w:rsidR="00233394" w:rsidRPr="00D1719B" w:rsidSect="00910864">
      <w:headerReference w:type="default" r:id="rId16"/>
      <w:footerReference w:type="default" r:id="rId17"/>
      <w:headerReference w:type="first" r:id="rId18"/>
      <w:footerReference w:type="first" r:id="rId19"/>
      <w:endnotePr>
        <w:numFmt w:val="decimal"/>
      </w:endnotePr>
      <w:type w:val="continuous"/>
      <w:pgSz w:w="12240" w:h="15840" w:code="1"/>
      <w:pgMar w:top="720" w:right="990" w:bottom="720" w:left="1152" w:header="446" w:footer="3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51E7" w14:textId="77777777" w:rsidR="004E3605" w:rsidRDefault="004E3605">
      <w:pPr>
        <w:spacing w:line="20" w:lineRule="exact"/>
      </w:pPr>
    </w:p>
  </w:endnote>
  <w:endnote w:type="continuationSeparator" w:id="0">
    <w:p w14:paraId="0A088661" w14:textId="77777777" w:rsidR="004E3605" w:rsidRDefault="004E3605">
      <w:r>
        <w:t xml:space="preserve"> </w:t>
      </w:r>
    </w:p>
  </w:endnote>
  <w:endnote w:type="continuationNotice" w:id="1">
    <w:p w14:paraId="2374CD16" w14:textId="77777777" w:rsidR="004E3605" w:rsidRDefault="004E36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917C" w14:textId="77777777" w:rsidR="003456D4" w:rsidRDefault="003456D4" w:rsidP="003456D4">
    <w:pPr>
      <w:rPr>
        <w:szCs w:val="22"/>
      </w:rPr>
    </w:pPr>
  </w:p>
  <w:p w14:paraId="5C3A3FAC" w14:textId="2E09AF95" w:rsidR="00CC5ED4" w:rsidRDefault="00CC5ED4" w:rsidP="003456D4">
    <w:r>
      <w:rPr>
        <w:szCs w:val="22"/>
      </w:rPr>
      <w:t xml:space="preserve">Revision </w:t>
    </w:r>
    <w:r w:rsidR="009D5D7E">
      <w:rPr>
        <w:szCs w:val="22"/>
      </w:rPr>
      <w:t>7</w:t>
    </w:r>
    <w:r w:rsidR="00047FF8">
      <w:rPr>
        <w:szCs w:val="22"/>
      </w:rPr>
      <w:t>.202</w:t>
    </w:r>
    <w:r w:rsidR="0055173A">
      <w:rPr>
        <w:szCs w:val="22"/>
      </w:rPr>
      <w:t>5</w:t>
    </w:r>
    <w:r w:rsidR="00B04AA4">
      <w:rPr>
        <w:szCs w:val="22"/>
      </w:rPr>
      <w:t xml:space="preserve"> </w:t>
    </w:r>
    <w:r>
      <w:rPr>
        <w:szCs w:val="22"/>
      </w:rPr>
      <w:t xml:space="preserve">Version </w:t>
    </w:r>
    <w:r w:rsidR="0055173A">
      <w:rPr>
        <w:szCs w:val="22"/>
      </w:rPr>
      <w:t>1</w:t>
    </w:r>
    <w:r w:rsidR="009D5D7E">
      <w:rPr>
        <w:szCs w:val="22"/>
      </w:rPr>
      <w:t>1</w:t>
    </w:r>
    <w:r w:rsidR="00FE0C9E">
      <w:rPr>
        <w:szCs w:val="22"/>
      </w:rPr>
      <w:t>.0</w:t>
    </w:r>
    <w:r w:rsidR="00047FF8">
      <w:rPr>
        <w:szCs w:val="22"/>
      </w:rPr>
      <w:t xml:space="preserve"> </w:t>
    </w:r>
    <w:r w:rsidRPr="00557D6F">
      <w:rPr>
        <w:szCs w:val="22"/>
        <w:highlight w:val="yellow"/>
      </w:rPr>
      <w:t>[NPDES permit template</w:t>
    </w:r>
    <w:r>
      <w:rPr>
        <w:szCs w:val="22"/>
        <w:highlight w:val="yellow"/>
      </w:rPr>
      <w:t xml:space="preserve"> – do not delete revision number</w:t>
    </w:r>
    <w:r w:rsidRPr="00557D6F">
      <w:rPr>
        <w:szCs w:val="22"/>
        <w:highlight w:val="yellow"/>
      </w:rPr>
      <w:t>]</w:t>
    </w:r>
    <w:r>
      <w:rPr>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D4B2" w14:textId="77777777" w:rsidR="00CC5ED4" w:rsidRDefault="00CC5ED4">
    <w:pPr>
      <w:pStyle w:val="Footer"/>
      <w:jc w:val="right"/>
      <w:rPr>
        <w:szCs w:val="22"/>
      </w:rPr>
    </w:pPr>
    <w:r>
      <w:rPr>
        <w:szCs w:val="22"/>
      </w:rPr>
      <w:t>NPDES permit template version 1.0 7/1/2014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0193" w14:textId="77777777" w:rsidR="004E3605" w:rsidRDefault="004E3605">
      <w:r>
        <w:separator/>
      </w:r>
    </w:p>
  </w:footnote>
  <w:footnote w:type="continuationSeparator" w:id="0">
    <w:p w14:paraId="3AE47FE2" w14:textId="77777777" w:rsidR="004E3605" w:rsidRDefault="004E3605">
      <w:r>
        <w:continuationSeparator/>
      </w:r>
    </w:p>
  </w:footnote>
  <w:footnote w:type="continuationNotice" w:id="1">
    <w:p w14:paraId="1BCE7218" w14:textId="77777777" w:rsidR="004E3605" w:rsidRDefault="004E3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7D0E" w14:textId="0766C7A6" w:rsidR="00CC5ED4" w:rsidRPr="00DF0336" w:rsidRDefault="00CC5ED4" w:rsidP="00C26470">
    <w:pPr>
      <w:pStyle w:val="PermitNormal"/>
      <w:ind w:left="6840"/>
      <w:rPr>
        <w:sz w:val="20"/>
        <w:highlight w:val="yellow"/>
      </w:rPr>
    </w:pPr>
    <w:r w:rsidRPr="00DF0336">
      <w:rPr>
        <w:sz w:val="20"/>
        <w:highlight w:val="yellow"/>
      </w:rPr>
      <w:t>Expiration Date:</w:t>
    </w:r>
    <w:r w:rsidR="008617EB" w:rsidRPr="008617EB">
      <w:rPr>
        <w:sz w:val="20"/>
      </w:rPr>
      <w:t xml:space="preserve"> DRAFT</w:t>
    </w:r>
  </w:p>
  <w:p w14:paraId="5F8F4080" w14:textId="340DF84F" w:rsidR="00CC5ED4" w:rsidRPr="00DF0336" w:rsidRDefault="00CC5ED4" w:rsidP="00C26470">
    <w:pPr>
      <w:pStyle w:val="PermitNormal"/>
      <w:ind w:left="6840"/>
      <w:rPr>
        <w:sz w:val="20"/>
        <w:highlight w:val="yellow"/>
      </w:rPr>
    </w:pPr>
    <w:r w:rsidRPr="00DF0336">
      <w:rPr>
        <w:sz w:val="20"/>
        <w:highlight w:val="yellow"/>
      </w:rPr>
      <w:t xml:space="preserve">EPA Ref. Number: </w:t>
    </w:r>
  </w:p>
  <w:p w14:paraId="15AA541B" w14:textId="63208CCE" w:rsidR="00CC5ED4" w:rsidRPr="00DF0336" w:rsidRDefault="00CC5ED4" w:rsidP="00C26470">
    <w:pPr>
      <w:pStyle w:val="PermitNormal"/>
      <w:ind w:left="6840"/>
      <w:rPr>
        <w:sz w:val="20"/>
        <w:highlight w:val="yellow"/>
      </w:rPr>
    </w:pPr>
    <w:r w:rsidRPr="00DF0336">
      <w:rPr>
        <w:sz w:val="20"/>
        <w:highlight w:val="yellow"/>
      </w:rPr>
      <w:t xml:space="preserve">Permit Number: </w:t>
    </w:r>
  </w:p>
  <w:p w14:paraId="42694EF9" w14:textId="7744A98B" w:rsidR="00CC5ED4" w:rsidRDefault="00CC5ED4" w:rsidP="00C26470">
    <w:pPr>
      <w:pStyle w:val="PermitNormal"/>
      <w:ind w:left="6840"/>
      <w:rPr>
        <w:sz w:val="20"/>
      </w:rPr>
    </w:pPr>
    <w:r w:rsidRPr="00DF0336">
      <w:rPr>
        <w:sz w:val="20"/>
        <w:highlight w:val="yellow"/>
      </w:rPr>
      <w:t>File Number:</w:t>
    </w:r>
    <w:r>
      <w:rPr>
        <w:sz w:val="20"/>
      </w:rPr>
      <w:t xml:space="preserve"> </w:t>
    </w:r>
  </w:p>
  <w:p w14:paraId="5D078504" w14:textId="04162FA8" w:rsidR="00CC5ED4" w:rsidRDefault="00CC5ED4" w:rsidP="00C26470">
    <w:pPr>
      <w:pStyle w:val="PermitNormal"/>
      <w:ind w:left="6840"/>
      <w:rPr>
        <w:sz w:val="20"/>
      </w:rPr>
    </w:pPr>
    <w:r>
      <w:rPr>
        <w:sz w:val="20"/>
      </w:rPr>
      <w:t xml:space="preserve">Page </w:t>
    </w:r>
    <w:r>
      <w:rPr>
        <w:sz w:val="20"/>
      </w:rPr>
      <w:fldChar w:fldCharType="begin"/>
    </w:r>
    <w:r>
      <w:rPr>
        <w:sz w:val="20"/>
      </w:rPr>
      <w:instrText>page \* arabic</w:instrText>
    </w:r>
    <w:r>
      <w:rPr>
        <w:sz w:val="20"/>
      </w:rPr>
      <w:fldChar w:fldCharType="separate"/>
    </w:r>
    <w:r>
      <w:rPr>
        <w:noProof/>
        <w:sz w:val="20"/>
      </w:rPr>
      <w:t>25</w:t>
    </w:r>
    <w:r>
      <w:rPr>
        <w:noProof/>
        <w:sz w:val="20"/>
      </w:rPr>
      <w:fldChar w:fldCharType="end"/>
    </w:r>
    <w:r>
      <w:rPr>
        <w:sz w:val="20"/>
      </w:rPr>
      <w:t xml:space="preserve"> of </w:t>
    </w:r>
    <w:r>
      <w:rPr>
        <w:sz w:val="20"/>
      </w:rPr>
      <w:fldChar w:fldCharType="begin"/>
    </w:r>
    <w:r>
      <w:rPr>
        <w:sz w:val="20"/>
      </w:rPr>
      <w:instrText xml:space="preserve"> NUMPAGES  \# "0" \* Arabic  \* MERGEFORMAT </w:instrText>
    </w:r>
    <w:r>
      <w:rPr>
        <w:sz w:val="20"/>
      </w:rPr>
      <w:fldChar w:fldCharType="separate"/>
    </w:r>
    <w:r>
      <w:rPr>
        <w:noProof/>
        <w:sz w:val="20"/>
      </w:rPr>
      <w:t>56</w:t>
    </w:r>
    <w:r>
      <w:rPr>
        <w:noProof/>
        <w:sz w:val="20"/>
      </w:rPr>
      <w:fldChar w:fldCharType="end"/>
    </w:r>
    <w:r>
      <w:rPr>
        <w:sz w:val="20"/>
      </w:rPr>
      <w:t xml:space="preserve"> Pages</w:t>
    </w:r>
  </w:p>
  <w:p w14:paraId="00F3A913" w14:textId="6550CDEF" w:rsidR="00CC5ED4" w:rsidRDefault="00CC5ED4" w:rsidP="00BA7801">
    <w:pPr>
      <w:pStyle w:val="PermitNormal"/>
      <w:ind w:left="7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C460" w14:textId="6260EF46" w:rsidR="00CC5ED4" w:rsidRDefault="00CC5ED4">
    <w:pPr>
      <w:pStyle w:val="PermitNormal"/>
      <w:ind w:left="7560"/>
    </w:pPr>
    <w:r>
      <w:t xml:space="preserve">Expiration Date: </w:t>
    </w:r>
  </w:p>
  <w:p w14:paraId="2CDD72AA" w14:textId="77777777" w:rsidR="00CC5ED4" w:rsidRDefault="00CC5ED4">
    <w:pPr>
      <w:pStyle w:val="PermitNormal"/>
      <w:ind w:left="7560"/>
    </w:pPr>
    <w:r>
      <w:t xml:space="preserve">Permit Number: </w:t>
    </w:r>
  </w:p>
  <w:p w14:paraId="4684AACA" w14:textId="6140A439" w:rsidR="00CC5ED4" w:rsidRDefault="00CC5ED4">
    <w:pPr>
      <w:pStyle w:val="PermitNormal"/>
      <w:ind w:left="7560"/>
    </w:pPr>
    <w:r>
      <w:t xml:space="preserve">File Number: </w:t>
    </w:r>
  </w:p>
  <w:p w14:paraId="6A98E8B6" w14:textId="54A461C8" w:rsidR="00CC5ED4" w:rsidRDefault="00CC5ED4">
    <w:pPr>
      <w:pStyle w:val="PermitNormal"/>
      <w:ind w:left="7560"/>
    </w:pPr>
    <w:r>
      <w:t xml:space="preserve">Page </w:t>
    </w:r>
    <w:r>
      <w:fldChar w:fldCharType="begin"/>
    </w:r>
    <w:r>
      <w:instrText>page \* arabic</w:instrText>
    </w:r>
    <w:r>
      <w:fldChar w:fldCharType="separate"/>
    </w:r>
    <w:r>
      <w:rPr>
        <w:noProof/>
      </w:rPr>
      <w:t>1</w:t>
    </w:r>
    <w:r>
      <w:rPr>
        <w:noProof/>
      </w:rPr>
      <w:fldChar w:fldCharType="end"/>
    </w:r>
    <w:r>
      <w:t xml:space="preserve"> of </w:t>
    </w:r>
    <w:r>
      <w:fldChar w:fldCharType="begin"/>
    </w:r>
    <w:r>
      <w:instrText xml:space="preserve"> NUMPAGES  \# "0" \* Arabic  \* MERGEFORMAT </w:instrText>
    </w:r>
    <w:r>
      <w:fldChar w:fldCharType="separate"/>
    </w:r>
    <w:r>
      <w:rPr>
        <w:noProof/>
      </w:rPr>
      <w:t>52</w:t>
    </w:r>
    <w:r>
      <w:rPr>
        <w:noProof/>
      </w:rPr>
      <w:fldChar w:fldCharType="end"/>
    </w:r>
    <w:r>
      <w:t xml:space="preserve">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707"/>
    <w:multiLevelType w:val="hybridMultilevel"/>
    <w:tmpl w:val="0492D7D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87AF6"/>
    <w:multiLevelType w:val="hybridMultilevel"/>
    <w:tmpl w:val="082A9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B1378"/>
    <w:multiLevelType w:val="hybridMultilevel"/>
    <w:tmpl w:val="2B5A9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0030D"/>
    <w:multiLevelType w:val="hybridMultilevel"/>
    <w:tmpl w:val="4D96C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E57C78"/>
    <w:multiLevelType w:val="hybridMultilevel"/>
    <w:tmpl w:val="A04AC6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06B5B"/>
    <w:multiLevelType w:val="hybridMultilevel"/>
    <w:tmpl w:val="A34E76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CD542C"/>
    <w:multiLevelType w:val="hybridMultilevel"/>
    <w:tmpl w:val="E0C21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2452D"/>
    <w:multiLevelType w:val="multilevel"/>
    <w:tmpl w:val="35624B46"/>
    <w:styleLink w:val="permittemplate"/>
    <w:lvl w:ilvl="0">
      <w:start w:val="1"/>
      <w:numFmt w:val="upperLetter"/>
      <w:suff w:val="nothing"/>
      <w:lvlText w:val="Schedule %1"/>
      <w:lvlJc w:val="center"/>
      <w:pPr>
        <w:ind w:left="0" w:firstLine="0"/>
      </w:pPr>
      <w:rPr>
        <w:rFonts w:hint="default"/>
        <w:b/>
        <w:color w:val="000000"/>
        <w:sz w:val="22"/>
        <w:szCs w:val="22"/>
      </w:rPr>
    </w:lvl>
    <w:lvl w:ilvl="1">
      <w:start w:val="1"/>
      <w:numFmt w:val="decimal"/>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8" w15:restartNumberingAfterBreak="0">
    <w:nsid w:val="1E054A75"/>
    <w:multiLevelType w:val="hybridMultilevel"/>
    <w:tmpl w:val="4668838E"/>
    <w:lvl w:ilvl="0" w:tplc="3A46F156">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F3EBB"/>
    <w:multiLevelType w:val="multilevel"/>
    <w:tmpl w:val="7834C79C"/>
    <w:lvl w:ilvl="0">
      <w:start w:val="1"/>
      <w:numFmt w:val="upperLetter"/>
      <w:suff w:val="space"/>
      <w:lvlText w:val="SCHEDULE %1"/>
      <w:lvlJc w:val="center"/>
      <w:pPr>
        <w:ind w:left="5472" w:hanging="432"/>
      </w:pPr>
      <w:rPr>
        <w:rFonts w:hint="default"/>
        <w:color w:val="auto"/>
        <w:sz w:val="22"/>
        <w:szCs w:val="22"/>
      </w:rPr>
    </w:lvl>
    <w:lvl w:ilvl="1">
      <w:start w:val="1"/>
      <w:numFmt w:val="lowerLetter"/>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10" w15:restartNumberingAfterBreak="0">
    <w:nsid w:val="20301C47"/>
    <w:multiLevelType w:val="multilevel"/>
    <w:tmpl w:val="4190A3A2"/>
    <w:styleLink w:val="permitnumbering"/>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509B5"/>
    <w:multiLevelType w:val="hybridMultilevel"/>
    <w:tmpl w:val="513AA69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4127DB0"/>
    <w:multiLevelType w:val="hybridMultilevel"/>
    <w:tmpl w:val="4DA4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41756"/>
    <w:multiLevelType w:val="hybridMultilevel"/>
    <w:tmpl w:val="07F8EFF4"/>
    <w:lvl w:ilvl="0" w:tplc="5E463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A3203"/>
    <w:multiLevelType w:val="hybridMultilevel"/>
    <w:tmpl w:val="A642B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6605D8"/>
    <w:multiLevelType w:val="hybridMultilevel"/>
    <w:tmpl w:val="C7828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6C0261"/>
    <w:multiLevelType w:val="hybridMultilevel"/>
    <w:tmpl w:val="080ADE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3D0B7A"/>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661196"/>
    <w:multiLevelType w:val="hybridMultilevel"/>
    <w:tmpl w:val="BE24D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9706A"/>
    <w:multiLevelType w:val="multilevel"/>
    <w:tmpl w:val="56E044E2"/>
    <w:lvl w:ilvl="0">
      <w:start w:val="1"/>
      <w:numFmt w:val="decimal"/>
      <w:pStyle w:val="PermitHanging1TOC"/>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0" w15:restartNumberingAfterBreak="0">
    <w:nsid w:val="31264AB9"/>
    <w:multiLevelType w:val="hybridMultilevel"/>
    <w:tmpl w:val="9B00D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A47B4A"/>
    <w:multiLevelType w:val="hybridMultilevel"/>
    <w:tmpl w:val="4D24C260"/>
    <w:lvl w:ilvl="0" w:tplc="78827D9E">
      <w:start w:val="1"/>
      <w:numFmt w:val="bullet"/>
      <w:lvlText w:val=""/>
      <w:lvlJc w:val="left"/>
      <w:pPr>
        <w:ind w:left="360" w:hanging="360"/>
      </w:pPr>
      <w:rPr>
        <w:rFonts w:ascii="Symbol" w:hAnsi="Symbol" w:hint="default"/>
      </w:rPr>
    </w:lvl>
    <w:lvl w:ilvl="1" w:tplc="7C4AC84E" w:tentative="1">
      <w:start w:val="1"/>
      <w:numFmt w:val="bullet"/>
      <w:lvlText w:val="o"/>
      <w:lvlJc w:val="left"/>
      <w:pPr>
        <w:ind w:left="1080" w:hanging="360"/>
      </w:pPr>
      <w:rPr>
        <w:rFonts w:ascii="Courier New" w:hAnsi="Courier New" w:cs="Courier New" w:hint="default"/>
      </w:rPr>
    </w:lvl>
    <w:lvl w:ilvl="2" w:tplc="CD5CD7A6" w:tentative="1">
      <w:start w:val="1"/>
      <w:numFmt w:val="bullet"/>
      <w:lvlText w:val=""/>
      <w:lvlJc w:val="left"/>
      <w:pPr>
        <w:ind w:left="1800" w:hanging="360"/>
      </w:pPr>
      <w:rPr>
        <w:rFonts w:ascii="Wingdings" w:hAnsi="Wingdings" w:hint="default"/>
      </w:rPr>
    </w:lvl>
    <w:lvl w:ilvl="3" w:tplc="B268E854" w:tentative="1">
      <w:start w:val="1"/>
      <w:numFmt w:val="bullet"/>
      <w:lvlText w:val=""/>
      <w:lvlJc w:val="left"/>
      <w:pPr>
        <w:ind w:left="2520" w:hanging="360"/>
      </w:pPr>
      <w:rPr>
        <w:rFonts w:ascii="Symbol" w:hAnsi="Symbol" w:hint="default"/>
      </w:rPr>
    </w:lvl>
    <w:lvl w:ilvl="4" w:tplc="89EEE82E" w:tentative="1">
      <w:start w:val="1"/>
      <w:numFmt w:val="bullet"/>
      <w:lvlText w:val="o"/>
      <w:lvlJc w:val="left"/>
      <w:pPr>
        <w:ind w:left="3240" w:hanging="360"/>
      </w:pPr>
      <w:rPr>
        <w:rFonts w:ascii="Courier New" w:hAnsi="Courier New" w:cs="Courier New" w:hint="default"/>
      </w:rPr>
    </w:lvl>
    <w:lvl w:ilvl="5" w:tplc="BE6A90EC" w:tentative="1">
      <w:start w:val="1"/>
      <w:numFmt w:val="bullet"/>
      <w:lvlText w:val=""/>
      <w:lvlJc w:val="left"/>
      <w:pPr>
        <w:ind w:left="3960" w:hanging="360"/>
      </w:pPr>
      <w:rPr>
        <w:rFonts w:ascii="Wingdings" w:hAnsi="Wingdings" w:hint="default"/>
      </w:rPr>
    </w:lvl>
    <w:lvl w:ilvl="6" w:tplc="26B8B164" w:tentative="1">
      <w:start w:val="1"/>
      <w:numFmt w:val="bullet"/>
      <w:lvlText w:val=""/>
      <w:lvlJc w:val="left"/>
      <w:pPr>
        <w:ind w:left="4680" w:hanging="360"/>
      </w:pPr>
      <w:rPr>
        <w:rFonts w:ascii="Symbol" w:hAnsi="Symbol" w:hint="default"/>
      </w:rPr>
    </w:lvl>
    <w:lvl w:ilvl="7" w:tplc="EA986F2A" w:tentative="1">
      <w:start w:val="1"/>
      <w:numFmt w:val="bullet"/>
      <w:lvlText w:val="o"/>
      <w:lvlJc w:val="left"/>
      <w:pPr>
        <w:ind w:left="5400" w:hanging="360"/>
      </w:pPr>
      <w:rPr>
        <w:rFonts w:ascii="Courier New" w:hAnsi="Courier New" w:cs="Courier New" w:hint="default"/>
      </w:rPr>
    </w:lvl>
    <w:lvl w:ilvl="8" w:tplc="209ED3F2" w:tentative="1">
      <w:start w:val="1"/>
      <w:numFmt w:val="bullet"/>
      <w:lvlText w:val=""/>
      <w:lvlJc w:val="left"/>
      <w:pPr>
        <w:ind w:left="6120" w:hanging="360"/>
      </w:pPr>
      <w:rPr>
        <w:rFonts w:ascii="Wingdings" w:hAnsi="Wingdings" w:hint="default"/>
      </w:rPr>
    </w:lvl>
  </w:abstractNum>
  <w:abstractNum w:abstractNumId="22" w15:restartNumberingAfterBreak="0">
    <w:nsid w:val="33AD4489"/>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8F6135"/>
    <w:multiLevelType w:val="multilevel"/>
    <w:tmpl w:val="4BB26428"/>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1800" w:hanging="360"/>
      </w:pPr>
    </w:lvl>
    <w:lvl w:ilvl="3">
      <w:start w:val="1"/>
      <w:numFmt w:val="lowerRoman"/>
      <w:lvlText w:val="%4."/>
      <w:lvlJc w:val="right"/>
      <w:pPr>
        <w:ind w:left="2520" w:hanging="360"/>
      </w:p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4" w15:restartNumberingAfterBreak="0">
    <w:nsid w:val="36E70DC4"/>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68480F"/>
    <w:multiLevelType w:val="hybridMultilevel"/>
    <w:tmpl w:val="4CEA190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39E53F5D"/>
    <w:multiLevelType w:val="hybridMultilevel"/>
    <w:tmpl w:val="0D3E4122"/>
    <w:lvl w:ilvl="0" w:tplc="158CFAFA">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5A4BA6"/>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FAB45C7"/>
    <w:multiLevelType w:val="multilevel"/>
    <w:tmpl w:val="02442AB4"/>
    <w:lvl w:ilvl="0">
      <w:start w:val="1"/>
      <w:numFmt w:val="upperLetter"/>
      <w:suff w:val="space"/>
      <w:lvlText w:val="SCHEDULE %1"/>
      <w:lvlJc w:val="center"/>
      <w:pPr>
        <w:ind w:left="5472" w:hanging="432"/>
      </w:pPr>
      <w:rPr>
        <w:rFonts w:hint="default"/>
        <w:color w:val="auto"/>
        <w:sz w:val="22"/>
        <w:szCs w:val="22"/>
      </w:rPr>
    </w:lvl>
    <w:lvl w:ilvl="1">
      <w:start w:val="1"/>
      <w:numFmt w:val="lowerLetter"/>
      <w:lvlText w:val="%2."/>
      <w:lvlJc w:val="left"/>
      <w:pPr>
        <w:tabs>
          <w:tab w:val="num" w:pos="432"/>
        </w:tabs>
        <w:ind w:left="432" w:hanging="432"/>
      </w:pPr>
      <w:rPr>
        <w:rFonts w:hint="default"/>
        <w:b w:val="0"/>
        <w:i w:val="0"/>
        <w:u w:val="none"/>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29" w15:restartNumberingAfterBreak="0">
    <w:nsid w:val="40973390"/>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F04DF8"/>
    <w:multiLevelType w:val="multilevel"/>
    <w:tmpl w:val="72C68F80"/>
    <w:lvl w:ilvl="0">
      <w:start w:val="1"/>
      <w:numFmt w:val="none"/>
      <w:pStyle w:val="PermitSchHeadingTOC"/>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pStyle w:val="PermitHanging2TOC"/>
      <w:lvlText w:val="%3."/>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3">
      <w:start w:val="1"/>
      <w:numFmt w:val="lowerLetter"/>
      <w:pStyle w:val="PermitHanging2Non-TOC"/>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pStyle w:val="PermitHanging3"/>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6E1AA5"/>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86A3B70"/>
    <w:multiLevelType w:val="hybridMultilevel"/>
    <w:tmpl w:val="D5D263D0"/>
    <w:lvl w:ilvl="0" w:tplc="D5B65B5C">
      <w:start w:val="1"/>
      <w:numFmt w:val="lowerLetter"/>
      <w:lvlText w:val="%1."/>
      <w:lvlJc w:val="left"/>
      <w:pPr>
        <w:ind w:left="360" w:hanging="360"/>
      </w:pPr>
    </w:lvl>
    <w:lvl w:ilvl="1" w:tplc="6EB0D166" w:tentative="1">
      <w:start w:val="1"/>
      <w:numFmt w:val="lowerLetter"/>
      <w:lvlText w:val="%2."/>
      <w:lvlJc w:val="left"/>
      <w:pPr>
        <w:ind w:left="1080" w:hanging="360"/>
      </w:pPr>
    </w:lvl>
    <w:lvl w:ilvl="2" w:tplc="CE0E7D56" w:tentative="1">
      <w:start w:val="1"/>
      <w:numFmt w:val="lowerRoman"/>
      <w:lvlText w:val="%3."/>
      <w:lvlJc w:val="right"/>
      <w:pPr>
        <w:ind w:left="1800" w:hanging="180"/>
      </w:pPr>
    </w:lvl>
    <w:lvl w:ilvl="3" w:tplc="F03CDF74" w:tentative="1">
      <w:start w:val="1"/>
      <w:numFmt w:val="decimal"/>
      <w:lvlText w:val="%4."/>
      <w:lvlJc w:val="left"/>
      <w:pPr>
        <w:ind w:left="2520" w:hanging="360"/>
      </w:pPr>
    </w:lvl>
    <w:lvl w:ilvl="4" w:tplc="E6ACD198" w:tentative="1">
      <w:start w:val="1"/>
      <w:numFmt w:val="lowerLetter"/>
      <w:lvlText w:val="%5."/>
      <w:lvlJc w:val="left"/>
      <w:pPr>
        <w:ind w:left="3240" w:hanging="360"/>
      </w:pPr>
    </w:lvl>
    <w:lvl w:ilvl="5" w:tplc="396AE1BC" w:tentative="1">
      <w:start w:val="1"/>
      <w:numFmt w:val="lowerRoman"/>
      <w:lvlText w:val="%6."/>
      <w:lvlJc w:val="right"/>
      <w:pPr>
        <w:ind w:left="3960" w:hanging="180"/>
      </w:pPr>
    </w:lvl>
    <w:lvl w:ilvl="6" w:tplc="A08C8440" w:tentative="1">
      <w:start w:val="1"/>
      <w:numFmt w:val="decimal"/>
      <w:lvlText w:val="%7."/>
      <w:lvlJc w:val="left"/>
      <w:pPr>
        <w:ind w:left="4680" w:hanging="360"/>
      </w:pPr>
    </w:lvl>
    <w:lvl w:ilvl="7" w:tplc="239A4D40" w:tentative="1">
      <w:start w:val="1"/>
      <w:numFmt w:val="lowerLetter"/>
      <w:lvlText w:val="%8."/>
      <w:lvlJc w:val="left"/>
      <w:pPr>
        <w:ind w:left="5400" w:hanging="360"/>
      </w:pPr>
    </w:lvl>
    <w:lvl w:ilvl="8" w:tplc="1F1265D8" w:tentative="1">
      <w:start w:val="1"/>
      <w:numFmt w:val="lowerRoman"/>
      <w:lvlText w:val="%9."/>
      <w:lvlJc w:val="right"/>
      <w:pPr>
        <w:ind w:left="6120" w:hanging="180"/>
      </w:pPr>
    </w:lvl>
  </w:abstractNum>
  <w:abstractNum w:abstractNumId="33" w15:restartNumberingAfterBreak="0">
    <w:nsid w:val="48F948F4"/>
    <w:multiLevelType w:val="multilevel"/>
    <w:tmpl w:val="348C3B0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decimal"/>
      <w:pStyle w:val="PermitHanging4"/>
      <w:lvlText w:val="(%6)"/>
      <w:lvlJc w:val="left"/>
      <w:pPr>
        <w:tabs>
          <w:tab w:val="num" w:pos="2880"/>
        </w:tabs>
        <w:ind w:left="2880" w:hanging="720"/>
      </w:pPr>
      <w:rPr>
        <w:rFonts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9CF3D78"/>
    <w:multiLevelType w:val="multilevel"/>
    <w:tmpl w:val="1A1E5DF8"/>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3D6791"/>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2F17C1"/>
    <w:multiLevelType w:val="hybridMultilevel"/>
    <w:tmpl w:val="0C8248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C45F5D"/>
    <w:multiLevelType w:val="hybridMultilevel"/>
    <w:tmpl w:val="8794C498"/>
    <w:lvl w:ilvl="0" w:tplc="1ECCD598">
      <w:start w:val="1"/>
      <w:numFmt w:val="bullet"/>
      <w:lvlText w:val=""/>
      <w:lvlJc w:val="left"/>
      <w:pPr>
        <w:ind w:left="360" w:hanging="360"/>
      </w:pPr>
      <w:rPr>
        <w:rFonts w:ascii="Symbol" w:hAnsi="Symbol" w:hint="default"/>
      </w:rPr>
    </w:lvl>
    <w:lvl w:ilvl="1" w:tplc="A80C4AAA" w:tentative="1">
      <w:start w:val="1"/>
      <w:numFmt w:val="bullet"/>
      <w:lvlText w:val="o"/>
      <w:lvlJc w:val="left"/>
      <w:pPr>
        <w:ind w:left="1080" w:hanging="360"/>
      </w:pPr>
      <w:rPr>
        <w:rFonts w:ascii="Courier New" w:hAnsi="Courier New" w:cs="Courier New" w:hint="default"/>
      </w:rPr>
    </w:lvl>
    <w:lvl w:ilvl="2" w:tplc="C7A2352A" w:tentative="1">
      <w:start w:val="1"/>
      <w:numFmt w:val="bullet"/>
      <w:lvlText w:val=""/>
      <w:lvlJc w:val="left"/>
      <w:pPr>
        <w:ind w:left="1800" w:hanging="360"/>
      </w:pPr>
      <w:rPr>
        <w:rFonts w:ascii="Wingdings" w:hAnsi="Wingdings" w:hint="default"/>
      </w:rPr>
    </w:lvl>
    <w:lvl w:ilvl="3" w:tplc="0F7C4CAC" w:tentative="1">
      <w:start w:val="1"/>
      <w:numFmt w:val="bullet"/>
      <w:lvlText w:val=""/>
      <w:lvlJc w:val="left"/>
      <w:pPr>
        <w:ind w:left="2520" w:hanging="360"/>
      </w:pPr>
      <w:rPr>
        <w:rFonts w:ascii="Symbol" w:hAnsi="Symbol" w:hint="default"/>
      </w:rPr>
    </w:lvl>
    <w:lvl w:ilvl="4" w:tplc="DC80AD68" w:tentative="1">
      <w:start w:val="1"/>
      <w:numFmt w:val="bullet"/>
      <w:lvlText w:val="o"/>
      <w:lvlJc w:val="left"/>
      <w:pPr>
        <w:ind w:left="3240" w:hanging="360"/>
      </w:pPr>
      <w:rPr>
        <w:rFonts w:ascii="Courier New" w:hAnsi="Courier New" w:cs="Courier New" w:hint="default"/>
      </w:rPr>
    </w:lvl>
    <w:lvl w:ilvl="5" w:tplc="E4008474" w:tentative="1">
      <w:start w:val="1"/>
      <w:numFmt w:val="bullet"/>
      <w:lvlText w:val=""/>
      <w:lvlJc w:val="left"/>
      <w:pPr>
        <w:ind w:left="3960" w:hanging="360"/>
      </w:pPr>
      <w:rPr>
        <w:rFonts w:ascii="Wingdings" w:hAnsi="Wingdings" w:hint="default"/>
      </w:rPr>
    </w:lvl>
    <w:lvl w:ilvl="6" w:tplc="B5FE796A" w:tentative="1">
      <w:start w:val="1"/>
      <w:numFmt w:val="bullet"/>
      <w:lvlText w:val=""/>
      <w:lvlJc w:val="left"/>
      <w:pPr>
        <w:ind w:left="4680" w:hanging="360"/>
      </w:pPr>
      <w:rPr>
        <w:rFonts w:ascii="Symbol" w:hAnsi="Symbol" w:hint="default"/>
      </w:rPr>
    </w:lvl>
    <w:lvl w:ilvl="7" w:tplc="4D2AC394" w:tentative="1">
      <w:start w:val="1"/>
      <w:numFmt w:val="bullet"/>
      <w:lvlText w:val="o"/>
      <w:lvlJc w:val="left"/>
      <w:pPr>
        <w:ind w:left="5400" w:hanging="360"/>
      </w:pPr>
      <w:rPr>
        <w:rFonts w:ascii="Courier New" w:hAnsi="Courier New" w:cs="Courier New" w:hint="default"/>
      </w:rPr>
    </w:lvl>
    <w:lvl w:ilvl="8" w:tplc="9A485702" w:tentative="1">
      <w:start w:val="1"/>
      <w:numFmt w:val="bullet"/>
      <w:lvlText w:val=""/>
      <w:lvlJc w:val="left"/>
      <w:pPr>
        <w:ind w:left="6120" w:hanging="360"/>
      </w:pPr>
      <w:rPr>
        <w:rFonts w:ascii="Wingdings" w:hAnsi="Wingdings" w:hint="default"/>
      </w:rPr>
    </w:lvl>
  </w:abstractNum>
  <w:abstractNum w:abstractNumId="38" w15:restartNumberingAfterBreak="0">
    <w:nsid w:val="52B06CE2"/>
    <w:multiLevelType w:val="hybridMultilevel"/>
    <w:tmpl w:val="4B9AA354"/>
    <w:lvl w:ilvl="0" w:tplc="6FC67860">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9" w15:restartNumberingAfterBreak="0">
    <w:nsid w:val="52C21768"/>
    <w:multiLevelType w:val="hybridMultilevel"/>
    <w:tmpl w:val="6346F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2DF03DF"/>
    <w:multiLevelType w:val="hybridMultilevel"/>
    <w:tmpl w:val="4150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2363CA"/>
    <w:multiLevelType w:val="hybridMultilevel"/>
    <w:tmpl w:val="2C8C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57523A69"/>
    <w:multiLevelType w:val="hybridMultilevel"/>
    <w:tmpl w:val="D0E69086"/>
    <w:lvl w:ilvl="0" w:tplc="30090019">
      <w:start w:val="1"/>
      <w:numFmt w:val="lowerLetter"/>
      <w:lvlText w:val="%1."/>
      <w:lvlJc w:val="left"/>
      <w:pPr>
        <w:ind w:left="12600" w:hanging="360"/>
      </w:pPr>
      <w:rPr>
        <w:rFonts w:hint="default"/>
      </w:rPr>
    </w:lvl>
    <w:lvl w:ilvl="1" w:tplc="30090019" w:tentative="1">
      <w:start w:val="1"/>
      <w:numFmt w:val="lowerLetter"/>
      <w:lvlText w:val="%2."/>
      <w:lvlJc w:val="left"/>
      <w:pPr>
        <w:ind w:left="13320" w:hanging="360"/>
      </w:pPr>
    </w:lvl>
    <w:lvl w:ilvl="2" w:tplc="3009001B" w:tentative="1">
      <w:start w:val="1"/>
      <w:numFmt w:val="lowerRoman"/>
      <w:lvlText w:val="%3."/>
      <w:lvlJc w:val="right"/>
      <w:pPr>
        <w:ind w:left="14040" w:hanging="180"/>
      </w:pPr>
    </w:lvl>
    <w:lvl w:ilvl="3" w:tplc="3009000F" w:tentative="1">
      <w:start w:val="1"/>
      <w:numFmt w:val="decimal"/>
      <w:lvlText w:val="%4."/>
      <w:lvlJc w:val="left"/>
      <w:pPr>
        <w:ind w:left="14760" w:hanging="360"/>
      </w:pPr>
    </w:lvl>
    <w:lvl w:ilvl="4" w:tplc="30090019" w:tentative="1">
      <w:start w:val="1"/>
      <w:numFmt w:val="lowerLetter"/>
      <w:lvlText w:val="%5."/>
      <w:lvlJc w:val="left"/>
      <w:pPr>
        <w:ind w:left="15480" w:hanging="360"/>
      </w:pPr>
    </w:lvl>
    <w:lvl w:ilvl="5" w:tplc="3009001B" w:tentative="1">
      <w:start w:val="1"/>
      <w:numFmt w:val="lowerRoman"/>
      <w:lvlText w:val="%6."/>
      <w:lvlJc w:val="right"/>
      <w:pPr>
        <w:ind w:left="16200" w:hanging="180"/>
      </w:pPr>
    </w:lvl>
    <w:lvl w:ilvl="6" w:tplc="3009000F" w:tentative="1">
      <w:start w:val="1"/>
      <w:numFmt w:val="decimal"/>
      <w:lvlText w:val="%7."/>
      <w:lvlJc w:val="left"/>
      <w:pPr>
        <w:ind w:left="16920" w:hanging="360"/>
      </w:pPr>
    </w:lvl>
    <w:lvl w:ilvl="7" w:tplc="30090019" w:tentative="1">
      <w:start w:val="1"/>
      <w:numFmt w:val="lowerLetter"/>
      <w:lvlText w:val="%8."/>
      <w:lvlJc w:val="left"/>
      <w:pPr>
        <w:ind w:left="17640" w:hanging="360"/>
      </w:pPr>
    </w:lvl>
    <w:lvl w:ilvl="8" w:tplc="3009001B" w:tentative="1">
      <w:start w:val="1"/>
      <w:numFmt w:val="lowerRoman"/>
      <w:lvlText w:val="%9."/>
      <w:lvlJc w:val="right"/>
      <w:pPr>
        <w:ind w:left="18360" w:hanging="180"/>
      </w:pPr>
    </w:lvl>
  </w:abstractNum>
  <w:abstractNum w:abstractNumId="43" w15:restartNumberingAfterBreak="0">
    <w:nsid w:val="5CF02F6A"/>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17214DE"/>
    <w:multiLevelType w:val="hybridMultilevel"/>
    <w:tmpl w:val="8B0A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343B7D"/>
    <w:multiLevelType w:val="hybridMultilevel"/>
    <w:tmpl w:val="0B2E29FE"/>
    <w:lvl w:ilvl="0" w:tplc="0409000F">
      <w:start w:val="1"/>
      <w:numFmt w:val="lowerLetter"/>
      <w:pStyle w:val="Style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3C37D04"/>
    <w:multiLevelType w:val="hybridMultilevel"/>
    <w:tmpl w:val="8340AD0A"/>
    <w:lvl w:ilvl="0" w:tplc="0409000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7" w15:restartNumberingAfterBreak="0">
    <w:nsid w:val="66C01B55"/>
    <w:multiLevelType w:val="singleLevel"/>
    <w:tmpl w:val="86667BBC"/>
    <w:lvl w:ilvl="0">
      <w:start w:val="1"/>
      <w:numFmt w:val="bullet"/>
      <w:pStyle w:val="BullettedEnd"/>
      <w:lvlText w:val=""/>
      <w:lvlJc w:val="left"/>
      <w:pPr>
        <w:tabs>
          <w:tab w:val="num" w:pos="360"/>
        </w:tabs>
        <w:ind w:left="360" w:hanging="360"/>
      </w:pPr>
      <w:rPr>
        <w:rFonts w:ascii="Symbol" w:hAnsi="Symbol" w:hint="default"/>
      </w:rPr>
    </w:lvl>
  </w:abstractNum>
  <w:abstractNum w:abstractNumId="48" w15:restartNumberingAfterBreak="0">
    <w:nsid w:val="697F7C21"/>
    <w:multiLevelType w:val="hybridMultilevel"/>
    <w:tmpl w:val="BA6C6954"/>
    <w:lvl w:ilvl="0" w:tplc="04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9" w15:restartNumberingAfterBreak="0">
    <w:nsid w:val="70F24466"/>
    <w:multiLevelType w:val="hybridMultilevel"/>
    <w:tmpl w:val="8C8EC4C4"/>
    <w:lvl w:ilvl="0" w:tplc="6FC6786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DF4731"/>
    <w:multiLevelType w:val="multilevel"/>
    <w:tmpl w:val="9D2E984C"/>
    <w:lvl w:ilvl="0">
      <w:start w:val="1"/>
      <w:numFmt w:val="upperLetter"/>
      <w:suff w:val="space"/>
      <w:lvlText w:val="SCHEDULE %1"/>
      <w:lvlJc w:val="center"/>
      <w:pPr>
        <w:ind w:left="5472" w:hanging="432"/>
      </w:pPr>
      <w:rPr>
        <w:rFonts w:hint="default"/>
        <w:color w:val="auto"/>
        <w:sz w:val="22"/>
        <w:szCs w:val="22"/>
      </w:rPr>
    </w:lvl>
    <w:lvl w:ilvl="1">
      <w:start w:val="6"/>
      <w:numFmt w:val="lowerLetter"/>
      <w:lvlText w:val="%2."/>
      <w:lvlJc w:val="left"/>
      <w:pPr>
        <w:tabs>
          <w:tab w:val="num" w:pos="432"/>
        </w:tabs>
        <w:ind w:left="432" w:hanging="432"/>
      </w:pPr>
      <w:rPr>
        <w:rFonts w:hint="default"/>
        <w:b w:val="0"/>
        <w:i w:val="0"/>
        <w:u w:val="none"/>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51" w15:restartNumberingAfterBreak="0">
    <w:nsid w:val="72F15878"/>
    <w:multiLevelType w:val="hybridMultilevel"/>
    <w:tmpl w:val="5C0CA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4BC2C99"/>
    <w:multiLevelType w:val="hybridMultilevel"/>
    <w:tmpl w:val="D5D263D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537204D"/>
    <w:multiLevelType w:val="hybridMultilevel"/>
    <w:tmpl w:val="B0D8D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7827714"/>
    <w:multiLevelType w:val="hybridMultilevel"/>
    <w:tmpl w:val="0E3453B2"/>
    <w:lvl w:ilvl="0" w:tplc="DCDA4574">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7C91C6D"/>
    <w:multiLevelType w:val="singleLevel"/>
    <w:tmpl w:val="AF20EC7A"/>
    <w:lvl w:ilvl="0">
      <w:start w:val="1"/>
      <w:numFmt w:val="bullet"/>
      <w:pStyle w:val="BullettedBody"/>
      <w:lvlText w:val=""/>
      <w:lvlJc w:val="left"/>
      <w:pPr>
        <w:tabs>
          <w:tab w:val="num" w:pos="360"/>
        </w:tabs>
        <w:ind w:left="360" w:hanging="360"/>
      </w:pPr>
      <w:rPr>
        <w:rFonts w:ascii="Symbol" w:hAnsi="Symbol" w:hint="default"/>
      </w:rPr>
    </w:lvl>
  </w:abstractNum>
  <w:abstractNum w:abstractNumId="56" w15:restartNumberingAfterBreak="0">
    <w:nsid w:val="78842061"/>
    <w:multiLevelType w:val="hybridMultilevel"/>
    <w:tmpl w:val="B83C6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9EF18CF"/>
    <w:multiLevelType w:val="hybridMultilevel"/>
    <w:tmpl w:val="FBD22A7E"/>
    <w:lvl w:ilvl="0" w:tplc="04090019">
      <w:start w:val="1"/>
      <w:numFmt w:val="lowerLetter"/>
      <w:lvlText w:val="%1."/>
      <w:lvlJc w:val="left"/>
      <w:pPr>
        <w:ind w:left="1080" w:hanging="360"/>
      </w:pPr>
    </w:lvl>
    <w:lvl w:ilvl="1" w:tplc="04090019">
      <w:start w:val="1"/>
      <w:numFmt w:val="decimal"/>
      <w:pStyle w:val="Level3"/>
      <w:lvlText w:val="(%2)"/>
      <w:lvlJc w:val="left"/>
      <w:pPr>
        <w:ind w:left="1620" w:hanging="360"/>
      </w:pPr>
      <w:rPr>
        <w:rFonts w:ascii="Times New Roman" w:eastAsia="Times New Roman" w:hAnsi="Times New Roman" w:cs="Times New Roman"/>
      </w:rPr>
    </w:lvl>
    <w:lvl w:ilvl="2" w:tplc="0409001B">
      <w:start w:val="1"/>
      <w:numFmt w:val="lowerRoman"/>
      <w:pStyle w:val="Level4"/>
      <w:lvlText w:val="%3."/>
      <w:lvlJc w:val="right"/>
      <w:pPr>
        <w:ind w:left="1548" w:hanging="288"/>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left"/>
      <w:pPr>
        <w:ind w:left="4860" w:hanging="360"/>
      </w:pPr>
      <w:rPr>
        <w:rFonts w:ascii="Times New Roman" w:eastAsia="Times New Roman" w:hAnsi="Times New Roman" w:cs="Times New Roman"/>
      </w:rPr>
    </w:lvl>
    <w:lvl w:ilvl="6" w:tplc="0409000F">
      <w:start w:val="2"/>
      <w:numFmt w:val="decimal"/>
      <w:lvlText w:val="%7"/>
      <w:lvlJc w:val="left"/>
      <w:pPr>
        <w:ind w:left="5400" w:hanging="360"/>
      </w:pPr>
      <w:rPr>
        <w:rFonts w:hint="default"/>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A362B6A"/>
    <w:multiLevelType w:val="multilevel"/>
    <w:tmpl w:val="D47A07B4"/>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lowerRoman"/>
      <w:lvlText w:val="%4."/>
      <w:lvlJc w:val="right"/>
      <w:pPr>
        <w:ind w:left="2520" w:hanging="360"/>
      </w:p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59" w15:restartNumberingAfterBreak="0">
    <w:nsid w:val="7AE27362"/>
    <w:multiLevelType w:val="hybridMultilevel"/>
    <w:tmpl w:val="6E588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B4E3A12"/>
    <w:multiLevelType w:val="hybridMultilevel"/>
    <w:tmpl w:val="0EF2CCC2"/>
    <w:lvl w:ilvl="0" w:tplc="768426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EAA0621"/>
    <w:multiLevelType w:val="multilevel"/>
    <w:tmpl w:val="4190A3A2"/>
    <w:lvl w:ilvl="0">
      <w:start w:val="1"/>
      <w:numFmt w:val="none"/>
      <w:lvlText w:val="%1"/>
      <w:lvlJc w:val="left"/>
      <w:pPr>
        <w:ind w:left="0" w:firstLine="0"/>
      </w:pPr>
      <w:rPr>
        <w:rFonts w:hint="default"/>
      </w:rPr>
    </w:lvl>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ED63334"/>
    <w:multiLevelType w:val="hybridMultilevel"/>
    <w:tmpl w:val="1C74EE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FD32560"/>
    <w:multiLevelType w:val="hybridMultilevel"/>
    <w:tmpl w:val="2974C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7382844">
    <w:abstractNumId w:val="47"/>
  </w:num>
  <w:num w:numId="2" w16cid:durableId="463357360">
    <w:abstractNumId w:val="55"/>
  </w:num>
  <w:num w:numId="3" w16cid:durableId="856232956">
    <w:abstractNumId w:val="10"/>
    <w:lvlOverride w:ilvl="0">
      <w:lvl w:ilvl="0">
        <w:start w:val="1"/>
        <w:numFmt w:val="none"/>
        <w:lvlText w:val="%1"/>
        <w:lvlJc w:val="left"/>
        <w:pPr>
          <w:ind w:left="0" w:firstLine="0"/>
        </w:pPr>
        <w:rPr>
          <w:rFonts w:hint="default"/>
        </w:rPr>
      </w:lvl>
    </w:lvlOverride>
    <w:lvlOverride w:ilvl="1">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Override>
    <w:lvlOverride w:ilvl="2">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Override>
    <w:lvlOverride w:ilvl="3">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4">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Override>
    <w:lvlOverride w:ilvl="5">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60520962">
    <w:abstractNumId w:val="7"/>
  </w:num>
  <w:num w:numId="5" w16cid:durableId="1346437568">
    <w:abstractNumId w:val="21"/>
  </w:num>
  <w:num w:numId="6" w16cid:durableId="1331059763">
    <w:abstractNumId w:val="46"/>
  </w:num>
  <w:num w:numId="7" w16cid:durableId="1885361840">
    <w:abstractNumId w:val="3"/>
  </w:num>
  <w:num w:numId="8" w16cid:durableId="1965425549">
    <w:abstractNumId w:val="37"/>
  </w:num>
  <w:num w:numId="9" w16cid:durableId="1659459637">
    <w:abstractNumId w:val="38"/>
  </w:num>
  <w:num w:numId="10" w16cid:durableId="920602755">
    <w:abstractNumId w:val="4"/>
  </w:num>
  <w:num w:numId="11" w16cid:durableId="775760150">
    <w:abstractNumId w:val="5"/>
  </w:num>
  <w:num w:numId="12" w16cid:durableId="941573781">
    <w:abstractNumId w:val="0"/>
  </w:num>
  <w:num w:numId="13" w16cid:durableId="1726174375">
    <w:abstractNumId w:val="32"/>
  </w:num>
  <w:num w:numId="14" w16cid:durableId="1635985441">
    <w:abstractNumId w:val="49"/>
  </w:num>
  <w:num w:numId="15" w16cid:durableId="342048988">
    <w:abstractNumId w:val="9"/>
  </w:num>
  <w:num w:numId="16" w16cid:durableId="177428959">
    <w:abstractNumId w:val="50"/>
  </w:num>
  <w:num w:numId="17" w16cid:durableId="598829013">
    <w:abstractNumId w:val="57"/>
  </w:num>
  <w:num w:numId="18" w16cid:durableId="844517866">
    <w:abstractNumId w:val="45"/>
  </w:num>
  <w:num w:numId="19" w16cid:durableId="460534756">
    <w:abstractNumId w:val="62"/>
  </w:num>
  <w:num w:numId="20" w16cid:durableId="283999756">
    <w:abstractNumId w:val="60"/>
  </w:num>
  <w:num w:numId="21" w16cid:durableId="505556282">
    <w:abstractNumId w:val="10"/>
  </w:num>
  <w:num w:numId="22" w16cid:durableId="1530488824">
    <w:abstractNumId w:val="10"/>
    <w:lvlOverride w:ilvl="0">
      <w:startOverride w:val="1"/>
      <w:lvl w:ilvl="0">
        <w:start w:val="1"/>
        <w:numFmt w:val="none"/>
        <w:lvlText w:val="%1"/>
        <w:lvlJc w:val="left"/>
        <w:pPr>
          <w:ind w:left="0" w:firstLine="0"/>
        </w:pPr>
        <w:rPr>
          <w:rFonts w:hint="default"/>
        </w:rPr>
      </w:lvl>
    </w:lvlOverride>
    <w:lvlOverride w:ilvl="1">
      <w:startOverride w:val="1"/>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Override>
    <w:lvlOverride w:ilvl="2">
      <w:startOverride w:val="1"/>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Override>
    <w:lvlOverride w:ilvl="3">
      <w:startOverride w:val="1"/>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4">
      <w:startOverride w:val="1"/>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Override>
    <w:lvlOverride w:ilvl="5">
      <w:startOverride w:val="1"/>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761685904">
    <w:abstractNumId w:val="10"/>
    <w:lvlOverride w:ilvl="0">
      <w:startOverride w:val="1"/>
      <w:lvl w:ilvl="0">
        <w:start w:val="1"/>
        <w:numFmt w:val="none"/>
        <w:lvlText w:val="%1"/>
        <w:lvlJc w:val="left"/>
        <w:pPr>
          <w:ind w:left="0" w:firstLine="0"/>
        </w:pPr>
        <w:rPr>
          <w:rFonts w:hint="default"/>
        </w:rPr>
      </w:lvl>
    </w:lvlOverride>
    <w:lvlOverride w:ilvl="1">
      <w:startOverride w:val="1"/>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Override>
    <w:lvlOverride w:ilvl="2">
      <w:startOverride w:val="1"/>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Override>
    <w:lvlOverride w:ilvl="3">
      <w:startOverride w:val="1"/>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4">
      <w:startOverride w:val="1"/>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Override>
    <w:lvlOverride w:ilvl="5">
      <w:startOverride w:val="1"/>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1877698385">
    <w:abstractNumId w:val="10"/>
    <w:lvlOverride w:ilvl="0">
      <w:startOverride w:val="1"/>
      <w:lvl w:ilvl="0">
        <w:start w:val="1"/>
        <w:numFmt w:val="none"/>
        <w:lvlText w:val="%1"/>
        <w:lvlJc w:val="left"/>
        <w:pPr>
          <w:ind w:left="0" w:firstLine="0"/>
        </w:pPr>
        <w:rPr>
          <w:rFonts w:hint="default"/>
        </w:rPr>
      </w:lvl>
    </w:lvlOverride>
    <w:lvlOverride w:ilvl="1">
      <w:startOverride w:val="1"/>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Override>
    <w:lvlOverride w:ilvl="2">
      <w:startOverride w:val="1"/>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Override>
    <w:lvlOverride w:ilvl="3">
      <w:startOverride w:val="1"/>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4">
      <w:startOverride w:val="1"/>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Override>
    <w:lvlOverride w:ilvl="5">
      <w:startOverride w:val="1"/>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1123158488">
    <w:abstractNumId w:val="33"/>
  </w:num>
  <w:num w:numId="26" w16cid:durableId="1637176372">
    <w:abstractNumId w:val="10"/>
    <w:lvlOverride w:ilvl="0">
      <w:startOverride w:val="1"/>
      <w:lvl w:ilvl="0">
        <w:start w:val="1"/>
        <w:numFmt w:val="none"/>
        <w:lvlText w:val="%1"/>
        <w:lvlJc w:val="left"/>
        <w:pPr>
          <w:ind w:left="0" w:firstLine="0"/>
        </w:pPr>
        <w:rPr>
          <w:rFonts w:hint="default"/>
        </w:rPr>
      </w:lvl>
    </w:lvlOverride>
    <w:lvlOverride w:ilvl="1">
      <w:startOverride w:val="1"/>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Override>
    <w:lvlOverride w:ilvl="2">
      <w:startOverride w:val="1"/>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Override>
    <w:lvlOverride w:ilvl="3">
      <w:startOverride w:val="1"/>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4">
      <w:startOverride w:val="1"/>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Override>
    <w:lvlOverride w:ilvl="5">
      <w:startOverride w:val="1"/>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804850973">
    <w:abstractNumId w:val="16"/>
  </w:num>
  <w:num w:numId="28" w16cid:durableId="1863326306">
    <w:abstractNumId w:val="48"/>
  </w:num>
  <w:num w:numId="29" w16cid:durableId="634483044">
    <w:abstractNumId w:val="28"/>
  </w:num>
  <w:num w:numId="30" w16cid:durableId="882520223">
    <w:abstractNumId w:val="42"/>
  </w:num>
  <w:num w:numId="31" w16cid:durableId="2091654640">
    <w:abstractNumId w:val="44"/>
  </w:num>
  <w:num w:numId="32" w16cid:durableId="759180993">
    <w:abstractNumId w:val="18"/>
  </w:num>
  <w:num w:numId="33" w16cid:durableId="263610357">
    <w:abstractNumId w:val="54"/>
  </w:num>
  <w:num w:numId="34" w16cid:durableId="656109354">
    <w:abstractNumId w:val="34"/>
  </w:num>
  <w:num w:numId="35" w16cid:durableId="1809931806">
    <w:abstractNumId w:val="13"/>
  </w:num>
  <w:num w:numId="36" w16cid:durableId="485098685">
    <w:abstractNumId w:val="10"/>
    <w:lvlOverride w:ilvl="0">
      <w:startOverride w:val="1"/>
      <w:lvl w:ilvl="0">
        <w:start w:val="1"/>
        <w:numFmt w:val="none"/>
        <w:lvlText w:val="%1"/>
        <w:lvlJc w:val="left"/>
        <w:pPr>
          <w:ind w:left="0" w:firstLine="0"/>
        </w:pPr>
        <w:rPr>
          <w:rFonts w:hint="default"/>
        </w:rPr>
      </w:lvl>
    </w:lvlOverride>
    <w:lvlOverride w:ilvl="1">
      <w:startOverride w:val="1"/>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Override>
    <w:lvlOverride w:ilvl="2">
      <w:startOverride w:val="1"/>
      <w:lvl w:ilvl="2">
        <w:start w:val="1"/>
        <w:numFmt w:val="lowerLetter"/>
        <w:lvlText w:val="%3."/>
        <w:lvlJc w:val="left"/>
        <w:pPr>
          <w:tabs>
            <w:tab w:val="num" w:pos="1440"/>
          </w:tabs>
          <w:ind w:left="1440" w:hanging="720"/>
        </w:pPr>
        <w:rPr>
          <w:rFonts w:ascii="Times New Roman" w:hAnsi="Times New Roman" w:hint="default"/>
          <w:b/>
          <w:i w:val="0"/>
          <w:caps w:val="0"/>
          <w:strike w:val="0"/>
          <w:dstrike w:val="0"/>
          <w:vanish w:val="0"/>
          <w:sz w:val="22"/>
          <w:vertAlign w:val="baseline"/>
        </w:rPr>
      </w:lvl>
    </w:lvlOverride>
    <w:lvlOverride w:ilvl="3">
      <w:startOverride w:val="1"/>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4">
      <w:startOverride w:val="1"/>
      <w:lvl w:ilvl="4">
        <w:start w:val="1"/>
        <w:numFmt w:val="lowerRoman"/>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Override>
    <w:lvlOverride w:ilvl="5">
      <w:startOverride w:val="1"/>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2131509403">
    <w:abstractNumId w:val="25"/>
  </w:num>
  <w:num w:numId="38" w16cid:durableId="710228266">
    <w:abstractNumId w:val="11"/>
  </w:num>
  <w:num w:numId="39" w16cid:durableId="1507135980">
    <w:abstractNumId w:val="19"/>
  </w:num>
  <w:num w:numId="40" w16cid:durableId="1553228658">
    <w:abstractNumId w:val="30"/>
  </w:num>
  <w:num w:numId="41" w16cid:durableId="1440829552">
    <w:abstractNumId w:val="30"/>
    <w:lvlOverride w:ilvl="0">
      <w:startOverride w:val="1"/>
      <w:lvl w:ilvl="0">
        <w:start w:val="1"/>
        <w:numFmt w:val="none"/>
        <w:pStyle w:val="PermitSchHeadingTOC"/>
        <w:lvlText w:val="%1"/>
        <w:lvlJc w:val="left"/>
        <w:pPr>
          <w:ind w:left="0" w:firstLine="0"/>
        </w:pPr>
        <w:rPr>
          <w:rFonts w:hint="default"/>
        </w:rPr>
      </w:lvl>
    </w:lvlOverride>
    <w:lvlOverride w:ilvl="1">
      <w:startOverride w:val="1"/>
      <w:lvl w:ilvl="1">
        <w:start w:val="1"/>
        <w:numFmt w:val="decimal"/>
        <w:lvlText w:val="%2."/>
        <w:lvlJc w:val="left"/>
        <w:pPr>
          <w:tabs>
            <w:tab w:val="num" w:pos="720"/>
          </w:tabs>
          <w:ind w:left="720" w:hanging="720"/>
        </w:pPr>
        <w:rPr>
          <w:rFonts w:ascii="Times New Roman" w:hAnsi="Times New Roman" w:hint="default"/>
          <w:b/>
          <w:i w:val="0"/>
          <w:caps w:val="0"/>
          <w:strike w:val="0"/>
          <w:dstrike w:val="0"/>
          <w:vanish w:val="0"/>
          <w:sz w:val="22"/>
          <w:vertAlign w:val="baseline"/>
        </w:rPr>
      </w:lvl>
    </w:lvlOverride>
    <w:lvlOverride w:ilvl="2">
      <w:startOverride w:val="1"/>
      <w:lvl w:ilvl="2">
        <w:start w:val="1"/>
        <w:numFmt w:val="lowerLetter"/>
        <w:lvlRestart w:val="1"/>
        <w:pStyle w:val="PermitHanging2TOC"/>
        <w:lvlText w:val="%3."/>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3">
      <w:startOverride w:val="1"/>
      <w:lvl w:ilvl="3">
        <w:start w:val="1"/>
        <w:numFmt w:val="lowerLetter"/>
        <w:pStyle w:val="PermitHanging2Non-TOC"/>
        <w:lvlText w:val="%4."/>
        <w:lvlJc w:val="left"/>
        <w:pPr>
          <w:tabs>
            <w:tab w:val="num" w:pos="1440"/>
          </w:tabs>
          <w:ind w:left="1440" w:hanging="720"/>
        </w:pPr>
        <w:rPr>
          <w:rFonts w:ascii="Times New Roman" w:hAnsi="Times New Roman" w:hint="default"/>
          <w:b w:val="0"/>
          <w:i w:val="0"/>
          <w:caps w:val="0"/>
          <w:strike w:val="0"/>
          <w:dstrike w:val="0"/>
          <w:vanish w:val="0"/>
          <w:sz w:val="22"/>
          <w:vertAlign w:val="baseline"/>
        </w:rPr>
      </w:lvl>
    </w:lvlOverride>
    <w:lvlOverride w:ilvl="4">
      <w:startOverride w:val="1"/>
      <w:lvl w:ilvl="4">
        <w:start w:val="1"/>
        <w:numFmt w:val="lowerRoman"/>
        <w:pStyle w:val="PermitHanging3"/>
        <w:lvlText w:val="%5."/>
        <w:lvlJc w:val="left"/>
        <w:pPr>
          <w:tabs>
            <w:tab w:val="num" w:pos="2160"/>
          </w:tabs>
          <w:ind w:left="2160" w:hanging="720"/>
        </w:pPr>
        <w:rPr>
          <w:rFonts w:ascii="Times New Roman" w:hAnsi="Times New Roman" w:hint="default"/>
          <w:b w:val="0"/>
          <w:i w:val="0"/>
          <w:caps w:val="0"/>
          <w:strike w:val="0"/>
          <w:dstrike w:val="0"/>
          <w:vanish w:val="0"/>
          <w:sz w:val="22"/>
          <w:vertAlign w:val="baseline"/>
        </w:rPr>
      </w:lvl>
    </w:lvlOverride>
    <w:lvlOverride w:ilvl="5">
      <w:startOverride w:val="1"/>
      <w:lvl w:ilvl="5">
        <w:start w:val="1"/>
        <w:numFmt w:val="upperLetter"/>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4579184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83748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1844065">
    <w:abstractNumId w:val="35"/>
  </w:num>
  <w:num w:numId="45" w16cid:durableId="730076621">
    <w:abstractNumId w:val="63"/>
  </w:num>
  <w:num w:numId="46" w16cid:durableId="441649337">
    <w:abstractNumId w:val="1"/>
  </w:num>
  <w:num w:numId="47" w16cid:durableId="1753157542">
    <w:abstractNumId w:val="39"/>
  </w:num>
  <w:num w:numId="48" w16cid:durableId="478427043">
    <w:abstractNumId w:val="2"/>
  </w:num>
  <w:num w:numId="49" w16cid:durableId="1388336272">
    <w:abstractNumId w:val="40"/>
  </w:num>
  <w:num w:numId="50" w16cid:durableId="1496073858">
    <w:abstractNumId w:val="53"/>
  </w:num>
  <w:num w:numId="51" w16cid:durableId="1267274463">
    <w:abstractNumId w:val="36"/>
  </w:num>
  <w:num w:numId="52" w16cid:durableId="323817994">
    <w:abstractNumId w:val="6"/>
  </w:num>
  <w:num w:numId="53" w16cid:durableId="1598708872">
    <w:abstractNumId w:val="14"/>
  </w:num>
  <w:num w:numId="54" w16cid:durableId="967321240">
    <w:abstractNumId w:val="12"/>
  </w:num>
  <w:num w:numId="55" w16cid:durableId="2001303424">
    <w:abstractNumId w:val="51"/>
  </w:num>
  <w:num w:numId="56" w16cid:durableId="1624388447">
    <w:abstractNumId w:val="20"/>
  </w:num>
  <w:num w:numId="57" w16cid:durableId="1060321796">
    <w:abstractNumId w:val="15"/>
  </w:num>
  <w:num w:numId="58" w16cid:durableId="370348266">
    <w:abstractNumId w:val="56"/>
  </w:num>
  <w:num w:numId="59" w16cid:durableId="674039536">
    <w:abstractNumId w:val="59"/>
  </w:num>
  <w:num w:numId="60" w16cid:durableId="14770681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4169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666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157655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73858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60798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950512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92272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56503684">
    <w:abstractNumId w:val="29"/>
  </w:num>
  <w:num w:numId="69" w16cid:durableId="1477185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2741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88621094">
    <w:abstractNumId w:val="27"/>
  </w:num>
  <w:num w:numId="72" w16cid:durableId="1440642714">
    <w:abstractNumId w:val="43"/>
  </w:num>
  <w:num w:numId="73" w16cid:durableId="812912642">
    <w:abstractNumId w:val="17"/>
  </w:num>
  <w:num w:numId="74" w16cid:durableId="210768435">
    <w:abstractNumId w:val="22"/>
  </w:num>
  <w:num w:numId="75" w16cid:durableId="1130904711">
    <w:abstractNumId w:val="24"/>
  </w:num>
  <w:num w:numId="76" w16cid:durableId="1328971414">
    <w:abstractNumId w:val="31"/>
  </w:num>
  <w:num w:numId="77" w16cid:durableId="16148227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50722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5919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034426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229721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13902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31283279">
    <w:abstractNumId w:val="61"/>
  </w:num>
  <w:num w:numId="84" w16cid:durableId="1704936223">
    <w:abstractNumId w:val="26"/>
  </w:num>
  <w:num w:numId="85" w16cid:durableId="416901195">
    <w:abstractNumId w:val="52"/>
  </w:num>
  <w:num w:numId="86" w16cid:durableId="1230916672">
    <w:abstractNumId w:val="58"/>
  </w:num>
  <w:num w:numId="87" w16cid:durableId="1753886877">
    <w:abstractNumId w:val="23"/>
  </w:num>
  <w:num w:numId="88" w16cid:durableId="1797486193">
    <w:abstractNumId w:val="30"/>
  </w:num>
  <w:num w:numId="89" w16cid:durableId="1902793084">
    <w:abstractNumId w:val="41"/>
  </w:num>
  <w:num w:numId="90" w16cid:durableId="378091000">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Formatting/>
  <w:defaultTabStop w:val="720"/>
  <w:hyphenationZone w:val="1067"/>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394"/>
    <w:rsid w:val="000022FE"/>
    <w:rsid w:val="000024E1"/>
    <w:rsid w:val="000033E1"/>
    <w:rsid w:val="0000424B"/>
    <w:rsid w:val="00005B6F"/>
    <w:rsid w:val="00006E99"/>
    <w:rsid w:val="00006EA8"/>
    <w:rsid w:val="0001129B"/>
    <w:rsid w:val="0001160F"/>
    <w:rsid w:val="000117BB"/>
    <w:rsid w:val="00012E40"/>
    <w:rsid w:val="00012F1F"/>
    <w:rsid w:val="00012FA2"/>
    <w:rsid w:val="0001375D"/>
    <w:rsid w:val="000140F9"/>
    <w:rsid w:val="0001429B"/>
    <w:rsid w:val="000147DF"/>
    <w:rsid w:val="00014A39"/>
    <w:rsid w:val="000154BE"/>
    <w:rsid w:val="000156F0"/>
    <w:rsid w:val="00015881"/>
    <w:rsid w:val="0001595F"/>
    <w:rsid w:val="000201D6"/>
    <w:rsid w:val="00021A5B"/>
    <w:rsid w:val="0002212E"/>
    <w:rsid w:val="00022361"/>
    <w:rsid w:val="000229A4"/>
    <w:rsid w:val="000251C6"/>
    <w:rsid w:val="000253A1"/>
    <w:rsid w:val="000253C1"/>
    <w:rsid w:val="00026569"/>
    <w:rsid w:val="000272E7"/>
    <w:rsid w:val="00027BA7"/>
    <w:rsid w:val="000301DA"/>
    <w:rsid w:val="00031A85"/>
    <w:rsid w:val="00031B51"/>
    <w:rsid w:val="000324F8"/>
    <w:rsid w:val="000328BD"/>
    <w:rsid w:val="000341B8"/>
    <w:rsid w:val="000347EC"/>
    <w:rsid w:val="000348CB"/>
    <w:rsid w:val="000361B7"/>
    <w:rsid w:val="00036210"/>
    <w:rsid w:val="00036797"/>
    <w:rsid w:val="000367A1"/>
    <w:rsid w:val="00036E71"/>
    <w:rsid w:val="00037C94"/>
    <w:rsid w:val="0004059F"/>
    <w:rsid w:val="00040B0B"/>
    <w:rsid w:val="00041686"/>
    <w:rsid w:val="000456CC"/>
    <w:rsid w:val="00045C9B"/>
    <w:rsid w:val="00046131"/>
    <w:rsid w:val="00046F76"/>
    <w:rsid w:val="000475DC"/>
    <w:rsid w:val="00047FF8"/>
    <w:rsid w:val="00050210"/>
    <w:rsid w:val="0005053D"/>
    <w:rsid w:val="00050E6E"/>
    <w:rsid w:val="00053427"/>
    <w:rsid w:val="0005582B"/>
    <w:rsid w:val="00055F75"/>
    <w:rsid w:val="00056E3F"/>
    <w:rsid w:val="00061AFB"/>
    <w:rsid w:val="00063FFE"/>
    <w:rsid w:val="00064975"/>
    <w:rsid w:val="0006568A"/>
    <w:rsid w:val="00066BD9"/>
    <w:rsid w:val="00066CBD"/>
    <w:rsid w:val="00070015"/>
    <w:rsid w:val="00070500"/>
    <w:rsid w:val="00073356"/>
    <w:rsid w:val="00073E9A"/>
    <w:rsid w:val="000743E3"/>
    <w:rsid w:val="00074D1C"/>
    <w:rsid w:val="00076120"/>
    <w:rsid w:val="0007666E"/>
    <w:rsid w:val="00077EA5"/>
    <w:rsid w:val="00080069"/>
    <w:rsid w:val="0008188E"/>
    <w:rsid w:val="00081D2F"/>
    <w:rsid w:val="00081E50"/>
    <w:rsid w:val="00084AEC"/>
    <w:rsid w:val="00085832"/>
    <w:rsid w:val="00085A3E"/>
    <w:rsid w:val="00087FF8"/>
    <w:rsid w:val="00090B86"/>
    <w:rsid w:val="00091D45"/>
    <w:rsid w:val="00092174"/>
    <w:rsid w:val="00093A34"/>
    <w:rsid w:val="0009425F"/>
    <w:rsid w:val="00094A00"/>
    <w:rsid w:val="00096BAA"/>
    <w:rsid w:val="00097950"/>
    <w:rsid w:val="000A040F"/>
    <w:rsid w:val="000A2045"/>
    <w:rsid w:val="000A214B"/>
    <w:rsid w:val="000A276F"/>
    <w:rsid w:val="000A28B5"/>
    <w:rsid w:val="000A401C"/>
    <w:rsid w:val="000A4E28"/>
    <w:rsid w:val="000A58EF"/>
    <w:rsid w:val="000A5FB5"/>
    <w:rsid w:val="000A79F1"/>
    <w:rsid w:val="000B072A"/>
    <w:rsid w:val="000B3375"/>
    <w:rsid w:val="000B3C4F"/>
    <w:rsid w:val="000B4517"/>
    <w:rsid w:val="000B4640"/>
    <w:rsid w:val="000C1E0B"/>
    <w:rsid w:val="000C2B68"/>
    <w:rsid w:val="000C3F56"/>
    <w:rsid w:val="000C44A1"/>
    <w:rsid w:val="000C4737"/>
    <w:rsid w:val="000C5502"/>
    <w:rsid w:val="000C58CE"/>
    <w:rsid w:val="000D02ED"/>
    <w:rsid w:val="000D23F3"/>
    <w:rsid w:val="000D341F"/>
    <w:rsid w:val="000D35C4"/>
    <w:rsid w:val="000D4274"/>
    <w:rsid w:val="000D4D7C"/>
    <w:rsid w:val="000D6EAB"/>
    <w:rsid w:val="000D6FC9"/>
    <w:rsid w:val="000D7387"/>
    <w:rsid w:val="000D757D"/>
    <w:rsid w:val="000D763C"/>
    <w:rsid w:val="000E04FD"/>
    <w:rsid w:val="000E0C76"/>
    <w:rsid w:val="000E13E5"/>
    <w:rsid w:val="000E15C0"/>
    <w:rsid w:val="000E2440"/>
    <w:rsid w:val="000E328C"/>
    <w:rsid w:val="000E3E07"/>
    <w:rsid w:val="000E44B8"/>
    <w:rsid w:val="000E6154"/>
    <w:rsid w:val="000E728C"/>
    <w:rsid w:val="000E73CE"/>
    <w:rsid w:val="000F16F5"/>
    <w:rsid w:val="000F21FA"/>
    <w:rsid w:val="000F2887"/>
    <w:rsid w:val="000F3CE3"/>
    <w:rsid w:val="000F44AB"/>
    <w:rsid w:val="000F4969"/>
    <w:rsid w:val="000F4C7E"/>
    <w:rsid w:val="000F61B6"/>
    <w:rsid w:val="000F6721"/>
    <w:rsid w:val="000F7E79"/>
    <w:rsid w:val="00102258"/>
    <w:rsid w:val="00103B92"/>
    <w:rsid w:val="0010460B"/>
    <w:rsid w:val="00104C13"/>
    <w:rsid w:val="00105F1F"/>
    <w:rsid w:val="00106C61"/>
    <w:rsid w:val="001074FF"/>
    <w:rsid w:val="00107A97"/>
    <w:rsid w:val="00110081"/>
    <w:rsid w:val="00110267"/>
    <w:rsid w:val="00110BB2"/>
    <w:rsid w:val="001127B2"/>
    <w:rsid w:val="001129FA"/>
    <w:rsid w:val="0011309A"/>
    <w:rsid w:val="00113109"/>
    <w:rsid w:val="0011427D"/>
    <w:rsid w:val="00114885"/>
    <w:rsid w:val="001149A3"/>
    <w:rsid w:val="00117062"/>
    <w:rsid w:val="0011729C"/>
    <w:rsid w:val="00117345"/>
    <w:rsid w:val="00121B25"/>
    <w:rsid w:val="0012214D"/>
    <w:rsid w:val="00122925"/>
    <w:rsid w:val="001229D0"/>
    <w:rsid w:val="00122F0D"/>
    <w:rsid w:val="0012301F"/>
    <w:rsid w:val="00124B17"/>
    <w:rsid w:val="001278D0"/>
    <w:rsid w:val="00130DCC"/>
    <w:rsid w:val="001317B4"/>
    <w:rsid w:val="00135BEB"/>
    <w:rsid w:val="00135EA0"/>
    <w:rsid w:val="00136A95"/>
    <w:rsid w:val="001404FD"/>
    <w:rsid w:val="0014199D"/>
    <w:rsid w:val="00141BCC"/>
    <w:rsid w:val="00142786"/>
    <w:rsid w:val="00143A44"/>
    <w:rsid w:val="001456AB"/>
    <w:rsid w:val="00145A2C"/>
    <w:rsid w:val="00146F4C"/>
    <w:rsid w:val="00147903"/>
    <w:rsid w:val="00150786"/>
    <w:rsid w:val="00150DDF"/>
    <w:rsid w:val="00151813"/>
    <w:rsid w:val="00151949"/>
    <w:rsid w:val="00152BF8"/>
    <w:rsid w:val="00152E60"/>
    <w:rsid w:val="001530FD"/>
    <w:rsid w:val="001531DF"/>
    <w:rsid w:val="00153B18"/>
    <w:rsid w:val="00154DA5"/>
    <w:rsid w:val="00156694"/>
    <w:rsid w:val="00156771"/>
    <w:rsid w:val="00156DBE"/>
    <w:rsid w:val="00161B39"/>
    <w:rsid w:val="001646A9"/>
    <w:rsid w:val="00164F62"/>
    <w:rsid w:val="00165FA1"/>
    <w:rsid w:val="00167B0E"/>
    <w:rsid w:val="00167B9E"/>
    <w:rsid w:val="00170A4D"/>
    <w:rsid w:val="00171F69"/>
    <w:rsid w:val="0017225F"/>
    <w:rsid w:val="001729F3"/>
    <w:rsid w:val="00173A0F"/>
    <w:rsid w:val="001740A1"/>
    <w:rsid w:val="001750A8"/>
    <w:rsid w:val="00176AE5"/>
    <w:rsid w:val="0017702F"/>
    <w:rsid w:val="00180169"/>
    <w:rsid w:val="00182531"/>
    <w:rsid w:val="0018367E"/>
    <w:rsid w:val="00183DC9"/>
    <w:rsid w:val="001848BF"/>
    <w:rsid w:val="00184F4B"/>
    <w:rsid w:val="001856EC"/>
    <w:rsid w:val="001878BE"/>
    <w:rsid w:val="001878DE"/>
    <w:rsid w:val="00187BD1"/>
    <w:rsid w:val="00190A74"/>
    <w:rsid w:val="00190E04"/>
    <w:rsid w:val="00191711"/>
    <w:rsid w:val="00191C8C"/>
    <w:rsid w:val="0019229A"/>
    <w:rsid w:val="0019346F"/>
    <w:rsid w:val="00193695"/>
    <w:rsid w:val="0019419B"/>
    <w:rsid w:val="00194319"/>
    <w:rsid w:val="001945A9"/>
    <w:rsid w:val="00195338"/>
    <w:rsid w:val="001959ED"/>
    <w:rsid w:val="00195C2C"/>
    <w:rsid w:val="0019698F"/>
    <w:rsid w:val="0019709A"/>
    <w:rsid w:val="001A10CC"/>
    <w:rsid w:val="001A1E5B"/>
    <w:rsid w:val="001A328D"/>
    <w:rsid w:val="001A38DF"/>
    <w:rsid w:val="001A456B"/>
    <w:rsid w:val="001A51FA"/>
    <w:rsid w:val="001A54C6"/>
    <w:rsid w:val="001A5BBF"/>
    <w:rsid w:val="001A6068"/>
    <w:rsid w:val="001A67B4"/>
    <w:rsid w:val="001A6B2B"/>
    <w:rsid w:val="001A7763"/>
    <w:rsid w:val="001B194A"/>
    <w:rsid w:val="001B1A10"/>
    <w:rsid w:val="001B30C9"/>
    <w:rsid w:val="001B3E57"/>
    <w:rsid w:val="001B41B9"/>
    <w:rsid w:val="001B48BC"/>
    <w:rsid w:val="001B53AA"/>
    <w:rsid w:val="001B6711"/>
    <w:rsid w:val="001B69EE"/>
    <w:rsid w:val="001B749D"/>
    <w:rsid w:val="001B796F"/>
    <w:rsid w:val="001C1301"/>
    <w:rsid w:val="001C1657"/>
    <w:rsid w:val="001C3845"/>
    <w:rsid w:val="001C3983"/>
    <w:rsid w:val="001C408A"/>
    <w:rsid w:val="001C44FF"/>
    <w:rsid w:val="001C5B5B"/>
    <w:rsid w:val="001D00AC"/>
    <w:rsid w:val="001D0AB8"/>
    <w:rsid w:val="001D1266"/>
    <w:rsid w:val="001D31C0"/>
    <w:rsid w:val="001D34FE"/>
    <w:rsid w:val="001D4A0D"/>
    <w:rsid w:val="001D531C"/>
    <w:rsid w:val="001D5BF7"/>
    <w:rsid w:val="001D675A"/>
    <w:rsid w:val="001D6877"/>
    <w:rsid w:val="001D7C25"/>
    <w:rsid w:val="001E0560"/>
    <w:rsid w:val="001E4796"/>
    <w:rsid w:val="001E66DE"/>
    <w:rsid w:val="001F0D50"/>
    <w:rsid w:val="001F1F54"/>
    <w:rsid w:val="001F21B6"/>
    <w:rsid w:val="001F429B"/>
    <w:rsid w:val="001F48DA"/>
    <w:rsid w:val="001F4950"/>
    <w:rsid w:val="001F61B8"/>
    <w:rsid w:val="001F72CA"/>
    <w:rsid w:val="00201D6E"/>
    <w:rsid w:val="0020210B"/>
    <w:rsid w:val="002023AF"/>
    <w:rsid w:val="00202795"/>
    <w:rsid w:val="00202919"/>
    <w:rsid w:val="0020291C"/>
    <w:rsid w:val="0020434E"/>
    <w:rsid w:val="00204DA1"/>
    <w:rsid w:val="00205E3E"/>
    <w:rsid w:val="002063AE"/>
    <w:rsid w:val="0021074B"/>
    <w:rsid w:val="0021195E"/>
    <w:rsid w:val="00216B4D"/>
    <w:rsid w:val="002206D6"/>
    <w:rsid w:val="002214FC"/>
    <w:rsid w:val="00222EDD"/>
    <w:rsid w:val="002246C5"/>
    <w:rsid w:val="002251FE"/>
    <w:rsid w:val="00225CAA"/>
    <w:rsid w:val="00225DD6"/>
    <w:rsid w:val="0022635C"/>
    <w:rsid w:val="00227310"/>
    <w:rsid w:val="002277DF"/>
    <w:rsid w:val="0022785C"/>
    <w:rsid w:val="0023163F"/>
    <w:rsid w:val="00232CD6"/>
    <w:rsid w:val="00233394"/>
    <w:rsid w:val="00235093"/>
    <w:rsid w:val="00235108"/>
    <w:rsid w:val="00235621"/>
    <w:rsid w:val="00236358"/>
    <w:rsid w:val="00236E41"/>
    <w:rsid w:val="00237594"/>
    <w:rsid w:val="00237F41"/>
    <w:rsid w:val="00237F82"/>
    <w:rsid w:val="0024348A"/>
    <w:rsid w:val="00245DDD"/>
    <w:rsid w:val="002464D1"/>
    <w:rsid w:val="0024651C"/>
    <w:rsid w:val="0024653F"/>
    <w:rsid w:val="00246F09"/>
    <w:rsid w:val="002477B2"/>
    <w:rsid w:val="00250657"/>
    <w:rsid w:val="00250BE4"/>
    <w:rsid w:val="0025159E"/>
    <w:rsid w:val="00252D6E"/>
    <w:rsid w:val="00253A29"/>
    <w:rsid w:val="00254058"/>
    <w:rsid w:val="00255396"/>
    <w:rsid w:val="00255A79"/>
    <w:rsid w:val="002603AD"/>
    <w:rsid w:val="002633E7"/>
    <w:rsid w:val="00264769"/>
    <w:rsid w:val="00264EDF"/>
    <w:rsid w:val="002664CF"/>
    <w:rsid w:val="0026766A"/>
    <w:rsid w:val="00270873"/>
    <w:rsid w:val="0027225A"/>
    <w:rsid w:val="0027232B"/>
    <w:rsid w:val="00275182"/>
    <w:rsid w:val="00275C8C"/>
    <w:rsid w:val="002761AF"/>
    <w:rsid w:val="002768B5"/>
    <w:rsid w:val="00276CE4"/>
    <w:rsid w:val="002777A6"/>
    <w:rsid w:val="00277E8F"/>
    <w:rsid w:val="0028114F"/>
    <w:rsid w:val="00281BC4"/>
    <w:rsid w:val="002821D8"/>
    <w:rsid w:val="0028285F"/>
    <w:rsid w:val="00283005"/>
    <w:rsid w:val="00283331"/>
    <w:rsid w:val="00283B8A"/>
    <w:rsid w:val="0028426C"/>
    <w:rsid w:val="00286046"/>
    <w:rsid w:val="00287125"/>
    <w:rsid w:val="00290328"/>
    <w:rsid w:val="00290CAE"/>
    <w:rsid w:val="002914B4"/>
    <w:rsid w:val="002915F0"/>
    <w:rsid w:val="00291A0D"/>
    <w:rsid w:val="00291EB4"/>
    <w:rsid w:val="002924AF"/>
    <w:rsid w:val="00292F42"/>
    <w:rsid w:val="00293558"/>
    <w:rsid w:val="00297204"/>
    <w:rsid w:val="002A0024"/>
    <w:rsid w:val="002A0028"/>
    <w:rsid w:val="002A0334"/>
    <w:rsid w:val="002A1579"/>
    <w:rsid w:val="002A189E"/>
    <w:rsid w:val="002A1EEF"/>
    <w:rsid w:val="002A2372"/>
    <w:rsid w:val="002A2C14"/>
    <w:rsid w:val="002A2E30"/>
    <w:rsid w:val="002A2E99"/>
    <w:rsid w:val="002A621A"/>
    <w:rsid w:val="002A667D"/>
    <w:rsid w:val="002A7E93"/>
    <w:rsid w:val="002B1EDA"/>
    <w:rsid w:val="002B31F1"/>
    <w:rsid w:val="002B3698"/>
    <w:rsid w:val="002B3B0A"/>
    <w:rsid w:val="002B415E"/>
    <w:rsid w:val="002B70F9"/>
    <w:rsid w:val="002C0393"/>
    <w:rsid w:val="002C166F"/>
    <w:rsid w:val="002C2746"/>
    <w:rsid w:val="002C3E29"/>
    <w:rsid w:val="002C3EC5"/>
    <w:rsid w:val="002C5ABC"/>
    <w:rsid w:val="002C5B44"/>
    <w:rsid w:val="002C6DFF"/>
    <w:rsid w:val="002D0612"/>
    <w:rsid w:val="002D1DE9"/>
    <w:rsid w:val="002D1F26"/>
    <w:rsid w:val="002D20BB"/>
    <w:rsid w:val="002D2169"/>
    <w:rsid w:val="002D22A0"/>
    <w:rsid w:val="002D2E78"/>
    <w:rsid w:val="002D3CD4"/>
    <w:rsid w:val="002D4891"/>
    <w:rsid w:val="002D4A2C"/>
    <w:rsid w:val="002D4C6F"/>
    <w:rsid w:val="002D62FE"/>
    <w:rsid w:val="002D773D"/>
    <w:rsid w:val="002D7801"/>
    <w:rsid w:val="002E015B"/>
    <w:rsid w:val="002E0194"/>
    <w:rsid w:val="002E1142"/>
    <w:rsid w:val="002E23CB"/>
    <w:rsid w:val="002E2973"/>
    <w:rsid w:val="002E4BE4"/>
    <w:rsid w:val="002E558E"/>
    <w:rsid w:val="002E58AF"/>
    <w:rsid w:val="002F0B09"/>
    <w:rsid w:val="002F0E29"/>
    <w:rsid w:val="002F1751"/>
    <w:rsid w:val="002F19B3"/>
    <w:rsid w:val="002F1AF0"/>
    <w:rsid w:val="002F23AE"/>
    <w:rsid w:val="002F2824"/>
    <w:rsid w:val="002F5068"/>
    <w:rsid w:val="002F67CF"/>
    <w:rsid w:val="002F7445"/>
    <w:rsid w:val="002F7F2C"/>
    <w:rsid w:val="003010F7"/>
    <w:rsid w:val="0030115F"/>
    <w:rsid w:val="003023C9"/>
    <w:rsid w:val="003042EA"/>
    <w:rsid w:val="00305459"/>
    <w:rsid w:val="003059ED"/>
    <w:rsid w:val="00305B18"/>
    <w:rsid w:val="003102AB"/>
    <w:rsid w:val="00310580"/>
    <w:rsid w:val="00310E10"/>
    <w:rsid w:val="003126F6"/>
    <w:rsid w:val="00313146"/>
    <w:rsid w:val="00313455"/>
    <w:rsid w:val="00313DF9"/>
    <w:rsid w:val="0031453C"/>
    <w:rsid w:val="00314785"/>
    <w:rsid w:val="00316AD1"/>
    <w:rsid w:val="00320528"/>
    <w:rsid w:val="00320831"/>
    <w:rsid w:val="00321095"/>
    <w:rsid w:val="0032218A"/>
    <w:rsid w:val="0032302B"/>
    <w:rsid w:val="0032399F"/>
    <w:rsid w:val="00323EFC"/>
    <w:rsid w:val="003244DA"/>
    <w:rsid w:val="003248BA"/>
    <w:rsid w:val="003258C5"/>
    <w:rsid w:val="003301D6"/>
    <w:rsid w:val="003311DC"/>
    <w:rsid w:val="00331EB3"/>
    <w:rsid w:val="003334CE"/>
    <w:rsid w:val="00333684"/>
    <w:rsid w:val="00333995"/>
    <w:rsid w:val="00333A69"/>
    <w:rsid w:val="0033441B"/>
    <w:rsid w:val="003353CE"/>
    <w:rsid w:val="003354BB"/>
    <w:rsid w:val="00335B99"/>
    <w:rsid w:val="00336D83"/>
    <w:rsid w:val="00337F9E"/>
    <w:rsid w:val="00340270"/>
    <w:rsid w:val="003431C5"/>
    <w:rsid w:val="003456D4"/>
    <w:rsid w:val="00346AFD"/>
    <w:rsid w:val="003507D6"/>
    <w:rsid w:val="00350CE7"/>
    <w:rsid w:val="00351327"/>
    <w:rsid w:val="00351ED0"/>
    <w:rsid w:val="00352820"/>
    <w:rsid w:val="003532FD"/>
    <w:rsid w:val="00355B6B"/>
    <w:rsid w:val="0035631E"/>
    <w:rsid w:val="0035711B"/>
    <w:rsid w:val="0036034B"/>
    <w:rsid w:val="00360391"/>
    <w:rsid w:val="0036152E"/>
    <w:rsid w:val="003619B8"/>
    <w:rsid w:val="00361DE8"/>
    <w:rsid w:val="0036287D"/>
    <w:rsid w:val="00363CDF"/>
    <w:rsid w:val="0036514E"/>
    <w:rsid w:val="00365623"/>
    <w:rsid w:val="00366DBC"/>
    <w:rsid w:val="00367E24"/>
    <w:rsid w:val="00373317"/>
    <w:rsid w:val="003747A7"/>
    <w:rsid w:val="00374E7A"/>
    <w:rsid w:val="00375009"/>
    <w:rsid w:val="003755B5"/>
    <w:rsid w:val="00377741"/>
    <w:rsid w:val="00380C37"/>
    <w:rsid w:val="00382D5E"/>
    <w:rsid w:val="00383DB6"/>
    <w:rsid w:val="003858B9"/>
    <w:rsid w:val="00385CAA"/>
    <w:rsid w:val="0039059E"/>
    <w:rsid w:val="00391A54"/>
    <w:rsid w:val="00392025"/>
    <w:rsid w:val="003920E6"/>
    <w:rsid w:val="0039287A"/>
    <w:rsid w:val="00393B19"/>
    <w:rsid w:val="00395A3B"/>
    <w:rsid w:val="00396116"/>
    <w:rsid w:val="003A0913"/>
    <w:rsid w:val="003A122B"/>
    <w:rsid w:val="003A2D69"/>
    <w:rsid w:val="003A302C"/>
    <w:rsid w:val="003B0BCE"/>
    <w:rsid w:val="003B41EB"/>
    <w:rsid w:val="003B4B7D"/>
    <w:rsid w:val="003B54D6"/>
    <w:rsid w:val="003B5FA1"/>
    <w:rsid w:val="003B6E52"/>
    <w:rsid w:val="003B70C5"/>
    <w:rsid w:val="003B7ED4"/>
    <w:rsid w:val="003C03EC"/>
    <w:rsid w:val="003C09FA"/>
    <w:rsid w:val="003C1009"/>
    <w:rsid w:val="003C210B"/>
    <w:rsid w:val="003C3574"/>
    <w:rsid w:val="003C38C1"/>
    <w:rsid w:val="003C454E"/>
    <w:rsid w:val="003C5DA2"/>
    <w:rsid w:val="003C6A80"/>
    <w:rsid w:val="003C6B22"/>
    <w:rsid w:val="003C7646"/>
    <w:rsid w:val="003D2258"/>
    <w:rsid w:val="003D3EBA"/>
    <w:rsid w:val="003D4260"/>
    <w:rsid w:val="003D7152"/>
    <w:rsid w:val="003D74AB"/>
    <w:rsid w:val="003D74C6"/>
    <w:rsid w:val="003E0C26"/>
    <w:rsid w:val="003E28A9"/>
    <w:rsid w:val="003E352E"/>
    <w:rsid w:val="003E4D01"/>
    <w:rsid w:val="003E5159"/>
    <w:rsid w:val="003E5B40"/>
    <w:rsid w:val="003E5BC5"/>
    <w:rsid w:val="003E5CB2"/>
    <w:rsid w:val="003E7103"/>
    <w:rsid w:val="003E76CD"/>
    <w:rsid w:val="003F2A30"/>
    <w:rsid w:val="003F38F2"/>
    <w:rsid w:val="003F3C26"/>
    <w:rsid w:val="00400D06"/>
    <w:rsid w:val="00403CB7"/>
    <w:rsid w:val="00405B8B"/>
    <w:rsid w:val="004061AC"/>
    <w:rsid w:val="00414D7A"/>
    <w:rsid w:val="0041566B"/>
    <w:rsid w:val="004166FD"/>
    <w:rsid w:val="00420CE8"/>
    <w:rsid w:val="00421BC2"/>
    <w:rsid w:val="00422286"/>
    <w:rsid w:val="004228AA"/>
    <w:rsid w:val="00422A2D"/>
    <w:rsid w:val="00425511"/>
    <w:rsid w:val="00425EE8"/>
    <w:rsid w:val="00426065"/>
    <w:rsid w:val="0042628D"/>
    <w:rsid w:val="00426AD8"/>
    <w:rsid w:val="00426F91"/>
    <w:rsid w:val="00427590"/>
    <w:rsid w:val="004317F0"/>
    <w:rsid w:val="00431BC8"/>
    <w:rsid w:val="00432386"/>
    <w:rsid w:val="004325BE"/>
    <w:rsid w:val="00432EAC"/>
    <w:rsid w:val="004330AE"/>
    <w:rsid w:val="004332A5"/>
    <w:rsid w:val="00434F62"/>
    <w:rsid w:val="00435366"/>
    <w:rsid w:val="00441ADF"/>
    <w:rsid w:val="00442BC2"/>
    <w:rsid w:val="00443ABF"/>
    <w:rsid w:val="004448A7"/>
    <w:rsid w:val="004448B5"/>
    <w:rsid w:val="0044599D"/>
    <w:rsid w:val="004466E8"/>
    <w:rsid w:val="0045195D"/>
    <w:rsid w:val="00451C27"/>
    <w:rsid w:val="00452BA8"/>
    <w:rsid w:val="004539C5"/>
    <w:rsid w:val="00453C3F"/>
    <w:rsid w:val="004541C2"/>
    <w:rsid w:val="00454AE5"/>
    <w:rsid w:val="00454CAE"/>
    <w:rsid w:val="004553CE"/>
    <w:rsid w:val="0045572E"/>
    <w:rsid w:val="00455C63"/>
    <w:rsid w:val="00457CED"/>
    <w:rsid w:val="00460834"/>
    <w:rsid w:val="004608C2"/>
    <w:rsid w:val="00461ACE"/>
    <w:rsid w:val="00461D62"/>
    <w:rsid w:val="00463ACD"/>
    <w:rsid w:val="00465161"/>
    <w:rsid w:val="0046637A"/>
    <w:rsid w:val="00466548"/>
    <w:rsid w:val="004678F0"/>
    <w:rsid w:val="0047113D"/>
    <w:rsid w:val="0047171A"/>
    <w:rsid w:val="0047268B"/>
    <w:rsid w:val="0047387E"/>
    <w:rsid w:val="00473F33"/>
    <w:rsid w:val="00474023"/>
    <w:rsid w:val="0047421B"/>
    <w:rsid w:val="004742F6"/>
    <w:rsid w:val="00474AB8"/>
    <w:rsid w:val="004754F0"/>
    <w:rsid w:val="00477169"/>
    <w:rsid w:val="004773CB"/>
    <w:rsid w:val="00477AA6"/>
    <w:rsid w:val="00480091"/>
    <w:rsid w:val="004804BF"/>
    <w:rsid w:val="004826D0"/>
    <w:rsid w:val="00483FD2"/>
    <w:rsid w:val="004840FD"/>
    <w:rsid w:val="004843C1"/>
    <w:rsid w:val="0048447B"/>
    <w:rsid w:val="0048453A"/>
    <w:rsid w:val="004847E7"/>
    <w:rsid w:val="00485EE7"/>
    <w:rsid w:val="0048673E"/>
    <w:rsid w:val="00487363"/>
    <w:rsid w:val="0048740A"/>
    <w:rsid w:val="00487697"/>
    <w:rsid w:val="00490289"/>
    <w:rsid w:val="0049053E"/>
    <w:rsid w:val="00490BF8"/>
    <w:rsid w:val="0049175A"/>
    <w:rsid w:val="00491917"/>
    <w:rsid w:val="00491A13"/>
    <w:rsid w:val="00491D24"/>
    <w:rsid w:val="00492B2B"/>
    <w:rsid w:val="00496EE5"/>
    <w:rsid w:val="004A0217"/>
    <w:rsid w:val="004A2ED7"/>
    <w:rsid w:val="004A34B9"/>
    <w:rsid w:val="004A3A91"/>
    <w:rsid w:val="004A4110"/>
    <w:rsid w:val="004A4970"/>
    <w:rsid w:val="004A70E9"/>
    <w:rsid w:val="004A761C"/>
    <w:rsid w:val="004B0322"/>
    <w:rsid w:val="004B0421"/>
    <w:rsid w:val="004B2F71"/>
    <w:rsid w:val="004B4930"/>
    <w:rsid w:val="004B535B"/>
    <w:rsid w:val="004B7E96"/>
    <w:rsid w:val="004C0A57"/>
    <w:rsid w:val="004C2FBA"/>
    <w:rsid w:val="004C5AA4"/>
    <w:rsid w:val="004C5B9A"/>
    <w:rsid w:val="004C632A"/>
    <w:rsid w:val="004C6D0D"/>
    <w:rsid w:val="004D032A"/>
    <w:rsid w:val="004D0EB3"/>
    <w:rsid w:val="004D2FD9"/>
    <w:rsid w:val="004D3116"/>
    <w:rsid w:val="004D6694"/>
    <w:rsid w:val="004D6D27"/>
    <w:rsid w:val="004E189A"/>
    <w:rsid w:val="004E1A73"/>
    <w:rsid w:val="004E1D27"/>
    <w:rsid w:val="004E1F8E"/>
    <w:rsid w:val="004E3605"/>
    <w:rsid w:val="004E3D50"/>
    <w:rsid w:val="004E3F25"/>
    <w:rsid w:val="004E443A"/>
    <w:rsid w:val="004E5A1E"/>
    <w:rsid w:val="004F092D"/>
    <w:rsid w:val="004F19C8"/>
    <w:rsid w:val="004F2A44"/>
    <w:rsid w:val="004F563D"/>
    <w:rsid w:val="004F58D7"/>
    <w:rsid w:val="004F5AB6"/>
    <w:rsid w:val="004F657A"/>
    <w:rsid w:val="004F662D"/>
    <w:rsid w:val="004F68D7"/>
    <w:rsid w:val="004F69B5"/>
    <w:rsid w:val="004F7122"/>
    <w:rsid w:val="00500385"/>
    <w:rsid w:val="00501305"/>
    <w:rsid w:val="00503293"/>
    <w:rsid w:val="0050349C"/>
    <w:rsid w:val="005055D4"/>
    <w:rsid w:val="00505E03"/>
    <w:rsid w:val="00506FDC"/>
    <w:rsid w:val="00507C9C"/>
    <w:rsid w:val="00510135"/>
    <w:rsid w:val="0051132D"/>
    <w:rsid w:val="0051133D"/>
    <w:rsid w:val="00514004"/>
    <w:rsid w:val="00515138"/>
    <w:rsid w:val="00515602"/>
    <w:rsid w:val="00515F28"/>
    <w:rsid w:val="005162BB"/>
    <w:rsid w:val="00516AAF"/>
    <w:rsid w:val="00516DA8"/>
    <w:rsid w:val="00516F1B"/>
    <w:rsid w:val="00517E30"/>
    <w:rsid w:val="00520368"/>
    <w:rsid w:val="0052113C"/>
    <w:rsid w:val="005213C5"/>
    <w:rsid w:val="0052200F"/>
    <w:rsid w:val="00522179"/>
    <w:rsid w:val="005221BF"/>
    <w:rsid w:val="00523B6C"/>
    <w:rsid w:val="0052423F"/>
    <w:rsid w:val="005245BC"/>
    <w:rsid w:val="005251A7"/>
    <w:rsid w:val="005266AC"/>
    <w:rsid w:val="00531694"/>
    <w:rsid w:val="00531EE9"/>
    <w:rsid w:val="0053226F"/>
    <w:rsid w:val="00532670"/>
    <w:rsid w:val="00532F30"/>
    <w:rsid w:val="00536F45"/>
    <w:rsid w:val="00537EE1"/>
    <w:rsid w:val="00537F65"/>
    <w:rsid w:val="00540110"/>
    <w:rsid w:val="00540CFF"/>
    <w:rsid w:val="005411E5"/>
    <w:rsid w:val="00541219"/>
    <w:rsid w:val="005415ED"/>
    <w:rsid w:val="00541902"/>
    <w:rsid w:val="00543C31"/>
    <w:rsid w:val="005442AA"/>
    <w:rsid w:val="005452EE"/>
    <w:rsid w:val="00545A6D"/>
    <w:rsid w:val="00545AB8"/>
    <w:rsid w:val="00545AD0"/>
    <w:rsid w:val="00545DAC"/>
    <w:rsid w:val="0055173A"/>
    <w:rsid w:val="00551F02"/>
    <w:rsid w:val="0055245A"/>
    <w:rsid w:val="00552B4F"/>
    <w:rsid w:val="0055470C"/>
    <w:rsid w:val="005548A4"/>
    <w:rsid w:val="00555DC1"/>
    <w:rsid w:val="00557D6F"/>
    <w:rsid w:val="00560035"/>
    <w:rsid w:val="0056025E"/>
    <w:rsid w:val="00561275"/>
    <w:rsid w:val="00561928"/>
    <w:rsid w:val="0056317D"/>
    <w:rsid w:val="0056501C"/>
    <w:rsid w:val="00565226"/>
    <w:rsid w:val="00565E59"/>
    <w:rsid w:val="005669CE"/>
    <w:rsid w:val="00570153"/>
    <w:rsid w:val="0057252B"/>
    <w:rsid w:val="00573318"/>
    <w:rsid w:val="00573D68"/>
    <w:rsid w:val="00574D67"/>
    <w:rsid w:val="00575171"/>
    <w:rsid w:val="0057644B"/>
    <w:rsid w:val="0057794A"/>
    <w:rsid w:val="005800F1"/>
    <w:rsid w:val="005808D1"/>
    <w:rsid w:val="0058148C"/>
    <w:rsid w:val="005816E2"/>
    <w:rsid w:val="00581D9F"/>
    <w:rsid w:val="00583B9F"/>
    <w:rsid w:val="00585A20"/>
    <w:rsid w:val="00585B52"/>
    <w:rsid w:val="005862B2"/>
    <w:rsid w:val="00586FE7"/>
    <w:rsid w:val="00590466"/>
    <w:rsid w:val="00590A4C"/>
    <w:rsid w:val="00590D86"/>
    <w:rsid w:val="005919C4"/>
    <w:rsid w:val="00591BF4"/>
    <w:rsid w:val="00593D24"/>
    <w:rsid w:val="00593D80"/>
    <w:rsid w:val="005943B5"/>
    <w:rsid w:val="00596A50"/>
    <w:rsid w:val="005A28D1"/>
    <w:rsid w:val="005A29C6"/>
    <w:rsid w:val="005A3E68"/>
    <w:rsid w:val="005A3EE2"/>
    <w:rsid w:val="005A5C98"/>
    <w:rsid w:val="005A616D"/>
    <w:rsid w:val="005A6469"/>
    <w:rsid w:val="005A74A5"/>
    <w:rsid w:val="005A7952"/>
    <w:rsid w:val="005A7E3E"/>
    <w:rsid w:val="005B0099"/>
    <w:rsid w:val="005B0FC7"/>
    <w:rsid w:val="005B12AC"/>
    <w:rsid w:val="005B14FC"/>
    <w:rsid w:val="005B18FC"/>
    <w:rsid w:val="005B1C20"/>
    <w:rsid w:val="005B2CCB"/>
    <w:rsid w:val="005B53D4"/>
    <w:rsid w:val="005B5CE2"/>
    <w:rsid w:val="005B6078"/>
    <w:rsid w:val="005B615E"/>
    <w:rsid w:val="005B70A3"/>
    <w:rsid w:val="005B7D35"/>
    <w:rsid w:val="005C3595"/>
    <w:rsid w:val="005C35FC"/>
    <w:rsid w:val="005C43B3"/>
    <w:rsid w:val="005C4A12"/>
    <w:rsid w:val="005C6F8B"/>
    <w:rsid w:val="005C7763"/>
    <w:rsid w:val="005D15BD"/>
    <w:rsid w:val="005D5328"/>
    <w:rsid w:val="005D5A86"/>
    <w:rsid w:val="005E0244"/>
    <w:rsid w:val="005E32E4"/>
    <w:rsid w:val="005E348B"/>
    <w:rsid w:val="005E3CBD"/>
    <w:rsid w:val="005E4259"/>
    <w:rsid w:val="005E49D3"/>
    <w:rsid w:val="005E5B68"/>
    <w:rsid w:val="005E6D6C"/>
    <w:rsid w:val="005F1E15"/>
    <w:rsid w:val="005F276F"/>
    <w:rsid w:val="005F5A07"/>
    <w:rsid w:val="005F6305"/>
    <w:rsid w:val="005F6A04"/>
    <w:rsid w:val="005F6BBB"/>
    <w:rsid w:val="005F6F06"/>
    <w:rsid w:val="005F780A"/>
    <w:rsid w:val="00600027"/>
    <w:rsid w:val="006004CA"/>
    <w:rsid w:val="00600AA6"/>
    <w:rsid w:val="006010A8"/>
    <w:rsid w:val="00602EDF"/>
    <w:rsid w:val="006038D4"/>
    <w:rsid w:val="0060489C"/>
    <w:rsid w:val="006049F1"/>
    <w:rsid w:val="00604ACB"/>
    <w:rsid w:val="00605802"/>
    <w:rsid w:val="006061AB"/>
    <w:rsid w:val="00606580"/>
    <w:rsid w:val="00606E28"/>
    <w:rsid w:val="00607158"/>
    <w:rsid w:val="0061070D"/>
    <w:rsid w:val="00610788"/>
    <w:rsid w:val="0061159E"/>
    <w:rsid w:val="00612621"/>
    <w:rsid w:val="006134D5"/>
    <w:rsid w:val="00613D0C"/>
    <w:rsid w:val="006167BC"/>
    <w:rsid w:val="006177D3"/>
    <w:rsid w:val="00617E1B"/>
    <w:rsid w:val="00620C78"/>
    <w:rsid w:val="006245DA"/>
    <w:rsid w:val="006253BA"/>
    <w:rsid w:val="006264E9"/>
    <w:rsid w:val="00627668"/>
    <w:rsid w:val="00632E29"/>
    <w:rsid w:val="00634738"/>
    <w:rsid w:val="00634D1D"/>
    <w:rsid w:val="00634F0B"/>
    <w:rsid w:val="00635D7F"/>
    <w:rsid w:val="00635E82"/>
    <w:rsid w:val="006373B1"/>
    <w:rsid w:val="00641EB1"/>
    <w:rsid w:val="006425FB"/>
    <w:rsid w:val="00642978"/>
    <w:rsid w:val="00642F7B"/>
    <w:rsid w:val="006435D7"/>
    <w:rsid w:val="00645876"/>
    <w:rsid w:val="0064604D"/>
    <w:rsid w:val="00647A0A"/>
    <w:rsid w:val="00647CB7"/>
    <w:rsid w:val="006500A5"/>
    <w:rsid w:val="006502CB"/>
    <w:rsid w:val="00650BB3"/>
    <w:rsid w:val="00650F0C"/>
    <w:rsid w:val="0065184B"/>
    <w:rsid w:val="00653289"/>
    <w:rsid w:val="006546C9"/>
    <w:rsid w:val="00655C2B"/>
    <w:rsid w:val="00657952"/>
    <w:rsid w:val="00657E1E"/>
    <w:rsid w:val="006601C0"/>
    <w:rsid w:val="006614FE"/>
    <w:rsid w:val="006617B4"/>
    <w:rsid w:val="0066407E"/>
    <w:rsid w:val="00664705"/>
    <w:rsid w:val="00666717"/>
    <w:rsid w:val="0066673D"/>
    <w:rsid w:val="00670533"/>
    <w:rsid w:val="00670953"/>
    <w:rsid w:val="00670AEB"/>
    <w:rsid w:val="006725D9"/>
    <w:rsid w:val="00673339"/>
    <w:rsid w:val="00673607"/>
    <w:rsid w:val="006738D3"/>
    <w:rsid w:val="00676705"/>
    <w:rsid w:val="0067705A"/>
    <w:rsid w:val="006776AC"/>
    <w:rsid w:val="00681572"/>
    <w:rsid w:val="00683B65"/>
    <w:rsid w:val="00683DF9"/>
    <w:rsid w:val="0068424E"/>
    <w:rsid w:val="006842B7"/>
    <w:rsid w:val="006842F0"/>
    <w:rsid w:val="0068476D"/>
    <w:rsid w:val="006851A8"/>
    <w:rsid w:val="00685A5B"/>
    <w:rsid w:val="006863D0"/>
    <w:rsid w:val="006871DD"/>
    <w:rsid w:val="00687858"/>
    <w:rsid w:val="00690D6E"/>
    <w:rsid w:val="00691126"/>
    <w:rsid w:val="00693156"/>
    <w:rsid w:val="00694049"/>
    <w:rsid w:val="00695297"/>
    <w:rsid w:val="00696162"/>
    <w:rsid w:val="00697E71"/>
    <w:rsid w:val="00697EDD"/>
    <w:rsid w:val="006A1119"/>
    <w:rsid w:val="006A1D65"/>
    <w:rsid w:val="006A311D"/>
    <w:rsid w:val="006A3D92"/>
    <w:rsid w:val="006A4842"/>
    <w:rsid w:val="006A71C3"/>
    <w:rsid w:val="006B2186"/>
    <w:rsid w:val="006B3424"/>
    <w:rsid w:val="006B4638"/>
    <w:rsid w:val="006B6B87"/>
    <w:rsid w:val="006B7D38"/>
    <w:rsid w:val="006C15C3"/>
    <w:rsid w:val="006C1F66"/>
    <w:rsid w:val="006C35C7"/>
    <w:rsid w:val="006C46C7"/>
    <w:rsid w:val="006C5298"/>
    <w:rsid w:val="006C5E21"/>
    <w:rsid w:val="006D0CD3"/>
    <w:rsid w:val="006D2A2A"/>
    <w:rsid w:val="006D365D"/>
    <w:rsid w:val="006D3F0A"/>
    <w:rsid w:val="006D4E4F"/>
    <w:rsid w:val="006D4F33"/>
    <w:rsid w:val="006D66BC"/>
    <w:rsid w:val="006D6A84"/>
    <w:rsid w:val="006D6EA7"/>
    <w:rsid w:val="006D7AF4"/>
    <w:rsid w:val="006E104E"/>
    <w:rsid w:val="006E2DD1"/>
    <w:rsid w:val="006E384A"/>
    <w:rsid w:val="006E5078"/>
    <w:rsid w:val="006E682D"/>
    <w:rsid w:val="006E7E6A"/>
    <w:rsid w:val="006F21DA"/>
    <w:rsid w:val="006F2FA9"/>
    <w:rsid w:val="006F3B44"/>
    <w:rsid w:val="006F5D34"/>
    <w:rsid w:val="006F7336"/>
    <w:rsid w:val="006F7799"/>
    <w:rsid w:val="006F7EF0"/>
    <w:rsid w:val="00700412"/>
    <w:rsid w:val="0070048B"/>
    <w:rsid w:val="007006F8"/>
    <w:rsid w:val="00700B25"/>
    <w:rsid w:val="007019B5"/>
    <w:rsid w:val="00701B4A"/>
    <w:rsid w:val="0070275E"/>
    <w:rsid w:val="00702C6E"/>
    <w:rsid w:val="00705092"/>
    <w:rsid w:val="00705849"/>
    <w:rsid w:val="0070636B"/>
    <w:rsid w:val="00706B78"/>
    <w:rsid w:val="00706E15"/>
    <w:rsid w:val="00707116"/>
    <w:rsid w:val="00710EF4"/>
    <w:rsid w:val="007148F8"/>
    <w:rsid w:val="00714F45"/>
    <w:rsid w:val="007153F3"/>
    <w:rsid w:val="007159DF"/>
    <w:rsid w:val="00716735"/>
    <w:rsid w:val="0071797C"/>
    <w:rsid w:val="007203C9"/>
    <w:rsid w:val="00721868"/>
    <w:rsid w:val="007221C3"/>
    <w:rsid w:val="00723C4B"/>
    <w:rsid w:val="007240B3"/>
    <w:rsid w:val="0072615F"/>
    <w:rsid w:val="00726D99"/>
    <w:rsid w:val="007272BA"/>
    <w:rsid w:val="0072762E"/>
    <w:rsid w:val="00732C29"/>
    <w:rsid w:val="00732E98"/>
    <w:rsid w:val="00734953"/>
    <w:rsid w:val="007357C3"/>
    <w:rsid w:val="007370B5"/>
    <w:rsid w:val="00740C29"/>
    <w:rsid w:val="007421DF"/>
    <w:rsid w:val="0074314C"/>
    <w:rsid w:val="00743388"/>
    <w:rsid w:val="00744939"/>
    <w:rsid w:val="00745245"/>
    <w:rsid w:val="0074542A"/>
    <w:rsid w:val="007466E4"/>
    <w:rsid w:val="00746783"/>
    <w:rsid w:val="00751C6B"/>
    <w:rsid w:val="00751EBD"/>
    <w:rsid w:val="0075234D"/>
    <w:rsid w:val="007529FE"/>
    <w:rsid w:val="00752B60"/>
    <w:rsid w:val="00752D6C"/>
    <w:rsid w:val="00753801"/>
    <w:rsid w:val="00755D42"/>
    <w:rsid w:val="00756158"/>
    <w:rsid w:val="00756BC2"/>
    <w:rsid w:val="0075769C"/>
    <w:rsid w:val="00757826"/>
    <w:rsid w:val="0076026E"/>
    <w:rsid w:val="00760469"/>
    <w:rsid w:val="00760EF3"/>
    <w:rsid w:val="00764879"/>
    <w:rsid w:val="00764AEE"/>
    <w:rsid w:val="00765121"/>
    <w:rsid w:val="00765C8F"/>
    <w:rsid w:val="007661AA"/>
    <w:rsid w:val="00766603"/>
    <w:rsid w:val="00766D3B"/>
    <w:rsid w:val="00771549"/>
    <w:rsid w:val="00771774"/>
    <w:rsid w:val="00771807"/>
    <w:rsid w:val="00772CF5"/>
    <w:rsid w:val="00774EFE"/>
    <w:rsid w:val="00776C5D"/>
    <w:rsid w:val="00777208"/>
    <w:rsid w:val="00777241"/>
    <w:rsid w:val="00780560"/>
    <w:rsid w:val="00781C0A"/>
    <w:rsid w:val="0078217D"/>
    <w:rsid w:val="007824CE"/>
    <w:rsid w:val="007832EF"/>
    <w:rsid w:val="00783DC1"/>
    <w:rsid w:val="00784D65"/>
    <w:rsid w:val="00786B78"/>
    <w:rsid w:val="00786E6A"/>
    <w:rsid w:val="00792176"/>
    <w:rsid w:val="00793115"/>
    <w:rsid w:val="00793CA6"/>
    <w:rsid w:val="00794D84"/>
    <w:rsid w:val="00794DB8"/>
    <w:rsid w:val="00795408"/>
    <w:rsid w:val="007A1104"/>
    <w:rsid w:val="007A123B"/>
    <w:rsid w:val="007A2431"/>
    <w:rsid w:val="007A25C3"/>
    <w:rsid w:val="007A297C"/>
    <w:rsid w:val="007A55F9"/>
    <w:rsid w:val="007A69D4"/>
    <w:rsid w:val="007A6FC2"/>
    <w:rsid w:val="007B03B5"/>
    <w:rsid w:val="007B04DC"/>
    <w:rsid w:val="007B1023"/>
    <w:rsid w:val="007B1F87"/>
    <w:rsid w:val="007B58CB"/>
    <w:rsid w:val="007B70D5"/>
    <w:rsid w:val="007B747B"/>
    <w:rsid w:val="007B7B59"/>
    <w:rsid w:val="007C29E9"/>
    <w:rsid w:val="007C3514"/>
    <w:rsid w:val="007C3536"/>
    <w:rsid w:val="007C4584"/>
    <w:rsid w:val="007C461A"/>
    <w:rsid w:val="007C4828"/>
    <w:rsid w:val="007C498A"/>
    <w:rsid w:val="007C4B36"/>
    <w:rsid w:val="007C57EB"/>
    <w:rsid w:val="007C5F59"/>
    <w:rsid w:val="007D0AF2"/>
    <w:rsid w:val="007D0D25"/>
    <w:rsid w:val="007D0EF1"/>
    <w:rsid w:val="007D37F9"/>
    <w:rsid w:val="007D3845"/>
    <w:rsid w:val="007D5607"/>
    <w:rsid w:val="007D6492"/>
    <w:rsid w:val="007D7378"/>
    <w:rsid w:val="007E06A1"/>
    <w:rsid w:val="007E22D6"/>
    <w:rsid w:val="007E2CCF"/>
    <w:rsid w:val="007E3369"/>
    <w:rsid w:val="007E46BF"/>
    <w:rsid w:val="007E4816"/>
    <w:rsid w:val="007E71BF"/>
    <w:rsid w:val="007E75F8"/>
    <w:rsid w:val="007F1359"/>
    <w:rsid w:val="007F1461"/>
    <w:rsid w:val="007F1884"/>
    <w:rsid w:val="007F2091"/>
    <w:rsid w:val="007F43D8"/>
    <w:rsid w:val="007F4FE1"/>
    <w:rsid w:val="007F5A21"/>
    <w:rsid w:val="007F5DB8"/>
    <w:rsid w:val="007F60D7"/>
    <w:rsid w:val="007F78B8"/>
    <w:rsid w:val="0080007A"/>
    <w:rsid w:val="008009F2"/>
    <w:rsid w:val="00800E15"/>
    <w:rsid w:val="00801938"/>
    <w:rsid w:val="00804973"/>
    <w:rsid w:val="00805E85"/>
    <w:rsid w:val="008060DE"/>
    <w:rsid w:val="00806A07"/>
    <w:rsid w:val="00806EA8"/>
    <w:rsid w:val="00807093"/>
    <w:rsid w:val="00810013"/>
    <w:rsid w:val="00810B94"/>
    <w:rsid w:val="008112EB"/>
    <w:rsid w:val="00811585"/>
    <w:rsid w:val="00811F96"/>
    <w:rsid w:val="00812258"/>
    <w:rsid w:val="0081485F"/>
    <w:rsid w:val="008154DF"/>
    <w:rsid w:val="00820945"/>
    <w:rsid w:val="00820C9F"/>
    <w:rsid w:val="00821900"/>
    <w:rsid w:val="00821EBC"/>
    <w:rsid w:val="0082345A"/>
    <w:rsid w:val="00823755"/>
    <w:rsid w:val="008248B2"/>
    <w:rsid w:val="00824E05"/>
    <w:rsid w:val="00825BBD"/>
    <w:rsid w:val="00827E07"/>
    <w:rsid w:val="00830026"/>
    <w:rsid w:val="00830AD4"/>
    <w:rsid w:val="008325B4"/>
    <w:rsid w:val="00833AB8"/>
    <w:rsid w:val="008345E6"/>
    <w:rsid w:val="00834D3E"/>
    <w:rsid w:val="00835354"/>
    <w:rsid w:val="00835AF1"/>
    <w:rsid w:val="00836489"/>
    <w:rsid w:val="00837A93"/>
    <w:rsid w:val="008409A5"/>
    <w:rsid w:val="0084181E"/>
    <w:rsid w:val="0084291B"/>
    <w:rsid w:val="00842CB5"/>
    <w:rsid w:val="0084309E"/>
    <w:rsid w:val="008459ED"/>
    <w:rsid w:val="00845BFB"/>
    <w:rsid w:val="00846F17"/>
    <w:rsid w:val="00847993"/>
    <w:rsid w:val="008509D8"/>
    <w:rsid w:val="008514D1"/>
    <w:rsid w:val="00851A57"/>
    <w:rsid w:val="00852B72"/>
    <w:rsid w:val="008541AD"/>
    <w:rsid w:val="00854293"/>
    <w:rsid w:val="00854A35"/>
    <w:rsid w:val="008559D7"/>
    <w:rsid w:val="00860F6A"/>
    <w:rsid w:val="0086135B"/>
    <w:rsid w:val="008617EB"/>
    <w:rsid w:val="008619B0"/>
    <w:rsid w:val="00862CB3"/>
    <w:rsid w:val="00863052"/>
    <w:rsid w:val="008632B3"/>
    <w:rsid w:val="00864340"/>
    <w:rsid w:val="00864A5B"/>
    <w:rsid w:val="00865E34"/>
    <w:rsid w:val="00867D75"/>
    <w:rsid w:val="008701B0"/>
    <w:rsid w:val="00870C6A"/>
    <w:rsid w:val="008713DB"/>
    <w:rsid w:val="00871EB1"/>
    <w:rsid w:val="008720E4"/>
    <w:rsid w:val="00872744"/>
    <w:rsid w:val="00874243"/>
    <w:rsid w:val="00875003"/>
    <w:rsid w:val="008756C8"/>
    <w:rsid w:val="008759C5"/>
    <w:rsid w:val="00877A37"/>
    <w:rsid w:val="00880006"/>
    <w:rsid w:val="008816B8"/>
    <w:rsid w:val="00881B9D"/>
    <w:rsid w:val="00882AFF"/>
    <w:rsid w:val="0088503F"/>
    <w:rsid w:val="0088522F"/>
    <w:rsid w:val="00885536"/>
    <w:rsid w:val="00885A8D"/>
    <w:rsid w:val="00885D21"/>
    <w:rsid w:val="00885E44"/>
    <w:rsid w:val="00886EF8"/>
    <w:rsid w:val="00887622"/>
    <w:rsid w:val="00891403"/>
    <w:rsid w:val="00892242"/>
    <w:rsid w:val="00893078"/>
    <w:rsid w:val="008942C0"/>
    <w:rsid w:val="00894AD7"/>
    <w:rsid w:val="008951D8"/>
    <w:rsid w:val="00896BF3"/>
    <w:rsid w:val="00896CD1"/>
    <w:rsid w:val="00896DAA"/>
    <w:rsid w:val="008A076E"/>
    <w:rsid w:val="008A1B7C"/>
    <w:rsid w:val="008A253D"/>
    <w:rsid w:val="008A2881"/>
    <w:rsid w:val="008A3C9D"/>
    <w:rsid w:val="008A4A70"/>
    <w:rsid w:val="008A5A00"/>
    <w:rsid w:val="008A5F03"/>
    <w:rsid w:val="008B0474"/>
    <w:rsid w:val="008B0DB2"/>
    <w:rsid w:val="008B150B"/>
    <w:rsid w:val="008B1626"/>
    <w:rsid w:val="008B2E48"/>
    <w:rsid w:val="008B5701"/>
    <w:rsid w:val="008B571E"/>
    <w:rsid w:val="008B636A"/>
    <w:rsid w:val="008B63D5"/>
    <w:rsid w:val="008C071F"/>
    <w:rsid w:val="008C0CC5"/>
    <w:rsid w:val="008C122A"/>
    <w:rsid w:val="008C2D29"/>
    <w:rsid w:val="008C3F60"/>
    <w:rsid w:val="008C54BA"/>
    <w:rsid w:val="008C62EA"/>
    <w:rsid w:val="008C6A3B"/>
    <w:rsid w:val="008C6E7B"/>
    <w:rsid w:val="008C7108"/>
    <w:rsid w:val="008D4235"/>
    <w:rsid w:val="008D4C14"/>
    <w:rsid w:val="008D4E4E"/>
    <w:rsid w:val="008D5559"/>
    <w:rsid w:val="008D7E59"/>
    <w:rsid w:val="008E0387"/>
    <w:rsid w:val="008E1E7D"/>
    <w:rsid w:val="008E2AE3"/>
    <w:rsid w:val="008E3203"/>
    <w:rsid w:val="008E3DA3"/>
    <w:rsid w:val="008E4B16"/>
    <w:rsid w:val="008E4EAB"/>
    <w:rsid w:val="008E6383"/>
    <w:rsid w:val="008E678E"/>
    <w:rsid w:val="008E67ED"/>
    <w:rsid w:val="008E68CB"/>
    <w:rsid w:val="008E7782"/>
    <w:rsid w:val="008F2E95"/>
    <w:rsid w:val="008F3C93"/>
    <w:rsid w:val="008F409F"/>
    <w:rsid w:val="008F45A9"/>
    <w:rsid w:val="008F45C1"/>
    <w:rsid w:val="008F4CF7"/>
    <w:rsid w:val="008F4D0A"/>
    <w:rsid w:val="008F5925"/>
    <w:rsid w:val="008F72A1"/>
    <w:rsid w:val="008F78DA"/>
    <w:rsid w:val="0090326F"/>
    <w:rsid w:val="009035B3"/>
    <w:rsid w:val="009035F1"/>
    <w:rsid w:val="00903DCE"/>
    <w:rsid w:val="009042FD"/>
    <w:rsid w:val="0090463D"/>
    <w:rsid w:val="0090780C"/>
    <w:rsid w:val="00907AE8"/>
    <w:rsid w:val="009103F5"/>
    <w:rsid w:val="00910864"/>
    <w:rsid w:val="00910DBE"/>
    <w:rsid w:val="0091120C"/>
    <w:rsid w:val="00911368"/>
    <w:rsid w:val="00911680"/>
    <w:rsid w:val="0091310B"/>
    <w:rsid w:val="00914CE8"/>
    <w:rsid w:val="0091516C"/>
    <w:rsid w:val="00917B25"/>
    <w:rsid w:val="00920A59"/>
    <w:rsid w:val="00920FFE"/>
    <w:rsid w:val="0092281E"/>
    <w:rsid w:val="00923019"/>
    <w:rsid w:val="00923583"/>
    <w:rsid w:val="009252D2"/>
    <w:rsid w:val="00931269"/>
    <w:rsid w:val="0093345C"/>
    <w:rsid w:val="00935836"/>
    <w:rsid w:val="00935980"/>
    <w:rsid w:val="00935F6A"/>
    <w:rsid w:val="00936206"/>
    <w:rsid w:val="00936C48"/>
    <w:rsid w:val="00941051"/>
    <w:rsid w:val="009418C4"/>
    <w:rsid w:val="00941D76"/>
    <w:rsid w:val="009431BF"/>
    <w:rsid w:val="00943AAD"/>
    <w:rsid w:val="00944437"/>
    <w:rsid w:val="0094456A"/>
    <w:rsid w:val="009455E5"/>
    <w:rsid w:val="00945B25"/>
    <w:rsid w:val="0094613A"/>
    <w:rsid w:val="00946A12"/>
    <w:rsid w:val="00946CF1"/>
    <w:rsid w:val="009473C3"/>
    <w:rsid w:val="00947CA3"/>
    <w:rsid w:val="009509E5"/>
    <w:rsid w:val="00952124"/>
    <w:rsid w:val="009530F5"/>
    <w:rsid w:val="0095312F"/>
    <w:rsid w:val="00953689"/>
    <w:rsid w:val="0095383E"/>
    <w:rsid w:val="00955A3C"/>
    <w:rsid w:val="00956070"/>
    <w:rsid w:val="00956AEB"/>
    <w:rsid w:val="00956CF1"/>
    <w:rsid w:val="00956E30"/>
    <w:rsid w:val="009602F5"/>
    <w:rsid w:val="00960566"/>
    <w:rsid w:val="00960630"/>
    <w:rsid w:val="009606E9"/>
    <w:rsid w:val="0096139C"/>
    <w:rsid w:val="0096172C"/>
    <w:rsid w:val="009627AC"/>
    <w:rsid w:val="00962DD2"/>
    <w:rsid w:val="00964431"/>
    <w:rsid w:val="00966237"/>
    <w:rsid w:val="0096664E"/>
    <w:rsid w:val="00967D6B"/>
    <w:rsid w:val="00967F70"/>
    <w:rsid w:val="00967FA6"/>
    <w:rsid w:val="00970DF0"/>
    <w:rsid w:val="0097241C"/>
    <w:rsid w:val="00972B7C"/>
    <w:rsid w:val="00972F21"/>
    <w:rsid w:val="00973E01"/>
    <w:rsid w:val="00974B4A"/>
    <w:rsid w:val="00974C32"/>
    <w:rsid w:val="00975F79"/>
    <w:rsid w:val="009779E4"/>
    <w:rsid w:val="00981750"/>
    <w:rsid w:val="0098446B"/>
    <w:rsid w:val="009847D3"/>
    <w:rsid w:val="00985594"/>
    <w:rsid w:val="009856A0"/>
    <w:rsid w:val="00986011"/>
    <w:rsid w:val="009860A8"/>
    <w:rsid w:val="00987DE2"/>
    <w:rsid w:val="00990A57"/>
    <w:rsid w:val="00991BBC"/>
    <w:rsid w:val="00991C6B"/>
    <w:rsid w:val="00993781"/>
    <w:rsid w:val="009947A6"/>
    <w:rsid w:val="009954F5"/>
    <w:rsid w:val="0099562F"/>
    <w:rsid w:val="00995829"/>
    <w:rsid w:val="00996694"/>
    <w:rsid w:val="00996AF2"/>
    <w:rsid w:val="00996D1E"/>
    <w:rsid w:val="009A0E0D"/>
    <w:rsid w:val="009A12D1"/>
    <w:rsid w:val="009A3798"/>
    <w:rsid w:val="009A4860"/>
    <w:rsid w:val="009A585B"/>
    <w:rsid w:val="009A5ED0"/>
    <w:rsid w:val="009B0487"/>
    <w:rsid w:val="009B0C8A"/>
    <w:rsid w:val="009B17BB"/>
    <w:rsid w:val="009B2B71"/>
    <w:rsid w:val="009B3CCC"/>
    <w:rsid w:val="009B43ED"/>
    <w:rsid w:val="009B4AB2"/>
    <w:rsid w:val="009B4B66"/>
    <w:rsid w:val="009B4F71"/>
    <w:rsid w:val="009B5BB9"/>
    <w:rsid w:val="009B718E"/>
    <w:rsid w:val="009B7F43"/>
    <w:rsid w:val="009C0691"/>
    <w:rsid w:val="009C2105"/>
    <w:rsid w:val="009C21BD"/>
    <w:rsid w:val="009C280A"/>
    <w:rsid w:val="009C3E6F"/>
    <w:rsid w:val="009D0573"/>
    <w:rsid w:val="009D1093"/>
    <w:rsid w:val="009D17F9"/>
    <w:rsid w:val="009D1B2B"/>
    <w:rsid w:val="009D1CE1"/>
    <w:rsid w:val="009D22BF"/>
    <w:rsid w:val="009D2F5A"/>
    <w:rsid w:val="009D35AF"/>
    <w:rsid w:val="009D4848"/>
    <w:rsid w:val="009D5D7E"/>
    <w:rsid w:val="009D62F0"/>
    <w:rsid w:val="009E124E"/>
    <w:rsid w:val="009E1658"/>
    <w:rsid w:val="009E2687"/>
    <w:rsid w:val="009E2D89"/>
    <w:rsid w:val="009E48BF"/>
    <w:rsid w:val="009E4FF2"/>
    <w:rsid w:val="009E5011"/>
    <w:rsid w:val="009E568D"/>
    <w:rsid w:val="009F0E24"/>
    <w:rsid w:val="009F11DA"/>
    <w:rsid w:val="009F1F5F"/>
    <w:rsid w:val="009F25C4"/>
    <w:rsid w:val="009F2B7B"/>
    <w:rsid w:val="009F33F4"/>
    <w:rsid w:val="009F40BD"/>
    <w:rsid w:val="009F4BED"/>
    <w:rsid w:val="009F7A5D"/>
    <w:rsid w:val="009F7CB2"/>
    <w:rsid w:val="009F7E30"/>
    <w:rsid w:val="00A0059F"/>
    <w:rsid w:val="00A01E95"/>
    <w:rsid w:val="00A0366F"/>
    <w:rsid w:val="00A0427B"/>
    <w:rsid w:val="00A0478B"/>
    <w:rsid w:val="00A054FC"/>
    <w:rsid w:val="00A06259"/>
    <w:rsid w:val="00A06498"/>
    <w:rsid w:val="00A06CCB"/>
    <w:rsid w:val="00A07C2F"/>
    <w:rsid w:val="00A10B0B"/>
    <w:rsid w:val="00A11224"/>
    <w:rsid w:val="00A134A7"/>
    <w:rsid w:val="00A137AB"/>
    <w:rsid w:val="00A13D8D"/>
    <w:rsid w:val="00A147B3"/>
    <w:rsid w:val="00A14BF6"/>
    <w:rsid w:val="00A14E63"/>
    <w:rsid w:val="00A2076B"/>
    <w:rsid w:val="00A21C19"/>
    <w:rsid w:val="00A22733"/>
    <w:rsid w:val="00A22DA3"/>
    <w:rsid w:val="00A238F8"/>
    <w:rsid w:val="00A24340"/>
    <w:rsid w:val="00A24FB9"/>
    <w:rsid w:val="00A25C5D"/>
    <w:rsid w:val="00A27D2E"/>
    <w:rsid w:val="00A3111E"/>
    <w:rsid w:val="00A31290"/>
    <w:rsid w:val="00A32388"/>
    <w:rsid w:val="00A33214"/>
    <w:rsid w:val="00A3322D"/>
    <w:rsid w:val="00A337C5"/>
    <w:rsid w:val="00A33FFB"/>
    <w:rsid w:val="00A34785"/>
    <w:rsid w:val="00A34FBB"/>
    <w:rsid w:val="00A374CF"/>
    <w:rsid w:val="00A40250"/>
    <w:rsid w:val="00A40694"/>
    <w:rsid w:val="00A43B5B"/>
    <w:rsid w:val="00A444BF"/>
    <w:rsid w:val="00A45954"/>
    <w:rsid w:val="00A460F4"/>
    <w:rsid w:val="00A470FF"/>
    <w:rsid w:val="00A536A6"/>
    <w:rsid w:val="00A53F5A"/>
    <w:rsid w:val="00A54800"/>
    <w:rsid w:val="00A56649"/>
    <w:rsid w:val="00A56DB5"/>
    <w:rsid w:val="00A57E22"/>
    <w:rsid w:val="00A6009B"/>
    <w:rsid w:val="00A6124C"/>
    <w:rsid w:val="00A61569"/>
    <w:rsid w:val="00A61B69"/>
    <w:rsid w:val="00A61E28"/>
    <w:rsid w:val="00A64098"/>
    <w:rsid w:val="00A67C5A"/>
    <w:rsid w:val="00A7069E"/>
    <w:rsid w:val="00A717E9"/>
    <w:rsid w:val="00A71CB5"/>
    <w:rsid w:val="00A73F5E"/>
    <w:rsid w:val="00A742EF"/>
    <w:rsid w:val="00A74D17"/>
    <w:rsid w:val="00A74D4F"/>
    <w:rsid w:val="00A74FE9"/>
    <w:rsid w:val="00A757F7"/>
    <w:rsid w:val="00A75A23"/>
    <w:rsid w:val="00A75A38"/>
    <w:rsid w:val="00A77C07"/>
    <w:rsid w:val="00A77D3F"/>
    <w:rsid w:val="00A80D07"/>
    <w:rsid w:val="00A81928"/>
    <w:rsid w:val="00A81AAB"/>
    <w:rsid w:val="00A83A18"/>
    <w:rsid w:val="00A84EBE"/>
    <w:rsid w:val="00A854CB"/>
    <w:rsid w:val="00A85C6E"/>
    <w:rsid w:val="00A85DB5"/>
    <w:rsid w:val="00A86D3A"/>
    <w:rsid w:val="00A87CC7"/>
    <w:rsid w:val="00A90C27"/>
    <w:rsid w:val="00A92144"/>
    <w:rsid w:val="00A92EE3"/>
    <w:rsid w:val="00A94822"/>
    <w:rsid w:val="00A959DE"/>
    <w:rsid w:val="00A95F9E"/>
    <w:rsid w:val="00A961FC"/>
    <w:rsid w:val="00A9683D"/>
    <w:rsid w:val="00AA0B16"/>
    <w:rsid w:val="00AA1E13"/>
    <w:rsid w:val="00AA1FA6"/>
    <w:rsid w:val="00AA219E"/>
    <w:rsid w:val="00AA26A1"/>
    <w:rsid w:val="00AA2842"/>
    <w:rsid w:val="00AA3DAF"/>
    <w:rsid w:val="00AA4C58"/>
    <w:rsid w:val="00AA69CF"/>
    <w:rsid w:val="00AA6A38"/>
    <w:rsid w:val="00AB11C5"/>
    <w:rsid w:val="00AB26C8"/>
    <w:rsid w:val="00AB3F01"/>
    <w:rsid w:val="00AB4ED3"/>
    <w:rsid w:val="00AB5FB6"/>
    <w:rsid w:val="00AB6AC9"/>
    <w:rsid w:val="00AC0B23"/>
    <w:rsid w:val="00AC0BF6"/>
    <w:rsid w:val="00AC1E68"/>
    <w:rsid w:val="00AC1F4E"/>
    <w:rsid w:val="00AC2060"/>
    <w:rsid w:val="00AC2DE8"/>
    <w:rsid w:val="00AC3938"/>
    <w:rsid w:val="00AC3A69"/>
    <w:rsid w:val="00AC4E1F"/>
    <w:rsid w:val="00AC6B06"/>
    <w:rsid w:val="00AC6EBD"/>
    <w:rsid w:val="00AD0BF3"/>
    <w:rsid w:val="00AD0C45"/>
    <w:rsid w:val="00AD22D8"/>
    <w:rsid w:val="00AD2819"/>
    <w:rsid w:val="00AD30CC"/>
    <w:rsid w:val="00AD3350"/>
    <w:rsid w:val="00AD3AD0"/>
    <w:rsid w:val="00AD526D"/>
    <w:rsid w:val="00AD5ADD"/>
    <w:rsid w:val="00AD61D3"/>
    <w:rsid w:val="00AD694D"/>
    <w:rsid w:val="00AD6B6B"/>
    <w:rsid w:val="00AE0551"/>
    <w:rsid w:val="00AE0608"/>
    <w:rsid w:val="00AE0A07"/>
    <w:rsid w:val="00AE0EF5"/>
    <w:rsid w:val="00AE15F4"/>
    <w:rsid w:val="00AE17D6"/>
    <w:rsid w:val="00AE3015"/>
    <w:rsid w:val="00AE371F"/>
    <w:rsid w:val="00AE3A60"/>
    <w:rsid w:val="00AE4759"/>
    <w:rsid w:val="00AE56E9"/>
    <w:rsid w:val="00AE6164"/>
    <w:rsid w:val="00AE61F8"/>
    <w:rsid w:val="00AE6547"/>
    <w:rsid w:val="00AE779D"/>
    <w:rsid w:val="00AF0D62"/>
    <w:rsid w:val="00AF0DDF"/>
    <w:rsid w:val="00AF1846"/>
    <w:rsid w:val="00AF21BE"/>
    <w:rsid w:val="00AF2952"/>
    <w:rsid w:val="00AF302F"/>
    <w:rsid w:val="00AF338A"/>
    <w:rsid w:val="00AF3457"/>
    <w:rsid w:val="00AF3640"/>
    <w:rsid w:val="00AF50AF"/>
    <w:rsid w:val="00AF6018"/>
    <w:rsid w:val="00AF7305"/>
    <w:rsid w:val="00AF7868"/>
    <w:rsid w:val="00AF78DE"/>
    <w:rsid w:val="00AF7A19"/>
    <w:rsid w:val="00B021C2"/>
    <w:rsid w:val="00B04A05"/>
    <w:rsid w:val="00B04AA4"/>
    <w:rsid w:val="00B05613"/>
    <w:rsid w:val="00B07441"/>
    <w:rsid w:val="00B07FC6"/>
    <w:rsid w:val="00B11AE3"/>
    <w:rsid w:val="00B1211C"/>
    <w:rsid w:val="00B1240B"/>
    <w:rsid w:val="00B1386A"/>
    <w:rsid w:val="00B14A70"/>
    <w:rsid w:val="00B16531"/>
    <w:rsid w:val="00B166DA"/>
    <w:rsid w:val="00B1720A"/>
    <w:rsid w:val="00B17CB4"/>
    <w:rsid w:val="00B17F43"/>
    <w:rsid w:val="00B203A4"/>
    <w:rsid w:val="00B20FB9"/>
    <w:rsid w:val="00B2300D"/>
    <w:rsid w:val="00B245F1"/>
    <w:rsid w:val="00B309B9"/>
    <w:rsid w:val="00B3116C"/>
    <w:rsid w:val="00B324AF"/>
    <w:rsid w:val="00B3324F"/>
    <w:rsid w:val="00B33816"/>
    <w:rsid w:val="00B338CA"/>
    <w:rsid w:val="00B352E0"/>
    <w:rsid w:val="00B35520"/>
    <w:rsid w:val="00B37716"/>
    <w:rsid w:val="00B37CBC"/>
    <w:rsid w:val="00B40FA4"/>
    <w:rsid w:val="00B413A4"/>
    <w:rsid w:val="00B43246"/>
    <w:rsid w:val="00B44C5B"/>
    <w:rsid w:val="00B45B7A"/>
    <w:rsid w:val="00B478AD"/>
    <w:rsid w:val="00B50A72"/>
    <w:rsid w:val="00B51036"/>
    <w:rsid w:val="00B520CD"/>
    <w:rsid w:val="00B53E01"/>
    <w:rsid w:val="00B54D11"/>
    <w:rsid w:val="00B5506B"/>
    <w:rsid w:val="00B55AD3"/>
    <w:rsid w:val="00B55B55"/>
    <w:rsid w:val="00B574BC"/>
    <w:rsid w:val="00B5773E"/>
    <w:rsid w:val="00B578A6"/>
    <w:rsid w:val="00B60E67"/>
    <w:rsid w:val="00B61D53"/>
    <w:rsid w:val="00B64EEC"/>
    <w:rsid w:val="00B652A4"/>
    <w:rsid w:val="00B653A4"/>
    <w:rsid w:val="00B66160"/>
    <w:rsid w:val="00B6714A"/>
    <w:rsid w:val="00B6754D"/>
    <w:rsid w:val="00B729E4"/>
    <w:rsid w:val="00B73A55"/>
    <w:rsid w:val="00B73B05"/>
    <w:rsid w:val="00B750DE"/>
    <w:rsid w:val="00B75413"/>
    <w:rsid w:val="00B75758"/>
    <w:rsid w:val="00B7678D"/>
    <w:rsid w:val="00B76C75"/>
    <w:rsid w:val="00B77C6C"/>
    <w:rsid w:val="00B8035E"/>
    <w:rsid w:val="00B821F7"/>
    <w:rsid w:val="00B82419"/>
    <w:rsid w:val="00B8533A"/>
    <w:rsid w:val="00B8536E"/>
    <w:rsid w:val="00B865F0"/>
    <w:rsid w:val="00B866C7"/>
    <w:rsid w:val="00B878BD"/>
    <w:rsid w:val="00B87F36"/>
    <w:rsid w:val="00B92ABB"/>
    <w:rsid w:val="00B9366C"/>
    <w:rsid w:val="00B9406B"/>
    <w:rsid w:val="00B94544"/>
    <w:rsid w:val="00B95385"/>
    <w:rsid w:val="00B95545"/>
    <w:rsid w:val="00B9573F"/>
    <w:rsid w:val="00B95A20"/>
    <w:rsid w:val="00B9666B"/>
    <w:rsid w:val="00B96EC6"/>
    <w:rsid w:val="00B970CE"/>
    <w:rsid w:val="00B97B9C"/>
    <w:rsid w:val="00BA093C"/>
    <w:rsid w:val="00BA0A23"/>
    <w:rsid w:val="00BA1308"/>
    <w:rsid w:val="00BA149D"/>
    <w:rsid w:val="00BA2934"/>
    <w:rsid w:val="00BA2FC2"/>
    <w:rsid w:val="00BA3A95"/>
    <w:rsid w:val="00BA5638"/>
    <w:rsid w:val="00BA5921"/>
    <w:rsid w:val="00BA61A7"/>
    <w:rsid w:val="00BA7801"/>
    <w:rsid w:val="00BA7D6B"/>
    <w:rsid w:val="00BB244D"/>
    <w:rsid w:val="00BB46DA"/>
    <w:rsid w:val="00BB5A83"/>
    <w:rsid w:val="00BB5A9C"/>
    <w:rsid w:val="00BB6428"/>
    <w:rsid w:val="00BB65E7"/>
    <w:rsid w:val="00BB6A5B"/>
    <w:rsid w:val="00BB6F6C"/>
    <w:rsid w:val="00BC0230"/>
    <w:rsid w:val="00BC1925"/>
    <w:rsid w:val="00BC2430"/>
    <w:rsid w:val="00BC4E7B"/>
    <w:rsid w:val="00BC5258"/>
    <w:rsid w:val="00BC580F"/>
    <w:rsid w:val="00BC5ADA"/>
    <w:rsid w:val="00BC64F6"/>
    <w:rsid w:val="00BC6CBE"/>
    <w:rsid w:val="00BC74C7"/>
    <w:rsid w:val="00BC7BC7"/>
    <w:rsid w:val="00BD0A58"/>
    <w:rsid w:val="00BD0AC8"/>
    <w:rsid w:val="00BD1B46"/>
    <w:rsid w:val="00BD25A5"/>
    <w:rsid w:val="00BD363E"/>
    <w:rsid w:val="00BD3A2E"/>
    <w:rsid w:val="00BD4C05"/>
    <w:rsid w:val="00BD4F9C"/>
    <w:rsid w:val="00BE06D0"/>
    <w:rsid w:val="00BE1AA0"/>
    <w:rsid w:val="00BE25F3"/>
    <w:rsid w:val="00BE2F67"/>
    <w:rsid w:val="00BE7B40"/>
    <w:rsid w:val="00BE7D0D"/>
    <w:rsid w:val="00BF086E"/>
    <w:rsid w:val="00BF27E7"/>
    <w:rsid w:val="00BF2928"/>
    <w:rsid w:val="00C0003B"/>
    <w:rsid w:val="00C008D8"/>
    <w:rsid w:val="00C00BB4"/>
    <w:rsid w:val="00C02C5A"/>
    <w:rsid w:val="00C03109"/>
    <w:rsid w:val="00C03493"/>
    <w:rsid w:val="00C036EB"/>
    <w:rsid w:val="00C04934"/>
    <w:rsid w:val="00C04ACC"/>
    <w:rsid w:val="00C055A1"/>
    <w:rsid w:val="00C06A19"/>
    <w:rsid w:val="00C1043D"/>
    <w:rsid w:val="00C10876"/>
    <w:rsid w:val="00C11E45"/>
    <w:rsid w:val="00C1224E"/>
    <w:rsid w:val="00C13A09"/>
    <w:rsid w:val="00C14FFA"/>
    <w:rsid w:val="00C15BA5"/>
    <w:rsid w:val="00C15E44"/>
    <w:rsid w:val="00C15F73"/>
    <w:rsid w:val="00C20008"/>
    <w:rsid w:val="00C20380"/>
    <w:rsid w:val="00C20980"/>
    <w:rsid w:val="00C21D83"/>
    <w:rsid w:val="00C22495"/>
    <w:rsid w:val="00C22B5A"/>
    <w:rsid w:val="00C22F1E"/>
    <w:rsid w:val="00C236E8"/>
    <w:rsid w:val="00C2461B"/>
    <w:rsid w:val="00C2471E"/>
    <w:rsid w:val="00C24DD4"/>
    <w:rsid w:val="00C25F60"/>
    <w:rsid w:val="00C26470"/>
    <w:rsid w:val="00C27F1F"/>
    <w:rsid w:val="00C30B21"/>
    <w:rsid w:val="00C3246B"/>
    <w:rsid w:val="00C32B3D"/>
    <w:rsid w:val="00C363B7"/>
    <w:rsid w:val="00C41A9E"/>
    <w:rsid w:val="00C4515D"/>
    <w:rsid w:val="00C4560E"/>
    <w:rsid w:val="00C46220"/>
    <w:rsid w:val="00C47249"/>
    <w:rsid w:val="00C5093D"/>
    <w:rsid w:val="00C5176C"/>
    <w:rsid w:val="00C517C8"/>
    <w:rsid w:val="00C51A91"/>
    <w:rsid w:val="00C52684"/>
    <w:rsid w:val="00C536DD"/>
    <w:rsid w:val="00C54237"/>
    <w:rsid w:val="00C569A9"/>
    <w:rsid w:val="00C57888"/>
    <w:rsid w:val="00C57CED"/>
    <w:rsid w:val="00C6101B"/>
    <w:rsid w:val="00C61084"/>
    <w:rsid w:val="00C61749"/>
    <w:rsid w:val="00C61769"/>
    <w:rsid w:val="00C662F8"/>
    <w:rsid w:val="00C66BF3"/>
    <w:rsid w:val="00C72676"/>
    <w:rsid w:val="00C75D3C"/>
    <w:rsid w:val="00C8055E"/>
    <w:rsid w:val="00C80E21"/>
    <w:rsid w:val="00C81560"/>
    <w:rsid w:val="00C84605"/>
    <w:rsid w:val="00C85FBF"/>
    <w:rsid w:val="00C8648A"/>
    <w:rsid w:val="00C86C34"/>
    <w:rsid w:val="00C87EAE"/>
    <w:rsid w:val="00C90111"/>
    <w:rsid w:val="00C91278"/>
    <w:rsid w:val="00C91360"/>
    <w:rsid w:val="00C92669"/>
    <w:rsid w:val="00C92745"/>
    <w:rsid w:val="00C932E7"/>
    <w:rsid w:val="00C93754"/>
    <w:rsid w:val="00C940E1"/>
    <w:rsid w:val="00C946F3"/>
    <w:rsid w:val="00C948D6"/>
    <w:rsid w:val="00C959A9"/>
    <w:rsid w:val="00C966D2"/>
    <w:rsid w:val="00C974BA"/>
    <w:rsid w:val="00C979E9"/>
    <w:rsid w:val="00C97E5C"/>
    <w:rsid w:val="00CA14C9"/>
    <w:rsid w:val="00CA28F1"/>
    <w:rsid w:val="00CA2AEF"/>
    <w:rsid w:val="00CA590D"/>
    <w:rsid w:val="00CA598C"/>
    <w:rsid w:val="00CA609C"/>
    <w:rsid w:val="00CA7BC2"/>
    <w:rsid w:val="00CA7DD8"/>
    <w:rsid w:val="00CB0C04"/>
    <w:rsid w:val="00CB1A30"/>
    <w:rsid w:val="00CB1A76"/>
    <w:rsid w:val="00CB2177"/>
    <w:rsid w:val="00CB36AD"/>
    <w:rsid w:val="00CB3941"/>
    <w:rsid w:val="00CB404B"/>
    <w:rsid w:val="00CB56C6"/>
    <w:rsid w:val="00CB61B0"/>
    <w:rsid w:val="00CB67D3"/>
    <w:rsid w:val="00CB7698"/>
    <w:rsid w:val="00CB7F99"/>
    <w:rsid w:val="00CC19C4"/>
    <w:rsid w:val="00CC2D00"/>
    <w:rsid w:val="00CC3A7B"/>
    <w:rsid w:val="00CC49BF"/>
    <w:rsid w:val="00CC4F66"/>
    <w:rsid w:val="00CC5ED4"/>
    <w:rsid w:val="00CC7C43"/>
    <w:rsid w:val="00CD127B"/>
    <w:rsid w:val="00CD1DF4"/>
    <w:rsid w:val="00CD2797"/>
    <w:rsid w:val="00CD2F90"/>
    <w:rsid w:val="00CD3F3B"/>
    <w:rsid w:val="00CD513B"/>
    <w:rsid w:val="00CD5208"/>
    <w:rsid w:val="00CD68BD"/>
    <w:rsid w:val="00CD7743"/>
    <w:rsid w:val="00CD7D35"/>
    <w:rsid w:val="00CE0B74"/>
    <w:rsid w:val="00CE0E22"/>
    <w:rsid w:val="00CE175C"/>
    <w:rsid w:val="00CE446D"/>
    <w:rsid w:val="00CE5CCC"/>
    <w:rsid w:val="00CE5F74"/>
    <w:rsid w:val="00CE714D"/>
    <w:rsid w:val="00CF15D9"/>
    <w:rsid w:val="00CF17AD"/>
    <w:rsid w:val="00CF79C9"/>
    <w:rsid w:val="00CF7A15"/>
    <w:rsid w:val="00CF7BEC"/>
    <w:rsid w:val="00D01782"/>
    <w:rsid w:val="00D0183C"/>
    <w:rsid w:val="00D026CA"/>
    <w:rsid w:val="00D0345F"/>
    <w:rsid w:val="00D03916"/>
    <w:rsid w:val="00D04407"/>
    <w:rsid w:val="00D060E9"/>
    <w:rsid w:val="00D067E3"/>
    <w:rsid w:val="00D071F8"/>
    <w:rsid w:val="00D07A62"/>
    <w:rsid w:val="00D10499"/>
    <w:rsid w:val="00D11BAE"/>
    <w:rsid w:val="00D1381C"/>
    <w:rsid w:val="00D14D7F"/>
    <w:rsid w:val="00D15DBC"/>
    <w:rsid w:val="00D167FA"/>
    <w:rsid w:val="00D16D76"/>
    <w:rsid w:val="00D1719B"/>
    <w:rsid w:val="00D17811"/>
    <w:rsid w:val="00D201A1"/>
    <w:rsid w:val="00D20376"/>
    <w:rsid w:val="00D203A2"/>
    <w:rsid w:val="00D22C54"/>
    <w:rsid w:val="00D22CF4"/>
    <w:rsid w:val="00D22E14"/>
    <w:rsid w:val="00D23665"/>
    <w:rsid w:val="00D23888"/>
    <w:rsid w:val="00D245DF"/>
    <w:rsid w:val="00D25452"/>
    <w:rsid w:val="00D268AA"/>
    <w:rsid w:val="00D26E59"/>
    <w:rsid w:val="00D27C96"/>
    <w:rsid w:val="00D303F0"/>
    <w:rsid w:val="00D30B34"/>
    <w:rsid w:val="00D32707"/>
    <w:rsid w:val="00D350DF"/>
    <w:rsid w:val="00D35640"/>
    <w:rsid w:val="00D35AA3"/>
    <w:rsid w:val="00D35E7C"/>
    <w:rsid w:val="00D3618B"/>
    <w:rsid w:val="00D36540"/>
    <w:rsid w:val="00D36C18"/>
    <w:rsid w:val="00D412B8"/>
    <w:rsid w:val="00D41BFB"/>
    <w:rsid w:val="00D43F82"/>
    <w:rsid w:val="00D441FE"/>
    <w:rsid w:val="00D46FF6"/>
    <w:rsid w:val="00D4794C"/>
    <w:rsid w:val="00D50047"/>
    <w:rsid w:val="00D50E01"/>
    <w:rsid w:val="00D51456"/>
    <w:rsid w:val="00D54146"/>
    <w:rsid w:val="00D54ED7"/>
    <w:rsid w:val="00D55ED5"/>
    <w:rsid w:val="00D56ACA"/>
    <w:rsid w:val="00D576E1"/>
    <w:rsid w:val="00D61216"/>
    <w:rsid w:val="00D6405F"/>
    <w:rsid w:val="00D647A2"/>
    <w:rsid w:val="00D658E0"/>
    <w:rsid w:val="00D65EAA"/>
    <w:rsid w:val="00D6673A"/>
    <w:rsid w:val="00D66A72"/>
    <w:rsid w:val="00D675C4"/>
    <w:rsid w:val="00D72738"/>
    <w:rsid w:val="00D72FC4"/>
    <w:rsid w:val="00D7336C"/>
    <w:rsid w:val="00D7423A"/>
    <w:rsid w:val="00D742D9"/>
    <w:rsid w:val="00D74385"/>
    <w:rsid w:val="00D74736"/>
    <w:rsid w:val="00D75A07"/>
    <w:rsid w:val="00D76440"/>
    <w:rsid w:val="00D766DF"/>
    <w:rsid w:val="00D770BE"/>
    <w:rsid w:val="00D770F2"/>
    <w:rsid w:val="00D80879"/>
    <w:rsid w:val="00D81581"/>
    <w:rsid w:val="00D85368"/>
    <w:rsid w:val="00D85D07"/>
    <w:rsid w:val="00D865D3"/>
    <w:rsid w:val="00D86BD9"/>
    <w:rsid w:val="00D877C1"/>
    <w:rsid w:val="00D90F6F"/>
    <w:rsid w:val="00D915C8"/>
    <w:rsid w:val="00D91DC5"/>
    <w:rsid w:val="00D939F0"/>
    <w:rsid w:val="00D94412"/>
    <w:rsid w:val="00DA13C1"/>
    <w:rsid w:val="00DA13EA"/>
    <w:rsid w:val="00DA1C28"/>
    <w:rsid w:val="00DA1F9B"/>
    <w:rsid w:val="00DA2D50"/>
    <w:rsid w:val="00DA4B67"/>
    <w:rsid w:val="00DA52C5"/>
    <w:rsid w:val="00DA6D93"/>
    <w:rsid w:val="00DB06AF"/>
    <w:rsid w:val="00DB1BE2"/>
    <w:rsid w:val="00DB20C6"/>
    <w:rsid w:val="00DB3969"/>
    <w:rsid w:val="00DB4ABD"/>
    <w:rsid w:val="00DB5BB0"/>
    <w:rsid w:val="00DB6ED9"/>
    <w:rsid w:val="00DB7F36"/>
    <w:rsid w:val="00DC03C7"/>
    <w:rsid w:val="00DC0E7D"/>
    <w:rsid w:val="00DC1D35"/>
    <w:rsid w:val="00DC26F5"/>
    <w:rsid w:val="00DC2941"/>
    <w:rsid w:val="00DC29E5"/>
    <w:rsid w:val="00DC39EB"/>
    <w:rsid w:val="00DC42D2"/>
    <w:rsid w:val="00DC5F26"/>
    <w:rsid w:val="00DC681F"/>
    <w:rsid w:val="00DC6A1A"/>
    <w:rsid w:val="00DC6EAA"/>
    <w:rsid w:val="00DC76E5"/>
    <w:rsid w:val="00DD0FD5"/>
    <w:rsid w:val="00DD209E"/>
    <w:rsid w:val="00DD362A"/>
    <w:rsid w:val="00DD63BD"/>
    <w:rsid w:val="00DD6413"/>
    <w:rsid w:val="00DD7556"/>
    <w:rsid w:val="00DE0988"/>
    <w:rsid w:val="00DE1392"/>
    <w:rsid w:val="00DE150E"/>
    <w:rsid w:val="00DE16A4"/>
    <w:rsid w:val="00DE28CA"/>
    <w:rsid w:val="00DE2A96"/>
    <w:rsid w:val="00DE3C23"/>
    <w:rsid w:val="00DE4778"/>
    <w:rsid w:val="00DE561C"/>
    <w:rsid w:val="00DE6150"/>
    <w:rsid w:val="00DE6199"/>
    <w:rsid w:val="00DE6B03"/>
    <w:rsid w:val="00DE6B94"/>
    <w:rsid w:val="00DE6EA2"/>
    <w:rsid w:val="00DE70AC"/>
    <w:rsid w:val="00DE79D6"/>
    <w:rsid w:val="00DF0336"/>
    <w:rsid w:val="00DF2A89"/>
    <w:rsid w:val="00DF4286"/>
    <w:rsid w:val="00DF5103"/>
    <w:rsid w:val="00DF5D5C"/>
    <w:rsid w:val="00DF5E1F"/>
    <w:rsid w:val="00DF65D5"/>
    <w:rsid w:val="00DF7F84"/>
    <w:rsid w:val="00E02D73"/>
    <w:rsid w:val="00E038DC"/>
    <w:rsid w:val="00E03A4B"/>
    <w:rsid w:val="00E04792"/>
    <w:rsid w:val="00E05C20"/>
    <w:rsid w:val="00E06354"/>
    <w:rsid w:val="00E06B0A"/>
    <w:rsid w:val="00E0721C"/>
    <w:rsid w:val="00E110FF"/>
    <w:rsid w:val="00E11D19"/>
    <w:rsid w:val="00E11FE6"/>
    <w:rsid w:val="00E12005"/>
    <w:rsid w:val="00E128D6"/>
    <w:rsid w:val="00E12DC3"/>
    <w:rsid w:val="00E13925"/>
    <w:rsid w:val="00E14D1D"/>
    <w:rsid w:val="00E15C00"/>
    <w:rsid w:val="00E16614"/>
    <w:rsid w:val="00E2205E"/>
    <w:rsid w:val="00E223F8"/>
    <w:rsid w:val="00E228E8"/>
    <w:rsid w:val="00E2369B"/>
    <w:rsid w:val="00E240A4"/>
    <w:rsid w:val="00E2432E"/>
    <w:rsid w:val="00E30B52"/>
    <w:rsid w:val="00E31485"/>
    <w:rsid w:val="00E31B77"/>
    <w:rsid w:val="00E32BDD"/>
    <w:rsid w:val="00E3491B"/>
    <w:rsid w:val="00E352A9"/>
    <w:rsid w:val="00E3614E"/>
    <w:rsid w:val="00E37394"/>
    <w:rsid w:val="00E37664"/>
    <w:rsid w:val="00E37F09"/>
    <w:rsid w:val="00E37FAC"/>
    <w:rsid w:val="00E41DD2"/>
    <w:rsid w:val="00E41F66"/>
    <w:rsid w:val="00E423F3"/>
    <w:rsid w:val="00E42CEA"/>
    <w:rsid w:val="00E441E8"/>
    <w:rsid w:val="00E4797E"/>
    <w:rsid w:val="00E51890"/>
    <w:rsid w:val="00E53E68"/>
    <w:rsid w:val="00E546A5"/>
    <w:rsid w:val="00E549CA"/>
    <w:rsid w:val="00E55350"/>
    <w:rsid w:val="00E60B67"/>
    <w:rsid w:val="00E617D2"/>
    <w:rsid w:val="00E62BD4"/>
    <w:rsid w:val="00E62D76"/>
    <w:rsid w:val="00E632ED"/>
    <w:rsid w:val="00E642C4"/>
    <w:rsid w:val="00E65110"/>
    <w:rsid w:val="00E65FF0"/>
    <w:rsid w:val="00E67442"/>
    <w:rsid w:val="00E70493"/>
    <w:rsid w:val="00E71A1E"/>
    <w:rsid w:val="00E71A78"/>
    <w:rsid w:val="00E71B1D"/>
    <w:rsid w:val="00E72270"/>
    <w:rsid w:val="00E7288E"/>
    <w:rsid w:val="00E72D8F"/>
    <w:rsid w:val="00E74C5F"/>
    <w:rsid w:val="00E77A48"/>
    <w:rsid w:val="00E803A3"/>
    <w:rsid w:val="00E805F7"/>
    <w:rsid w:val="00E8253B"/>
    <w:rsid w:val="00E83166"/>
    <w:rsid w:val="00E84B6F"/>
    <w:rsid w:val="00E860D7"/>
    <w:rsid w:val="00E8613F"/>
    <w:rsid w:val="00E867F3"/>
    <w:rsid w:val="00E874D7"/>
    <w:rsid w:val="00E90039"/>
    <w:rsid w:val="00E90208"/>
    <w:rsid w:val="00E9099B"/>
    <w:rsid w:val="00E90DB9"/>
    <w:rsid w:val="00E912BC"/>
    <w:rsid w:val="00E91655"/>
    <w:rsid w:val="00E9543D"/>
    <w:rsid w:val="00EA1326"/>
    <w:rsid w:val="00EA1401"/>
    <w:rsid w:val="00EA2C82"/>
    <w:rsid w:val="00EA31CE"/>
    <w:rsid w:val="00EA36F3"/>
    <w:rsid w:val="00EA41BD"/>
    <w:rsid w:val="00EA470F"/>
    <w:rsid w:val="00EA5192"/>
    <w:rsid w:val="00EB0414"/>
    <w:rsid w:val="00EB0915"/>
    <w:rsid w:val="00EB128C"/>
    <w:rsid w:val="00EB1D4D"/>
    <w:rsid w:val="00EB356C"/>
    <w:rsid w:val="00EB4E17"/>
    <w:rsid w:val="00EB552D"/>
    <w:rsid w:val="00EB67A3"/>
    <w:rsid w:val="00EB7422"/>
    <w:rsid w:val="00EC010A"/>
    <w:rsid w:val="00EC0AB8"/>
    <w:rsid w:val="00EC1802"/>
    <w:rsid w:val="00EC2ABA"/>
    <w:rsid w:val="00EC4293"/>
    <w:rsid w:val="00EC49FA"/>
    <w:rsid w:val="00EC5CDE"/>
    <w:rsid w:val="00ED063C"/>
    <w:rsid w:val="00ED2398"/>
    <w:rsid w:val="00ED2B04"/>
    <w:rsid w:val="00ED32AA"/>
    <w:rsid w:val="00ED38FF"/>
    <w:rsid w:val="00ED513D"/>
    <w:rsid w:val="00ED5D5D"/>
    <w:rsid w:val="00ED6183"/>
    <w:rsid w:val="00ED6262"/>
    <w:rsid w:val="00EE0084"/>
    <w:rsid w:val="00EE0B07"/>
    <w:rsid w:val="00EE146A"/>
    <w:rsid w:val="00EE1D08"/>
    <w:rsid w:val="00EE2735"/>
    <w:rsid w:val="00EE3072"/>
    <w:rsid w:val="00EE4956"/>
    <w:rsid w:val="00EE6023"/>
    <w:rsid w:val="00EE6402"/>
    <w:rsid w:val="00EE655A"/>
    <w:rsid w:val="00EE6C82"/>
    <w:rsid w:val="00EE7BC3"/>
    <w:rsid w:val="00EE7C55"/>
    <w:rsid w:val="00EF21A5"/>
    <w:rsid w:val="00EF2CE8"/>
    <w:rsid w:val="00EF3B84"/>
    <w:rsid w:val="00EF55BA"/>
    <w:rsid w:val="00EF56B2"/>
    <w:rsid w:val="00EF57C9"/>
    <w:rsid w:val="00EF601C"/>
    <w:rsid w:val="00EF6EE1"/>
    <w:rsid w:val="00F009BC"/>
    <w:rsid w:val="00F04270"/>
    <w:rsid w:val="00F04631"/>
    <w:rsid w:val="00F04B32"/>
    <w:rsid w:val="00F04FEA"/>
    <w:rsid w:val="00F052F8"/>
    <w:rsid w:val="00F06B02"/>
    <w:rsid w:val="00F1184C"/>
    <w:rsid w:val="00F1264F"/>
    <w:rsid w:val="00F127BB"/>
    <w:rsid w:val="00F134B8"/>
    <w:rsid w:val="00F14D3C"/>
    <w:rsid w:val="00F14E07"/>
    <w:rsid w:val="00F15DA4"/>
    <w:rsid w:val="00F160F1"/>
    <w:rsid w:val="00F16FAB"/>
    <w:rsid w:val="00F173CE"/>
    <w:rsid w:val="00F17B77"/>
    <w:rsid w:val="00F22169"/>
    <w:rsid w:val="00F22D13"/>
    <w:rsid w:val="00F2342F"/>
    <w:rsid w:val="00F235A6"/>
    <w:rsid w:val="00F241F5"/>
    <w:rsid w:val="00F242B3"/>
    <w:rsid w:val="00F24CF1"/>
    <w:rsid w:val="00F250BF"/>
    <w:rsid w:val="00F25538"/>
    <w:rsid w:val="00F26989"/>
    <w:rsid w:val="00F26AD9"/>
    <w:rsid w:val="00F273D1"/>
    <w:rsid w:val="00F27DE5"/>
    <w:rsid w:val="00F30053"/>
    <w:rsid w:val="00F31E9A"/>
    <w:rsid w:val="00F31F67"/>
    <w:rsid w:val="00F324E8"/>
    <w:rsid w:val="00F33747"/>
    <w:rsid w:val="00F3571B"/>
    <w:rsid w:val="00F37B6D"/>
    <w:rsid w:val="00F37CB9"/>
    <w:rsid w:val="00F4036C"/>
    <w:rsid w:val="00F40741"/>
    <w:rsid w:val="00F40D9E"/>
    <w:rsid w:val="00F41161"/>
    <w:rsid w:val="00F42429"/>
    <w:rsid w:val="00F44735"/>
    <w:rsid w:val="00F45103"/>
    <w:rsid w:val="00F4563D"/>
    <w:rsid w:val="00F45A48"/>
    <w:rsid w:val="00F45ADE"/>
    <w:rsid w:val="00F4713F"/>
    <w:rsid w:val="00F4771A"/>
    <w:rsid w:val="00F505D8"/>
    <w:rsid w:val="00F506C8"/>
    <w:rsid w:val="00F51361"/>
    <w:rsid w:val="00F51C34"/>
    <w:rsid w:val="00F51FAB"/>
    <w:rsid w:val="00F52B8E"/>
    <w:rsid w:val="00F53697"/>
    <w:rsid w:val="00F539E9"/>
    <w:rsid w:val="00F544DD"/>
    <w:rsid w:val="00F548FE"/>
    <w:rsid w:val="00F54D18"/>
    <w:rsid w:val="00F555DD"/>
    <w:rsid w:val="00F57BBD"/>
    <w:rsid w:val="00F60B22"/>
    <w:rsid w:val="00F60DA6"/>
    <w:rsid w:val="00F61F5A"/>
    <w:rsid w:val="00F62DBA"/>
    <w:rsid w:val="00F63537"/>
    <w:rsid w:val="00F6392B"/>
    <w:rsid w:val="00F6448A"/>
    <w:rsid w:val="00F64F89"/>
    <w:rsid w:val="00F667A4"/>
    <w:rsid w:val="00F667BE"/>
    <w:rsid w:val="00F67776"/>
    <w:rsid w:val="00F67908"/>
    <w:rsid w:val="00F67CAB"/>
    <w:rsid w:val="00F67D6B"/>
    <w:rsid w:val="00F71F3D"/>
    <w:rsid w:val="00F72102"/>
    <w:rsid w:val="00F7333C"/>
    <w:rsid w:val="00F73557"/>
    <w:rsid w:val="00F7493B"/>
    <w:rsid w:val="00F74EA8"/>
    <w:rsid w:val="00F751C6"/>
    <w:rsid w:val="00F75CB5"/>
    <w:rsid w:val="00F75DDA"/>
    <w:rsid w:val="00F76288"/>
    <w:rsid w:val="00F77352"/>
    <w:rsid w:val="00F778AC"/>
    <w:rsid w:val="00F810B8"/>
    <w:rsid w:val="00F8171B"/>
    <w:rsid w:val="00F829EA"/>
    <w:rsid w:val="00F82E05"/>
    <w:rsid w:val="00F83B74"/>
    <w:rsid w:val="00F840C3"/>
    <w:rsid w:val="00F84811"/>
    <w:rsid w:val="00F86028"/>
    <w:rsid w:val="00F8607D"/>
    <w:rsid w:val="00F911AD"/>
    <w:rsid w:val="00F91486"/>
    <w:rsid w:val="00F91E1D"/>
    <w:rsid w:val="00F929BA"/>
    <w:rsid w:val="00F94D1F"/>
    <w:rsid w:val="00F9792C"/>
    <w:rsid w:val="00F97AFB"/>
    <w:rsid w:val="00FA0699"/>
    <w:rsid w:val="00FA1129"/>
    <w:rsid w:val="00FA152A"/>
    <w:rsid w:val="00FA1C87"/>
    <w:rsid w:val="00FA33E3"/>
    <w:rsid w:val="00FA3E98"/>
    <w:rsid w:val="00FA6E8F"/>
    <w:rsid w:val="00FA7272"/>
    <w:rsid w:val="00FA7C37"/>
    <w:rsid w:val="00FB0C37"/>
    <w:rsid w:val="00FB19D7"/>
    <w:rsid w:val="00FB663B"/>
    <w:rsid w:val="00FB7825"/>
    <w:rsid w:val="00FC0183"/>
    <w:rsid w:val="00FC0ACB"/>
    <w:rsid w:val="00FC0F59"/>
    <w:rsid w:val="00FC1272"/>
    <w:rsid w:val="00FC170D"/>
    <w:rsid w:val="00FC2E34"/>
    <w:rsid w:val="00FC44B6"/>
    <w:rsid w:val="00FC4812"/>
    <w:rsid w:val="00FC49C9"/>
    <w:rsid w:val="00FC5BBD"/>
    <w:rsid w:val="00FD0818"/>
    <w:rsid w:val="00FD0E52"/>
    <w:rsid w:val="00FD369B"/>
    <w:rsid w:val="00FD5745"/>
    <w:rsid w:val="00FD6791"/>
    <w:rsid w:val="00FD6836"/>
    <w:rsid w:val="00FD68C5"/>
    <w:rsid w:val="00FD6C70"/>
    <w:rsid w:val="00FE0721"/>
    <w:rsid w:val="00FE07F9"/>
    <w:rsid w:val="00FE0C9E"/>
    <w:rsid w:val="00FE0F98"/>
    <w:rsid w:val="00FE1657"/>
    <w:rsid w:val="00FE5D04"/>
    <w:rsid w:val="00FE5DEA"/>
    <w:rsid w:val="00FE6D44"/>
    <w:rsid w:val="00FE704E"/>
    <w:rsid w:val="00FE7608"/>
    <w:rsid w:val="00FF04DD"/>
    <w:rsid w:val="00FF2476"/>
    <w:rsid w:val="00FF469E"/>
    <w:rsid w:val="00FF4D15"/>
    <w:rsid w:val="00FF668F"/>
    <w:rsid w:val="00FF6F5D"/>
    <w:rsid w:val="0211B8A0"/>
    <w:rsid w:val="1B8AAB8E"/>
    <w:rsid w:val="227C5D02"/>
    <w:rsid w:val="2E63E452"/>
    <w:rsid w:val="39A5DE2E"/>
    <w:rsid w:val="4C327C5F"/>
    <w:rsid w:val="5165FEDE"/>
    <w:rsid w:val="68CDB149"/>
    <w:rsid w:val="75EAEC27"/>
    <w:rsid w:val="7883FE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BDD2"/>
  <w15:docId w15:val="{B744A96B-AB72-43D3-BF0E-BADACF5E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2270"/>
    <w:pPr>
      <w:jc w:val="both"/>
    </w:pPr>
    <w:rPr>
      <w:sz w:val="22"/>
      <w:lang w:eastAsia="en-US"/>
    </w:rPr>
  </w:style>
  <w:style w:type="paragraph" w:styleId="Heading1">
    <w:name w:val="heading 1"/>
    <w:basedOn w:val="Normal"/>
    <w:next w:val="Normal"/>
    <w:link w:val="Heading1Char"/>
    <w:uiPriority w:val="9"/>
    <w:semiHidden/>
    <w:qFormat/>
    <w:rsid w:val="00233394"/>
    <w:pPr>
      <w:keepNext/>
      <w:tabs>
        <w:tab w:val="left" w:pos="-720"/>
      </w:tabs>
      <w:suppressAutoHyphens/>
      <w:spacing w:line="192" w:lineRule="auto"/>
      <w:jc w:val="center"/>
      <w:outlineLvl w:val="0"/>
    </w:pPr>
    <w:rPr>
      <w:rFonts w:ascii="CG Times" w:hAnsi="CG Times"/>
      <w:b/>
      <w:spacing w:val="-3"/>
    </w:rPr>
  </w:style>
  <w:style w:type="paragraph" w:styleId="Heading2">
    <w:name w:val="heading 2"/>
    <w:basedOn w:val="Normal"/>
    <w:next w:val="Normal"/>
    <w:link w:val="Heading2Char"/>
    <w:uiPriority w:val="9"/>
    <w:semiHidden/>
    <w:rsid w:val="002333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2333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rsid w:val="00233394"/>
    <w:pPr>
      <w:keepNext/>
      <w:keepLines/>
      <w:spacing w:before="200"/>
      <w:jc w:val="left"/>
      <w:outlineLvl w:val="3"/>
    </w:pPr>
    <w:rPr>
      <w:rFonts w:ascii="Cambria" w:hAnsi="Cambria"/>
      <w:b/>
      <w:bCs/>
      <w:i/>
      <w:iCs/>
      <w:color w:val="4F81BD"/>
      <w:szCs w:val="22"/>
      <w:lang w:val="en-US"/>
    </w:rPr>
  </w:style>
  <w:style w:type="paragraph" w:styleId="Heading5">
    <w:name w:val="heading 5"/>
    <w:basedOn w:val="Normal"/>
    <w:next w:val="Normal"/>
    <w:link w:val="Heading5Char"/>
    <w:uiPriority w:val="9"/>
    <w:semiHidden/>
    <w:rsid w:val="00233394"/>
    <w:pPr>
      <w:keepNext/>
      <w:keepLines/>
      <w:spacing w:before="200"/>
      <w:jc w:val="left"/>
      <w:outlineLvl w:val="4"/>
    </w:pPr>
    <w:rPr>
      <w:rFonts w:ascii="Cambria" w:hAnsi="Cambria"/>
      <w:color w:val="243F60"/>
      <w:szCs w:val="22"/>
      <w:lang w:val="en-US"/>
    </w:rPr>
  </w:style>
  <w:style w:type="paragraph" w:styleId="Heading6">
    <w:name w:val="heading 6"/>
    <w:basedOn w:val="Normal"/>
    <w:next w:val="Normal"/>
    <w:link w:val="Heading6Char"/>
    <w:uiPriority w:val="9"/>
    <w:semiHidden/>
    <w:qFormat/>
    <w:rsid w:val="0023339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33394"/>
    <w:pPr>
      <w:keepNext/>
      <w:keepLines/>
      <w:spacing w:before="200"/>
      <w:jc w:val="left"/>
      <w:outlineLvl w:val="6"/>
    </w:pPr>
    <w:rPr>
      <w:rFonts w:ascii="Cambria" w:hAnsi="Cambria"/>
      <w:i/>
      <w:iCs/>
      <w:color w:val="404040"/>
      <w:szCs w:val="22"/>
      <w:lang w:val="en-US"/>
    </w:rPr>
  </w:style>
  <w:style w:type="paragraph" w:styleId="Heading8">
    <w:name w:val="heading 8"/>
    <w:basedOn w:val="Normal"/>
    <w:next w:val="Normal"/>
    <w:link w:val="Heading8Char"/>
    <w:uiPriority w:val="9"/>
    <w:semiHidden/>
    <w:qFormat/>
    <w:rsid w:val="00233394"/>
    <w:pPr>
      <w:keepNext/>
      <w:keepLines/>
      <w:spacing w:before="200"/>
      <w:jc w:val="left"/>
      <w:outlineLvl w:val="7"/>
    </w:pPr>
    <w:rPr>
      <w:rFonts w:ascii="Cambria" w:hAnsi="Cambria"/>
      <w:color w:val="404040"/>
      <w:sz w:val="20"/>
      <w:lang w:val="en-US"/>
    </w:rPr>
  </w:style>
  <w:style w:type="paragraph" w:styleId="Heading9">
    <w:name w:val="heading 9"/>
    <w:basedOn w:val="Normal"/>
    <w:next w:val="Normal"/>
    <w:link w:val="Heading9Char"/>
    <w:uiPriority w:val="9"/>
    <w:semiHidden/>
    <w:qFormat/>
    <w:rsid w:val="00233394"/>
    <w:pPr>
      <w:keepNext/>
      <w:keepLines/>
      <w:spacing w:before="200"/>
      <w:jc w:val="left"/>
      <w:outlineLvl w:val="8"/>
    </w:pPr>
    <w:rPr>
      <w:rFonts w:ascii="Cambria" w:hAnsi="Cambria"/>
      <w:i/>
      <w:iCs/>
      <w:color w:val="40404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_text"/>
    <w:basedOn w:val="Normal"/>
    <w:uiPriority w:val="1"/>
    <w:semiHidden/>
    <w:qFormat/>
    <w:rsid w:val="00233394"/>
    <w:pPr>
      <w:spacing w:after="240"/>
    </w:pPr>
    <w:rPr>
      <w:rFonts w:eastAsia="PMingLiU"/>
      <w:lang w:eastAsia="zh-TW"/>
    </w:rPr>
  </w:style>
  <w:style w:type="paragraph" w:customStyle="1" w:styleId="BullettedEnd">
    <w:name w:val="Bulletted End"/>
    <w:basedOn w:val="Normal"/>
    <w:next w:val="Bodytext"/>
    <w:uiPriority w:val="5"/>
    <w:semiHidden/>
    <w:qFormat/>
    <w:rsid w:val="00CC2D00"/>
    <w:pPr>
      <w:numPr>
        <w:numId w:val="1"/>
      </w:numPr>
      <w:spacing w:after="240"/>
      <w:ind w:left="0" w:firstLine="0"/>
    </w:pPr>
  </w:style>
  <w:style w:type="paragraph" w:customStyle="1" w:styleId="BullettedBody">
    <w:name w:val="Bulletted Body"/>
    <w:basedOn w:val="BullettedEnd"/>
    <w:uiPriority w:val="5"/>
    <w:semiHidden/>
    <w:qFormat/>
    <w:rsid w:val="00CC2D00"/>
    <w:pPr>
      <w:numPr>
        <w:numId w:val="2"/>
      </w:numPr>
      <w:spacing w:after="0"/>
      <w:ind w:left="0" w:firstLine="0"/>
    </w:pPr>
  </w:style>
  <w:style w:type="paragraph" w:customStyle="1" w:styleId="filetag">
    <w:name w:val="file_tag"/>
    <w:basedOn w:val="Normal"/>
    <w:uiPriority w:val="6"/>
    <w:semiHidden/>
    <w:qFormat/>
    <w:rsid w:val="00233394"/>
    <w:pPr>
      <w:tabs>
        <w:tab w:val="left" w:pos="-1440"/>
        <w:tab w:val="left" w:pos="-720"/>
      </w:tabs>
    </w:pPr>
    <w:rPr>
      <w:sz w:val="12"/>
    </w:rPr>
  </w:style>
  <w:style w:type="paragraph" w:customStyle="1" w:styleId="Hanging1">
    <w:name w:val="Hanging1"/>
    <w:basedOn w:val="Bodytext"/>
    <w:uiPriority w:val="5"/>
    <w:semiHidden/>
    <w:qFormat/>
    <w:rsid w:val="00233394"/>
    <w:pPr>
      <w:tabs>
        <w:tab w:val="left" w:pos="720"/>
        <w:tab w:val="left" w:pos="1440"/>
        <w:tab w:val="left" w:pos="2160"/>
        <w:tab w:val="left" w:pos="2880"/>
        <w:tab w:val="left" w:pos="3600"/>
      </w:tabs>
      <w:ind w:left="720" w:hanging="720"/>
    </w:pPr>
  </w:style>
  <w:style w:type="paragraph" w:customStyle="1" w:styleId="Hanging2">
    <w:name w:val="Hanging2"/>
    <w:basedOn w:val="Bodytext"/>
    <w:uiPriority w:val="5"/>
    <w:semiHidden/>
    <w:qFormat/>
    <w:rsid w:val="00233394"/>
    <w:pPr>
      <w:ind w:left="1440" w:hanging="720"/>
    </w:pPr>
  </w:style>
  <w:style w:type="character" w:customStyle="1" w:styleId="Heading6Char">
    <w:name w:val="Heading 6 Char"/>
    <w:basedOn w:val="DefaultParagraphFont"/>
    <w:link w:val="Heading6"/>
    <w:uiPriority w:val="9"/>
    <w:semiHidden/>
    <w:rsid w:val="00233394"/>
    <w:rPr>
      <w:rFonts w:asciiTheme="majorHAnsi" w:eastAsiaTheme="majorEastAsia" w:hAnsiTheme="majorHAnsi" w:cstheme="majorBidi"/>
      <w:i/>
      <w:iCs/>
      <w:color w:val="243F60" w:themeColor="accent1" w:themeShade="7F"/>
      <w:sz w:val="24"/>
      <w:lang w:eastAsia="en-US"/>
    </w:rPr>
  </w:style>
  <w:style w:type="paragraph" w:styleId="Header">
    <w:name w:val="header"/>
    <w:basedOn w:val="Normal"/>
    <w:link w:val="HeaderChar"/>
    <w:uiPriority w:val="99"/>
    <w:rsid w:val="00233394"/>
    <w:pPr>
      <w:tabs>
        <w:tab w:val="center" w:pos="4680"/>
        <w:tab w:val="right" w:pos="9360"/>
      </w:tabs>
    </w:pPr>
  </w:style>
  <w:style w:type="character" w:customStyle="1" w:styleId="HeaderChar">
    <w:name w:val="Header Char"/>
    <w:basedOn w:val="DefaultParagraphFont"/>
    <w:link w:val="Header"/>
    <w:uiPriority w:val="99"/>
    <w:rsid w:val="00233394"/>
    <w:rPr>
      <w:sz w:val="24"/>
      <w:lang w:eastAsia="en-US"/>
    </w:rPr>
  </w:style>
  <w:style w:type="paragraph" w:styleId="Footer">
    <w:name w:val="footer"/>
    <w:basedOn w:val="Normal"/>
    <w:link w:val="FooterChar"/>
    <w:uiPriority w:val="99"/>
    <w:rsid w:val="00233394"/>
    <w:pPr>
      <w:tabs>
        <w:tab w:val="center" w:pos="4680"/>
        <w:tab w:val="right" w:pos="9360"/>
      </w:tabs>
    </w:pPr>
  </w:style>
  <w:style w:type="character" w:customStyle="1" w:styleId="FooterChar">
    <w:name w:val="Footer Char"/>
    <w:basedOn w:val="DefaultParagraphFont"/>
    <w:link w:val="Footer"/>
    <w:uiPriority w:val="99"/>
    <w:rsid w:val="00233394"/>
    <w:rPr>
      <w:sz w:val="24"/>
      <w:lang w:eastAsia="en-US"/>
    </w:rPr>
  </w:style>
  <w:style w:type="paragraph" w:customStyle="1" w:styleId="Hanging3">
    <w:name w:val="Hanging3"/>
    <w:basedOn w:val="Bodytext"/>
    <w:uiPriority w:val="5"/>
    <w:semiHidden/>
    <w:qFormat/>
    <w:rsid w:val="00233394"/>
    <w:pPr>
      <w:ind w:left="2160" w:hanging="720"/>
    </w:pPr>
  </w:style>
  <w:style w:type="paragraph" w:customStyle="1" w:styleId="Heading">
    <w:name w:val="Heading"/>
    <w:basedOn w:val="Normal"/>
    <w:next w:val="Bodytext"/>
    <w:uiPriority w:val="2"/>
    <w:semiHidden/>
    <w:qFormat/>
    <w:rsid w:val="00233394"/>
    <w:pPr>
      <w:keepNext/>
      <w:tabs>
        <w:tab w:val="left" w:pos="-720"/>
      </w:tabs>
      <w:spacing w:after="240"/>
      <w:outlineLvl w:val="0"/>
    </w:pPr>
    <w:rPr>
      <w:rFonts w:ascii="Arial" w:eastAsia="PMingLiU" w:hAnsi="Arial"/>
      <w:b/>
      <w:kern w:val="24"/>
      <w:szCs w:val="24"/>
      <w:u w:val="single"/>
      <w:lang w:eastAsia="zh-TW"/>
    </w:rPr>
  </w:style>
  <w:style w:type="paragraph" w:customStyle="1" w:styleId="PermitNormal">
    <w:name w:val="Permit Normal"/>
    <w:basedOn w:val="Normal"/>
    <w:uiPriority w:val="7"/>
    <w:qFormat/>
    <w:rsid w:val="00AF3640"/>
    <w:pPr>
      <w:topLinePunct/>
      <w:jc w:val="left"/>
      <w:textAlignment w:val="center"/>
    </w:pPr>
  </w:style>
  <w:style w:type="paragraph" w:styleId="Revision">
    <w:name w:val="Revision"/>
    <w:hidden/>
    <w:uiPriority w:val="99"/>
    <w:semiHidden/>
    <w:rsid w:val="00233394"/>
    <w:rPr>
      <w:sz w:val="22"/>
      <w:lang w:eastAsia="en-US"/>
    </w:rPr>
  </w:style>
  <w:style w:type="paragraph" w:customStyle="1" w:styleId="PermitHanging1TOC">
    <w:name w:val="Permit Hanging 1 (TOC)"/>
    <w:basedOn w:val="PermitNormal"/>
    <w:next w:val="PermitHanging1-text"/>
    <w:uiPriority w:val="8"/>
    <w:qFormat/>
    <w:rsid w:val="00A0366F"/>
    <w:pPr>
      <w:keepNext/>
      <w:numPr>
        <w:numId w:val="39"/>
      </w:numPr>
      <w:spacing w:before="240"/>
      <w:outlineLvl w:val="0"/>
    </w:pPr>
    <w:rPr>
      <w:rFonts w:ascii="Arial" w:hAnsi="Arial"/>
      <w:b/>
      <w:sz w:val="24"/>
      <w:lang w:val="en-US"/>
    </w:rPr>
  </w:style>
  <w:style w:type="paragraph" w:customStyle="1" w:styleId="PermitHanging1-text">
    <w:name w:val="Permit Hanging 1 - text"/>
    <w:basedOn w:val="PermitHanging1TOC"/>
    <w:uiPriority w:val="9"/>
    <w:qFormat/>
    <w:rsid w:val="00457CED"/>
    <w:pPr>
      <w:keepNext w:val="0"/>
      <w:numPr>
        <w:numId w:val="0"/>
      </w:numPr>
      <w:spacing w:before="120"/>
      <w:ind w:left="720"/>
      <w:outlineLvl w:val="9"/>
    </w:pPr>
    <w:rPr>
      <w:rFonts w:ascii="Times New Roman" w:hAnsi="Times New Roman"/>
      <w:b w:val="0"/>
      <w:sz w:val="22"/>
    </w:rPr>
  </w:style>
  <w:style w:type="paragraph" w:customStyle="1" w:styleId="PermitHanging2TOC">
    <w:name w:val="Permit Hanging 2 (TOC)"/>
    <w:basedOn w:val="PermitNormal"/>
    <w:next w:val="PermitHanging2-text"/>
    <w:uiPriority w:val="9"/>
    <w:qFormat/>
    <w:rsid w:val="005E3CBD"/>
    <w:pPr>
      <w:numPr>
        <w:ilvl w:val="2"/>
        <w:numId w:val="40"/>
      </w:numPr>
      <w:spacing w:after="220"/>
      <w:outlineLvl w:val="1"/>
    </w:pPr>
  </w:style>
  <w:style w:type="paragraph" w:customStyle="1" w:styleId="PermitHanging2-text">
    <w:name w:val="Permit Hanging 2 - text"/>
    <w:basedOn w:val="PermitHanging2TOC"/>
    <w:uiPriority w:val="11"/>
    <w:qFormat/>
    <w:rsid w:val="00457CED"/>
    <w:pPr>
      <w:numPr>
        <w:ilvl w:val="0"/>
        <w:numId w:val="0"/>
      </w:numPr>
      <w:ind w:left="1440"/>
      <w:outlineLvl w:val="9"/>
    </w:pPr>
  </w:style>
  <w:style w:type="paragraph" w:customStyle="1" w:styleId="PermitHanging2Non-TOC">
    <w:name w:val="Permit Hanging 2 (Non-TOC)"/>
    <w:basedOn w:val="PermitHanging2TOC"/>
    <w:uiPriority w:val="10"/>
    <w:rsid w:val="00457CED"/>
    <w:pPr>
      <w:numPr>
        <w:ilvl w:val="3"/>
      </w:numPr>
      <w:spacing w:after="120"/>
      <w:outlineLvl w:val="9"/>
    </w:pPr>
  </w:style>
  <w:style w:type="paragraph" w:customStyle="1" w:styleId="PermitHanging3">
    <w:name w:val="Permit Hanging 3"/>
    <w:basedOn w:val="PermitNormal"/>
    <w:next w:val="PermitHanging3-text"/>
    <w:uiPriority w:val="12"/>
    <w:rsid w:val="00233394"/>
    <w:pPr>
      <w:numPr>
        <w:ilvl w:val="4"/>
        <w:numId w:val="40"/>
      </w:numPr>
      <w:spacing w:after="120"/>
    </w:pPr>
  </w:style>
  <w:style w:type="character" w:customStyle="1" w:styleId="Heading2Char">
    <w:name w:val="Heading 2 Char"/>
    <w:basedOn w:val="DefaultParagraphFont"/>
    <w:link w:val="Heading2"/>
    <w:uiPriority w:val="9"/>
    <w:semiHidden/>
    <w:rsid w:val="0023339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233394"/>
    <w:rPr>
      <w:rFonts w:asciiTheme="majorHAnsi" w:eastAsiaTheme="majorEastAsia" w:hAnsiTheme="majorHAnsi" w:cstheme="majorBidi"/>
      <w:b/>
      <w:bCs/>
      <w:color w:val="4F81BD" w:themeColor="accent1"/>
      <w:sz w:val="24"/>
      <w:lang w:eastAsia="en-US"/>
    </w:rPr>
  </w:style>
  <w:style w:type="paragraph" w:customStyle="1" w:styleId="PermitHanging3-text">
    <w:name w:val="Permit Hanging 3 - text"/>
    <w:basedOn w:val="PermitHanging3"/>
    <w:uiPriority w:val="12"/>
    <w:rsid w:val="00233394"/>
    <w:pPr>
      <w:numPr>
        <w:ilvl w:val="0"/>
        <w:numId w:val="0"/>
      </w:numPr>
      <w:ind w:left="2160"/>
    </w:pPr>
  </w:style>
  <w:style w:type="paragraph" w:customStyle="1" w:styleId="PermitHanging4">
    <w:name w:val="Permit Hanging 4"/>
    <w:basedOn w:val="PermitNormal"/>
    <w:uiPriority w:val="13"/>
    <w:qFormat/>
    <w:rsid w:val="00955A3C"/>
    <w:pPr>
      <w:keepNext/>
      <w:numPr>
        <w:ilvl w:val="5"/>
        <w:numId w:val="25"/>
      </w:numPr>
      <w:spacing w:after="120"/>
    </w:pPr>
    <w:rPr>
      <w:szCs w:val="22"/>
    </w:rPr>
  </w:style>
  <w:style w:type="paragraph" w:customStyle="1" w:styleId="PermitHanging4-text">
    <w:name w:val="Permit Hanging 4 - text"/>
    <w:basedOn w:val="PermitHanging4"/>
    <w:uiPriority w:val="14"/>
    <w:rsid w:val="00233394"/>
    <w:pPr>
      <w:keepNext w:val="0"/>
      <w:numPr>
        <w:ilvl w:val="0"/>
        <w:numId w:val="0"/>
      </w:numPr>
      <w:tabs>
        <w:tab w:val="left" w:pos="3600"/>
        <w:tab w:val="left" w:pos="4320"/>
      </w:tabs>
      <w:ind w:left="2880"/>
    </w:pPr>
  </w:style>
  <w:style w:type="paragraph" w:customStyle="1" w:styleId="PermitNormal-body">
    <w:name w:val="Permit Normal - body"/>
    <w:basedOn w:val="PermitNormal"/>
    <w:uiPriority w:val="7"/>
    <w:rsid w:val="00AF3640"/>
  </w:style>
  <w:style w:type="paragraph" w:customStyle="1" w:styleId="PermitSchHeadingTOC">
    <w:name w:val="Permit Sch Heading (TOC)"/>
    <w:basedOn w:val="PermitNormal"/>
    <w:next w:val="PermitHanging1TOC"/>
    <w:uiPriority w:val="7"/>
    <w:qFormat/>
    <w:rsid w:val="007C461A"/>
    <w:pPr>
      <w:numPr>
        <w:numId w:val="40"/>
      </w:numPr>
      <w:tabs>
        <w:tab w:val="left" w:pos="-720"/>
      </w:tabs>
      <w:spacing w:after="220"/>
      <w:jc w:val="center"/>
      <w:outlineLvl w:val="0"/>
    </w:pPr>
    <w:rPr>
      <w:rFonts w:ascii="Arial" w:hAnsi="Arial"/>
      <w:b/>
      <w:sz w:val="28"/>
    </w:rPr>
  </w:style>
  <w:style w:type="paragraph" w:customStyle="1" w:styleId="subsubheading">
    <w:name w:val="sub/sub_heading"/>
    <w:basedOn w:val="Normal"/>
    <w:next w:val="Bodytext"/>
    <w:uiPriority w:val="3"/>
    <w:semiHidden/>
    <w:qFormat/>
    <w:rsid w:val="00233394"/>
    <w:pPr>
      <w:keepNext/>
      <w:tabs>
        <w:tab w:val="left" w:pos="-720"/>
      </w:tabs>
      <w:spacing w:after="240"/>
      <w:outlineLvl w:val="2"/>
    </w:pPr>
    <w:rPr>
      <w:rFonts w:ascii="Arial" w:hAnsi="Arial"/>
      <w:i/>
      <w:kern w:val="24"/>
      <w:szCs w:val="24"/>
    </w:rPr>
  </w:style>
  <w:style w:type="paragraph" w:customStyle="1" w:styleId="subsubsubheading">
    <w:name w:val="sub/sub/sub_heading"/>
    <w:basedOn w:val="subsubheading"/>
    <w:next w:val="Bodytext"/>
    <w:uiPriority w:val="4"/>
    <w:semiHidden/>
    <w:qFormat/>
    <w:rsid w:val="00233394"/>
    <w:pPr>
      <w:outlineLvl w:val="3"/>
    </w:pPr>
    <w:rPr>
      <w:rFonts w:ascii="Times New Roman" w:hAnsi="Times New Roman"/>
      <w:b/>
    </w:rPr>
  </w:style>
  <w:style w:type="paragraph" w:customStyle="1" w:styleId="subheading">
    <w:name w:val="sub_heading"/>
    <w:basedOn w:val="Heading"/>
    <w:next w:val="Bodytext"/>
    <w:uiPriority w:val="2"/>
    <w:semiHidden/>
    <w:qFormat/>
    <w:rsid w:val="00233394"/>
    <w:pPr>
      <w:outlineLvl w:val="1"/>
    </w:pPr>
    <w:rPr>
      <w:rFonts w:eastAsia="Times New Roman"/>
      <w:b w:val="0"/>
      <w:i/>
      <w:lang w:eastAsia="en-US"/>
    </w:rPr>
  </w:style>
  <w:style w:type="paragraph" w:styleId="TOC1">
    <w:name w:val="toc 1"/>
    <w:aliases w:val="TOC 1 - permit"/>
    <w:basedOn w:val="PermitNormal"/>
    <w:next w:val="PermitNormal"/>
    <w:autoRedefine/>
    <w:uiPriority w:val="39"/>
    <w:rsid w:val="00A374CF"/>
    <w:pPr>
      <w:tabs>
        <w:tab w:val="right" w:leader="dot" w:pos="10502"/>
      </w:tabs>
      <w:spacing w:before="120"/>
    </w:pPr>
    <w:rPr>
      <w:b/>
    </w:rPr>
  </w:style>
  <w:style w:type="paragraph" w:styleId="TOC2">
    <w:name w:val="toc 2"/>
    <w:aliases w:val="TOC 2 - permit"/>
    <w:basedOn w:val="PermitNormal"/>
    <w:next w:val="PermitNormal"/>
    <w:autoRedefine/>
    <w:uiPriority w:val="39"/>
    <w:rsid w:val="001074FF"/>
    <w:pPr>
      <w:tabs>
        <w:tab w:val="left" w:pos="660"/>
        <w:tab w:val="right" w:leader="dot" w:pos="10502"/>
      </w:tabs>
      <w:ind w:left="216"/>
    </w:pPr>
  </w:style>
  <w:style w:type="paragraph" w:styleId="TOC3">
    <w:name w:val="toc 3"/>
    <w:aliases w:val="TOC 3 - permit"/>
    <w:basedOn w:val="PermitNormal"/>
    <w:next w:val="Normal"/>
    <w:autoRedefine/>
    <w:uiPriority w:val="39"/>
    <w:rsid w:val="00233394"/>
    <w:pPr>
      <w:tabs>
        <w:tab w:val="left" w:pos="880"/>
        <w:tab w:val="right" w:leader="dot" w:pos="10502"/>
      </w:tabs>
      <w:ind w:left="892" w:hanging="446"/>
    </w:pPr>
    <w:rPr>
      <w:noProof/>
    </w:rPr>
  </w:style>
  <w:style w:type="character" w:styleId="Hyperlink">
    <w:name w:val="Hyperlink"/>
    <w:basedOn w:val="DefaultParagraphFont"/>
    <w:uiPriority w:val="99"/>
    <w:rsid w:val="00233394"/>
    <w:rPr>
      <w:rFonts w:ascii="Times New Roman" w:hAnsi="Times New Roman"/>
      <w:color w:val="0000FF" w:themeColor="hyperlink"/>
      <w:sz w:val="22"/>
      <w:u w:val="none"/>
    </w:rPr>
  </w:style>
  <w:style w:type="numbering" w:customStyle="1" w:styleId="permitnumbering">
    <w:name w:val="permit numbering"/>
    <w:uiPriority w:val="99"/>
    <w:rsid w:val="00233394"/>
    <w:pPr>
      <w:numPr>
        <w:numId w:val="21"/>
      </w:numPr>
    </w:pPr>
  </w:style>
  <w:style w:type="paragraph" w:styleId="BalloonText">
    <w:name w:val="Balloon Text"/>
    <w:basedOn w:val="Normal"/>
    <w:link w:val="BalloonTextChar"/>
    <w:uiPriority w:val="99"/>
    <w:semiHidden/>
    <w:unhideWhenUsed/>
    <w:rsid w:val="00233394"/>
    <w:rPr>
      <w:rFonts w:ascii="Tahoma" w:hAnsi="Tahoma" w:cs="Tahoma"/>
      <w:sz w:val="16"/>
      <w:szCs w:val="16"/>
    </w:rPr>
  </w:style>
  <w:style w:type="character" w:customStyle="1" w:styleId="BalloonTextChar">
    <w:name w:val="Balloon Text Char"/>
    <w:basedOn w:val="DefaultParagraphFont"/>
    <w:link w:val="BalloonText"/>
    <w:uiPriority w:val="99"/>
    <w:semiHidden/>
    <w:rsid w:val="00233394"/>
    <w:rPr>
      <w:rFonts w:ascii="Tahoma" w:hAnsi="Tahoma" w:cs="Tahoma"/>
      <w:sz w:val="16"/>
      <w:szCs w:val="16"/>
      <w:lang w:eastAsia="en-US"/>
    </w:rPr>
  </w:style>
  <w:style w:type="paragraph" w:customStyle="1" w:styleId="PermitHanging2-italics">
    <w:name w:val="Permit Hanging 2 - italics"/>
    <w:basedOn w:val="Normal"/>
    <w:next w:val="PermitHanging1-text"/>
    <w:uiPriority w:val="10"/>
    <w:semiHidden/>
    <w:qFormat/>
    <w:rsid w:val="00233394"/>
    <w:pPr>
      <w:ind w:left="1440"/>
      <w:jc w:val="left"/>
    </w:pPr>
    <w:rPr>
      <w:i/>
    </w:rPr>
  </w:style>
  <w:style w:type="paragraph" w:customStyle="1" w:styleId="PermitNormal-italics">
    <w:name w:val="Permit Normal - italics"/>
    <w:basedOn w:val="PermitNormal"/>
    <w:next w:val="PermitNormal"/>
    <w:uiPriority w:val="6"/>
    <w:rsid w:val="00233394"/>
    <w:rPr>
      <w:i/>
    </w:rPr>
  </w:style>
  <w:style w:type="paragraph" w:customStyle="1" w:styleId="PermitHanging1-italics">
    <w:name w:val="Permit Hanging 1 - italics"/>
    <w:basedOn w:val="PermitHanging2-italics"/>
    <w:next w:val="PermitHanging1-text"/>
    <w:uiPriority w:val="9"/>
    <w:semiHidden/>
    <w:rsid w:val="00233394"/>
    <w:pPr>
      <w:ind w:left="720"/>
    </w:pPr>
  </w:style>
  <w:style w:type="paragraph" w:styleId="EndnoteText">
    <w:name w:val="endnote text"/>
    <w:basedOn w:val="Normal"/>
    <w:link w:val="EndnoteTextChar"/>
    <w:uiPriority w:val="99"/>
    <w:rsid w:val="00233394"/>
    <w:pPr>
      <w:spacing w:after="120"/>
      <w:jc w:val="left"/>
    </w:pPr>
    <w:rPr>
      <w:sz w:val="20"/>
      <w:lang w:val="en-US"/>
    </w:rPr>
  </w:style>
  <w:style w:type="character" w:customStyle="1" w:styleId="EndnoteTextChar">
    <w:name w:val="Endnote Text Char"/>
    <w:basedOn w:val="DefaultParagraphFont"/>
    <w:link w:val="EndnoteText"/>
    <w:uiPriority w:val="99"/>
    <w:rsid w:val="00233394"/>
    <w:rPr>
      <w:lang w:val="en-US" w:eastAsia="en-US"/>
    </w:rPr>
  </w:style>
  <w:style w:type="character" w:styleId="EndnoteReference">
    <w:name w:val="endnote reference"/>
    <w:basedOn w:val="DefaultParagraphFont"/>
    <w:uiPriority w:val="99"/>
    <w:semiHidden/>
    <w:rsid w:val="00233394"/>
    <w:rPr>
      <w:vertAlign w:val="superscript"/>
    </w:rPr>
  </w:style>
  <w:style w:type="character" w:styleId="Strong">
    <w:name w:val="Strong"/>
    <w:basedOn w:val="DefaultParagraphFont"/>
    <w:uiPriority w:val="22"/>
    <w:semiHidden/>
    <w:rsid w:val="00233394"/>
    <w:rPr>
      <w:b/>
      <w:bCs/>
    </w:rPr>
  </w:style>
  <w:style w:type="paragraph" w:styleId="ListParagraph">
    <w:name w:val="List Paragraph"/>
    <w:basedOn w:val="Normal"/>
    <w:link w:val="ListParagraphChar"/>
    <w:uiPriority w:val="34"/>
    <w:qFormat/>
    <w:rsid w:val="00233394"/>
    <w:pPr>
      <w:ind w:left="720"/>
      <w:contextualSpacing/>
      <w:jc w:val="left"/>
    </w:pPr>
    <w:rPr>
      <w:rFonts w:eastAsia="Calibri"/>
      <w:szCs w:val="22"/>
      <w:lang w:val="en-US"/>
    </w:rPr>
  </w:style>
  <w:style w:type="character" w:styleId="CommentReference">
    <w:name w:val="annotation reference"/>
    <w:basedOn w:val="DefaultParagraphFont"/>
    <w:uiPriority w:val="99"/>
    <w:semiHidden/>
    <w:unhideWhenUsed/>
    <w:rsid w:val="00233394"/>
    <w:rPr>
      <w:sz w:val="16"/>
      <w:szCs w:val="16"/>
    </w:rPr>
  </w:style>
  <w:style w:type="character" w:customStyle="1" w:styleId="ListParagraphChar">
    <w:name w:val="List Paragraph Char"/>
    <w:basedOn w:val="DefaultParagraphFont"/>
    <w:link w:val="ListParagraph"/>
    <w:uiPriority w:val="34"/>
    <w:rsid w:val="00233394"/>
    <w:rPr>
      <w:rFonts w:eastAsia="Calibri"/>
      <w:sz w:val="22"/>
      <w:szCs w:val="22"/>
      <w:lang w:val="en-US" w:eastAsia="en-US"/>
    </w:rPr>
  </w:style>
  <w:style w:type="numbering" w:customStyle="1" w:styleId="permittemplate">
    <w:name w:val="permittemplate"/>
    <w:uiPriority w:val="99"/>
    <w:rsid w:val="00233394"/>
    <w:pPr>
      <w:numPr>
        <w:numId w:val="4"/>
      </w:numPr>
    </w:pPr>
  </w:style>
  <w:style w:type="paragraph" w:styleId="CommentText">
    <w:name w:val="annotation text"/>
    <w:basedOn w:val="Normal"/>
    <w:link w:val="CommentTextChar"/>
    <w:uiPriority w:val="99"/>
    <w:rsid w:val="00233394"/>
    <w:rPr>
      <w:sz w:val="20"/>
    </w:rPr>
  </w:style>
  <w:style w:type="character" w:customStyle="1" w:styleId="CommentTextChar">
    <w:name w:val="Comment Text Char"/>
    <w:basedOn w:val="DefaultParagraphFont"/>
    <w:link w:val="CommentText"/>
    <w:uiPriority w:val="99"/>
    <w:rsid w:val="00233394"/>
    <w:rPr>
      <w:lang w:eastAsia="en-US"/>
    </w:rPr>
  </w:style>
  <w:style w:type="paragraph" w:styleId="CommentSubject">
    <w:name w:val="annotation subject"/>
    <w:basedOn w:val="CommentText"/>
    <w:next w:val="CommentText"/>
    <w:link w:val="CommentSubjectChar"/>
    <w:uiPriority w:val="99"/>
    <w:semiHidden/>
    <w:unhideWhenUsed/>
    <w:rsid w:val="00233394"/>
    <w:pPr>
      <w:jc w:val="left"/>
    </w:pPr>
    <w:rPr>
      <w:rFonts w:eastAsia="Calibri"/>
      <w:b/>
      <w:bCs/>
      <w:lang w:val="en-US"/>
    </w:rPr>
  </w:style>
  <w:style w:type="character" w:customStyle="1" w:styleId="CommentSubjectChar">
    <w:name w:val="Comment Subject Char"/>
    <w:basedOn w:val="CommentTextChar"/>
    <w:link w:val="CommentSubject"/>
    <w:uiPriority w:val="99"/>
    <w:semiHidden/>
    <w:rsid w:val="00233394"/>
    <w:rPr>
      <w:rFonts w:eastAsia="Calibri"/>
      <w:b/>
      <w:bCs/>
      <w:lang w:val="en-US" w:eastAsia="en-US"/>
    </w:rPr>
  </w:style>
  <w:style w:type="paragraph" w:styleId="Caption">
    <w:name w:val="caption"/>
    <w:basedOn w:val="Normal"/>
    <w:next w:val="Normal"/>
    <w:uiPriority w:val="35"/>
    <w:qFormat/>
    <w:rsid w:val="00600027"/>
    <w:pPr>
      <w:jc w:val="center"/>
    </w:pPr>
    <w:rPr>
      <w:rFonts w:ascii="Arial" w:eastAsia="Calibri" w:hAnsi="Arial"/>
      <w:b/>
      <w:bCs/>
      <w:sz w:val="20"/>
      <w:szCs w:val="18"/>
      <w:lang w:val="en-US"/>
    </w:rPr>
  </w:style>
  <w:style w:type="character" w:styleId="FollowedHyperlink">
    <w:name w:val="FollowedHyperlink"/>
    <w:basedOn w:val="DefaultParagraphFont"/>
    <w:uiPriority w:val="99"/>
    <w:semiHidden/>
    <w:unhideWhenUsed/>
    <w:rsid w:val="00233394"/>
    <w:rPr>
      <w:color w:val="800080" w:themeColor="followedHyperlink"/>
      <w:u w:val="single"/>
    </w:rPr>
  </w:style>
  <w:style w:type="paragraph" w:styleId="FootnoteText">
    <w:name w:val="footnote text"/>
    <w:basedOn w:val="Normal"/>
    <w:link w:val="FootnoteTextChar"/>
    <w:uiPriority w:val="99"/>
    <w:semiHidden/>
    <w:unhideWhenUsed/>
    <w:rsid w:val="00233394"/>
    <w:pPr>
      <w:jc w:val="left"/>
    </w:pPr>
    <w:rPr>
      <w:rFonts w:eastAsia="Calibri"/>
      <w:sz w:val="20"/>
      <w:lang w:val="en-US"/>
    </w:rPr>
  </w:style>
  <w:style w:type="character" w:customStyle="1" w:styleId="FootnoteTextChar">
    <w:name w:val="Footnote Text Char"/>
    <w:basedOn w:val="DefaultParagraphFont"/>
    <w:link w:val="FootnoteText"/>
    <w:uiPriority w:val="99"/>
    <w:semiHidden/>
    <w:rsid w:val="00233394"/>
    <w:rPr>
      <w:rFonts w:eastAsia="Calibri"/>
      <w:lang w:val="en-US" w:eastAsia="en-US"/>
    </w:rPr>
  </w:style>
  <w:style w:type="paragraph" w:customStyle="1" w:styleId="TableHeadingListofTables">
    <w:name w:val="Table Heading (List of Tables)"/>
    <w:basedOn w:val="PermitNormal-body"/>
    <w:uiPriority w:val="14"/>
    <w:rsid w:val="00233394"/>
    <w:pPr>
      <w:jc w:val="center"/>
    </w:pPr>
    <w:rPr>
      <w:b/>
    </w:rPr>
  </w:style>
  <w:style w:type="paragraph" w:customStyle="1" w:styleId="TableColumnHeading">
    <w:name w:val="Table Column Heading"/>
    <w:basedOn w:val="Normal"/>
    <w:uiPriority w:val="15"/>
    <w:rsid w:val="00B05613"/>
    <w:pPr>
      <w:suppressAutoHyphens/>
      <w:jc w:val="center"/>
    </w:pPr>
    <w:rPr>
      <w:rFonts w:ascii="Arial" w:hAnsi="Arial" w:cs="Arial"/>
      <w:b/>
    </w:rPr>
  </w:style>
  <w:style w:type="paragraph" w:customStyle="1" w:styleId="PermitHanging3-italics">
    <w:name w:val="Permit Hanging 3 - italics"/>
    <w:basedOn w:val="PermitHanging3-text"/>
    <w:uiPriority w:val="13"/>
    <w:semiHidden/>
    <w:rsid w:val="00233394"/>
    <w:rPr>
      <w:i/>
    </w:rPr>
  </w:style>
  <w:style w:type="paragraph" w:customStyle="1" w:styleId="Tablecellentry">
    <w:name w:val="Table cell entry"/>
    <w:basedOn w:val="TableColumnHeading"/>
    <w:uiPriority w:val="16"/>
    <w:rsid w:val="00233394"/>
    <w:pPr>
      <w:jc w:val="left"/>
    </w:pPr>
    <w:rPr>
      <w:rFonts w:ascii="Times New Roman" w:hAnsi="Times New Roman"/>
      <w:b w:val="0"/>
    </w:rPr>
  </w:style>
  <w:style w:type="paragraph" w:customStyle="1" w:styleId="Default">
    <w:name w:val="Default"/>
    <w:rsid w:val="00233394"/>
    <w:pPr>
      <w:autoSpaceDE w:val="0"/>
      <w:autoSpaceDN w:val="0"/>
      <w:adjustRightInd w:val="0"/>
    </w:pPr>
    <w:rPr>
      <w:rFonts w:eastAsiaTheme="minorHAnsi"/>
      <w:color w:val="000000"/>
      <w:sz w:val="24"/>
      <w:szCs w:val="24"/>
      <w:lang w:val="en-US" w:eastAsia="en-US"/>
    </w:rPr>
  </w:style>
  <w:style w:type="paragraph" w:customStyle="1" w:styleId="PermitHanging4-italics">
    <w:name w:val="Permit Hanging 4 - italics"/>
    <w:basedOn w:val="PermitHanging3-italics"/>
    <w:uiPriority w:val="14"/>
    <w:semiHidden/>
    <w:rsid w:val="00233394"/>
    <w:pPr>
      <w:ind w:left="2880"/>
    </w:pPr>
    <w:rPr>
      <w:rFonts w:eastAsia="Calibri"/>
    </w:rPr>
  </w:style>
  <w:style w:type="table" w:styleId="TableGrid">
    <w:name w:val="Table Grid"/>
    <w:basedOn w:val="TableNormal"/>
    <w:uiPriority w:val="59"/>
    <w:rsid w:val="0023339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33394"/>
    <w:rPr>
      <w:rFonts w:ascii="Cambria" w:hAnsi="Cambria"/>
      <w:b/>
      <w:bCs/>
      <w:i/>
      <w:iCs/>
      <w:color w:val="4F81BD"/>
      <w:sz w:val="22"/>
      <w:szCs w:val="22"/>
      <w:lang w:val="en-US" w:eastAsia="en-US"/>
    </w:rPr>
  </w:style>
  <w:style w:type="character" w:customStyle="1" w:styleId="Heading5Char">
    <w:name w:val="Heading 5 Char"/>
    <w:basedOn w:val="DefaultParagraphFont"/>
    <w:link w:val="Heading5"/>
    <w:uiPriority w:val="9"/>
    <w:semiHidden/>
    <w:rsid w:val="00233394"/>
    <w:rPr>
      <w:rFonts w:ascii="Cambria" w:hAnsi="Cambria"/>
      <w:color w:val="243F60"/>
      <w:sz w:val="22"/>
      <w:szCs w:val="22"/>
      <w:lang w:val="en-US" w:eastAsia="en-US"/>
    </w:rPr>
  </w:style>
  <w:style w:type="character" w:customStyle="1" w:styleId="Heading7Char">
    <w:name w:val="Heading 7 Char"/>
    <w:basedOn w:val="DefaultParagraphFont"/>
    <w:link w:val="Heading7"/>
    <w:uiPriority w:val="9"/>
    <w:semiHidden/>
    <w:rsid w:val="00233394"/>
    <w:rPr>
      <w:rFonts w:ascii="Cambria" w:hAnsi="Cambria"/>
      <w:i/>
      <w:iCs/>
      <w:color w:val="404040"/>
      <w:sz w:val="22"/>
      <w:szCs w:val="22"/>
      <w:lang w:val="en-US" w:eastAsia="en-US"/>
    </w:rPr>
  </w:style>
  <w:style w:type="character" w:customStyle="1" w:styleId="Heading8Char">
    <w:name w:val="Heading 8 Char"/>
    <w:basedOn w:val="DefaultParagraphFont"/>
    <w:link w:val="Heading8"/>
    <w:uiPriority w:val="9"/>
    <w:semiHidden/>
    <w:rsid w:val="00233394"/>
    <w:rPr>
      <w:rFonts w:ascii="Cambria" w:hAnsi="Cambria"/>
      <w:color w:val="404040"/>
      <w:lang w:val="en-US" w:eastAsia="en-US"/>
    </w:rPr>
  </w:style>
  <w:style w:type="character" w:customStyle="1" w:styleId="Heading9Char">
    <w:name w:val="Heading 9 Char"/>
    <w:basedOn w:val="DefaultParagraphFont"/>
    <w:link w:val="Heading9"/>
    <w:uiPriority w:val="9"/>
    <w:semiHidden/>
    <w:rsid w:val="00233394"/>
    <w:rPr>
      <w:rFonts w:ascii="Cambria" w:hAnsi="Cambria"/>
      <w:i/>
      <w:iCs/>
      <w:color w:val="404040"/>
      <w:lang w:val="en-US" w:eastAsia="en-US"/>
    </w:rPr>
  </w:style>
  <w:style w:type="character" w:styleId="PageNumber">
    <w:name w:val="page number"/>
    <w:basedOn w:val="DefaultParagraphFont"/>
    <w:semiHidden/>
    <w:rsid w:val="00233394"/>
  </w:style>
  <w:style w:type="character" w:customStyle="1" w:styleId="Heading1Char">
    <w:name w:val="Heading 1 Char"/>
    <w:basedOn w:val="DefaultParagraphFont"/>
    <w:link w:val="Heading1"/>
    <w:uiPriority w:val="9"/>
    <w:semiHidden/>
    <w:rsid w:val="00233394"/>
    <w:rPr>
      <w:rFonts w:ascii="CG Times" w:hAnsi="CG Times"/>
      <w:b/>
      <w:spacing w:val="-3"/>
      <w:sz w:val="24"/>
      <w:lang w:eastAsia="en-US"/>
    </w:rPr>
  </w:style>
  <w:style w:type="character" w:styleId="FootnoteReference">
    <w:name w:val="footnote reference"/>
    <w:basedOn w:val="DefaultParagraphFont"/>
    <w:uiPriority w:val="99"/>
    <w:semiHidden/>
    <w:unhideWhenUsed/>
    <w:rsid w:val="00233394"/>
    <w:rPr>
      <w:vertAlign w:val="superscript"/>
    </w:rPr>
  </w:style>
  <w:style w:type="paragraph" w:styleId="NormalWeb">
    <w:name w:val="Normal (Web)"/>
    <w:basedOn w:val="Normal"/>
    <w:semiHidden/>
    <w:rsid w:val="00233394"/>
    <w:pPr>
      <w:spacing w:before="100" w:beforeAutospacing="1" w:after="100" w:afterAutospacing="1"/>
      <w:jc w:val="left"/>
    </w:pPr>
    <w:rPr>
      <w:rFonts w:eastAsia="Calibri"/>
      <w:szCs w:val="24"/>
      <w:lang w:val="en-US"/>
    </w:rPr>
  </w:style>
  <w:style w:type="paragraph" w:customStyle="1" w:styleId="DEQTEXTforFACTSHEET">
    <w:name w:val="(DEQ)TEXT for FACT SHEET"/>
    <w:basedOn w:val="Normal"/>
    <w:semiHidden/>
    <w:rsid w:val="00233394"/>
    <w:pPr>
      <w:jc w:val="left"/>
    </w:pPr>
    <w:rPr>
      <w:rFonts w:ascii="Times" w:eastAsia="Times" w:hAnsi="Times"/>
      <w:sz w:val="20"/>
      <w:lang w:val="en-US"/>
    </w:rPr>
  </w:style>
  <w:style w:type="paragraph" w:styleId="TOCHeading">
    <w:name w:val="TOC Heading"/>
    <w:basedOn w:val="Heading1"/>
    <w:next w:val="Normal"/>
    <w:uiPriority w:val="39"/>
    <w:unhideWhenUsed/>
    <w:qFormat/>
    <w:rsid w:val="00233394"/>
    <w:pPr>
      <w:keepLines/>
      <w:tabs>
        <w:tab w:val="clear" w:pos="-720"/>
      </w:tabs>
      <w:suppressAutoHyphens w:val="0"/>
      <w:spacing w:before="480" w:line="276" w:lineRule="auto"/>
      <w:jc w:val="left"/>
      <w:outlineLvl w:val="9"/>
    </w:pPr>
    <w:rPr>
      <w:rFonts w:ascii="Arial" w:hAnsi="Arial"/>
      <w:bCs/>
      <w:spacing w:val="0"/>
      <w:sz w:val="28"/>
      <w:szCs w:val="28"/>
      <w:lang w:val="en-US"/>
    </w:rPr>
  </w:style>
  <w:style w:type="paragraph" w:styleId="TableofFigures">
    <w:name w:val="table of figures"/>
    <w:basedOn w:val="Normal"/>
    <w:next w:val="Normal"/>
    <w:uiPriority w:val="99"/>
    <w:unhideWhenUsed/>
    <w:rsid w:val="00233394"/>
    <w:pPr>
      <w:jc w:val="left"/>
    </w:pPr>
    <w:rPr>
      <w:rFonts w:eastAsia="Calibri"/>
      <w:szCs w:val="22"/>
      <w:lang w:val="en-US"/>
    </w:rPr>
  </w:style>
  <w:style w:type="paragraph" w:styleId="DocumentMap">
    <w:name w:val="Document Map"/>
    <w:basedOn w:val="Normal"/>
    <w:link w:val="DocumentMapChar"/>
    <w:uiPriority w:val="99"/>
    <w:semiHidden/>
    <w:unhideWhenUsed/>
    <w:rsid w:val="00233394"/>
    <w:pPr>
      <w:jc w:val="left"/>
    </w:pPr>
    <w:rPr>
      <w:rFonts w:ascii="Tahoma" w:eastAsia="Calibri" w:hAnsi="Tahoma" w:cs="Tahoma"/>
      <w:sz w:val="16"/>
      <w:szCs w:val="16"/>
      <w:lang w:val="en-US"/>
    </w:rPr>
  </w:style>
  <w:style w:type="character" w:customStyle="1" w:styleId="DocumentMapChar">
    <w:name w:val="Document Map Char"/>
    <w:basedOn w:val="DefaultParagraphFont"/>
    <w:link w:val="DocumentMap"/>
    <w:uiPriority w:val="99"/>
    <w:semiHidden/>
    <w:rsid w:val="00233394"/>
    <w:rPr>
      <w:rFonts w:ascii="Tahoma" w:eastAsia="Calibri" w:hAnsi="Tahoma" w:cs="Tahoma"/>
      <w:sz w:val="16"/>
      <w:szCs w:val="16"/>
      <w:lang w:val="en-US" w:eastAsia="en-US"/>
    </w:rPr>
  </w:style>
  <w:style w:type="paragraph" w:customStyle="1" w:styleId="PermitHanging1">
    <w:name w:val="Permit Hanging 1"/>
    <w:basedOn w:val="Normal"/>
    <w:uiPriority w:val="8"/>
    <w:rsid w:val="00233394"/>
    <w:pPr>
      <w:tabs>
        <w:tab w:val="left" w:pos="720"/>
      </w:tabs>
      <w:spacing w:after="220"/>
      <w:ind w:left="720" w:hanging="720"/>
    </w:pPr>
  </w:style>
  <w:style w:type="paragraph" w:customStyle="1" w:styleId="PermitHanging2">
    <w:name w:val="Permit Hanging 2"/>
    <w:basedOn w:val="PermitHanging1"/>
    <w:uiPriority w:val="8"/>
    <w:semiHidden/>
    <w:rsid w:val="00233394"/>
    <w:pPr>
      <w:tabs>
        <w:tab w:val="left" w:pos="1440"/>
      </w:tabs>
      <w:ind w:left="1440"/>
      <w:jc w:val="left"/>
    </w:pPr>
  </w:style>
  <w:style w:type="paragraph" w:styleId="TOC9">
    <w:name w:val="toc 9"/>
    <w:basedOn w:val="Normal"/>
    <w:next w:val="Normal"/>
    <w:autoRedefine/>
    <w:uiPriority w:val="39"/>
    <w:rsid w:val="00233394"/>
    <w:pPr>
      <w:spacing w:after="100"/>
      <w:ind w:left="1760"/>
      <w:jc w:val="left"/>
    </w:pPr>
    <w:rPr>
      <w:rFonts w:eastAsia="Calibri"/>
      <w:szCs w:val="22"/>
      <w:lang w:val="en-US"/>
    </w:rPr>
  </w:style>
  <w:style w:type="character" w:customStyle="1" w:styleId="style161">
    <w:name w:val="style161"/>
    <w:basedOn w:val="DefaultParagraphFont"/>
    <w:semiHidden/>
    <w:rsid w:val="00233394"/>
    <w:rPr>
      <w:sz w:val="15"/>
      <w:szCs w:val="15"/>
      <w:shd w:val="clear" w:color="auto" w:fill="FFFF00"/>
    </w:rPr>
  </w:style>
  <w:style w:type="paragraph" w:styleId="TOC4">
    <w:name w:val="toc 4"/>
    <w:basedOn w:val="Normal"/>
    <w:next w:val="Normal"/>
    <w:autoRedefine/>
    <w:uiPriority w:val="39"/>
    <w:rsid w:val="00233394"/>
    <w:pPr>
      <w:spacing w:after="100" w:line="276" w:lineRule="auto"/>
      <w:ind w:left="660"/>
      <w:jc w:val="left"/>
    </w:pPr>
    <w:rPr>
      <w:rFonts w:asciiTheme="minorHAnsi" w:eastAsiaTheme="minorEastAsia" w:hAnsiTheme="minorHAnsi" w:cstheme="minorBidi"/>
      <w:szCs w:val="22"/>
      <w:lang w:val="en-US"/>
    </w:rPr>
  </w:style>
  <w:style w:type="paragraph" w:styleId="TOC5">
    <w:name w:val="toc 5"/>
    <w:basedOn w:val="Normal"/>
    <w:next w:val="Normal"/>
    <w:autoRedefine/>
    <w:uiPriority w:val="39"/>
    <w:rsid w:val="00233394"/>
    <w:pPr>
      <w:spacing w:after="100" w:line="276" w:lineRule="auto"/>
      <w:ind w:left="880"/>
      <w:jc w:val="left"/>
    </w:pPr>
    <w:rPr>
      <w:rFonts w:asciiTheme="minorHAnsi" w:eastAsiaTheme="minorEastAsia" w:hAnsiTheme="minorHAnsi" w:cstheme="minorBidi"/>
      <w:szCs w:val="22"/>
      <w:lang w:val="en-US"/>
    </w:rPr>
  </w:style>
  <w:style w:type="paragraph" w:styleId="TOC6">
    <w:name w:val="toc 6"/>
    <w:basedOn w:val="Normal"/>
    <w:next w:val="Normal"/>
    <w:autoRedefine/>
    <w:uiPriority w:val="39"/>
    <w:rsid w:val="00233394"/>
    <w:pPr>
      <w:spacing w:after="100" w:line="276" w:lineRule="auto"/>
      <w:ind w:left="1100"/>
      <w:jc w:val="left"/>
    </w:pPr>
    <w:rPr>
      <w:rFonts w:asciiTheme="minorHAnsi" w:eastAsiaTheme="minorEastAsia" w:hAnsiTheme="minorHAnsi" w:cstheme="minorBidi"/>
      <w:szCs w:val="22"/>
      <w:lang w:val="en-US"/>
    </w:rPr>
  </w:style>
  <w:style w:type="paragraph" w:styleId="TOC7">
    <w:name w:val="toc 7"/>
    <w:basedOn w:val="Normal"/>
    <w:next w:val="Normal"/>
    <w:autoRedefine/>
    <w:uiPriority w:val="39"/>
    <w:rsid w:val="00233394"/>
    <w:pPr>
      <w:spacing w:after="100" w:line="276" w:lineRule="auto"/>
      <w:ind w:left="1320"/>
      <w:jc w:val="left"/>
    </w:pPr>
    <w:rPr>
      <w:rFonts w:asciiTheme="minorHAnsi" w:eastAsiaTheme="minorEastAsia" w:hAnsiTheme="minorHAnsi" w:cstheme="minorBidi"/>
      <w:szCs w:val="22"/>
      <w:lang w:val="en-US"/>
    </w:rPr>
  </w:style>
  <w:style w:type="paragraph" w:styleId="TOC8">
    <w:name w:val="toc 8"/>
    <w:basedOn w:val="Normal"/>
    <w:next w:val="Normal"/>
    <w:autoRedefine/>
    <w:uiPriority w:val="39"/>
    <w:rsid w:val="00233394"/>
    <w:pPr>
      <w:spacing w:after="100" w:line="276" w:lineRule="auto"/>
      <w:ind w:left="1540"/>
      <w:jc w:val="left"/>
    </w:pPr>
    <w:rPr>
      <w:rFonts w:asciiTheme="minorHAnsi" w:eastAsiaTheme="minorEastAsia" w:hAnsiTheme="minorHAnsi" w:cstheme="minorBidi"/>
      <w:szCs w:val="22"/>
      <w:lang w:val="en-US"/>
    </w:rPr>
  </w:style>
  <w:style w:type="paragraph" w:styleId="PlainText">
    <w:name w:val="Plain Text"/>
    <w:basedOn w:val="Normal"/>
    <w:link w:val="PlainTextChar"/>
    <w:uiPriority w:val="99"/>
    <w:semiHidden/>
    <w:rsid w:val="00233394"/>
    <w:pPr>
      <w:jc w:val="left"/>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233394"/>
    <w:rPr>
      <w:rFonts w:ascii="Consolas" w:eastAsiaTheme="minorHAnsi" w:hAnsi="Consolas" w:cstheme="minorBidi"/>
      <w:sz w:val="21"/>
      <w:szCs w:val="21"/>
      <w:lang w:val="en-US" w:eastAsia="en-US"/>
    </w:rPr>
  </w:style>
  <w:style w:type="character" w:customStyle="1" w:styleId="ft">
    <w:name w:val="ft"/>
    <w:basedOn w:val="DefaultParagraphFont"/>
    <w:semiHidden/>
    <w:rsid w:val="00233394"/>
  </w:style>
  <w:style w:type="paragraph" w:customStyle="1" w:styleId="Level3">
    <w:name w:val="Level 3"/>
    <w:basedOn w:val="ListParagraph"/>
    <w:link w:val="Level3Char"/>
    <w:semiHidden/>
    <w:qFormat/>
    <w:rsid w:val="00233394"/>
    <w:pPr>
      <w:numPr>
        <w:ilvl w:val="1"/>
        <w:numId w:val="17"/>
      </w:numPr>
      <w:tabs>
        <w:tab w:val="left" w:pos="-720"/>
        <w:tab w:val="left" w:pos="0"/>
        <w:tab w:val="left" w:pos="720"/>
        <w:tab w:val="left" w:pos="1440"/>
      </w:tabs>
      <w:suppressAutoHyphens/>
      <w:topLinePunct/>
      <w:textAlignment w:val="center"/>
    </w:pPr>
    <w:rPr>
      <w:rFonts w:eastAsia="Times New Roman"/>
      <w:sz w:val="20"/>
      <w:szCs w:val="24"/>
      <w:lang w:bidi="en-US"/>
    </w:rPr>
  </w:style>
  <w:style w:type="paragraph" w:customStyle="1" w:styleId="Level4">
    <w:name w:val="Level4"/>
    <w:basedOn w:val="Normal"/>
    <w:link w:val="Level4Char"/>
    <w:semiHidden/>
    <w:qFormat/>
    <w:rsid w:val="00233394"/>
    <w:pPr>
      <w:numPr>
        <w:ilvl w:val="2"/>
        <w:numId w:val="17"/>
      </w:numPr>
      <w:autoSpaceDE w:val="0"/>
      <w:autoSpaceDN w:val="0"/>
      <w:adjustRightInd w:val="0"/>
      <w:jc w:val="left"/>
    </w:pPr>
    <w:rPr>
      <w:sz w:val="20"/>
      <w:lang w:val="en-US" w:bidi="en-US"/>
    </w:rPr>
  </w:style>
  <w:style w:type="character" w:customStyle="1" w:styleId="Level3Char">
    <w:name w:val="Level 3 Char"/>
    <w:basedOn w:val="ListParagraphChar"/>
    <w:link w:val="Level3"/>
    <w:semiHidden/>
    <w:rsid w:val="00233394"/>
    <w:rPr>
      <w:rFonts w:eastAsia="Calibri"/>
      <w:sz w:val="22"/>
      <w:szCs w:val="24"/>
      <w:lang w:val="en-US" w:eastAsia="en-US" w:bidi="en-US"/>
    </w:rPr>
  </w:style>
  <w:style w:type="paragraph" w:customStyle="1" w:styleId="Style5">
    <w:name w:val="Style5"/>
    <w:basedOn w:val="ListParagraph"/>
    <w:link w:val="Style5Char"/>
    <w:semiHidden/>
    <w:qFormat/>
    <w:rsid w:val="00233394"/>
    <w:pPr>
      <w:numPr>
        <w:numId w:val="18"/>
      </w:numPr>
    </w:pPr>
    <w:rPr>
      <w:rFonts w:eastAsia="Times New Roman"/>
      <w:sz w:val="20"/>
      <w:szCs w:val="24"/>
      <w:lang w:bidi="en-US"/>
    </w:rPr>
  </w:style>
  <w:style w:type="character" w:customStyle="1" w:styleId="Level4Char">
    <w:name w:val="Level4 Char"/>
    <w:basedOn w:val="DefaultParagraphFont"/>
    <w:link w:val="Level4"/>
    <w:semiHidden/>
    <w:rsid w:val="00233394"/>
    <w:rPr>
      <w:lang w:val="en-US" w:eastAsia="en-US" w:bidi="en-US"/>
    </w:rPr>
  </w:style>
  <w:style w:type="character" w:customStyle="1" w:styleId="Style5Char">
    <w:name w:val="Style5 Char"/>
    <w:basedOn w:val="ListParagraphChar"/>
    <w:link w:val="Style5"/>
    <w:semiHidden/>
    <w:rsid w:val="00233394"/>
    <w:rPr>
      <w:rFonts w:eastAsia="Calibri"/>
      <w:sz w:val="22"/>
      <w:szCs w:val="24"/>
      <w:lang w:val="en-US" w:eastAsia="en-US" w:bidi="en-US"/>
    </w:rPr>
  </w:style>
  <w:style w:type="character" w:styleId="PlaceholderText">
    <w:name w:val="Placeholder Text"/>
    <w:basedOn w:val="DefaultParagraphFont"/>
    <w:uiPriority w:val="99"/>
    <w:semiHidden/>
    <w:rsid w:val="00233394"/>
    <w:rPr>
      <w:color w:val="808080"/>
    </w:rPr>
  </w:style>
  <w:style w:type="paragraph" w:customStyle="1" w:styleId="Tabkecellcontents">
    <w:name w:val="Tabke cell contents"/>
    <w:basedOn w:val="TableColumnHeading"/>
    <w:semiHidden/>
    <w:rsid w:val="00233394"/>
    <w:pPr>
      <w:jc w:val="left"/>
    </w:pPr>
    <w:rPr>
      <w:rFonts w:ascii="Times New Roman" w:hAnsi="Times New Roman" w:cstheme="minorHAnsi"/>
      <w:b w:val="0"/>
      <w:bCs/>
      <w:iCs/>
      <w:szCs w:val="22"/>
    </w:rPr>
  </w:style>
  <w:style w:type="paragraph" w:customStyle="1" w:styleId="TableHeadingwithunits">
    <w:name w:val="Table Heading with units"/>
    <w:basedOn w:val="TableHeadingListofTables"/>
    <w:uiPriority w:val="15"/>
    <w:rsid w:val="00233394"/>
  </w:style>
  <w:style w:type="character" w:customStyle="1" w:styleId="PermitNormal-italicsonly">
    <w:name w:val="Permit Normal - italics only"/>
    <w:basedOn w:val="DefaultParagraphFont"/>
    <w:uiPriority w:val="1"/>
    <w:semiHidden/>
    <w:rsid w:val="00233394"/>
    <w:rPr>
      <w:i/>
    </w:rPr>
  </w:style>
  <w:style w:type="character" w:customStyle="1" w:styleId="EndnoteReference1">
    <w:name w:val="Endnote Reference1"/>
    <w:basedOn w:val="DefaultParagraphFont"/>
    <w:uiPriority w:val="1"/>
    <w:semiHidden/>
    <w:rsid w:val="00233394"/>
    <w:rPr>
      <w:rFonts w:ascii="Times New Roman" w:hAnsi="Times New Roman"/>
      <w:vertAlign w:val="superscript"/>
    </w:rPr>
  </w:style>
  <w:style w:type="character" w:customStyle="1" w:styleId="Hyperlink1">
    <w:name w:val="Hyperlink1"/>
    <w:basedOn w:val="DefaultParagraphFont"/>
    <w:uiPriority w:val="99"/>
    <w:rsid w:val="00A3111E"/>
    <w:rPr>
      <w:rFonts w:ascii="Times New Roman" w:hAnsi="Times New Roman"/>
      <w:color w:val="0000FF"/>
      <w:sz w:val="22"/>
      <w:u w:val="none"/>
    </w:rPr>
  </w:style>
  <w:style w:type="numbering" w:customStyle="1" w:styleId="permitnumbering3">
    <w:name w:val="permit numbering3"/>
    <w:uiPriority w:val="99"/>
    <w:rsid w:val="00A3111E"/>
  </w:style>
  <w:style w:type="character" w:customStyle="1" w:styleId="Style1">
    <w:name w:val="Style1"/>
    <w:basedOn w:val="DefaultParagraphFont"/>
    <w:uiPriority w:val="1"/>
    <w:rsid w:val="004D032A"/>
    <w:rPr>
      <w:rFonts w:ascii="Times New Roman" w:hAnsi="Times New Roman"/>
      <w:sz w:val="22"/>
    </w:rPr>
  </w:style>
  <w:style w:type="numbering" w:customStyle="1" w:styleId="Style2">
    <w:name w:val="Style2"/>
    <w:uiPriority w:val="99"/>
    <w:rsid w:val="004325BE"/>
    <w:pPr>
      <w:numPr>
        <w:numId w:val="34"/>
      </w:numPr>
    </w:pPr>
  </w:style>
  <w:style w:type="paragraph" w:styleId="NoSpacing">
    <w:name w:val="No Spacing"/>
    <w:link w:val="NoSpacingChar"/>
    <w:uiPriority w:val="1"/>
    <w:qFormat/>
    <w:rsid w:val="008E638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E6383"/>
    <w:rPr>
      <w:rFonts w:asciiTheme="minorHAnsi" w:eastAsiaTheme="minorEastAsia" w:hAnsiTheme="minorHAnsi" w:cstheme="minorBidi"/>
      <w:sz w:val="22"/>
      <w:szCs w:val="22"/>
      <w:lang w:val="en-US" w:eastAsia="en-US"/>
    </w:rPr>
  </w:style>
  <w:style w:type="paragraph" w:styleId="BodyText0">
    <w:name w:val="Body Text"/>
    <w:basedOn w:val="Normal"/>
    <w:link w:val="BodyTextChar"/>
    <w:uiPriority w:val="1"/>
    <w:qFormat/>
    <w:rsid w:val="009E1658"/>
    <w:pPr>
      <w:widowControl w:val="0"/>
      <w:ind w:left="1200" w:hanging="360"/>
      <w:jc w:val="left"/>
    </w:pPr>
    <w:rPr>
      <w:rFonts w:cstheme="minorBidi"/>
      <w:szCs w:val="22"/>
      <w:lang w:val="en-US"/>
    </w:rPr>
  </w:style>
  <w:style w:type="character" w:customStyle="1" w:styleId="BodyTextChar">
    <w:name w:val="Body Text Char"/>
    <w:basedOn w:val="DefaultParagraphFont"/>
    <w:link w:val="BodyText0"/>
    <w:uiPriority w:val="1"/>
    <w:rsid w:val="009E1658"/>
    <w:rPr>
      <w:rFonts w:cstheme="minorBidi"/>
      <w:sz w:val="22"/>
      <w:szCs w:val="22"/>
      <w:lang w:val="en-US" w:eastAsia="en-US"/>
    </w:rPr>
  </w:style>
  <w:style w:type="character" w:styleId="UnresolvedMention">
    <w:name w:val="Unresolved Mention"/>
    <w:basedOn w:val="DefaultParagraphFont"/>
    <w:uiPriority w:val="99"/>
    <w:semiHidden/>
    <w:unhideWhenUsed/>
    <w:rsid w:val="00AA6A38"/>
    <w:rPr>
      <w:color w:val="605E5C"/>
      <w:shd w:val="clear" w:color="auto" w:fill="E1DFDD"/>
    </w:rPr>
  </w:style>
  <w:style w:type="character" w:customStyle="1" w:styleId="contentpasted1">
    <w:name w:val="contentpasted1"/>
    <w:basedOn w:val="DefaultParagraphFont"/>
    <w:rsid w:val="005E6D6C"/>
  </w:style>
  <w:style w:type="character" w:customStyle="1" w:styleId="contentpasted3">
    <w:name w:val="contentpasted3"/>
    <w:basedOn w:val="DefaultParagraphFont"/>
    <w:rsid w:val="005E6D6C"/>
  </w:style>
  <w:style w:type="character" w:customStyle="1" w:styleId="cf01">
    <w:name w:val="cf01"/>
    <w:basedOn w:val="DefaultParagraphFont"/>
    <w:rsid w:val="00B61D53"/>
    <w:rPr>
      <w:rFonts w:ascii="Segoe UI" w:hAnsi="Segoe UI" w:cs="Segoe UI" w:hint="default"/>
      <w:sz w:val="18"/>
      <w:szCs w:val="18"/>
    </w:rPr>
  </w:style>
  <w:style w:type="character" w:styleId="Mention">
    <w:name w:val="Mention"/>
    <w:basedOn w:val="DefaultParagraphFont"/>
    <w:uiPriority w:val="99"/>
    <w:unhideWhenUsed/>
    <w:rsid w:val="00F72102"/>
    <w:rPr>
      <w:color w:val="2B579A"/>
      <w:shd w:val="clear" w:color="auto" w:fill="E1DFDD"/>
    </w:rPr>
  </w:style>
  <w:style w:type="paragraph" w:customStyle="1" w:styleId="paragraph">
    <w:name w:val="paragraph"/>
    <w:basedOn w:val="Normal"/>
    <w:rsid w:val="001C3845"/>
    <w:pPr>
      <w:spacing w:before="100" w:beforeAutospacing="1" w:after="100" w:afterAutospacing="1"/>
      <w:jc w:val="left"/>
    </w:pPr>
    <w:rPr>
      <w:sz w:val="24"/>
      <w:szCs w:val="24"/>
      <w:lang w:val="en-US"/>
    </w:rPr>
  </w:style>
  <w:style w:type="character" w:customStyle="1" w:styleId="normaltextrun">
    <w:name w:val="normaltextrun"/>
    <w:basedOn w:val="DefaultParagraphFont"/>
    <w:rsid w:val="001C3845"/>
  </w:style>
  <w:style w:type="character" w:customStyle="1" w:styleId="eop">
    <w:name w:val="eop"/>
    <w:basedOn w:val="DefaultParagraphFont"/>
    <w:rsid w:val="001C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33">
      <w:bodyDiv w:val="1"/>
      <w:marLeft w:val="0"/>
      <w:marRight w:val="0"/>
      <w:marTop w:val="0"/>
      <w:marBottom w:val="0"/>
      <w:divBdr>
        <w:top w:val="none" w:sz="0" w:space="0" w:color="auto"/>
        <w:left w:val="none" w:sz="0" w:space="0" w:color="auto"/>
        <w:bottom w:val="none" w:sz="0" w:space="0" w:color="auto"/>
        <w:right w:val="none" w:sz="0" w:space="0" w:color="auto"/>
      </w:divBdr>
    </w:div>
    <w:div w:id="59838179">
      <w:bodyDiv w:val="1"/>
      <w:marLeft w:val="0"/>
      <w:marRight w:val="0"/>
      <w:marTop w:val="0"/>
      <w:marBottom w:val="0"/>
      <w:divBdr>
        <w:top w:val="none" w:sz="0" w:space="0" w:color="auto"/>
        <w:left w:val="none" w:sz="0" w:space="0" w:color="auto"/>
        <w:bottom w:val="none" w:sz="0" w:space="0" w:color="auto"/>
        <w:right w:val="none" w:sz="0" w:space="0" w:color="auto"/>
      </w:divBdr>
    </w:div>
    <w:div w:id="154687525">
      <w:bodyDiv w:val="1"/>
      <w:marLeft w:val="0"/>
      <w:marRight w:val="0"/>
      <w:marTop w:val="0"/>
      <w:marBottom w:val="0"/>
      <w:divBdr>
        <w:top w:val="none" w:sz="0" w:space="0" w:color="auto"/>
        <w:left w:val="none" w:sz="0" w:space="0" w:color="auto"/>
        <w:bottom w:val="none" w:sz="0" w:space="0" w:color="auto"/>
        <w:right w:val="none" w:sz="0" w:space="0" w:color="auto"/>
      </w:divBdr>
    </w:div>
    <w:div w:id="194277349">
      <w:bodyDiv w:val="1"/>
      <w:marLeft w:val="0"/>
      <w:marRight w:val="0"/>
      <w:marTop w:val="0"/>
      <w:marBottom w:val="0"/>
      <w:divBdr>
        <w:top w:val="none" w:sz="0" w:space="0" w:color="auto"/>
        <w:left w:val="none" w:sz="0" w:space="0" w:color="auto"/>
        <w:bottom w:val="none" w:sz="0" w:space="0" w:color="auto"/>
        <w:right w:val="none" w:sz="0" w:space="0" w:color="auto"/>
      </w:divBdr>
    </w:div>
    <w:div w:id="200824439">
      <w:bodyDiv w:val="1"/>
      <w:marLeft w:val="0"/>
      <w:marRight w:val="0"/>
      <w:marTop w:val="0"/>
      <w:marBottom w:val="0"/>
      <w:divBdr>
        <w:top w:val="none" w:sz="0" w:space="0" w:color="auto"/>
        <w:left w:val="none" w:sz="0" w:space="0" w:color="auto"/>
        <w:bottom w:val="none" w:sz="0" w:space="0" w:color="auto"/>
        <w:right w:val="none" w:sz="0" w:space="0" w:color="auto"/>
      </w:divBdr>
    </w:div>
    <w:div w:id="362677159">
      <w:bodyDiv w:val="1"/>
      <w:marLeft w:val="0"/>
      <w:marRight w:val="0"/>
      <w:marTop w:val="0"/>
      <w:marBottom w:val="0"/>
      <w:divBdr>
        <w:top w:val="none" w:sz="0" w:space="0" w:color="auto"/>
        <w:left w:val="none" w:sz="0" w:space="0" w:color="auto"/>
        <w:bottom w:val="none" w:sz="0" w:space="0" w:color="auto"/>
        <w:right w:val="none" w:sz="0" w:space="0" w:color="auto"/>
      </w:divBdr>
    </w:div>
    <w:div w:id="546112043">
      <w:bodyDiv w:val="1"/>
      <w:marLeft w:val="0"/>
      <w:marRight w:val="0"/>
      <w:marTop w:val="0"/>
      <w:marBottom w:val="0"/>
      <w:divBdr>
        <w:top w:val="none" w:sz="0" w:space="0" w:color="auto"/>
        <w:left w:val="none" w:sz="0" w:space="0" w:color="auto"/>
        <w:bottom w:val="none" w:sz="0" w:space="0" w:color="auto"/>
        <w:right w:val="none" w:sz="0" w:space="0" w:color="auto"/>
      </w:divBdr>
    </w:div>
    <w:div w:id="646322730">
      <w:bodyDiv w:val="1"/>
      <w:marLeft w:val="0"/>
      <w:marRight w:val="0"/>
      <w:marTop w:val="0"/>
      <w:marBottom w:val="0"/>
      <w:divBdr>
        <w:top w:val="none" w:sz="0" w:space="0" w:color="auto"/>
        <w:left w:val="none" w:sz="0" w:space="0" w:color="auto"/>
        <w:bottom w:val="none" w:sz="0" w:space="0" w:color="auto"/>
        <w:right w:val="none" w:sz="0" w:space="0" w:color="auto"/>
      </w:divBdr>
    </w:div>
    <w:div w:id="696391853">
      <w:bodyDiv w:val="1"/>
      <w:marLeft w:val="0"/>
      <w:marRight w:val="0"/>
      <w:marTop w:val="0"/>
      <w:marBottom w:val="0"/>
      <w:divBdr>
        <w:top w:val="none" w:sz="0" w:space="0" w:color="auto"/>
        <w:left w:val="none" w:sz="0" w:space="0" w:color="auto"/>
        <w:bottom w:val="none" w:sz="0" w:space="0" w:color="auto"/>
        <w:right w:val="none" w:sz="0" w:space="0" w:color="auto"/>
      </w:divBdr>
    </w:div>
    <w:div w:id="807630377">
      <w:bodyDiv w:val="1"/>
      <w:marLeft w:val="0"/>
      <w:marRight w:val="0"/>
      <w:marTop w:val="0"/>
      <w:marBottom w:val="0"/>
      <w:divBdr>
        <w:top w:val="none" w:sz="0" w:space="0" w:color="auto"/>
        <w:left w:val="none" w:sz="0" w:space="0" w:color="auto"/>
        <w:bottom w:val="none" w:sz="0" w:space="0" w:color="auto"/>
        <w:right w:val="none" w:sz="0" w:space="0" w:color="auto"/>
      </w:divBdr>
      <w:divsChild>
        <w:div w:id="57561879">
          <w:marLeft w:val="0"/>
          <w:marRight w:val="0"/>
          <w:marTop w:val="0"/>
          <w:marBottom w:val="0"/>
          <w:divBdr>
            <w:top w:val="none" w:sz="0" w:space="0" w:color="auto"/>
            <w:left w:val="none" w:sz="0" w:space="0" w:color="auto"/>
            <w:bottom w:val="none" w:sz="0" w:space="0" w:color="auto"/>
            <w:right w:val="none" w:sz="0" w:space="0" w:color="auto"/>
          </w:divBdr>
        </w:div>
        <w:div w:id="2001694437">
          <w:marLeft w:val="0"/>
          <w:marRight w:val="0"/>
          <w:marTop w:val="0"/>
          <w:marBottom w:val="0"/>
          <w:divBdr>
            <w:top w:val="none" w:sz="0" w:space="0" w:color="auto"/>
            <w:left w:val="none" w:sz="0" w:space="0" w:color="auto"/>
            <w:bottom w:val="none" w:sz="0" w:space="0" w:color="auto"/>
            <w:right w:val="none" w:sz="0" w:space="0" w:color="auto"/>
          </w:divBdr>
        </w:div>
      </w:divsChild>
    </w:div>
    <w:div w:id="901596325">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1002321470">
      <w:bodyDiv w:val="1"/>
      <w:marLeft w:val="0"/>
      <w:marRight w:val="0"/>
      <w:marTop w:val="0"/>
      <w:marBottom w:val="0"/>
      <w:divBdr>
        <w:top w:val="none" w:sz="0" w:space="0" w:color="auto"/>
        <w:left w:val="none" w:sz="0" w:space="0" w:color="auto"/>
        <w:bottom w:val="none" w:sz="0" w:space="0" w:color="auto"/>
        <w:right w:val="none" w:sz="0" w:space="0" w:color="auto"/>
      </w:divBdr>
    </w:div>
    <w:div w:id="1021782305">
      <w:bodyDiv w:val="1"/>
      <w:marLeft w:val="0"/>
      <w:marRight w:val="0"/>
      <w:marTop w:val="0"/>
      <w:marBottom w:val="0"/>
      <w:divBdr>
        <w:top w:val="none" w:sz="0" w:space="0" w:color="auto"/>
        <w:left w:val="none" w:sz="0" w:space="0" w:color="auto"/>
        <w:bottom w:val="none" w:sz="0" w:space="0" w:color="auto"/>
        <w:right w:val="none" w:sz="0" w:space="0" w:color="auto"/>
      </w:divBdr>
    </w:div>
    <w:div w:id="1090858869">
      <w:bodyDiv w:val="1"/>
      <w:marLeft w:val="0"/>
      <w:marRight w:val="0"/>
      <w:marTop w:val="0"/>
      <w:marBottom w:val="0"/>
      <w:divBdr>
        <w:top w:val="none" w:sz="0" w:space="0" w:color="auto"/>
        <w:left w:val="none" w:sz="0" w:space="0" w:color="auto"/>
        <w:bottom w:val="none" w:sz="0" w:space="0" w:color="auto"/>
        <w:right w:val="none" w:sz="0" w:space="0" w:color="auto"/>
      </w:divBdr>
    </w:div>
    <w:div w:id="1109545456">
      <w:bodyDiv w:val="1"/>
      <w:marLeft w:val="0"/>
      <w:marRight w:val="0"/>
      <w:marTop w:val="0"/>
      <w:marBottom w:val="0"/>
      <w:divBdr>
        <w:top w:val="none" w:sz="0" w:space="0" w:color="auto"/>
        <w:left w:val="none" w:sz="0" w:space="0" w:color="auto"/>
        <w:bottom w:val="none" w:sz="0" w:space="0" w:color="auto"/>
        <w:right w:val="none" w:sz="0" w:space="0" w:color="auto"/>
      </w:divBdr>
    </w:div>
    <w:div w:id="1151675938">
      <w:bodyDiv w:val="1"/>
      <w:marLeft w:val="0"/>
      <w:marRight w:val="0"/>
      <w:marTop w:val="0"/>
      <w:marBottom w:val="0"/>
      <w:divBdr>
        <w:top w:val="none" w:sz="0" w:space="0" w:color="auto"/>
        <w:left w:val="none" w:sz="0" w:space="0" w:color="auto"/>
        <w:bottom w:val="none" w:sz="0" w:space="0" w:color="auto"/>
        <w:right w:val="none" w:sz="0" w:space="0" w:color="auto"/>
      </w:divBdr>
    </w:div>
    <w:div w:id="1239091163">
      <w:bodyDiv w:val="1"/>
      <w:marLeft w:val="0"/>
      <w:marRight w:val="0"/>
      <w:marTop w:val="0"/>
      <w:marBottom w:val="0"/>
      <w:divBdr>
        <w:top w:val="none" w:sz="0" w:space="0" w:color="auto"/>
        <w:left w:val="none" w:sz="0" w:space="0" w:color="auto"/>
        <w:bottom w:val="none" w:sz="0" w:space="0" w:color="auto"/>
        <w:right w:val="none" w:sz="0" w:space="0" w:color="auto"/>
      </w:divBdr>
    </w:div>
    <w:div w:id="1404138915">
      <w:bodyDiv w:val="1"/>
      <w:marLeft w:val="0"/>
      <w:marRight w:val="0"/>
      <w:marTop w:val="0"/>
      <w:marBottom w:val="0"/>
      <w:divBdr>
        <w:top w:val="none" w:sz="0" w:space="0" w:color="auto"/>
        <w:left w:val="none" w:sz="0" w:space="0" w:color="auto"/>
        <w:bottom w:val="none" w:sz="0" w:space="0" w:color="auto"/>
        <w:right w:val="none" w:sz="0" w:space="0" w:color="auto"/>
      </w:divBdr>
    </w:div>
    <w:div w:id="1540316246">
      <w:bodyDiv w:val="1"/>
      <w:marLeft w:val="0"/>
      <w:marRight w:val="0"/>
      <w:marTop w:val="0"/>
      <w:marBottom w:val="0"/>
      <w:divBdr>
        <w:top w:val="none" w:sz="0" w:space="0" w:color="auto"/>
        <w:left w:val="none" w:sz="0" w:space="0" w:color="auto"/>
        <w:bottom w:val="none" w:sz="0" w:space="0" w:color="auto"/>
        <w:right w:val="none" w:sz="0" w:space="0" w:color="auto"/>
      </w:divBdr>
    </w:div>
    <w:div w:id="1734430742">
      <w:bodyDiv w:val="1"/>
      <w:marLeft w:val="0"/>
      <w:marRight w:val="0"/>
      <w:marTop w:val="0"/>
      <w:marBottom w:val="0"/>
      <w:divBdr>
        <w:top w:val="none" w:sz="0" w:space="0" w:color="auto"/>
        <w:left w:val="none" w:sz="0" w:space="0" w:color="auto"/>
        <w:bottom w:val="none" w:sz="0" w:space="0" w:color="auto"/>
        <w:right w:val="none" w:sz="0" w:space="0" w:color="auto"/>
      </w:divBdr>
    </w:div>
    <w:div w:id="1767651903">
      <w:bodyDiv w:val="1"/>
      <w:marLeft w:val="0"/>
      <w:marRight w:val="0"/>
      <w:marTop w:val="0"/>
      <w:marBottom w:val="0"/>
      <w:divBdr>
        <w:top w:val="none" w:sz="0" w:space="0" w:color="auto"/>
        <w:left w:val="none" w:sz="0" w:space="0" w:color="auto"/>
        <w:bottom w:val="none" w:sz="0" w:space="0" w:color="auto"/>
        <w:right w:val="none" w:sz="0" w:space="0" w:color="auto"/>
      </w:divBdr>
    </w:div>
    <w:div w:id="1804276353">
      <w:bodyDiv w:val="1"/>
      <w:marLeft w:val="0"/>
      <w:marRight w:val="0"/>
      <w:marTop w:val="0"/>
      <w:marBottom w:val="0"/>
      <w:divBdr>
        <w:top w:val="none" w:sz="0" w:space="0" w:color="auto"/>
        <w:left w:val="none" w:sz="0" w:space="0" w:color="auto"/>
        <w:bottom w:val="none" w:sz="0" w:space="0" w:color="auto"/>
        <w:right w:val="none" w:sz="0" w:space="0" w:color="auto"/>
      </w:divBdr>
    </w:div>
    <w:div w:id="1875654444">
      <w:bodyDiv w:val="1"/>
      <w:marLeft w:val="0"/>
      <w:marRight w:val="0"/>
      <w:marTop w:val="0"/>
      <w:marBottom w:val="0"/>
      <w:divBdr>
        <w:top w:val="none" w:sz="0" w:space="0" w:color="auto"/>
        <w:left w:val="none" w:sz="0" w:space="0" w:color="auto"/>
        <w:bottom w:val="none" w:sz="0" w:space="0" w:color="auto"/>
        <w:right w:val="none" w:sz="0" w:space="0" w:color="auto"/>
      </w:divBdr>
      <w:divsChild>
        <w:div w:id="589582498">
          <w:marLeft w:val="0"/>
          <w:marRight w:val="0"/>
          <w:marTop w:val="0"/>
          <w:marBottom w:val="0"/>
          <w:divBdr>
            <w:top w:val="none" w:sz="0" w:space="0" w:color="auto"/>
            <w:left w:val="none" w:sz="0" w:space="0" w:color="auto"/>
            <w:bottom w:val="none" w:sz="0" w:space="0" w:color="auto"/>
            <w:right w:val="none" w:sz="0" w:space="0" w:color="auto"/>
          </w:divBdr>
          <w:divsChild>
            <w:div w:id="1785883353">
              <w:marLeft w:val="0"/>
              <w:marRight w:val="0"/>
              <w:marTop w:val="0"/>
              <w:marBottom w:val="0"/>
              <w:divBdr>
                <w:top w:val="none" w:sz="0" w:space="0" w:color="auto"/>
                <w:left w:val="none" w:sz="0" w:space="0" w:color="auto"/>
                <w:bottom w:val="none" w:sz="0" w:space="0" w:color="auto"/>
                <w:right w:val="none" w:sz="0" w:space="0" w:color="auto"/>
              </w:divBdr>
              <w:divsChild>
                <w:div w:id="815797666">
                  <w:marLeft w:val="0"/>
                  <w:marRight w:val="0"/>
                  <w:marTop w:val="0"/>
                  <w:marBottom w:val="0"/>
                  <w:divBdr>
                    <w:top w:val="none" w:sz="0" w:space="0" w:color="auto"/>
                    <w:left w:val="none" w:sz="0" w:space="0" w:color="auto"/>
                    <w:bottom w:val="none" w:sz="0" w:space="0" w:color="auto"/>
                    <w:right w:val="none" w:sz="0" w:space="0" w:color="auto"/>
                  </w:divBdr>
                  <w:divsChild>
                    <w:div w:id="773594709">
                      <w:marLeft w:val="2325"/>
                      <w:marRight w:val="0"/>
                      <w:marTop w:val="0"/>
                      <w:marBottom w:val="0"/>
                      <w:divBdr>
                        <w:top w:val="none" w:sz="0" w:space="0" w:color="auto"/>
                        <w:left w:val="none" w:sz="0" w:space="0" w:color="auto"/>
                        <w:bottom w:val="none" w:sz="0" w:space="0" w:color="auto"/>
                        <w:right w:val="none" w:sz="0" w:space="0" w:color="auto"/>
                      </w:divBdr>
                      <w:divsChild>
                        <w:div w:id="1980651100">
                          <w:marLeft w:val="0"/>
                          <w:marRight w:val="0"/>
                          <w:marTop w:val="0"/>
                          <w:marBottom w:val="0"/>
                          <w:divBdr>
                            <w:top w:val="none" w:sz="0" w:space="0" w:color="auto"/>
                            <w:left w:val="none" w:sz="0" w:space="0" w:color="auto"/>
                            <w:bottom w:val="none" w:sz="0" w:space="0" w:color="auto"/>
                            <w:right w:val="none" w:sz="0" w:space="0" w:color="auto"/>
                          </w:divBdr>
                          <w:divsChild>
                            <w:div w:id="2098671929">
                              <w:marLeft w:val="0"/>
                              <w:marRight w:val="0"/>
                              <w:marTop w:val="0"/>
                              <w:marBottom w:val="0"/>
                              <w:divBdr>
                                <w:top w:val="none" w:sz="0" w:space="0" w:color="auto"/>
                                <w:left w:val="none" w:sz="0" w:space="0" w:color="auto"/>
                                <w:bottom w:val="none" w:sz="0" w:space="0" w:color="auto"/>
                                <w:right w:val="none" w:sz="0" w:space="0" w:color="auto"/>
                              </w:divBdr>
                              <w:divsChild>
                                <w:div w:id="2111581424">
                                  <w:marLeft w:val="0"/>
                                  <w:marRight w:val="0"/>
                                  <w:marTop w:val="0"/>
                                  <w:marBottom w:val="0"/>
                                  <w:divBdr>
                                    <w:top w:val="none" w:sz="0" w:space="0" w:color="auto"/>
                                    <w:left w:val="none" w:sz="0" w:space="0" w:color="auto"/>
                                    <w:bottom w:val="none" w:sz="0" w:space="0" w:color="auto"/>
                                    <w:right w:val="none" w:sz="0" w:space="0" w:color="auto"/>
                                  </w:divBdr>
                                  <w:divsChild>
                                    <w:div w:id="1810398500">
                                      <w:marLeft w:val="0"/>
                                      <w:marRight w:val="0"/>
                                      <w:marTop w:val="0"/>
                                      <w:marBottom w:val="0"/>
                                      <w:divBdr>
                                        <w:top w:val="none" w:sz="0" w:space="0" w:color="auto"/>
                                        <w:left w:val="none" w:sz="0" w:space="0" w:color="auto"/>
                                        <w:bottom w:val="none" w:sz="0" w:space="0" w:color="auto"/>
                                        <w:right w:val="none" w:sz="0" w:space="0" w:color="auto"/>
                                      </w:divBdr>
                                      <w:divsChild>
                                        <w:div w:id="1171675478">
                                          <w:marLeft w:val="0"/>
                                          <w:marRight w:val="0"/>
                                          <w:marTop w:val="0"/>
                                          <w:marBottom w:val="0"/>
                                          <w:divBdr>
                                            <w:top w:val="none" w:sz="0" w:space="0" w:color="auto"/>
                                            <w:left w:val="none" w:sz="0" w:space="0" w:color="auto"/>
                                            <w:bottom w:val="none" w:sz="0" w:space="0" w:color="auto"/>
                                            <w:right w:val="none" w:sz="0" w:space="0" w:color="auto"/>
                                          </w:divBdr>
                                          <w:divsChild>
                                            <w:div w:id="1132941056">
                                              <w:marLeft w:val="0"/>
                                              <w:marRight w:val="0"/>
                                              <w:marTop w:val="0"/>
                                              <w:marBottom w:val="0"/>
                                              <w:divBdr>
                                                <w:top w:val="none" w:sz="0" w:space="0" w:color="auto"/>
                                                <w:left w:val="none" w:sz="0" w:space="0" w:color="auto"/>
                                                <w:bottom w:val="none" w:sz="0" w:space="0" w:color="auto"/>
                                                <w:right w:val="none" w:sz="0" w:space="0" w:color="auto"/>
                                              </w:divBdr>
                                              <w:divsChild>
                                                <w:div w:id="920599288">
                                                  <w:marLeft w:val="0"/>
                                                  <w:marRight w:val="0"/>
                                                  <w:marTop w:val="0"/>
                                                  <w:marBottom w:val="0"/>
                                                  <w:divBdr>
                                                    <w:top w:val="none" w:sz="0" w:space="0" w:color="auto"/>
                                                    <w:left w:val="none" w:sz="0" w:space="0" w:color="auto"/>
                                                    <w:bottom w:val="none" w:sz="0" w:space="0" w:color="auto"/>
                                                    <w:right w:val="none" w:sz="0" w:space="0" w:color="auto"/>
                                                  </w:divBdr>
                                                  <w:divsChild>
                                                    <w:div w:id="456603733">
                                                      <w:marLeft w:val="0"/>
                                                      <w:marRight w:val="0"/>
                                                      <w:marTop w:val="0"/>
                                                      <w:marBottom w:val="0"/>
                                                      <w:divBdr>
                                                        <w:top w:val="none" w:sz="0" w:space="0" w:color="auto"/>
                                                        <w:left w:val="none" w:sz="0" w:space="0" w:color="auto"/>
                                                        <w:bottom w:val="none" w:sz="0" w:space="0" w:color="auto"/>
                                                        <w:right w:val="none" w:sz="0" w:space="0" w:color="auto"/>
                                                      </w:divBdr>
                                                      <w:divsChild>
                                                        <w:div w:id="1228999655">
                                                          <w:marLeft w:val="15"/>
                                                          <w:marRight w:val="15"/>
                                                          <w:marTop w:val="15"/>
                                                          <w:marBottom w:val="15"/>
                                                          <w:divBdr>
                                                            <w:top w:val="none" w:sz="0" w:space="0" w:color="auto"/>
                                                            <w:left w:val="none" w:sz="0" w:space="0" w:color="auto"/>
                                                            <w:bottom w:val="none" w:sz="0" w:space="0" w:color="auto"/>
                                                            <w:right w:val="none" w:sz="0" w:space="0" w:color="auto"/>
                                                          </w:divBdr>
                                                          <w:divsChild>
                                                            <w:div w:id="153407659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27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75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wq/wqpermits/Pages/NPDES-Individual-Permit-Templat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regon.gov/deq/wq/wqpermits/Pages/Electronic-Data-Delivery-for-Toxics-Data.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regon.gov/deq/wq/wqpermits/Pages/Wastewater-Operator-Certification.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wq/wqpermits/Pages/Wastewater-Operator-Certification.asp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B94AA5D7C426C9C0DFD189F2E3C03"/>
        <w:category>
          <w:name w:val="General"/>
          <w:gallery w:val="placeholder"/>
        </w:category>
        <w:types>
          <w:type w:val="bbPlcHdr"/>
        </w:types>
        <w:behaviors>
          <w:behavior w:val="content"/>
        </w:behaviors>
        <w:guid w:val="{B0746F0C-58DF-4069-8664-AD39003C5840}"/>
      </w:docPartPr>
      <w:docPartBody>
        <w:p w:rsidR="000A401C" w:rsidRDefault="000A401C">
          <w:pPr>
            <w:pStyle w:val="20BB94AA5D7C426C9C0DFD189F2E3C03"/>
          </w:pPr>
          <w:r>
            <w:rPr>
              <w:rStyle w:val="PlaceholderText"/>
            </w:rPr>
            <w:t>Choose an item.</w:t>
          </w:r>
        </w:p>
      </w:docPartBody>
    </w:docPart>
    <w:docPart>
      <w:docPartPr>
        <w:name w:val="F1418A5BDD004DDD936CD58AA7FE53E5"/>
        <w:category>
          <w:name w:val="General"/>
          <w:gallery w:val="placeholder"/>
        </w:category>
        <w:types>
          <w:type w:val="bbPlcHdr"/>
        </w:types>
        <w:behaviors>
          <w:behavior w:val="content"/>
        </w:behaviors>
        <w:guid w:val="{5F0A2BA6-5DC9-4D0D-8998-8C33122BA4CF}"/>
      </w:docPartPr>
      <w:docPartBody>
        <w:p w:rsidR="000A401C" w:rsidRDefault="000A401C">
          <w:pPr>
            <w:pStyle w:val="F1418A5BDD004DDD936CD58AA7FE53E5"/>
          </w:pPr>
          <w:r>
            <w:rPr>
              <w:rStyle w:val="PlaceholderText"/>
            </w:rPr>
            <w:t>Choose an item.</w:t>
          </w:r>
        </w:p>
      </w:docPartBody>
    </w:docPart>
    <w:docPart>
      <w:docPartPr>
        <w:name w:val="89F61FFC95E94036B9C0A35CEEC71B97"/>
        <w:category>
          <w:name w:val="General"/>
          <w:gallery w:val="placeholder"/>
        </w:category>
        <w:types>
          <w:type w:val="bbPlcHdr"/>
        </w:types>
        <w:behaviors>
          <w:behavior w:val="content"/>
        </w:behaviors>
        <w:guid w:val="{0B8D1C79-F00B-4926-BEE5-C7F4E9D8D643}"/>
      </w:docPartPr>
      <w:docPartBody>
        <w:p w:rsidR="000A401C" w:rsidRDefault="000A401C">
          <w:pPr>
            <w:pStyle w:val="89F61FFC95E94036B9C0A35CEEC71B97"/>
          </w:pPr>
          <w:r>
            <w:rPr>
              <w:rStyle w:val="PlaceholderText"/>
            </w:rPr>
            <w:t>Choose an item.</w:t>
          </w:r>
        </w:p>
      </w:docPartBody>
    </w:docPart>
    <w:docPart>
      <w:docPartPr>
        <w:name w:val="6BBA0AF061EF4321862CB0D5EE761A85"/>
        <w:category>
          <w:name w:val="General"/>
          <w:gallery w:val="placeholder"/>
        </w:category>
        <w:types>
          <w:type w:val="bbPlcHdr"/>
        </w:types>
        <w:behaviors>
          <w:behavior w:val="content"/>
        </w:behaviors>
        <w:guid w:val="{A4B9D1BD-BC49-43C8-84B1-1D99496DD9A6}"/>
      </w:docPartPr>
      <w:docPartBody>
        <w:p w:rsidR="000A401C" w:rsidRDefault="000A401C">
          <w:pPr>
            <w:pStyle w:val="6BBA0AF061EF4321862CB0D5EE761A85"/>
          </w:pPr>
          <w:r>
            <w:rPr>
              <w:rStyle w:val="PlaceholderText"/>
            </w:rPr>
            <w:t>Choose an item.</w:t>
          </w:r>
        </w:p>
      </w:docPartBody>
    </w:docPart>
    <w:docPart>
      <w:docPartPr>
        <w:name w:val="DFF80211236D4E5F83DE08FDF81FCF9C"/>
        <w:category>
          <w:name w:val="General"/>
          <w:gallery w:val="placeholder"/>
        </w:category>
        <w:types>
          <w:type w:val="bbPlcHdr"/>
        </w:types>
        <w:behaviors>
          <w:behavior w:val="content"/>
        </w:behaviors>
        <w:guid w:val="{C65DCDC1-D1FF-436F-ADAB-1FF366903EB8}"/>
      </w:docPartPr>
      <w:docPartBody>
        <w:p w:rsidR="000A401C" w:rsidRDefault="000A401C">
          <w:pPr>
            <w:pStyle w:val="DFF80211236D4E5F83DE08FDF81FCF9C"/>
          </w:pPr>
          <w:r>
            <w:rPr>
              <w:rStyle w:val="PlaceholderText"/>
            </w:rPr>
            <w:t>Click here to enter a date.</w:t>
          </w:r>
        </w:p>
      </w:docPartBody>
    </w:docPart>
    <w:docPart>
      <w:docPartPr>
        <w:name w:val="D2CFB29623744F8995D2E28B4D544CB4"/>
        <w:category>
          <w:name w:val="General"/>
          <w:gallery w:val="placeholder"/>
        </w:category>
        <w:types>
          <w:type w:val="bbPlcHdr"/>
        </w:types>
        <w:behaviors>
          <w:behavior w:val="content"/>
        </w:behaviors>
        <w:guid w:val="{1589EC8D-D3A5-4DD1-AE46-6AEF5995086F}"/>
      </w:docPartPr>
      <w:docPartBody>
        <w:p w:rsidR="00103BD8" w:rsidRDefault="00987DE2" w:rsidP="00987DE2">
          <w:pPr>
            <w:pStyle w:val="D2CFB29623744F8995D2E28B4D544CB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401C"/>
    <w:rsid w:val="000056F9"/>
    <w:rsid w:val="00007169"/>
    <w:rsid w:val="00012F1F"/>
    <w:rsid w:val="000156F0"/>
    <w:rsid w:val="00020A28"/>
    <w:rsid w:val="00030904"/>
    <w:rsid w:val="00045256"/>
    <w:rsid w:val="00047117"/>
    <w:rsid w:val="00047D08"/>
    <w:rsid w:val="00056E3F"/>
    <w:rsid w:val="00065310"/>
    <w:rsid w:val="0008053F"/>
    <w:rsid w:val="00085AD5"/>
    <w:rsid w:val="00085B21"/>
    <w:rsid w:val="00092D85"/>
    <w:rsid w:val="000945EA"/>
    <w:rsid w:val="000A401C"/>
    <w:rsid w:val="000A475A"/>
    <w:rsid w:val="000B0033"/>
    <w:rsid w:val="000B4419"/>
    <w:rsid w:val="000C0404"/>
    <w:rsid w:val="000C4F31"/>
    <w:rsid w:val="000D23E4"/>
    <w:rsid w:val="000E73CE"/>
    <w:rsid w:val="000F3073"/>
    <w:rsid w:val="00103BD8"/>
    <w:rsid w:val="00104FF0"/>
    <w:rsid w:val="00107C9C"/>
    <w:rsid w:val="001118BD"/>
    <w:rsid w:val="00113646"/>
    <w:rsid w:val="001322F1"/>
    <w:rsid w:val="001331D9"/>
    <w:rsid w:val="00150600"/>
    <w:rsid w:val="0015230E"/>
    <w:rsid w:val="0016600F"/>
    <w:rsid w:val="001771A7"/>
    <w:rsid w:val="00192F22"/>
    <w:rsid w:val="0019419B"/>
    <w:rsid w:val="00195154"/>
    <w:rsid w:val="00197D53"/>
    <w:rsid w:val="001C142B"/>
    <w:rsid w:val="001D26C4"/>
    <w:rsid w:val="001E0A0F"/>
    <w:rsid w:val="001E2EDD"/>
    <w:rsid w:val="001E5883"/>
    <w:rsid w:val="001F429B"/>
    <w:rsid w:val="00212A7C"/>
    <w:rsid w:val="00217062"/>
    <w:rsid w:val="002171E9"/>
    <w:rsid w:val="00230697"/>
    <w:rsid w:val="00246F9F"/>
    <w:rsid w:val="00247E9F"/>
    <w:rsid w:val="00262596"/>
    <w:rsid w:val="00266DEE"/>
    <w:rsid w:val="0028426C"/>
    <w:rsid w:val="002A16DE"/>
    <w:rsid w:val="002A5AA1"/>
    <w:rsid w:val="002C36F3"/>
    <w:rsid w:val="002C6680"/>
    <w:rsid w:val="002D4723"/>
    <w:rsid w:val="002D62FE"/>
    <w:rsid w:val="002E1759"/>
    <w:rsid w:val="002E263A"/>
    <w:rsid w:val="002F0A29"/>
    <w:rsid w:val="002F19B3"/>
    <w:rsid w:val="002F33F1"/>
    <w:rsid w:val="002F5194"/>
    <w:rsid w:val="00305623"/>
    <w:rsid w:val="00307A25"/>
    <w:rsid w:val="0032294D"/>
    <w:rsid w:val="00324716"/>
    <w:rsid w:val="0033065A"/>
    <w:rsid w:val="003360CC"/>
    <w:rsid w:val="00337980"/>
    <w:rsid w:val="003405E8"/>
    <w:rsid w:val="003600D2"/>
    <w:rsid w:val="00366063"/>
    <w:rsid w:val="0038315F"/>
    <w:rsid w:val="0039700B"/>
    <w:rsid w:val="003B4380"/>
    <w:rsid w:val="003B4C71"/>
    <w:rsid w:val="003C2D79"/>
    <w:rsid w:val="003C587E"/>
    <w:rsid w:val="003D12EC"/>
    <w:rsid w:val="003D2B83"/>
    <w:rsid w:val="003D5836"/>
    <w:rsid w:val="003D5897"/>
    <w:rsid w:val="003E5761"/>
    <w:rsid w:val="003E5C48"/>
    <w:rsid w:val="003E630D"/>
    <w:rsid w:val="003E7103"/>
    <w:rsid w:val="003E7F0D"/>
    <w:rsid w:val="003F0125"/>
    <w:rsid w:val="003F1A29"/>
    <w:rsid w:val="003F44B2"/>
    <w:rsid w:val="004008E3"/>
    <w:rsid w:val="00413275"/>
    <w:rsid w:val="0041376C"/>
    <w:rsid w:val="00423321"/>
    <w:rsid w:val="0045143E"/>
    <w:rsid w:val="0045412A"/>
    <w:rsid w:val="00461026"/>
    <w:rsid w:val="00461BA4"/>
    <w:rsid w:val="00461C98"/>
    <w:rsid w:val="00461EAA"/>
    <w:rsid w:val="00466645"/>
    <w:rsid w:val="0048556E"/>
    <w:rsid w:val="00490945"/>
    <w:rsid w:val="004C0CD3"/>
    <w:rsid w:val="004C79ED"/>
    <w:rsid w:val="004E2799"/>
    <w:rsid w:val="004E54D1"/>
    <w:rsid w:val="00500385"/>
    <w:rsid w:val="0051085B"/>
    <w:rsid w:val="005162BB"/>
    <w:rsid w:val="005308D8"/>
    <w:rsid w:val="00537376"/>
    <w:rsid w:val="00540C5B"/>
    <w:rsid w:val="005612F5"/>
    <w:rsid w:val="005619C0"/>
    <w:rsid w:val="00583BFF"/>
    <w:rsid w:val="00591632"/>
    <w:rsid w:val="005B2CCB"/>
    <w:rsid w:val="005B2E63"/>
    <w:rsid w:val="005B615E"/>
    <w:rsid w:val="005C161D"/>
    <w:rsid w:val="005D1F5D"/>
    <w:rsid w:val="006038D4"/>
    <w:rsid w:val="00606E28"/>
    <w:rsid w:val="00635041"/>
    <w:rsid w:val="0063590A"/>
    <w:rsid w:val="00640BA2"/>
    <w:rsid w:val="006425FB"/>
    <w:rsid w:val="00651676"/>
    <w:rsid w:val="00665382"/>
    <w:rsid w:val="00666F23"/>
    <w:rsid w:val="00671511"/>
    <w:rsid w:val="00673EE6"/>
    <w:rsid w:val="00676CFC"/>
    <w:rsid w:val="00690D4C"/>
    <w:rsid w:val="006968C0"/>
    <w:rsid w:val="006A052C"/>
    <w:rsid w:val="006A5A67"/>
    <w:rsid w:val="006B3424"/>
    <w:rsid w:val="006D27A1"/>
    <w:rsid w:val="006D64E4"/>
    <w:rsid w:val="006F4876"/>
    <w:rsid w:val="00706A7C"/>
    <w:rsid w:val="00716735"/>
    <w:rsid w:val="00725E82"/>
    <w:rsid w:val="007276F5"/>
    <w:rsid w:val="00730E34"/>
    <w:rsid w:val="007421DF"/>
    <w:rsid w:val="007536AE"/>
    <w:rsid w:val="007610CD"/>
    <w:rsid w:val="007658E4"/>
    <w:rsid w:val="0077174B"/>
    <w:rsid w:val="00784256"/>
    <w:rsid w:val="0078788A"/>
    <w:rsid w:val="00793935"/>
    <w:rsid w:val="007975CB"/>
    <w:rsid w:val="007A7E0E"/>
    <w:rsid w:val="00823268"/>
    <w:rsid w:val="008301ED"/>
    <w:rsid w:val="00843ED4"/>
    <w:rsid w:val="008637BD"/>
    <w:rsid w:val="008759C5"/>
    <w:rsid w:val="0089557F"/>
    <w:rsid w:val="008A02F4"/>
    <w:rsid w:val="008B200C"/>
    <w:rsid w:val="008D174A"/>
    <w:rsid w:val="008D44B5"/>
    <w:rsid w:val="008D4FDE"/>
    <w:rsid w:val="008D6A77"/>
    <w:rsid w:val="008E4B16"/>
    <w:rsid w:val="008F776A"/>
    <w:rsid w:val="00924F75"/>
    <w:rsid w:val="00942EC1"/>
    <w:rsid w:val="009565CD"/>
    <w:rsid w:val="00966C53"/>
    <w:rsid w:val="009716DF"/>
    <w:rsid w:val="00985CAB"/>
    <w:rsid w:val="00987DE2"/>
    <w:rsid w:val="009A0D5F"/>
    <w:rsid w:val="009B0EE8"/>
    <w:rsid w:val="009F2907"/>
    <w:rsid w:val="00A06471"/>
    <w:rsid w:val="00A21FD9"/>
    <w:rsid w:val="00A27D2E"/>
    <w:rsid w:val="00A3308C"/>
    <w:rsid w:val="00A44A5C"/>
    <w:rsid w:val="00A457F9"/>
    <w:rsid w:val="00A54759"/>
    <w:rsid w:val="00A65902"/>
    <w:rsid w:val="00A66596"/>
    <w:rsid w:val="00A91788"/>
    <w:rsid w:val="00A92C57"/>
    <w:rsid w:val="00A96BAB"/>
    <w:rsid w:val="00AA1438"/>
    <w:rsid w:val="00AA6A55"/>
    <w:rsid w:val="00AA6D98"/>
    <w:rsid w:val="00AB05D4"/>
    <w:rsid w:val="00AB5976"/>
    <w:rsid w:val="00AB7358"/>
    <w:rsid w:val="00AC1612"/>
    <w:rsid w:val="00AC1F4E"/>
    <w:rsid w:val="00AC4134"/>
    <w:rsid w:val="00AD0C9A"/>
    <w:rsid w:val="00AD0CEC"/>
    <w:rsid w:val="00AD73F3"/>
    <w:rsid w:val="00AE641B"/>
    <w:rsid w:val="00AE779D"/>
    <w:rsid w:val="00AF1F3E"/>
    <w:rsid w:val="00AF338A"/>
    <w:rsid w:val="00B07441"/>
    <w:rsid w:val="00B21C0B"/>
    <w:rsid w:val="00B4600B"/>
    <w:rsid w:val="00B465A7"/>
    <w:rsid w:val="00B57750"/>
    <w:rsid w:val="00B81B75"/>
    <w:rsid w:val="00B83782"/>
    <w:rsid w:val="00B83935"/>
    <w:rsid w:val="00B83B0C"/>
    <w:rsid w:val="00B87246"/>
    <w:rsid w:val="00B923F3"/>
    <w:rsid w:val="00B94544"/>
    <w:rsid w:val="00BA5A86"/>
    <w:rsid w:val="00BC72FF"/>
    <w:rsid w:val="00BD55D8"/>
    <w:rsid w:val="00BF0235"/>
    <w:rsid w:val="00BF5432"/>
    <w:rsid w:val="00C07FD3"/>
    <w:rsid w:val="00C22B5A"/>
    <w:rsid w:val="00C262DF"/>
    <w:rsid w:val="00C46B7F"/>
    <w:rsid w:val="00C545D8"/>
    <w:rsid w:val="00C61D89"/>
    <w:rsid w:val="00C64398"/>
    <w:rsid w:val="00C758F6"/>
    <w:rsid w:val="00C80E54"/>
    <w:rsid w:val="00C8360D"/>
    <w:rsid w:val="00C91464"/>
    <w:rsid w:val="00C95F3C"/>
    <w:rsid w:val="00C9747F"/>
    <w:rsid w:val="00CA3F3B"/>
    <w:rsid w:val="00CF1629"/>
    <w:rsid w:val="00D041B1"/>
    <w:rsid w:val="00D156BA"/>
    <w:rsid w:val="00D16D76"/>
    <w:rsid w:val="00D21352"/>
    <w:rsid w:val="00D26217"/>
    <w:rsid w:val="00D4535E"/>
    <w:rsid w:val="00D45D6F"/>
    <w:rsid w:val="00D507F7"/>
    <w:rsid w:val="00D528A6"/>
    <w:rsid w:val="00D55235"/>
    <w:rsid w:val="00D71039"/>
    <w:rsid w:val="00D755C9"/>
    <w:rsid w:val="00D83F6D"/>
    <w:rsid w:val="00D911A9"/>
    <w:rsid w:val="00DA0E13"/>
    <w:rsid w:val="00DA4B67"/>
    <w:rsid w:val="00DB3449"/>
    <w:rsid w:val="00DB636D"/>
    <w:rsid w:val="00DE3F63"/>
    <w:rsid w:val="00DE48D3"/>
    <w:rsid w:val="00DF3ABE"/>
    <w:rsid w:val="00E04792"/>
    <w:rsid w:val="00E110FF"/>
    <w:rsid w:val="00E118B8"/>
    <w:rsid w:val="00E12005"/>
    <w:rsid w:val="00E15C00"/>
    <w:rsid w:val="00E17E78"/>
    <w:rsid w:val="00E2097D"/>
    <w:rsid w:val="00E3447E"/>
    <w:rsid w:val="00E42479"/>
    <w:rsid w:val="00E6381A"/>
    <w:rsid w:val="00E65110"/>
    <w:rsid w:val="00E66723"/>
    <w:rsid w:val="00E71DA9"/>
    <w:rsid w:val="00EB6C3D"/>
    <w:rsid w:val="00ED0F0E"/>
    <w:rsid w:val="00EE5B84"/>
    <w:rsid w:val="00EF6685"/>
    <w:rsid w:val="00F15DA4"/>
    <w:rsid w:val="00F16C26"/>
    <w:rsid w:val="00F23936"/>
    <w:rsid w:val="00F305F8"/>
    <w:rsid w:val="00F31E9A"/>
    <w:rsid w:val="00F37F2A"/>
    <w:rsid w:val="00F415C9"/>
    <w:rsid w:val="00F42E89"/>
    <w:rsid w:val="00F51FAB"/>
    <w:rsid w:val="00F537F4"/>
    <w:rsid w:val="00F665D2"/>
    <w:rsid w:val="00F80EED"/>
    <w:rsid w:val="00F9162D"/>
    <w:rsid w:val="00F9357B"/>
    <w:rsid w:val="00FA0699"/>
    <w:rsid w:val="00FA33E3"/>
    <w:rsid w:val="00FD3CBC"/>
    <w:rsid w:val="00FF0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DE2"/>
    <w:rPr>
      <w:color w:val="808080"/>
    </w:rPr>
  </w:style>
  <w:style w:type="paragraph" w:customStyle="1" w:styleId="20BB94AA5D7C426C9C0DFD189F2E3C03">
    <w:name w:val="20BB94AA5D7C426C9C0DFD189F2E3C03"/>
    <w:rsid w:val="000A401C"/>
  </w:style>
  <w:style w:type="paragraph" w:customStyle="1" w:styleId="F1418A5BDD004DDD936CD58AA7FE53E5">
    <w:name w:val="F1418A5BDD004DDD936CD58AA7FE53E5"/>
    <w:rsid w:val="000A401C"/>
  </w:style>
  <w:style w:type="paragraph" w:customStyle="1" w:styleId="89F61FFC95E94036B9C0A35CEEC71B97">
    <w:name w:val="89F61FFC95E94036B9C0A35CEEC71B97"/>
    <w:rsid w:val="000A401C"/>
  </w:style>
  <w:style w:type="paragraph" w:customStyle="1" w:styleId="6BBA0AF061EF4321862CB0D5EE761A85">
    <w:name w:val="6BBA0AF061EF4321862CB0D5EE761A85"/>
    <w:rsid w:val="000A401C"/>
  </w:style>
  <w:style w:type="paragraph" w:customStyle="1" w:styleId="DFF80211236D4E5F83DE08FDF81FCF9C">
    <w:name w:val="DFF80211236D4E5F83DE08FDF81FCF9C"/>
    <w:rsid w:val="000A401C"/>
  </w:style>
  <w:style w:type="paragraph" w:customStyle="1" w:styleId="D2CFB29623744F8995D2E28B4D544CB4">
    <w:name w:val="D2CFB29623744F8995D2E28B4D544CB4"/>
    <w:rsid w:val="00987D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1a0681f-cb63-4b8d-afdc-dedbdb8d1bfa">
      <UserInfo>
        <DisplayName>FELDMAN David</DisplayName>
        <AccountId>14</AccountId>
        <AccountType/>
      </UserInfo>
      <UserInfo>
        <DisplayName>ROWLAND Angela</DisplayName>
        <AccountId>10</AccountId>
        <AccountType/>
      </UserInfo>
      <UserInfo>
        <DisplayName>SCHNURBUSCH Steve</DisplayName>
        <AccountId>21</AccountId>
        <AccountType/>
      </UserInfo>
      <UserInfo>
        <DisplayName>BELETE Etsegenet</DisplayName>
        <AccountId>25</AccountId>
        <AccountType/>
      </UserInfo>
      <UserInfo>
        <DisplayName>BRANDSTETTER Erich</DisplayName>
        <AccountId>27</AccountId>
        <AccountType/>
      </UserInfo>
    </SharedWithUsers>
    <Tags xmlns="c90e9d8d-db18-49dc-a3f3-48f2701f1e15" xsi:nil="true"/>
    <Permit_x0020_Type xmlns="c90e9d8d-db18-49dc-a3f3-48f2701f1e15">Misc.</Permit_x0020_Type>
    <PublishingExpirationDate xmlns="http://schemas.microsoft.com/sharepoint/v3" xsi:nil="true"/>
    <Document_x0020_Description xmlns="c90e9d8d-db18-49dc-a3f3-48f2701f1e15" xsi:nil="true"/>
    <PublishingStartDate xmlns="http://schemas.microsoft.com/sharepoint/v3" xsi:nil="true"/>
    <Program xmlns="c90e9d8d-db18-49dc-a3f3-48f2701f1e15">Select...</Program>
    <Series xmlns="c90e9d8d-db18-49dc-a3f3-48f2701f1e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C8800C0FDBD74BB7EF83F539002170" ma:contentTypeVersion="34" ma:contentTypeDescription="Create a new document." ma:contentTypeScope="" ma:versionID="8d568318bbac80ef1be5d1e468190373">
  <xsd:schema xmlns:xsd="http://www.w3.org/2001/XMLSchema" xmlns:xs="http://www.w3.org/2001/XMLSchema" xmlns:p="http://schemas.microsoft.com/office/2006/metadata/properties" xmlns:ns1="http://schemas.microsoft.com/sharepoint/v3" xmlns:ns2="a1a0681f-cb63-4b8d-afdc-dedbdb8d1bfa" xmlns:ns3="c90e9d8d-db18-49dc-a3f3-48f2701f1e15" targetNamespace="http://schemas.microsoft.com/office/2006/metadata/properties" ma:root="true" ma:fieldsID="3036cc11953f4f299984ade8d32a8c18" ns1:_="" ns2:_="" ns3:_="">
    <xsd:import namespace="http://schemas.microsoft.com/sharepoint/v3"/>
    <xsd:import namespace="a1a0681f-cb63-4b8d-afdc-dedbdb8d1bfa"/>
    <xsd:import namespace="c90e9d8d-db18-49dc-a3f3-48f2701f1e15"/>
    <xsd:element name="properties">
      <xsd:complexType>
        <xsd:sequence>
          <xsd:element name="documentManagement">
            <xsd:complexType>
              <xsd:all>
                <xsd:element ref="ns1:PublishingStartDate" minOccurs="0"/>
                <xsd:element ref="ns1:PublishingExpirationDate" minOccurs="0"/>
                <xsd:element ref="ns2:SharedWithUsers" minOccurs="0"/>
                <xsd:element ref="ns3:Document_x0020_Description" minOccurs="0"/>
                <xsd:element ref="ns3:Permit_x0020_Type" minOccurs="0"/>
                <xsd:element ref="ns3:Program" minOccurs="0"/>
                <xsd:element ref="ns3:Tags" minOccurs="0"/>
                <xsd:element ref="ns3:Se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0e9d8d-db18-49dc-a3f3-48f2701f1e15" elementFormDefault="qualified">
    <xsd:import namespace="http://schemas.microsoft.com/office/2006/documentManagement/types"/>
    <xsd:import namespace="http://schemas.microsoft.com/office/infopath/2007/PartnerControls"/>
    <xsd:element name="Document_x0020_Description" ma:index="11" nillable="true" ma:displayName="Document Description" ma:internalName="Document_x0020_Description" ma:readOnly="false">
      <xsd:simpleType>
        <xsd:restriction base="dms:Note">
          <xsd:maxLength value="255"/>
        </xsd:restriction>
      </xsd:simpleType>
    </xsd:element>
    <xsd:element name="Permit_x0020_Type" ma:index="12" nillable="true" ma:displayName="Permit Type" ma:default="Misc." ma:format="Dropdown" ma:internalName="Permit_x0020_Type" ma:readOnly="false">
      <xsd:simpleType>
        <xsd:restriction base="dms:Choice">
          <xsd:enumeration value="Misc."/>
          <xsd:enumeration value="Permitted Facility"/>
          <xsd:enumeration value="Basic ACDP"/>
          <xsd:enumeration value="General ACDP"/>
          <xsd:enumeration value="Simple, Standard and Constr ACDP"/>
          <xsd:enumeration value="Title V"/>
          <xsd:enumeration value="CAO ACDP"/>
          <xsd:enumeration value="Hazardous Waste"/>
          <xsd:enumeration value="401 Hydro Power"/>
          <xsd:enumeration value="Solid Waste"/>
          <xsd:enumeration value="Graywater"/>
          <xsd:enumeration value="MS4"/>
          <xsd:enumeration value="Mining"/>
          <xsd:enumeration value="NPDES"/>
          <xsd:enumeration value="Stormwater"/>
          <xsd:enumeration value="Wastewater"/>
          <xsd:enumeration value="WPCF"/>
        </xsd:restriction>
      </xsd:simpleType>
    </xsd:element>
    <xsd:element name="Program" ma:index="13" nillable="true" ma:displayName="Programs/Projects" ma:default="Select..." ma:format="Dropdown" ma:internalName="Program0" ma:readOnly="false">
      <xsd:simpleType>
        <xsd:union memberTypes="dms:Text">
          <xsd:simpleType>
            <xsd:restriction base="dms:Choice">
              <xsd:enumeration value="Select..."/>
              <xsd:enumeration value="AQ Monitoring"/>
              <xsd:enumeration value="AQ Permitting"/>
              <xsd:enumeration value="Air Toxics"/>
              <xsd:enumeration value="Asbestos"/>
              <xsd:enumeration value="Ballast Water"/>
              <xsd:enumeration value="Biosolids"/>
              <xsd:enumeration value="Brownfields"/>
              <xsd:enumeration value="Burning"/>
              <xsd:enumeration value="Clean Fuels"/>
              <xsd:enumeration value="CWSRF"/>
              <xsd:enumeration value="Compliance and Enforcement"/>
              <xsd:enumeration value="Composting"/>
              <xsd:enumeration value="Conversion Technology"/>
              <xsd:enumeration value="Disposal"/>
              <xsd:enumeration value="Drinking Water Protection"/>
              <xsd:enumeration value="Dry Cleaners"/>
              <xsd:enumeration value="E-Cycles"/>
              <xsd:enumeration value="Emergency Response"/>
              <xsd:enumeration value="ECO"/>
              <xsd:enumeration value="Environmental Cleanup"/>
              <xsd:enumeration value="Food Waste"/>
              <xsd:enumeration value="Gasoline Vapor Recovery"/>
              <xsd:enumeration value="Green Building"/>
              <xsd:enumeration value="GHG"/>
              <xsd:enumeration value="Groundwater"/>
              <xsd:enumeration value="Hazardous Waste"/>
              <xsd:enumeration value="Heat Smart"/>
              <xsd:enumeration value="HOT"/>
              <xsd:enumeration value="Household Hazardous Waste"/>
              <xsd:enumeration value="Industrial Pretreatment"/>
              <xsd:enumeration value="Infectious Waste"/>
              <xsd:enumeration value="LUST"/>
              <xsd:enumeration value="Materials Management"/>
              <xsd:enumeration value="Mercury"/>
              <xsd:enumeration value="Nonpoint Source"/>
              <xsd:enumeration value="Nuisance Odor"/>
              <xsd:enumeration value="Onsite Septic"/>
              <xsd:enumeration value="Clean Diesel"/>
              <xsd:enumeration value="Clean Fuels"/>
              <xsd:enumeration value="E-Cycles"/>
              <xsd:enumeration value="LEV"/>
              <xsd:enumeration value="Paint"/>
              <xsd:enumeration value="Pesticide Stewardship"/>
              <xsd:enumeration value="Product Stewardship"/>
              <xsd:enumeration value="PPA"/>
              <xsd:enumeration value="Toxics Reduction"/>
              <xsd:enumeration value="Regional Solutions"/>
              <xsd:enumeration value="Section 401 Hydropower"/>
              <xsd:enumeration value="Section 401 Removal and Fill"/>
              <xsd:enumeration value="Site Assessment"/>
              <xsd:enumeration value="Small Business Assistance"/>
              <xsd:enumeration value="Solid Waste Disposal"/>
              <xsd:enumeration value="Solid Waste Permits"/>
              <xsd:enumeration value="Supplemental Environmental Projects"/>
              <xsd:enumeration value="Tanks Program"/>
              <xsd:enumeration value="TMDL"/>
              <xsd:enumeration value="Tribal Relations"/>
              <xsd:enumeration value="UIC"/>
              <xsd:enumeration value="Universal Waste"/>
              <xsd:enumeration value="UST"/>
              <xsd:enumeration value="VIP"/>
              <xsd:enumeration value="Waste Prevention and Reuse"/>
              <xsd:enumeration value="Waste Recovery"/>
              <xsd:enumeration value="Wastewater Operator Certification"/>
              <xsd:enumeration value="WQ Assessment"/>
              <xsd:enumeration value="WQ Credit Trading"/>
              <xsd:enumeration value="WQ Monitoring"/>
              <xsd:enumeration value="WQ Permits"/>
              <xsd:enumeration value="WQ Standards"/>
              <xsd:enumeration value="WQ Toxics Monitoring"/>
              <xsd:enumeration value="Water Reuse"/>
              <xsd:enumeration value="Wood Stoves"/>
              <xsd:enumeration value="Columbia Slough"/>
              <xsd:enumeration value="NoPo Odor"/>
              <xsd:enumeration value="Jordan Cove"/>
              <xsd:enumeration value="Portland Harbor"/>
              <xsd:enumeration value="Columbia Pacific Bio-Refinery"/>
              <xsd:enumeration value="AmeriTies"/>
              <xsd:enumeration value="Ashland Railroad"/>
              <xsd:enumeration value="Bullseye Glass"/>
              <xsd:enumeration value="Coyote Island"/>
              <xsd:enumeration value="Daimler Trucks"/>
              <xsd:enumeration value="Gasoline Terminals NW Portland"/>
              <xsd:enumeration value="Grimm's Fuel"/>
              <xsd:enumeration value="Hollingsworth &amp; Vose"/>
              <xsd:enumeration value="Intel"/>
              <xsd:enumeration value="PGE Boardman"/>
              <xsd:enumeration value="Precision Castparts"/>
              <xsd:enumeration value="Riverbend Landfill"/>
              <xsd:enumeration value="Umatilla Chemical Depot"/>
              <xsd:enumeration value="Uroboros Glass"/>
              <xsd:enumeration value="VW"/>
              <xsd:enumeration value="Greenhouse Gas/Climate"/>
            </xsd:restriction>
          </xsd:simpleType>
        </xsd:union>
      </xsd:simpleType>
    </xsd:element>
    <xsd:element name="Tags" ma:index="14" nillable="true" ma:displayName="Tags" ma:internalName="Tags" ma:readOnly="false">
      <xsd:simpleType>
        <xsd:restriction base="dms:Text">
          <xsd:maxLength value="255"/>
        </xsd:restriction>
      </xsd:simpleType>
    </xsd:element>
    <xsd:element name="Series" ma:index="15" nillable="true" ma:displayName="Series" ma:description="For ACDP and TV permits" ma:format="Dropdown" ma:internalName="Series" ma:readOnly="false">
      <xsd:simpleType>
        <xsd:restriction base="dms:Choice">
          <xsd:enumeration value="Administrative Forms (series AQ100)"/>
          <xsd:enumeration value="Administrative and General Facility Information (Series AP100)"/>
          <xsd:enumeration value="Cleaner Air Oregon (Series 500)"/>
          <xsd:enumeration value="Device and Equipment Forms (Series 200)"/>
          <xsd:enumeration value="Pollution Prevention and Control Devices (Series 300)"/>
          <xsd:enumeration value="Emissions Forms (Series 400)"/>
          <xsd:enumeration value="Applicable Requirements (Series AR400)"/>
          <xsd:enumeration value="Emission Factors (Series EF)"/>
          <xsd:enumeration value="Emissions Data (Series ED600)"/>
          <xsd:enumeration value="Emissions Unit Summary (Series EU500)"/>
          <xsd:enumeration value="Facility Device/Process Description (Series DV200)"/>
          <xsd:enumeration value="Miscellaneous (Series MF800)"/>
          <xsd:enumeration value="Modification Forms (Series MD900)"/>
          <xsd:enumeration value="Monitoring and Testing (Series CP700)"/>
          <xsd:enumeration value="Pollution Control Device Description (Series CD3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8A5EB-7541-4219-BFB2-D035C61FF1F4}">
  <ds:schemaRefs>
    <ds:schemaRef ds:uri="http://schemas.microsoft.com/sharepoint/v3/contenttype/forms"/>
  </ds:schemaRefs>
</ds:datastoreItem>
</file>

<file path=customXml/itemProps2.xml><?xml version="1.0" encoding="utf-8"?>
<ds:datastoreItem xmlns:ds="http://schemas.openxmlformats.org/officeDocument/2006/customXml" ds:itemID="{FF5549BD-20B8-4BB4-BF32-E0C3E2432B24}">
  <ds:schemaRefs>
    <ds:schemaRef ds:uri="http://schemas.openxmlformats.org/officeDocument/2006/bibliography"/>
  </ds:schemaRefs>
</ds:datastoreItem>
</file>

<file path=customXml/itemProps3.xml><?xml version="1.0" encoding="utf-8"?>
<ds:datastoreItem xmlns:ds="http://schemas.openxmlformats.org/officeDocument/2006/customXml" ds:itemID="{8B8E18C1-3258-4493-8732-96F9D07F7B91}">
  <ds:schemaRefs>
    <ds:schemaRef ds:uri="http://schemas.microsoft.com/office/2006/metadata/properties"/>
    <ds:schemaRef ds:uri="http://schemas.microsoft.com/office/infopath/2007/PartnerControls"/>
    <ds:schemaRef ds:uri="3f71e46e-dbdb-4936-a808-49fb891fc3e2"/>
    <ds:schemaRef ds:uri="6076d197-b432-4a89-8b9d-b97676e775aa"/>
  </ds:schemaRefs>
</ds:datastoreItem>
</file>

<file path=customXml/itemProps4.xml><?xml version="1.0" encoding="utf-8"?>
<ds:datastoreItem xmlns:ds="http://schemas.openxmlformats.org/officeDocument/2006/customXml" ds:itemID="{6321AF54-0BD9-4529-8CDB-D2839256F7DF}"/>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36</Pages>
  <Words>12246</Words>
  <Characters>69806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NPDES Individual Domestic Permit Template Revision 20181907 - Major and Minor Permit template</vt:lpstr>
    </vt:vector>
  </TitlesOfParts>
  <Manager>FELDMAN.David@deq.state.or.us</Manager>
  <Company>Department of Environmental Quality</Company>
  <LinksUpToDate>false</LinksUpToDate>
  <CharactersWithSpaces>81889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NPDES Individual Domestic Permit Template Revision 20181907 - Major and Minor Permit template</dc:title>
  <dc:subject/>
  <dc:creator>LINZER Jeff</dc:creator>
  <cp:keywords>Permit</cp:keywords>
  <cp:lastModifiedBy>BOYARSHINOVA Lia * DEQ</cp:lastModifiedBy>
  <cp:revision>386</cp:revision>
  <cp:lastPrinted>2020-03-06T19:09:00Z</cp:lastPrinted>
  <dcterms:created xsi:type="dcterms:W3CDTF">2023-05-22T23:15:00Z</dcterms:created>
  <dcterms:modified xsi:type="dcterms:W3CDTF">2025-07-15T15:33:00Z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0x0101009CC8800C0FDBD74BB7EF83F539002170</vt:lpwstr>
  </property>
  <property fmtid="{D5CDD505-2E9C-101B-9397-08002B2CF9AE}" pid="3" name="Order">
    <vt:r8>21900</vt:r8>
  </property>
  <property fmtid="{D5CDD505-2E9C-101B-9397-08002B2CF9AE}" pid="4" name="MSIP_Label_db79d039-fcd0-4045-9c78-4cfb2eba0904_Enabled">
    <vt:lpwstr>true</vt:lpwstr>
  </property>
  <property fmtid="{D5CDD505-2E9C-101B-9397-08002B2CF9AE}" pid="5" name="MSIP_Label_db79d039-fcd0-4045-9c78-4cfb2eba0904_SetDate">
    <vt:lpwstr>2023-10-23T15:39:03Z</vt:lpwstr>
  </property>
  <property fmtid="{D5CDD505-2E9C-101B-9397-08002B2CF9AE}" pid="6" name="MSIP_Label_db79d039-fcd0-4045-9c78-4cfb2eba0904_Method">
    <vt:lpwstr>Privileged</vt:lpwstr>
  </property>
  <property fmtid="{D5CDD505-2E9C-101B-9397-08002B2CF9AE}" pid="7" name="MSIP_Label_db79d039-fcd0-4045-9c78-4cfb2eba0904_Name">
    <vt:lpwstr>Level 2 - Limited (Items)</vt:lpwstr>
  </property>
  <property fmtid="{D5CDD505-2E9C-101B-9397-08002B2CF9AE}" pid="8" name="MSIP_Label_db79d039-fcd0-4045-9c78-4cfb2eba0904_SiteId">
    <vt:lpwstr>aa3f6932-fa7c-47b4-a0ce-a598cad161cf</vt:lpwstr>
  </property>
  <property fmtid="{D5CDD505-2E9C-101B-9397-08002B2CF9AE}" pid="9" name="MSIP_Label_db79d039-fcd0-4045-9c78-4cfb2eba0904_ActionId">
    <vt:lpwstr>3a4b6a7d-c850-4537-b1f7-1418c3cfd057</vt:lpwstr>
  </property>
  <property fmtid="{D5CDD505-2E9C-101B-9397-08002B2CF9AE}" pid="10" name="MSIP_Label_db79d039-fcd0-4045-9c78-4cfb2eba0904_ContentBits">
    <vt:lpwstr>0</vt:lpwstr>
  </property>
  <property fmtid="{D5CDD505-2E9C-101B-9397-08002B2CF9AE}" pid="11" name="MediaServiceImageTags">
    <vt:lpwstr/>
  </property>
</Properties>
</file>