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725"/>
        <w:gridCol w:w="801"/>
        <w:gridCol w:w="178"/>
        <w:gridCol w:w="356"/>
        <w:gridCol w:w="905"/>
        <w:gridCol w:w="630"/>
        <w:gridCol w:w="1298"/>
        <w:gridCol w:w="1804"/>
        <w:gridCol w:w="356"/>
        <w:gridCol w:w="1066"/>
        <w:gridCol w:w="1751"/>
        <w:gridCol w:w="13"/>
      </w:tblGrid>
      <w:tr w:rsidR="00F113DE" w14:paraId="11934D4D" w14:textId="77777777" w:rsidTr="003C2468">
        <w:trPr>
          <w:gridAfter w:val="1"/>
          <w:wAfter w:w="13" w:type="dxa"/>
          <w:trHeight w:val="1790"/>
        </w:trPr>
        <w:tc>
          <w:tcPr>
            <w:tcW w:w="359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0A6298F" w14:textId="7A3CACF6" w:rsidR="00F113DE" w:rsidRPr="00F113DE" w:rsidRDefault="003C2468" w:rsidP="00F113DE">
            <w:pPr>
              <w:pStyle w:val="Heading1"/>
              <w:jc w:val="center"/>
              <w:rPr>
                <w:b w:val="0"/>
                <w:bCs/>
                <w:i/>
                <w:iCs/>
                <w:sz w:val="32"/>
                <w:szCs w:val="32"/>
                <w:u w:val="none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C45A06" wp14:editId="000127F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-73660</wp:posOffset>
                      </wp:positionV>
                      <wp:extent cx="2590800" cy="8096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30D7D5" w14:textId="77777777" w:rsidR="003C2468" w:rsidRPr="006005F7" w:rsidRDefault="003C2468" w:rsidP="003C2468">
                                  <w:pPr>
                                    <w:spacing w:after="0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6005F7">
                                    <w:rPr>
                                      <w:sz w:val="40"/>
                                      <w:szCs w:val="40"/>
                                    </w:rPr>
                                    <w:t>Insert Agency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45A06" id="Rectangle 1" o:spid="_x0000_s1026" style="position:absolute;left:0;text-align:left;margin-left:-5.5pt;margin-top:-5.8pt;width:204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" fillcolor="#d8d8d8 [2732]" strokecolor="#d8d8d8 [2732]" strokeweight="1pt">
                      <v:textbox>
                        <w:txbxContent>
                          <w:p w14:paraId="7130D7D5" w14:textId="77777777" w:rsidR="003C2468" w:rsidRPr="006005F7" w:rsidRDefault="003C2468" w:rsidP="003C2468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005F7">
                              <w:rPr>
                                <w:sz w:val="40"/>
                                <w:szCs w:val="40"/>
                              </w:rPr>
                              <w:t>Insert Agency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7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3A25B2C5" w14:textId="77777777" w:rsidR="00F113DE" w:rsidRPr="00C80AC6" w:rsidRDefault="00F113DE" w:rsidP="003C2468">
            <w:pPr>
              <w:pStyle w:val="Heading1"/>
              <w:ind w:left="720"/>
              <w:jc w:val="center"/>
              <w:rPr>
                <w:b w:val="0"/>
                <w:bCs/>
                <w:i/>
                <w:iCs/>
                <w:color w:val="0000FF"/>
                <w:sz w:val="48"/>
                <w:szCs w:val="48"/>
                <w:u w:val="none"/>
              </w:rPr>
            </w:pPr>
            <w:r w:rsidRPr="00C80AC6">
              <w:rPr>
                <w:b w:val="0"/>
                <w:bCs/>
                <w:i/>
                <w:iCs/>
                <w:color w:val="0000FF"/>
                <w:sz w:val="48"/>
                <w:szCs w:val="48"/>
                <w:u w:val="none"/>
              </w:rPr>
              <w:t>&lt;Agency Name Here&gt;</w:t>
            </w:r>
          </w:p>
          <w:p w14:paraId="365FBAF0" w14:textId="778C7B80" w:rsidR="00F113DE" w:rsidRPr="00F113DE" w:rsidRDefault="00F113DE" w:rsidP="003C2468">
            <w:pPr>
              <w:ind w:left="720"/>
              <w:jc w:val="center"/>
              <w:rPr>
                <w:sz w:val="48"/>
                <w:szCs w:val="48"/>
              </w:rPr>
            </w:pPr>
            <w:r w:rsidRPr="003C2468">
              <w:rPr>
                <w:sz w:val="36"/>
                <w:szCs w:val="36"/>
              </w:rPr>
              <w:t>Policy Document</w:t>
            </w:r>
          </w:p>
        </w:tc>
      </w:tr>
      <w:tr w:rsidR="0022447B" w14:paraId="09BDC7F0" w14:textId="77777777" w:rsidTr="003C2468">
        <w:trPr>
          <w:trHeight w:val="611"/>
        </w:trPr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35759210" w14:textId="7777777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  <w:r w:rsidRPr="002518F0">
              <w:rPr>
                <w:sz w:val="24"/>
                <w:szCs w:val="24"/>
                <w:u w:val="none"/>
              </w:rPr>
              <w:t>Title:</w:t>
            </w:r>
          </w:p>
        </w:tc>
        <w:tc>
          <w:tcPr>
            <w:tcW w:w="5972" w:type="dxa"/>
            <w:gridSpan w:val="7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3E6AFB97" w14:textId="45F1711B" w:rsidR="002518F0" w:rsidRPr="0072026F" w:rsidRDefault="0072026F" w:rsidP="000C172B">
            <w:pPr>
              <w:pStyle w:val="Heading1"/>
              <w:rPr>
                <w:b w:val="0"/>
                <w:bCs/>
                <w:sz w:val="24"/>
                <w:szCs w:val="24"/>
                <w:u w:val="none"/>
              </w:rPr>
            </w:pPr>
            <w:r w:rsidRPr="0072026F">
              <w:rPr>
                <w:b w:val="0"/>
                <w:bCs/>
                <w:sz w:val="24"/>
                <w:szCs w:val="24"/>
                <w:u w:val="none"/>
              </w:rPr>
              <w:t xml:space="preserve">Information Technology </w:t>
            </w:r>
            <w:r>
              <w:rPr>
                <w:b w:val="0"/>
                <w:bCs/>
                <w:sz w:val="24"/>
                <w:szCs w:val="24"/>
                <w:u w:val="none"/>
              </w:rPr>
              <w:t xml:space="preserve">Governance </w:t>
            </w:r>
          </w:p>
        </w:tc>
        <w:tc>
          <w:tcPr>
            <w:tcW w:w="1422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182397A1" w14:textId="7777777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  <w:r w:rsidRPr="002518F0">
              <w:rPr>
                <w:sz w:val="24"/>
                <w:szCs w:val="24"/>
                <w:u w:val="none"/>
              </w:rPr>
              <w:t>Number:</w:t>
            </w:r>
          </w:p>
        </w:tc>
        <w:tc>
          <w:tcPr>
            <w:tcW w:w="1764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0C1E8415" w14:textId="1B7950F5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</w:tr>
      <w:tr w:rsidR="0022447B" w14:paraId="3CCEB723" w14:textId="77777777" w:rsidTr="003C2468">
        <w:trPr>
          <w:trHeight w:val="620"/>
        </w:trPr>
        <w:tc>
          <w:tcPr>
            <w:tcW w:w="2060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50FCFE5" w14:textId="77777777" w:rsidR="0040416A" w:rsidRPr="002518F0" w:rsidRDefault="0040416A" w:rsidP="000C172B">
            <w:pPr>
              <w:pStyle w:val="Heading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Division/Program:</w:t>
            </w:r>
          </w:p>
        </w:tc>
        <w:tc>
          <w:tcPr>
            <w:tcW w:w="4637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27CBFC71" w14:textId="4FE8E18D" w:rsidR="0040416A" w:rsidRPr="002518F0" w:rsidRDefault="0040416A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0D63B251" w14:textId="04968227" w:rsidR="0040416A" w:rsidRPr="002518F0" w:rsidRDefault="0040416A" w:rsidP="000C172B">
            <w:pPr>
              <w:pStyle w:val="Heading1"/>
              <w:rPr>
                <w:sz w:val="24"/>
                <w:szCs w:val="24"/>
                <w:u w:val="none"/>
              </w:rPr>
            </w:pPr>
            <w:r w:rsidRPr="0040416A">
              <w:rPr>
                <w:sz w:val="24"/>
                <w:szCs w:val="24"/>
                <w:u w:val="none"/>
              </w:rPr>
              <w:t>Supersedes:</w:t>
            </w:r>
          </w:p>
        </w:tc>
        <w:tc>
          <w:tcPr>
            <w:tcW w:w="1764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7171FB9D" w14:textId="2F5C9242" w:rsidR="0040416A" w:rsidRPr="002518F0" w:rsidRDefault="0040416A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</w:tr>
      <w:tr w:rsidR="002518F0" w14:paraId="2AB79F1E" w14:textId="77777777" w:rsidTr="003C2468">
        <w:trPr>
          <w:trHeight w:val="620"/>
        </w:trPr>
        <w:tc>
          <w:tcPr>
            <w:tcW w:w="1526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17CCC19C" w14:textId="7777777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  <w:r w:rsidRPr="002518F0">
              <w:rPr>
                <w:sz w:val="24"/>
                <w:szCs w:val="24"/>
                <w:u w:val="none"/>
              </w:rPr>
              <w:t>Applicability:</w:t>
            </w:r>
          </w:p>
        </w:tc>
        <w:tc>
          <w:tcPr>
            <w:tcW w:w="8357" w:type="dxa"/>
            <w:gridSpan w:val="10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47F8255" w14:textId="7777777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</w:tr>
      <w:tr w:rsidR="0022447B" w14:paraId="6724A8F6" w14:textId="77777777" w:rsidTr="003C2468">
        <w:trPr>
          <w:trHeight w:val="629"/>
        </w:trPr>
        <w:tc>
          <w:tcPr>
            <w:tcW w:w="1704" w:type="dxa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5440469D" w14:textId="7777777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  <w:r w:rsidRPr="002518F0">
              <w:rPr>
                <w:sz w:val="24"/>
                <w:szCs w:val="24"/>
                <w:u w:val="none"/>
              </w:rPr>
              <w:t>Effective Date:</w:t>
            </w:r>
          </w:p>
        </w:tc>
        <w:tc>
          <w:tcPr>
            <w:tcW w:w="3189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4BEDC45" w14:textId="7777777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03EF4488" w14:textId="19297B27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  <w:r w:rsidRPr="002518F0">
              <w:rPr>
                <w:sz w:val="24"/>
                <w:szCs w:val="24"/>
                <w:u w:val="none"/>
              </w:rPr>
              <w:t>Last Review Date:</w:t>
            </w:r>
          </w:p>
        </w:tc>
        <w:tc>
          <w:tcPr>
            <w:tcW w:w="2830" w:type="dxa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3C7171B9" w14:textId="529D9F26" w:rsidR="002518F0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</w:tr>
      <w:tr w:rsidR="00AF11D3" w14:paraId="6F7ED490" w14:textId="77777777" w:rsidTr="003C2468">
        <w:trPr>
          <w:trHeight w:val="620"/>
        </w:trPr>
        <w:tc>
          <w:tcPr>
            <w:tcW w:w="2965" w:type="dxa"/>
            <w:gridSpan w:val="5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25708798" w14:textId="745DF0F0" w:rsidR="00AF11D3" w:rsidRDefault="00AF11D3" w:rsidP="000C172B">
            <w:pPr>
              <w:pStyle w:val="Heading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Policy Manager / Position</w:t>
            </w:r>
            <w:r w:rsidR="0040416A">
              <w:rPr>
                <w:sz w:val="24"/>
                <w:szCs w:val="24"/>
                <w:u w:val="none"/>
              </w:rPr>
              <w:t>:</w:t>
            </w:r>
          </w:p>
        </w:tc>
        <w:tc>
          <w:tcPr>
            <w:tcW w:w="6918" w:type="dxa"/>
            <w:gridSpan w:val="7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690E9534" w14:textId="77777777" w:rsidR="00AF11D3" w:rsidRPr="002518F0" w:rsidRDefault="00AF11D3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</w:tr>
      <w:tr w:rsidR="0022447B" w14:paraId="794B03F6" w14:textId="77777777" w:rsidTr="003C2468">
        <w:trPr>
          <w:trHeight w:val="701"/>
        </w:trPr>
        <w:tc>
          <w:tcPr>
            <w:tcW w:w="2965" w:type="dxa"/>
            <w:gridSpan w:val="5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double" w:sz="4" w:space="0" w:color="808080" w:themeColor="background1" w:themeShade="80"/>
              <w:right w:val="single" w:sz="4" w:space="0" w:color="FFFFFF" w:themeColor="background1"/>
            </w:tcBorders>
          </w:tcPr>
          <w:p w14:paraId="0472CEA5" w14:textId="1B786240" w:rsidR="00F113DE" w:rsidRPr="002518F0" w:rsidRDefault="002518F0" w:rsidP="000C172B">
            <w:pPr>
              <w:pStyle w:val="Heading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Approv</w:t>
            </w:r>
            <w:r w:rsidR="0040416A">
              <w:rPr>
                <w:sz w:val="24"/>
                <w:szCs w:val="24"/>
                <w:u w:val="none"/>
              </w:rPr>
              <w:t>al</w:t>
            </w:r>
            <w:r>
              <w:rPr>
                <w:sz w:val="24"/>
                <w:szCs w:val="24"/>
                <w:u w:val="none"/>
              </w:rPr>
              <w:t xml:space="preserve"> Name</w:t>
            </w:r>
            <w:r w:rsidR="00AF11D3">
              <w:rPr>
                <w:sz w:val="24"/>
                <w:szCs w:val="24"/>
                <w:u w:val="none"/>
              </w:rPr>
              <w:t xml:space="preserve"> /</w:t>
            </w:r>
            <w:r>
              <w:rPr>
                <w:sz w:val="24"/>
                <w:szCs w:val="24"/>
                <w:u w:val="none"/>
              </w:rPr>
              <w:t xml:space="preserve"> Position:</w:t>
            </w:r>
          </w:p>
        </w:tc>
        <w:tc>
          <w:tcPr>
            <w:tcW w:w="6918" w:type="dxa"/>
            <w:gridSpan w:val="7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double" w:sz="4" w:space="0" w:color="808080" w:themeColor="background1" w:themeShade="80"/>
              <w:right w:val="single" w:sz="4" w:space="0" w:color="FFFFFF" w:themeColor="background1"/>
            </w:tcBorders>
          </w:tcPr>
          <w:p w14:paraId="436E4B49" w14:textId="77777777" w:rsidR="00F113DE" w:rsidRPr="002518F0" w:rsidRDefault="00F113DE" w:rsidP="000C172B">
            <w:pPr>
              <w:pStyle w:val="Heading1"/>
              <w:rPr>
                <w:sz w:val="24"/>
                <w:szCs w:val="24"/>
                <w:u w:val="none"/>
              </w:rPr>
            </w:pPr>
          </w:p>
        </w:tc>
      </w:tr>
    </w:tbl>
    <w:p w14:paraId="71DC1F21" w14:textId="77777777" w:rsidR="00F113DE" w:rsidRDefault="00F113DE" w:rsidP="000C172B">
      <w:pPr>
        <w:pStyle w:val="Heading1"/>
        <w:rPr>
          <w:sz w:val="24"/>
          <w:szCs w:val="24"/>
        </w:rPr>
      </w:pPr>
    </w:p>
    <w:p w14:paraId="1CF3CB8F" w14:textId="7F91A6D0" w:rsidR="00BC2B38" w:rsidRPr="00865E92" w:rsidRDefault="0040416A" w:rsidP="00865E92">
      <w:pPr>
        <w:pStyle w:val="ListParagraph"/>
        <w:numPr>
          <w:ilvl w:val="0"/>
          <w:numId w:val="15"/>
        </w:numPr>
        <w:spacing w:after="0"/>
        <w:rPr>
          <w:b/>
          <w:sz w:val="28"/>
          <w:szCs w:val="28"/>
          <w:u w:val="single"/>
        </w:rPr>
      </w:pPr>
      <w:r w:rsidRPr="00865E92">
        <w:rPr>
          <w:rStyle w:val="Heading1Char"/>
          <w:szCs w:val="28"/>
        </w:rPr>
        <w:t>PURPOSE</w:t>
      </w:r>
      <w:r w:rsidR="005C1EAC" w:rsidRPr="00865E92">
        <w:rPr>
          <w:rStyle w:val="Heading1Char"/>
          <w:szCs w:val="28"/>
        </w:rPr>
        <w:t>:</w:t>
      </w:r>
      <w:r w:rsidR="005C1EAC" w:rsidRPr="00865E92">
        <w:rPr>
          <w:b/>
          <w:sz w:val="28"/>
          <w:szCs w:val="28"/>
          <w:u w:val="single"/>
        </w:rPr>
        <w:t xml:space="preserve"> </w:t>
      </w:r>
    </w:p>
    <w:p w14:paraId="34CF45FA" w14:textId="06686624" w:rsidR="00BC2B38" w:rsidRDefault="00BC2B38" w:rsidP="00AC0B57">
      <w:pPr>
        <w:spacing w:after="120"/>
        <w:rPr>
          <w:iCs/>
        </w:rPr>
      </w:pPr>
      <w:r w:rsidRPr="00BC2B38">
        <w:rPr>
          <w:iCs/>
        </w:rPr>
        <w:t xml:space="preserve">The purpose of this policy is to commission IT Governance for </w:t>
      </w:r>
      <w:r w:rsidR="000E3ADD" w:rsidRPr="000E3ADD">
        <w:rPr>
          <w:iCs/>
        </w:rPr>
        <w:t>the agency</w:t>
      </w:r>
      <w:r w:rsidR="000E3ADD" w:rsidRPr="000E3ADD">
        <w:rPr>
          <w:b/>
          <w:bCs/>
          <w:i/>
        </w:rPr>
        <w:t xml:space="preserve"> </w:t>
      </w:r>
      <w:r w:rsidRPr="00BC2B38">
        <w:rPr>
          <w:iCs/>
        </w:rPr>
        <w:t>to ensure that:</w:t>
      </w:r>
    </w:p>
    <w:p w14:paraId="75C4A973" w14:textId="50024C81" w:rsidR="00BC2B38" w:rsidRPr="00BC2B38" w:rsidRDefault="003024F8" w:rsidP="00BC2B38">
      <w:pPr>
        <w:pStyle w:val="ListParagraph"/>
        <w:numPr>
          <w:ilvl w:val="0"/>
          <w:numId w:val="14"/>
        </w:numPr>
        <w:spacing w:after="120"/>
        <w:rPr>
          <w:iCs/>
        </w:rPr>
      </w:pPr>
      <w:r>
        <w:rPr>
          <w:iCs/>
        </w:rPr>
        <w:t>I</w:t>
      </w:r>
      <w:r w:rsidR="00BC2B38" w:rsidRPr="00BC2B38">
        <w:rPr>
          <w:iCs/>
        </w:rPr>
        <w:t>nvestments in Information Technology (IT</w:t>
      </w:r>
      <w:r w:rsidR="00BC2B38">
        <w:rPr>
          <w:iCs/>
        </w:rPr>
        <w:t>)</w:t>
      </w:r>
      <w:r w:rsidR="00BC2B38" w:rsidRPr="00BC2B38">
        <w:rPr>
          <w:iCs/>
        </w:rPr>
        <w:t xml:space="preserve"> deliver value to business,</w:t>
      </w:r>
    </w:p>
    <w:p w14:paraId="14A58842" w14:textId="676A1DCD" w:rsidR="00BC2B38" w:rsidRPr="00BC2B38" w:rsidRDefault="00BC2B38" w:rsidP="00BC2B38">
      <w:pPr>
        <w:pStyle w:val="ListParagraph"/>
        <w:numPr>
          <w:ilvl w:val="0"/>
          <w:numId w:val="14"/>
        </w:numPr>
        <w:spacing w:after="120"/>
        <w:rPr>
          <w:iCs/>
        </w:rPr>
      </w:pPr>
      <w:r>
        <w:rPr>
          <w:iCs/>
        </w:rPr>
        <w:t>R</w:t>
      </w:r>
      <w:r w:rsidRPr="00BC2B38">
        <w:rPr>
          <w:iCs/>
        </w:rPr>
        <w:t>isks associated with IT usage are communicated and managed,</w:t>
      </w:r>
    </w:p>
    <w:p w14:paraId="2D68F99C" w14:textId="097724DF" w:rsidR="00BC2B38" w:rsidRPr="00BC2B38" w:rsidRDefault="00BC2B38" w:rsidP="00BC2B38">
      <w:pPr>
        <w:pStyle w:val="ListParagraph"/>
        <w:numPr>
          <w:ilvl w:val="0"/>
          <w:numId w:val="14"/>
        </w:numPr>
        <w:spacing w:after="120"/>
        <w:rPr>
          <w:iCs/>
        </w:rPr>
      </w:pPr>
      <w:r w:rsidRPr="00BC2B38">
        <w:rPr>
          <w:iCs/>
        </w:rPr>
        <w:t xml:space="preserve">IT resources are managed </w:t>
      </w:r>
      <w:r w:rsidR="003024F8">
        <w:rPr>
          <w:iCs/>
        </w:rPr>
        <w:t>efficiently</w:t>
      </w:r>
      <w:r w:rsidRPr="00BC2B38">
        <w:rPr>
          <w:iCs/>
        </w:rPr>
        <w:t>, and</w:t>
      </w:r>
    </w:p>
    <w:p w14:paraId="4177E1E8" w14:textId="30FAAFAB" w:rsidR="00865E92" w:rsidRPr="00865E92" w:rsidRDefault="00BC2B38" w:rsidP="00865E92">
      <w:pPr>
        <w:pStyle w:val="ListParagraph"/>
        <w:numPr>
          <w:ilvl w:val="0"/>
          <w:numId w:val="14"/>
        </w:numPr>
        <w:spacing w:after="240"/>
        <w:contextualSpacing w:val="0"/>
        <w:rPr>
          <w:iCs/>
        </w:rPr>
      </w:pPr>
      <w:r>
        <w:rPr>
          <w:iCs/>
        </w:rPr>
        <w:t>P</w:t>
      </w:r>
      <w:r w:rsidRPr="00BC2B38">
        <w:rPr>
          <w:iCs/>
        </w:rPr>
        <w:t>erformance of IT is measured and monitored.</w:t>
      </w:r>
    </w:p>
    <w:p w14:paraId="1913E53F" w14:textId="6AE80E5D" w:rsidR="00BC2B38" w:rsidRPr="00865E92" w:rsidRDefault="00BC2B38" w:rsidP="00865E92">
      <w:pPr>
        <w:pStyle w:val="ListParagraph"/>
        <w:numPr>
          <w:ilvl w:val="0"/>
          <w:numId w:val="15"/>
        </w:numPr>
        <w:spacing w:after="0"/>
        <w:rPr>
          <w:rStyle w:val="Heading1Char"/>
          <w:szCs w:val="28"/>
        </w:rPr>
      </w:pPr>
      <w:r w:rsidRPr="00865E92">
        <w:rPr>
          <w:rStyle w:val="Heading1Char"/>
          <w:szCs w:val="28"/>
        </w:rPr>
        <w:t>A</w:t>
      </w:r>
      <w:r w:rsidR="00865E92">
        <w:rPr>
          <w:rStyle w:val="Heading1Char"/>
          <w:szCs w:val="28"/>
        </w:rPr>
        <w:t>PPLICABILITY</w:t>
      </w:r>
      <w:r w:rsidRPr="00865E92">
        <w:rPr>
          <w:rStyle w:val="Heading1Char"/>
          <w:szCs w:val="28"/>
        </w:rPr>
        <w:t>:</w:t>
      </w:r>
    </w:p>
    <w:p w14:paraId="50D28B4F" w14:textId="5D800F4D" w:rsidR="00BC2B38" w:rsidRPr="00BC2B38" w:rsidRDefault="00F37515" w:rsidP="00330E1D">
      <w:pPr>
        <w:spacing w:after="240"/>
        <w:rPr>
          <w:iCs/>
        </w:rPr>
      </w:pPr>
      <w:r w:rsidRPr="00F37515">
        <w:rPr>
          <w:iCs/>
        </w:rPr>
        <w:t xml:space="preserve">This policy applies to all agency staff members. Agency staff members include all employees, trainees, volunteers, consultants, </w:t>
      </w:r>
      <w:r w:rsidR="00D76018" w:rsidRPr="00F37515">
        <w:rPr>
          <w:iCs/>
        </w:rPr>
        <w:t>contractors,</w:t>
      </w:r>
      <w:r w:rsidRPr="00F37515">
        <w:rPr>
          <w:iCs/>
        </w:rPr>
        <w:t xml:space="preserve"> and subcontractors at the agency</w:t>
      </w:r>
      <w:r>
        <w:rPr>
          <w:iCs/>
        </w:rPr>
        <w:t xml:space="preserve"> and </w:t>
      </w:r>
      <w:r w:rsidR="00BC2B38" w:rsidRPr="00BC2B38">
        <w:rPr>
          <w:iCs/>
        </w:rPr>
        <w:t xml:space="preserve">are required to adhere to this policy and take actions to </w:t>
      </w:r>
      <w:r w:rsidR="000A48E2">
        <w:rPr>
          <w:iCs/>
        </w:rPr>
        <w:t>support</w:t>
      </w:r>
      <w:r w:rsidR="00BC2B38" w:rsidRPr="00BC2B38">
        <w:rPr>
          <w:iCs/>
        </w:rPr>
        <w:t xml:space="preserve"> IT Governance </w:t>
      </w:r>
      <w:r w:rsidR="00BC2B38">
        <w:rPr>
          <w:iCs/>
        </w:rPr>
        <w:t>with</w:t>
      </w:r>
      <w:r w:rsidR="000A48E2">
        <w:rPr>
          <w:iCs/>
        </w:rPr>
        <w:t>in</w:t>
      </w:r>
      <w:r w:rsidR="00BC2B38">
        <w:rPr>
          <w:iCs/>
        </w:rPr>
        <w:t xml:space="preserve"> the</w:t>
      </w:r>
      <w:r w:rsidR="00BC2B38" w:rsidRPr="00BC2B38">
        <w:rPr>
          <w:iCs/>
        </w:rPr>
        <w:t xml:space="preserve"> organization. </w:t>
      </w:r>
    </w:p>
    <w:p w14:paraId="76034ABD" w14:textId="77777777" w:rsidR="00BC2B38" w:rsidRPr="00865E92" w:rsidRDefault="00BC2B38" w:rsidP="00D76018">
      <w:pPr>
        <w:pStyle w:val="ListParagraph"/>
        <w:numPr>
          <w:ilvl w:val="0"/>
          <w:numId w:val="15"/>
        </w:numPr>
        <w:spacing w:after="120"/>
        <w:contextualSpacing w:val="0"/>
        <w:rPr>
          <w:rStyle w:val="Heading1Char"/>
          <w:szCs w:val="28"/>
        </w:rPr>
      </w:pPr>
      <w:r w:rsidRPr="00865E92">
        <w:rPr>
          <w:rStyle w:val="Heading1Char"/>
          <w:szCs w:val="28"/>
        </w:rPr>
        <w:t xml:space="preserve">DEFINITIONS: </w:t>
      </w:r>
    </w:p>
    <w:p w14:paraId="33416DC8" w14:textId="75D58AEB" w:rsidR="00BC2B38" w:rsidRPr="00BC2B38" w:rsidRDefault="00BC2B38" w:rsidP="00BC2B38">
      <w:pPr>
        <w:spacing w:after="120"/>
        <w:rPr>
          <w:iCs/>
        </w:rPr>
      </w:pPr>
      <w:r w:rsidRPr="00BC2B38">
        <w:rPr>
          <w:b/>
          <w:bCs/>
          <w:iCs/>
        </w:rPr>
        <w:t>Information Technology</w:t>
      </w:r>
      <w:r w:rsidRPr="00BC2B38">
        <w:rPr>
          <w:iCs/>
        </w:rPr>
        <w:t xml:space="preserve"> (IT) </w:t>
      </w:r>
      <w:r w:rsidR="00BD3514">
        <w:rPr>
          <w:iCs/>
        </w:rPr>
        <w:t>- I</w:t>
      </w:r>
      <w:r w:rsidRPr="00BC2B38">
        <w:rPr>
          <w:iCs/>
        </w:rPr>
        <w:t>ncludes, but is not limited to, all present and future forms of hardware, software, and services for data processing, office automation, and telecommunications.</w:t>
      </w:r>
    </w:p>
    <w:p w14:paraId="49C06E3F" w14:textId="77777777" w:rsidR="00330E1D" w:rsidRDefault="00330E1D" w:rsidP="00BC2B38">
      <w:pPr>
        <w:spacing w:after="120"/>
        <w:rPr>
          <w:iCs/>
        </w:rPr>
      </w:pPr>
      <w:r w:rsidRPr="00BC2B38">
        <w:rPr>
          <w:b/>
          <w:bCs/>
          <w:iCs/>
        </w:rPr>
        <w:t>IT Investment</w:t>
      </w:r>
      <w:r w:rsidRPr="00BC2B38">
        <w:rPr>
          <w:iCs/>
        </w:rPr>
        <w:t xml:space="preserve"> </w:t>
      </w:r>
      <w:r>
        <w:rPr>
          <w:iCs/>
        </w:rPr>
        <w:t>- T</w:t>
      </w:r>
      <w:r w:rsidRPr="00BC2B38">
        <w:rPr>
          <w:iCs/>
        </w:rPr>
        <w:t>he planned or actual commitment of funds for IT-related expenditures. IT Investments include, but are not limited to, agency IT personnel, contracted labor, products, services, and contracts.</w:t>
      </w:r>
    </w:p>
    <w:p w14:paraId="3A2BEB06" w14:textId="29E08A2A" w:rsidR="00BC2B38" w:rsidRDefault="00BC2B38" w:rsidP="008A428E">
      <w:pPr>
        <w:spacing w:after="240"/>
        <w:rPr>
          <w:iCs/>
        </w:rPr>
      </w:pPr>
      <w:r w:rsidRPr="00BC2B38">
        <w:rPr>
          <w:b/>
          <w:bCs/>
          <w:iCs/>
        </w:rPr>
        <w:t>IT Governance</w:t>
      </w:r>
      <w:r w:rsidR="00BD3514">
        <w:rPr>
          <w:b/>
          <w:bCs/>
          <w:iCs/>
        </w:rPr>
        <w:t xml:space="preserve"> -</w:t>
      </w:r>
      <w:r w:rsidRPr="00BC2B38">
        <w:rPr>
          <w:iCs/>
        </w:rPr>
        <w:t xml:space="preserve"> </w:t>
      </w:r>
      <w:r w:rsidR="00BD3514">
        <w:rPr>
          <w:iCs/>
        </w:rPr>
        <w:t>T</w:t>
      </w:r>
      <w:r w:rsidRPr="00BC2B38">
        <w:rPr>
          <w:iCs/>
        </w:rPr>
        <w:t xml:space="preserve">he process that an agency uses to ensure that IT investment </w:t>
      </w:r>
      <w:r w:rsidR="00330E1D">
        <w:rPr>
          <w:iCs/>
        </w:rPr>
        <w:t>d</w:t>
      </w:r>
      <w:r w:rsidRPr="00BC2B38">
        <w:rPr>
          <w:iCs/>
        </w:rPr>
        <w:t xml:space="preserve">ecisions support agency business objectives </w:t>
      </w:r>
      <w:r w:rsidR="00330E1D">
        <w:rPr>
          <w:iCs/>
        </w:rPr>
        <w:t>in alignment with</w:t>
      </w:r>
      <w:r w:rsidRPr="00BC2B38">
        <w:rPr>
          <w:iCs/>
        </w:rPr>
        <w:t xml:space="preserve"> Enterprise Information Technology Strategies.</w:t>
      </w:r>
    </w:p>
    <w:p w14:paraId="26212F6C" w14:textId="77777777" w:rsidR="008A428E" w:rsidRPr="00BC2B38" w:rsidRDefault="008A428E" w:rsidP="008A428E">
      <w:pPr>
        <w:spacing w:after="240"/>
        <w:rPr>
          <w:iCs/>
        </w:rPr>
      </w:pPr>
    </w:p>
    <w:p w14:paraId="33D9592C" w14:textId="372F93C4" w:rsidR="001F0577" w:rsidRDefault="001F0577" w:rsidP="001F0577">
      <w:pPr>
        <w:pStyle w:val="ListParagraph"/>
        <w:numPr>
          <w:ilvl w:val="0"/>
          <w:numId w:val="15"/>
        </w:numPr>
        <w:spacing w:after="120"/>
        <w:contextualSpacing w:val="0"/>
        <w:rPr>
          <w:rStyle w:val="Heading1Char"/>
          <w:szCs w:val="28"/>
        </w:rPr>
      </w:pPr>
      <w:r>
        <w:rPr>
          <w:rStyle w:val="Heading1Char"/>
          <w:szCs w:val="28"/>
        </w:rPr>
        <w:lastRenderedPageBreak/>
        <w:t>AUTHORITY</w:t>
      </w:r>
    </w:p>
    <w:p w14:paraId="37448958" w14:textId="31D1F05F" w:rsidR="001F0577" w:rsidRPr="001F0577" w:rsidRDefault="008D7DB0" w:rsidP="001F0577">
      <w:pPr>
        <w:spacing w:after="240"/>
        <w:rPr>
          <w:rStyle w:val="Heading1Char"/>
          <w:b w:val="0"/>
          <w:i/>
          <w:sz w:val="22"/>
          <w:u w:val="none"/>
        </w:rPr>
      </w:pPr>
      <w:r w:rsidRPr="008D7DB0">
        <w:rPr>
          <w:iCs/>
        </w:rPr>
        <w:t>Enterprise Information Services (EIS)</w:t>
      </w:r>
      <w:r>
        <w:rPr>
          <w:iCs/>
        </w:rPr>
        <w:t xml:space="preserve"> </w:t>
      </w:r>
      <w:r w:rsidRPr="008D7DB0">
        <w:rPr>
          <w:iCs/>
        </w:rPr>
        <w:t>Information Technology Investment Oversight Policy, 102-004-130.</w:t>
      </w:r>
      <w:r w:rsidRPr="008D7DB0">
        <w:rPr>
          <w:i/>
        </w:rPr>
        <w:t xml:space="preserve"> </w:t>
      </w:r>
      <w:r w:rsidR="00627CA2" w:rsidRPr="00627CA2">
        <w:rPr>
          <w:i/>
          <w:color w:val="0000FF"/>
        </w:rPr>
        <w:t xml:space="preserve">&lt; </w:t>
      </w:r>
      <w:r w:rsidR="00031649">
        <w:rPr>
          <w:i/>
          <w:color w:val="0000FF"/>
        </w:rPr>
        <w:t>Others i</w:t>
      </w:r>
      <w:r w:rsidR="001F0577" w:rsidRPr="00C80AC6">
        <w:rPr>
          <w:i/>
          <w:color w:val="0000FF"/>
        </w:rPr>
        <w:t>nclud</w:t>
      </w:r>
      <w:r w:rsidR="00031649">
        <w:rPr>
          <w:i/>
          <w:color w:val="0000FF"/>
        </w:rPr>
        <w:t>ing</w:t>
      </w:r>
      <w:r w:rsidR="001F0577" w:rsidRPr="00C80AC6">
        <w:rPr>
          <w:i/>
          <w:color w:val="0000FF"/>
        </w:rPr>
        <w:t xml:space="preserve"> OAR’s, ORS’s, State Board Policy, etc.</w:t>
      </w:r>
      <w:r w:rsidR="00627CA2">
        <w:rPr>
          <w:i/>
          <w:color w:val="0000FF"/>
        </w:rPr>
        <w:t xml:space="preserve"> &gt;</w:t>
      </w:r>
    </w:p>
    <w:p w14:paraId="5F033DC3" w14:textId="4F0FFFE8" w:rsidR="00865E92" w:rsidRDefault="00865E92" w:rsidP="00865E92">
      <w:pPr>
        <w:pStyle w:val="ListParagraph"/>
        <w:numPr>
          <w:ilvl w:val="0"/>
          <w:numId w:val="15"/>
        </w:numPr>
        <w:spacing w:after="0"/>
        <w:rPr>
          <w:rStyle w:val="Heading1Char"/>
          <w:szCs w:val="28"/>
        </w:rPr>
      </w:pPr>
      <w:r w:rsidRPr="00865E92">
        <w:rPr>
          <w:rStyle w:val="Heading1Char"/>
          <w:szCs w:val="28"/>
        </w:rPr>
        <w:t>P</w:t>
      </w:r>
      <w:r>
        <w:rPr>
          <w:rStyle w:val="Heading1Char"/>
          <w:szCs w:val="28"/>
        </w:rPr>
        <w:t>OLICY</w:t>
      </w:r>
      <w:r w:rsidRPr="00865E92">
        <w:rPr>
          <w:rStyle w:val="Heading1Char"/>
          <w:szCs w:val="28"/>
        </w:rPr>
        <w:t xml:space="preserve">: </w:t>
      </w:r>
    </w:p>
    <w:p w14:paraId="29168060" w14:textId="2930E8D0" w:rsidR="00865E92" w:rsidRPr="00865E92" w:rsidRDefault="00865E92" w:rsidP="00865E92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ind w:left="806"/>
        <w:contextualSpacing w:val="0"/>
        <w:rPr>
          <w:b/>
          <w:sz w:val="28"/>
          <w:szCs w:val="28"/>
          <w:u w:val="single"/>
        </w:rPr>
      </w:pPr>
      <w:r w:rsidRPr="00865E92">
        <w:rPr>
          <w:b/>
          <w:bCs/>
          <w:smallCaps/>
          <w:sz w:val="28"/>
          <w:szCs w:val="28"/>
        </w:rPr>
        <w:t>Policy Statement</w:t>
      </w:r>
    </w:p>
    <w:p w14:paraId="3970E876" w14:textId="4AECDE3D" w:rsidR="00865E92" w:rsidRPr="00865E92" w:rsidRDefault="00330E1D" w:rsidP="001B6CAD">
      <w:pPr>
        <w:pStyle w:val="ListParagraph"/>
        <w:numPr>
          <w:ilvl w:val="0"/>
          <w:numId w:val="16"/>
        </w:numPr>
        <w:spacing w:after="60"/>
        <w:ind w:left="720" w:hanging="360"/>
        <w:contextualSpacing w:val="0"/>
        <w:rPr>
          <w:iCs/>
        </w:rPr>
      </w:pPr>
      <w:r>
        <w:rPr>
          <w:iCs/>
        </w:rPr>
        <w:t>The a</w:t>
      </w:r>
      <w:r w:rsidR="00865E92" w:rsidRPr="00865E92">
        <w:rPr>
          <w:iCs/>
        </w:rPr>
        <w:t>genc</w:t>
      </w:r>
      <w:r>
        <w:rPr>
          <w:iCs/>
        </w:rPr>
        <w:t>y</w:t>
      </w:r>
      <w:r w:rsidR="00865E92" w:rsidRPr="00865E92">
        <w:rPr>
          <w:iCs/>
        </w:rPr>
        <w:t xml:space="preserve"> shall establish effective IT Governance to ensure benefit realization and risk optimization in business investments in IT initiatives.</w:t>
      </w:r>
    </w:p>
    <w:p w14:paraId="3B92C8D7" w14:textId="31F36293" w:rsidR="00865E92" w:rsidRPr="00C128FA" w:rsidRDefault="00865E92" w:rsidP="001B6CAD">
      <w:pPr>
        <w:pStyle w:val="ListParagraph"/>
        <w:numPr>
          <w:ilvl w:val="0"/>
          <w:numId w:val="16"/>
        </w:numPr>
        <w:spacing w:after="60"/>
        <w:contextualSpacing w:val="0"/>
        <w:rPr>
          <w:iCs/>
        </w:rPr>
      </w:pPr>
      <w:r w:rsidRPr="00C128FA">
        <w:rPr>
          <w:iCs/>
        </w:rPr>
        <w:t>The primary goals of IT Governance shall be focused on:</w:t>
      </w:r>
      <w:r w:rsidR="00F87ADA" w:rsidRPr="00C128FA">
        <w:rPr>
          <w:iCs/>
        </w:rPr>
        <w:t xml:space="preserve">    </w:t>
      </w:r>
      <w:r w:rsidR="00F87ADA" w:rsidRPr="00C128FA">
        <w:rPr>
          <w:b/>
          <w:bCs/>
          <w:i/>
          <w:color w:val="0000FF"/>
        </w:rPr>
        <w:t>&lt; Example Goals &gt;</w:t>
      </w:r>
    </w:p>
    <w:p w14:paraId="092FAF02" w14:textId="3B2125F1" w:rsidR="00865E92" w:rsidRPr="00865E92" w:rsidRDefault="00865E92" w:rsidP="00EF2CD5">
      <w:pPr>
        <w:pStyle w:val="ListParagraph"/>
        <w:numPr>
          <w:ilvl w:val="1"/>
          <w:numId w:val="16"/>
        </w:numPr>
        <w:spacing w:after="0"/>
        <w:ind w:left="806"/>
        <w:contextualSpacing w:val="0"/>
        <w:rPr>
          <w:iCs/>
        </w:rPr>
      </w:pPr>
      <w:r w:rsidRPr="00865E92">
        <w:rPr>
          <w:iCs/>
        </w:rPr>
        <w:t>Stakeholder value of business investments in IT</w:t>
      </w:r>
    </w:p>
    <w:p w14:paraId="05599D79" w14:textId="083E61CF" w:rsidR="00865E92" w:rsidRPr="00865E92" w:rsidRDefault="00865E92" w:rsidP="00EF2CD5">
      <w:pPr>
        <w:pStyle w:val="ListParagraph"/>
        <w:numPr>
          <w:ilvl w:val="1"/>
          <w:numId w:val="16"/>
        </w:numPr>
        <w:spacing w:after="0"/>
        <w:ind w:left="806"/>
        <w:contextualSpacing w:val="0"/>
        <w:rPr>
          <w:iCs/>
        </w:rPr>
      </w:pPr>
      <w:r w:rsidRPr="00865E92">
        <w:rPr>
          <w:iCs/>
        </w:rPr>
        <w:t>Financial transparency</w:t>
      </w:r>
    </w:p>
    <w:p w14:paraId="59FAD1D8" w14:textId="094F0087" w:rsidR="00865E92" w:rsidRPr="00865E92" w:rsidRDefault="00865E92" w:rsidP="00EF2CD5">
      <w:pPr>
        <w:pStyle w:val="ListParagraph"/>
        <w:numPr>
          <w:ilvl w:val="1"/>
          <w:numId w:val="16"/>
        </w:numPr>
        <w:spacing w:after="0"/>
        <w:ind w:left="806"/>
        <w:contextualSpacing w:val="0"/>
        <w:rPr>
          <w:iCs/>
        </w:rPr>
      </w:pPr>
      <w:r w:rsidRPr="00865E92">
        <w:rPr>
          <w:iCs/>
        </w:rPr>
        <w:t>Customer-oriented service culture</w:t>
      </w:r>
    </w:p>
    <w:p w14:paraId="06512FBA" w14:textId="632B7DCF" w:rsidR="00865E92" w:rsidRPr="00865E92" w:rsidRDefault="00865E92" w:rsidP="00EF2CD5">
      <w:pPr>
        <w:pStyle w:val="ListParagraph"/>
        <w:numPr>
          <w:ilvl w:val="1"/>
          <w:numId w:val="16"/>
        </w:numPr>
        <w:spacing w:after="0"/>
        <w:ind w:left="806"/>
        <w:contextualSpacing w:val="0"/>
        <w:rPr>
          <w:iCs/>
        </w:rPr>
      </w:pPr>
      <w:r w:rsidRPr="00865E92">
        <w:rPr>
          <w:iCs/>
        </w:rPr>
        <w:t>Agile responses to a changing business environment</w:t>
      </w:r>
    </w:p>
    <w:p w14:paraId="73A0A764" w14:textId="76588BD5" w:rsidR="00865E92" w:rsidRPr="00865E92" w:rsidRDefault="00865E92" w:rsidP="00EF2CD5">
      <w:pPr>
        <w:pStyle w:val="ListParagraph"/>
        <w:numPr>
          <w:ilvl w:val="1"/>
          <w:numId w:val="16"/>
        </w:numPr>
        <w:spacing w:after="0"/>
        <w:ind w:left="806"/>
        <w:contextualSpacing w:val="0"/>
        <w:rPr>
          <w:iCs/>
        </w:rPr>
      </w:pPr>
      <w:r w:rsidRPr="00865E92">
        <w:rPr>
          <w:iCs/>
        </w:rPr>
        <w:t>Optimization of service delivery costs</w:t>
      </w:r>
    </w:p>
    <w:p w14:paraId="7542A9B3" w14:textId="1DFB1297" w:rsidR="00865E92" w:rsidRPr="00865E92" w:rsidRDefault="00865E92" w:rsidP="00EF2CD5">
      <w:pPr>
        <w:pStyle w:val="ListParagraph"/>
        <w:numPr>
          <w:ilvl w:val="1"/>
          <w:numId w:val="16"/>
        </w:numPr>
        <w:spacing w:after="0"/>
        <w:ind w:left="806"/>
        <w:contextualSpacing w:val="0"/>
        <w:rPr>
          <w:iCs/>
        </w:rPr>
      </w:pPr>
      <w:r w:rsidRPr="00865E92">
        <w:rPr>
          <w:iCs/>
        </w:rPr>
        <w:t>Operational and staff productivity</w:t>
      </w:r>
    </w:p>
    <w:p w14:paraId="19753A55" w14:textId="00B55894" w:rsidR="00865E92" w:rsidRPr="00865E92" w:rsidRDefault="00865E92" w:rsidP="00EF2CD5">
      <w:pPr>
        <w:pStyle w:val="ListParagraph"/>
        <w:numPr>
          <w:ilvl w:val="1"/>
          <w:numId w:val="16"/>
        </w:numPr>
        <w:spacing w:after="120"/>
        <w:ind w:left="806"/>
        <w:contextualSpacing w:val="0"/>
        <w:rPr>
          <w:iCs/>
        </w:rPr>
      </w:pPr>
      <w:r w:rsidRPr="00865E92">
        <w:rPr>
          <w:iCs/>
        </w:rPr>
        <w:t>Compliance with internal policies</w:t>
      </w:r>
    </w:p>
    <w:p w14:paraId="081CB703" w14:textId="55A72B5A" w:rsidR="00865E92" w:rsidRPr="00865E92" w:rsidRDefault="001C6F8F" w:rsidP="001B6CAD">
      <w:pPr>
        <w:pStyle w:val="ListParagraph"/>
        <w:numPr>
          <w:ilvl w:val="0"/>
          <w:numId w:val="16"/>
        </w:numPr>
        <w:spacing w:after="60"/>
        <w:ind w:left="720" w:hanging="360"/>
        <w:contextualSpacing w:val="0"/>
        <w:rPr>
          <w:iCs/>
        </w:rPr>
      </w:pPr>
      <w:r>
        <w:rPr>
          <w:iCs/>
        </w:rPr>
        <w:t>The a</w:t>
      </w:r>
      <w:r w:rsidR="00865E92" w:rsidRPr="00865E92">
        <w:rPr>
          <w:iCs/>
        </w:rPr>
        <w:t>genc</w:t>
      </w:r>
      <w:r>
        <w:rPr>
          <w:iCs/>
        </w:rPr>
        <w:t>y</w:t>
      </w:r>
      <w:r w:rsidR="00865E92" w:rsidRPr="00865E92">
        <w:rPr>
          <w:iCs/>
        </w:rPr>
        <w:t xml:space="preserve"> shall define an IT Governance </w:t>
      </w:r>
      <w:r w:rsidR="00F87ADA">
        <w:rPr>
          <w:iCs/>
        </w:rPr>
        <w:t xml:space="preserve">Committee </w:t>
      </w:r>
      <w:r w:rsidR="00865E92" w:rsidRPr="00865E92">
        <w:rPr>
          <w:iCs/>
        </w:rPr>
        <w:t>(ITG</w:t>
      </w:r>
      <w:r w:rsidR="00F87ADA">
        <w:rPr>
          <w:iCs/>
        </w:rPr>
        <w:t>C</w:t>
      </w:r>
      <w:r w:rsidR="00865E92" w:rsidRPr="00865E92">
        <w:rPr>
          <w:iCs/>
        </w:rPr>
        <w:t>) for the oversight and delivery of all investment decisions in Information Technology (IT).</w:t>
      </w:r>
    </w:p>
    <w:p w14:paraId="25FDAE67" w14:textId="7D0F8A20" w:rsidR="00865E92" w:rsidRDefault="00865E92" w:rsidP="001B6CAD">
      <w:pPr>
        <w:pStyle w:val="ListParagraph"/>
        <w:numPr>
          <w:ilvl w:val="1"/>
          <w:numId w:val="16"/>
        </w:numPr>
        <w:spacing w:after="60"/>
        <w:ind w:left="1440" w:hanging="630"/>
        <w:contextualSpacing w:val="0"/>
        <w:rPr>
          <w:iCs/>
        </w:rPr>
      </w:pPr>
      <w:r w:rsidRPr="00865E92">
        <w:rPr>
          <w:iCs/>
        </w:rPr>
        <w:t>The purpose of the ITG</w:t>
      </w:r>
      <w:r w:rsidR="00F87ADA">
        <w:rPr>
          <w:iCs/>
        </w:rPr>
        <w:t>C</w:t>
      </w:r>
      <w:r w:rsidRPr="00865E92">
        <w:rPr>
          <w:iCs/>
        </w:rPr>
        <w:t xml:space="preserve"> is to ensure the effective and efficient use of technology in</w:t>
      </w:r>
      <w:r>
        <w:rPr>
          <w:iCs/>
        </w:rPr>
        <w:t xml:space="preserve"> </w:t>
      </w:r>
      <w:r w:rsidRPr="00865E92">
        <w:rPr>
          <w:iCs/>
        </w:rPr>
        <w:t xml:space="preserve">enabling the </w:t>
      </w:r>
      <w:r w:rsidR="00D76018">
        <w:rPr>
          <w:iCs/>
        </w:rPr>
        <w:t>agency</w:t>
      </w:r>
      <w:r w:rsidRPr="00865E92">
        <w:rPr>
          <w:iCs/>
        </w:rPr>
        <w:t xml:space="preserve"> to achieve its strategy and goals within acceptable levels of risk. </w:t>
      </w:r>
    </w:p>
    <w:p w14:paraId="54B5390D" w14:textId="09FA5F22" w:rsidR="00CF7A85" w:rsidRDefault="00865E92" w:rsidP="001B6CAD">
      <w:pPr>
        <w:pStyle w:val="ListParagraph"/>
        <w:numPr>
          <w:ilvl w:val="1"/>
          <w:numId w:val="16"/>
        </w:numPr>
        <w:spacing w:after="60"/>
        <w:ind w:left="1440" w:hanging="630"/>
        <w:contextualSpacing w:val="0"/>
        <w:rPr>
          <w:iCs/>
        </w:rPr>
      </w:pPr>
      <w:r w:rsidRPr="00865E92">
        <w:rPr>
          <w:iCs/>
        </w:rPr>
        <w:t>ITG</w:t>
      </w:r>
      <w:r w:rsidR="00F87ADA">
        <w:rPr>
          <w:iCs/>
        </w:rPr>
        <w:t>C</w:t>
      </w:r>
      <w:r w:rsidRPr="00865E92">
        <w:rPr>
          <w:iCs/>
        </w:rPr>
        <w:t xml:space="preserve"> is a standing (permanent) governance structure. It may be supported by other</w:t>
      </w:r>
      <w:r w:rsidRPr="00CF7A85">
        <w:rPr>
          <w:iCs/>
        </w:rPr>
        <w:t xml:space="preserve"> g</w:t>
      </w:r>
      <w:r w:rsidRPr="00865E92">
        <w:rPr>
          <w:iCs/>
        </w:rPr>
        <w:t>overnance structures - both standing and project (temporary) - as required to effectively achieve its purpose.</w:t>
      </w:r>
    </w:p>
    <w:p w14:paraId="55121487" w14:textId="23CA8933" w:rsidR="00CF7A85" w:rsidRDefault="00865E92" w:rsidP="001B6CAD">
      <w:pPr>
        <w:pStyle w:val="ListParagraph"/>
        <w:numPr>
          <w:ilvl w:val="0"/>
          <w:numId w:val="16"/>
        </w:numPr>
        <w:spacing w:after="60"/>
        <w:ind w:left="720" w:hanging="360"/>
        <w:contextualSpacing w:val="0"/>
        <w:rPr>
          <w:iCs/>
        </w:rPr>
      </w:pPr>
      <w:r w:rsidRPr="00CF7A85">
        <w:rPr>
          <w:iCs/>
        </w:rPr>
        <w:t>The ITG</w:t>
      </w:r>
      <w:r w:rsidR="00F87ADA">
        <w:rPr>
          <w:iCs/>
        </w:rPr>
        <w:t>C</w:t>
      </w:r>
      <w:r w:rsidRPr="00CF7A85">
        <w:rPr>
          <w:iCs/>
        </w:rPr>
        <w:t xml:space="preserve"> is tasked with and accountable for ensuring that technology services deliver business value and that expected benefits from new investments are fully realized.</w:t>
      </w:r>
    </w:p>
    <w:p w14:paraId="08F4F367" w14:textId="7C6E827D" w:rsidR="00CF7A85" w:rsidRDefault="00865E92" w:rsidP="001B6CAD">
      <w:pPr>
        <w:pStyle w:val="ListParagraph"/>
        <w:numPr>
          <w:ilvl w:val="0"/>
          <w:numId w:val="16"/>
        </w:numPr>
        <w:spacing w:after="60"/>
        <w:contextualSpacing w:val="0"/>
        <w:rPr>
          <w:iCs/>
        </w:rPr>
      </w:pPr>
      <w:r w:rsidRPr="00CF7A85">
        <w:rPr>
          <w:iCs/>
        </w:rPr>
        <w:t>ITG</w:t>
      </w:r>
      <w:r w:rsidR="00F87ADA">
        <w:rPr>
          <w:iCs/>
        </w:rPr>
        <w:t>C</w:t>
      </w:r>
      <w:r w:rsidRPr="00CF7A85">
        <w:rPr>
          <w:iCs/>
        </w:rPr>
        <w:t xml:space="preserve"> responsibilities include:</w:t>
      </w:r>
    </w:p>
    <w:p w14:paraId="3690E9ED" w14:textId="23EE6C16" w:rsidR="001C6F8F" w:rsidRPr="00DF331E" w:rsidRDefault="001C6F8F" w:rsidP="001C6F8F">
      <w:pPr>
        <w:spacing w:after="120"/>
        <w:ind w:left="720"/>
        <w:rPr>
          <w:b/>
          <w:bCs/>
          <w:i/>
          <w:color w:val="0000FF"/>
        </w:rPr>
      </w:pPr>
      <w:r w:rsidRPr="00DF331E">
        <w:rPr>
          <w:b/>
          <w:bCs/>
          <w:i/>
          <w:color w:val="0000FF"/>
        </w:rPr>
        <w:t>&lt; Example Responsibilities &gt;</w:t>
      </w:r>
    </w:p>
    <w:p w14:paraId="11819DF0" w14:textId="4A3470E1" w:rsidR="00CF7A85" w:rsidRDefault="00865E92" w:rsidP="00EF2CD5">
      <w:pPr>
        <w:pStyle w:val="ListParagraph"/>
        <w:numPr>
          <w:ilvl w:val="1"/>
          <w:numId w:val="16"/>
        </w:numPr>
        <w:spacing w:after="60"/>
        <w:ind w:left="806"/>
        <w:rPr>
          <w:iCs/>
        </w:rPr>
      </w:pPr>
      <w:r w:rsidRPr="00CF7A85">
        <w:rPr>
          <w:iCs/>
        </w:rPr>
        <w:t>Decid</w:t>
      </w:r>
      <w:r w:rsidR="001C6F8F">
        <w:rPr>
          <w:iCs/>
        </w:rPr>
        <w:t>ing</w:t>
      </w:r>
      <w:r w:rsidRPr="00CF7A85">
        <w:rPr>
          <w:iCs/>
        </w:rPr>
        <w:t xml:space="preserve"> on IT strategy and capabilities.</w:t>
      </w:r>
    </w:p>
    <w:p w14:paraId="3E2A02AD" w14:textId="77777777" w:rsidR="00CF7A85" w:rsidRDefault="00865E92" w:rsidP="00EF2CD5">
      <w:pPr>
        <w:pStyle w:val="ListParagraph"/>
        <w:numPr>
          <w:ilvl w:val="1"/>
          <w:numId w:val="16"/>
        </w:numPr>
        <w:spacing w:after="60"/>
        <w:ind w:left="806"/>
        <w:rPr>
          <w:iCs/>
        </w:rPr>
      </w:pPr>
      <w:r w:rsidRPr="00CF7A85">
        <w:rPr>
          <w:iCs/>
        </w:rPr>
        <w:t>Determine the IT investment approach.</w:t>
      </w:r>
    </w:p>
    <w:p w14:paraId="4F0D2D0A" w14:textId="77777777" w:rsidR="00CF7A85" w:rsidRDefault="00865E92" w:rsidP="00EF2CD5">
      <w:pPr>
        <w:pStyle w:val="ListParagraph"/>
        <w:numPr>
          <w:ilvl w:val="1"/>
          <w:numId w:val="16"/>
        </w:numPr>
        <w:spacing w:after="60"/>
        <w:ind w:left="806"/>
        <w:rPr>
          <w:iCs/>
        </w:rPr>
      </w:pPr>
      <w:r w:rsidRPr="00CF7A85">
        <w:rPr>
          <w:iCs/>
        </w:rPr>
        <w:t>Balance investment risk.</w:t>
      </w:r>
    </w:p>
    <w:p w14:paraId="5F100084" w14:textId="77777777" w:rsidR="00CF7A85" w:rsidRDefault="00865E92" w:rsidP="00EF2CD5">
      <w:pPr>
        <w:pStyle w:val="ListParagraph"/>
        <w:numPr>
          <w:ilvl w:val="1"/>
          <w:numId w:val="16"/>
        </w:numPr>
        <w:spacing w:after="60"/>
        <w:ind w:left="806"/>
        <w:rPr>
          <w:iCs/>
        </w:rPr>
      </w:pPr>
      <w:r w:rsidRPr="00CF7A85">
        <w:rPr>
          <w:iCs/>
        </w:rPr>
        <w:t>Ensure a steady flow of communications.</w:t>
      </w:r>
    </w:p>
    <w:p w14:paraId="623C8507" w14:textId="29C41E11" w:rsidR="00CF7A85" w:rsidRDefault="00865E92" w:rsidP="00EF2CD5">
      <w:pPr>
        <w:pStyle w:val="ListParagraph"/>
        <w:numPr>
          <w:ilvl w:val="1"/>
          <w:numId w:val="16"/>
        </w:numPr>
        <w:spacing w:after="60"/>
        <w:ind w:left="806"/>
        <w:rPr>
          <w:iCs/>
        </w:rPr>
      </w:pPr>
      <w:r w:rsidRPr="00CF7A85">
        <w:rPr>
          <w:iCs/>
        </w:rPr>
        <w:t>Deliver results.</w:t>
      </w:r>
    </w:p>
    <w:p w14:paraId="0370D365" w14:textId="00F7972C" w:rsidR="00865E92" w:rsidRDefault="00865E92" w:rsidP="00EF2CD5">
      <w:pPr>
        <w:pStyle w:val="ListParagraph"/>
        <w:numPr>
          <w:ilvl w:val="1"/>
          <w:numId w:val="16"/>
        </w:numPr>
        <w:spacing w:after="120"/>
        <w:ind w:left="806"/>
        <w:rPr>
          <w:iCs/>
        </w:rPr>
      </w:pPr>
      <w:r w:rsidRPr="00CF7A85">
        <w:rPr>
          <w:iCs/>
        </w:rPr>
        <w:t>Improve IT governance.</w:t>
      </w:r>
    </w:p>
    <w:p w14:paraId="41A1124D" w14:textId="508F8024" w:rsidR="009D6C2F" w:rsidRPr="003107AF" w:rsidRDefault="001B6CAD" w:rsidP="003107AF">
      <w:pPr>
        <w:pStyle w:val="ListParagraph"/>
        <w:numPr>
          <w:ilvl w:val="0"/>
          <w:numId w:val="16"/>
        </w:numPr>
        <w:spacing w:before="240" w:after="240"/>
        <w:ind w:left="720" w:hanging="360"/>
        <w:contextualSpacing w:val="0"/>
        <w:rPr>
          <w:iCs/>
        </w:rPr>
      </w:pPr>
      <w:r w:rsidRPr="001B6CAD">
        <w:rPr>
          <w:iCs/>
        </w:rPr>
        <w:t>ITG</w:t>
      </w:r>
      <w:r w:rsidR="00F87ADA">
        <w:rPr>
          <w:iCs/>
        </w:rPr>
        <w:t>C</w:t>
      </w:r>
      <w:r w:rsidRPr="001B6CAD">
        <w:rPr>
          <w:iCs/>
        </w:rPr>
        <w:t xml:space="preserve"> shall define and monitor the key goals and metrics to determine the extent to which the IT­</w:t>
      </w:r>
      <w:r w:rsidRPr="001B6CAD">
        <w:t xml:space="preserve"> </w:t>
      </w:r>
      <w:r w:rsidRPr="001B6CAD">
        <w:rPr>
          <w:iCs/>
        </w:rPr>
        <w:t>enabled investments and services are generating the expected value and benefits to the business. Subsequently, identify significant issues and consider corrective actions.</w:t>
      </w:r>
    </w:p>
    <w:p w14:paraId="45FB018B" w14:textId="457F9737" w:rsidR="00135E77" w:rsidRPr="00F87ADA" w:rsidRDefault="00135E77" w:rsidP="00A250C8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120"/>
        <w:contextualSpacing w:val="0"/>
        <w:rPr>
          <w:b/>
          <w:sz w:val="28"/>
          <w:szCs w:val="28"/>
          <w:u w:val="single"/>
        </w:rPr>
      </w:pPr>
      <w:r w:rsidRPr="00F87ADA">
        <w:rPr>
          <w:b/>
          <w:bCs/>
          <w:smallCaps/>
          <w:sz w:val="28"/>
          <w:szCs w:val="28"/>
        </w:rPr>
        <w:t>IT Governance Pri</w:t>
      </w:r>
      <w:r>
        <w:rPr>
          <w:b/>
          <w:bCs/>
          <w:smallCaps/>
          <w:sz w:val="28"/>
          <w:szCs w:val="28"/>
        </w:rPr>
        <w:t>orities</w:t>
      </w:r>
    </w:p>
    <w:p w14:paraId="783E6912" w14:textId="7D34C464" w:rsidR="00B40CF3" w:rsidRDefault="00BD3475" w:rsidP="001F0577">
      <w:pPr>
        <w:spacing w:after="120"/>
        <w:ind w:left="806"/>
        <w:rPr>
          <w:iCs/>
        </w:rPr>
      </w:pPr>
      <w:r w:rsidRPr="00BD3475">
        <w:rPr>
          <w:iCs/>
        </w:rPr>
        <w:t xml:space="preserve">To achieve policy objectives and the overall </w:t>
      </w:r>
      <w:r w:rsidR="000E3ADD" w:rsidRPr="000E3ADD">
        <w:rPr>
          <w:iCs/>
        </w:rPr>
        <w:t>agency</w:t>
      </w:r>
      <w:r w:rsidRPr="00C80AC6">
        <w:rPr>
          <w:iCs/>
          <w:color w:val="0000FF"/>
        </w:rPr>
        <w:t xml:space="preserve"> </w:t>
      </w:r>
      <w:r w:rsidRPr="00BD3475">
        <w:rPr>
          <w:iCs/>
        </w:rPr>
        <w:t xml:space="preserve">strategy, </w:t>
      </w:r>
      <w:r w:rsidR="009D6C2F">
        <w:rPr>
          <w:iCs/>
        </w:rPr>
        <w:t xml:space="preserve">the </w:t>
      </w:r>
      <w:r w:rsidRPr="00BD3475">
        <w:rPr>
          <w:iCs/>
        </w:rPr>
        <w:t xml:space="preserve">following practices </w:t>
      </w:r>
      <w:r w:rsidR="009D6C2F">
        <w:rPr>
          <w:iCs/>
        </w:rPr>
        <w:t>are established as</w:t>
      </w:r>
      <w:r w:rsidRPr="00BD3475">
        <w:rPr>
          <w:iCs/>
        </w:rPr>
        <w:t xml:space="preserve"> priorit</w:t>
      </w:r>
      <w:r w:rsidR="009D6C2F">
        <w:rPr>
          <w:iCs/>
        </w:rPr>
        <w:t>ies</w:t>
      </w:r>
      <w:r w:rsidRPr="00BD3475">
        <w:rPr>
          <w:iCs/>
        </w:rPr>
        <w:t>.</w:t>
      </w:r>
    </w:p>
    <w:p w14:paraId="07B4C65F" w14:textId="333E0F65" w:rsidR="00C80AC6" w:rsidRPr="00DF331E" w:rsidRDefault="00C80AC6" w:rsidP="00C80AC6">
      <w:pPr>
        <w:spacing w:after="120"/>
        <w:ind w:left="720"/>
        <w:rPr>
          <w:b/>
          <w:bCs/>
          <w:i/>
          <w:color w:val="0000FF"/>
        </w:rPr>
      </w:pPr>
      <w:r w:rsidRPr="00DF331E">
        <w:rPr>
          <w:b/>
          <w:bCs/>
          <w:i/>
          <w:color w:val="0000FF"/>
        </w:rPr>
        <w:lastRenderedPageBreak/>
        <w:t>&lt; Example Priorities &gt;</w:t>
      </w:r>
    </w:p>
    <w:p w14:paraId="0762FB74" w14:textId="722DC519" w:rsidR="00BD3475" w:rsidRPr="00BD3475" w:rsidRDefault="00BD3475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Establish IT Management Framework</w:t>
      </w:r>
    </w:p>
    <w:p w14:paraId="7B555433" w14:textId="698D1A0B" w:rsidR="00BD3475" w:rsidRPr="00BD3475" w:rsidRDefault="00BD3475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Formulate IT Strategy</w:t>
      </w:r>
    </w:p>
    <w:p w14:paraId="138C182C" w14:textId="44D0EF79" w:rsidR="00BD3475" w:rsidRPr="00BD3475" w:rsidRDefault="00BD3475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Manage</w:t>
      </w:r>
      <w:r w:rsidR="0090049D">
        <w:rPr>
          <w:iCs/>
        </w:rPr>
        <w:t>ment of</w:t>
      </w:r>
      <w:r w:rsidRPr="00BD3475">
        <w:rPr>
          <w:iCs/>
        </w:rPr>
        <w:t xml:space="preserve"> Enterprise Architecture and Innovation</w:t>
      </w:r>
    </w:p>
    <w:p w14:paraId="00881C57" w14:textId="4A4A05D9" w:rsidR="00BD3475" w:rsidRPr="00BD3475" w:rsidRDefault="0090049D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Manage</w:t>
      </w:r>
      <w:r>
        <w:rPr>
          <w:iCs/>
        </w:rPr>
        <w:t>ment of</w:t>
      </w:r>
      <w:r w:rsidRPr="00BD3475">
        <w:rPr>
          <w:iCs/>
        </w:rPr>
        <w:t xml:space="preserve"> </w:t>
      </w:r>
      <w:r w:rsidR="00BD3475" w:rsidRPr="00BD3475">
        <w:rPr>
          <w:iCs/>
        </w:rPr>
        <w:t>Investment and Procurement</w:t>
      </w:r>
    </w:p>
    <w:p w14:paraId="00B3EC9B" w14:textId="6BB52788" w:rsidR="00BD3475" w:rsidRPr="00BD3475" w:rsidRDefault="0090049D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Manage</w:t>
      </w:r>
      <w:r>
        <w:rPr>
          <w:iCs/>
        </w:rPr>
        <w:t>ment of</w:t>
      </w:r>
      <w:r w:rsidRPr="00BD3475">
        <w:rPr>
          <w:iCs/>
        </w:rPr>
        <w:t xml:space="preserve"> </w:t>
      </w:r>
      <w:r w:rsidR="00BD3475" w:rsidRPr="00BD3475">
        <w:rPr>
          <w:iCs/>
        </w:rPr>
        <w:t>Risks</w:t>
      </w:r>
    </w:p>
    <w:p w14:paraId="1188B63A" w14:textId="52944FB6" w:rsidR="00BD3475" w:rsidRPr="00BD3475" w:rsidRDefault="0090049D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Manage</w:t>
      </w:r>
      <w:r>
        <w:rPr>
          <w:iCs/>
        </w:rPr>
        <w:t>ment of</w:t>
      </w:r>
      <w:r w:rsidR="00BD3475" w:rsidRPr="00BD3475">
        <w:rPr>
          <w:iCs/>
        </w:rPr>
        <w:t xml:space="preserve"> Program and Projects</w:t>
      </w:r>
    </w:p>
    <w:p w14:paraId="44C38BB9" w14:textId="348B2283" w:rsidR="00BD3475" w:rsidRPr="00BD3475" w:rsidRDefault="0090049D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Manage</w:t>
      </w:r>
      <w:r>
        <w:rPr>
          <w:iCs/>
        </w:rPr>
        <w:t>ment of</w:t>
      </w:r>
      <w:r w:rsidR="00BD3475" w:rsidRPr="00BD3475">
        <w:rPr>
          <w:iCs/>
        </w:rPr>
        <w:t xml:space="preserve"> IT Service Delivery</w:t>
      </w:r>
    </w:p>
    <w:p w14:paraId="1CD40FB0" w14:textId="1CFCEBBC" w:rsidR="00BD3475" w:rsidRPr="00BD3475" w:rsidRDefault="0090049D" w:rsidP="00BD3475">
      <w:pPr>
        <w:pStyle w:val="ListParagraph"/>
        <w:numPr>
          <w:ilvl w:val="0"/>
          <w:numId w:val="14"/>
        </w:numPr>
        <w:spacing w:after="120"/>
        <w:ind w:left="1170"/>
        <w:rPr>
          <w:iCs/>
        </w:rPr>
      </w:pPr>
      <w:r w:rsidRPr="00BD3475">
        <w:rPr>
          <w:iCs/>
        </w:rPr>
        <w:t>Manage</w:t>
      </w:r>
      <w:r>
        <w:rPr>
          <w:iCs/>
        </w:rPr>
        <w:t>ment of</w:t>
      </w:r>
      <w:r w:rsidRPr="00BD3475">
        <w:rPr>
          <w:iCs/>
        </w:rPr>
        <w:t xml:space="preserve"> </w:t>
      </w:r>
      <w:r w:rsidR="00BD3475" w:rsidRPr="00BD3475">
        <w:rPr>
          <w:iCs/>
        </w:rPr>
        <w:t>Information Security</w:t>
      </w:r>
    </w:p>
    <w:p w14:paraId="3C7CE2FA" w14:textId="5C19D920" w:rsidR="00F87ADA" w:rsidRPr="00BD3475" w:rsidRDefault="0090049D" w:rsidP="005B19DC">
      <w:pPr>
        <w:pStyle w:val="ListParagraph"/>
        <w:numPr>
          <w:ilvl w:val="0"/>
          <w:numId w:val="14"/>
        </w:numPr>
        <w:spacing w:after="240"/>
        <w:ind w:left="1166"/>
        <w:contextualSpacing w:val="0"/>
        <w:rPr>
          <w:iCs/>
        </w:rPr>
      </w:pPr>
      <w:r w:rsidRPr="00BD3475">
        <w:rPr>
          <w:iCs/>
        </w:rPr>
        <w:t>Manage</w:t>
      </w:r>
      <w:r>
        <w:rPr>
          <w:iCs/>
        </w:rPr>
        <w:t>ment of</w:t>
      </w:r>
      <w:r w:rsidRPr="00BD3475">
        <w:rPr>
          <w:iCs/>
        </w:rPr>
        <w:t xml:space="preserve"> </w:t>
      </w:r>
      <w:r w:rsidR="00BD3475" w:rsidRPr="00BD3475">
        <w:rPr>
          <w:iCs/>
        </w:rPr>
        <w:t>IT Performance</w:t>
      </w:r>
    </w:p>
    <w:p w14:paraId="2BC02A7D" w14:textId="6E0B2891" w:rsidR="00F45FC0" w:rsidRDefault="00BD3475" w:rsidP="00F45FC0">
      <w:pPr>
        <w:pStyle w:val="ListParagraph"/>
        <w:numPr>
          <w:ilvl w:val="0"/>
          <w:numId w:val="15"/>
        </w:numPr>
        <w:spacing w:after="120"/>
        <w:contextualSpacing w:val="0"/>
        <w:rPr>
          <w:rStyle w:val="Heading1Char"/>
          <w:szCs w:val="28"/>
        </w:rPr>
      </w:pPr>
      <w:r w:rsidRPr="00BD3475">
        <w:rPr>
          <w:rStyle w:val="Heading1Char"/>
          <w:szCs w:val="28"/>
        </w:rPr>
        <w:t>ROLES AND RESPONSIBILITIES</w:t>
      </w:r>
      <w:r w:rsidRPr="00865E92">
        <w:rPr>
          <w:rStyle w:val="Heading1Char"/>
          <w:szCs w:val="28"/>
        </w:rPr>
        <w:t xml:space="preserve">: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0A0282" w:rsidRPr="007B3675" w14:paraId="6D01ADFD" w14:textId="77777777" w:rsidTr="000A0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bottom"/>
            <w:hideMark/>
          </w:tcPr>
          <w:p w14:paraId="176907F3" w14:textId="77777777" w:rsidR="007B3675" w:rsidRPr="007B3675" w:rsidRDefault="007B3675" w:rsidP="007B3675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7B3675">
              <w:rPr>
                <w:rFonts w:eastAsia="Times New Roman" w:cstheme="minorHAnsi"/>
                <w:sz w:val="24"/>
                <w:szCs w:val="24"/>
              </w:rPr>
              <w:t>Stakeholder</w:t>
            </w:r>
          </w:p>
        </w:tc>
        <w:tc>
          <w:tcPr>
            <w:tcW w:w="7825" w:type="dxa"/>
            <w:vAlign w:val="bottom"/>
            <w:hideMark/>
          </w:tcPr>
          <w:p w14:paraId="3362B68A" w14:textId="77777777" w:rsidR="007B3675" w:rsidRPr="007B3675" w:rsidRDefault="007B3675" w:rsidP="007B36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7B3675">
              <w:rPr>
                <w:rFonts w:eastAsia="Times New Roman" w:cstheme="minorHAnsi"/>
                <w:sz w:val="24"/>
                <w:szCs w:val="24"/>
              </w:rPr>
              <w:t>Responsibilities</w:t>
            </w:r>
          </w:p>
        </w:tc>
      </w:tr>
      <w:tr w:rsidR="000A0282" w:rsidRPr="007B3675" w14:paraId="1A03671C" w14:textId="77777777" w:rsidTr="000A0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hideMark/>
          </w:tcPr>
          <w:p w14:paraId="747CA54A" w14:textId="65A05B78" w:rsidR="007B3675" w:rsidRPr="007B3675" w:rsidRDefault="00A052F7" w:rsidP="007B3675">
            <w:pPr>
              <w:spacing w:before="60" w:after="60"/>
              <w:rPr>
                <w:rFonts w:eastAsia="Times New Roman" w:cstheme="minorHAnsi"/>
                <w:color w:val="1B1B1B"/>
              </w:rPr>
            </w:pPr>
            <w:r>
              <w:rPr>
                <w:rFonts w:eastAsia="Times New Roman" w:cstheme="minorHAnsi"/>
                <w:color w:val="1B1B1B"/>
              </w:rPr>
              <w:t>Executive Director</w:t>
            </w:r>
          </w:p>
        </w:tc>
        <w:tc>
          <w:tcPr>
            <w:tcW w:w="7825" w:type="dxa"/>
            <w:hideMark/>
          </w:tcPr>
          <w:p w14:paraId="6CDDF4C0" w14:textId="759E1D3F" w:rsidR="00A052F7" w:rsidRPr="007B3675" w:rsidRDefault="00A052F7" w:rsidP="007B367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B1B1B"/>
              </w:rPr>
            </w:pPr>
            <w:r>
              <w:rPr>
                <w:rFonts w:eastAsia="Times New Roman" w:cstheme="minorHAnsi"/>
                <w:color w:val="1B1B1B"/>
              </w:rPr>
              <w:t xml:space="preserve">The agency Director </w:t>
            </w:r>
            <w:r w:rsidRPr="00A052F7">
              <w:rPr>
                <w:rFonts w:eastAsia="Times New Roman" w:cstheme="minorHAnsi"/>
                <w:color w:val="1B1B1B"/>
              </w:rPr>
              <w:t xml:space="preserve">has overall responsibility for IT policy and policy development and approves new and revised standards and guidelines based on the recommendation of the </w:t>
            </w:r>
            <w:r>
              <w:rPr>
                <w:rFonts w:eastAsia="Times New Roman" w:cstheme="minorHAnsi"/>
                <w:color w:val="1B1B1B"/>
              </w:rPr>
              <w:t>Information Technology Steering Committee</w:t>
            </w:r>
            <w:r w:rsidRPr="00A052F7">
              <w:rPr>
                <w:rFonts w:eastAsia="Times New Roman" w:cstheme="minorHAnsi"/>
                <w:color w:val="1B1B1B"/>
              </w:rPr>
              <w:t>.</w:t>
            </w:r>
          </w:p>
        </w:tc>
      </w:tr>
      <w:tr w:rsidR="00A052F7" w:rsidRPr="007B3675" w14:paraId="38136F8D" w14:textId="77777777" w:rsidTr="000A0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hideMark/>
          </w:tcPr>
          <w:p w14:paraId="0F974C4E" w14:textId="28EB1289" w:rsidR="007B3675" w:rsidRPr="007B3675" w:rsidRDefault="000A0282" w:rsidP="007B3675">
            <w:pPr>
              <w:spacing w:before="60" w:after="60"/>
              <w:rPr>
                <w:rFonts w:eastAsia="Times New Roman" w:cstheme="minorHAnsi"/>
                <w:color w:val="1B1B1B"/>
              </w:rPr>
            </w:pPr>
            <w:r>
              <w:rPr>
                <w:rFonts w:eastAsia="Times New Roman" w:cstheme="minorHAnsi"/>
                <w:color w:val="1B1B1B"/>
              </w:rPr>
              <w:t>Information Technology Steering Committee</w:t>
            </w:r>
          </w:p>
        </w:tc>
        <w:tc>
          <w:tcPr>
            <w:tcW w:w="7825" w:type="dxa"/>
            <w:hideMark/>
          </w:tcPr>
          <w:p w14:paraId="3A57097A" w14:textId="5BF7F4A4" w:rsidR="007B3675" w:rsidRPr="007B3675" w:rsidRDefault="00A052F7" w:rsidP="00A052F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1B1B1B"/>
              </w:rPr>
            </w:pPr>
            <w:r w:rsidRPr="00A052F7">
              <w:rPr>
                <w:rFonts w:eastAsia="Times New Roman" w:cstheme="minorHAnsi"/>
                <w:color w:val="1B1B1B"/>
              </w:rPr>
              <w:t>I</w:t>
            </w:r>
            <w:r w:rsidR="000A0282">
              <w:rPr>
                <w:rFonts w:eastAsia="Times New Roman" w:cstheme="minorHAnsi"/>
                <w:color w:val="1B1B1B"/>
              </w:rPr>
              <w:t>nformation Technology Steering Committee</w:t>
            </w:r>
            <w:r w:rsidRPr="00A052F7">
              <w:rPr>
                <w:rFonts w:eastAsia="Times New Roman" w:cstheme="minorHAnsi"/>
                <w:color w:val="1B1B1B"/>
              </w:rPr>
              <w:t xml:space="preserve"> provide</w:t>
            </w:r>
            <w:r w:rsidR="000A0282">
              <w:rPr>
                <w:rFonts w:eastAsia="Times New Roman" w:cstheme="minorHAnsi"/>
                <w:color w:val="1B1B1B"/>
              </w:rPr>
              <w:t>s</w:t>
            </w:r>
            <w:r w:rsidRPr="00A052F7">
              <w:rPr>
                <w:rFonts w:eastAsia="Times New Roman" w:cstheme="minorHAnsi"/>
                <w:color w:val="1B1B1B"/>
              </w:rPr>
              <w:t xml:space="preserve"> overall direction for the IT policy function, including responsibilities for identifying and prioritizing policy needs, ensuring appropriate involvement in policy development, and conducting research and benchmarking for emerging policy development.</w:t>
            </w:r>
          </w:p>
        </w:tc>
      </w:tr>
    </w:tbl>
    <w:p w14:paraId="76534043" w14:textId="77777777" w:rsidR="007B3675" w:rsidRDefault="007B3675" w:rsidP="001F0577">
      <w:pPr>
        <w:pStyle w:val="Heading1"/>
      </w:pPr>
    </w:p>
    <w:p w14:paraId="1D12732F" w14:textId="3E524CA6" w:rsidR="001F0577" w:rsidRDefault="001F0577" w:rsidP="001F0577">
      <w:pPr>
        <w:pStyle w:val="Heading1"/>
      </w:pPr>
      <w:r>
        <w:t xml:space="preserve">STANDARDS: </w:t>
      </w:r>
    </w:p>
    <w:p w14:paraId="67D9894B" w14:textId="750778C4" w:rsidR="001F0577" w:rsidRPr="005C15E4" w:rsidRDefault="006C02E1" w:rsidP="001F0577">
      <w:pPr>
        <w:spacing w:after="360"/>
        <w:rPr>
          <w:i/>
          <w:color w:val="0000FF"/>
        </w:rPr>
      </w:pPr>
      <w:r w:rsidRPr="005C15E4">
        <w:rPr>
          <w:i/>
          <w:color w:val="0000FF"/>
        </w:rPr>
        <w:t xml:space="preserve">Identify </w:t>
      </w:r>
      <w:r w:rsidR="001F0577" w:rsidRPr="005C15E4">
        <w:rPr>
          <w:i/>
          <w:color w:val="0000FF"/>
        </w:rPr>
        <w:t xml:space="preserve">statements describing the acceptable standards for performance or results of </w:t>
      </w:r>
      <w:r w:rsidRPr="005C15E4">
        <w:rPr>
          <w:i/>
          <w:color w:val="0000FF"/>
        </w:rPr>
        <w:t>specific</w:t>
      </w:r>
      <w:r w:rsidR="001F0577" w:rsidRPr="005C15E4">
        <w:rPr>
          <w:i/>
          <w:color w:val="0000FF"/>
        </w:rPr>
        <w:t xml:space="preserve"> activit</w:t>
      </w:r>
      <w:r w:rsidRPr="005C15E4">
        <w:rPr>
          <w:i/>
          <w:color w:val="0000FF"/>
        </w:rPr>
        <w:t>ies</w:t>
      </w:r>
      <w:r w:rsidR="001F0577" w:rsidRPr="005C15E4">
        <w:rPr>
          <w:i/>
          <w:color w:val="0000FF"/>
        </w:rPr>
        <w:t xml:space="preserve"> involved.</w:t>
      </w:r>
    </w:p>
    <w:p w14:paraId="1F74FD6E" w14:textId="77777777" w:rsidR="001F0577" w:rsidRDefault="001F0577" w:rsidP="001F0577">
      <w:pPr>
        <w:pStyle w:val="Heading1"/>
      </w:pPr>
      <w:r>
        <w:t xml:space="preserve">EXCLUSIONS AND EXCEPTIONS: </w:t>
      </w:r>
    </w:p>
    <w:p w14:paraId="662B301D" w14:textId="346C4EB9" w:rsidR="001F0577" w:rsidRDefault="001F0577" w:rsidP="001F0577">
      <w:pPr>
        <w:spacing w:after="360"/>
        <w:rPr>
          <w:iCs/>
        </w:rPr>
      </w:pPr>
      <w:r w:rsidRPr="00C83FD1">
        <w:rPr>
          <w:iCs/>
        </w:rPr>
        <w:t xml:space="preserve">Request </w:t>
      </w:r>
      <w:r w:rsidR="00794C45">
        <w:rPr>
          <w:iCs/>
        </w:rPr>
        <w:t xml:space="preserve">for </w:t>
      </w:r>
      <w:r w:rsidRPr="00C83FD1">
        <w:rPr>
          <w:iCs/>
        </w:rPr>
        <w:t xml:space="preserve">exclusions to this policy by </w:t>
      </w:r>
      <w:r w:rsidR="00282653">
        <w:rPr>
          <w:iCs/>
        </w:rPr>
        <w:t>formal</w:t>
      </w:r>
      <w:r w:rsidR="00794C45">
        <w:rPr>
          <w:iCs/>
        </w:rPr>
        <w:t xml:space="preserve"> </w:t>
      </w:r>
      <w:r w:rsidRPr="00C83FD1">
        <w:rPr>
          <w:iCs/>
        </w:rPr>
        <w:t>justification</w:t>
      </w:r>
      <w:r w:rsidR="00282653">
        <w:rPr>
          <w:iCs/>
        </w:rPr>
        <w:t xml:space="preserve"> submitt</w:t>
      </w:r>
      <w:r w:rsidR="00794C45">
        <w:rPr>
          <w:iCs/>
        </w:rPr>
        <w:t>ed</w:t>
      </w:r>
      <w:r w:rsidRPr="00C83FD1">
        <w:rPr>
          <w:iCs/>
        </w:rPr>
        <w:t xml:space="preserve"> to the </w:t>
      </w:r>
      <w:r w:rsidR="00282653">
        <w:rPr>
          <w:iCs/>
        </w:rPr>
        <w:t>IT Governance Committee Chair</w:t>
      </w:r>
      <w:r w:rsidRPr="00C83FD1">
        <w:rPr>
          <w:iCs/>
        </w:rPr>
        <w:t>. The request should state the policy section and the exact wording to which the exclusion would apply if approved.</w:t>
      </w:r>
    </w:p>
    <w:p w14:paraId="21E1A97F" w14:textId="1E4020BA" w:rsidR="001F0577" w:rsidRDefault="001F0577" w:rsidP="001F0577">
      <w:pPr>
        <w:pStyle w:val="Heading1"/>
      </w:pPr>
      <w:r>
        <w:t xml:space="preserve">SUPPORTING REFERENCES: </w:t>
      </w:r>
    </w:p>
    <w:p w14:paraId="69302242" w14:textId="77777777" w:rsidR="001F0577" w:rsidRPr="0021738A" w:rsidRDefault="001F0577" w:rsidP="00460543">
      <w:pPr>
        <w:spacing w:after="60"/>
        <w:rPr>
          <w:iCs/>
        </w:rPr>
      </w:pPr>
      <w:r w:rsidRPr="0021738A">
        <w:rPr>
          <w:iCs/>
        </w:rPr>
        <w:t>The following documents are incorporated by reference:</w:t>
      </w:r>
    </w:p>
    <w:p w14:paraId="038E6B35" w14:textId="3B6FA78B" w:rsidR="001F0577" w:rsidRPr="0021738A" w:rsidRDefault="003D776B" w:rsidP="001F0577">
      <w:pPr>
        <w:pStyle w:val="ListParagraph"/>
        <w:numPr>
          <w:ilvl w:val="0"/>
          <w:numId w:val="2"/>
        </w:numPr>
        <w:spacing w:after="360"/>
        <w:rPr>
          <w:iCs/>
        </w:rPr>
      </w:pPr>
      <w:r>
        <w:rPr>
          <w:iCs/>
        </w:rPr>
        <w:t xml:space="preserve">Agency - </w:t>
      </w:r>
      <w:r w:rsidR="001F0577" w:rsidRPr="0021738A">
        <w:rPr>
          <w:iCs/>
        </w:rPr>
        <w:t xml:space="preserve">Information Technology Governance </w:t>
      </w:r>
      <w:r w:rsidR="003024F8">
        <w:rPr>
          <w:iCs/>
        </w:rPr>
        <w:t xml:space="preserve">Committee </w:t>
      </w:r>
      <w:r w:rsidR="001F0577" w:rsidRPr="0021738A">
        <w:rPr>
          <w:iCs/>
        </w:rPr>
        <w:t>Charter</w:t>
      </w:r>
      <w:r w:rsidR="00460543">
        <w:rPr>
          <w:iCs/>
        </w:rPr>
        <w:t xml:space="preserve"> (Procedure)</w:t>
      </w:r>
    </w:p>
    <w:p w14:paraId="45A39C2F" w14:textId="5B4241B3" w:rsidR="001F0577" w:rsidRDefault="003D776B" w:rsidP="001F0577">
      <w:pPr>
        <w:pStyle w:val="ListParagraph"/>
        <w:numPr>
          <w:ilvl w:val="0"/>
          <w:numId w:val="2"/>
        </w:numPr>
        <w:spacing w:after="360"/>
        <w:rPr>
          <w:iCs/>
        </w:rPr>
      </w:pPr>
      <w:r>
        <w:rPr>
          <w:iCs/>
        </w:rPr>
        <w:t xml:space="preserve">Agency - </w:t>
      </w:r>
      <w:r w:rsidR="001F0577" w:rsidRPr="0021738A">
        <w:rPr>
          <w:iCs/>
        </w:rPr>
        <w:t>I</w:t>
      </w:r>
      <w:r w:rsidR="003024F8">
        <w:rPr>
          <w:iCs/>
        </w:rPr>
        <w:t xml:space="preserve">nformation </w:t>
      </w:r>
      <w:r w:rsidR="001F0577" w:rsidRPr="0021738A">
        <w:rPr>
          <w:iCs/>
        </w:rPr>
        <w:t>T</w:t>
      </w:r>
      <w:r w:rsidR="003024F8">
        <w:rPr>
          <w:iCs/>
        </w:rPr>
        <w:t>echnology</w:t>
      </w:r>
      <w:r w:rsidR="001F0577" w:rsidRPr="0021738A">
        <w:rPr>
          <w:iCs/>
        </w:rPr>
        <w:t xml:space="preserve"> Strategic Plan</w:t>
      </w:r>
    </w:p>
    <w:p w14:paraId="4AA3361E" w14:textId="6D638CD5" w:rsidR="003024F8" w:rsidRDefault="003024F8" w:rsidP="003024F8">
      <w:pPr>
        <w:pStyle w:val="ListParagraph"/>
        <w:numPr>
          <w:ilvl w:val="0"/>
          <w:numId w:val="2"/>
        </w:numPr>
        <w:spacing w:after="360"/>
        <w:rPr>
          <w:iCs/>
        </w:rPr>
      </w:pPr>
      <w:r>
        <w:rPr>
          <w:iCs/>
        </w:rPr>
        <w:t xml:space="preserve">EIS </w:t>
      </w:r>
      <w:r w:rsidR="003D776B">
        <w:rPr>
          <w:iCs/>
        </w:rPr>
        <w:t>-</w:t>
      </w:r>
      <w:r>
        <w:rPr>
          <w:iCs/>
        </w:rPr>
        <w:t xml:space="preserve"> An Agency Guide to IT Governance</w:t>
      </w:r>
    </w:p>
    <w:p w14:paraId="2760E8F1" w14:textId="6D9B574D" w:rsidR="00460543" w:rsidRPr="00460543" w:rsidRDefault="00460543" w:rsidP="00460543">
      <w:pPr>
        <w:pStyle w:val="ListParagraph"/>
        <w:numPr>
          <w:ilvl w:val="0"/>
          <w:numId w:val="2"/>
        </w:numPr>
        <w:spacing w:after="240"/>
        <w:rPr>
          <w:iCs/>
        </w:rPr>
      </w:pPr>
      <w:r>
        <w:rPr>
          <w:iCs/>
        </w:rPr>
        <w:t xml:space="preserve">EIS - </w:t>
      </w:r>
      <w:r w:rsidRPr="0021738A">
        <w:rPr>
          <w:iCs/>
        </w:rPr>
        <w:t>Information Technology Investment Request Form</w:t>
      </w:r>
    </w:p>
    <w:p w14:paraId="30AB9B2E" w14:textId="77777777" w:rsidR="001F0577" w:rsidRDefault="001F0577" w:rsidP="001F0577">
      <w:pPr>
        <w:pStyle w:val="Heading1"/>
      </w:pPr>
      <w:r>
        <w:t xml:space="preserve">REVIEW INTERVAL: </w:t>
      </w:r>
    </w:p>
    <w:p w14:paraId="550E2B9A" w14:textId="68CF2CEA" w:rsidR="00FF58D5" w:rsidRDefault="001F0577" w:rsidP="00D131EC">
      <w:pPr>
        <w:spacing w:after="120"/>
        <w:rPr>
          <w:iCs/>
        </w:rPr>
      </w:pPr>
      <w:r w:rsidRPr="0021738A">
        <w:rPr>
          <w:iCs/>
        </w:rPr>
        <w:t>Th</w:t>
      </w:r>
      <w:r w:rsidR="00D131EC">
        <w:rPr>
          <w:iCs/>
        </w:rPr>
        <w:t xml:space="preserve">is policy is to be review </w:t>
      </w:r>
      <w:r w:rsidR="007357AD">
        <w:rPr>
          <w:iCs/>
        </w:rPr>
        <w:t xml:space="preserve">and revised as needed </w:t>
      </w:r>
      <w:r w:rsidR="002F41DC" w:rsidRPr="002F41DC">
        <w:rPr>
          <w:b/>
          <w:bCs/>
          <w:i/>
          <w:color w:val="0000FF"/>
        </w:rPr>
        <w:t xml:space="preserve">&lt; </w:t>
      </w:r>
      <w:r w:rsidR="00D131EC" w:rsidRPr="002F41DC">
        <w:rPr>
          <w:b/>
          <w:bCs/>
          <w:i/>
          <w:color w:val="0000FF"/>
        </w:rPr>
        <w:t>annually</w:t>
      </w:r>
      <w:r w:rsidR="002F41DC" w:rsidRPr="002F41DC">
        <w:rPr>
          <w:b/>
          <w:bCs/>
          <w:i/>
          <w:color w:val="0000FF"/>
        </w:rPr>
        <w:t xml:space="preserve"> / biennial &gt;</w:t>
      </w:r>
      <w:r w:rsidR="00D131EC">
        <w:rPr>
          <w:iCs/>
        </w:rPr>
        <w:t xml:space="preserve"> from the date of approval.</w:t>
      </w:r>
    </w:p>
    <w:sectPr w:rsidR="00FF58D5" w:rsidSect="009D6C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29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707F1" w14:textId="77777777" w:rsidR="00E546C8" w:rsidRDefault="00E546C8" w:rsidP="00A9295A">
      <w:pPr>
        <w:spacing w:after="0" w:line="240" w:lineRule="auto"/>
      </w:pPr>
      <w:r>
        <w:separator/>
      </w:r>
    </w:p>
  </w:endnote>
  <w:endnote w:type="continuationSeparator" w:id="0">
    <w:p w14:paraId="4C301590" w14:textId="77777777" w:rsidR="00E546C8" w:rsidRDefault="00E546C8" w:rsidP="00A9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2864" w14:textId="77777777" w:rsidR="003C2468" w:rsidRDefault="003C2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2733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0CCE5F" w14:textId="56C46AA4" w:rsidR="00A9295A" w:rsidRDefault="00A929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385C9" w14:textId="77777777" w:rsidR="00A9295A" w:rsidRDefault="00A92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EBEA9" w14:textId="77777777" w:rsidR="003C2468" w:rsidRDefault="003C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F4C8D" w14:textId="77777777" w:rsidR="00E546C8" w:rsidRDefault="00E546C8" w:rsidP="00A9295A">
      <w:pPr>
        <w:spacing w:after="0" w:line="240" w:lineRule="auto"/>
      </w:pPr>
      <w:r>
        <w:separator/>
      </w:r>
    </w:p>
  </w:footnote>
  <w:footnote w:type="continuationSeparator" w:id="0">
    <w:p w14:paraId="6189FFBF" w14:textId="77777777" w:rsidR="00E546C8" w:rsidRDefault="00E546C8" w:rsidP="00A9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32C4" w14:textId="5EE10A9B" w:rsidR="003C2468" w:rsidRDefault="006B1489">
    <w:pPr>
      <w:pStyle w:val="Header"/>
    </w:pPr>
    <w:r>
      <w:rPr>
        <w:noProof/>
      </w:rPr>
      <w:pict w14:anchorId="274D63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26016" o:spid="_x0000_s1027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2C96E" w14:textId="7CB40C20" w:rsidR="005F09F0" w:rsidRDefault="006B1489">
    <w:pPr>
      <w:pStyle w:val="Header"/>
    </w:pPr>
    <w:r>
      <w:rPr>
        <w:noProof/>
      </w:rPr>
      <w:pict w14:anchorId="4B1B98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26017" o:spid="_x0000_s1028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9B03" w14:textId="2596D8E6" w:rsidR="003C2468" w:rsidRDefault="006B1489">
    <w:pPr>
      <w:pStyle w:val="Header"/>
    </w:pPr>
    <w:r>
      <w:rPr>
        <w:noProof/>
      </w:rPr>
      <w:pict w14:anchorId="4A61D0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26015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5D292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66BDD"/>
    <w:multiLevelType w:val="hybridMultilevel"/>
    <w:tmpl w:val="78C6C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A46E0"/>
    <w:multiLevelType w:val="hybridMultilevel"/>
    <w:tmpl w:val="8D10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32DB9"/>
    <w:multiLevelType w:val="hybridMultilevel"/>
    <w:tmpl w:val="79E2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E4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F12547"/>
    <w:multiLevelType w:val="hybridMultilevel"/>
    <w:tmpl w:val="A3905E66"/>
    <w:lvl w:ilvl="0" w:tplc="AB960F3C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33FF"/>
    <w:multiLevelType w:val="hybridMultilevel"/>
    <w:tmpl w:val="09C2D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470E"/>
    <w:multiLevelType w:val="hybridMultilevel"/>
    <w:tmpl w:val="6FB4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9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35762D"/>
    <w:multiLevelType w:val="hybridMultilevel"/>
    <w:tmpl w:val="DF58C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8296E"/>
    <w:multiLevelType w:val="hybridMultilevel"/>
    <w:tmpl w:val="9B5E0C7A"/>
    <w:lvl w:ilvl="0" w:tplc="8E7004E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E11DE"/>
    <w:multiLevelType w:val="hybridMultilevel"/>
    <w:tmpl w:val="8A80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06AE0">
      <w:start w:val="6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0427C"/>
    <w:multiLevelType w:val="hybridMultilevel"/>
    <w:tmpl w:val="B414E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43C27"/>
    <w:multiLevelType w:val="hybridMultilevel"/>
    <w:tmpl w:val="EAA2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26A"/>
    <w:multiLevelType w:val="hybridMultilevel"/>
    <w:tmpl w:val="42565B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40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9F2166"/>
    <w:multiLevelType w:val="hybridMultilevel"/>
    <w:tmpl w:val="13DA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45639"/>
    <w:multiLevelType w:val="hybridMultilevel"/>
    <w:tmpl w:val="2572D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4583A"/>
    <w:multiLevelType w:val="hybridMultilevel"/>
    <w:tmpl w:val="F2506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75A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812F06"/>
    <w:multiLevelType w:val="multilevel"/>
    <w:tmpl w:val="03727C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1" w15:restartNumberingAfterBreak="0">
    <w:nsid w:val="699A03A3"/>
    <w:multiLevelType w:val="hybridMultilevel"/>
    <w:tmpl w:val="F670B260"/>
    <w:lvl w:ilvl="0" w:tplc="AB960F3C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51DE1"/>
    <w:multiLevelType w:val="hybridMultilevel"/>
    <w:tmpl w:val="DE340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9793F"/>
    <w:multiLevelType w:val="hybridMultilevel"/>
    <w:tmpl w:val="4CF6C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1A50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3916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6D56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5411CB"/>
    <w:multiLevelType w:val="hybridMultilevel"/>
    <w:tmpl w:val="D37AB02A"/>
    <w:lvl w:ilvl="0" w:tplc="1204A790">
      <w:start w:val="6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7730"/>
    <w:multiLevelType w:val="hybridMultilevel"/>
    <w:tmpl w:val="7CF6565C"/>
    <w:lvl w:ilvl="0" w:tplc="3A02F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33899">
    <w:abstractNumId w:val="0"/>
  </w:num>
  <w:num w:numId="2" w16cid:durableId="1813407983">
    <w:abstractNumId w:val="11"/>
  </w:num>
  <w:num w:numId="3" w16cid:durableId="1291476012">
    <w:abstractNumId w:val="14"/>
  </w:num>
  <w:num w:numId="4" w16cid:durableId="1003973071">
    <w:abstractNumId w:val="10"/>
  </w:num>
  <w:num w:numId="5" w16cid:durableId="1807116698">
    <w:abstractNumId w:val="18"/>
  </w:num>
  <w:num w:numId="6" w16cid:durableId="1234119794">
    <w:abstractNumId w:val="12"/>
  </w:num>
  <w:num w:numId="7" w16cid:durableId="1014721971">
    <w:abstractNumId w:val="1"/>
  </w:num>
  <w:num w:numId="8" w16cid:durableId="1403285455">
    <w:abstractNumId w:val="6"/>
  </w:num>
  <w:num w:numId="9" w16cid:durableId="1252590938">
    <w:abstractNumId w:val="7"/>
  </w:num>
  <w:num w:numId="10" w16cid:durableId="1341203967">
    <w:abstractNumId w:val="2"/>
  </w:num>
  <w:num w:numId="11" w16cid:durableId="1131822845">
    <w:abstractNumId w:val="27"/>
  </w:num>
  <w:num w:numId="12" w16cid:durableId="371073589">
    <w:abstractNumId w:val="16"/>
  </w:num>
  <w:num w:numId="13" w16cid:durableId="936525106">
    <w:abstractNumId w:val="13"/>
  </w:num>
  <w:num w:numId="14" w16cid:durableId="66922687">
    <w:abstractNumId w:val="21"/>
  </w:num>
  <w:num w:numId="15" w16cid:durableId="2078898770">
    <w:abstractNumId w:val="25"/>
  </w:num>
  <w:num w:numId="16" w16cid:durableId="1488667590">
    <w:abstractNumId w:val="20"/>
  </w:num>
  <w:num w:numId="17" w16cid:durableId="764113909">
    <w:abstractNumId w:val="15"/>
  </w:num>
  <w:num w:numId="18" w16cid:durableId="1112090982">
    <w:abstractNumId w:val="24"/>
  </w:num>
  <w:num w:numId="19" w16cid:durableId="1782873335">
    <w:abstractNumId w:val="5"/>
  </w:num>
  <w:num w:numId="20" w16cid:durableId="996230161">
    <w:abstractNumId w:val="19"/>
  </w:num>
  <w:num w:numId="21" w16cid:durableId="712730759">
    <w:abstractNumId w:val="4"/>
  </w:num>
  <w:num w:numId="22" w16cid:durableId="1824815536">
    <w:abstractNumId w:val="8"/>
  </w:num>
  <w:num w:numId="23" w16cid:durableId="157503091">
    <w:abstractNumId w:val="26"/>
  </w:num>
  <w:num w:numId="24" w16cid:durableId="233854082">
    <w:abstractNumId w:val="23"/>
  </w:num>
  <w:num w:numId="25" w16cid:durableId="1727798793">
    <w:abstractNumId w:val="17"/>
  </w:num>
  <w:num w:numId="26" w16cid:durableId="408968651">
    <w:abstractNumId w:val="9"/>
  </w:num>
  <w:num w:numId="27" w16cid:durableId="1376197922">
    <w:abstractNumId w:val="3"/>
  </w:num>
  <w:num w:numId="28" w16cid:durableId="1075123991">
    <w:abstractNumId w:val="22"/>
  </w:num>
  <w:num w:numId="29" w16cid:durableId="17115639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73"/>
    <w:rsid w:val="0000521A"/>
    <w:rsid w:val="00031649"/>
    <w:rsid w:val="00067913"/>
    <w:rsid w:val="00073734"/>
    <w:rsid w:val="000A0282"/>
    <w:rsid w:val="000A48E2"/>
    <w:rsid w:val="000C172B"/>
    <w:rsid w:val="000C1A37"/>
    <w:rsid w:val="000C2525"/>
    <w:rsid w:val="000E3ADD"/>
    <w:rsid w:val="0010214E"/>
    <w:rsid w:val="00135E77"/>
    <w:rsid w:val="001364A9"/>
    <w:rsid w:val="00165FBE"/>
    <w:rsid w:val="001B1058"/>
    <w:rsid w:val="001B6CAD"/>
    <w:rsid w:val="001C6F8F"/>
    <w:rsid w:val="001E15DF"/>
    <w:rsid w:val="001F0577"/>
    <w:rsid w:val="0021738A"/>
    <w:rsid w:val="0022447B"/>
    <w:rsid w:val="002518F0"/>
    <w:rsid w:val="0027020D"/>
    <w:rsid w:val="00282653"/>
    <w:rsid w:val="00284CBA"/>
    <w:rsid w:val="002B768F"/>
    <w:rsid w:val="002C23C8"/>
    <w:rsid w:val="002D6CF4"/>
    <w:rsid w:val="002F41DC"/>
    <w:rsid w:val="003024F8"/>
    <w:rsid w:val="003107AF"/>
    <w:rsid w:val="003125FF"/>
    <w:rsid w:val="0031758E"/>
    <w:rsid w:val="00330E1D"/>
    <w:rsid w:val="00345318"/>
    <w:rsid w:val="0034566E"/>
    <w:rsid w:val="00382E51"/>
    <w:rsid w:val="003A6BDE"/>
    <w:rsid w:val="003B3DCB"/>
    <w:rsid w:val="003B488F"/>
    <w:rsid w:val="003C07BD"/>
    <w:rsid w:val="003C2468"/>
    <w:rsid w:val="003D776B"/>
    <w:rsid w:val="0040416A"/>
    <w:rsid w:val="00434BA8"/>
    <w:rsid w:val="00457413"/>
    <w:rsid w:val="00460543"/>
    <w:rsid w:val="00473B0A"/>
    <w:rsid w:val="00476BFF"/>
    <w:rsid w:val="00480F1E"/>
    <w:rsid w:val="0048561C"/>
    <w:rsid w:val="004A1E9F"/>
    <w:rsid w:val="005773E1"/>
    <w:rsid w:val="00583C96"/>
    <w:rsid w:val="005B19DC"/>
    <w:rsid w:val="005B2AE7"/>
    <w:rsid w:val="005C11BC"/>
    <w:rsid w:val="005C15E4"/>
    <w:rsid w:val="005C1EAC"/>
    <w:rsid w:val="005D6459"/>
    <w:rsid w:val="005F09F0"/>
    <w:rsid w:val="00612A42"/>
    <w:rsid w:val="00627CA2"/>
    <w:rsid w:val="00633518"/>
    <w:rsid w:val="00656EFF"/>
    <w:rsid w:val="00694E26"/>
    <w:rsid w:val="00696D39"/>
    <w:rsid w:val="006C02E1"/>
    <w:rsid w:val="006D14FA"/>
    <w:rsid w:val="006E0732"/>
    <w:rsid w:val="0072026F"/>
    <w:rsid w:val="007357AD"/>
    <w:rsid w:val="00771BE7"/>
    <w:rsid w:val="007924A9"/>
    <w:rsid w:val="00794C45"/>
    <w:rsid w:val="007A4384"/>
    <w:rsid w:val="007B3675"/>
    <w:rsid w:val="007E67AD"/>
    <w:rsid w:val="007F6AE2"/>
    <w:rsid w:val="0081573D"/>
    <w:rsid w:val="00861D14"/>
    <w:rsid w:val="00865E92"/>
    <w:rsid w:val="0086758C"/>
    <w:rsid w:val="0087365D"/>
    <w:rsid w:val="008A428E"/>
    <w:rsid w:val="008D7DB0"/>
    <w:rsid w:val="008E4868"/>
    <w:rsid w:val="0090049D"/>
    <w:rsid w:val="009502C9"/>
    <w:rsid w:val="009617B4"/>
    <w:rsid w:val="00997D02"/>
    <w:rsid w:val="009D6C2F"/>
    <w:rsid w:val="009F070D"/>
    <w:rsid w:val="00A052F7"/>
    <w:rsid w:val="00A250C8"/>
    <w:rsid w:val="00A9295A"/>
    <w:rsid w:val="00AC0B57"/>
    <w:rsid w:val="00AF11D3"/>
    <w:rsid w:val="00B035BB"/>
    <w:rsid w:val="00B06428"/>
    <w:rsid w:val="00B40CF3"/>
    <w:rsid w:val="00BA559C"/>
    <w:rsid w:val="00BB1993"/>
    <w:rsid w:val="00BB475B"/>
    <w:rsid w:val="00BC2B38"/>
    <w:rsid w:val="00BC39C9"/>
    <w:rsid w:val="00BD3475"/>
    <w:rsid w:val="00BD3514"/>
    <w:rsid w:val="00C128FA"/>
    <w:rsid w:val="00C43373"/>
    <w:rsid w:val="00C47026"/>
    <w:rsid w:val="00C57B6C"/>
    <w:rsid w:val="00C748F5"/>
    <w:rsid w:val="00C80AC6"/>
    <w:rsid w:val="00C83FD1"/>
    <w:rsid w:val="00CA76A7"/>
    <w:rsid w:val="00CB36E7"/>
    <w:rsid w:val="00CE07A9"/>
    <w:rsid w:val="00CE18CB"/>
    <w:rsid w:val="00CF3070"/>
    <w:rsid w:val="00CF7A85"/>
    <w:rsid w:val="00D131EC"/>
    <w:rsid w:val="00D76018"/>
    <w:rsid w:val="00D97472"/>
    <w:rsid w:val="00DB364A"/>
    <w:rsid w:val="00DF331E"/>
    <w:rsid w:val="00E41B07"/>
    <w:rsid w:val="00E546C8"/>
    <w:rsid w:val="00EC4AC0"/>
    <w:rsid w:val="00EF2CD5"/>
    <w:rsid w:val="00F113DE"/>
    <w:rsid w:val="00F1503D"/>
    <w:rsid w:val="00F24867"/>
    <w:rsid w:val="00F31434"/>
    <w:rsid w:val="00F37515"/>
    <w:rsid w:val="00F45FC0"/>
    <w:rsid w:val="00F52644"/>
    <w:rsid w:val="00F6484C"/>
    <w:rsid w:val="00F73726"/>
    <w:rsid w:val="00F87ADA"/>
    <w:rsid w:val="00F903EF"/>
    <w:rsid w:val="00FC1AEE"/>
    <w:rsid w:val="00FC61A0"/>
    <w:rsid w:val="00FD7513"/>
    <w:rsid w:val="00FE423B"/>
    <w:rsid w:val="00FF575F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D3F07"/>
  <w15:chartTrackingRefBased/>
  <w15:docId w15:val="{52D291BE-B0DA-4EB3-9A77-9C6624A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14E"/>
    <w:pPr>
      <w:spacing w:after="0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C172B"/>
    <w:pPr>
      <w:jc w:val="center"/>
    </w:pPr>
    <w:rPr>
      <w:rFonts w:ascii="Verdana" w:hAnsi="Verdana" w:cstheme="minorHAnsi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C172B"/>
    <w:rPr>
      <w:rFonts w:ascii="Verdana" w:hAnsi="Verdana" w:cstheme="minorHAnsi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0214E"/>
    <w:rPr>
      <w:b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5A"/>
  </w:style>
  <w:style w:type="paragraph" w:styleId="Footer">
    <w:name w:val="footer"/>
    <w:basedOn w:val="Normal"/>
    <w:link w:val="FooterChar"/>
    <w:uiPriority w:val="99"/>
    <w:unhideWhenUsed/>
    <w:rsid w:val="00A9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5A"/>
  </w:style>
  <w:style w:type="paragraph" w:styleId="CommentText">
    <w:name w:val="annotation text"/>
    <w:basedOn w:val="Normal"/>
    <w:link w:val="CommentTextChar"/>
    <w:uiPriority w:val="99"/>
    <w:semiHidden/>
    <w:unhideWhenUsed/>
    <w:rsid w:val="001B1058"/>
    <w:pPr>
      <w:spacing w:line="240" w:lineRule="auto"/>
    </w:pPr>
    <w:rPr>
      <w:rFonts w:ascii="Segoe UI" w:hAnsi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058"/>
    <w:rPr>
      <w:rFonts w:ascii="Segoe UI" w:hAnsi="Segoe UI"/>
      <w:sz w:val="20"/>
      <w:szCs w:val="20"/>
    </w:rPr>
  </w:style>
  <w:style w:type="paragraph" w:styleId="ListBullet">
    <w:name w:val="List Bullet"/>
    <w:basedOn w:val="Normal"/>
    <w:uiPriority w:val="9"/>
    <w:qFormat/>
    <w:rsid w:val="0022447B"/>
    <w:pPr>
      <w:numPr>
        <w:numId w:val="1"/>
      </w:numPr>
      <w:spacing w:after="0" w:line="240" w:lineRule="auto"/>
      <w:contextualSpacing/>
    </w:pPr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qFormat/>
    <w:rsid w:val="00C83FD1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9617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696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B3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459E6417B2F4D87FF1F03E3A09466" ma:contentTypeVersion="2" ma:contentTypeDescription="Create a new document." ma:contentTypeScope="" ma:versionID="e0c12b88a2ec937e4dc4ded4f0bbfa37">
  <xsd:schema xmlns:xsd="http://www.w3.org/2001/XMLSchema" xmlns:xs="http://www.w3.org/2001/XMLSchema" xmlns:p="http://schemas.microsoft.com/office/2006/metadata/properties" xmlns:ns1="http://schemas.microsoft.com/sharepoint/v3" xmlns:ns2="9bb3aac4-0f75-4e0f-b667-2d2e4f0b378c" targetNamespace="http://schemas.microsoft.com/office/2006/metadata/properties" ma:root="true" ma:fieldsID="eed8e977b23bfff34fb64b946aeeeab0" ns1:_="" ns2:_="">
    <xsd:import namespace="http://schemas.microsoft.com/sharepoint/v3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CFDCD-0822-4CD1-9637-F0FE6E63E13F}">
  <ds:schemaRefs>
    <ds:schemaRef ds:uri="http://schemas.openxmlformats.org/package/2006/metadata/core-properties"/>
    <ds:schemaRef ds:uri="http://purl.org/dc/dcmitype/"/>
    <ds:schemaRef ds:uri="55fdfd39-938e-49ee-83a1-7d15dfda8958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db1ae140-d56f-485f-b929-2542e44a8f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B404AA-C5D9-4E37-B73A-E693FAC75812}"/>
</file>

<file path=customXml/itemProps3.xml><?xml version="1.0" encoding="utf-8"?>
<ds:datastoreItem xmlns:ds="http://schemas.openxmlformats.org/officeDocument/2006/customXml" ds:itemID="{D70060FD-1461-46F2-908F-DA2EB2188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Governance Policy Template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Governance Policy Template</dc:title>
  <dc:subject/>
  <dc:creator>Scott Emry, Assistant State CIO</dc:creator>
  <cp:keywords/>
  <dc:description/>
  <cp:lastModifiedBy>EMRY Scott * DAS</cp:lastModifiedBy>
  <cp:revision>15</cp:revision>
  <dcterms:created xsi:type="dcterms:W3CDTF">2021-09-30T19:47:00Z</dcterms:created>
  <dcterms:modified xsi:type="dcterms:W3CDTF">2024-12-23T19:07:00Z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0x010100885459E6417B2F4D87FF1F03E3A09466</vt:lpwstr>
  </property>
  <property fmtid="{D5CDD505-2E9C-101B-9397-08002B2CF9AE}" pid="3" name="MediaServiceImageTags">
    <vt:lpwstr/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2024-12-23T19:06:15Z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c2079036-1fe6-47c3-b750-ed8b68ab21d5</vt:lpwstr>
  </property>
  <property fmtid="{D5CDD505-2E9C-101B-9397-08002B2CF9AE}" pid="10" name="MSIP_Label_09b73270-2993-4076-be47-9c78f42a1e84_ContentBits">
    <vt:lpwstr>0</vt:lpwstr>
  </property>
</Properties>
</file>