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883" w:type="dxa"/>
        <w:tblLook w:val="04A0" w:firstRow="1" w:lastRow="0" w:firstColumn="1" w:lastColumn="0" w:noHBand="0" w:noVBand="1"/>
      </w:tblPr>
      <w:tblGrid>
        <w:gridCol w:w="725"/>
        <w:gridCol w:w="801"/>
        <w:gridCol w:w="178"/>
        <w:gridCol w:w="356"/>
        <w:gridCol w:w="905"/>
        <w:gridCol w:w="630"/>
        <w:gridCol w:w="1298"/>
        <w:gridCol w:w="1804"/>
        <w:gridCol w:w="356"/>
        <w:gridCol w:w="1066"/>
        <w:gridCol w:w="1751"/>
        <w:gridCol w:w="13"/>
      </w:tblGrid>
      <w:tr w:rsidR="00F113DE" w14:paraId="11934D4D" w14:textId="77777777" w:rsidTr="1B7BE8FE">
        <w:trPr>
          <w:gridAfter w:val="1"/>
          <w:wAfter w:w="13" w:type="dxa"/>
          <w:trHeight w:val="1790"/>
        </w:trPr>
        <w:tc>
          <w:tcPr>
            <w:tcW w:w="3595" w:type="dxa"/>
            <w:gridSpan w:val="6"/>
            <w:tcBorders>
              <w:top w:val="single" w:sz="4" w:space="0" w:color="FFFFFF" w:themeColor="background1"/>
              <w:left w:val="single" w:sz="4" w:space="0" w:color="FFFFFF" w:themeColor="background1"/>
              <w:bottom w:val="nil"/>
              <w:right w:val="single" w:sz="4" w:space="0" w:color="FFFFFF" w:themeColor="background1"/>
            </w:tcBorders>
            <w:vAlign w:val="center"/>
          </w:tcPr>
          <w:p w14:paraId="10A6298F" w14:textId="7A3CACF6" w:rsidR="00F113DE" w:rsidRPr="00F113DE" w:rsidRDefault="003C2468" w:rsidP="00F113DE">
            <w:pPr>
              <w:pStyle w:val="Heading1"/>
              <w:jc w:val="center"/>
              <w:rPr>
                <w:b w:val="0"/>
                <w:bCs/>
                <w:i/>
                <w:iCs/>
                <w:sz w:val="32"/>
                <w:szCs w:val="32"/>
                <w:u w:val="none"/>
              </w:rPr>
            </w:pPr>
            <w:r>
              <w:rPr>
                <w:noProof/>
                <w:sz w:val="36"/>
                <w:szCs w:val="36"/>
              </w:rPr>
              <mc:AlternateContent>
                <mc:Choice Requires="wps">
                  <w:drawing>
                    <wp:anchor distT="0" distB="0" distL="114300" distR="114300" simplePos="0" relativeHeight="251659264" behindDoc="0" locked="0" layoutInCell="1" allowOverlap="1" wp14:anchorId="04C45A06" wp14:editId="000127F8">
                      <wp:simplePos x="0" y="0"/>
                      <wp:positionH relativeFrom="column">
                        <wp:posOffset>-69850</wp:posOffset>
                      </wp:positionH>
                      <wp:positionV relativeFrom="paragraph">
                        <wp:posOffset>-73660</wp:posOffset>
                      </wp:positionV>
                      <wp:extent cx="2590800" cy="8096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590800" cy="8096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30D7D5" w14:textId="77777777" w:rsidR="003C2468" w:rsidRPr="006005F7" w:rsidRDefault="003C2468" w:rsidP="003C2468">
                                  <w:pPr>
                                    <w:spacing w:after="0"/>
                                    <w:jc w:val="center"/>
                                    <w:rPr>
                                      <w:sz w:val="48"/>
                                      <w:szCs w:val="48"/>
                                    </w:rPr>
                                  </w:pPr>
                                  <w:r w:rsidRPr="006005F7">
                                    <w:rPr>
                                      <w:sz w:val="40"/>
                                      <w:szCs w:val="40"/>
                                    </w:rPr>
                                    <w:t>Insert Agency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45A06" id="Rectangle 1" o:spid="_x0000_s1026" style="position:absolute;left:0;text-align:left;margin-left:-5.5pt;margin-top:-5.8pt;width:204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" fillcolor="#d8d8d8 [2732]" strokecolor="#d8d8d8 [2732]" strokeweight="1pt">
                      <v:textbox>
                        <w:txbxContent>
                          <w:p w14:paraId="7130D7D5" w14:textId="77777777" w:rsidR="003C2468" w:rsidRPr="006005F7" w:rsidRDefault="003C2468" w:rsidP="003C2468">
                            <w:pPr>
                              <w:spacing w:after="0"/>
                              <w:jc w:val="center"/>
                              <w:rPr>
                                <w:sz w:val="48"/>
                                <w:szCs w:val="48"/>
                              </w:rPr>
                            </w:pPr>
                            <w:r w:rsidRPr="006005F7">
                              <w:rPr>
                                <w:sz w:val="40"/>
                                <w:szCs w:val="40"/>
                              </w:rPr>
                              <w:t>Insert Agency Logo</w:t>
                            </w:r>
                          </w:p>
                        </w:txbxContent>
                      </v:textbox>
                    </v:rect>
                  </w:pict>
                </mc:Fallback>
              </mc:AlternateContent>
            </w:r>
          </w:p>
        </w:tc>
        <w:tc>
          <w:tcPr>
            <w:tcW w:w="6275" w:type="dxa"/>
            <w:gridSpan w:val="5"/>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vAlign w:val="center"/>
          </w:tcPr>
          <w:p w14:paraId="3A25B2C5" w14:textId="77777777" w:rsidR="00F113DE" w:rsidRPr="00C80AC6" w:rsidRDefault="00F113DE" w:rsidP="003C2468">
            <w:pPr>
              <w:pStyle w:val="Heading1"/>
              <w:ind w:left="720"/>
              <w:jc w:val="center"/>
              <w:rPr>
                <w:b w:val="0"/>
                <w:bCs/>
                <w:i/>
                <w:iCs/>
                <w:color w:val="0000FF"/>
                <w:sz w:val="48"/>
                <w:szCs w:val="48"/>
                <w:u w:val="none"/>
              </w:rPr>
            </w:pPr>
            <w:r w:rsidRPr="00C80AC6">
              <w:rPr>
                <w:b w:val="0"/>
                <w:bCs/>
                <w:i/>
                <w:iCs/>
                <w:color w:val="0000FF"/>
                <w:sz w:val="48"/>
                <w:szCs w:val="48"/>
                <w:u w:val="none"/>
              </w:rPr>
              <w:t>&lt;Agency Name Here&gt;</w:t>
            </w:r>
          </w:p>
          <w:p w14:paraId="365FBAF0" w14:textId="04EA5984" w:rsidR="00F113DE" w:rsidRPr="00F113DE" w:rsidRDefault="5B3145C9" w:rsidP="003C2468">
            <w:pPr>
              <w:ind w:left="720"/>
              <w:jc w:val="center"/>
              <w:rPr>
                <w:sz w:val="48"/>
                <w:szCs w:val="48"/>
              </w:rPr>
            </w:pPr>
            <w:r w:rsidRPr="1B7BE8FE">
              <w:rPr>
                <w:sz w:val="36"/>
                <w:szCs w:val="36"/>
              </w:rPr>
              <w:t>P</w:t>
            </w:r>
            <w:r w:rsidR="643D5216" w:rsidRPr="1B7BE8FE">
              <w:rPr>
                <w:sz w:val="36"/>
                <w:szCs w:val="36"/>
              </w:rPr>
              <w:t>rocess</w:t>
            </w:r>
            <w:r w:rsidRPr="1B7BE8FE">
              <w:rPr>
                <w:sz w:val="36"/>
                <w:szCs w:val="36"/>
              </w:rPr>
              <w:t xml:space="preserve"> Document</w:t>
            </w:r>
          </w:p>
        </w:tc>
      </w:tr>
      <w:tr w:rsidR="0022447B" w14:paraId="09BDC7F0" w14:textId="77777777" w:rsidTr="1B7BE8FE">
        <w:trPr>
          <w:trHeight w:val="611"/>
        </w:trPr>
        <w:tc>
          <w:tcPr>
            <w:tcW w:w="725"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35759210" w14:textId="77777777" w:rsidR="002518F0" w:rsidRPr="002518F0" w:rsidRDefault="002518F0" w:rsidP="000C172B">
            <w:pPr>
              <w:pStyle w:val="Heading1"/>
              <w:rPr>
                <w:sz w:val="24"/>
                <w:szCs w:val="24"/>
                <w:u w:val="none"/>
              </w:rPr>
            </w:pPr>
            <w:r w:rsidRPr="002518F0">
              <w:rPr>
                <w:sz w:val="24"/>
                <w:szCs w:val="24"/>
                <w:u w:val="none"/>
              </w:rPr>
              <w:t>Title:</w:t>
            </w:r>
          </w:p>
        </w:tc>
        <w:tc>
          <w:tcPr>
            <w:tcW w:w="5972" w:type="dxa"/>
            <w:gridSpan w:val="7"/>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3E6AFB97" w14:textId="34D8DDDA" w:rsidR="002518F0" w:rsidRPr="00793D5F" w:rsidRDefault="00793D5F" w:rsidP="000C172B">
            <w:pPr>
              <w:pStyle w:val="Heading1"/>
              <w:rPr>
                <w:b w:val="0"/>
                <w:bCs/>
                <w:sz w:val="24"/>
                <w:szCs w:val="24"/>
                <w:u w:val="none"/>
              </w:rPr>
            </w:pPr>
            <w:r w:rsidRPr="00793D5F">
              <w:rPr>
                <w:b w:val="0"/>
                <w:bCs/>
                <w:sz w:val="24"/>
                <w:szCs w:val="24"/>
                <w:u w:val="none"/>
              </w:rPr>
              <w:t>Information Technology Steering Committee</w:t>
            </w:r>
          </w:p>
        </w:tc>
        <w:tc>
          <w:tcPr>
            <w:tcW w:w="1422" w:type="dxa"/>
            <w:gridSpan w:val="2"/>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182397A1" w14:textId="77777777" w:rsidR="002518F0" w:rsidRPr="002518F0" w:rsidRDefault="002518F0" w:rsidP="000C172B">
            <w:pPr>
              <w:pStyle w:val="Heading1"/>
              <w:rPr>
                <w:sz w:val="24"/>
                <w:szCs w:val="24"/>
                <w:u w:val="none"/>
              </w:rPr>
            </w:pPr>
            <w:r w:rsidRPr="002518F0">
              <w:rPr>
                <w:sz w:val="24"/>
                <w:szCs w:val="24"/>
                <w:u w:val="none"/>
              </w:rPr>
              <w:t>Number:</w:t>
            </w:r>
          </w:p>
        </w:tc>
        <w:tc>
          <w:tcPr>
            <w:tcW w:w="1764" w:type="dxa"/>
            <w:gridSpan w:val="2"/>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0C1E8415" w14:textId="1B7950F5" w:rsidR="002518F0" w:rsidRPr="002518F0" w:rsidRDefault="002518F0" w:rsidP="000C172B">
            <w:pPr>
              <w:pStyle w:val="Heading1"/>
              <w:rPr>
                <w:sz w:val="24"/>
                <w:szCs w:val="24"/>
                <w:u w:val="none"/>
              </w:rPr>
            </w:pPr>
          </w:p>
        </w:tc>
      </w:tr>
      <w:tr w:rsidR="0022447B" w14:paraId="3CCEB723" w14:textId="77777777" w:rsidTr="1B7BE8FE">
        <w:trPr>
          <w:trHeight w:val="620"/>
        </w:trPr>
        <w:tc>
          <w:tcPr>
            <w:tcW w:w="2060" w:type="dxa"/>
            <w:gridSpan w:val="4"/>
            <w:tcBorders>
              <w:top w:val="nil"/>
              <w:left w:val="single" w:sz="4" w:space="0" w:color="FFFFFF" w:themeColor="background1"/>
              <w:bottom w:val="nil"/>
              <w:right w:val="single" w:sz="4" w:space="0" w:color="FFFFFF" w:themeColor="background1"/>
            </w:tcBorders>
          </w:tcPr>
          <w:p w14:paraId="650FCFE5" w14:textId="77777777" w:rsidR="0040416A" w:rsidRPr="002518F0" w:rsidRDefault="0040416A" w:rsidP="000C172B">
            <w:pPr>
              <w:pStyle w:val="Heading1"/>
              <w:rPr>
                <w:sz w:val="24"/>
                <w:szCs w:val="24"/>
                <w:u w:val="none"/>
              </w:rPr>
            </w:pPr>
            <w:r>
              <w:rPr>
                <w:sz w:val="24"/>
                <w:szCs w:val="24"/>
                <w:u w:val="none"/>
              </w:rPr>
              <w:t>Division/Program:</w:t>
            </w:r>
          </w:p>
        </w:tc>
        <w:tc>
          <w:tcPr>
            <w:tcW w:w="4637" w:type="dxa"/>
            <w:gridSpan w:val="4"/>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27CBFC71" w14:textId="4FE8E18D" w:rsidR="0040416A" w:rsidRPr="002518F0" w:rsidRDefault="0040416A" w:rsidP="000C172B">
            <w:pPr>
              <w:pStyle w:val="Heading1"/>
              <w:rPr>
                <w:sz w:val="24"/>
                <w:szCs w:val="24"/>
                <w:u w:val="none"/>
              </w:rPr>
            </w:pPr>
          </w:p>
        </w:tc>
        <w:tc>
          <w:tcPr>
            <w:tcW w:w="1422" w:type="dxa"/>
            <w:gridSpan w:val="2"/>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0D63B251" w14:textId="04968227" w:rsidR="0040416A" w:rsidRPr="002518F0" w:rsidRDefault="0040416A" w:rsidP="000C172B">
            <w:pPr>
              <w:pStyle w:val="Heading1"/>
              <w:rPr>
                <w:sz w:val="24"/>
                <w:szCs w:val="24"/>
                <w:u w:val="none"/>
              </w:rPr>
            </w:pPr>
            <w:r w:rsidRPr="0040416A">
              <w:rPr>
                <w:sz w:val="24"/>
                <w:szCs w:val="24"/>
                <w:u w:val="none"/>
              </w:rPr>
              <w:t>Supersedes:</w:t>
            </w:r>
          </w:p>
        </w:tc>
        <w:tc>
          <w:tcPr>
            <w:tcW w:w="1764" w:type="dxa"/>
            <w:gridSpan w:val="2"/>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7171FB9D" w14:textId="2F5C9242" w:rsidR="0040416A" w:rsidRPr="002518F0" w:rsidRDefault="0040416A" w:rsidP="000C172B">
            <w:pPr>
              <w:pStyle w:val="Heading1"/>
              <w:rPr>
                <w:sz w:val="24"/>
                <w:szCs w:val="24"/>
                <w:u w:val="none"/>
              </w:rPr>
            </w:pPr>
          </w:p>
        </w:tc>
      </w:tr>
      <w:tr w:rsidR="002518F0" w14:paraId="2AB79F1E" w14:textId="77777777" w:rsidTr="1B7BE8FE">
        <w:trPr>
          <w:trHeight w:val="620"/>
        </w:trPr>
        <w:tc>
          <w:tcPr>
            <w:tcW w:w="1526" w:type="dxa"/>
            <w:gridSpan w:val="2"/>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17CCC19C" w14:textId="77777777" w:rsidR="002518F0" w:rsidRPr="002518F0" w:rsidRDefault="002518F0" w:rsidP="000C172B">
            <w:pPr>
              <w:pStyle w:val="Heading1"/>
              <w:rPr>
                <w:sz w:val="24"/>
                <w:szCs w:val="24"/>
                <w:u w:val="none"/>
              </w:rPr>
            </w:pPr>
            <w:r w:rsidRPr="002518F0">
              <w:rPr>
                <w:sz w:val="24"/>
                <w:szCs w:val="24"/>
                <w:u w:val="none"/>
              </w:rPr>
              <w:t>Applicability:</w:t>
            </w:r>
          </w:p>
        </w:tc>
        <w:tc>
          <w:tcPr>
            <w:tcW w:w="8357" w:type="dxa"/>
            <w:gridSpan w:val="10"/>
            <w:tcBorders>
              <w:top w:val="single" w:sz="4" w:space="0" w:color="BFBFBF" w:themeColor="background1" w:themeShade="BF"/>
              <w:left w:val="single" w:sz="4" w:space="0" w:color="FFFFFF" w:themeColor="background1"/>
              <w:bottom w:val="nil"/>
              <w:right w:val="single" w:sz="4" w:space="0" w:color="FFFFFF" w:themeColor="background1"/>
            </w:tcBorders>
          </w:tcPr>
          <w:p w14:paraId="047F8255" w14:textId="77777777" w:rsidR="002518F0" w:rsidRPr="002518F0" w:rsidRDefault="002518F0" w:rsidP="000C172B">
            <w:pPr>
              <w:pStyle w:val="Heading1"/>
              <w:rPr>
                <w:sz w:val="24"/>
                <w:szCs w:val="24"/>
                <w:u w:val="none"/>
              </w:rPr>
            </w:pPr>
          </w:p>
        </w:tc>
      </w:tr>
      <w:tr w:rsidR="0022447B" w14:paraId="6724A8F6" w14:textId="77777777" w:rsidTr="1B7BE8FE">
        <w:trPr>
          <w:trHeight w:val="629"/>
        </w:trPr>
        <w:tc>
          <w:tcPr>
            <w:tcW w:w="1704" w:type="dxa"/>
            <w:gridSpan w:val="3"/>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5440469D" w14:textId="77777777" w:rsidR="002518F0" w:rsidRPr="002518F0" w:rsidRDefault="002518F0" w:rsidP="000C172B">
            <w:pPr>
              <w:pStyle w:val="Heading1"/>
              <w:rPr>
                <w:sz w:val="24"/>
                <w:szCs w:val="24"/>
                <w:u w:val="none"/>
              </w:rPr>
            </w:pPr>
            <w:r w:rsidRPr="002518F0">
              <w:rPr>
                <w:sz w:val="24"/>
                <w:szCs w:val="24"/>
                <w:u w:val="none"/>
              </w:rPr>
              <w:t>Effective Date:</w:t>
            </w:r>
          </w:p>
        </w:tc>
        <w:tc>
          <w:tcPr>
            <w:tcW w:w="3189" w:type="dxa"/>
            <w:gridSpan w:val="4"/>
            <w:tcBorders>
              <w:top w:val="single" w:sz="4" w:space="0" w:color="BFBFBF" w:themeColor="background1" w:themeShade="BF"/>
              <w:left w:val="single" w:sz="4" w:space="0" w:color="FFFFFF" w:themeColor="background1"/>
              <w:bottom w:val="nil"/>
              <w:right w:val="single" w:sz="4" w:space="0" w:color="FFFFFF" w:themeColor="background1"/>
            </w:tcBorders>
          </w:tcPr>
          <w:p w14:paraId="64BEDC45" w14:textId="77777777" w:rsidR="002518F0" w:rsidRPr="002518F0" w:rsidRDefault="002518F0" w:rsidP="000C172B">
            <w:pPr>
              <w:pStyle w:val="Heading1"/>
              <w:rPr>
                <w:sz w:val="24"/>
                <w:szCs w:val="24"/>
                <w:u w:val="none"/>
              </w:rPr>
            </w:pPr>
          </w:p>
        </w:tc>
        <w:tc>
          <w:tcPr>
            <w:tcW w:w="2160" w:type="dxa"/>
            <w:gridSpan w:val="2"/>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03EF4488" w14:textId="19297B27" w:rsidR="002518F0" w:rsidRPr="002518F0" w:rsidRDefault="002518F0" w:rsidP="000C172B">
            <w:pPr>
              <w:pStyle w:val="Heading1"/>
              <w:rPr>
                <w:sz w:val="24"/>
                <w:szCs w:val="24"/>
                <w:u w:val="none"/>
              </w:rPr>
            </w:pPr>
            <w:r w:rsidRPr="002518F0">
              <w:rPr>
                <w:sz w:val="24"/>
                <w:szCs w:val="24"/>
                <w:u w:val="none"/>
              </w:rPr>
              <w:t>Last Review Date:</w:t>
            </w:r>
          </w:p>
        </w:tc>
        <w:tc>
          <w:tcPr>
            <w:tcW w:w="2830" w:type="dxa"/>
            <w:gridSpan w:val="3"/>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3C7171B9" w14:textId="529D9F26" w:rsidR="002518F0" w:rsidRPr="002518F0" w:rsidRDefault="002518F0" w:rsidP="000C172B">
            <w:pPr>
              <w:pStyle w:val="Heading1"/>
              <w:rPr>
                <w:sz w:val="24"/>
                <w:szCs w:val="24"/>
                <w:u w:val="none"/>
              </w:rPr>
            </w:pPr>
          </w:p>
        </w:tc>
      </w:tr>
      <w:tr w:rsidR="00AF11D3" w14:paraId="6F7ED490" w14:textId="77777777" w:rsidTr="1B7BE8FE">
        <w:trPr>
          <w:trHeight w:val="620"/>
        </w:trPr>
        <w:tc>
          <w:tcPr>
            <w:tcW w:w="2965" w:type="dxa"/>
            <w:gridSpan w:val="5"/>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25708798" w14:textId="745DF0F0" w:rsidR="00AF11D3" w:rsidRDefault="00AF11D3" w:rsidP="000C172B">
            <w:pPr>
              <w:pStyle w:val="Heading1"/>
              <w:rPr>
                <w:sz w:val="24"/>
                <w:szCs w:val="24"/>
                <w:u w:val="none"/>
              </w:rPr>
            </w:pPr>
            <w:r>
              <w:rPr>
                <w:sz w:val="24"/>
                <w:szCs w:val="24"/>
                <w:u w:val="none"/>
              </w:rPr>
              <w:t>Policy Manager / Position</w:t>
            </w:r>
            <w:r w:rsidR="0040416A">
              <w:rPr>
                <w:sz w:val="24"/>
                <w:szCs w:val="24"/>
                <w:u w:val="none"/>
              </w:rPr>
              <w:t>:</w:t>
            </w:r>
          </w:p>
        </w:tc>
        <w:tc>
          <w:tcPr>
            <w:tcW w:w="6918" w:type="dxa"/>
            <w:gridSpan w:val="7"/>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690E9534" w14:textId="77777777" w:rsidR="00AF11D3" w:rsidRPr="002518F0" w:rsidRDefault="00AF11D3" w:rsidP="000C172B">
            <w:pPr>
              <w:pStyle w:val="Heading1"/>
              <w:rPr>
                <w:sz w:val="24"/>
                <w:szCs w:val="24"/>
                <w:u w:val="none"/>
              </w:rPr>
            </w:pPr>
          </w:p>
        </w:tc>
      </w:tr>
      <w:tr w:rsidR="0022447B" w14:paraId="794B03F6" w14:textId="77777777" w:rsidTr="1B7BE8FE">
        <w:trPr>
          <w:trHeight w:val="701"/>
        </w:trPr>
        <w:tc>
          <w:tcPr>
            <w:tcW w:w="2965" w:type="dxa"/>
            <w:gridSpan w:val="5"/>
            <w:tcBorders>
              <w:top w:val="single" w:sz="4" w:space="0" w:color="BFBFBF" w:themeColor="background1" w:themeShade="BF"/>
              <w:left w:val="single" w:sz="4" w:space="0" w:color="FFFFFF" w:themeColor="background1"/>
              <w:bottom w:val="double" w:sz="4" w:space="0" w:color="808080" w:themeColor="background1" w:themeShade="80"/>
              <w:right w:val="single" w:sz="4" w:space="0" w:color="FFFFFF" w:themeColor="background1"/>
            </w:tcBorders>
          </w:tcPr>
          <w:p w14:paraId="0472CEA5" w14:textId="1B786240" w:rsidR="00F113DE" w:rsidRPr="002518F0" w:rsidRDefault="002518F0" w:rsidP="000C172B">
            <w:pPr>
              <w:pStyle w:val="Heading1"/>
              <w:rPr>
                <w:sz w:val="24"/>
                <w:szCs w:val="24"/>
                <w:u w:val="none"/>
              </w:rPr>
            </w:pPr>
            <w:r>
              <w:rPr>
                <w:sz w:val="24"/>
                <w:szCs w:val="24"/>
                <w:u w:val="none"/>
              </w:rPr>
              <w:t>Approv</w:t>
            </w:r>
            <w:r w:rsidR="0040416A">
              <w:rPr>
                <w:sz w:val="24"/>
                <w:szCs w:val="24"/>
                <w:u w:val="none"/>
              </w:rPr>
              <w:t>al</w:t>
            </w:r>
            <w:r>
              <w:rPr>
                <w:sz w:val="24"/>
                <w:szCs w:val="24"/>
                <w:u w:val="none"/>
              </w:rPr>
              <w:t xml:space="preserve"> Name</w:t>
            </w:r>
            <w:r w:rsidR="00AF11D3">
              <w:rPr>
                <w:sz w:val="24"/>
                <w:szCs w:val="24"/>
                <w:u w:val="none"/>
              </w:rPr>
              <w:t xml:space="preserve"> /</w:t>
            </w:r>
            <w:r>
              <w:rPr>
                <w:sz w:val="24"/>
                <w:szCs w:val="24"/>
                <w:u w:val="none"/>
              </w:rPr>
              <w:t xml:space="preserve"> Position:</w:t>
            </w:r>
          </w:p>
        </w:tc>
        <w:tc>
          <w:tcPr>
            <w:tcW w:w="6918" w:type="dxa"/>
            <w:gridSpan w:val="7"/>
            <w:tcBorders>
              <w:top w:val="single" w:sz="4" w:space="0" w:color="BFBFBF" w:themeColor="background1" w:themeShade="BF"/>
              <w:left w:val="single" w:sz="4" w:space="0" w:color="FFFFFF" w:themeColor="background1"/>
              <w:bottom w:val="double" w:sz="4" w:space="0" w:color="808080" w:themeColor="background1" w:themeShade="80"/>
              <w:right w:val="single" w:sz="4" w:space="0" w:color="FFFFFF" w:themeColor="background1"/>
            </w:tcBorders>
          </w:tcPr>
          <w:p w14:paraId="436E4B49" w14:textId="77777777" w:rsidR="00F113DE" w:rsidRPr="002518F0" w:rsidRDefault="00F113DE" w:rsidP="000C172B">
            <w:pPr>
              <w:pStyle w:val="Heading1"/>
              <w:rPr>
                <w:sz w:val="24"/>
                <w:szCs w:val="24"/>
                <w:u w:val="none"/>
              </w:rPr>
            </w:pPr>
          </w:p>
        </w:tc>
      </w:tr>
    </w:tbl>
    <w:p w14:paraId="71DC1F21" w14:textId="77777777" w:rsidR="00F113DE" w:rsidRDefault="00F113DE" w:rsidP="000C172B">
      <w:pPr>
        <w:pStyle w:val="Heading1"/>
        <w:rPr>
          <w:sz w:val="24"/>
          <w:szCs w:val="24"/>
        </w:rPr>
      </w:pPr>
    </w:p>
    <w:p w14:paraId="1CF3CB8F" w14:textId="7F91A6D0" w:rsidR="00BC2B38" w:rsidRPr="00865E92" w:rsidRDefault="0040416A" w:rsidP="00865E92">
      <w:pPr>
        <w:pStyle w:val="ListParagraph"/>
        <w:numPr>
          <w:ilvl w:val="0"/>
          <w:numId w:val="15"/>
        </w:numPr>
        <w:spacing w:after="0"/>
        <w:rPr>
          <w:b/>
          <w:sz w:val="28"/>
          <w:szCs w:val="28"/>
          <w:u w:val="single"/>
        </w:rPr>
      </w:pPr>
      <w:r w:rsidRPr="00865E92">
        <w:rPr>
          <w:rStyle w:val="Heading1Char"/>
          <w:szCs w:val="28"/>
        </w:rPr>
        <w:t>PURPOSE</w:t>
      </w:r>
      <w:r w:rsidR="005C1EAC" w:rsidRPr="00865E92">
        <w:rPr>
          <w:rStyle w:val="Heading1Char"/>
          <w:szCs w:val="28"/>
        </w:rPr>
        <w:t>:</w:t>
      </w:r>
      <w:r w:rsidR="005C1EAC" w:rsidRPr="00865E92">
        <w:rPr>
          <w:b/>
          <w:sz w:val="28"/>
          <w:szCs w:val="28"/>
          <w:u w:val="single"/>
        </w:rPr>
        <w:t xml:space="preserve"> </w:t>
      </w:r>
    </w:p>
    <w:p w14:paraId="646A186F" w14:textId="63361220" w:rsidR="00446570" w:rsidRPr="00446570" w:rsidRDefault="00446570" w:rsidP="00446570">
      <w:pPr>
        <w:spacing w:after="240"/>
        <w:rPr>
          <w:iCs/>
        </w:rPr>
      </w:pPr>
      <w:r w:rsidRPr="00446570">
        <w:rPr>
          <w:iCs/>
        </w:rPr>
        <w:t>The I</w:t>
      </w:r>
      <w:r w:rsidR="00021BCA">
        <w:rPr>
          <w:iCs/>
        </w:rPr>
        <w:t>nformation Technology Governance Committee (ITGC)</w:t>
      </w:r>
      <w:r w:rsidRPr="00446570">
        <w:rPr>
          <w:iCs/>
        </w:rPr>
        <w:t xml:space="preserve"> shall provide oversight of information technology investments by monitoring, evaluating, and approving actions related to I</w:t>
      </w:r>
      <w:r w:rsidR="00021BCA">
        <w:rPr>
          <w:iCs/>
        </w:rPr>
        <w:t>nformation Technology (IT)</w:t>
      </w:r>
      <w:r w:rsidRPr="00446570">
        <w:rPr>
          <w:iCs/>
        </w:rPr>
        <w:t xml:space="preserve"> risk, investment, and prioritization of projects and services. </w:t>
      </w:r>
    </w:p>
    <w:p w14:paraId="54AF97D6" w14:textId="2A9B5013" w:rsidR="00446570" w:rsidRDefault="00446570" w:rsidP="00B450CA">
      <w:pPr>
        <w:spacing w:after="240"/>
        <w:rPr>
          <w:iCs/>
        </w:rPr>
      </w:pPr>
      <w:r w:rsidRPr="00446570">
        <w:rPr>
          <w:iCs/>
        </w:rPr>
        <w:t xml:space="preserve">This oversight positions IT to deliver business value by aligning IT initiatives and operations to the current and future strategic objectives of </w:t>
      </w:r>
      <w:r w:rsidR="00021BCA" w:rsidRPr="00021BCA">
        <w:rPr>
          <w:i/>
          <w:color w:val="0000FF"/>
        </w:rPr>
        <w:t>&lt; Insert Agency</w:t>
      </w:r>
      <w:r w:rsidRPr="00021BCA">
        <w:rPr>
          <w:i/>
          <w:color w:val="0000FF"/>
        </w:rPr>
        <w:t xml:space="preserve"> Name</w:t>
      </w:r>
      <w:r w:rsidR="00021BCA" w:rsidRPr="00021BCA">
        <w:rPr>
          <w:i/>
          <w:color w:val="0000FF"/>
        </w:rPr>
        <w:t xml:space="preserve"> &gt;</w:t>
      </w:r>
      <w:r w:rsidRPr="00446570">
        <w:rPr>
          <w:iCs/>
        </w:rPr>
        <w:t>. Additionally, this oversight ensures that business units are effectively supported and have the technology they need to enable their goals.</w:t>
      </w:r>
    </w:p>
    <w:p w14:paraId="1913E53F" w14:textId="3E15DDBB" w:rsidR="00BC2B38" w:rsidRPr="00865E92" w:rsidRDefault="00BC2B38" w:rsidP="00865E92">
      <w:pPr>
        <w:pStyle w:val="ListParagraph"/>
        <w:numPr>
          <w:ilvl w:val="0"/>
          <w:numId w:val="15"/>
        </w:numPr>
        <w:spacing w:after="0"/>
        <w:rPr>
          <w:rStyle w:val="Heading1Char"/>
          <w:szCs w:val="28"/>
        </w:rPr>
      </w:pPr>
      <w:r w:rsidRPr="00865E92">
        <w:rPr>
          <w:rStyle w:val="Heading1Char"/>
          <w:szCs w:val="28"/>
        </w:rPr>
        <w:t>A</w:t>
      </w:r>
      <w:r w:rsidR="00915ABE">
        <w:rPr>
          <w:rStyle w:val="Heading1Char"/>
          <w:szCs w:val="28"/>
        </w:rPr>
        <w:t>UTHORITY</w:t>
      </w:r>
      <w:r w:rsidRPr="00865E92">
        <w:rPr>
          <w:rStyle w:val="Heading1Char"/>
          <w:szCs w:val="28"/>
        </w:rPr>
        <w:t>:</w:t>
      </w:r>
    </w:p>
    <w:p w14:paraId="304F4AD2" w14:textId="2903DBCC" w:rsidR="00915ABE" w:rsidRDefault="00915ABE" w:rsidP="00330E1D">
      <w:pPr>
        <w:spacing w:after="240"/>
        <w:rPr>
          <w:iCs/>
        </w:rPr>
      </w:pPr>
      <w:r w:rsidRPr="00915ABE">
        <w:rPr>
          <w:iCs/>
        </w:rPr>
        <w:t xml:space="preserve">The Information Technology </w:t>
      </w:r>
      <w:r>
        <w:rPr>
          <w:iCs/>
        </w:rPr>
        <w:t>Governance</w:t>
      </w:r>
      <w:r w:rsidRPr="00915ABE">
        <w:rPr>
          <w:iCs/>
        </w:rPr>
        <w:t xml:space="preserve"> Committee (IT</w:t>
      </w:r>
      <w:r>
        <w:rPr>
          <w:iCs/>
        </w:rPr>
        <w:t>G</w:t>
      </w:r>
      <w:r w:rsidRPr="00915ABE">
        <w:rPr>
          <w:iCs/>
        </w:rPr>
        <w:t xml:space="preserve">C) derives its authority </w:t>
      </w:r>
      <w:r w:rsidR="00021BCA">
        <w:rPr>
          <w:iCs/>
        </w:rPr>
        <w:t>through Agency Policy</w:t>
      </w:r>
      <w:r w:rsidRPr="00915ABE">
        <w:rPr>
          <w:iCs/>
        </w:rPr>
        <w:t>. The primary role of the IT</w:t>
      </w:r>
      <w:r>
        <w:rPr>
          <w:iCs/>
        </w:rPr>
        <w:t>G</w:t>
      </w:r>
      <w:r w:rsidRPr="00915ABE">
        <w:rPr>
          <w:iCs/>
        </w:rPr>
        <w:t xml:space="preserve">C is to exercise oversight and governance over the </w:t>
      </w:r>
      <w:r>
        <w:rPr>
          <w:iCs/>
        </w:rPr>
        <w:t>agency’s</w:t>
      </w:r>
      <w:r w:rsidRPr="00915ABE">
        <w:rPr>
          <w:iCs/>
        </w:rPr>
        <w:t xml:space="preserve"> IT function</w:t>
      </w:r>
      <w:r w:rsidR="00021BCA">
        <w:rPr>
          <w:iCs/>
        </w:rPr>
        <w:t>.</w:t>
      </w:r>
    </w:p>
    <w:p w14:paraId="76034ABD" w14:textId="2C623245" w:rsidR="00BC2B38" w:rsidRPr="00865E92" w:rsidRDefault="00BC2B38" w:rsidP="00BD6172">
      <w:pPr>
        <w:pStyle w:val="ListParagraph"/>
        <w:numPr>
          <w:ilvl w:val="0"/>
          <w:numId w:val="15"/>
        </w:numPr>
        <w:spacing w:after="0"/>
        <w:rPr>
          <w:rStyle w:val="Heading1Char"/>
          <w:szCs w:val="28"/>
        </w:rPr>
      </w:pPr>
      <w:r w:rsidRPr="00865E92">
        <w:rPr>
          <w:rStyle w:val="Heading1Char"/>
          <w:szCs w:val="28"/>
        </w:rPr>
        <w:t>D</w:t>
      </w:r>
      <w:r w:rsidR="00915ABE">
        <w:rPr>
          <w:rStyle w:val="Heading1Char"/>
          <w:szCs w:val="28"/>
        </w:rPr>
        <w:t>UTIES AND RESPONSIBILITIES</w:t>
      </w:r>
      <w:r w:rsidRPr="00865E92">
        <w:rPr>
          <w:rStyle w:val="Heading1Char"/>
          <w:szCs w:val="28"/>
        </w:rPr>
        <w:t xml:space="preserve">: </w:t>
      </w:r>
    </w:p>
    <w:p w14:paraId="53028148" w14:textId="77777777" w:rsidR="00915ABE" w:rsidRPr="00915ABE" w:rsidRDefault="00915ABE" w:rsidP="00915ABE">
      <w:pPr>
        <w:spacing w:after="120"/>
        <w:rPr>
          <w:iCs/>
        </w:rPr>
      </w:pPr>
      <w:r w:rsidRPr="00915ABE">
        <w:rPr>
          <w:iCs/>
        </w:rPr>
        <w:t xml:space="preserve">Accountability is a key concern of IT </w:t>
      </w:r>
      <w:proofErr w:type="gramStart"/>
      <w:r w:rsidRPr="00915ABE">
        <w:rPr>
          <w:iCs/>
        </w:rPr>
        <w:t>governance</w:t>
      </w:r>
      <w:proofErr w:type="gramEnd"/>
      <w:r w:rsidRPr="00915ABE">
        <w:rPr>
          <w:iCs/>
        </w:rPr>
        <w:t xml:space="preserve"> and this may be achieved via an organizational structure that has well-defined roles for the responsibility of information, business processes, applications, and IT infrastructure.</w:t>
      </w:r>
    </w:p>
    <w:p w14:paraId="22268113" w14:textId="7ABC7F56" w:rsidR="00915ABE" w:rsidRPr="00915ABE" w:rsidRDefault="00915ABE" w:rsidP="00915ABE">
      <w:pPr>
        <w:spacing w:after="120"/>
        <w:rPr>
          <w:iCs/>
        </w:rPr>
      </w:pPr>
      <w:r w:rsidRPr="00915ABE">
        <w:rPr>
          <w:iCs/>
        </w:rPr>
        <w:t xml:space="preserve">The IT </w:t>
      </w:r>
      <w:r>
        <w:rPr>
          <w:iCs/>
        </w:rPr>
        <w:t>Governance</w:t>
      </w:r>
      <w:r w:rsidRPr="00915ABE">
        <w:rPr>
          <w:iCs/>
        </w:rPr>
        <w:t xml:space="preserve"> Committee is responsible for the following:</w:t>
      </w:r>
    </w:p>
    <w:p w14:paraId="65BF3EE8" w14:textId="44A3A389" w:rsidR="00915ABE" w:rsidRDefault="00915ABE" w:rsidP="001E5532">
      <w:pPr>
        <w:pStyle w:val="ListParagraph"/>
        <w:numPr>
          <w:ilvl w:val="0"/>
          <w:numId w:val="30"/>
        </w:numPr>
        <w:spacing w:after="60"/>
        <w:contextualSpacing w:val="0"/>
      </w:pPr>
      <w:r>
        <w:t xml:space="preserve">Understanding technology risks that confront the </w:t>
      </w:r>
      <w:r w:rsidR="34362572">
        <w:t>agency and</w:t>
      </w:r>
      <w:r>
        <w:t xml:space="preserve"> ensuring that they are properly managed and mitigated.</w:t>
      </w:r>
    </w:p>
    <w:p w14:paraId="05C9B1DD" w14:textId="77777777" w:rsidR="00915ABE" w:rsidRDefault="00915ABE" w:rsidP="001E5532">
      <w:pPr>
        <w:pStyle w:val="ListParagraph"/>
        <w:numPr>
          <w:ilvl w:val="0"/>
          <w:numId w:val="30"/>
        </w:numPr>
        <w:spacing w:after="60"/>
        <w:contextualSpacing w:val="0"/>
        <w:rPr>
          <w:iCs/>
        </w:rPr>
      </w:pPr>
      <w:r w:rsidRPr="00915ABE">
        <w:rPr>
          <w:iCs/>
        </w:rPr>
        <w:t xml:space="preserve">Monitoring IT performance and recommending appropriate actions to ensure achievement of desired results. Such </w:t>
      </w:r>
      <w:proofErr w:type="gramStart"/>
      <w:r w:rsidRPr="00915ABE">
        <w:rPr>
          <w:iCs/>
        </w:rPr>
        <w:t>as;</w:t>
      </w:r>
      <w:proofErr w:type="gramEnd"/>
    </w:p>
    <w:p w14:paraId="7674E7FB" w14:textId="4D7A23B3" w:rsidR="00915ABE" w:rsidRDefault="00915ABE" w:rsidP="001E5532">
      <w:pPr>
        <w:pStyle w:val="ListParagraph"/>
        <w:numPr>
          <w:ilvl w:val="0"/>
          <w:numId w:val="32"/>
        </w:numPr>
        <w:spacing w:after="60"/>
        <w:contextualSpacing w:val="0"/>
        <w:rPr>
          <w:iCs/>
        </w:rPr>
      </w:pPr>
      <w:r w:rsidRPr="00915ABE">
        <w:rPr>
          <w:iCs/>
        </w:rPr>
        <w:lastRenderedPageBreak/>
        <w:t xml:space="preserve">Providing adequate information on IT performance, status of major IT projects or other significant issues, to enable the </w:t>
      </w:r>
      <w:r w:rsidR="0036384E">
        <w:rPr>
          <w:iCs/>
        </w:rPr>
        <w:t>ITGC</w:t>
      </w:r>
      <w:r w:rsidRPr="00915ABE">
        <w:rPr>
          <w:iCs/>
        </w:rPr>
        <w:t xml:space="preserve"> to make well-informed decisions on the </w:t>
      </w:r>
      <w:r>
        <w:rPr>
          <w:iCs/>
        </w:rPr>
        <w:t>agency’s</w:t>
      </w:r>
      <w:r w:rsidRPr="00915ABE">
        <w:rPr>
          <w:iCs/>
        </w:rPr>
        <w:t xml:space="preserve"> IT operations.</w:t>
      </w:r>
    </w:p>
    <w:p w14:paraId="116AB3FD" w14:textId="23F2EEA7" w:rsidR="00915ABE" w:rsidRDefault="00915ABE" w:rsidP="001E5532">
      <w:pPr>
        <w:pStyle w:val="ListParagraph"/>
        <w:numPr>
          <w:ilvl w:val="0"/>
          <w:numId w:val="32"/>
        </w:numPr>
        <w:spacing w:after="60"/>
        <w:contextualSpacing w:val="0"/>
        <w:rPr>
          <w:iCs/>
        </w:rPr>
      </w:pPr>
      <w:r w:rsidRPr="00915ABE">
        <w:rPr>
          <w:iCs/>
        </w:rPr>
        <w:t xml:space="preserve">Review, regular monitoring, and recommending revisions of the </w:t>
      </w:r>
      <w:r>
        <w:rPr>
          <w:iCs/>
        </w:rPr>
        <w:t>agency</w:t>
      </w:r>
      <w:r w:rsidRPr="00915ABE">
        <w:rPr>
          <w:iCs/>
        </w:rPr>
        <w:t>'s IT</w:t>
      </w:r>
      <w:r w:rsidRPr="00915ABE">
        <w:t xml:space="preserve"> </w:t>
      </w:r>
      <w:r>
        <w:t>S</w:t>
      </w:r>
      <w:r w:rsidRPr="00915ABE">
        <w:rPr>
          <w:iCs/>
        </w:rPr>
        <w:t xml:space="preserve">trategic Plan in the context of the </w:t>
      </w:r>
      <w:r>
        <w:rPr>
          <w:iCs/>
        </w:rPr>
        <w:t>agency</w:t>
      </w:r>
      <w:r w:rsidRPr="00915ABE">
        <w:rPr>
          <w:iCs/>
        </w:rPr>
        <w:t>'s business strategy.</w:t>
      </w:r>
    </w:p>
    <w:p w14:paraId="1C601517" w14:textId="4F618E3B" w:rsidR="00F22671" w:rsidRPr="00F22671" w:rsidRDefault="00F22671" w:rsidP="001E5532">
      <w:pPr>
        <w:pStyle w:val="ListParagraph"/>
        <w:numPr>
          <w:ilvl w:val="0"/>
          <w:numId w:val="30"/>
        </w:numPr>
        <w:spacing w:after="60"/>
        <w:contextualSpacing w:val="0"/>
        <w:rPr>
          <w:iCs/>
        </w:rPr>
      </w:pPr>
      <w:r w:rsidRPr="00F22671">
        <w:rPr>
          <w:iCs/>
        </w:rPr>
        <w:t>Data governance, collaborating to establish data definitions,</w:t>
      </w:r>
      <w:r>
        <w:rPr>
          <w:iCs/>
        </w:rPr>
        <w:t xml:space="preserve"> </w:t>
      </w:r>
      <w:r w:rsidRPr="00F22671">
        <w:rPr>
          <w:iCs/>
        </w:rPr>
        <w:t xml:space="preserve">metrics and measures, and data management standards &amp; </w:t>
      </w:r>
      <w:proofErr w:type="gramStart"/>
      <w:r w:rsidRPr="00F22671">
        <w:rPr>
          <w:iCs/>
        </w:rPr>
        <w:t>documentation;</w:t>
      </w:r>
      <w:proofErr w:type="gramEnd"/>
    </w:p>
    <w:p w14:paraId="2D15E1F5" w14:textId="58813AF5" w:rsidR="00F22671" w:rsidRPr="00F22671" w:rsidRDefault="00F22671" w:rsidP="001E5532">
      <w:pPr>
        <w:pStyle w:val="ListParagraph"/>
        <w:numPr>
          <w:ilvl w:val="0"/>
          <w:numId w:val="30"/>
        </w:numPr>
        <w:spacing w:after="60"/>
        <w:contextualSpacing w:val="0"/>
        <w:rPr>
          <w:iCs/>
        </w:rPr>
      </w:pPr>
      <w:r w:rsidRPr="00F22671">
        <w:rPr>
          <w:iCs/>
        </w:rPr>
        <w:t xml:space="preserve">IT governance, using agreed-upon procedures for project prioritization, decision-making, and </w:t>
      </w:r>
      <w:proofErr w:type="gramStart"/>
      <w:r w:rsidRPr="00F22671">
        <w:rPr>
          <w:iCs/>
        </w:rPr>
        <w:t>oversight;</w:t>
      </w:r>
      <w:proofErr w:type="gramEnd"/>
    </w:p>
    <w:p w14:paraId="3B8A3C3C" w14:textId="06EA7B33" w:rsidR="00F22671" w:rsidRPr="00F22671" w:rsidRDefault="00F22671" w:rsidP="001E5532">
      <w:pPr>
        <w:pStyle w:val="ListParagraph"/>
        <w:numPr>
          <w:ilvl w:val="0"/>
          <w:numId w:val="30"/>
        </w:numPr>
        <w:spacing w:after="60"/>
        <w:contextualSpacing w:val="0"/>
        <w:rPr>
          <w:iCs/>
        </w:rPr>
      </w:pPr>
      <w:r w:rsidRPr="00F22671">
        <w:rPr>
          <w:iCs/>
        </w:rPr>
        <w:t xml:space="preserve">A unified platform that could integrate agency data, streamline business processes, and provide accurate reporting to provide the agency with a common operating </w:t>
      </w:r>
      <w:proofErr w:type="gramStart"/>
      <w:r w:rsidRPr="00F22671">
        <w:rPr>
          <w:iCs/>
        </w:rPr>
        <w:t>picture;</w:t>
      </w:r>
      <w:proofErr w:type="gramEnd"/>
    </w:p>
    <w:p w14:paraId="4135A788" w14:textId="747F47AE" w:rsidR="00F22671" w:rsidRPr="00F22671" w:rsidRDefault="00F22671" w:rsidP="001E5532">
      <w:pPr>
        <w:pStyle w:val="ListParagraph"/>
        <w:numPr>
          <w:ilvl w:val="0"/>
          <w:numId w:val="30"/>
        </w:numPr>
        <w:spacing w:after="60"/>
        <w:contextualSpacing w:val="0"/>
        <w:rPr>
          <w:iCs/>
        </w:rPr>
      </w:pPr>
      <w:r w:rsidRPr="00F22671">
        <w:rPr>
          <w:iCs/>
        </w:rPr>
        <w:t xml:space="preserve">Stable and reliable funding sources to continue investing in technology that enhances the management and delivery of the agency programs and </w:t>
      </w:r>
      <w:proofErr w:type="gramStart"/>
      <w:r w:rsidRPr="00F22671">
        <w:rPr>
          <w:iCs/>
        </w:rPr>
        <w:t>activities;</w:t>
      </w:r>
      <w:proofErr w:type="gramEnd"/>
    </w:p>
    <w:p w14:paraId="4268EF29" w14:textId="29474AA0" w:rsidR="00F22671" w:rsidRPr="00F22671" w:rsidRDefault="00F22671" w:rsidP="001E5532">
      <w:pPr>
        <w:pStyle w:val="ListParagraph"/>
        <w:numPr>
          <w:ilvl w:val="0"/>
          <w:numId w:val="30"/>
        </w:numPr>
        <w:spacing w:after="60"/>
        <w:contextualSpacing w:val="0"/>
        <w:rPr>
          <w:iCs/>
        </w:rPr>
      </w:pPr>
      <w:r w:rsidRPr="00F22671">
        <w:rPr>
          <w:iCs/>
        </w:rPr>
        <w:t xml:space="preserve">User-friendly online services provided to agency </w:t>
      </w:r>
      <w:proofErr w:type="gramStart"/>
      <w:r w:rsidRPr="00F22671">
        <w:rPr>
          <w:iCs/>
        </w:rPr>
        <w:t>clients;</w:t>
      </w:r>
      <w:proofErr w:type="gramEnd"/>
    </w:p>
    <w:p w14:paraId="4374E053" w14:textId="05F6130E" w:rsidR="00F22671" w:rsidRDefault="00F22671" w:rsidP="00F22671">
      <w:pPr>
        <w:pStyle w:val="ListParagraph"/>
        <w:numPr>
          <w:ilvl w:val="0"/>
          <w:numId w:val="30"/>
        </w:numPr>
        <w:spacing w:after="240"/>
        <w:contextualSpacing w:val="0"/>
        <w:rPr>
          <w:iCs/>
        </w:rPr>
      </w:pPr>
      <w:r w:rsidRPr="00F22671">
        <w:rPr>
          <w:iCs/>
        </w:rPr>
        <w:t>Keep information and technology policies relevant and current.</w:t>
      </w:r>
    </w:p>
    <w:p w14:paraId="28F52DC3" w14:textId="4F0AB106" w:rsidR="007E1A58" w:rsidRPr="00915ABE" w:rsidRDefault="007E1A58" w:rsidP="007E1A58">
      <w:pPr>
        <w:spacing w:after="120"/>
        <w:rPr>
          <w:iCs/>
        </w:rPr>
      </w:pPr>
      <w:r>
        <w:rPr>
          <w:iCs/>
        </w:rPr>
        <w:t>Expectations of the</w:t>
      </w:r>
      <w:r w:rsidRPr="00915ABE">
        <w:rPr>
          <w:iCs/>
        </w:rPr>
        <w:t xml:space="preserve"> IT </w:t>
      </w:r>
      <w:r>
        <w:rPr>
          <w:iCs/>
        </w:rPr>
        <w:t>Governance</w:t>
      </w:r>
      <w:r w:rsidRPr="00915ABE">
        <w:rPr>
          <w:iCs/>
        </w:rPr>
        <w:t xml:space="preserve"> Committee </w:t>
      </w:r>
      <w:r>
        <w:rPr>
          <w:iCs/>
        </w:rPr>
        <w:t>members are as</w:t>
      </w:r>
      <w:r w:rsidRPr="00915ABE">
        <w:rPr>
          <w:iCs/>
        </w:rPr>
        <w:t xml:space="preserve"> follow</w:t>
      </w:r>
      <w:r>
        <w:rPr>
          <w:iCs/>
        </w:rPr>
        <w:t>s</w:t>
      </w:r>
      <w:r w:rsidRPr="00915ABE">
        <w:rPr>
          <w:iCs/>
        </w:rPr>
        <w:t>:</w:t>
      </w:r>
    </w:p>
    <w:p w14:paraId="31135152" w14:textId="77777777" w:rsidR="00FE11FD" w:rsidRDefault="00FE11FD" w:rsidP="00FE11FD">
      <w:pPr>
        <w:pStyle w:val="ListParagraph"/>
        <w:numPr>
          <w:ilvl w:val="0"/>
          <w:numId w:val="36"/>
        </w:numPr>
        <w:spacing w:after="240"/>
      </w:pPr>
      <w:r>
        <w:t>Come to meetings prepared</w:t>
      </w:r>
    </w:p>
    <w:p w14:paraId="4D237C19" w14:textId="77777777" w:rsidR="00FE11FD" w:rsidRDefault="00FE11FD" w:rsidP="00FE11FD">
      <w:pPr>
        <w:pStyle w:val="ListParagraph"/>
        <w:numPr>
          <w:ilvl w:val="0"/>
          <w:numId w:val="36"/>
        </w:numPr>
        <w:spacing w:after="240"/>
      </w:pPr>
      <w:r>
        <w:t>Provide good faith input and recommendations</w:t>
      </w:r>
    </w:p>
    <w:p w14:paraId="655CA598" w14:textId="6428AB48" w:rsidR="00FE11FD" w:rsidRDefault="00FE11FD" w:rsidP="00FE11FD">
      <w:pPr>
        <w:pStyle w:val="ListParagraph"/>
        <w:numPr>
          <w:ilvl w:val="0"/>
          <w:numId w:val="36"/>
        </w:numPr>
        <w:spacing w:after="240"/>
      </w:pPr>
      <w:r>
        <w:t>Clearly communicate decisions, reasoning, and expected outcomes to stakeholders</w:t>
      </w:r>
    </w:p>
    <w:p w14:paraId="4C45B31D" w14:textId="2E49A23E" w:rsidR="007E1A58" w:rsidRPr="00D373C5" w:rsidRDefault="00FE11FD" w:rsidP="00FE11FD">
      <w:pPr>
        <w:pStyle w:val="ListParagraph"/>
        <w:numPr>
          <w:ilvl w:val="0"/>
          <w:numId w:val="36"/>
        </w:numPr>
        <w:spacing w:after="240"/>
        <w:contextualSpacing w:val="0"/>
        <w:rPr>
          <w:iCs/>
        </w:rPr>
      </w:pPr>
      <w:r>
        <w:t>Understand and be interested in technology, even if it is not the member's professional field</w:t>
      </w:r>
    </w:p>
    <w:p w14:paraId="33D9592C" w14:textId="5B2B514D" w:rsidR="001F0577" w:rsidRDefault="00D373C5" w:rsidP="00BD6172">
      <w:pPr>
        <w:pStyle w:val="ListParagraph"/>
        <w:numPr>
          <w:ilvl w:val="0"/>
          <w:numId w:val="15"/>
        </w:numPr>
        <w:spacing w:after="0"/>
        <w:rPr>
          <w:rStyle w:val="Heading1Char"/>
          <w:szCs w:val="28"/>
        </w:rPr>
      </w:pPr>
      <w:r>
        <w:rPr>
          <w:rStyle w:val="Heading1Char"/>
          <w:szCs w:val="28"/>
        </w:rPr>
        <w:t>COMMITTEE COMPOSITION</w:t>
      </w:r>
    </w:p>
    <w:p w14:paraId="37448958" w14:textId="652B9681" w:rsidR="001F0577" w:rsidRDefault="00D373C5" w:rsidP="001F0577">
      <w:pPr>
        <w:spacing w:after="240"/>
        <w:rPr>
          <w:iCs/>
        </w:rPr>
      </w:pPr>
      <w:r w:rsidRPr="00D373C5">
        <w:rPr>
          <w:iCs/>
        </w:rPr>
        <w:t xml:space="preserve">The ITGC will </w:t>
      </w:r>
      <w:r w:rsidR="00C4699B">
        <w:rPr>
          <w:iCs/>
        </w:rPr>
        <w:t xml:space="preserve">be composed of </w:t>
      </w:r>
      <w:r>
        <w:rPr>
          <w:iCs/>
        </w:rPr>
        <w:t>business leaders</w:t>
      </w:r>
      <w:r w:rsidRPr="00D373C5">
        <w:rPr>
          <w:iCs/>
        </w:rPr>
        <w:t xml:space="preserve"> who </w:t>
      </w:r>
      <w:r w:rsidR="00C4699B">
        <w:rPr>
          <w:iCs/>
        </w:rPr>
        <w:t xml:space="preserve">consume the services, </w:t>
      </w:r>
      <w:r w:rsidRPr="00D373C5">
        <w:rPr>
          <w:iCs/>
        </w:rPr>
        <w:t xml:space="preserve">the head of IT, and the </w:t>
      </w:r>
      <w:r>
        <w:rPr>
          <w:iCs/>
        </w:rPr>
        <w:t>Director</w:t>
      </w:r>
      <w:r w:rsidRPr="00D373C5">
        <w:rPr>
          <w:iCs/>
        </w:rPr>
        <w:t xml:space="preserve">. The </w:t>
      </w:r>
      <w:r w:rsidR="00C4699B">
        <w:rPr>
          <w:iCs/>
        </w:rPr>
        <w:t>other</w:t>
      </w:r>
      <w:r w:rsidRPr="00D373C5">
        <w:rPr>
          <w:iCs/>
        </w:rPr>
        <w:t xml:space="preserve"> participa</w:t>
      </w:r>
      <w:r w:rsidR="00C4699B">
        <w:rPr>
          <w:iCs/>
        </w:rPr>
        <w:t>ting</w:t>
      </w:r>
      <w:r w:rsidRPr="00D373C5">
        <w:rPr>
          <w:iCs/>
        </w:rPr>
        <w:t xml:space="preserve"> in IT</w:t>
      </w:r>
      <w:r>
        <w:rPr>
          <w:iCs/>
        </w:rPr>
        <w:t>GC</w:t>
      </w:r>
      <w:r w:rsidRPr="00D373C5">
        <w:rPr>
          <w:iCs/>
        </w:rPr>
        <w:t xml:space="preserve"> meetings </w:t>
      </w:r>
      <w:r w:rsidR="00C4699B">
        <w:rPr>
          <w:iCs/>
        </w:rPr>
        <w:t>are</w:t>
      </w:r>
      <w:r w:rsidRPr="00D373C5">
        <w:rPr>
          <w:iCs/>
        </w:rPr>
        <w:t xml:space="preserve"> </w:t>
      </w:r>
      <w:r w:rsidR="00C4699B">
        <w:rPr>
          <w:iCs/>
        </w:rPr>
        <w:t xml:space="preserve">in </w:t>
      </w:r>
      <w:r w:rsidRPr="00D373C5">
        <w:rPr>
          <w:iCs/>
        </w:rPr>
        <w:t>advisory capacity only.</w:t>
      </w:r>
      <w:r w:rsidR="006024B9" w:rsidRPr="006024B9">
        <w:t xml:space="preserve"> </w:t>
      </w:r>
      <w:r w:rsidR="006024B9">
        <w:rPr>
          <w:iCs/>
        </w:rPr>
        <w:t>T</w:t>
      </w:r>
      <w:r w:rsidR="006024B9" w:rsidRPr="006024B9">
        <w:rPr>
          <w:iCs/>
        </w:rPr>
        <w:t xml:space="preserve">he minimum number of voting members who must be present at a meeting </w:t>
      </w:r>
      <w:proofErr w:type="gramStart"/>
      <w:r w:rsidR="006024B9" w:rsidRPr="006024B9">
        <w:rPr>
          <w:iCs/>
        </w:rPr>
        <w:t>in order to</w:t>
      </w:r>
      <w:proofErr w:type="gramEnd"/>
      <w:r w:rsidR="006024B9" w:rsidRPr="006024B9">
        <w:rPr>
          <w:iCs/>
        </w:rPr>
        <w:t xml:space="preserve"> conduct business in the name of the group</w:t>
      </w:r>
      <w:r w:rsidR="00C4699B">
        <w:rPr>
          <w:iCs/>
        </w:rPr>
        <w:t xml:space="preserve"> will be held at two-thirds</w:t>
      </w:r>
      <w:r w:rsidR="006024B9" w:rsidRPr="006024B9">
        <w:rPr>
          <w:iCs/>
        </w:rPr>
        <w:t>.</w:t>
      </w:r>
    </w:p>
    <w:tbl>
      <w:tblPr>
        <w:tblStyle w:val="GridTable4-Accent3"/>
        <w:tblW w:w="9000" w:type="dxa"/>
        <w:tblInd w:w="355" w:type="dxa"/>
        <w:tblLook w:val="04A0" w:firstRow="1" w:lastRow="0" w:firstColumn="1" w:lastColumn="0" w:noHBand="0" w:noVBand="1"/>
      </w:tblPr>
      <w:tblGrid>
        <w:gridCol w:w="2515"/>
        <w:gridCol w:w="6485"/>
      </w:tblGrid>
      <w:tr w:rsidR="00D373C5" w14:paraId="1E18538D" w14:textId="77777777" w:rsidTr="005476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0626E797" w14:textId="77777777" w:rsidR="00D373C5" w:rsidRDefault="00D373C5" w:rsidP="00A6424D">
            <w:pPr>
              <w:spacing w:after="120"/>
              <w:rPr>
                <w:iCs/>
              </w:rPr>
            </w:pPr>
            <w:r>
              <w:rPr>
                <w:iCs/>
              </w:rPr>
              <w:t>Roles</w:t>
            </w:r>
          </w:p>
        </w:tc>
        <w:tc>
          <w:tcPr>
            <w:tcW w:w="6485" w:type="dxa"/>
          </w:tcPr>
          <w:p w14:paraId="1D8F50B8" w14:textId="77777777" w:rsidR="00D373C5" w:rsidRDefault="00D373C5" w:rsidP="00A6424D">
            <w:pPr>
              <w:spacing w:after="120"/>
              <w:cnfStyle w:val="100000000000" w:firstRow="1" w:lastRow="0" w:firstColumn="0" w:lastColumn="0" w:oddVBand="0" w:evenVBand="0" w:oddHBand="0" w:evenHBand="0" w:firstRowFirstColumn="0" w:firstRowLastColumn="0" w:lastRowFirstColumn="0" w:lastRowLastColumn="0"/>
              <w:rPr>
                <w:iCs/>
              </w:rPr>
            </w:pPr>
            <w:r>
              <w:rPr>
                <w:iCs/>
              </w:rPr>
              <w:t>Responsibilities</w:t>
            </w:r>
          </w:p>
        </w:tc>
      </w:tr>
      <w:tr w:rsidR="00D373C5" w14:paraId="37E14C12" w14:textId="77777777" w:rsidTr="005476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2649FE3F" w14:textId="77777777" w:rsidR="00D373C5" w:rsidRPr="009617B4" w:rsidRDefault="00D373C5" w:rsidP="00A6424D">
            <w:pPr>
              <w:spacing w:after="120"/>
              <w:rPr>
                <w:iCs/>
              </w:rPr>
            </w:pPr>
            <w:r>
              <w:rPr>
                <w:iCs/>
              </w:rPr>
              <w:t>Committee Chair</w:t>
            </w:r>
            <w:r w:rsidRPr="009617B4">
              <w:rPr>
                <w:iCs/>
              </w:rPr>
              <w:tab/>
            </w:r>
          </w:p>
          <w:p w14:paraId="7FAB8F4C" w14:textId="77777777" w:rsidR="00D373C5" w:rsidRDefault="00D373C5" w:rsidP="00A6424D">
            <w:pPr>
              <w:spacing w:after="120"/>
              <w:rPr>
                <w:iCs/>
              </w:rPr>
            </w:pPr>
          </w:p>
        </w:tc>
        <w:tc>
          <w:tcPr>
            <w:tcW w:w="6485" w:type="dxa"/>
          </w:tcPr>
          <w:p w14:paraId="73A563B2" w14:textId="77777777" w:rsidR="00D373C5" w:rsidRPr="00F22671" w:rsidRDefault="00D373C5" w:rsidP="00A6424D">
            <w:pPr>
              <w:pStyle w:val="ListParagraph"/>
              <w:numPr>
                <w:ilvl w:val="0"/>
                <w:numId w:val="24"/>
              </w:numPr>
              <w:spacing w:after="120"/>
              <w:cnfStyle w:val="000000100000" w:firstRow="0" w:lastRow="0" w:firstColumn="0" w:lastColumn="0" w:oddVBand="0" w:evenVBand="0" w:oddHBand="1" w:evenHBand="0" w:firstRowFirstColumn="0" w:firstRowLastColumn="0" w:lastRowFirstColumn="0" w:lastRowLastColumn="0"/>
              <w:rPr>
                <w:iCs/>
              </w:rPr>
            </w:pPr>
            <w:r w:rsidRPr="00F22671">
              <w:t>Oversees and administers the Committee policy framework and governance process, which provides the structure to guide the development of Committee Policies</w:t>
            </w:r>
          </w:p>
          <w:p w14:paraId="37399A4D" w14:textId="16E0AF08" w:rsidR="00D373C5" w:rsidRPr="00694E26" w:rsidRDefault="00D373C5" w:rsidP="00A6424D">
            <w:pPr>
              <w:pStyle w:val="ListParagraph"/>
              <w:numPr>
                <w:ilvl w:val="0"/>
                <w:numId w:val="24"/>
              </w:numPr>
              <w:spacing w:after="120"/>
              <w:cnfStyle w:val="000000100000" w:firstRow="0" w:lastRow="0" w:firstColumn="0" w:lastColumn="0" w:oddVBand="0" w:evenVBand="0" w:oddHBand="1" w:evenHBand="0" w:firstRowFirstColumn="0" w:firstRowLastColumn="0" w:lastRowFirstColumn="0" w:lastRowLastColumn="0"/>
              <w:rPr>
                <w:iCs/>
              </w:rPr>
            </w:pPr>
            <w:r w:rsidRPr="00F22671">
              <w:rPr>
                <w:iCs/>
              </w:rPr>
              <w:t>Aligns I</w:t>
            </w:r>
            <w:r w:rsidR="006F6BAB">
              <w:rPr>
                <w:iCs/>
              </w:rPr>
              <w:t>T</w:t>
            </w:r>
            <w:r w:rsidRPr="00F22671">
              <w:rPr>
                <w:iCs/>
              </w:rPr>
              <w:t xml:space="preserve"> Investment Policy based on the agency mission and risks</w:t>
            </w:r>
          </w:p>
        </w:tc>
      </w:tr>
      <w:tr w:rsidR="00D373C5" w14:paraId="3EC99497" w14:textId="77777777" w:rsidTr="0054762A">
        <w:tc>
          <w:tcPr>
            <w:cnfStyle w:val="001000000000" w:firstRow="0" w:lastRow="0" w:firstColumn="1" w:lastColumn="0" w:oddVBand="0" w:evenVBand="0" w:oddHBand="0" w:evenHBand="0" w:firstRowFirstColumn="0" w:firstRowLastColumn="0" w:lastRowFirstColumn="0" w:lastRowLastColumn="0"/>
            <w:tcW w:w="2515" w:type="dxa"/>
          </w:tcPr>
          <w:p w14:paraId="59302F0C" w14:textId="77777777" w:rsidR="00D373C5" w:rsidRPr="009617B4" w:rsidRDefault="00D373C5" w:rsidP="00A6424D">
            <w:pPr>
              <w:spacing w:after="120"/>
              <w:rPr>
                <w:iCs/>
              </w:rPr>
            </w:pPr>
            <w:r>
              <w:rPr>
                <w:iCs/>
              </w:rPr>
              <w:t>Committee Members</w:t>
            </w:r>
          </w:p>
        </w:tc>
        <w:tc>
          <w:tcPr>
            <w:tcW w:w="6485" w:type="dxa"/>
          </w:tcPr>
          <w:p w14:paraId="2889B767" w14:textId="54E0AB5D" w:rsidR="00D373C5" w:rsidRDefault="00D373C5" w:rsidP="00A6424D">
            <w:pPr>
              <w:pStyle w:val="ListParagraph"/>
              <w:numPr>
                <w:ilvl w:val="0"/>
                <w:numId w:val="27"/>
              </w:numPr>
              <w:spacing w:after="120"/>
              <w:cnfStyle w:val="000000000000" w:firstRow="0" w:lastRow="0" w:firstColumn="0" w:lastColumn="0" w:oddVBand="0" w:evenVBand="0" w:oddHBand="0" w:evenHBand="0" w:firstRowFirstColumn="0" w:firstRowLastColumn="0" w:lastRowFirstColumn="0" w:lastRowLastColumn="0"/>
              <w:rPr>
                <w:iCs/>
              </w:rPr>
            </w:pPr>
            <w:r>
              <w:rPr>
                <w:iCs/>
              </w:rPr>
              <w:t>C</w:t>
            </w:r>
            <w:r w:rsidRPr="00F24867">
              <w:rPr>
                <w:iCs/>
              </w:rPr>
              <w:t>ommittee of executive</w:t>
            </w:r>
            <w:r w:rsidR="00F47B78">
              <w:rPr>
                <w:iCs/>
              </w:rPr>
              <w:t xml:space="preserve"> leaders</w:t>
            </w:r>
            <w:r w:rsidRPr="00F24867">
              <w:rPr>
                <w:iCs/>
              </w:rPr>
              <w:t xml:space="preserve"> to direct, review, and approve IT strategic plans, oversee major initiatives, and allocate resources</w:t>
            </w:r>
          </w:p>
          <w:p w14:paraId="464DAE4E" w14:textId="77777777" w:rsidR="00D373C5" w:rsidRDefault="00D373C5" w:rsidP="00A6424D">
            <w:pPr>
              <w:pStyle w:val="ListParagraph"/>
              <w:numPr>
                <w:ilvl w:val="0"/>
                <w:numId w:val="27"/>
              </w:numPr>
              <w:spacing w:after="120"/>
              <w:cnfStyle w:val="000000000000" w:firstRow="0" w:lastRow="0" w:firstColumn="0" w:lastColumn="0" w:oddVBand="0" w:evenVBand="0" w:oddHBand="0" w:evenHBand="0" w:firstRowFirstColumn="0" w:firstRowLastColumn="0" w:lastRowFirstColumn="0" w:lastRowLastColumn="0"/>
              <w:rPr>
                <w:iCs/>
              </w:rPr>
            </w:pPr>
            <w:r>
              <w:rPr>
                <w:iCs/>
              </w:rPr>
              <w:t>E</w:t>
            </w:r>
            <w:r w:rsidRPr="00F24867">
              <w:rPr>
                <w:iCs/>
              </w:rPr>
              <w:t xml:space="preserve">stablishes IT priorities for the </w:t>
            </w:r>
            <w:r>
              <w:rPr>
                <w:iCs/>
              </w:rPr>
              <w:t>agency</w:t>
            </w:r>
            <w:r w:rsidRPr="00F24867">
              <w:rPr>
                <w:iCs/>
              </w:rPr>
              <w:t xml:space="preserve"> as a whole </w:t>
            </w:r>
          </w:p>
          <w:p w14:paraId="2D24AF8B" w14:textId="2EC07521" w:rsidR="00D373C5" w:rsidRPr="00476BFF" w:rsidRDefault="00D373C5" w:rsidP="00A6424D">
            <w:pPr>
              <w:pStyle w:val="ListParagraph"/>
              <w:numPr>
                <w:ilvl w:val="0"/>
                <w:numId w:val="27"/>
              </w:numPr>
              <w:spacing w:after="120"/>
              <w:cnfStyle w:val="000000000000" w:firstRow="0" w:lastRow="0" w:firstColumn="0" w:lastColumn="0" w:oddVBand="0" w:evenVBand="0" w:oddHBand="0" w:evenHBand="0" w:firstRowFirstColumn="0" w:firstRowLastColumn="0" w:lastRowFirstColumn="0" w:lastRowLastColumn="0"/>
              <w:rPr>
                <w:iCs/>
              </w:rPr>
            </w:pPr>
            <w:r w:rsidRPr="00476BFF">
              <w:rPr>
                <w:iCs/>
              </w:rPr>
              <w:t>Approve an</w:t>
            </w:r>
            <w:r>
              <w:rPr>
                <w:iCs/>
              </w:rPr>
              <w:t>d maintains the</w:t>
            </w:r>
            <w:r w:rsidRPr="00476BFF">
              <w:rPr>
                <w:iCs/>
              </w:rPr>
              <w:t xml:space="preserve"> IT strategic plan</w:t>
            </w:r>
            <w:r>
              <w:rPr>
                <w:iCs/>
              </w:rPr>
              <w:t xml:space="preserve"> </w:t>
            </w:r>
            <w:r w:rsidRPr="00476BFF">
              <w:rPr>
                <w:iCs/>
              </w:rPr>
              <w:t xml:space="preserve">that aligns with the overall business strategy </w:t>
            </w:r>
          </w:p>
          <w:p w14:paraId="301AF914" w14:textId="77777777" w:rsidR="00D373C5" w:rsidRDefault="00D373C5" w:rsidP="00F47B78">
            <w:pPr>
              <w:pStyle w:val="ListParagraph"/>
              <w:numPr>
                <w:ilvl w:val="0"/>
                <w:numId w:val="27"/>
              </w:numPr>
              <w:spacing w:after="120"/>
              <w:cnfStyle w:val="000000000000" w:firstRow="0" w:lastRow="0" w:firstColumn="0" w:lastColumn="0" w:oddVBand="0" w:evenVBand="0" w:oddHBand="0" w:evenHBand="0" w:firstRowFirstColumn="0" w:firstRowLastColumn="0" w:lastRowFirstColumn="0" w:lastRowLastColumn="0"/>
              <w:rPr>
                <w:iCs/>
              </w:rPr>
            </w:pPr>
            <w:r w:rsidRPr="00476BFF">
              <w:rPr>
                <w:iCs/>
              </w:rPr>
              <w:t xml:space="preserve">Promote effective IT governance for </w:t>
            </w:r>
            <w:r>
              <w:rPr>
                <w:iCs/>
              </w:rPr>
              <w:t xml:space="preserve">the agency </w:t>
            </w:r>
            <w:r w:rsidRPr="00476BFF">
              <w:rPr>
                <w:iCs/>
              </w:rPr>
              <w:t>driv</w:t>
            </w:r>
            <w:r>
              <w:rPr>
                <w:iCs/>
              </w:rPr>
              <w:t>ing</w:t>
            </w:r>
            <w:r w:rsidRPr="00476BFF">
              <w:rPr>
                <w:iCs/>
              </w:rPr>
              <w:t xml:space="preserve"> implementation of strategy </w:t>
            </w:r>
          </w:p>
          <w:p w14:paraId="3994E7E5" w14:textId="77777777" w:rsidR="006024B9" w:rsidRPr="006024B9" w:rsidRDefault="00F47B78" w:rsidP="00F47B78">
            <w:pPr>
              <w:pStyle w:val="ListParagraph"/>
              <w:numPr>
                <w:ilvl w:val="0"/>
                <w:numId w:val="27"/>
              </w:numPr>
              <w:spacing w:after="120"/>
              <w:cnfStyle w:val="000000000000" w:firstRow="0" w:lastRow="0" w:firstColumn="0" w:lastColumn="0" w:oddVBand="0" w:evenVBand="0" w:oddHBand="0" w:evenHBand="0" w:firstRowFirstColumn="0" w:firstRowLastColumn="0" w:lastRowFirstColumn="0" w:lastRowLastColumn="0"/>
              <w:rPr>
                <w:iCs/>
              </w:rPr>
            </w:pPr>
            <w:r w:rsidRPr="007B3675">
              <w:rPr>
                <w:rFonts w:eastAsia="Times New Roman" w:cstheme="minorHAnsi"/>
                <w:color w:val="1B1B1B"/>
              </w:rPr>
              <w:t xml:space="preserve">Provide input to meeting agendas. </w:t>
            </w:r>
          </w:p>
          <w:p w14:paraId="1FCAB68A" w14:textId="4ABBB810" w:rsidR="00F47B78" w:rsidRPr="00F47B78" w:rsidRDefault="00F47B78" w:rsidP="00F47B78">
            <w:pPr>
              <w:pStyle w:val="ListParagraph"/>
              <w:numPr>
                <w:ilvl w:val="0"/>
                <w:numId w:val="27"/>
              </w:numPr>
              <w:spacing w:after="120"/>
              <w:cnfStyle w:val="000000000000" w:firstRow="0" w:lastRow="0" w:firstColumn="0" w:lastColumn="0" w:oddVBand="0" w:evenVBand="0" w:oddHBand="0" w:evenHBand="0" w:firstRowFirstColumn="0" w:firstRowLastColumn="0" w:lastRowFirstColumn="0" w:lastRowLastColumn="0"/>
              <w:rPr>
                <w:iCs/>
              </w:rPr>
            </w:pPr>
            <w:r w:rsidRPr="007B3675">
              <w:rPr>
                <w:rFonts w:eastAsia="Times New Roman" w:cstheme="minorHAnsi"/>
                <w:color w:val="1B1B1B"/>
              </w:rPr>
              <w:t>Discuss, evaluate and vote on action items.</w:t>
            </w:r>
          </w:p>
        </w:tc>
      </w:tr>
      <w:tr w:rsidR="00D373C5" w14:paraId="20307D8F" w14:textId="77777777" w:rsidTr="005476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56563122" w14:textId="2F2EFAE2" w:rsidR="00D373C5" w:rsidRDefault="00D373C5" w:rsidP="00A6424D">
            <w:pPr>
              <w:spacing w:after="120"/>
              <w:rPr>
                <w:iCs/>
              </w:rPr>
            </w:pPr>
            <w:r w:rsidRPr="009617B4">
              <w:rPr>
                <w:iCs/>
              </w:rPr>
              <w:lastRenderedPageBreak/>
              <w:t>C</w:t>
            </w:r>
            <w:r w:rsidR="00F22671">
              <w:rPr>
                <w:iCs/>
              </w:rPr>
              <w:t xml:space="preserve">hief </w:t>
            </w:r>
            <w:r w:rsidRPr="009617B4">
              <w:rPr>
                <w:iCs/>
              </w:rPr>
              <w:t>I</w:t>
            </w:r>
            <w:r w:rsidR="00F22671">
              <w:rPr>
                <w:iCs/>
              </w:rPr>
              <w:t xml:space="preserve">nformation </w:t>
            </w:r>
            <w:r w:rsidRPr="009617B4">
              <w:rPr>
                <w:iCs/>
              </w:rPr>
              <w:t>O</w:t>
            </w:r>
            <w:r w:rsidR="00F22671">
              <w:rPr>
                <w:iCs/>
              </w:rPr>
              <w:t>fficer / Technical Lead</w:t>
            </w:r>
            <w:r w:rsidRPr="009617B4">
              <w:rPr>
                <w:iCs/>
              </w:rPr>
              <w:tab/>
            </w:r>
          </w:p>
        </w:tc>
        <w:tc>
          <w:tcPr>
            <w:tcW w:w="6485" w:type="dxa"/>
          </w:tcPr>
          <w:p w14:paraId="43A7BBBE" w14:textId="77777777" w:rsidR="00D373C5" w:rsidRPr="00F22671" w:rsidRDefault="00D373C5" w:rsidP="00A6424D">
            <w:pPr>
              <w:pStyle w:val="ListParagraph"/>
              <w:numPr>
                <w:ilvl w:val="0"/>
                <w:numId w:val="25"/>
              </w:numPr>
              <w:spacing w:after="120"/>
              <w:cnfStyle w:val="000000100000" w:firstRow="0" w:lastRow="0" w:firstColumn="0" w:lastColumn="0" w:oddVBand="0" w:evenVBand="0" w:oddHBand="1" w:evenHBand="0" w:firstRowFirstColumn="0" w:firstRowLastColumn="0" w:lastRowFirstColumn="0" w:lastRowLastColumn="0"/>
              <w:rPr>
                <w:iCs/>
              </w:rPr>
            </w:pPr>
            <w:r w:rsidRPr="00F22671">
              <w:t>Assistant to the Committee, supports the Committee Chair in administering the Committee policy framework and governance processes.</w:t>
            </w:r>
          </w:p>
          <w:p w14:paraId="14DA526D" w14:textId="77777777" w:rsidR="00D373C5" w:rsidRPr="00F22671" w:rsidRDefault="00D373C5" w:rsidP="00A6424D">
            <w:pPr>
              <w:pStyle w:val="ListParagraph"/>
              <w:numPr>
                <w:ilvl w:val="0"/>
                <w:numId w:val="25"/>
              </w:numPr>
              <w:spacing w:after="120"/>
              <w:cnfStyle w:val="000000100000" w:firstRow="0" w:lastRow="0" w:firstColumn="0" w:lastColumn="0" w:oddVBand="0" w:evenVBand="0" w:oddHBand="1" w:evenHBand="0" w:firstRowFirstColumn="0" w:firstRowLastColumn="0" w:lastRowFirstColumn="0" w:lastRowLastColumn="0"/>
              <w:rPr>
                <w:iCs/>
              </w:rPr>
            </w:pPr>
            <w:r w:rsidRPr="00F22671">
              <w:rPr>
                <w:iCs/>
              </w:rPr>
              <w:t>Sponsors the Information Technology to ensure the information investment and risk process is followed for agency activities, processes, and projects</w:t>
            </w:r>
          </w:p>
          <w:p w14:paraId="3FED69BA" w14:textId="65B4957D" w:rsidR="00D373C5" w:rsidRPr="00F47B78" w:rsidRDefault="00D373C5" w:rsidP="00F47B78">
            <w:pPr>
              <w:pStyle w:val="ListParagraph"/>
              <w:numPr>
                <w:ilvl w:val="0"/>
                <w:numId w:val="25"/>
              </w:numPr>
              <w:spacing w:after="120"/>
              <w:cnfStyle w:val="000000100000" w:firstRow="0" w:lastRow="0" w:firstColumn="0" w:lastColumn="0" w:oddVBand="0" w:evenVBand="0" w:oddHBand="1" w:evenHBand="0" w:firstRowFirstColumn="0" w:firstRowLastColumn="0" w:lastRowFirstColumn="0" w:lastRowLastColumn="0"/>
              <w:rPr>
                <w:iCs/>
              </w:rPr>
            </w:pPr>
            <w:r w:rsidRPr="00F22671">
              <w:rPr>
                <w:iCs/>
              </w:rPr>
              <w:t xml:space="preserve">Ownership of the workforce planning </w:t>
            </w:r>
            <w:r w:rsidRPr="00F47B78">
              <w:rPr>
                <w:iCs/>
              </w:rPr>
              <w:t xml:space="preserve">process </w:t>
            </w:r>
          </w:p>
          <w:p w14:paraId="5549DCCC" w14:textId="77777777" w:rsidR="00D373C5" w:rsidRPr="00F22671" w:rsidRDefault="00D373C5" w:rsidP="00A6424D">
            <w:pPr>
              <w:pStyle w:val="ListParagraph"/>
              <w:numPr>
                <w:ilvl w:val="0"/>
                <w:numId w:val="25"/>
              </w:numPr>
              <w:spacing w:after="120"/>
              <w:cnfStyle w:val="000000100000" w:firstRow="0" w:lastRow="0" w:firstColumn="0" w:lastColumn="0" w:oddVBand="0" w:evenVBand="0" w:oddHBand="1" w:evenHBand="0" w:firstRowFirstColumn="0" w:firstRowLastColumn="0" w:lastRowFirstColumn="0" w:lastRowLastColumn="0"/>
              <w:rPr>
                <w:iCs/>
              </w:rPr>
            </w:pPr>
            <w:r w:rsidRPr="00F22671">
              <w:rPr>
                <w:iCs/>
              </w:rPr>
              <w:t xml:space="preserve">Allocate resources necessary for workforce planning success </w:t>
            </w:r>
          </w:p>
          <w:p w14:paraId="0DA852DB" w14:textId="77777777" w:rsidR="00D373C5" w:rsidRPr="00F22671" w:rsidRDefault="00D373C5" w:rsidP="00A6424D">
            <w:pPr>
              <w:pStyle w:val="ListParagraph"/>
              <w:numPr>
                <w:ilvl w:val="0"/>
                <w:numId w:val="25"/>
              </w:numPr>
              <w:spacing w:after="120"/>
              <w:cnfStyle w:val="000000100000" w:firstRow="0" w:lastRow="0" w:firstColumn="0" w:lastColumn="0" w:oddVBand="0" w:evenVBand="0" w:oddHBand="1" w:evenHBand="0" w:firstRowFirstColumn="0" w:firstRowLastColumn="0" w:lastRowFirstColumn="0" w:lastRowLastColumn="0"/>
              <w:rPr>
                <w:iCs/>
              </w:rPr>
            </w:pPr>
            <w:r w:rsidRPr="00F22671">
              <w:rPr>
                <w:iCs/>
              </w:rPr>
              <w:t xml:space="preserve">Communicate progress internally and externally </w:t>
            </w:r>
          </w:p>
          <w:p w14:paraId="6A88E119" w14:textId="1F471CFE" w:rsidR="00D373C5" w:rsidRPr="00F47B78" w:rsidRDefault="00D373C5" w:rsidP="00F47B78">
            <w:pPr>
              <w:pStyle w:val="ListParagraph"/>
              <w:numPr>
                <w:ilvl w:val="0"/>
                <w:numId w:val="25"/>
              </w:numPr>
              <w:spacing w:after="120"/>
              <w:cnfStyle w:val="000000100000" w:firstRow="0" w:lastRow="0" w:firstColumn="0" w:lastColumn="0" w:oddVBand="0" w:evenVBand="0" w:oddHBand="1" w:evenHBand="0" w:firstRowFirstColumn="0" w:firstRowLastColumn="0" w:lastRowFirstColumn="0" w:lastRowLastColumn="0"/>
              <w:rPr>
                <w:iCs/>
              </w:rPr>
            </w:pPr>
            <w:r w:rsidRPr="00F22671">
              <w:rPr>
                <w:iCs/>
              </w:rPr>
              <w:t>Ensure alignment with agency IT strategic plan</w:t>
            </w:r>
          </w:p>
        </w:tc>
      </w:tr>
      <w:tr w:rsidR="00D373C5" w14:paraId="2F9DE4C2" w14:textId="77777777" w:rsidTr="0054762A">
        <w:tc>
          <w:tcPr>
            <w:cnfStyle w:val="001000000000" w:firstRow="0" w:lastRow="0" w:firstColumn="1" w:lastColumn="0" w:oddVBand="0" w:evenVBand="0" w:oddHBand="0" w:evenHBand="0" w:firstRowFirstColumn="0" w:firstRowLastColumn="0" w:lastRowFirstColumn="0" w:lastRowLastColumn="0"/>
            <w:tcW w:w="2515" w:type="dxa"/>
          </w:tcPr>
          <w:p w14:paraId="7F4DABFD" w14:textId="77777777" w:rsidR="00D373C5" w:rsidRPr="009617B4" w:rsidRDefault="00D373C5" w:rsidP="00A6424D">
            <w:pPr>
              <w:spacing w:after="120"/>
              <w:rPr>
                <w:iCs/>
              </w:rPr>
            </w:pPr>
            <w:r>
              <w:rPr>
                <w:iCs/>
              </w:rPr>
              <w:t>Open Data Coordinator</w:t>
            </w:r>
            <w:r w:rsidRPr="009617B4">
              <w:rPr>
                <w:iCs/>
              </w:rPr>
              <w:tab/>
            </w:r>
          </w:p>
          <w:p w14:paraId="61CC0F54" w14:textId="77777777" w:rsidR="00D373C5" w:rsidRDefault="00D373C5" w:rsidP="00A6424D">
            <w:pPr>
              <w:spacing w:after="120"/>
              <w:rPr>
                <w:iCs/>
              </w:rPr>
            </w:pPr>
          </w:p>
        </w:tc>
        <w:tc>
          <w:tcPr>
            <w:tcW w:w="6485" w:type="dxa"/>
          </w:tcPr>
          <w:p w14:paraId="6C75049F" w14:textId="77777777" w:rsidR="00D373C5" w:rsidRPr="00694E26" w:rsidRDefault="00D373C5" w:rsidP="00A6424D">
            <w:pPr>
              <w:pStyle w:val="ListParagraph"/>
              <w:numPr>
                <w:ilvl w:val="0"/>
                <w:numId w:val="25"/>
              </w:numPr>
              <w:spacing w:after="120"/>
              <w:cnfStyle w:val="000000000000" w:firstRow="0" w:lastRow="0" w:firstColumn="0" w:lastColumn="0" w:oddVBand="0" w:evenVBand="0" w:oddHBand="0" w:evenHBand="0" w:firstRowFirstColumn="0" w:firstRowLastColumn="0" w:lastRowFirstColumn="0" w:lastRowLastColumn="0"/>
              <w:rPr>
                <w:iCs/>
              </w:rPr>
            </w:pPr>
            <w:r w:rsidRPr="00694E26">
              <w:rPr>
                <w:iCs/>
              </w:rPr>
              <w:t>Has oversight responsibility for information related to the mission that is managed, administered, or run by the agency</w:t>
            </w:r>
          </w:p>
          <w:p w14:paraId="26769E26" w14:textId="186887BE" w:rsidR="00D373C5" w:rsidRPr="00F47B78" w:rsidRDefault="00D373C5" w:rsidP="00F47B78">
            <w:pPr>
              <w:pStyle w:val="ListParagraph"/>
              <w:numPr>
                <w:ilvl w:val="0"/>
                <w:numId w:val="25"/>
              </w:numPr>
              <w:spacing w:after="120"/>
              <w:cnfStyle w:val="000000000000" w:firstRow="0" w:lastRow="0" w:firstColumn="0" w:lastColumn="0" w:oddVBand="0" w:evenVBand="0" w:oddHBand="0" w:evenHBand="0" w:firstRowFirstColumn="0" w:firstRowLastColumn="0" w:lastRowFirstColumn="0" w:lastRowLastColumn="0"/>
              <w:rPr>
                <w:iCs/>
              </w:rPr>
            </w:pPr>
            <w:r w:rsidRPr="00694E26">
              <w:rPr>
                <w:iCs/>
              </w:rPr>
              <w:t>Authorizes/Defines policies, standards, and guidelines regarding business definitions of information, access, and usage of that information</w:t>
            </w:r>
          </w:p>
        </w:tc>
      </w:tr>
      <w:tr w:rsidR="00D373C5" w14:paraId="6E7AE2D9" w14:textId="77777777" w:rsidTr="005476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575DAEDB" w14:textId="77777777" w:rsidR="00D373C5" w:rsidRPr="009617B4" w:rsidRDefault="00D373C5" w:rsidP="00A6424D">
            <w:pPr>
              <w:spacing w:after="120"/>
              <w:rPr>
                <w:iCs/>
              </w:rPr>
            </w:pPr>
            <w:r>
              <w:rPr>
                <w:iCs/>
              </w:rPr>
              <w:t>State Assistant Chief Information Officer (ASCIO)</w:t>
            </w:r>
          </w:p>
        </w:tc>
        <w:tc>
          <w:tcPr>
            <w:tcW w:w="6485" w:type="dxa"/>
          </w:tcPr>
          <w:p w14:paraId="4009F33B" w14:textId="77777777" w:rsidR="00D373C5" w:rsidRPr="00694E26" w:rsidRDefault="00D373C5" w:rsidP="00A6424D">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iCs/>
              </w:rPr>
            </w:pPr>
            <w:r w:rsidRPr="00694E26">
              <w:rPr>
                <w:iCs/>
              </w:rPr>
              <w:t>Consults with IT Governance Committee to understand agency IT mission and risks and provides guidance to bring them into alignment state Enterprise objectives</w:t>
            </w:r>
          </w:p>
          <w:p w14:paraId="58C4F8F2" w14:textId="77777777" w:rsidR="00D373C5" w:rsidRDefault="00D373C5" w:rsidP="00A6424D">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iCs/>
              </w:rPr>
            </w:pPr>
            <w:r w:rsidRPr="00CE07A9">
              <w:rPr>
                <w:iCs/>
              </w:rPr>
              <w:t xml:space="preserve">Assisting the </w:t>
            </w:r>
            <w:r>
              <w:rPr>
                <w:iCs/>
              </w:rPr>
              <w:t>Committee</w:t>
            </w:r>
            <w:r w:rsidRPr="00CE07A9">
              <w:rPr>
                <w:iCs/>
              </w:rPr>
              <w:t xml:space="preserve"> in developing and implementing the state information technology strategic plans</w:t>
            </w:r>
          </w:p>
          <w:p w14:paraId="178F45F1" w14:textId="77777777" w:rsidR="00D373C5" w:rsidRPr="00656EFF" w:rsidRDefault="00D373C5" w:rsidP="00A6424D">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iCs/>
              </w:rPr>
            </w:pPr>
            <w:r w:rsidRPr="00656EFF">
              <w:rPr>
                <w:iCs/>
              </w:rPr>
              <w:t>Assessing executive branch departments’ progress in meeting the objectives defined in the state information technology strategic plans and identifying best practices for shared or consolidated services</w:t>
            </w:r>
          </w:p>
        </w:tc>
      </w:tr>
      <w:tr w:rsidR="00D373C5" w14:paraId="22ED3434" w14:textId="77777777" w:rsidTr="0054762A">
        <w:tc>
          <w:tcPr>
            <w:cnfStyle w:val="001000000000" w:firstRow="0" w:lastRow="0" w:firstColumn="1" w:lastColumn="0" w:oddVBand="0" w:evenVBand="0" w:oddHBand="0" w:evenHBand="0" w:firstRowFirstColumn="0" w:firstRowLastColumn="0" w:lastRowFirstColumn="0" w:lastRowLastColumn="0"/>
            <w:tcW w:w="2515" w:type="dxa"/>
          </w:tcPr>
          <w:p w14:paraId="672A323B" w14:textId="77777777" w:rsidR="00D373C5" w:rsidRDefault="00D373C5" w:rsidP="00A6424D">
            <w:pPr>
              <w:spacing w:after="120"/>
              <w:rPr>
                <w:iCs/>
              </w:rPr>
            </w:pPr>
            <w:r w:rsidRPr="007B3675">
              <w:rPr>
                <w:rFonts w:eastAsia="Times New Roman" w:cstheme="minorHAnsi"/>
                <w:color w:val="1B1B1B"/>
              </w:rPr>
              <w:t>Advisory Members</w:t>
            </w:r>
          </w:p>
        </w:tc>
        <w:tc>
          <w:tcPr>
            <w:tcW w:w="6485" w:type="dxa"/>
          </w:tcPr>
          <w:p w14:paraId="58D5F38C" w14:textId="77777777" w:rsidR="00D373C5" w:rsidRPr="00694E26" w:rsidRDefault="00D373C5" w:rsidP="00A6424D">
            <w:pPr>
              <w:pStyle w:val="ListParagraph"/>
              <w:numPr>
                <w:ilvl w:val="0"/>
                <w:numId w:val="26"/>
              </w:numPr>
              <w:spacing w:after="120"/>
              <w:cnfStyle w:val="000000000000" w:firstRow="0" w:lastRow="0" w:firstColumn="0" w:lastColumn="0" w:oddVBand="0" w:evenVBand="0" w:oddHBand="0" w:evenHBand="0" w:firstRowFirstColumn="0" w:firstRowLastColumn="0" w:lastRowFirstColumn="0" w:lastRowLastColumn="0"/>
              <w:rPr>
                <w:iCs/>
              </w:rPr>
            </w:pPr>
            <w:r w:rsidRPr="007B3675">
              <w:rPr>
                <w:rFonts w:eastAsia="Times New Roman" w:cstheme="minorHAnsi"/>
                <w:color w:val="1B1B1B"/>
              </w:rPr>
              <w:t>Provide technical, organizational, business or other expertise to support informed discussions on risks and issues. Provide input to meeting agendas.</w:t>
            </w:r>
          </w:p>
        </w:tc>
      </w:tr>
      <w:tr w:rsidR="00D373C5" w14:paraId="31761067" w14:textId="77777777" w:rsidTr="005476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00F8696A" w14:textId="77777777" w:rsidR="00D373C5" w:rsidRDefault="00D373C5" w:rsidP="00A6424D">
            <w:pPr>
              <w:spacing w:after="120"/>
              <w:rPr>
                <w:iCs/>
              </w:rPr>
            </w:pPr>
            <w:r w:rsidRPr="007B3675">
              <w:rPr>
                <w:rFonts w:eastAsia="Times New Roman" w:cstheme="minorHAnsi"/>
                <w:color w:val="1B1B1B"/>
              </w:rPr>
              <w:t>Project Managers</w:t>
            </w:r>
          </w:p>
        </w:tc>
        <w:tc>
          <w:tcPr>
            <w:tcW w:w="6485" w:type="dxa"/>
          </w:tcPr>
          <w:p w14:paraId="54F0B5AA" w14:textId="6957195E" w:rsidR="00D373C5" w:rsidRPr="00694E26" w:rsidRDefault="00D373C5" w:rsidP="00A6424D">
            <w:pPr>
              <w:pStyle w:val="ListParagraph"/>
              <w:numPr>
                <w:ilvl w:val="0"/>
                <w:numId w:val="26"/>
              </w:numPr>
              <w:spacing w:after="120"/>
              <w:cnfStyle w:val="000000100000" w:firstRow="0" w:lastRow="0" w:firstColumn="0" w:lastColumn="0" w:oddVBand="0" w:evenVBand="0" w:oddHBand="1" w:evenHBand="0" w:firstRowFirstColumn="0" w:firstRowLastColumn="0" w:lastRowFirstColumn="0" w:lastRowLastColumn="0"/>
              <w:rPr>
                <w:iCs/>
              </w:rPr>
            </w:pPr>
            <w:r w:rsidRPr="007B3675">
              <w:rPr>
                <w:rFonts w:eastAsia="Times New Roman" w:cstheme="minorHAnsi"/>
                <w:color w:val="1B1B1B"/>
              </w:rPr>
              <w:t xml:space="preserve">Report to the </w:t>
            </w:r>
            <w:r>
              <w:rPr>
                <w:rFonts w:eastAsia="Times New Roman" w:cstheme="minorHAnsi"/>
                <w:color w:val="1B1B1B"/>
              </w:rPr>
              <w:t>committee</w:t>
            </w:r>
            <w:r w:rsidRPr="007B3675">
              <w:rPr>
                <w:rFonts w:eastAsia="Times New Roman" w:cstheme="minorHAnsi"/>
                <w:color w:val="1B1B1B"/>
              </w:rPr>
              <w:t xml:space="preserve"> on project status, cost, schedule, scope and risks. Responsible for project implementation and execution.</w:t>
            </w:r>
          </w:p>
        </w:tc>
      </w:tr>
    </w:tbl>
    <w:p w14:paraId="0710221A" w14:textId="77777777" w:rsidR="00D373C5" w:rsidRPr="00D373C5" w:rsidRDefault="00D373C5" w:rsidP="001F0577">
      <w:pPr>
        <w:spacing w:after="240"/>
        <w:rPr>
          <w:rStyle w:val="Heading1Char"/>
          <w:b w:val="0"/>
          <w:iCs/>
          <w:sz w:val="22"/>
          <w:u w:val="none"/>
        </w:rPr>
      </w:pPr>
    </w:p>
    <w:p w14:paraId="5F033DC3" w14:textId="75ADE98E" w:rsidR="00865E92" w:rsidRDefault="00D373C5" w:rsidP="00BD6172">
      <w:pPr>
        <w:pStyle w:val="ListParagraph"/>
        <w:numPr>
          <w:ilvl w:val="0"/>
          <w:numId w:val="15"/>
        </w:numPr>
        <w:spacing w:after="0"/>
        <w:rPr>
          <w:rStyle w:val="Heading1Char"/>
          <w:szCs w:val="28"/>
        </w:rPr>
      </w:pPr>
      <w:r>
        <w:rPr>
          <w:rStyle w:val="Heading1Char"/>
          <w:szCs w:val="28"/>
        </w:rPr>
        <w:t>FREQUENCY OF MEETINGS</w:t>
      </w:r>
      <w:r w:rsidR="00865E92" w:rsidRPr="00865E92">
        <w:rPr>
          <w:rStyle w:val="Heading1Char"/>
          <w:szCs w:val="28"/>
        </w:rPr>
        <w:t xml:space="preserve">: </w:t>
      </w:r>
    </w:p>
    <w:p w14:paraId="30E9F213" w14:textId="6E192369" w:rsidR="00D373C5" w:rsidRPr="00D373C5" w:rsidRDefault="00D373C5" w:rsidP="00B450CA">
      <w:pPr>
        <w:spacing w:after="240"/>
        <w:rPr>
          <w:iCs/>
        </w:rPr>
      </w:pPr>
      <w:r w:rsidRPr="00D373C5">
        <w:rPr>
          <w:iCs/>
        </w:rPr>
        <w:t xml:space="preserve">The Committee shall meet at least </w:t>
      </w:r>
      <w:r w:rsidR="006F6BAB" w:rsidRPr="006F6BAB">
        <w:rPr>
          <w:i/>
          <w:color w:val="0000FF"/>
        </w:rPr>
        <w:t xml:space="preserve">&lt; monthly / </w:t>
      </w:r>
      <w:r w:rsidRPr="006F6BAB">
        <w:rPr>
          <w:i/>
          <w:color w:val="0000FF"/>
        </w:rPr>
        <w:t>quarterly</w:t>
      </w:r>
      <w:r w:rsidR="006F6BAB" w:rsidRPr="006F6BAB">
        <w:rPr>
          <w:i/>
          <w:color w:val="0000FF"/>
        </w:rPr>
        <w:t xml:space="preserve"> &gt;</w:t>
      </w:r>
      <w:r w:rsidRPr="00D373C5">
        <w:rPr>
          <w:iCs/>
        </w:rPr>
        <w:t>, with additional meetings held at the discretion of the Committee Chair. Meetings may be in person, by telephone, web, or any other means acceptable to the Committee. IT</w:t>
      </w:r>
      <w:r w:rsidR="006F6BAB">
        <w:rPr>
          <w:iCs/>
        </w:rPr>
        <w:t>G</w:t>
      </w:r>
      <w:r w:rsidRPr="00D373C5">
        <w:rPr>
          <w:iCs/>
        </w:rPr>
        <w:t xml:space="preserve">C matters may be acted on by verbal and/or written consent of </w:t>
      </w:r>
      <w:proofErr w:type="gramStart"/>
      <w:r w:rsidRPr="00D373C5">
        <w:rPr>
          <w:iCs/>
        </w:rPr>
        <w:t>the majority of</w:t>
      </w:r>
      <w:proofErr w:type="gramEnd"/>
      <w:r w:rsidRPr="00D373C5">
        <w:rPr>
          <w:iCs/>
        </w:rPr>
        <w:t xml:space="preserve"> the Committee members.</w:t>
      </w:r>
    </w:p>
    <w:p w14:paraId="012D7DD0" w14:textId="24B127C5" w:rsidR="00F87ADA" w:rsidRPr="00BD6172" w:rsidRDefault="00D373C5" w:rsidP="00BD6172">
      <w:pPr>
        <w:pStyle w:val="ListParagraph"/>
        <w:numPr>
          <w:ilvl w:val="0"/>
          <w:numId w:val="15"/>
        </w:numPr>
        <w:spacing w:after="0"/>
        <w:rPr>
          <w:rStyle w:val="Heading1Char"/>
          <w:bCs/>
        </w:rPr>
      </w:pPr>
      <w:r w:rsidRPr="00BD6172">
        <w:rPr>
          <w:rStyle w:val="Heading1Char"/>
          <w:bCs/>
        </w:rPr>
        <w:t>OBJECTIVE OF COMMITTEE MEETINGS</w:t>
      </w:r>
    </w:p>
    <w:p w14:paraId="41A1124D" w14:textId="7A3FB6AB" w:rsidR="009D6C2F" w:rsidRDefault="00D373C5" w:rsidP="00B450CA">
      <w:pPr>
        <w:spacing w:after="240"/>
        <w:rPr>
          <w:iCs/>
        </w:rPr>
      </w:pPr>
      <w:r w:rsidRPr="00D373C5">
        <w:rPr>
          <w:iCs/>
        </w:rPr>
        <w:t>The objective of</w:t>
      </w:r>
      <w:r>
        <w:rPr>
          <w:iCs/>
        </w:rPr>
        <w:t xml:space="preserve"> </w:t>
      </w:r>
      <w:r w:rsidRPr="00D373C5">
        <w:rPr>
          <w:iCs/>
        </w:rPr>
        <w:t>IT</w:t>
      </w:r>
      <w:r>
        <w:rPr>
          <w:iCs/>
        </w:rPr>
        <w:t>G</w:t>
      </w:r>
      <w:r w:rsidRPr="00D373C5">
        <w:rPr>
          <w:iCs/>
        </w:rPr>
        <w:t xml:space="preserve">C meetings is to regularly inform and update committee members of both internal and external IT-related developments and activities, potential challenges and risks, progress versus strategic objectives, and to establish a forum where IT-related best practices, strategic plans, new initiatives, and other matters requiring </w:t>
      </w:r>
      <w:r w:rsidR="00D96DC7">
        <w:rPr>
          <w:iCs/>
        </w:rPr>
        <w:t>ITGC</w:t>
      </w:r>
      <w:r w:rsidRPr="00D373C5">
        <w:rPr>
          <w:iCs/>
        </w:rPr>
        <w:t xml:space="preserve"> involvement may be discusse</w:t>
      </w:r>
      <w:r w:rsidR="00D96DC7">
        <w:rPr>
          <w:iCs/>
        </w:rPr>
        <w:t>d</w:t>
      </w:r>
      <w:r w:rsidRPr="00D373C5">
        <w:rPr>
          <w:iCs/>
        </w:rPr>
        <w:t>. Presentations to the IT</w:t>
      </w:r>
      <w:r>
        <w:rPr>
          <w:iCs/>
        </w:rPr>
        <w:t>G</w:t>
      </w:r>
      <w:r w:rsidRPr="00D373C5">
        <w:rPr>
          <w:iCs/>
        </w:rPr>
        <w:t xml:space="preserve">C shall be primarily aimed at information sharing and to assist the Committee in relation to its duties and </w:t>
      </w:r>
      <w:r w:rsidRPr="00D373C5">
        <w:rPr>
          <w:iCs/>
        </w:rPr>
        <w:lastRenderedPageBreak/>
        <w:t>responsibilities. Suggestions and inputs to the IT</w:t>
      </w:r>
      <w:r>
        <w:rPr>
          <w:iCs/>
        </w:rPr>
        <w:t>G</w:t>
      </w:r>
      <w:r w:rsidRPr="00D373C5">
        <w:rPr>
          <w:iCs/>
        </w:rPr>
        <w:t>C to enhance the IT organization, systems and processes are expected.</w:t>
      </w:r>
    </w:p>
    <w:p w14:paraId="39E57BBE" w14:textId="45CD3B6E" w:rsidR="00F47B78" w:rsidRPr="00144D70" w:rsidRDefault="00F47B78" w:rsidP="00144D70">
      <w:pPr>
        <w:pStyle w:val="ListParagraph"/>
        <w:numPr>
          <w:ilvl w:val="0"/>
          <w:numId w:val="26"/>
        </w:numPr>
        <w:spacing w:after="240"/>
        <w:contextualSpacing w:val="0"/>
        <w:rPr>
          <w:iCs/>
        </w:rPr>
      </w:pPr>
      <w:r w:rsidRPr="00F47B78">
        <w:rPr>
          <w:rFonts w:eastAsia="Times New Roman" w:cstheme="minorHAnsi"/>
          <w:color w:val="1B1B1B"/>
        </w:rPr>
        <w:t>Provide oversight and make key decisions ensuring business requirements are met within agreed upon time frames and costs.</w:t>
      </w:r>
    </w:p>
    <w:p w14:paraId="45FB018B" w14:textId="51776072" w:rsidR="00135E77" w:rsidRPr="00BD6172" w:rsidRDefault="00D373C5" w:rsidP="00BD6172">
      <w:pPr>
        <w:pStyle w:val="ListParagraph"/>
        <w:numPr>
          <w:ilvl w:val="0"/>
          <w:numId w:val="15"/>
        </w:numPr>
        <w:spacing w:after="0"/>
        <w:rPr>
          <w:rStyle w:val="Heading1Char"/>
          <w:bCs/>
        </w:rPr>
      </w:pPr>
      <w:r w:rsidRPr="00BD6172">
        <w:rPr>
          <w:rStyle w:val="Heading1Char"/>
          <w:bCs/>
        </w:rPr>
        <w:t>MEETING AGENDA</w:t>
      </w:r>
    </w:p>
    <w:p w14:paraId="23D1E862" w14:textId="1E070DA7" w:rsidR="00BD6172" w:rsidRPr="00BD6172" w:rsidRDefault="00BD6172" w:rsidP="00BD6172">
      <w:pPr>
        <w:spacing w:after="120"/>
        <w:rPr>
          <w:iCs/>
        </w:rPr>
      </w:pPr>
      <w:r w:rsidRPr="00BD6172">
        <w:rPr>
          <w:iCs/>
        </w:rPr>
        <w:t>The list of agenda matters which may be taken up during IT</w:t>
      </w:r>
      <w:r>
        <w:rPr>
          <w:iCs/>
        </w:rPr>
        <w:t>G</w:t>
      </w:r>
      <w:r w:rsidRPr="00BD6172">
        <w:rPr>
          <w:iCs/>
        </w:rPr>
        <w:t>C meetings and their corresponding presenters may include the following topics:</w:t>
      </w:r>
    </w:p>
    <w:p w14:paraId="46CCCBD2" w14:textId="1137B99A" w:rsidR="00BD6172" w:rsidRPr="00561061" w:rsidRDefault="00BD6172" w:rsidP="00561061">
      <w:pPr>
        <w:pStyle w:val="ListParagraph"/>
        <w:numPr>
          <w:ilvl w:val="1"/>
          <w:numId w:val="34"/>
        </w:numPr>
        <w:spacing w:after="120"/>
        <w:rPr>
          <w:iCs/>
        </w:rPr>
      </w:pPr>
      <w:r w:rsidRPr="00561061">
        <w:rPr>
          <w:iCs/>
        </w:rPr>
        <w:t>ELT / ITGC Updates</w:t>
      </w:r>
    </w:p>
    <w:p w14:paraId="09EFBD7F" w14:textId="636AB417" w:rsidR="002B3F0C" w:rsidRDefault="002B3F0C" w:rsidP="002B3F0C">
      <w:pPr>
        <w:pStyle w:val="ListParagraph"/>
        <w:numPr>
          <w:ilvl w:val="1"/>
          <w:numId w:val="34"/>
        </w:numPr>
        <w:spacing w:after="120"/>
      </w:pPr>
      <w:r>
        <w:t>New IT Initiatives</w:t>
      </w:r>
    </w:p>
    <w:p w14:paraId="0F8BC16E" w14:textId="1E1AD1CE" w:rsidR="002B3F0C" w:rsidRDefault="002B3F0C" w:rsidP="002B3F0C">
      <w:pPr>
        <w:pStyle w:val="ListParagraph"/>
        <w:numPr>
          <w:ilvl w:val="1"/>
          <w:numId w:val="34"/>
        </w:numPr>
        <w:spacing w:after="120"/>
      </w:pPr>
      <w:r>
        <w:t>Compliance and Security issues</w:t>
      </w:r>
    </w:p>
    <w:p w14:paraId="05EF8E9A" w14:textId="6173763C" w:rsidR="00D5650C" w:rsidRPr="00D5650C" w:rsidRDefault="00D5650C" w:rsidP="00D5650C">
      <w:pPr>
        <w:pStyle w:val="ListParagraph"/>
        <w:numPr>
          <w:ilvl w:val="1"/>
          <w:numId w:val="34"/>
        </w:numPr>
        <w:spacing w:after="120"/>
        <w:rPr>
          <w:iCs/>
        </w:rPr>
      </w:pPr>
      <w:r w:rsidRPr="00561061">
        <w:rPr>
          <w:iCs/>
        </w:rPr>
        <w:t>Strategic Plan progress updates</w:t>
      </w:r>
    </w:p>
    <w:p w14:paraId="39B4176C" w14:textId="61B775E5" w:rsidR="00BD6172" w:rsidRPr="00561061" w:rsidRDefault="00BD6172" w:rsidP="00561061">
      <w:pPr>
        <w:pStyle w:val="ListParagraph"/>
        <w:numPr>
          <w:ilvl w:val="1"/>
          <w:numId w:val="34"/>
        </w:numPr>
        <w:spacing w:after="120"/>
        <w:rPr>
          <w:iCs/>
        </w:rPr>
      </w:pPr>
      <w:r w:rsidRPr="00561061">
        <w:rPr>
          <w:iCs/>
        </w:rPr>
        <w:t>Major IT Projects Status Updates, including related financial / business reviews</w:t>
      </w:r>
    </w:p>
    <w:p w14:paraId="76534043" w14:textId="75594001" w:rsidR="007B3675" w:rsidRPr="00144D70" w:rsidRDefault="00BD6172" w:rsidP="001F0577">
      <w:pPr>
        <w:pStyle w:val="ListParagraph"/>
        <w:numPr>
          <w:ilvl w:val="1"/>
          <w:numId w:val="34"/>
        </w:numPr>
        <w:spacing w:after="240"/>
        <w:contextualSpacing w:val="0"/>
        <w:rPr>
          <w:iCs/>
        </w:rPr>
      </w:pPr>
      <w:r w:rsidRPr="00561061">
        <w:rPr>
          <w:iCs/>
        </w:rPr>
        <w:t>Other Matters requiring ITGC Knowledge or Approval</w:t>
      </w:r>
    </w:p>
    <w:p w14:paraId="1D12732F" w14:textId="09E4F2D3" w:rsidR="001F0577" w:rsidRPr="00561061" w:rsidRDefault="00B450CA" w:rsidP="00561061">
      <w:pPr>
        <w:pStyle w:val="ListParagraph"/>
        <w:numPr>
          <w:ilvl w:val="0"/>
          <w:numId w:val="15"/>
        </w:numPr>
        <w:spacing w:after="0"/>
        <w:rPr>
          <w:rStyle w:val="Heading1Char"/>
          <w:bCs/>
        </w:rPr>
      </w:pPr>
      <w:r w:rsidRPr="00561061">
        <w:rPr>
          <w:rStyle w:val="Heading1Char"/>
          <w:bCs/>
        </w:rPr>
        <w:t>MINUTES OF MEETING</w:t>
      </w:r>
      <w:r w:rsidR="001F0577" w:rsidRPr="00561061">
        <w:rPr>
          <w:rStyle w:val="Heading1Char"/>
          <w:bCs/>
        </w:rPr>
        <w:t xml:space="preserve">: </w:t>
      </w:r>
    </w:p>
    <w:p w14:paraId="5DD0BB0F" w14:textId="4ED51E21" w:rsidR="00B450CA" w:rsidRPr="00B450CA" w:rsidRDefault="00B450CA" w:rsidP="001F0577">
      <w:pPr>
        <w:pStyle w:val="Heading1"/>
        <w:rPr>
          <w:b w:val="0"/>
          <w:iCs/>
          <w:sz w:val="22"/>
          <w:u w:val="none"/>
        </w:rPr>
      </w:pPr>
      <w:r w:rsidRPr="00B450CA">
        <w:rPr>
          <w:b w:val="0"/>
          <w:iCs/>
          <w:sz w:val="22"/>
          <w:u w:val="none"/>
        </w:rPr>
        <w:t>The formal minutes of all Committee meetings to document all discussions and decisions. The minutes shall then be presented for confirmation of the Committee at its next meeting. The minutes of meeting shall also include the names of all those present at the meeting.</w:t>
      </w:r>
    </w:p>
    <w:p w14:paraId="770A9BBB" w14:textId="77777777" w:rsidR="00B450CA" w:rsidRPr="00B450CA" w:rsidRDefault="00B450CA" w:rsidP="001F0577">
      <w:pPr>
        <w:pStyle w:val="Heading1"/>
        <w:rPr>
          <w:b w:val="0"/>
          <w:iCs/>
          <w:sz w:val="22"/>
          <w:u w:val="none"/>
        </w:rPr>
      </w:pPr>
    </w:p>
    <w:p w14:paraId="1F74FD6E" w14:textId="2E7065D9" w:rsidR="001F0577" w:rsidRPr="00561061" w:rsidRDefault="00B450CA" w:rsidP="00561061">
      <w:pPr>
        <w:pStyle w:val="ListParagraph"/>
        <w:numPr>
          <w:ilvl w:val="0"/>
          <w:numId w:val="15"/>
        </w:numPr>
        <w:spacing w:after="0"/>
        <w:rPr>
          <w:rStyle w:val="Heading1Char"/>
          <w:bCs/>
        </w:rPr>
      </w:pPr>
      <w:r w:rsidRPr="00561061">
        <w:rPr>
          <w:rStyle w:val="Heading1Char"/>
          <w:bCs/>
        </w:rPr>
        <w:t>REPORTING</w:t>
      </w:r>
      <w:r w:rsidR="001F0577" w:rsidRPr="00561061">
        <w:rPr>
          <w:rStyle w:val="Heading1Char"/>
          <w:bCs/>
        </w:rPr>
        <w:t xml:space="preserve">: </w:t>
      </w:r>
    </w:p>
    <w:p w14:paraId="1938BB14" w14:textId="69474A6E" w:rsidR="00561061" w:rsidRPr="00561061" w:rsidRDefault="00B450CA" w:rsidP="00303B02">
      <w:pPr>
        <w:spacing w:after="360"/>
        <w:rPr>
          <w:iCs/>
        </w:rPr>
      </w:pPr>
      <w:r w:rsidRPr="00B450CA">
        <w:rPr>
          <w:iCs/>
        </w:rPr>
        <w:t xml:space="preserve">The Committee will report its discussions by distributing the highlights and the minutes of meeting thereof, and where appropriate, </w:t>
      </w:r>
      <w:r w:rsidR="00303B02">
        <w:rPr>
          <w:iCs/>
        </w:rPr>
        <w:t>to the agency</w:t>
      </w:r>
      <w:r w:rsidRPr="00B450CA">
        <w:rPr>
          <w:iCs/>
        </w:rPr>
        <w:t>.</w:t>
      </w:r>
      <w:r w:rsidR="00303B02">
        <w:rPr>
          <w:iCs/>
        </w:rPr>
        <w:t xml:space="preserve"> </w:t>
      </w:r>
      <w:r w:rsidRPr="00B450CA">
        <w:rPr>
          <w:iCs/>
        </w:rPr>
        <w:t xml:space="preserve">The membership of the Committee and its activities shall be disclosed and published in </w:t>
      </w:r>
      <w:r w:rsidR="00561061">
        <w:rPr>
          <w:iCs/>
        </w:rPr>
        <w:t>an</w:t>
      </w:r>
      <w:r w:rsidRPr="00B450CA">
        <w:rPr>
          <w:iCs/>
        </w:rPr>
        <w:t xml:space="preserve"> Annual Report </w:t>
      </w:r>
      <w:r w:rsidR="00561061">
        <w:rPr>
          <w:iCs/>
        </w:rPr>
        <w:t>to</w:t>
      </w:r>
      <w:r w:rsidRPr="00B450CA">
        <w:rPr>
          <w:iCs/>
        </w:rPr>
        <w:t xml:space="preserve"> the </w:t>
      </w:r>
      <w:r w:rsidR="00561061">
        <w:rPr>
          <w:iCs/>
        </w:rPr>
        <w:t>agency</w:t>
      </w:r>
      <w:r w:rsidRPr="00B450CA">
        <w:rPr>
          <w:iCs/>
        </w:rPr>
        <w:t xml:space="preserve">. The </w:t>
      </w:r>
      <w:r w:rsidR="00561061">
        <w:rPr>
          <w:iCs/>
        </w:rPr>
        <w:t>Annual Report</w:t>
      </w:r>
      <w:r w:rsidRPr="00B450CA">
        <w:rPr>
          <w:iCs/>
        </w:rPr>
        <w:t xml:space="preserve"> shall be disclosed on the </w:t>
      </w:r>
      <w:r w:rsidR="00561061">
        <w:rPr>
          <w:iCs/>
        </w:rPr>
        <w:t>agency</w:t>
      </w:r>
      <w:r w:rsidRPr="00B450CA">
        <w:rPr>
          <w:iCs/>
        </w:rPr>
        <w:t>'s website.</w:t>
      </w:r>
    </w:p>
    <w:p w14:paraId="6510A455" w14:textId="38BB45E6" w:rsidR="00561061" w:rsidRPr="00561061" w:rsidRDefault="00561061" w:rsidP="00561061">
      <w:pPr>
        <w:pStyle w:val="ListParagraph"/>
        <w:numPr>
          <w:ilvl w:val="0"/>
          <w:numId w:val="15"/>
        </w:numPr>
        <w:spacing w:after="0"/>
        <w:ind w:left="450" w:hanging="450"/>
        <w:rPr>
          <w:rStyle w:val="Heading1Char"/>
          <w:bCs/>
        </w:rPr>
      </w:pPr>
      <w:r>
        <w:rPr>
          <w:rStyle w:val="Heading1Char"/>
          <w:bCs/>
        </w:rPr>
        <w:t>COMMITTEE PERFORMANCE EVALUATION</w:t>
      </w:r>
      <w:r w:rsidRPr="00561061">
        <w:rPr>
          <w:rStyle w:val="Heading1Char"/>
          <w:bCs/>
        </w:rPr>
        <w:t xml:space="preserve">: </w:t>
      </w:r>
    </w:p>
    <w:p w14:paraId="2EA4B5DE" w14:textId="60DF9774" w:rsidR="00AB6352" w:rsidRPr="00AB6352" w:rsidRDefault="00AB6352" w:rsidP="00AB6352">
      <w:pPr>
        <w:spacing w:after="120"/>
        <w:rPr>
          <w:iCs/>
        </w:rPr>
      </w:pPr>
      <w:r w:rsidRPr="00AB6352">
        <w:rPr>
          <w:iCs/>
        </w:rPr>
        <w:t>On an annual basis, the Committee shall conduct a self-assessment of its performance in accordance</w:t>
      </w:r>
      <w:r>
        <w:rPr>
          <w:iCs/>
        </w:rPr>
        <w:t xml:space="preserve"> </w:t>
      </w:r>
      <w:r w:rsidRPr="00AB6352">
        <w:rPr>
          <w:iCs/>
        </w:rPr>
        <w:t>with the following assessment criteria, as may be amended or supplemented from time to time:</w:t>
      </w:r>
    </w:p>
    <w:p w14:paraId="7FE1C389" w14:textId="5DC8BA9A" w:rsidR="00AB6352" w:rsidRPr="00AB6352" w:rsidRDefault="00AB6352" w:rsidP="00105D50">
      <w:pPr>
        <w:pStyle w:val="ListParagraph"/>
        <w:numPr>
          <w:ilvl w:val="0"/>
          <w:numId w:val="35"/>
        </w:numPr>
        <w:spacing w:after="60"/>
        <w:contextualSpacing w:val="0"/>
        <w:rPr>
          <w:iCs/>
        </w:rPr>
      </w:pPr>
      <w:r w:rsidRPr="00AB6352">
        <w:rPr>
          <w:iCs/>
        </w:rPr>
        <w:t>The Committee structure provide</w:t>
      </w:r>
      <w:r>
        <w:rPr>
          <w:iCs/>
        </w:rPr>
        <w:t>d</w:t>
      </w:r>
      <w:r w:rsidRPr="00AB6352">
        <w:rPr>
          <w:iCs/>
        </w:rPr>
        <w:t xml:space="preserve"> an appropriate framework for the Committee's responsibilities and in accordance with </w:t>
      </w:r>
      <w:r>
        <w:rPr>
          <w:iCs/>
        </w:rPr>
        <w:t>oversight</w:t>
      </w:r>
      <w:r w:rsidRPr="00AB6352">
        <w:rPr>
          <w:iCs/>
        </w:rPr>
        <w:t xml:space="preserve"> requirements.</w:t>
      </w:r>
    </w:p>
    <w:p w14:paraId="13176053" w14:textId="5CE510CF" w:rsidR="00AB6352" w:rsidRPr="00AB6352" w:rsidRDefault="00AB6352" w:rsidP="00105D50">
      <w:pPr>
        <w:pStyle w:val="ListParagraph"/>
        <w:numPr>
          <w:ilvl w:val="0"/>
          <w:numId w:val="35"/>
        </w:numPr>
        <w:spacing w:after="60"/>
        <w:contextualSpacing w:val="0"/>
        <w:rPr>
          <w:iCs/>
        </w:rPr>
      </w:pPr>
      <w:r w:rsidRPr="00AB6352">
        <w:rPr>
          <w:iCs/>
        </w:rPr>
        <w:t>The composition of the Committee is based on experience and credentials.</w:t>
      </w:r>
    </w:p>
    <w:p w14:paraId="02D705E1" w14:textId="4AD989D6" w:rsidR="00AB6352" w:rsidRPr="00AB6352" w:rsidRDefault="00AB6352" w:rsidP="00105D50">
      <w:pPr>
        <w:pStyle w:val="ListParagraph"/>
        <w:numPr>
          <w:ilvl w:val="0"/>
          <w:numId w:val="35"/>
        </w:numPr>
        <w:spacing w:after="60"/>
        <w:contextualSpacing w:val="0"/>
        <w:rPr>
          <w:iCs/>
        </w:rPr>
      </w:pPr>
      <w:r w:rsidRPr="00AB6352">
        <w:rPr>
          <w:iCs/>
        </w:rPr>
        <w:t>The number and length of Committee meetings are appropriate and in accordance with their charter.</w:t>
      </w:r>
    </w:p>
    <w:p w14:paraId="0E094549" w14:textId="2C2C3C2D" w:rsidR="00AB6352" w:rsidRPr="00AB6352" w:rsidRDefault="00AB6352" w:rsidP="00105D50">
      <w:pPr>
        <w:pStyle w:val="ListParagraph"/>
        <w:numPr>
          <w:ilvl w:val="0"/>
          <w:numId w:val="35"/>
        </w:numPr>
        <w:spacing w:after="60"/>
        <w:contextualSpacing w:val="0"/>
        <w:rPr>
          <w:iCs/>
        </w:rPr>
      </w:pPr>
      <w:r w:rsidRPr="00AB6352">
        <w:rPr>
          <w:iCs/>
        </w:rPr>
        <w:t>The meetings are conducted in a manner that ensures open communication and meaningful participation.</w:t>
      </w:r>
    </w:p>
    <w:p w14:paraId="14B3AC02" w14:textId="6823BEBD" w:rsidR="00AB6352" w:rsidRPr="00AB6352" w:rsidRDefault="00AB6352" w:rsidP="00105D50">
      <w:pPr>
        <w:pStyle w:val="ListParagraph"/>
        <w:numPr>
          <w:ilvl w:val="0"/>
          <w:numId w:val="35"/>
        </w:numPr>
        <w:spacing w:after="60"/>
        <w:contextualSpacing w:val="0"/>
        <w:rPr>
          <w:iCs/>
        </w:rPr>
      </w:pPr>
      <w:r w:rsidRPr="00AB6352">
        <w:rPr>
          <w:iCs/>
        </w:rPr>
        <w:t>The amount of information received is appropriate for discussion and decision</w:t>
      </w:r>
      <w:r>
        <w:rPr>
          <w:iCs/>
        </w:rPr>
        <w:t>-</w:t>
      </w:r>
      <w:r w:rsidRPr="00AB6352">
        <w:rPr>
          <w:iCs/>
        </w:rPr>
        <w:t>making purposes.</w:t>
      </w:r>
    </w:p>
    <w:p w14:paraId="4BDA92D5" w14:textId="6E9F987C" w:rsidR="00AB6352" w:rsidRPr="00AB6352" w:rsidRDefault="00AB6352" w:rsidP="00105D50">
      <w:pPr>
        <w:pStyle w:val="ListParagraph"/>
        <w:numPr>
          <w:ilvl w:val="0"/>
          <w:numId w:val="35"/>
        </w:numPr>
        <w:spacing w:after="60"/>
        <w:contextualSpacing w:val="0"/>
        <w:rPr>
          <w:iCs/>
        </w:rPr>
      </w:pPr>
      <w:r w:rsidRPr="00AB6352">
        <w:rPr>
          <w:iCs/>
        </w:rPr>
        <w:t>The materials are received in advanced to adequately prepare for meetings.</w:t>
      </w:r>
    </w:p>
    <w:p w14:paraId="1B3FC182" w14:textId="41152E1D" w:rsidR="00AB6352" w:rsidRPr="00AB6352" w:rsidRDefault="00AB6352" w:rsidP="00105D50">
      <w:pPr>
        <w:pStyle w:val="ListParagraph"/>
        <w:numPr>
          <w:ilvl w:val="0"/>
          <w:numId w:val="35"/>
        </w:numPr>
        <w:spacing w:after="60"/>
        <w:contextualSpacing w:val="0"/>
        <w:rPr>
          <w:iCs/>
        </w:rPr>
      </w:pPr>
      <w:r w:rsidRPr="00AB6352">
        <w:rPr>
          <w:iCs/>
        </w:rPr>
        <w:t>The Committee regularly reviews its mandate and performance.</w:t>
      </w:r>
    </w:p>
    <w:p w14:paraId="77EF60AE" w14:textId="39AE6747" w:rsidR="00AB6352" w:rsidRPr="00AB6352" w:rsidRDefault="00AB6352" w:rsidP="00105D50">
      <w:pPr>
        <w:pStyle w:val="ListParagraph"/>
        <w:numPr>
          <w:ilvl w:val="0"/>
          <w:numId w:val="35"/>
        </w:numPr>
        <w:spacing w:after="60"/>
        <w:contextualSpacing w:val="0"/>
        <w:rPr>
          <w:iCs/>
        </w:rPr>
      </w:pPr>
      <w:r w:rsidRPr="00AB6352">
        <w:rPr>
          <w:iCs/>
        </w:rPr>
        <w:lastRenderedPageBreak/>
        <w:t>The Committee's reports (oral and written) to reflect an adequate degree of diligence and deliberation and provide an adequate understanding at the Committee's rationale for its recommendations.</w:t>
      </w:r>
    </w:p>
    <w:p w14:paraId="77CBF43D" w14:textId="7A2A5E99" w:rsidR="00561061" w:rsidRPr="00AB6352" w:rsidRDefault="00AB6352" w:rsidP="00105D50">
      <w:pPr>
        <w:pStyle w:val="ListParagraph"/>
        <w:numPr>
          <w:ilvl w:val="0"/>
          <w:numId w:val="35"/>
        </w:numPr>
        <w:spacing w:after="60"/>
        <w:contextualSpacing w:val="0"/>
        <w:rPr>
          <w:iCs/>
        </w:rPr>
      </w:pPr>
      <w:r w:rsidRPr="00AB6352">
        <w:rPr>
          <w:iCs/>
        </w:rPr>
        <w:t>The Committee has access to sufficient resources, both internal and outside advisers, to function effectively.</w:t>
      </w:r>
    </w:p>
    <w:p w14:paraId="2793F2EA" w14:textId="77777777" w:rsidR="00AB6352" w:rsidRPr="00AB6352" w:rsidRDefault="00AB6352" w:rsidP="00AB6352">
      <w:pPr>
        <w:pStyle w:val="ListParagraph"/>
        <w:numPr>
          <w:ilvl w:val="0"/>
          <w:numId w:val="15"/>
        </w:numPr>
        <w:spacing w:after="0"/>
        <w:ind w:left="450" w:hanging="450"/>
        <w:rPr>
          <w:rStyle w:val="Heading1Char"/>
          <w:bCs/>
        </w:rPr>
      </w:pPr>
      <w:r w:rsidRPr="00AB6352">
        <w:rPr>
          <w:rStyle w:val="Heading1Char"/>
          <w:bCs/>
        </w:rPr>
        <w:t>TENURE OF COMMITTEE MEMBERS</w:t>
      </w:r>
    </w:p>
    <w:p w14:paraId="62BE2F83" w14:textId="254CBB38" w:rsidR="008E4868" w:rsidRPr="00434BA8" w:rsidRDefault="00AB6352" w:rsidP="0040416A">
      <w:pPr>
        <w:spacing w:after="360"/>
        <w:rPr>
          <w:iCs/>
        </w:rPr>
      </w:pPr>
      <w:r w:rsidRPr="00F45FC0">
        <w:rPr>
          <w:iCs/>
        </w:rPr>
        <w:t>The Committee Members shall serve for a term of one (1) year from date of appointment or re­appointment unless sooner resigned or replaced.</w:t>
      </w:r>
    </w:p>
    <w:sectPr w:rsidR="008E4868" w:rsidRPr="00434BA8" w:rsidSect="009D6C2F">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296"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D41F1" w14:textId="77777777" w:rsidR="00A9295A" w:rsidRDefault="00A9295A" w:rsidP="00A9295A">
      <w:pPr>
        <w:spacing w:after="0" w:line="240" w:lineRule="auto"/>
      </w:pPr>
      <w:r>
        <w:separator/>
      </w:r>
    </w:p>
  </w:endnote>
  <w:endnote w:type="continuationSeparator" w:id="0">
    <w:p w14:paraId="58E48A83" w14:textId="77777777" w:rsidR="00A9295A" w:rsidRDefault="00A9295A" w:rsidP="00A92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22864" w14:textId="77777777" w:rsidR="003C2468" w:rsidRDefault="003C2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2733230"/>
      <w:docPartObj>
        <w:docPartGallery w:val="Page Numbers (Bottom of Page)"/>
        <w:docPartUnique/>
      </w:docPartObj>
    </w:sdtPr>
    <w:sdtEndPr/>
    <w:sdtContent>
      <w:sdt>
        <w:sdtPr>
          <w:id w:val="1728636285"/>
          <w:docPartObj>
            <w:docPartGallery w:val="Page Numbers (Top of Page)"/>
            <w:docPartUnique/>
          </w:docPartObj>
        </w:sdtPr>
        <w:sdtEndPr/>
        <w:sdtContent>
          <w:p w14:paraId="1B0CCE5F" w14:textId="56C46AA4" w:rsidR="00A9295A" w:rsidRDefault="00A9295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FF385C9" w14:textId="77777777" w:rsidR="00A9295A" w:rsidRDefault="00A929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EBEA9" w14:textId="77777777" w:rsidR="003C2468" w:rsidRDefault="003C2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080E3" w14:textId="77777777" w:rsidR="00A9295A" w:rsidRDefault="00A9295A" w:rsidP="00A9295A">
      <w:pPr>
        <w:spacing w:after="0" w:line="240" w:lineRule="auto"/>
      </w:pPr>
      <w:r>
        <w:separator/>
      </w:r>
    </w:p>
  </w:footnote>
  <w:footnote w:type="continuationSeparator" w:id="0">
    <w:p w14:paraId="113B2EBD" w14:textId="77777777" w:rsidR="00A9295A" w:rsidRDefault="00A9295A" w:rsidP="00A92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A32C4" w14:textId="5EE10A9B" w:rsidR="003C2468" w:rsidRDefault="005146A4">
    <w:pPr>
      <w:pStyle w:val="Header"/>
    </w:pPr>
    <w:r>
      <w:rPr>
        <w:noProof/>
      </w:rPr>
      <w:pict w14:anchorId="274D6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626016" o:spid="_x0000_s2051"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2C96E" w14:textId="7CB40C20" w:rsidR="005F09F0" w:rsidRDefault="005146A4">
    <w:pPr>
      <w:pStyle w:val="Header"/>
    </w:pPr>
    <w:r>
      <w:rPr>
        <w:noProof/>
      </w:rPr>
      <w:pict w14:anchorId="4B1B9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626017" o:spid="_x0000_s2052" type="#_x0000_t136" style="position:absolute;margin-left:0;margin-top:0;width:461.85pt;height:197.95pt;rotation:315;z-index:-25165312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39B03" w14:textId="2596D8E6" w:rsidR="003C2468" w:rsidRDefault="005146A4">
    <w:pPr>
      <w:pStyle w:val="Header"/>
    </w:pPr>
    <w:r>
      <w:rPr>
        <w:noProof/>
      </w:rPr>
      <w:pict w14:anchorId="4A61D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626015" o:spid="_x0000_s2050"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5D292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283122"/>
    <w:multiLevelType w:val="hybridMultilevel"/>
    <w:tmpl w:val="686EC88A"/>
    <w:lvl w:ilvl="0" w:tplc="3C922D7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66BDD"/>
    <w:multiLevelType w:val="hybridMultilevel"/>
    <w:tmpl w:val="78C6C3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EE2055"/>
    <w:multiLevelType w:val="hybridMultilevel"/>
    <w:tmpl w:val="40BE201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1A46E0"/>
    <w:multiLevelType w:val="hybridMultilevel"/>
    <w:tmpl w:val="8D100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32DB9"/>
    <w:multiLevelType w:val="hybridMultilevel"/>
    <w:tmpl w:val="79E26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EE40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F12547"/>
    <w:multiLevelType w:val="hybridMultilevel"/>
    <w:tmpl w:val="A3905E66"/>
    <w:lvl w:ilvl="0" w:tplc="AB960F3C">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B33FF"/>
    <w:multiLevelType w:val="hybridMultilevel"/>
    <w:tmpl w:val="09C2D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C8470E"/>
    <w:multiLevelType w:val="hybridMultilevel"/>
    <w:tmpl w:val="6FB4E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E659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35762D"/>
    <w:multiLevelType w:val="hybridMultilevel"/>
    <w:tmpl w:val="B48E2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28296E"/>
    <w:multiLevelType w:val="hybridMultilevel"/>
    <w:tmpl w:val="9B5E0C7A"/>
    <w:lvl w:ilvl="0" w:tplc="8E7004E2">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DE11DE"/>
    <w:multiLevelType w:val="hybridMultilevel"/>
    <w:tmpl w:val="8A80F1F8"/>
    <w:lvl w:ilvl="0" w:tplc="04090001">
      <w:start w:val="1"/>
      <w:numFmt w:val="bullet"/>
      <w:lvlText w:val=""/>
      <w:lvlJc w:val="left"/>
      <w:pPr>
        <w:ind w:left="720" w:hanging="360"/>
      </w:pPr>
      <w:rPr>
        <w:rFonts w:ascii="Symbol" w:hAnsi="Symbol" w:hint="default"/>
      </w:rPr>
    </w:lvl>
    <w:lvl w:ilvl="1" w:tplc="7BD06AE0">
      <w:start w:val="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0427C"/>
    <w:multiLevelType w:val="hybridMultilevel"/>
    <w:tmpl w:val="B414E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F43C27"/>
    <w:multiLevelType w:val="hybridMultilevel"/>
    <w:tmpl w:val="EAA2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24726A"/>
    <w:multiLevelType w:val="hybridMultilevel"/>
    <w:tmpl w:val="42565B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3F40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9F2166"/>
    <w:multiLevelType w:val="hybridMultilevel"/>
    <w:tmpl w:val="13DAF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45639"/>
    <w:multiLevelType w:val="hybridMultilevel"/>
    <w:tmpl w:val="2572D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94583A"/>
    <w:multiLevelType w:val="hybridMultilevel"/>
    <w:tmpl w:val="F2506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375A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1925C9"/>
    <w:multiLevelType w:val="hybridMultilevel"/>
    <w:tmpl w:val="84FEA4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B65FA"/>
    <w:multiLevelType w:val="hybridMultilevel"/>
    <w:tmpl w:val="2298657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184F43"/>
    <w:multiLevelType w:val="hybridMultilevel"/>
    <w:tmpl w:val="25AA68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8A162E"/>
    <w:multiLevelType w:val="hybridMultilevel"/>
    <w:tmpl w:val="229865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812F06"/>
    <w:multiLevelType w:val="multilevel"/>
    <w:tmpl w:val="03727C4A"/>
    <w:lvl w:ilvl="0">
      <w:start w:val="1"/>
      <w:numFmt w:val="decimal"/>
      <w:lvlText w:val="%1."/>
      <w:lvlJc w:val="left"/>
      <w:pPr>
        <w:ind w:left="360" w:firstLine="0"/>
      </w:pPr>
      <w:rPr>
        <w:rFonts w:hint="default"/>
      </w:rPr>
    </w:lvl>
    <w:lvl w:ilvl="1">
      <w:start w:val="1"/>
      <w:numFmt w:val="decimal"/>
      <w:isLgl/>
      <w:lvlText w:val="%1.%2."/>
      <w:lvlJc w:val="left"/>
      <w:pPr>
        <w:ind w:left="360" w:firstLine="0"/>
      </w:pPr>
      <w:rPr>
        <w:rFonts w:hint="default"/>
      </w:rPr>
    </w:lvl>
    <w:lvl w:ilvl="2">
      <w:start w:val="1"/>
      <w:numFmt w:val="decimal"/>
      <w:isLgl/>
      <w:lvlText w:val="%1.%2.%3."/>
      <w:lvlJc w:val="left"/>
      <w:pPr>
        <w:ind w:left="360" w:firstLine="0"/>
      </w:pPr>
      <w:rPr>
        <w:rFonts w:hint="default"/>
      </w:rPr>
    </w:lvl>
    <w:lvl w:ilvl="3">
      <w:start w:val="1"/>
      <w:numFmt w:val="decimal"/>
      <w:isLgl/>
      <w:lvlText w:val="%1.%2.%3.%4."/>
      <w:lvlJc w:val="left"/>
      <w:pPr>
        <w:ind w:left="360" w:firstLine="0"/>
      </w:pPr>
      <w:rPr>
        <w:rFonts w:hint="default"/>
      </w:rPr>
    </w:lvl>
    <w:lvl w:ilvl="4">
      <w:start w:val="1"/>
      <w:numFmt w:val="decimal"/>
      <w:isLgl/>
      <w:lvlText w:val="%1.%2.%3.%4.%5."/>
      <w:lvlJc w:val="left"/>
      <w:pPr>
        <w:ind w:left="720" w:hanging="360"/>
      </w:pPr>
      <w:rPr>
        <w:rFonts w:hint="default"/>
      </w:rPr>
    </w:lvl>
    <w:lvl w:ilvl="5">
      <w:start w:val="1"/>
      <w:numFmt w:val="decimal"/>
      <w:isLgl/>
      <w:lvlText w:val="%1.%2.%3.%4.%5.%6."/>
      <w:lvlJc w:val="left"/>
      <w:pPr>
        <w:ind w:left="720" w:hanging="360"/>
      </w:pPr>
      <w:rPr>
        <w:rFonts w:hint="default"/>
      </w:rPr>
    </w:lvl>
    <w:lvl w:ilvl="6">
      <w:start w:val="1"/>
      <w:numFmt w:val="decimal"/>
      <w:isLgl/>
      <w:lvlText w:val="%1.%2.%3.%4.%5.%6.%7."/>
      <w:lvlJc w:val="left"/>
      <w:pPr>
        <w:ind w:left="1080" w:hanging="720"/>
      </w:pPr>
      <w:rPr>
        <w:rFonts w:hint="default"/>
      </w:rPr>
    </w:lvl>
    <w:lvl w:ilvl="7">
      <w:start w:val="1"/>
      <w:numFmt w:val="decimal"/>
      <w:isLgl/>
      <w:lvlText w:val="%1.%2.%3.%4.%5.%6.%7.%8."/>
      <w:lvlJc w:val="left"/>
      <w:pPr>
        <w:ind w:left="1080" w:hanging="720"/>
      </w:pPr>
      <w:rPr>
        <w:rFonts w:hint="default"/>
      </w:rPr>
    </w:lvl>
    <w:lvl w:ilvl="8">
      <w:start w:val="1"/>
      <w:numFmt w:val="decimal"/>
      <w:isLgl/>
      <w:lvlText w:val="%1.%2.%3.%4.%5.%6.%7.%8.%9."/>
      <w:lvlJc w:val="left"/>
      <w:pPr>
        <w:ind w:left="1440" w:hanging="1080"/>
      </w:pPr>
      <w:rPr>
        <w:rFonts w:hint="default"/>
      </w:rPr>
    </w:lvl>
  </w:abstractNum>
  <w:abstractNum w:abstractNumId="27" w15:restartNumberingAfterBreak="0">
    <w:nsid w:val="699A03A3"/>
    <w:multiLevelType w:val="hybridMultilevel"/>
    <w:tmpl w:val="F670B260"/>
    <w:lvl w:ilvl="0" w:tplc="AB960F3C">
      <w:numFmt w:val="bullet"/>
      <w:lvlText w:val="•"/>
      <w:lvlJc w:val="left"/>
      <w:pPr>
        <w:ind w:left="720" w:hanging="360"/>
      </w:pPr>
      <w:rPr>
        <w:rFonts w:asciiTheme="minorHAnsi" w:eastAsiaTheme="minorHAnsi" w:hAnsiTheme="minorHAns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E51DE1"/>
    <w:multiLevelType w:val="hybridMultilevel"/>
    <w:tmpl w:val="DE340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01103E"/>
    <w:multiLevelType w:val="hybridMultilevel"/>
    <w:tmpl w:val="B8DC67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39793F"/>
    <w:multiLevelType w:val="hybridMultilevel"/>
    <w:tmpl w:val="4CF6C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1A50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3916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6D56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5411CB"/>
    <w:multiLevelType w:val="hybridMultilevel"/>
    <w:tmpl w:val="D37AB02A"/>
    <w:lvl w:ilvl="0" w:tplc="1204A790">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0E7730"/>
    <w:multiLevelType w:val="hybridMultilevel"/>
    <w:tmpl w:val="7CF6565C"/>
    <w:lvl w:ilvl="0" w:tplc="3A02F2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8622">
    <w:abstractNumId w:val="0"/>
  </w:num>
  <w:num w:numId="2" w16cid:durableId="2123065878">
    <w:abstractNumId w:val="13"/>
  </w:num>
  <w:num w:numId="3" w16cid:durableId="1187401330">
    <w:abstractNumId w:val="16"/>
  </w:num>
  <w:num w:numId="4" w16cid:durableId="1982416716">
    <w:abstractNumId w:val="12"/>
  </w:num>
  <w:num w:numId="5" w16cid:durableId="1124076406">
    <w:abstractNumId w:val="20"/>
  </w:num>
  <w:num w:numId="6" w16cid:durableId="1190021539">
    <w:abstractNumId w:val="14"/>
  </w:num>
  <w:num w:numId="7" w16cid:durableId="1082097205">
    <w:abstractNumId w:val="2"/>
  </w:num>
  <w:num w:numId="8" w16cid:durableId="365519660">
    <w:abstractNumId w:val="8"/>
  </w:num>
  <w:num w:numId="9" w16cid:durableId="1183281100">
    <w:abstractNumId w:val="9"/>
  </w:num>
  <w:num w:numId="10" w16cid:durableId="490872815">
    <w:abstractNumId w:val="4"/>
  </w:num>
  <w:num w:numId="11" w16cid:durableId="679744985">
    <w:abstractNumId w:val="34"/>
  </w:num>
  <w:num w:numId="12" w16cid:durableId="1468470822">
    <w:abstractNumId w:val="18"/>
  </w:num>
  <w:num w:numId="13" w16cid:durableId="965505975">
    <w:abstractNumId w:val="15"/>
  </w:num>
  <w:num w:numId="14" w16cid:durableId="1447196115">
    <w:abstractNumId w:val="27"/>
  </w:num>
  <w:num w:numId="15" w16cid:durableId="392385991">
    <w:abstractNumId w:val="32"/>
  </w:num>
  <w:num w:numId="16" w16cid:durableId="1405489763">
    <w:abstractNumId w:val="26"/>
  </w:num>
  <w:num w:numId="17" w16cid:durableId="68233512">
    <w:abstractNumId w:val="17"/>
  </w:num>
  <w:num w:numId="18" w16cid:durableId="1563757561">
    <w:abstractNumId w:val="31"/>
  </w:num>
  <w:num w:numId="19" w16cid:durableId="1752504495">
    <w:abstractNumId w:val="7"/>
  </w:num>
  <w:num w:numId="20" w16cid:durableId="1396706268">
    <w:abstractNumId w:val="21"/>
  </w:num>
  <w:num w:numId="21" w16cid:durableId="1341080031">
    <w:abstractNumId w:val="6"/>
  </w:num>
  <w:num w:numId="22" w16cid:durableId="1310744058">
    <w:abstractNumId w:val="10"/>
  </w:num>
  <w:num w:numId="23" w16cid:durableId="619410324">
    <w:abstractNumId w:val="33"/>
  </w:num>
  <w:num w:numId="24" w16cid:durableId="534849415">
    <w:abstractNumId w:val="30"/>
  </w:num>
  <w:num w:numId="25" w16cid:durableId="1184325118">
    <w:abstractNumId w:val="19"/>
  </w:num>
  <w:num w:numId="26" w16cid:durableId="2060129660">
    <w:abstractNumId w:val="11"/>
  </w:num>
  <w:num w:numId="27" w16cid:durableId="1337540714">
    <w:abstractNumId w:val="5"/>
  </w:num>
  <w:num w:numId="28" w16cid:durableId="1456604660">
    <w:abstractNumId w:val="28"/>
  </w:num>
  <w:num w:numId="29" w16cid:durableId="45305000">
    <w:abstractNumId w:val="35"/>
  </w:num>
  <w:num w:numId="30" w16cid:durableId="929969364">
    <w:abstractNumId w:val="25"/>
  </w:num>
  <w:num w:numId="31" w16cid:durableId="1101878847">
    <w:abstractNumId w:val="1"/>
  </w:num>
  <w:num w:numId="32" w16cid:durableId="1319458754">
    <w:abstractNumId w:val="3"/>
  </w:num>
  <w:num w:numId="33" w16cid:durableId="215435646">
    <w:abstractNumId w:val="29"/>
  </w:num>
  <w:num w:numId="34" w16cid:durableId="2141534905">
    <w:abstractNumId w:val="22"/>
  </w:num>
  <w:num w:numId="35" w16cid:durableId="641816316">
    <w:abstractNumId w:val="24"/>
  </w:num>
  <w:num w:numId="36" w16cid:durableId="17983338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73"/>
    <w:rsid w:val="0000521A"/>
    <w:rsid w:val="00021BCA"/>
    <w:rsid w:val="00023BD0"/>
    <w:rsid w:val="0004237D"/>
    <w:rsid w:val="00067913"/>
    <w:rsid w:val="00073734"/>
    <w:rsid w:val="000A0282"/>
    <w:rsid w:val="000A48E2"/>
    <w:rsid w:val="000C172B"/>
    <w:rsid w:val="000C1A37"/>
    <w:rsid w:val="000C2525"/>
    <w:rsid w:val="000E3ADD"/>
    <w:rsid w:val="0010214E"/>
    <w:rsid w:val="00105D50"/>
    <w:rsid w:val="00135E77"/>
    <w:rsid w:val="001364A9"/>
    <w:rsid w:val="00144D70"/>
    <w:rsid w:val="00165FBE"/>
    <w:rsid w:val="001714E5"/>
    <w:rsid w:val="001B1058"/>
    <w:rsid w:val="001B6CAD"/>
    <w:rsid w:val="001C6F8F"/>
    <w:rsid w:val="001E5532"/>
    <w:rsid w:val="001F0577"/>
    <w:rsid w:val="0021738A"/>
    <w:rsid w:val="0022447B"/>
    <w:rsid w:val="002518F0"/>
    <w:rsid w:val="0027020D"/>
    <w:rsid w:val="00282653"/>
    <w:rsid w:val="00284CBA"/>
    <w:rsid w:val="002B3F0C"/>
    <w:rsid w:val="002B768F"/>
    <w:rsid w:val="002C23C8"/>
    <w:rsid w:val="002D6CF4"/>
    <w:rsid w:val="002E2ECD"/>
    <w:rsid w:val="003024F8"/>
    <w:rsid w:val="00303B02"/>
    <w:rsid w:val="003125FF"/>
    <w:rsid w:val="0031758E"/>
    <w:rsid w:val="00330E1D"/>
    <w:rsid w:val="00345318"/>
    <w:rsid w:val="0034566E"/>
    <w:rsid w:val="0036384E"/>
    <w:rsid w:val="00382E51"/>
    <w:rsid w:val="003A6BDE"/>
    <w:rsid w:val="003B3DCB"/>
    <w:rsid w:val="003B488F"/>
    <w:rsid w:val="003C07BD"/>
    <w:rsid w:val="003C2468"/>
    <w:rsid w:val="003D1BDF"/>
    <w:rsid w:val="0040416A"/>
    <w:rsid w:val="00434BA8"/>
    <w:rsid w:val="00446570"/>
    <w:rsid w:val="00457413"/>
    <w:rsid w:val="00473B0A"/>
    <w:rsid w:val="00476BFF"/>
    <w:rsid w:val="00480F1E"/>
    <w:rsid w:val="0048561C"/>
    <w:rsid w:val="004C6F77"/>
    <w:rsid w:val="0054762A"/>
    <w:rsid w:val="00561061"/>
    <w:rsid w:val="005773E1"/>
    <w:rsid w:val="00583C96"/>
    <w:rsid w:val="005B19DC"/>
    <w:rsid w:val="005B2AE7"/>
    <w:rsid w:val="005C11BC"/>
    <w:rsid w:val="005C15E4"/>
    <w:rsid w:val="005C1EAC"/>
    <w:rsid w:val="005D6459"/>
    <w:rsid w:val="005F09F0"/>
    <w:rsid w:val="006024B9"/>
    <w:rsid w:val="00612A42"/>
    <w:rsid w:val="00633518"/>
    <w:rsid w:val="00656EFF"/>
    <w:rsid w:val="00694E26"/>
    <w:rsid w:val="00696D39"/>
    <w:rsid w:val="006C02E1"/>
    <w:rsid w:val="006F6BAB"/>
    <w:rsid w:val="007357AD"/>
    <w:rsid w:val="00771BE7"/>
    <w:rsid w:val="00793D5F"/>
    <w:rsid w:val="00794C45"/>
    <w:rsid w:val="007A4384"/>
    <w:rsid w:val="007B3675"/>
    <w:rsid w:val="007E1A58"/>
    <w:rsid w:val="007E67AD"/>
    <w:rsid w:val="007F6AE2"/>
    <w:rsid w:val="00805D29"/>
    <w:rsid w:val="0081573D"/>
    <w:rsid w:val="00861D14"/>
    <w:rsid w:val="00865E92"/>
    <w:rsid w:val="0086758C"/>
    <w:rsid w:val="0087365D"/>
    <w:rsid w:val="008E4868"/>
    <w:rsid w:val="0090049D"/>
    <w:rsid w:val="00915ABE"/>
    <w:rsid w:val="009502C9"/>
    <w:rsid w:val="009617B4"/>
    <w:rsid w:val="00997D02"/>
    <w:rsid w:val="009D6C2F"/>
    <w:rsid w:val="009F070D"/>
    <w:rsid w:val="00A052F7"/>
    <w:rsid w:val="00A250C8"/>
    <w:rsid w:val="00A9295A"/>
    <w:rsid w:val="00AB6352"/>
    <w:rsid w:val="00AC0B57"/>
    <w:rsid w:val="00AF11D3"/>
    <w:rsid w:val="00B035BB"/>
    <w:rsid w:val="00B06428"/>
    <w:rsid w:val="00B40CF3"/>
    <w:rsid w:val="00B450CA"/>
    <w:rsid w:val="00BA559C"/>
    <w:rsid w:val="00BB1993"/>
    <w:rsid w:val="00BB475B"/>
    <w:rsid w:val="00BC2B38"/>
    <w:rsid w:val="00BC39C9"/>
    <w:rsid w:val="00BD3475"/>
    <w:rsid w:val="00BD3514"/>
    <w:rsid w:val="00BD6172"/>
    <w:rsid w:val="00C43373"/>
    <w:rsid w:val="00C4699B"/>
    <w:rsid w:val="00C47026"/>
    <w:rsid w:val="00C57B6C"/>
    <w:rsid w:val="00C748F5"/>
    <w:rsid w:val="00C80AC6"/>
    <w:rsid w:val="00C83FD1"/>
    <w:rsid w:val="00CA76A7"/>
    <w:rsid w:val="00CB36E7"/>
    <w:rsid w:val="00CE07A9"/>
    <w:rsid w:val="00CF3070"/>
    <w:rsid w:val="00CF7A85"/>
    <w:rsid w:val="00D131EC"/>
    <w:rsid w:val="00D373C5"/>
    <w:rsid w:val="00D5650C"/>
    <w:rsid w:val="00D76018"/>
    <w:rsid w:val="00D96DC7"/>
    <w:rsid w:val="00D97472"/>
    <w:rsid w:val="00DB364A"/>
    <w:rsid w:val="00DE3CD2"/>
    <w:rsid w:val="00DF331E"/>
    <w:rsid w:val="00E41B07"/>
    <w:rsid w:val="00EC4AC0"/>
    <w:rsid w:val="00EF2CD5"/>
    <w:rsid w:val="00F113DE"/>
    <w:rsid w:val="00F1503D"/>
    <w:rsid w:val="00F22671"/>
    <w:rsid w:val="00F24867"/>
    <w:rsid w:val="00F31434"/>
    <w:rsid w:val="00F37515"/>
    <w:rsid w:val="00F45FC0"/>
    <w:rsid w:val="00F47B78"/>
    <w:rsid w:val="00F52644"/>
    <w:rsid w:val="00F6484C"/>
    <w:rsid w:val="00F73726"/>
    <w:rsid w:val="00F74E38"/>
    <w:rsid w:val="00F87ADA"/>
    <w:rsid w:val="00FC1AEE"/>
    <w:rsid w:val="00FC61A0"/>
    <w:rsid w:val="00FD7513"/>
    <w:rsid w:val="00FE11FD"/>
    <w:rsid w:val="00FE423B"/>
    <w:rsid w:val="00FF575F"/>
    <w:rsid w:val="00FF58D5"/>
    <w:rsid w:val="1B7BE8FE"/>
    <w:rsid w:val="1FED6154"/>
    <w:rsid w:val="2AF1873E"/>
    <w:rsid w:val="34362572"/>
    <w:rsid w:val="5B3145C9"/>
    <w:rsid w:val="643D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2CD3F07"/>
  <w15:chartTrackingRefBased/>
  <w15:docId w15:val="{52D291BE-B0DA-4EB3-9A77-9C6624A5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14E"/>
    <w:pPr>
      <w:spacing w:after="0"/>
      <w:outlineLvl w:val="0"/>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5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C172B"/>
    <w:pPr>
      <w:jc w:val="center"/>
    </w:pPr>
    <w:rPr>
      <w:rFonts w:ascii="Verdana" w:hAnsi="Verdana" w:cstheme="minorHAnsi"/>
      <w:sz w:val="36"/>
      <w:szCs w:val="36"/>
    </w:rPr>
  </w:style>
  <w:style w:type="character" w:customStyle="1" w:styleId="TitleChar">
    <w:name w:val="Title Char"/>
    <w:basedOn w:val="DefaultParagraphFont"/>
    <w:link w:val="Title"/>
    <w:uiPriority w:val="10"/>
    <w:rsid w:val="000C172B"/>
    <w:rPr>
      <w:rFonts w:ascii="Verdana" w:hAnsi="Verdana" w:cstheme="minorHAnsi"/>
      <w:sz w:val="36"/>
      <w:szCs w:val="36"/>
    </w:rPr>
  </w:style>
  <w:style w:type="character" w:customStyle="1" w:styleId="Heading1Char">
    <w:name w:val="Heading 1 Char"/>
    <w:basedOn w:val="DefaultParagraphFont"/>
    <w:link w:val="Heading1"/>
    <w:uiPriority w:val="9"/>
    <w:rsid w:val="0010214E"/>
    <w:rPr>
      <w:b/>
      <w:sz w:val="28"/>
      <w:u w:val="single"/>
    </w:rPr>
  </w:style>
  <w:style w:type="paragraph" w:styleId="Header">
    <w:name w:val="header"/>
    <w:basedOn w:val="Normal"/>
    <w:link w:val="HeaderChar"/>
    <w:uiPriority w:val="99"/>
    <w:unhideWhenUsed/>
    <w:rsid w:val="00A92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95A"/>
  </w:style>
  <w:style w:type="paragraph" w:styleId="Footer">
    <w:name w:val="footer"/>
    <w:basedOn w:val="Normal"/>
    <w:link w:val="FooterChar"/>
    <w:uiPriority w:val="99"/>
    <w:unhideWhenUsed/>
    <w:rsid w:val="00A92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95A"/>
  </w:style>
  <w:style w:type="paragraph" w:styleId="CommentText">
    <w:name w:val="annotation text"/>
    <w:basedOn w:val="Normal"/>
    <w:link w:val="CommentTextChar"/>
    <w:uiPriority w:val="99"/>
    <w:semiHidden/>
    <w:unhideWhenUsed/>
    <w:rsid w:val="001B1058"/>
    <w:pPr>
      <w:spacing w:line="240" w:lineRule="auto"/>
    </w:pPr>
    <w:rPr>
      <w:rFonts w:ascii="Segoe UI" w:hAnsi="Segoe UI"/>
      <w:sz w:val="20"/>
      <w:szCs w:val="20"/>
    </w:rPr>
  </w:style>
  <w:style w:type="character" w:customStyle="1" w:styleId="CommentTextChar">
    <w:name w:val="Comment Text Char"/>
    <w:basedOn w:val="DefaultParagraphFont"/>
    <w:link w:val="CommentText"/>
    <w:uiPriority w:val="99"/>
    <w:semiHidden/>
    <w:rsid w:val="001B1058"/>
    <w:rPr>
      <w:rFonts w:ascii="Segoe UI" w:hAnsi="Segoe UI"/>
      <w:sz w:val="20"/>
      <w:szCs w:val="20"/>
    </w:rPr>
  </w:style>
  <w:style w:type="paragraph" w:styleId="ListBullet">
    <w:name w:val="List Bullet"/>
    <w:basedOn w:val="Normal"/>
    <w:uiPriority w:val="9"/>
    <w:qFormat/>
    <w:rsid w:val="0022447B"/>
    <w:pPr>
      <w:numPr>
        <w:numId w:val="1"/>
      </w:numPr>
      <w:spacing w:after="0" w:line="240" w:lineRule="auto"/>
      <w:contextualSpacing/>
    </w:pPr>
    <w:rPr>
      <w:rFonts w:ascii="Segoe UI" w:hAnsi="Segoe UI"/>
      <w:sz w:val="20"/>
    </w:rPr>
  </w:style>
  <w:style w:type="paragraph" w:styleId="ListParagraph">
    <w:name w:val="List Paragraph"/>
    <w:basedOn w:val="Normal"/>
    <w:uiPriority w:val="34"/>
    <w:qFormat/>
    <w:rsid w:val="00C83FD1"/>
    <w:pPr>
      <w:ind w:left="720"/>
      <w:contextualSpacing/>
    </w:pPr>
  </w:style>
  <w:style w:type="table" w:styleId="GridTable4-Accent3">
    <w:name w:val="Grid Table 4 Accent 3"/>
    <w:basedOn w:val="TableNormal"/>
    <w:uiPriority w:val="49"/>
    <w:rsid w:val="009617B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696D3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B3675"/>
    <w:rPr>
      <w:b/>
      <w:bC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197815">
      <w:bodyDiv w:val="1"/>
      <w:marLeft w:val="0"/>
      <w:marRight w:val="0"/>
      <w:marTop w:val="0"/>
      <w:marBottom w:val="0"/>
      <w:divBdr>
        <w:top w:val="none" w:sz="0" w:space="0" w:color="auto"/>
        <w:left w:val="none" w:sz="0" w:space="0" w:color="auto"/>
        <w:bottom w:val="none" w:sz="0" w:space="0" w:color="auto"/>
        <w:right w:val="none" w:sz="0" w:space="0" w:color="auto"/>
      </w:divBdr>
    </w:div>
    <w:div w:id="60778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459E6417B2F4D87FF1F03E3A09466" ma:contentTypeVersion="2" ma:contentTypeDescription="Create a new document." ma:contentTypeScope="" ma:versionID="e0c12b88a2ec937e4dc4ded4f0bbfa37">
  <xsd:schema xmlns:xsd="http://www.w3.org/2001/XMLSchema" xmlns:xs="http://www.w3.org/2001/XMLSchema" xmlns:p="http://schemas.microsoft.com/office/2006/metadata/properties" xmlns:ns1="http://schemas.microsoft.com/sharepoint/v3" xmlns:ns2="9bb3aac4-0f75-4e0f-b667-2d2e4f0b378c" targetNamespace="http://schemas.microsoft.com/office/2006/metadata/properties" ma:root="true" ma:fieldsID="eed8e977b23bfff34fb64b946aeeeab0" ns1:_="" ns2:_="">
    <xsd:import namespace="http://schemas.microsoft.com/sharepoint/v3"/>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CFDCD-0822-4CD1-9637-F0FE6E63E13F}">
  <ds:schemaRefs>
    <ds:schemaRef ds:uri="db1ae140-d56f-485f-b929-2542e44a8fda"/>
    <ds:schemaRef ds:uri="http://purl.org/dc/terms/"/>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55fdfd39-938e-49ee-83a1-7d15dfda8958"/>
    <ds:schemaRef ds:uri="http://schemas.microsoft.com/office/2006/metadata/properties"/>
  </ds:schemaRefs>
</ds:datastoreItem>
</file>

<file path=customXml/itemProps2.xml><?xml version="1.0" encoding="utf-8"?>
<ds:datastoreItem xmlns:ds="http://schemas.openxmlformats.org/officeDocument/2006/customXml" ds:itemID="{D70060FD-1461-46F2-908F-DA2EB2188033}">
  <ds:schemaRefs>
    <ds:schemaRef ds:uri="http://schemas.microsoft.com/sharepoint/v3/contenttype/forms"/>
  </ds:schemaRefs>
</ds:datastoreItem>
</file>

<file path=customXml/itemProps3.xml><?xml version="1.0" encoding="utf-8"?>
<ds:datastoreItem xmlns:ds="http://schemas.openxmlformats.org/officeDocument/2006/customXml" ds:itemID="{DDC53487-138D-41C7-984D-286E417DC412}"/>
</file>

<file path=docProps/app.xml><?xml version="1.0" encoding="utf-8"?>
<Properties xmlns="http://schemas.openxmlformats.org/officeDocument/2006/extended-properties" xmlns:vt="http://schemas.openxmlformats.org/officeDocument/2006/docPropsVTypes">
  <Template>Normal</Template>
  <TotalTime>5</TotalTime>
  <Pages>5</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IT Governance Charter Template</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Governance Charter Template</dc:title>
  <dc:subject/>
  <dc:creator>Scott Emry, Assistant State CIO</dc:creator>
  <cp:keywords/>
  <dc:description/>
  <cp:lastModifiedBy>EMRY Scott * DAS</cp:lastModifiedBy>
  <cp:revision>28</cp:revision>
  <dcterms:created xsi:type="dcterms:W3CDTF">2021-09-28T23:23:00Z</dcterms:created>
  <dcterms:modified xsi:type="dcterms:W3CDTF">2024-12-23T19:08:00Z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0x010100885459E6417B2F4D87FF1F03E3A09466</vt:lpwstr>
  </property>
  <property fmtid="{D5CDD505-2E9C-101B-9397-08002B2CF9AE}" pid="3" name="MediaServiceImageTags">
    <vt:lpwstr/>
  </property>
  <property fmtid="{D5CDD505-2E9C-101B-9397-08002B2CF9AE}" pid="4" name="MSIP_Label_09b73270-2993-4076-be47-9c78f42a1e84_Enabled">
    <vt:lpwstr>true</vt:lpwstr>
  </property>
  <property fmtid="{D5CDD505-2E9C-101B-9397-08002B2CF9AE}" pid="5" name="MSIP_Label_09b73270-2993-4076-be47-9c78f42a1e84_SetDate">
    <vt:lpwstr>2024-12-23T19:07:34Z</vt:lpwstr>
  </property>
  <property fmtid="{D5CDD505-2E9C-101B-9397-08002B2CF9AE}" pid="6" name="MSIP_Label_09b73270-2993-4076-be47-9c78f42a1e84_Method">
    <vt:lpwstr>Privileged</vt:lpwstr>
  </property>
  <property fmtid="{D5CDD505-2E9C-101B-9397-08002B2CF9AE}" pid="7" name="MSIP_Label_09b73270-2993-4076-be47-9c78f42a1e84_Name">
    <vt:lpwstr>Level 1 - Published (Items)</vt:lpwstr>
  </property>
  <property fmtid="{D5CDD505-2E9C-101B-9397-08002B2CF9AE}" pid="8" name="MSIP_Label_09b73270-2993-4076-be47-9c78f42a1e84_SiteId">
    <vt:lpwstr>aa3f6932-fa7c-47b4-a0ce-a598cad161cf</vt:lpwstr>
  </property>
  <property fmtid="{D5CDD505-2E9C-101B-9397-08002B2CF9AE}" pid="9" name="MSIP_Label_09b73270-2993-4076-be47-9c78f42a1e84_ActionId">
    <vt:lpwstr>70fab957-31eb-41d9-872c-ac5b1dc41535</vt:lpwstr>
  </property>
  <property fmtid="{D5CDD505-2E9C-101B-9397-08002B2CF9AE}" pid="10" name="MSIP_Label_09b73270-2993-4076-be47-9c78f42a1e84_ContentBits">
    <vt:lpwstr>0</vt:lpwstr>
  </property>
</Properties>
</file>