
<file path=[Content_Types].xml><?xml version="1.0" encoding="utf-8"?>
<Types xmlns="http://schemas.openxmlformats.org/package/2006/content-types">
  <Default Extension="emf" ContentType="image/x-emf"/>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6533A" w14:textId="77777777" w:rsidR="00F8503D" w:rsidRDefault="00F8503D">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10350" w:type="dxa"/>
        <w:jc w:val="center"/>
        <w:tblBorders>
          <w:top w:val="nil"/>
          <w:left w:val="nil"/>
          <w:bottom w:val="nil"/>
          <w:right w:val="nil"/>
          <w:insideH w:val="nil"/>
          <w:insideV w:val="nil"/>
        </w:tblBorders>
        <w:tblLayout w:type="fixed"/>
        <w:tblLook w:val="0400" w:firstRow="0" w:lastRow="0" w:firstColumn="0" w:lastColumn="0" w:noHBand="0" w:noVBand="1"/>
      </w:tblPr>
      <w:tblGrid>
        <w:gridCol w:w="3891"/>
        <w:gridCol w:w="6459"/>
      </w:tblGrid>
      <w:tr w:rsidR="00F8503D" w14:paraId="0683E9D2" w14:textId="77777777">
        <w:trPr>
          <w:trHeight w:val="3060"/>
          <w:jc w:val="center"/>
        </w:trPr>
        <w:tc>
          <w:tcPr>
            <w:tcW w:w="3891" w:type="dxa"/>
          </w:tcPr>
          <w:p w14:paraId="5F03D426" w14:textId="77777777" w:rsidR="00F8503D" w:rsidRDefault="0033067D">
            <w:pPr>
              <w:keepNext/>
              <w:pBdr>
                <w:top w:val="nil"/>
                <w:left w:val="nil"/>
                <w:bottom w:val="none" w:sz="0" w:space="0" w:color="000000"/>
                <w:right w:val="nil"/>
                <w:between w:val="nil"/>
              </w:pBdr>
              <w:spacing w:after="200" w:line="276" w:lineRule="auto"/>
              <w:rPr>
                <w:rFonts w:ascii="Tahoma" w:eastAsia="Tahoma" w:hAnsi="Tahoma" w:cs="Tahoma"/>
                <w:smallCaps/>
                <w:color w:val="6A976C"/>
                <w:sz w:val="44"/>
                <w:szCs w:val="44"/>
              </w:rPr>
            </w:pPr>
            <w:r>
              <w:rPr>
                <w:rFonts w:ascii="Tahoma" w:eastAsia="Tahoma" w:hAnsi="Tahoma" w:cs="Tahoma"/>
                <w:smallCaps/>
                <w:noProof/>
                <w:color w:val="6A976C"/>
                <w:sz w:val="44"/>
                <w:szCs w:val="44"/>
              </w:rPr>
              <w:drawing>
                <wp:inline distT="0" distB="0" distL="0" distR="0" wp14:anchorId="1D493DBF" wp14:editId="1DD28FDF">
                  <wp:extent cx="2339134" cy="1847916"/>
                  <wp:effectExtent l="0" t="0" r="0" b="0"/>
                  <wp:docPr id="5" name="image1.jpg" descr="Higher Education Coordinating Commission Office of Community Colleges and Workforce Development"/>
                  <wp:cNvGraphicFramePr/>
                  <a:graphic xmlns:a="http://schemas.openxmlformats.org/drawingml/2006/main">
                    <a:graphicData uri="http://schemas.openxmlformats.org/drawingml/2006/picture">
                      <pic:pic xmlns:pic="http://schemas.openxmlformats.org/drawingml/2006/picture">
                        <pic:nvPicPr>
                          <pic:cNvPr id="0" name="image1.jpg" descr="Higher Education Coordinating Commission Office of Community Colleges and Workforce Development"/>
                          <pic:cNvPicPr preferRelativeResize="0"/>
                        </pic:nvPicPr>
                        <pic:blipFill>
                          <a:blip r:embed="rId11"/>
                          <a:srcRect/>
                          <a:stretch>
                            <a:fillRect/>
                          </a:stretch>
                        </pic:blipFill>
                        <pic:spPr>
                          <a:xfrm>
                            <a:off x="0" y="0"/>
                            <a:ext cx="2339134" cy="1847916"/>
                          </a:xfrm>
                          <a:prstGeom prst="rect">
                            <a:avLst/>
                          </a:prstGeom>
                          <a:ln/>
                        </pic:spPr>
                      </pic:pic>
                    </a:graphicData>
                  </a:graphic>
                </wp:inline>
              </w:drawing>
            </w:r>
          </w:p>
        </w:tc>
        <w:tc>
          <w:tcPr>
            <w:tcW w:w="6459" w:type="dxa"/>
          </w:tcPr>
          <w:p w14:paraId="7F4E0318" w14:textId="77777777" w:rsidR="00196A50" w:rsidRDefault="0033067D">
            <w:pPr>
              <w:keepNext/>
              <w:pBdr>
                <w:top w:val="nil"/>
                <w:left w:val="nil"/>
                <w:bottom w:val="single" w:sz="18" w:space="0" w:color="669966"/>
                <w:right w:val="nil"/>
                <w:between w:val="nil"/>
              </w:pBdr>
              <w:spacing w:after="200" w:line="276" w:lineRule="auto"/>
              <w:rPr>
                <w:rFonts w:ascii="Tahoma" w:eastAsia="Tahoma" w:hAnsi="Tahoma" w:cs="Tahoma"/>
                <w:smallCaps/>
                <w:color w:val="6A976C"/>
                <w:sz w:val="44"/>
                <w:szCs w:val="44"/>
              </w:rPr>
            </w:pPr>
            <w:r>
              <w:rPr>
                <w:rFonts w:ascii="Tahoma" w:eastAsia="Tahoma" w:hAnsi="Tahoma" w:cs="Tahoma"/>
                <w:b/>
                <w:bCs/>
                <w:smallCaps/>
                <w:color w:val="6A976C"/>
                <w:sz w:val="48"/>
                <w:szCs w:val="48"/>
              </w:rPr>
              <w:t>2026-27 Policy Manual</w:t>
            </w:r>
            <w:r>
              <w:rPr>
                <w:rFonts w:ascii="Tahoma" w:eastAsia="Tahoma" w:hAnsi="Tahoma" w:cs="Tahoma"/>
                <w:smallCaps/>
                <w:color w:val="6A976C"/>
                <w:sz w:val="48"/>
                <w:szCs w:val="48"/>
              </w:rPr>
              <w:t xml:space="preserve"> </w:t>
            </w:r>
            <w:r>
              <w:rPr>
                <w:rFonts w:ascii="Tahoma" w:eastAsia="Tahoma" w:hAnsi="Tahoma" w:cs="Tahoma"/>
                <w:smallCaps/>
                <w:color w:val="6A976C"/>
                <w:sz w:val="44"/>
                <w:szCs w:val="44"/>
              </w:rPr>
              <w:t xml:space="preserve">Oregon adult </w:t>
            </w:r>
            <w:r w:rsidR="00A372A8">
              <w:rPr>
                <w:rFonts w:ascii="Tahoma" w:eastAsia="Tahoma" w:hAnsi="Tahoma" w:cs="Tahoma"/>
                <w:smallCaps/>
                <w:color w:val="6A976C"/>
                <w:sz w:val="44"/>
                <w:szCs w:val="44"/>
              </w:rPr>
              <w:t>basic</w:t>
            </w:r>
            <w:r>
              <w:rPr>
                <w:rFonts w:ascii="Tahoma" w:eastAsia="Tahoma" w:hAnsi="Tahoma" w:cs="Tahoma"/>
                <w:smallCaps/>
                <w:color w:val="6A976C"/>
                <w:sz w:val="44"/>
                <w:szCs w:val="44"/>
              </w:rPr>
              <w:t xml:space="preserve"> Skills </w:t>
            </w:r>
          </w:p>
          <w:p w14:paraId="30EEAE37" w14:textId="227F0E22" w:rsidR="00F8503D" w:rsidRDefault="0033067D">
            <w:pPr>
              <w:keepNext/>
              <w:pBdr>
                <w:top w:val="nil"/>
                <w:left w:val="nil"/>
                <w:bottom w:val="single" w:sz="18" w:space="0" w:color="669966"/>
                <w:right w:val="nil"/>
                <w:between w:val="nil"/>
              </w:pBdr>
              <w:spacing w:after="200" w:line="276" w:lineRule="auto"/>
              <w:rPr>
                <w:rFonts w:ascii="Tahoma" w:eastAsia="Tahoma" w:hAnsi="Tahoma" w:cs="Tahoma"/>
                <w:smallCaps/>
                <w:color w:val="6A976C"/>
                <w:sz w:val="48"/>
                <w:szCs w:val="48"/>
              </w:rPr>
            </w:pPr>
            <w:r>
              <w:rPr>
                <w:rFonts w:ascii="Tahoma" w:eastAsia="Tahoma" w:hAnsi="Tahoma" w:cs="Tahoma"/>
                <w:smallCaps/>
                <w:color w:val="6A976C"/>
                <w:sz w:val="44"/>
                <w:szCs w:val="44"/>
              </w:rPr>
              <w:t>Title II Adult Education and Literacy Grant</w:t>
            </w:r>
          </w:p>
          <w:p w14:paraId="4F9E49D9" w14:textId="77777777" w:rsidR="00F8503D" w:rsidRDefault="0033067D">
            <w:pPr>
              <w:pBdr>
                <w:top w:val="nil"/>
                <w:left w:val="nil"/>
                <w:bottom w:val="nil"/>
                <w:right w:val="nil"/>
                <w:between w:val="nil"/>
              </w:pBdr>
              <w:spacing w:before="160" w:after="160" w:line="276" w:lineRule="auto"/>
              <w:rPr>
                <w:rFonts w:ascii="Verdana" w:eastAsia="Verdana" w:hAnsi="Verdana" w:cs="Verdana"/>
                <w:color w:val="000000"/>
                <w:sz w:val="23"/>
                <w:szCs w:val="23"/>
              </w:rPr>
            </w:pPr>
            <w:r>
              <w:rPr>
                <w:rFonts w:ascii="Verdana" w:eastAsia="Verdana" w:hAnsi="Verdana" w:cs="Verdana"/>
                <w:color w:val="000000"/>
                <w:sz w:val="28"/>
                <w:szCs w:val="28"/>
              </w:rPr>
              <w:t>Effective July 1, 2026 – June 30, 2027</w:t>
            </w:r>
          </w:p>
        </w:tc>
      </w:tr>
    </w:tbl>
    <w:p w14:paraId="0DADC48E" w14:textId="77777777" w:rsidR="00F8503D" w:rsidRDefault="0033067D">
      <w:pPr>
        <w:pBdr>
          <w:top w:val="nil"/>
          <w:left w:val="nil"/>
          <w:bottom w:val="nil"/>
          <w:right w:val="nil"/>
          <w:between w:val="nil"/>
        </w:pBdr>
        <w:spacing w:after="200" w:line="276" w:lineRule="auto"/>
        <w:ind w:right="367"/>
        <w:rPr>
          <w:rFonts w:ascii="Tahoma" w:eastAsia="Tahoma" w:hAnsi="Tahoma" w:cs="Tahoma"/>
          <w:smallCaps/>
          <w:color w:val="000000"/>
          <w:sz w:val="30"/>
          <w:szCs w:val="30"/>
        </w:rPr>
      </w:pPr>
      <w:r>
        <w:rPr>
          <w:rFonts w:ascii="Tahoma" w:eastAsia="Tahoma" w:hAnsi="Tahoma" w:cs="Tahoma"/>
          <w:smallCaps/>
          <w:color w:val="000000"/>
          <w:sz w:val="30"/>
          <w:szCs w:val="30"/>
        </w:rPr>
        <w:t xml:space="preserve">   </w:t>
      </w:r>
    </w:p>
    <w:tbl>
      <w:tblPr>
        <w:tblW w:w="10350" w:type="dxa"/>
        <w:jc w:val="center"/>
        <w:tblBorders>
          <w:top w:val="nil"/>
          <w:left w:val="nil"/>
          <w:bottom w:val="nil"/>
          <w:right w:val="nil"/>
          <w:insideH w:val="nil"/>
          <w:insideV w:val="nil"/>
        </w:tblBorders>
        <w:tblLayout w:type="fixed"/>
        <w:tblLook w:val="0400" w:firstRow="0" w:lastRow="0" w:firstColumn="0" w:lastColumn="0" w:noHBand="0" w:noVBand="1"/>
      </w:tblPr>
      <w:tblGrid>
        <w:gridCol w:w="4680"/>
        <w:gridCol w:w="5670"/>
      </w:tblGrid>
      <w:tr w:rsidR="00F8503D" w14:paraId="5F33DB8E" w14:textId="77777777" w:rsidTr="7B188CE2">
        <w:trPr>
          <w:trHeight w:val="3060"/>
          <w:jc w:val="center"/>
        </w:trPr>
        <w:tc>
          <w:tcPr>
            <w:tcW w:w="4680" w:type="dxa"/>
          </w:tcPr>
          <w:p w14:paraId="5E5A35F4"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Donna Lewelling</w:t>
            </w:r>
          </w:p>
          <w:p w14:paraId="45D4BE96"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Office Director/ABS State Director </w:t>
            </w:r>
            <w:r>
              <w:rPr>
                <w:rFonts w:ascii="Verdana" w:eastAsia="Verdana" w:hAnsi="Verdana" w:cs="Verdana"/>
                <w:sz w:val="23"/>
                <w:szCs w:val="23"/>
              </w:rPr>
              <w:br/>
              <w:t>503-559-4340</w:t>
            </w:r>
          </w:p>
          <w:p w14:paraId="0DA05E61" w14:textId="77777777" w:rsidR="00F8503D" w:rsidRDefault="0033067D">
            <w:pPr>
              <w:ind w:left="360"/>
              <w:rPr>
                <w:rFonts w:ascii="Verdana" w:eastAsia="Verdana" w:hAnsi="Verdana" w:cs="Verdana"/>
                <w:sz w:val="23"/>
                <w:szCs w:val="23"/>
              </w:rPr>
            </w:pPr>
            <w:hyperlink r:id="rId12">
              <w:r>
                <w:rPr>
                  <w:rFonts w:ascii="Verdana" w:eastAsia="Verdana" w:hAnsi="Verdana" w:cs="Verdana"/>
                  <w:color w:val="0000FF"/>
                  <w:sz w:val="23"/>
                  <w:szCs w:val="23"/>
                </w:rPr>
                <w:t>donna.j.lewelling@hecc.oregon.gov</w:t>
              </w:r>
            </w:hyperlink>
          </w:p>
          <w:p w14:paraId="5C517991" w14:textId="77777777" w:rsidR="00F8503D" w:rsidRDefault="00F8503D">
            <w:pPr>
              <w:ind w:left="360"/>
              <w:rPr>
                <w:rFonts w:ascii="Verdana" w:eastAsia="Verdana" w:hAnsi="Verdana" w:cs="Verdana"/>
                <w:sz w:val="23"/>
                <w:szCs w:val="23"/>
              </w:rPr>
            </w:pPr>
          </w:p>
          <w:p w14:paraId="3CB190B5"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Ashley Garrigan</w:t>
            </w:r>
          </w:p>
          <w:p w14:paraId="03095237"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ABE State Leadership Coordinator </w:t>
            </w:r>
            <w:r>
              <w:rPr>
                <w:rFonts w:ascii="Verdana" w:eastAsia="Verdana" w:hAnsi="Verdana" w:cs="Verdana"/>
                <w:sz w:val="23"/>
                <w:szCs w:val="23"/>
              </w:rPr>
              <w:br/>
              <w:t>503-979-5453</w:t>
            </w:r>
          </w:p>
          <w:p w14:paraId="17A3AF05" w14:textId="77777777" w:rsidR="00F8503D" w:rsidRDefault="0033067D">
            <w:pPr>
              <w:ind w:left="360"/>
              <w:rPr>
                <w:rFonts w:ascii="Verdana" w:eastAsia="Verdana" w:hAnsi="Verdana" w:cs="Verdana"/>
                <w:sz w:val="23"/>
                <w:szCs w:val="23"/>
              </w:rPr>
            </w:pPr>
            <w:hyperlink r:id="rId13">
              <w:r>
                <w:rPr>
                  <w:rFonts w:ascii="Verdana" w:eastAsia="Verdana" w:hAnsi="Verdana" w:cs="Verdana"/>
                  <w:color w:val="0000FF"/>
                  <w:sz w:val="23"/>
                  <w:szCs w:val="23"/>
                </w:rPr>
                <w:t>ashley.garrigan@hecc.oregon.gov</w:t>
              </w:r>
            </w:hyperlink>
          </w:p>
          <w:p w14:paraId="7D7E1EA5" w14:textId="77777777" w:rsidR="00F8503D" w:rsidRDefault="00F8503D">
            <w:pPr>
              <w:ind w:left="360"/>
              <w:rPr>
                <w:rFonts w:ascii="Verdana" w:eastAsia="Verdana" w:hAnsi="Verdana" w:cs="Verdana"/>
                <w:sz w:val="23"/>
                <w:szCs w:val="23"/>
              </w:rPr>
            </w:pPr>
          </w:p>
          <w:p w14:paraId="6A6A89E3"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Vacant </w:t>
            </w:r>
          </w:p>
          <w:p w14:paraId="1438C3AD"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ABS Education Specialist </w:t>
            </w:r>
            <w:r>
              <w:rPr>
                <w:rFonts w:ascii="Verdana" w:eastAsia="Verdana" w:hAnsi="Verdana" w:cs="Verdana"/>
                <w:sz w:val="23"/>
                <w:szCs w:val="23"/>
              </w:rPr>
              <w:br/>
            </w:r>
          </w:p>
          <w:p w14:paraId="60B78123" w14:textId="77777777" w:rsidR="00F8503D" w:rsidRDefault="00F8503D">
            <w:pPr>
              <w:ind w:left="360"/>
              <w:rPr>
                <w:rFonts w:ascii="Verdana" w:eastAsia="Verdana" w:hAnsi="Verdana" w:cs="Verdana"/>
                <w:sz w:val="23"/>
                <w:szCs w:val="23"/>
              </w:rPr>
            </w:pPr>
          </w:p>
          <w:p w14:paraId="7AE20BE1"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Kelly Zinck </w:t>
            </w:r>
          </w:p>
          <w:p w14:paraId="4CEEB3B8"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Education Team Research Analyst </w:t>
            </w:r>
            <w:r>
              <w:rPr>
                <w:rFonts w:ascii="Verdana" w:eastAsia="Verdana" w:hAnsi="Verdana" w:cs="Verdana"/>
                <w:sz w:val="23"/>
                <w:szCs w:val="23"/>
              </w:rPr>
              <w:br/>
              <w:t>503-979-5671</w:t>
            </w:r>
          </w:p>
          <w:p w14:paraId="7C7172C8" w14:textId="77777777" w:rsidR="00F8503D" w:rsidRDefault="0033067D">
            <w:pPr>
              <w:ind w:left="360"/>
              <w:rPr>
                <w:rFonts w:ascii="Verdana" w:eastAsia="Verdana" w:hAnsi="Verdana" w:cs="Verdana"/>
                <w:color w:val="0000FF"/>
                <w:sz w:val="23"/>
                <w:szCs w:val="23"/>
              </w:rPr>
            </w:pPr>
            <w:hyperlink r:id="rId14">
              <w:r>
                <w:rPr>
                  <w:rFonts w:ascii="Verdana" w:eastAsia="Verdana" w:hAnsi="Verdana" w:cs="Verdana"/>
                  <w:color w:val="0000FF"/>
                  <w:sz w:val="23"/>
                  <w:szCs w:val="23"/>
                </w:rPr>
                <w:t>kelly.zinck@hecc.oregon.gov</w:t>
              </w:r>
            </w:hyperlink>
          </w:p>
          <w:p w14:paraId="274D53CD" w14:textId="77777777" w:rsidR="00F8503D" w:rsidRDefault="00F8503D">
            <w:pPr>
              <w:ind w:left="360"/>
              <w:rPr>
                <w:rFonts w:ascii="Verdana" w:eastAsia="Verdana" w:hAnsi="Verdana" w:cs="Verdana"/>
                <w:color w:val="0000FF"/>
                <w:sz w:val="23"/>
                <w:szCs w:val="23"/>
              </w:rPr>
            </w:pPr>
          </w:p>
          <w:p w14:paraId="5C949DBD"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Stephanie White</w:t>
            </w:r>
          </w:p>
          <w:p w14:paraId="4C743353" w14:textId="6C47E2A9" w:rsidR="00F8503D" w:rsidRDefault="0033067D">
            <w:pPr>
              <w:ind w:left="360"/>
              <w:rPr>
                <w:rFonts w:ascii="Verdana" w:eastAsia="Verdana" w:hAnsi="Verdana" w:cs="Verdana"/>
                <w:sz w:val="23"/>
                <w:szCs w:val="23"/>
                <w:lang w:val="en-US"/>
              </w:rPr>
            </w:pPr>
            <w:r w:rsidRPr="6980A933">
              <w:rPr>
                <w:rFonts w:ascii="Verdana" w:eastAsia="Verdana" w:hAnsi="Verdana" w:cs="Verdana"/>
                <w:sz w:val="23"/>
                <w:szCs w:val="23"/>
                <w:lang w:val="en-US"/>
              </w:rPr>
              <w:t xml:space="preserve">High School </w:t>
            </w:r>
            <w:r w:rsidR="7ED54B8B" w:rsidRPr="03E6F67A">
              <w:rPr>
                <w:rFonts w:ascii="Verdana" w:eastAsia="Verdana" w:hAnsi="Verdana" w:cs="Verdana"/>
                <w:sz w:val="23"/>
                <w:szCs w:val="23"/>
                <w:lang w:val="en-US"/>
              </w:rPr>
              <w:t>Equivalency</w:t>
            </w:r>
            <w:r w:rsidR="5433468C" w:rsidRPr="03E6F67A">
              <w:rPr>
                <w:rFonts w:ascii="Verdana" w:eastAsia="Verdana" w:hAnsi="Verdana" w:cs="Verdana"/>
                <w:sz w:val="23"/>
                <w:szCs w:val="23"/>
                <w:lang w:val="en-US"/>
              </w:rPr>
              <w:t xml:space="preserve"> </w:t>
            </w:r>
            <w:r w:rsidR="6D0CA935" w:rsidRPr="03E6F67A">
              <w:rPr>
                <w:rFonts w:ascii="Verdana" w:eastAsia="Verdana" w:hAnsi="Verdana" w:cs="Verdana"/>
                <w:sz w:val="23"/>
                <w:szCs w:val="23"/>
                <w:lang w:val="en-US"/>
              </w:rPr>
              <w:t>C</w:t>
            </w:r>
            <w:r w:rsidR="7ED54B8B" w:rsidRPr="03E6F67A">
              <w:rPr>
                <w:rFonts w:ascii="Verdana" w:eastAsia="Verdana" w:hAnsi="Verdana" w:cs="Verdana"/>
                <w:sz w:val="23"/>
                <w:szCs w:val="23"/>
                <w:lang w:val="en-US"/>
              </w:rPr>
              <w:t>oordinator</w:t>
            </w:r>
            <w:r>
              <w:br/>
            </w:r>
            <w:r w:rsidRPr="6980A933">
              <w:rPr>
                <w:rFonts w:ascii="Verdana" w:eastAsia="Verdana" w:hAnsi="Verdana" w:cs="Verdana"/>
                <w:sz w:val="23"/>
                <w:szCs w:val="23"/>
                <w:lang w:val="en-US"/>
              </w:rPr>
              <w:t xml:space="preserve">971-600-5330 </w:t>
            </w:r>
            <w:r>
              <w:br/>
            </w:r>
            <w:hyperlink r:id="rId15">
              <w:r w:rsidRPr="6980A933">
                <w:rPr>
                  <w:rFonts w:ascii="Verdana" w:eastAsia="Verdana" w:hAnsi="Verdana" w:cs="Verdana"/>
                  <w:color w:val="0000FF"/>
                  <w:sz w:val="23"/>
                  <w:szCs w:val="23"/>
                  <w:lang w:val="en-US"/>
                </w:rPr>
                <w:t>stephanie.white@hecc.oregon.gov</w:t>
              </w:r>
            </w:hyperlink>
          </w:p>
          <w:p w14:paraId="20E1E4ED" w14:textId="77777777" w:rsidR="00F8503D" w:rsidRDefault="00F8503D">
            <w:pPr>
              <w:ind w:left="360"/>
              <w:rPr>
                <w:rFonts w:ascii="Verdana" w:eastAsia="Verdana" w:hAnsi="Verdana" w:cs="Verdana"/>
                <w:sz w:val="23"/>
                <w:szCs w:val="23"/>
              </w:rPr>
            </w:pPr>
          </w:p>
          <w:p w14:paraId="15180F8C"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Tamy Freeman </w:t>
            </w:r>
          </w:p>
          <w:p w14:paraId="57193138" w14:textId="77777777" w:rsidR="00F8503D" w:rsidRDefault="0033067D">
            <w:pPr>
              <w:ind w:left="360"/>
              <w:rPr>
                <w:rFonts w:ascii="Verdana" w:eastAsia="Verdana" w:hAnsi="Verdana" w:cs="Verdana"/>
                <w:sz w:val="23"/>
                <w:szCs w:val="23"/>
              </w:rPr>
            </w:pPr>
            <w:r>
              <w:rPr>
                <w:rFonts w:ascii="Verdana" w:eastAsia="Verdana" w:hAnsi="Verdana" w:cs="Verdana"/>
                <w:sz w:val="23"/>
                <w:szCs w:val="23"/>
              </w:rPr>
              <w:t xml:space="preserve">Program Coordinator </w:t>
            </w:r>
            <w:r>
              <w:rPr>
                <w:rFonts w:ascii="Verdana" w:eastAsia="Verdana" w:hAnsi="Verdana" w:cs="Verdana"/>
                <w:sz w:val="23"/>
                <w:szCs w:val="23"/>
              </w:rPr>
              <w:br/>
              <w:t>503-979-5760</w:t>
            </w:r>
          </w:p>
          <w:p w14:paraId="7C82167E" w14:textId="77777777" w:rsidR="00F8503D" w:rsidRDefault="0033067D">
            <w:pPr>
              <w:ind w:left="360"/>
              <w:rPr>
                <w:sz w:val="44"/>
                <w:szCs w:val="44"/>
              </w:rPr>
            </w:pPr>
            <w:hyperlink r:id="rId16">
              <w:r>
                <w:rPr>
                  <w:rFonts w:ascii="Verdana" w:eastAsia="Verdana" w:hAnsi="Verdana" w:cs="Verdana"/>
                  <w:color w:val="0000FF"/>
                  <w:sz w:val="23"/>
                  <w:szCs w:val="23"/>
                </w:rPr>
                <w:t xml:space="preserve">tamyra.freeman@hecc.oregon.gov </w:t>
              </w:r>
            </w:hyperlink>
          </w:p>
        </w:tc>
        <w:tc>
          <w:tcPr>
            <w:tcW w:w="5670" w:type="dxa"/>
          </w:tcPr>
          <w:p w14:paraId="25A5E838" w14:textId="77777777" w:rsidR="00F8503D" w:rsidRDefault="0033067D">
            <w:pPr>
              <w:ind w:left="345"/>
              <w:rPr>
                <w:rFonts w:ascii="Verdana" w:eastAsia="Verdana" w:hAnsi="Verdana" w:cs="Verdana"/>
                <w:sz w:val="23"/>
                <w:szCs w:val="23"/>
              </w:rPr>
            </w:pPr>
            <w:r>
              <w:rPr>
                <w:rFonts w:ascii="Verdana" w:eastAsia="Verdana" w:hAnsi="Verdana" w:cs="Verdana"/>
                <w:sz w:val="23"/>
                <w:szCs w:val="23"/>
              </w:rPr>
              <w:t xml:space="preserve">HECC ABS Team </w:t>
            </w:r>
          </w:p>
          <w:p w14:paraId="68CA7D57" w14:textId="77777777" w:rsidR="00F8503D" w:rsidRDefault="0033067D">
            <w:pPr>
              <w:ind w:left="345"/>
              <w:rPr>
                <w:rFonts w:ascii="Verdana" w:eastAsia="Verdana" w:hAnsi="Verdana" w:cs="Verdana"/>
                <w:sz w:val="23"/>
                <w:szCs w:val="23"/>
              </w:rPr>
            </w:pPr>
            <w:hyperlink r:id="rId17">
              <w:r>
                <w:rPr>
                  <w:rFonts w:ascii="Verdana" w:eastAsia="Verdana" w:hAnsi="Verdana" w:cs="Verdana"/>
                  <w:color w:val="0000FF"/>
                  <w:sz w:val="23"/>
                  <w:szCs w:val="23"/>
                </w:rPr>
                <w:t>hecc.absteam@hecc.oregon.gov</w:t>
              </w:r>
            </w:hyperlink>
          </w:p>
          <w:p w14:paraId="3B375A02" w14:textId="77777777" w:rsidR="00F8503D" w:rsidRDefault="00F8503D">
            <w:pPr>
              <w:ind w:left="345"/>
              <w:rPr>
                <w:rFonts w:ascii="Verdana" w:eastAsia="Verdana" w:hAnsi="Verdana" w:cs="Verdana"/>
                <w:sz w:val="23"/>
                <w:szCs w:val="23"/>
              </w:rPr>
            </w:pPr>
          </w:p>
          <w:p w14:paraId="5584CBAD" w14:textId="77777777" w:rsidR="00F8503D" w:rsidRDefault="0033067D">
            <w:pPr>
              <w:ind w:left="345"/>
              <w:rPr>
                <w:rFonts w:ascii="Verdana" w:eastAsia="Verdana" w:hAnsi="Verdana" w:cs="Verdana"/>
                <w:sz w:val="23"/>
                <w:szCs w:val="23"/>
              </w:rPr>
            </w:pPr>
            <w:hyperlink r:id="rId18">
              <w:r>
                <w:rPr>
                  <w:rFonts w:ascii="Verdana" w:eastAsia="Verdana" w:hAnsi="Verdana" w:cs="Verdana"/>
                  <w:color w:val="0000FF"/>
                  <w:sz w:val="23"/>
                  <w:szCs w:val="23"/>
                </w:rPr>
                <w:t>Oregon ABS Resources</w:t>
              </w:r>
            </w:hyperlink>
            <w:r>
              <w:rPr>
                <w:rFonts w:ascii="Verdana" w:eastAsia="Verdana" w:hAnsi="Verdana" w:cs="Verdana"/>
                <w:sz w:val="23"/>
                <w:szCs w:val="23"/>
              </w:rPr>
              <w:t xml:space="preserve"> </w:t>
            </w:r>
          </w:p>
          <w:p w14:paraId="62869A97" w14:textId="77777777" w:rsidR="00F8503D" w:rsidRDefault="00F8503D">
            <w:pPr>
              <w:ind w:left="345"/>
              <w:rPr>
                <w:rFonts w:ascii="Verdana" w:eastAsia="Verdana" w:hAnsi="Verdana" w:cs="Verdana"/>
                <w:sz w:val="23"/>
                <w:szCs w:val="23"/>
              </w:rPr>
            </w:pPr>
          </w:p>
          <w:p w14:paraId="60E57E87" w14:textId="77777777" w:rsidR="00F8503D" w:rsidRDefault="0033067D">
            <w:pPr>
              <w:pBdr>
                <w:top w:val="nil"/>
                <w:left w:val="nil"/>
                <w:bottom w:val="nil"/>
                <w:right w:val="nil"/>
                <w:between w:val="nil"/>
              </w:pBdr>
              <w:spacing w:before="160" w:after="160" w:line="276" w:lineRule="auto"/>
              <w:ind w:left="345"/>
              <w:rPr>
                <w:rFonts w:ascii="Verdana" w:eastAsia="Verdana" w:hAnsi="Verdana" w:cs="Verdana"/>
                <w:color w:val="000000"/>
                <w:sz w:val="23"/>
                <w:szCs w:val="23"/>
              </w:rPr>
            </w:pPr>
            <w:hyperlink r:id="rId19">
              <w:r>
                <w:rPr>
                  <w:rFonts w:ascii="Verdana" w:eastAsia="Verdana" w:hAnsi="Verdana" w:cs="Verdana"/>
                  <w:color w:val="0000FF"/>
                  <w:sz w:val="23"/>
                  <w:szCs w:val="23"/>
                </w:rPr>
                <w:t>Oregon ABS Professional Development</w:t>
              </w:r>
            </w:hyperlink>
            <w:r>
              <w:rPr>
                <w:rFonts w:ascii="Verdana" w:eastAsia="Verdana" w:hAnsi="Verdana" w:cs="Verdana"/>
                <w:color w:val="0000FF"/>
                <w:sz w:val="23"/>
                <w:szCs w:val="23"/>
                <w:u w:val="single"/>
              </w:rPr>
              <w:t xml:space="preserve"> </w:t>
            </w:r>
          </w:p>
        </w:tc>
      </w:tr>
    </w:tbl>
    <w:p w14:paraId="637AC09C" w14:textId="77777777" w:rsidR="00F8503D" w:rsidRDefault="00F8503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Arial" w:eastAsia="Arial" w:hAnsi="Arial" w:cs="Arial"/>
          <w:color w:val="669966"/>
          <w:sz w:val="28"/>
          <w:szCs w:val="28"/>
        </w:rPr>
      </w:pPr>
    </w:p>
    <w:p w14:paraId="773BFB55" w14:textId="77777777" w:rsidR="00F8503D" w:rsidRDefault="00F8503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Arial" w:eastAsia="Arial" w:hAnsi="Arial" w:cs="Arial"/>
          <w:color w:val="669966"/>
          <w:sz w:val="28"/>
          <w:szCs w:val="28"/>
        </w:rPr>
      </w:pPr>
    </w:p>
    <w:p w14:paraId="6FA28199" w14:textId="2D7BF3CE"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Arial" w:eastAsia="Arial" w:hAnsi="Arial" w:cs="Arial"/>
          <w:b/>
          <w:bCs/>
          <w:smallCaps/>
          <w:color w:val="6A976C"/>
          <w:sz w:val="32"/>
          <w:szCs w:val="32"/>
        </w:rPr>
      </w:pPr>
      <w:r>
        <w:rPr>
          <w:rFonts w:ascii="Arial" w:eastAsia="Arial" w:hAnsi="Arial" w:cs="Arial"/>
          <w:b/>
          <w:bCs/>
          <w:smallCaps/>
          <w:color w:val="6A976C"/>
          <w:sz w:val="32"/>
          <w:szCs w:val="32"/>
        </w:rPr>
        <w:lastRenderedPageBreak/>
        <w:t>COMMITMENT TO EQUITY</w:t>
      </w:r>
    </w:p>
    <w:p w14:paraId="4852CA42"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rPr>
      </w:pPr>
      <w:r>
        <w:rPr>
          <w:rFonts w:ascii="Verdana" w:eastAsia="Verdana" w:hAnsi="Verdana" w:cs="Verdana"/>
          <w:sz w:val="23"/>
          <w:szCs w:val="23"/>
        </w:rPr>
        <w:t>The Higher Education Coordinating Commission (HECC) envisions a future in which all Oregonians—and especially those whom our systems have underserved and marginalized—benefit from the transformational power of high-quality postsecondary education and training. On this page, you can learn about what the HECC agency is doing to advance educational equity.</w:t>
      </w:r>
    </w:p>
    <w:p w14:paraId="2B263399" w14:textId="51663B7B" w:rsidR="00F8503D" w:rsidRDefault="0033067D" w:rsidP="0E6AD713">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lang w:val="en-US"/>
        </w:rPr>
      </w:pPr>
      <w:r w:rsidRPr="0E6AD713">
        <w:rPr>
          <w:rFonts w:ascii="Verdana" w:eastAsia="Verdana" w:hAnsi="Verdana" w:cs="Verdana"/>
          <w:sz w:val="23"/>
          <w:szCs w:val="23"/>
          <w:lang w:val="en-US"/>
        </w:rPr>
        <w:t xml:space="preserve">The HECC works to serve all postsecondary </w:t>
      </w:r>
      <w:r w:rsidR="00D55038" w:rsidRPr="0E6AD713">
        <w:rPr>
          <w:rFonts w:ascii="Verdana" w:eastAsia="Verdana" w:hAnsi="Verdana" w:cs="Verdana"/>
          <w:sz w:val="23"/>
          <w:szCs w:val="23"/>
          <w:lang w:val="en-US"/>
        </w:rPr>
        <w:t>learners</w:t>
      </w:r>
      <w:r w:rsidR="63B7756D" w:rsidRPr="0E6AD713">
        <w:rPr>
          <w:rFonts w:ascii="Verdana" w:eastAsia="Verdana" w:hAnsi="Verdana" w:cs="Verdana"/>
          <w:sz w:val="23"/>
          <w:szCs w:val="23"/>
          <w:lang w:val="en-US"/>
        </w:rPr>
        <w:t xml:space="preserve"> </w:t>
      </w:r>
      <w:r w:rsidRPr="0E6AD713">
        <w:rPr>
          <w:rFonts w:ascii="Verdana" w:eastAsia="Verdana" w:hAnsi="Verdana" w:cs="Verdana"/>
          <w:sz w:val="23"/>
          <w:szCs w:val="23"/>
          <w:lang w:val="en-US"/>
        </w:rPr>
        <w:t>and workforce participants across Oregon. To do this, it is important to understand that not every</w:t>
      </w:r>
      <w:r w:rsidR="00335D8F">
        <w:rPr>
          <w:rFonts w:ascii="Verdana" w:eastAsia="Verdana" w:hAnsi="Verdana" w:cs="Verdana"/>
          <w:sz w:val="23"/>
          <w:szCs w:val="23"/>
          <w:lang w:val="en-US"/>
        </w:rPr>
        <w:t xml:space="preserve"> </w:t>
      </w:r>
      <w:r w:rsidRPr="0E6AD713">
        <w:rPr>
          <w:rFonts w:ascii="Verdana" w:eastAsia="Verdana" w:hAnsi="Verdana" w:cs="Verdana"/>
          <w:sz w:val="23"/>
          <w:szCs w:val="23"/>
          <w:lang w:val="en-US"/>
        </w:rPr>
        <w:t>learner enters higher education or career training with the same experience or level of support. Accordingly, our approach must reflect the unique needs of learners and communities. By building systems and policies that support every individual, we will build a thriving future for Oregon as a whole. Our equity tools guide our work and our collective future.</w:t>
      </w:r>
    </w:p>
    <w:p w14:paraId="66CD081B" w14:textId="68EE6204" w:rsidR="00F8503D" w:rsidRDefault="0033067D" w:rsidP="26274FD9">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lang w:val="en-US"/>
        </w:rPr>
      </w:pPr>
      <w:r w:rsidRPr="0E6AD713">
        <w:rPr>
          <w:rFonts w:ascii="Verdana" w:eastAsia="Verdana" w:hAnsi="Verdana" w:cs="Verdana"/>
          <w:sz w:val="23"/>
          <w:szCs w:val="23"/>
        </w:rPr>
        <w:t xml:space="preserve">Our Equity Stance: For the HECC, postsecondary education equity will </w:t>
      </w:r>
      <w:r w:rsidR="67B1D315" w:rsidRPr="0E6AD713">
        <w:rPr>
          <w:rFonts w:ascii="Verdana" w:eastAsia="Verdana" w:hAnsi="Verdana" w:cs="Verdana"/>
          <w:sz w:val="23"/>
          <w:szCs w:val="23"/>
        </w:rPr>
        <w:t xml:space="preserve">not </w:t>
      </w:r>
      <w:r w:rsidRPr="0E6AD713">
        <w:rPr>
          <w:rFonts w:ascii="Verdana" w:eastAsia="Verdana" w:hAnsi="Verdana" w:cs="Verdana"/>
          <w:sz w:val="23"/>
          <w:szCs w:val="23"/>
        </w:rPr>
        <w:t xml:space="preserve">be achieved </w:t>
      </w:r>
      <w:r w:rsidR="60A57171" w:rsidRPr="0E6AD713">
        <w:rPr>
          <w:rFonts w:ascii="Verdana" w:eastAsia="Verdana" w:hAnsi="Verdana" w:cs="Verdana"/>
          <w:sz w:val="23"/>
          <w:szCs w:val="23"/>
        </w:rPr>
        <w:t xml:space="preserve">until </w:t>
      </w:r>
      <w:r w:rsidRPr="0E6AD713">
        <w:rPr>
          <w:rFonts w:ascii="Verdana" w:eastAsia="Verdana" w:hAnsi="Verdana" w:cs="Verdana"/>
          <w:sz w:val="23"/>
          <w:szCs w:val="23"/>
        </w:rPr>
        <w:t>one’s community or characteristic</w:t>
      </w:r>
      <w:r w:rsidR="0DEF7511" w:rsidRPr="0E6AD713">
        <w:rPr>
          <w:rFonts w:ascii="Verdana" w:eastAsia="Verdana" w:hAnsi="Verdana" w:cs="Verdana"/>
          <w:sz w:val="23"/>
          <w:szCs w:val="23"/>
        </w:rPr>
        <w:t xml:space="preserve"> - </w:t>
      </w:r>
      <w:r w:rsidRPr="0E6AD713">
        <w:rPr>
          <w:rFonts w:ascii="Verdana" w:eastAsia="Verdana" w:hAnsi="Verdana" w:cs="Verdana"/>
          <w:sz w:val="23"/>
          <w:szCs w:val="23"/>
        </w:rPr>
        <w:t>including but not limited to racial/ethnic identity, socio-economic background, dis/ability status, gender, parental status, veteran status, sexual orientation, and geographic origin or location</w:t>
      </w:r>
      <w:r w:rsidR="71663FE5" w:rsidRPr="0E6AD713">
        <w:rPr>
          <w:rFonts w:ascii="Verdana" w:eastAsia="Verdana" w:hAnsi="Verdana" w:cs="Verdana"/>
          <w:sz w:val="23"/>
          <w:szCs w:val="23"/>
        </w:rPr>
        <w:t xml:space="preserve"> - </w:t>
      </w:r>
      <w:r w:rsidRPr="0E6AD713">
        <w:rPr>
          <w:rFonts w:ascii="Verdana" w:eastAsia="Verdana" w:hAnsi="Verdana" w:cs="Verdana"/>
          <w:sz w:val="23"/>
          <w:szCs w:val="23"/>
        </w:rPr>
        <w:t xml:space="preserve">no longer predict inequitable access to and success in postsecondary education and training. We will work towards this by addressing the root historical causes of systemic racism and inequities, not just their manifestation. This work includes the intentional examination and elimination of policies, practices, attitudes, and cultural messages that perpetuate the stark inequities in postsecondary education and workforce training we see today. </w:t>
      </w:r>
      <w:r>
        <w:br/>
      </w:r>
      <w:r w:rsidR="005F11E8">
        <w:rPr>
          <w:rFonts w:ascii="Verdana" w:eastAsia="Verdana" w:hAnsi="Verdana" w:cs="Verdana"/>
          <w:sz w:val="23"/>
          <w:szCs w:val="23"/>
          <w:lang w:val="en-US"/>
        </w:rPr>
        <w:br/>
      </w:r>
      <w:r w:rsidRPr="26274FD9">
        <w:rPr>
          <w:rFonts w:ascii="Verdana" w:eastAsia="Verdana" w:hAnsi="Verdana" w:cs="Verdana"/>
          <w:sz w:val="23"/>
          <w:szCs w:val="23"/>
          <w:lang w:val="en-US"/>
        </w:rPr>
        <w:t xml:space="preserve">Our commitment to improving equitable outcomes is rooted in the HECC Equity Lens. The HECC adopted the original Oregon Equity Lens in </w:t>
      </w:r>
      <w:r w:rsidR="6A02D1ED" w:rsidRPr="26274FD9">
        <w:rPr>
          <w:rFonts w:ascii="Verdana" w:eastAsia="Verdana" w:hAnsi="Verdana" w:cs="Verdana"/>
          <w:sz w:val="23"/>
          <w:szCs w:val="23"/>
          <w:lang w:val="en-US"/>
        </w:rPr>
        <w:t>2014 and</w:t>
      </w:r>
      <w:r w:rsidRPr="26274FD9">
        <w:rPr>
          <w:rFonts w:ascii="Verdana" w:eastAsia="Verdana" w:hAnsi="Verdana" w:cs="Verdana"/>
          <w:sz w:val="23"/>
          <w:szCs w:val="23"/>
          <w:lang w:val="en-US"/>
        </w:rPr>
        <w:t xml:space="preserve"> has applied the lens as a foundation to postsecondary education and training policy and funding decisions since the HECC's first year as an agency. We encourage staff, commissioners and board members, and external partners to apply the Equity Lens.</w:t>
      </w:r>
    </w:p>
    <w:p w14:paraId="4DBBD2E5" w14:textId="77777777" w:rsidR="00EA12A3" w:rsidRDefault="00EA12A3" w:rsidP="00EA12A3">
      <w:pPr>
        <w:rPr>
          <w:rFonts w:ascii="Verdana" w:eastAsia="Verdana" w:hAnsi="Verdana" w:cs="Verdana"/>
          <w:sz w:val="23"/>
          <w:szCs w:val="23"/>
          <w:lang w:val="en-US"/>
        </w:rPr>
      </w:pPr>
    </w:p>
    <w:p w14:paraId="3A7DBB24" w14:textId="77777777" w:rsidR="00EA12A3" w:rsidRDefault="00EA12A3" w:rsidP="00EA12A3">
      <w:pPr>
        <w:pStyle w:val="Default"/>
        <w:rPr>
          <w:color w:val="659965"/>
          <w:sz w:val="28"/>
          <w:szCs w:val="28"/>
        </w:rPr>
      </w:pPr>
      <w:r>
        <w:rPr>
          <w:color w:val="659965"/>
          <w:sz w:val="28"/>
          <w:szCs w:val="28"/>
        </w:rPr>
        <w:t xml:space="preserve">Accessibility Statement </w:t>
      </w:r>
    </w:p>
    <w:p w14:paraId="04812B86" w14:textId="77777777" w:rsidR="00EA12A3" w:rsidRDefault="00EA12A3" w:rsidP="00EA12A3">
      <w:pPr>
        <w:pStyle w:val="Default"/>
        <w:rPr>
          <w:rFonts w:ascii="Verdana" w:hAnsi="Verdana" w:cs="Verdana"/>
          <w:sz w:val="23"/>
          <w:szCs w:val="23"/>
        </w:rPr>
      </w:pPr>
      <w:r>
        <w:rPr>
          <w:rFonts w:ascii="Verdana" w:hAnsi="Verdana" w:cs="Verdana"/>
          <w:sz w:val="23"/>
          <w:szCs w:val="23"/>
        </w:rPr>
        <w:t xml:space="preserve">The HECC is committed to accessible services for all. Requests for translations, language services, alternative formats, or American Disabilities Act (ADA) accommodations may be sent to </w:t>
      </w:r>
      <w:r>
        <w:rPr>
          <w:rFonts w:ascii="Verdana" w:hAnsi="Verdana" w:cs="Verdana"/>
          <w:color w:val="0000FF"/>
          <w:sz w:val="23"/>
          <w:szCs w:val="23"/>
        </w:rPr>
        <w:t>info.hecc@hecc.oregon.gov</w:t>
      </w:r>
      <w:r>
        <w:rPr>
          <w:rFonts w:ascii="Verdana" w:hAnsi="Verdana" w:cs="Verdana"/>
          <w:sz w:val="23"/>
          <w:szCs w:val="23"/>
        </w:rPr>
        <w:t xml:space="preserve">. </w:t>
      </w:r>
    </w:p>
    <w:p w14:paraId="40E1D5B3" w14:textId="77777777" w:rsidR="00EA12A3" w:rsidRDefault="00EA12A3" w:rsidP="00EA12A3">
      <w:pPr>
        <w:pStyle w:val="Default"/>
        <w:rPr>
          <w:color w:val="659965"/>
          <w:sz w:val="28"/>
          <w:szCs w:val="28"/>
        </w:rPr>
      </w:pPr>
    </w:p>
    <w:p w14:paraId="6A6F662E" w14:textId="184F9A5E" w:rsidR="00EA12A3" w:rsidRDefault="00EA12A3" w:rsidP="00EA12A3">
      <w:pPr>
        <w:pStyle w:val="Default"/>
        <w:rPr>
          <w:color w:val="659965"/>
          <w:sz w:val="28"/>
          <w:szCs w:val="28"/>
        </w:rPr>
      </w:pPr>
      <w:r>
        <w:rPr>
          <w:color w:val="659965"/>
          <w:sz w:val="28"/>
          <w:szCs w:val="28"/>
        </w:rPr>
        <w:t xml:space="preserve">Equal Employment Opportunity and Affirmative Action Employer </w:t>
      </w:r>
    </w:p>
    <w:p w14:paraId="5A233BF3" w14:textId="4EAFDCE2" w:rsidR="00EA12A3" w:rsidRPr="00EA12A3" w:rsidRDefault="00EA12A3" w:rsidP="00EA12A3">
      <w:pPr>
        <w:rPr>
          <w:rFonts w:ascii="Verdana" w:eastAsia="Verdana" w:hAnsi="Verdana" w:cs="Verdana"/>
          <w:sz w:val="23"/>
          <w:szCs w:val="23"/>
          <w:lang w:val="en-US"/>
        </w:rPr>
      </w:pPr>
      <w:r>
        <w:rPr>
          <w:rFonts w:ascii="Verdana" w:hAnsi="Verdana" w:cs="Verdana"/>
          <w:sz w:val="23"/>
          <w:szCs w:val="23"/>
        </w:rPr>
        <w:t>The HECC is an equal employment opportunity and affirmative action employer. The HECC does not discriminate in admission or access to our programs, services, activities, hiring, and employment practices. This information may be made available in alternate formats upon request by contacting the Office of Community Colleges and Workforce Development.</w:t>
      </w:r>
    </w:p>
    <w:p w14:paraId="62BCD849" w14:textId="77777777" w:rsidR="00F8503D" w:rsidRDefault="0033067D">
      <w:pPr>
        <w:keepNext/>
        <w:keepLines/>
        <w:pageBreakBefore/>
        <w:pBdr>
          <w:top w:val="none" w:sz="0" w:space="0" w:color="000000"/>
          <w:left w:val="none" w:sz="0" w:space="0" w:color="000000"/>
          <w:bottom w:val="none" w:sz="0" w:space="0" w:color="000000"/>
          <w:right w:val="none" w:sz="0" w:space="0" w:color="000000"/>
          <w:between w:val="none" w:sz="0" w:space="0" w:color="000000"/>
        </w:pBdr>
        <w:spacing w:line="276" w:lineRule="auto"/>
        <w:rPr>
          <w:rFonts w:ascii="Tahoma" w:eastAsia="Tahoma" w:hAnsi="Tahoma" w:cs="Tahoma"/>
          <w:color w:val="6A976C"/>
          <w:sz w:val="36"/>
          <w:szCs w:val="36"/>
        </w:rPr>
      </w:pPr>
      <w:r>
        <w:rPr>
          <w:rFonts w:ascii="Tahoma" w:eastAsia="Tahoma" w:hAnsi="Tahoma" w:cs="Tahoma"/>
          <w:color w:val="6A976C"/>
          <w:sz w:val="36"/>
          <w:szCs w:val="36"/>
        </w:rPr>
        <w:lastRenderedPageBreak/>
        <w:t>Table of Contents</w:t>
      </w:r>
    </w:p>
    <w:sdt>
      <w:sdtPr>
        <w:id w:val="1339564766"/>
        <w:docPartObj>
          <w:docPartGallery w:val="Table of Contents"/>
          <w:docPartUnique/>
        </w:docPartObj>
      </w:sdtPr>
      <w:sdtEndPr/>
      <w:sdtContent>
        <w:p w14:paraId="01C2589E" w14:textId="77777777" w:rsidR="00F8503D" w:rsidRPr="00675FBE"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b/>
              <w:bCs/>
              <w:color w:val="000000"/>
            </w:rPr>
          </w:pPr>
          <w:r>
            <w:fldChar w:fldCharType="begin"/>
          </w:r>
          <w:r>
            <w:instrText xml:space="preserve"> TOC \h \u \z \t "Heading 1,1,Heading 2,2,Heading 3,3,"</w:instrText>
          </w:r>
          <w:r>
            <w:fldChar w:fldCharType="separate"/>
          </w:r>
          <w:hyperlink w:anchor="_47hozhtjat70">
            <w:r>
              <w:rPr>
                <w:rFonts w:ascii="Tahoma" w:eastAsia="Tahoma" w:hAnsi="Tahoma" w:cs="Tahoma"/>
                <w:b/>
                <w:bCs/>
                <w:smallCaps/>
                <w:color w:val="000000"/>
              </w:rPr>
              <w:t>1.</w:t>
            </w:r>
          </w:hyperlink>
          <w:hyperlink w:anchor="_47hozhtjat70">
            <w:r>
              <w:rPr>
                <w:rFonts w:ascii="Calibri" w:eastAsia="Calibri" w:hAnsi="Calibri" w:cs="Calibri"/>
                <w:color w:val="000000"/>
              </w:rPr>
              <w:tab/>
            </w:r>
          </w:hyperlink>
          <w:r w:rsidRPr="00675FBE">
            <w:rPr>
              <w:b/>
              <w:bCs/>
            </w:rPr>
            <w:fldChar w:fldCharType="begin"/>
          </w:r>
          <w:r w:rsidRPr="00675FBE">
            <w:rPr>
              <w:b/>
              <w:bCs/>
            </w:rPr>
            <w:instrText xml:space="preserve"> PAGEREF _47hozhtjat70 \h </w:instrText>
          </w:r>
          <w:r w:rsidRPr="00675FBE">
            <w:rPr>
              <w:b/>
              <w:bCs/>
            </w:rPr>
          </w:r>
          <w:r w:rsidRPr="00675FBE">
            <w:rPr>
              <w:b/>
              <w:bCs/>
            </w:rPr>
            <w:fldChar w:fldCharType="separate"/>
          </w:r>
          <w:r w:rsidRPr="00675FBE">
            <w:rPr>
              <w:rFonts w:ascii="Tahoma" w:eastAsia="Tahoma" w:hAnsi="Tahoma" w:cs="Tahoma"/>
              <w:b/>
              <w:bCs/>
              <w:smallCaps/>
              <w:color w:val="000000"/>
            </w:rPr>
            <w:t>Overview</w:t>
          </w:r>
          <w:r w:rsidRPr="00675FBE">
            <w:rPr>
              <w:rFonts w:ascii="Tahoma" w:eastAsia="Tahoma" w:hAnsi="Tahoma" w:cs="Tahoma"/>
              <w:b/>
              <w:bCs/>
              <w:smallCaps/>
              <w:color w:val="000000"/>
            </w:rPr>
            <w:tab/>
            <w:t>1</w:t>
          </w:r>
          <w:r w:rsidRPr="00675FBE">
            <w:rPr>
              <w:b/>
              <w:bCs/>
            </w:rPr>
            <w:fldChar w:fldCharType="end"/>
          </w:r>
        </w:p>
        <w:p w14:paraId="17CE4EB0" w14:textId="77777777" w:rsidR="00F8503D" w:rsidRPr="00675FBE"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b/>
              <w:bCs/>
              <w:color w:val="000000"/>
            </w:rPr>
          </w:pPr>
          <w:hyperlink w:anchor="_ju8o3od7n3qq">
            <w:r w:rsidRPr="00675FBE">
              <w:rPr>
                <w:rFonts w:ascii="Tahoma" w:eastAsia="Tahoma" w:hAnsi="Tahoma" w:cs="Tahoma"/>
                <w:b/>
                <w:bCs/>
                <w:smallCaps/>
                <w:color w:val="000000"/>
              </w:rPr>
              <w:t>2.</w:t>
            </w:r>
          </w:hyperlink>
          <w:hyperlink w:anchor="_ju8o3od7n3qq">
            <w:r w:rsidRPr="00675FBE">
              <w:rPr>
                <w:rFonts w:ascii="Calibri" w:eastAsia="Calibri" w:hAnsi="Calibri" w:cs="Calibri"/>
                <w:b/>
                <w:bCs/>
                <w:color w:val="000000"/>
              </w:rPr>
              <w:tab/>
            </w:r>
          </w:hyperlink>
          <w:r w:rsidRPr="00675FBE">
            <w:rPr>
              <w:b/>
              <w:bCs/>
            </w:rPr>
            <w:fldChar w:fldCharType="begin"/>
          </w:r>
          <w:r w:rsidRPr="00675FBE">
            <w:rPr>
              <w:b/>
              <w:bCs/>
            </w:rPr>
            <w:instrText xml:space="preserve"> PAGEREF _ju8o3od7n3qq \h </w:instrText>
          </w:r>
          <w:r w:rsidRPr="00675FBE">
            <w:rPr>
              <w:b/>
              <w:bCs/>
            </w:rPr>
          </w:r>
          <w:r w:rsidRPr="00675FBE">
            <w:rPr>
              <w:b/>
              <w:bCs/>
            </w:rPr>
            <w:fldChar w:fldCharType="separate"/>
          </w:r>
          <w:r w:rsidRPr="00675FBE">
            <w:rPr>
              <w:rFonts w:ascii="Tahoma" w:eastAsia="Tahoma" w:hAnsi="Tahoma" w:cs="Tahoma"/>
              <w:b/>
              <w:bCs/>
              <w:smallCaps/>
              <w:color w:val="000000"/>
            </w:rPr>
            <w:t>Administration</w:t>
          </w:r>
          <w:r w:rsidRPr="00675FBE">
            <w:rPr>
              <w:rFonts w:ascii="Tahoma" w:eastAsia="Tahoma" w:hAnsi="Tahoma" w:cs="Tahoma"/>
              <w:b/>
              <w:bCs/>
              <w:smallCaps/>
              <w:color w:val="000000"/>
            </w:rPr>
            <w:tab/>
            <w:t>3</w:t>
          </w:r>
          <w:r w:rsidRPr="00675FBE">
            <w:rPr>
              <w:b/>
              <w:bCs/>
            </w:rPr>
            <w:fldChar w:fldCharType="end"/>
          </w:r>
        </w:p>
        <w:p w14:paraId="60AD6CA3"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95k8rah3suxf">
            <w:r>
              <w:rPr>
                <w:rFonts w:ascii="Tahoma" w:eastAsia="Tahoma" w:hAnsi="Tahoma" w:cs="Tahoma"/>
                <w:color w:val="000000"/>
                <w:sz w:val="22"/>
                <w:szCs w:val="22"/>
              </w:rPr>
              <w:t>2.1.</w:t>
            </w:r>
          </w:hyperlink>
          <w:hyperlink w:anchor="_95k8rah3suxf">
            <w:r>
              <w:rPr>
                <w:rFonts w:ascii="Calibri" w:eastAsia="Calibri" w:hAnsi="Calibri" w:cs="Calibri"/>
                <w:color w:val="000000"/>
              </w:rPr>
              <w:tab/>
            </w:r>
          </w:hyperlink>
          <w:r>
            <w:fldChar w:fldCharType="begin"/>
          </w:r>
          <w:r>
            <w:instrText xml:space="preserve"> PAGEREF _95k8rah3suxf \h </w:instrText>
          </w:r>
          <w:r>
            <w:fldChar w:fldCharType="separate"/>
          </w:r>
          <w:r>
            <w:rPr>
              <w:rFonts w:ascii="Tahoma" w:eastAsia="Tahoma" w:hAnsi="Tahoma" w:cs="Tahoma"/>
              <w:color w:val="000000"/>
              <w:sz w:val="22"/>
              <w:szCs w:val="22"/>
            </w:rPr>
            <w:t>Consortia</w:t>
          </w:r>
          <w:r>
            <w:rPr>
              <w:rFonts w:ascii="Tahoma" w:eastAsia="Tahoma" w:hAnsi="Tahoma" w:cs="Tahoma"/>
              <w:color w:val="000000"/>
              <w:sz w:val="22"/>
              <w:szCs w:val="22"/>
            </w:rPr>
            <w:tab/>
            <w:t>3</w:t>
          </w:r>
          <w:r>
            <w:fldChar w:fldCharType="end"/>
          </w:r>
        </w:p>
        <w:p w14:paraId="782D8A9E"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2jx2u72gctcr">
            <w:r>
              <w:rPr>
                <w:rFonts w:ascii="Tahoma" w:eastAsia="Tahoma" w:hAnsi="Tahoma" w:cs="Tahoma"/>
                <w:color w:val="000000"/>
                <w:sz w:val="22"/>
                <w:szCs w:val="22"/>
              </w:rPr>
              <w:t>2.2.</w:t>
            </w:r>
          </w:hyperlink>
          <w:hyperlink w:anchor="_2jx2u72gctcr">
            <w:r>
              <w:rPr>
                <w:rFonts w:ascii="Calibri" w:eastAsia="Calibri" w:hAnsi="Calibri" w:cs="Calibri"/>
                <w:color w:val="000000"/>
              </w:rPr>
              <w:tab/>
            </w:r>
          </w:hyperlink>
          <w:r>
            <w:fldChar w:fldCharType="begin"/>
          </w:r>
          <w:r>
            <w:instrText xml:space="preserve"> PAGEREF _2jx2u72gctcr \h </w:instrText>
          </w:r>
          <w:r>
            <w:fldChar w:fldCharType="separate"/>
          </w:r>
          <w:r>
            <w:rPr>
              <w:rFonts w:ascii="Tahoma" w:eastAsia="Tahoma" w:hAnsi="Tahoma" w:cs="Tahoma"/>
              <w:color w:val="000000"/>
              <w:sz w:val="22"/>
              <w:szCs w:val="22"/>
            </w:rPr>
            <w:t>Learner Eligibility: Age, Prior Education, or Skill Level</w:t>
          </w:r>
          <w:r>
            <w:rPr>
              <w:rFonts w:ascii="Tahoma" w:eastAsia="Tahoma" w:hAnsi="Tahoma" w:cs="Tahoma"/>
              <w:color w:val="000000"/>
              <w:sz w:val="22"/>
              <w:szCs w:val="22"/>
            </w:rPr>
            <w:tab/>
            <w:t>3</w:t>
          </w:r>
          <w:r>
            <w:fldChar w:fldCharType="end"/>
          </w:r>
        </w:p>
        <w:p w14:paraId="062BD4B3" w14:textId="7C732B3A"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n0mjz7dibh5">
            <w:r>
              <w:rPr>
                <w:rFonts w:ascii="Tahoma" w:eastAsia="Tahoma" w:hAnsi="Tahoma" w:cs="Tahoma"/>
                <w:color w:val="000000"/>
                <w:sz w:val="22"/>
                <w:szCs w:val="22"/>
              </w:rPr>
              <w:t>2.3.</w:t>
            </w:r>
          </w:hyperlink>
          <w:hyperlink w:anchor="_n0mjz7dibh5">
            <w:r>
              <w:rPr>
                <w:rFonts w:ascii="Calibri" w:eastAsia="Calibri" w:hAnsi="Calibri" w:cs="Calibri"/>
                <w:color w:val="000000"/>
              </w:rPr>
              <w:tab/>
            </w:r>
          </w:hyperlink>
          <w:r>
            <w:fldChar w:fldCharType="begin"/>
          </w:r>
          <w:r>
            <w:instrText xml:space="preserve"> PAGEREF _n0mjz7dibh5 \h </w:instrText>
          </w:r>
          <w:r>
            <w:fldChar w:fldCharType="separate"/>
          </w:r>
          <w:r>
            <w:rPr>
              <w:rFonts w:ascii="Tahoma" w:eastAsia="Tahoma" w:hAnsi="Tahoma" w:cs="Tahoma"/>
              <w:color w:val="000000"/>
              <w:sz w:val="22"/>
              <w:szCs w:val="22"/>
            </w:rPr>
            <w:t xml:space="preserve">Distance </w:t>
          </w:r>
          <w:r w:rsidR="001B709E">
            <w:rPr>
              <w:rFonts w:ascii="Tahoma" w:eastAsia="Tahoma" w:hAnsi="Tahoma" w:cs="Tahoma"/>
              <w:color w:val="000000"/>
              <w:sz w:val="22"/>
              <w:szCs w:val="22"/>
            </w:rPr>
            <w:t>Education</w:t>
          </w:r>
          <w:r>
            <w:rPr>
              <w:rFonts w:ascii="Tahoma" w:eastAsia="Tahoma" w:hAnsi="Tahoma" w:cs="Tahoma"/>
              <w:color w:val="000000"/>
              <w:sz w:val="22"/>
              <w:szCs w:val="22"/>
            </w:rPr>
            <w:tab/>
            <w:t>4</w:t>
          </w:r>
          <w:r>
            <w:fldChar w:fldCharType="end"/>
          </w:r>
        </w:p>
        <w:p w14:paraId="5A8B8FE6"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40s27ecrh5se">
            <w:r>
              <w:rPr>
                <w:rFonts w:ascii="Tahoma" w:eastAsia="Tahoma" w:hAnsi="Tahoma" w:cs="Tahoma"/>
                <w:color w:val="000000"/>
                <w:sz w:val="22"/>
                <w:szCs w:val="22"/>
              </w:rPr>
              <w:t>2.4.</w:t>
            </w:r>
          </w:hyperlink>
          <w:hyperlink w:anchor="_40s27ecrh5se">
            <w:r>
              <w:rPr>
                <w:rFonts w:ascii="Calibri" w:eastAsia="Calibri" w:hAnsi="Calibri" w:cs="Calibri"/>
                <w:color w:val="000000"/>
              </w:rPr>
              <w:tab/>
            </w:r>
          </w:hyperlink>
          <w:r>
            <w:fldChar w:fldCharType="begin"/>
          </w:r>
          <w:r>
            <w:instrText xml:space="preserve"> PAGEREF _40s27ecrh5se \h </w:instrText>
          </w:r>
          <w:r>
            <w:fldChar w:fldCharType="separate"/>
          </w:r>
          <w:r>
            <w:rPr>
              <w:rFonts w:ascii="Tahoma" w:eastAsia="Tahoma" w:hAnsi="Tahoma" w:cs="Tahoma"/>
              <w:color w:val="000000"/>
              <w:sz w:val="22"/>
              <w:szCs w:val="22"/>
            </w:rPr>
            <w:t>Staff Qualifications</w:t>
          </w:r>
          <w:r>
            <w:rPr>
              <w:rFonts w:ascii="Tahoma" w:eastAsia="Tahoma" w:hAnsi="Tahoma" w:cs="Tahoma"/>
              <w:color w:val="000000"/>
              <w:sz w:val="22"/>
              <w:szCs w:val="22"/>
            </w:rPr>
            <w:tab/>
            <w:t>5</w:t>
          </w:r>
          <w:r>
            <w:fldChar w:fldCharType="end"/>
          </w:r>
        </w:p>
        <w:p w14:paraId="371C3F39" w14:textId="77777777" w:rsidR="00F8503D"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color w:val="000000"/>
            </w:rPr>
          </w:pPr>
          <w:hyperlink w:anchor="_2zb101gpiiyg">
            <w:r>
              <w:rPr>
                <w:rFonts w:ascii="Tahoma" w:eastAsia="Tahoma" w:hAnsi="Tahoma" w:cs="Tahoma"/>
                <w:b/>
                <w:bCs/>
                <w:smallCaps/>
                <w:color w:val="000000"/>
              </w:rPr>
              <w:t>3.</w:t>
            </w:r>
          </w:hyperlink>
          <w:hyperlink w:anchor="_2zb101gpiiyg">
            <w:r>
              <w:rPr>
                <w:rFonts w:ascii="Calibri" w:eastAsia="Calibri" w:hAnsi="Calibri" w:cs="Calibri"/>
                <w:color w:val="000000"/>
              </w:rPr>
              <w:tab/>
            </w:r>
          </w:hyperlink>
          <w:r>
            <w:fldChar w:fldCharType="begin"/>
          </w:r>
          <w:r>
            <w:instrText xml:space="preserve"> PAGEREF _2zb101gpiiyg \h </w:instrText>
          </w:r>
          <w:r>
            <w:fldChar w:fldCharType="separate"/>
          </w:r>
          <w:r>
            <w:rPr>
              <w:rFonts w:ascii="Tahoma" w:eastAsia="Tahoma" w:hAnsi="Tahoma" w:cs="Tahoma"/>
              <w:b/>
              <w:bCs/>
              <w:smallCaps/>
              <w:color w:val="000000"/>
            </w:rPr>
            <w:t>Performance</w:t>
          </w:r>
          <w:r>
            <w:rPr>
              <w:rFonts w:ascii="Tahoma" w:eastAsia="Tahoma" w:hAnsi="Tahoma" w:cs="Tahoma"/>
              <w:b/>
              <w:bCs/>
              <w:smallCaps/>
              <w:color w:val="000000"/>
            </w:rPr>
            <w:tab/>
            <w:t>8</w:t>
          </w:r>
          <w:r>
            <w:fldChar w:fldCharType="end"/>
          </w:r>
        </w:p>
        <w:p w14:paraId="51B25149"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si1q4ke4zq55">
            <w:r>
              <w:rPr>
                <w:rFonts w:ascii="Tahoma" w:eastAsia="Tahoma" w:hAnsi="Tahoma" w:cs="Tahoma"/>
                <w:color w:val="000000"/>
                <w:sz w:val="22"/>
                <w:szCs w:val="22"/>
              </w:rPr>
              <w:t>3.1.</w:t>
            </w:r>
          </w:hyperlink>
          <w:hyperlink w:anchor="_si1q4ke4zq55">
            <w:r>
              <w:rPr>
                <w:rFonts w:ascii="Calibri" w:eastAsia="Calibri" w:hAnsi="Calibri" w:cs="Calibri"/>
                <w:color w:val="000000"/>
              </w:rPr>
              <w:tab/>
            </w:r>
          </w:hyperlink>
          <w:r>
            <w:fldChar w:fldCharType="begin"/>
          </w:r>
          <w:r>
            <w:instrText xml:space="preserve"> PAGEREF _si1q4ke4zq55 \h </w:instrText>
          </w:r>
          <w:r>
            <w:fldChar w:fldCharType="separate"/>
          </w:r>
          <w:r>
            <w:rPr>
              <w:rFonts w:ascii="Tahoma" w:eastAsia="Tahoma" w:hAnsi="Tahoma" w:cs="Tahoma"/>
              <w:color w:val="000000"/>
              <w:sz w:val="22"/>
              <w:szCs w:val="22"/>
            </w:rPr>
            <w:t>WIOA Primary Indicators of Performance</w:t>
          </w:r>
          <w:r>
            <w:rPr>
              <w:rFonts w:ascii="Tahoma" w:eastAsia="Tahoma" w:hAnsi="Tahoma" w:cs="Tahoma"/>
              <w:color w:val="000000"/>
              <w:sz w:val="22"/>
              <w:szCs w:val="22"/>
            </w:rPr>
            <w:tab/>
            <w:t>8</w:t>
          </w:r>
          <w:r>
            <w:fldChar w:fldCharType="end"/>
          </w:r>
        </w:p>
        <w:p w14:paraId="40E546B8"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3g5yyfnb1nft">
            <w:r>
              <w:rPr>
                <w:rFonts w:ascii="Tahoma" w:eastAsia="Tahoma" w:hAnsi="Tahoma" w:cs="Tahoma"/>
                <w:color w:val="000000"/>
                <w:sz w:val="22"/>
                <w:szCs w:val="22"/>
              </w:rPr>
              <w:t>3.2.</w:t>
            </w:r>
          </w:hyperlink>
          <w:hyperlink w:anchor="_3g5yyfnb1nft">
            <w:r>
              <w:rPr>
                <w:rFonts w:ascii="Calibri" w:eastAsia="Calibri" w:hAnsi="Calibri" w:cs="Calibri"/>
                <w:color w:val="000000"/>
              </w:rPr>
              <w:tab/>
            </w:r>
          </w:hyperlink>
          <w:r>
            <w:fldChar w:fldCharType="begin"/>
          </w:r>
          <w:r>
            <w:instrText xml:space="preserve"> PAGEREF _3g5yyfnb1nft \h </w:instrText>
          </w:r>
          <w:r>
            <w:fldChar w:fldCharType="separate"/>
          </w:r>
          <w:r>
            <w:rPr>
              <w:rFonts w:ascii="Tahoma" w:eastAsia="Tahoma" w:hAnsi="Tahoma" w:cs="Tahoma"/>
              <w:color w:val="000000"/>
              <w:sz w:val="22"/>
              <w:szCs w:val="22"/>
            </w:rPr>
            <w:t>Performance Targets</w:t>
          </w:r>
          <w:r>
            <w:rPr>
              <w:rFonts w:ascii="Tahoma" w:eastAsia="Tahoma" w:hAnsi="Tahoma" w:cs="Tahoma"/>
              <w:color w:val="000000"/>
              <w:sz w:val="22"/>
              <w:szCs w:val="22"/>
            </w:rPr>
            <w:tab/>
            <w:t>11</w:t>
          </w:r>
          <w:r>
            <w:fldChar w:fldCharType="end"/>
          </w:r>
        </w:p>
        <w:p w14:paraId="36D6DB95"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mq9hdfy5ifij">
            <w:r>
              <w:rPr>
                <w:rFonts w:ascii="Tahoma" w:eastAsia="Tahoma" w:hAnsi="Tahoma" w:cs="Tahoma"/>
                <w:color w:val="000000"/>
                <w:sz w:val="22"/>
                <w:szCs w:val="22"/>
              </w:rPr>
              <w:t>3.3.</w:t>
            </w:r>
          </w:hyperlink>
          <w:hyperlink w:anchor="_mq9hdfy5ifij">
            <w:r>
              <w:rPr>
                <w:rFonts w:ascii="Calibri" w:eastAsia="Calibri" w:hAnsi="Calibri" w:cs="Calibri"/>
                <w:color w:val="000000"/>
              </w:rPr>
              <w:tab/>
            </w:r>
          </w:hyperlink>
          <w:r>
            <w:fldChar w:fldCharType="begin"/>
          </w:r>
          <w:r>
            <w:instrText xml:space="preserve"> PAGEREF _mq9hdfy5ifij \h </w:instrText>
          </w:r>
          <w:r>
            <w:fldChar w:fldCharType="separate"/>
          </w:r>
          <w:r>
            <w:rPr>
              <w:rFonts w:ascii="Tahoma" w:eastAsia="Tahoma" w:hAnsi="Tahoma" w:cs="Tahoma"/>
              <w:color w:val="000000"/>
              <w:sz w:val="22"/>
              <w:szCs w:val="22"/>
            </w:rPr>
            <w:t>Performance-Based Funding</w:t>
          </w:r>
          <w:r>
            <w:rPr>
              <w:rFonts w:ascii="Tahoma" w:eastAsia="Tahoma" w:hAnsi="Tahoma" w:cs="Tahoma"/>
              <w:color w:val="000000"/>
              <w:sz w:val="22"/>
              <w:szCs w:val="22"/>
            </w:rPr>
            <w:tab/>
            <w:t>13</w:t>
          </w:r>
          <w:r>
            <w:fldChar w:fldCharType="end"/>
          </w:r>
        </w:p>
        <w:p w14:paraId="6BB2BBB1" w14:textId="77777777" w:rsidR="00F8503D"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color w:val="000000"/>
            </w:rPr>
          </w:pPr>
          <w:hyperlink w:anchor="_koia77hbxje9">
            <w:r>
              <w:rPr>
                <w:rFonts w:ascii="Tahoma" w:eastAsia="Tahoma" w:hAnsi="Tahoma" w:cs="Tahoma"/>
                <w:b/>
                <w:bCs/>
                <w:smallCaps/>
                <w:color w:val="000000"/>
              </w:rPr>
              <w:t>4.</w:t>
            </w:r>
          </w:hyperlink>
          <w:hyperlink w:anchor="_koia77hbxje9">
            <w:r>
              <w:rPr>
                <w:rFonts w:ascii="Calibri" w:eastAsia="Calibri" w:hAnsi="Calibri" w:cs="Calibri"/>
                <w:color w:val="000000"/>
              </w:rPr>
              <w:tab/>
            </w:r>
          </w:hyperlink>
          <w:r>
            <w:fldChar w:fldCharType="begin"/>
          </w:r>
          <w:r>
            <w:instrText xml:space="preserve"> PAGEREF _koia77hbxje9 \h </w:instrText>
          </w:r>
          <w:r>
            <w:fldChar w:fldCharType="separate"/>
          </w:r>
          <w:r>
            <w:rPr>
              <w:rFonts w:ascii="Tahoma" w:eastAsia="Tahoma" w:hAnsi="Tahoma" w:cs="Tahoma"/>
              <w:b/>
              <w:bCs/>
              <w:smallCaps/>
              <w:color w:val="000000"/>
            </w:rPr>
            <w:t>Professional Development</w:t>
          </w:r>
          <w:r>
            <w:rPr>
              <w:rFonts w:ascii="Tahoma" w:eastAsia="Tahoma" w:hAnsi="Tahoma" w:cs="Tahoma"/>
              <w:b/>
              <w:bCs/>
              <w:smallCaps/>
              <w:color w:val="000000"/>
            </w:rPr>
            <w:tab/>
            <w:t>21</w:t>
          </w:r>
          <w:r>
            <w:fldChar w:fldCharType="end"/>
          </w:r>
        </w:p>
        <w:p w14:paraId="42D769F7"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ufmdrdeaw0qf">
            <w:r>
              <w:rPr>
                <w:rFonts w:ascii="Tahoma" w:eastAsia="Tahoma" w:hAnsi="Tahoma" w:cs="Tahoma"/>
                <w:color w:val="000000"/>
                <w:sz w:val="22"/>
                <w:szCs w:val="22"/>
              </w:rPr>
              <w:t>4.1.</w:t>
            </w:r>
          </w:hyperlink>
          <w:hyperlink w:anchor="_ufmdrdeaw0qf">
            <w:r>
              <w:rPr>
                <w:rFonts w:ascii="Calibri" w:eastAsia="Calibri" w:hAnsi="Calibri" w:cs="Calibri"/>
                <w:color w:val="000000"/>
              </w:rPr>
              <w:tab/>
            </w:r>
          </w:hyperlink>
          <w:r>
            <w:fldChar w:fldCharType="begin"/>
          </w:r>
          <w:r>
            <w:instrText xml:space="preserve"> PAGEREF _ufmdrdeaw0qf \h </w:instrText>
          </w:r>
          <w:r>
            <w:fldChar w:fldCharType="separate"/>
          </w:r>
          <w:r>
            <w:rPr>
              <w:rFonts w:ascii="Tahoma" w:eastAsia="Tahoma" w:hAnsi="Tahoma" w:cs="Tahoma"/>
              <w:color w:val="000000"/>
              <w:sz w:val="22"/>
              <w:szCs w:val="22"/>
            </w:rPr>
            <w:t>Professional Development</w:t>
          </w:r>
          <w:r>
            <w:rPr>
              <w:rFonts w:ascii="Tahoma" w:eastAsia="Tahoma" w:hAnsi="Tahoma" w:cs="Tahoma"/>
              <w:color w:val="000000"/>
              <w:sz w:val="22"/>
              <w:szCs w:val="22"/>
            </w:rPr>
            <w:tab/>
            <w:t>21</w:t>
          </w:r>
          <w:r>
            <w:fldChar w:fldCharType="end"/>
          </w:r>
        </w:p>
        <w:p w14:paraId="5D08FB86" w14:textId="77777777" w:rsidR="00F8503D"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color w:val="000000"/>
            </w:rPr>
          </w:pPr>
          <w:hyperlink w:anchor="_u35hhvbkq2b">
            <w:r>
              <w:rPr>
                <w:rFonts w:ascii="Tahoma" w:eastAsia="Tahoma" w:hAnsi="Tahoma" w:cs="Tahoma"/>
                <w:b/>
                <w:bCs/>
                <w:smallCaps/>
                <w:color w:val="000000"/>
              </w:rPr>
              <w:t>5.</w:t>
            </w:r>
          </w:hyperlink>
          <w:hyperlink w:anchor="_u35hhvbkq2b">
            <w:r>
              <w:rPr>
                <w:rFonts w:ascii="Calibri" w:eastAsia="Calibri" w:hAnsi="Calibri" w:cs="Calibri"/>
                <w:color w:val="000000"/>
              </w:rPr>
              <w:tab/>
            </w:r>
          </w:hyperlink>
          <w:r>
            <w:fldChar w:fldCharType="begin"/>
          </w:r>
          <w:r>
            <w:instrText xml:space="preserve"> PAGEREF _u35hhvbkq2b \h </w:instrText>
          </w:r>
          <w:r>
            <w:fldChar w:fldCharType="separate"/>
          </w:r>
          <w:r>
            <w:rPr>
              <w:rFonts w:ascii="Tahoma" w:eastAsia="Tahoma" w:hAnsi="Tahoma" w:cs="Tahoma"/>
              <w:b/>
              <w:bCs/>
              <w:smallCaps/>
              <w:color w:val="000000"/>
            </w:rPr>
            <w:t>Oregon Adult College and Career Readiness Standards and Oregon Adult English Language Proficiency Standards</w:t>
          </w:r>
          <w:r>
            <w:rPr>
              <w:rFonts w:ascii="Tahoma" w:eastAsia="Tahoma" w:hAnsi="Tahoma" w:cs="Tahoma"/>
              <w:b/>
              <w:bCs/>
              <w:smallCaps/>
              <w:color w:val="000000"/>
            </w:rPr>
            <w:tab/>
            <w:t>24</w:t>
          </w:r>
          <w:r>
            <w:fldChar w:fldCharType="end"/>
          </w:r>
        </w:p>
        <w:p w14:paraId="3CA638DE"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ue3rq9emv3oq">
            <w:r>
              <w:rPr>
                <w:rFonts w:ascii="Tahoma" w:eastAsia="Tahoma" w:hAnsi="Tahoma" w:cs="Tahoma"/>
                <w:color w:val="000000"/>
                <w:sz w:val="22"/>
                <w:szCs w:val="22"/>
              </w:rPr>
              <w:t>5.1.</w:t>
            </w:r>
          </w:hyperlink>
          <w:hyperlink w:anchor="_ue3rq9emv3oq">
            <w:r>
              <w:rPr>
                <w:rFonts w:ascii="Calibri" w:eastAsia="Calibri" w:hAnsi="Calibri" w:cs="Calibri"/>
                <w:color w:val="000000"/>
              </w:rPr>
              <w:tab/>
            </w:r>
          </w:hyperlink>
          <w:r>
            <w:fldChar w:fldCharType="begin"/>
          </w:r>
          <w:r>
            <w:instrText xml:space="preserve"> PAGEREF _ue3rq9emv3oq \h </w:instrText>
          </w:r>
          <w:r>
            <w:fldChar w:fldCharType="separate"/>
          </w:r>
          <w:r>
            <w:rPr>
              <w:rFonts w:ascii="Tahoma" w:eastAsia="Tahoma" w:hAnsi="Tahoma" w:cs="Tahoma"/>
              <w:color w:val="000000"/>
              <w:sz w:val="22"/>
              <w:szCs w:val="22"/>
            </w:rPr>
            <w:t>Learning Standards</w:t>
          </w:r>
          <w:r>
            <w:rPr>
              <w:rFonts w:ascii="Tahoma" w:eastAsia="Tahoma" w:hAnsi="Tahoma" w:cs="Tahoma"/>
              <w:color w:val="000000"/>
              <w:sz w:val="22"/>
              <w:szCs w:val="22"/>
            </w:rPr>
            <w:tab/>
            <w:t>24</w:t>
          </w:r>
          <w:r>
            <w:fldChar w:fldCharType="end"/>
          </w:r>
        </w:p>
        <w:p w14:paraId="4FE079C9" w14:textId="2822C6FA"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h1wd6vti1714">
            <w:r>
              <w:rPr>
                <w:rFonts w:ascii="Tahoma" w:eastAsia="Tahoma" w:hAnsi="Tahoma" w:cs="Tahoma"/>
                <w:color w:val="000000"/>
                <w:sz w:val="22"/>
                <w:szCs w:val="22"/>
              </w:rPr>
              <w:t>5.2.</w:t>
            </w:r>
          </w:hyperlink>
          <w:hyperlink w:anchor="_h1wd6vti1714">
            <w:r>
              <w:rPr>
                <w:rFonts w:ascii="Calibri" w:eastAsia="Calibri" w:hAnsi="Calibri" w:cs="Calibri"/>
                <w:color w:val="000000"/>
              </w:rPr>
              <w:tab/>
            </w:r>
          </w:hyperlink>
          <w:r>
            <w:fldChar w:fldCharType="begin"/>
          </w:r>
          <w:r>
            <w:instrText xml:space="preserve"> PAGEREF _h1wd6vti1714 \h </w:instrText>
          </w:r>
          <w:r>
            <w:fldChar w:fldCharType="separate"/>
          </w:r>
          <w:r>
            <w:rPr>
              <w:rFonts w:ascii="Tahoma" w:eastAsia="Tahoma" w:hAnsi="Tahoma" w:cs="Tahoma"/>
              <w:color w:val="000000"/>
              <w:sz w:val="22"/>
              <w:szCs w:val="22"/>
            </w:rPr>
            <w:t>Essential Components of Reading I</w:t>
          </w:r>
          <w:r w:rsidR="009D2358">
            <w:rPr>
              <w:rFonts w:ascii="Tahoma" w:eastAsia="Tahoma" w:hAnsi="Tahoma" w:cs="Tahoma"/>
              <w:color w:val="000000"/>
              <w:sz w:val="22"/>
              <w:szCs w:val="22"/>
            </w:rPr>
            <w:t>n</w:t>
          </w:r>
          <w:r>
            <w:rPr>
              <w:rFonts w:ascii="Tahoma" w:eastAsia="Tahoma" w:hAnsi="Tahoma" w:cs="Tahoma"/>
              <w:color w:val="000000"/>
              <w:sz w:val="22"/>
              <w:szCs w:val="22"/>
            </w:rPr>
            <w:t>struction</w:t>
          </w:r>
          <w:r>
            <w:rPr>
              <w:rFonts w:ascii="Tahoma" w:eastAsia="Tahoma" w:hAnsi="Tahoma" w:cs="Tahoma"/>
              <w:color w:val="000000"/>
              <w:sz w:val="22"/>
              <w:szCs w:val="22"/>
            </w:rPr>
            <w:tab/>
            <w:t>26</w:t>
          </w:r>
          <w:r>
            <w:fldChar w:fldCharType="end"/>
          </w:r>
        </w:p>
        <w:p w14:paraId="71ACE564"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jp09rpmp0gk5">
            <w:r>
              <w:rPr>
                <w:rFonts w:ascii="Tahoma" w:eastAsia="Tahoma" w:hAnsi="Tahoma" w:cs="Tahoma"/>
                <w:color w:val="000000"/>
                <w:sz w:val="22"/>
                <w:szCs w:val="22"/>
              </w:rPr>
              <w:t>5.3.</w:t>
            </w:r>
          </w:hyperlink>
          <w:hyperlink w:anchor="_jp09rpmp0gk5">
            <w:r>
              <w:rPr>
                <w:rFonts w:ascii="Calibri" w:eastAsia="Calibri" w:hAnsi="Calibri" w:cs="Calibri"/>
                <w:color w:val="000000"/>
              </w:rPr>
              <w:tab/>
            </w:r>
          </w:hyperlink>
          <w:r>
            <w:fldChar w:fldCharType="begin"/>
          </w:r>
          <w:r>
            <w:instrText xml:space="preserve"> PAGEREF _jp09rpmp0gk5 \h </w:instrText>
          </w:r>
          <w:r>
            <w:fldChar w:fldCharType="separate"/>
          </w:r>
          <w:r>
            <w:rPr>
              <w:rFonts w:ascii="Tahoma" w:eastAsia="Tahoma" w:hAnsi="Tahoma" w:cs="Tahoma"/>
              <w:color w:val="000000"/>
              <w:sz w:val="22"/>
              <w:szCs w:val="22"/>
            </w:rPr>
            <w:t>Serving Learners with Disabilities</w:t>
          </w:r>
          <w:r>
            <w:rPr>
              <w:rFonts w:ascii="Tahoma" w:eastAsia="Tahoma" w:hAnsi="Tahoma" w:cs="Tahoma"/>
              <w:color w:val="000000"/>
              <w:sz w:val="22"/>
              <w:szCs w:val="22"/>
            </w:rPr>
            <w:tab/>
            <w:t>27</w:t>
          </w:r>
          <w:r>
            <w:fldChar w:fldCharType="end"/>
          </w:r>
        </w:p>
        <w:p w14:paraId="10E91136" w14:textId="1B18731B"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c38yp7uo0jra">
            <w:r>
              <w:rPr>
                <w:rFonts w:ascii="Tahoma" w:eastAsia="Tahoma" w:hAnsi="Tahoma" w:cs="Tahoma"/>
                <w:color w:val="000000"/>
                <w:sz w:val="22"/>
                <w:szCs w:val="22"/>
              </w:rPr>
              <w:t>5.4.</w:t>
            </w:r>
          </w:hyperlink>
          <w:hyperlink w:anchor="_c38yp7uo0jra">
            <w:r>
              <w:rPr>
                <w:rFonts w:ascii="Calibri" w:eastAsia="Calibri" w:hAnsi="Calibri" w:cs="Calibri"/>
                <w:color w:val="000000"/>
              </w:rPr>
              <w:tab/>
            </w:r>
          </w:hyperlink>
          <w:r>
            <w:fldChar w:fldCharType="begin"/>
          </w:r>
          <w:r>
            <w:instrText xml:space="preserve"> PAGEREF _c38yp7uo0jra \h </w:instrText>
          </w:r>
          <w:r>
            <w:fldChar w:fldCharType="separate"/>
          </w:r>
          <w:r>
            <w:rPr>
              <w:rFonts w:ascii="Tahoma" w:eastAsia="Tahoma" w:hAnsi="Tahoma" w:cs="Tahoma"/>
              <w:color w:val="000000"/>
              <w:sz w:val="22"/>
              <w:szCs w:val="22"/>
            </w:rPr>
            <w:t xml:space="preserve">Adult </w:t>
          </w:r>
          <w:r w:rsidR="004019EF">
            <w:rPr>
              <w:rFonts w:ascii="Tahoma" w:eastAsia="Tahoma" w:hAnsi="Tahoma" w:cs="Tahoma"/>
              <w:color w:val="000000"/>
              <w:sz w:val="22"/>
              <w:szCs w:val="22"/>
            </w:rPr>
            <w:t>Basic</w:t>
          </w:r>
          <w:r w:rsidR="00A372A8">
            <w:rPr>
              <w:rFonts w:ascii="Tahoma" w:eastAsia="Tahoma" w:hAnsi="Tahoma" w:cs="Tahoma"/>
              <w:color w:val="000000"/>
              <w:sz w:val="22"/>
              <w:szCs w:val="22"/>
            </w:rPr>
            <w:t xml:space="preserve"> (</w:t>
          </w:r>
          <w:r w:rsidR="00B86514">
            <w:rPr>
              <w:rFonts w:ascii="Tahoma" w:eastAsia="Tahoma" w:hAnsi="Tahoma" w:cs="Tahoma"/>
              <w:color w:val="000000"/>
              <w:sz w:val="22"/>
              <w:szCs w:val="22"/>
            </w:rPr>
            <w:t>B</w:t>
          </w:r>
          <w:r w:rsidR="00A372A8">
            <w:rPr>
              <w:rFonts w:ascii="Tahoma" w:eastAsia="Tahoma" w:hAnsi="Tahoma" w:cs="Tahoma"/>
              <w:color w:val="000000"/>
              <w:sz w:val="22"/>
              <w:szCs w:val="22"/>
            </w:rPr>
            <w:t>asic)</w:t>
          </w:r>
          <w:r>
            <w:rPr>
              <w:rFonts w:ascii="Tahoma" w:eastAsia="Tahoma" w:hAnsi="Tahoma" w:cs="Tahoma"/>
              <w:color w:val="000000"/>
              <w:sz w:val="22"/>
              <w:szCs w:val="22"/>
            </w:rPr>
            <w:t xml:space="preserve"> Education (ABE)</w:t>
          </w:r>
          <w:r>
            <w:rPr>
              <w:rFonts w:ascii="Tahoma" w:eastAsia="Tahoma" w:hAnsi="Tahoma" w:cs="Tahoma"/>
              <w:color w:val="000000"/>
              <w:sz w:val="22"/>
              <w:szCs w:val="22"/>
            </w:rPr>
            <w:tab/>
            <w:t>28</w:t>
          </w:r>
          <w:r>
            <w:fldChar w:fldCharType="end"/>
          </w:r>
        </w:p>
        <w:p w14:paraId="5845FD09"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t0v8owfyvrth">
            <w:r>
              <w:rPr>
                <w:rFonts w:ascii="Tahoma" w:eastAsia="Tahoma" w:hAnsi="Tahoma" w:cs="Tahoma"/>
                <w:color w:val="000000"/>
                <w:sz w:val="22"/>
                <w:szCs w:val="22"/>
              </w:rPr>
              <w:t>5.5.</w:t>
            </w:r>
          </w:hyperlink>
          <w:hyperlink w:anchor="_t0v8owfyvrth">
            <w:r>
              <w:rPr>
                <w:rFonts w:ascii="Calibri" w:eastAsia="Calibri" w:hAnsi="Calibri" w:cs="Calibri"/>
                <w:color w:val="000000"/>
              </w:rPr>
              <w:tab/>
            </w:r>
          </w:hyperlink>
          <w:r>
            <w:fldChar w:fldCharType="begin"/>
          </w:r>
          <w:r>
            <w:instrText xml:space="preserve"> PAGEREF _t0v8owfyvrth \h </w:instrText>
          </w:r>
          <w:r>
            <w:fldChar w:fldCharType="separate"/>
          </w:r>
          <w:r>
            <w:rPr>
              <w:rFonts w:ascii="Tahoma" w:eastAsia="Tahoma" w:hAnsi="Tahoma" w:cs="Tahoma"/>
              <w:color w:val="000000"/>
              <w:sz w:val="22"/>
              <w:szCs w:val="22"/>
            </w:rPr>
            <w:t>Adult Secondary Education (ASE)</w:t>
          </w:r>
          <w:r>
            <w:rPr>
              <w:rFonts w:ascii="Tahoma" w:eastAsia="Tahoma" w:hAnsi="Tahoma" w:cs="Tahoma"/>
              <w:color w:val="000000"/>
              <w:sz w:val="22"/>
              <w:szCs w:val="22"/>
            </w:rPr>
            <w:tab/>
            <w:t>28</w:t>
          </w:r>
          <w:r>
            <w:fldChar w:fldCharType="end"/>
          </w:r>
        </w:p>
        <w:p w14:paraId="100939DC"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6lhbsowvtiap">
            <w:r>
              <w:rPr>
                <w:rFonts w:ascii="Tahoma" w:eastAsia="Tahoma" w:hAnsi="Tahoma" w:cs="Tahoma"/>
                <w:color w:val="000000"/>
                <w:sz w:val="22"/>
                <w:szCs w:val="22"/>
              </w:rPr>
              <w:t>5.6.</w:t>
            </w:r>
          </w:hyperlink>
          <w:hyperlink w:anchor="_6lhbsowvtiap">
            <w:r>
              <w:rPr>
                <w:rFonts w:ascii="Calibri" w:eastAsia="Calibri" w:hAnsi="Calibri" w:cs="Calibri"/>
                <w:color w:val="000000"/>
              </w:rPr>
              <w:tab/>
            </w:r>
          </w:hyperlink>
          <w:r>
            <w:fldChar w:fldCharType="begin"/>
          </w:r>
          <w:r>
            <w:instrText xml:space="preserve"> PAGEREF _6lhbsowvtiap \h </w:instrText>
          </w:r>
          <w:r>
            <w:fldChar w:fldCharType="separate"/>
          </w:r>
          <w:r>
            <w:rPr>
              <w:rFonts w:ascii="Tahoma" w:eastAsia="Tahoma" w:hAnsi="Tahoma" w:cs="Tahoma"/>
              <w:color w:val="000000"/>
              <w:sz w:val="22"/>
              <w:szCs w:val="22"/>
            </w:rPr>
            <w:t>Career Pathways</w:t>
          </w:r>
          <w:r>
            <w:rPr>
              <w:rFonts w:ascii="Tahoma" w:eastAsia="Tahoma" w:hAnsi="Tahoma" w:cs="Tahoma"/>
              <w:color w:val="000000"/>
              <w:sz w:val="22"/>
              <w:szCs w:val="22"/>
            </w:rPr>
            <w:tab/>
            <w:t>29</w:t>
          </w:r>
          <w:r>
            <w:fldChar w:fldCharType="end"/>
          </w:r>
        </w:p>
        <w:p w14:paraId="4CFD5C80"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z7ph51flmz6u">
            <w:r>
              <w:rPr>
                <w:rFonts w:ascii="Tahoma" w:eastAsia="Tahoma" w:hAnsi="Tahoma" w:cs="Tahoma"/>
                <w:color w:val="000000"/>
                <w:sz w:val="22"/>
                <w:szCs w:val="22"/>
              </w:rPr>
              <w:t>5.7.</w:t>
            </w:r>
          </w:hyperlink>
          <w:hyperlink w:anchor="_z7ph51flmz6u">
            <w:r>
              <w:rPr>
                <w:rFonts w:ascii="Calibri" w:eastAsia="Calibri" w:hAnsi="Calibri" w:cs="Calibri"/>
                <w:color w:val="000000"/>
              </w:rPr>
              <w:tab/>
            </w:r>
          </w:hyperlink>
          <w:r>
            <w:fldChar w:fldCharType="begin"/>
          </w:r>
          <w:r>
            <w:instrText xml:space="preserve"> PAGEREF _z7ph51flmz6u \h </w:instrText>
          </w:r>
          <w:r>
            <w:fldChar w:fldCharType="separate"/>
          </w:r>
          <w:r>
            <w:rPr>
              <w:rFonts w:ascii="Tahoma" w:eastAsia="Tahoma" w:hAnsi="Tahoma" w:cs="Tahoma"/>
              <w:color w:val="000000"/>
              <w:sz w:val="22"/>
              <w:szCs w:val="22"/>
            </w:rPr>
            <w:t>Corrections Education</w:t>
          </w:r>
          <w:r>
            <w:rPr>
              <w:rFonts w:ascii="Tahoma" w:eastAsia="Tahoma" w:hAnsi="Tahoma" w:cs="Tahoma"/>
              <w:color w:val="000000"/>
              <w:sz w:val="22"/>
              <w:szCs w:val="22"/>
            </w:rPr>
            <w:tab/>
            <w:t>30</w:t>
          </w:r>
          <w:r>
            <w:fldChar w:fldCharType="end"/>
          </w:r>
        </w:p>
        <w:p w14:paraId="2ED28174"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cwwi7zc94inb">
            <w:r>
              <w:rPr>
                <w:rFonts w:ascii="Tahoma" w:eastAsia="Tahoma" w:hAnsi="Tahoma" w:cs="Tahoma"/>
                <w:color w:val="000000"/>
                <w:sz w:val="22"/>
                <w:szCs w:val="22"/>
              </w:rPr>
              <w:t>5.8.</w:t>
            </w:r>
          </w:hyperlink>
          <w:hyperlink w:anchor="_cwwi7zc94inb">
            <w:r>
              <w:rPr>
                <w:rFonts w:ascii="Calibri" w:eastAsia="Calibri" w:hAnsi="Calibri" w:cs="Calibri"/>
                <w:color w:val="000000"/>
              </w:rPr>
              <w:tab/>
            </w:r>
          </w:hyperlink>
          <w:r>
            <w:fldChar w:fldCharType="begin"/>
          </w:r>
          <w:r>
            <w:instrText xml:space="preserve"> PAGEREF _cwwi7zc94inb \h </w:instrText>
          </w:r>
          <w:r>
            <w:fldChar w:fldCharType="separate"/>
          </w:r>
          <w:r>
            <w:rPr>
              <w:rFonts w:ascii="Tahoma" w:eastAsia="Tahoma" w:hAnsi="Tahoma" w:cs="Tahoma"/>
              <w:color w:val="000000"/>
              <w:sz w:val="22"/>
              <w:szCs w:val="22"/>
            </w:rPr>
            <w:t>English as a Second Language (ESL)</w:t>
          </w:r>
          <w:r>
            <w:rPr>
              <w:rFonts w:ascii="Tahoma" w:eastAsia="Tahoma" w:hAnsi="Tahoma" w:cs="Tahoma"/>
              <w:color w:val="000000"/>
              <w:sz w:val="22"/>
              <w:szCs w:val="22"/>
            </w:rPr>
            <w:tab/>
            <w:t>31</w:t>
          </w:r>
          <w:r>
            <w:fldChar w:fldCharType="end"/>
          </w:r>
        </w:p>
        <w:p w14:paraId="5CBD08A5"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hlhkeoksixqr">
            <w:r>
              <w:rPr>
                <w:rFonts w:ascii="Tahoma" w:eastAsia="Tahoma" w:hAnsi="Tahoma" w:cs="Tahoma"/>
                <w:color w:val="000000"/>
                <w:sz w:val="22"/>
                <w:szCs w:val="22"/>
              </w:rPr>
              <w:t>5.9.</w:t>
            </w:r>
          </w:hyperlink>
          <w:hyperlink w:anchor="_hlhkeoksixqr">
            <w:r>
              <w:rPr>
                <w:rFonts w:ascii="Calibri" w:eastAsia="Calibri" w:hAnsi="Calibri" w:cs="Calibri"/>
                <w:color w:val="000000"/>
              </w:rPr>
              <w:tab/>
            </w:r>
          </w:hyperlink>
          <w:r>
            <w:fldChar w:fldCharType="begin"/>
          </w:r>
          <w:r>
            <w:instrText xml:space="preserve"> PAGEREF _hlhkeoksixqr \h </w:instrText>
          </w:r>
          <w:r>
            <w:fldChar w:fldCharType="separate"/>
          </w:r>
          <w:r>
            <w:rPr>
              <w:rFonts w:ascii="Tahoma" w:eastAsia="Tahoma" w:hAnsi="Tahoma" w:cs="Tahoma"/>
              <w:color w:val="000000"/>
              <w:sz w:val="22"/>
              <w:szCs w:val="22"/>
            </w:rPr>
            <w:t>Family Literacy</w:t>
          </w:r>
          <w:r>
            <w:rPr>
              <w:rFonts w:ascii="Tahoma" w:eastAsia="Tahoma" w:hAnsi="Tahoma" w:cs="Tahoma"/>
              <w:color w:val="000000"/>
              <w:sz w:val="22"/>
              <w:szCs w:val="22"/>
            </w:rPr>
            <w:tab/>
            <w:t>31</w:t>
          </w:r>
          <w:r>
            <w:fldChar w:fldCharType="end"/>
          </w:r>
        </w:p>
        <w:p w14:paraId="5B01830C"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q3xdsru1k58c">
            <w:r>
              <w:rPr>
                <w:rFonts w:ascii="Tahoma" w:eastAsia="Tahoma" w:hAnsi="Tahoma" w:cs="Tahoma"/>
                <w:color w:val="000000"/>
                <w:sz w:val="22"/>
                <w:szCs w:val="22"/>
              </w:rPr>
              <w:t>5.10.</w:t>
            </w:r>
          </w:hyperlink>
          <w:hyperlink w:anchor="_q3xdsru1k58c">
            <w:r>
              <w:rPr>
                <w:rFonts w:ascii="Calibri" w:eastAsia="Calibri" w:hAnsi="Calibri" w:cs="Calibri"/>
                <w:color w:val="000000"/>
              </w:rPr>
              <w:tab/>
            </w:r>
          </w:hyperlink>
          <w:r>
            <w:fldChar w:fldCharType="begin"/>
          </w:r>
          <w:r>
            <w:instrText xml:space="preserve"> PAGEREF _q3xdsru1k58c \h </w:instrText>
          </w:r>
          <w:r>
            <w:fldChar w:fldCharType="separate"/>
          </w:r>
          <w:r>
            <w:rPr>
              <w:rFonts w:ascii="Tahoma" w:eastAsia="Tahoma" w:hAnsi="Tahoma" w:cs="Tahoma"/>
              <w:color w:val="000000"/>
              <w:sz w:val="22"/>
              <w:szCs w:val="22"/>
            </w:rPr>
            <w:t>Integrated Education and Training (IET)</w:t>
          </w:r>
          <w:r>
            <w:rPr>
              <w:rFonts w:ascii="Tahoma" w:eastAsia="Tahoma" w:hAnsi="Tahoma" w:cs="Tahoma"/>
              <w:color w:val="000000"/>
              <w:sz w:val="22"/>
              <w:szCs w:val="22"/>
            </w:rPr>
            <w:tab/>
            <w:t>32</w:t>
          </w:r>
          <w:r>
            <w:fldChar w:fldCharType="end"/>
          </w:r>
        </w:p>
        <w:p w14:paraId="640D4CC8" w14:textId="75CE0053"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osgyputk38qn">
            <w:r>
              <w:rPr>
                <w:rFonts w:ascii="Tahoma" w:eastAsia="Tahoma" w:hAnsi="Tahoma" w:cs="Tahoma"/>
                <w:color w:val="000000"/>
                <w:sz w:val="22"/>
                <w:szCs w:val="22"/>
              </w:rPr>
              <w:t>5.11.</w:t>
            </w:r>
          </w:hyperlink>
          <w:hyperlink w:anchor="_osgyputk38qn">
            <w:r>
              <w:rPr>
                <w:rFonts w:ascii="Calibri" w:eastAsia="Calibri" w:hAnsi="Calibri" w:cs="Calibri"/>
                <w:color w:val="000000"/>
              </w:rPr>
              <w:tab/>
            </w:r>
          </w:hyperlink>
          <w:r>
            <w:fldChar w:fldCharType="begin"/>
          </w:r>
          <w:r>
            <w:instrText xml:space="preserve"> PAGEREF _osgyputk38qn \h </w:instrText>
          </w:r>
          <w:r>
            <w:fldChar w:fldCharType="separate"/>
          </w:r>
          <w:r>
            <w:rPr>
              <w:rFonts w:ascii="Tahoma" w:eastAsia="Tahoma" w:hAnsi="Tahoma" w:cs="Tahoma"/>
              <w:color w:val="000000"/>
              <w:sz w:val="22"/>
              <w:szCs w:val="22"/>
            </w:rPr>
            <w:t xml:space="preserve">Integrated English </w:t>
          </w:r>
          <w:r w:rsidR="00C8655C">
            <w:rPr>
              <w:rFonts w:ascii="Tahoma" w:eastAsia="Tahoma" w:hAnsi="Tahoma" w:cs="Tahoma"/>
              <w:color w:val="000000"/>
              <w:sz w:val="22"/>
              <w:szCs w:val="22"/>
            </w:rPr>
            <w:t>L</w:t>
          </w:r>
          <w:r>
            <w:rPr>
              <w:rFonts w:ascii="Tahoma" w:eastAsia="Tahoma" w:hAnsi="Tahoma" w:cs="Tahoma"/>
              <w:color w:val="000000"/>
              <w:sz w:val="22"/>
              <w:szCs w:val="22"/>
            </w:rPr>
            <w:t>iteracy and Civics Education (</w:t>
          </w:r>
          <w:r w:rsidR="009D2358">
            <w:rPr>
              <w:rFonts w:ascii="Tahoma" w:eastAsia="Tahoma" w:hAnsi="Tahoma" w:cs="Tahoma"/>
              <w:color w:val="000000"/>
              <w:sz w:val="22"/>
              <w:szCs w:val="22"/>
            </w:rPr>
            <w:t>IELCE</w:t>
          </w:r>
          <w:r>
            <w:rPr>
              <w:rFonts w:ascii="Tahoma" w:eastAsia="Tahoma" w:hAnsi="Tahoma" w:cs="Tahoma"/>
              <w:color w:val="000000"/>
              <w:sz w:val="22"/>
              <w:szCs w:val="22"/>
            </w:rPr>
            <w:t>)</w:t>
          </w:r>
          <w:r>
            <w:rPr>
              <w:rFonts w:ascii="Tahoma" w:eastAsia="Tahoma" w:hAnsi="Tahoma" w:cs="Tahoma"/>
              <w:color w:val="000000"/>
              <w:sz w:val="22"/>
              <w:szCs w:val="22"/>
            </w:rPr>
            <w:tab/>
            <w:t>36</w:t>
          </w:r>
          <w:r>
            <w:fldChar w:fldCharType="end"/>
          </w:r>
        </w:p>
        <w:p w14:paraId="6D47844C"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wls30eolehn">
            <w:r>
              <w:rPr>
                <w:rFonts w:ascii="Tahoma" w:eastAsia="Tahoma" w:hAnsi="Tahoma" w:cs="Tahoma"/>
                <w:color w:val="000000"/>
                <w:sz w:val="22"/>
                <w:szCs w:val="22"/>
              </w:rPr>
              <w:t>5.12.</w:t>
            </w:r>
          </w:hyperlink>
          <w:hyperlink w:anchor="_wls30eolehn">
            <w:r>
              <w:rPr>
                <w:rFonts w:ascii="Calibri" w:eastAsia="Calibri" w:hAnsi="Calibri" w:cs="Calibri"/>
                <w:color w:val="000000"/>
              </w:rPr>
              <w:tab/>
            </w:r>
          </w:hyperlink>
          <w:r>
            <w:fldChar w:fldCharType="begin"/>
          </w:r>
          <w:r>
            <w:instrText xml:space="preserve"> PAGEREF _wls30eolehn \h </w:instrText>
          </w:r>
          <w:r>
            <w:fldChar w:fldCharType="separate"/>
          </w:r>
          <w:r>
            <w:rPr>
              <w:rFonts w:ascii="Tahoma" w:eastAsia="Tahoma" w:hAnsi="Tahoma" w:cs="Tahoma"/>
              <w:color w:val="000000"/>
              <w:sz w:val="22"/>
              <w:szCs w:val="22"/>
            </w:rPr>
            <w:t>Workforce Preparation</w:t>
          </w:r>
          <w:r>
            <w:rPr>
              <w:rFonts w:ascii="Tahoma" w:eastAsia="Tahoma" w:hAnsi="Tahoma" w:cs="Tahoma"/>
              <w:color w:val="000000"/>
              <w:sz w:val="22"/>
              <w:szCs w:val="22"/>
            </w:rPr>
            <w:tab/>
            <w:t>36</w:t>
          </w:r>
          <w:r>
            <w:fldChar w:fldCharType="end"/>
          </w:r>
        </w:p>
        <w:p w14:paraId="6BAB4A2C"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nm3qz7cwvoma">
            <w:r>
              <w:rPr>
                <w:rFonts w:ascii="Tahoma" w:eastAsia="Tahoma" w:hAnsi="Tahoma" w:cs="Tahoma"/>
                <w:color w:val="000000"/>
                <w:sz w:val="22"/>
                <w:szCs w:val="22"/>
              </w:rPr>
              <w:t>5.13.</w:t>
            </w:r>
          </w:hyperlink>
          <w:hyperlink w:anchor="_nm3qz7cwvoma">
            <w:r>
              <w:rPr>
                <w:rFonts w:ascii="Calibri" w:eastAsia="Calibri" w:hAnsi="Calibri" w:cs="Calibri"/>
                <w:color w:val="000000"/>
              </w:rPr>
              <w:tab/>
            </w:r>
          </w:hyperlink>
          <w:r>
            <w:fldChar w:fldCharType="begin"/>
          </w:r>
          <w:r>
            <w:instrText xml:space="preserve"> PAGEREF _nm3qz7cwvoma \h </w:instrText>
          </w:r>
          <w:r>
            <w:fldChar w:fldCharType="separate"/>
          </w:r>
          <w:r>
            <w:rPr>
              <w:rFonts w:ascii="Tahoma" w:eastAsia="Tahoma" w:hAnsi="Tahoma" w:cs="Tahoma"/>
              <w:color w:val="000000"/>
              <w:sz w:val="22"/>
              <w:szCs w:val="22"/>
            </w:rPr>
            <w:t>Workplace Adult Education</w:t>
          </w:r>
          <w:r>
            <w:rPr>
              <w:rFonts w:ascii="Tahoma" w:eastAsia="Tahoma" w:hAnsi="Tahoma" w:cs="Tahoma"/>
              <w:color w:val="000000"/>
              <w:sz w:val="22"/>
              <w:szCs w:val="22"/>
            </w:rPr>
            <w:tab/>
            <w:t>37</w:t>
          </w:r>
          <w:r>
            <w:fldChar w:fldCharType="end"/>
          </w:r>
        </w:p>
        <w:p w14:paraId="25496FD9" w14:textId="77777777" w:rsidR="00F8503D"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color w:val="000000"/>
            </w:rPr>
          </w:pPr>
          <w:hyperlink w:anchor="_h293wy3xrnf3">
            <w:r>
              <w:rPr>
                <w:rFonts w:ascii="Tahoma" w:eastAsia="Tahoma" w:hAnsi="Tahoma" w:cs="Tahoma"/>
                <w:b/>
                <w:bCs/>
                <w:smallCaps/>
                <w:color w:val="000000"/>
              </w:rPr>
              <w:t>6.</w:t>
            </w:r>
          </w:hyperlink>
          <w:hyperlink w:anchor="_h293wy3xrnf3">
            <w:r>
              <w:rPr>
                <w:rFonts w:ascii="Calibri" w:eastAsia="Calibri" w:hAnsi="Calibri" w:cs="Calibri"/>
                <w:color w:val="000000"/>
              </w:rPr>
              <w:tab/>
            </w:r>
          </w:hyperlink>
          <w:r>
            <w:fldChar w:fldCharType="begin"/>
          </w:r>
          <w:r>
            <w:instrText xml:space="preserve"> PAGEREF _h293wy3xrnf3 \h </w:instrText>
          </w:r>
          <w:r>
            <w:fldChar w:fldCharType="separate"/>
          </w:r>
          <w:r>
            <w:rPr>
              <w:rFonts w:ascii="Tahoma" w:eastAsia="Tahoma" w:hAnsi="Tahoma" w:cs="Tahoma"/>
              <w:b/>
              <w:bCs/>
              <w:smallCaps/>
              <w:color w:val="000000"/>
            </w:rPr>
            <w:t>Assessment</w:t>
          </w:r>
          <w:r>
            <w:rPr>
              <w:rFonts w:ascii="Tahoma" w:eastAsia="Tahoma" w:hAnsi="Tahoma" w:cs="Tahoma"/>
              <w:b/>
              <w:bCs/>
              <w:smallCaps/>
              <w:color w:val="000000"/>
            </w:rPr>
            <w:tab/>
            <w:t>38</w:t>
          </w:r>
          <w:r>
            <w:fldChar w:fldCharType="end"/>
          </w:r>
        </w:p>
        <w:p w14:paraId="0D54A709"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9wued4o1tlx3">
            <w:r>
              <w:rPr>
                <w:rFonts w:ascii="Tahoma" w:eastAsia="Tahoma" w:hAnsi="Tahoma" w:cs="Tahoma"/>
                <w:color w:val="000000"/>
                <w:sz w:val="22"/>
                <w:szCs w:val="22"/>
              </w:rPr>
              <w:t>6.1.</w:t>
            </w:r>
          </w:hyperlink>
          <w:hyperlink w:anchor="_9wued4o1tlx3">
            <w:r>
              <w:rPr>
                <w:rFonts w:ascii="Calibri" w:eastAsia="Calibri" w:hAnsi="Calibri" w:cs="Calibri"/>
                <w:color w:val="000000"/>
              </w:rPr>
              <w:tab/>
            </w:r>
          </w:hyperlink>
          <w:r>
            <w:fldChar w:fldCharType="begin"/>
          </w:r>
          <w:r>
            <w:instrText xml:space="preserve"> PAGEREF _9wued4o1tlx3 \h </w:instrText>
          </w:r>
          <w:r>
            <w:fldChar w:fldCharType="separate"/>
          </w:r>
          <w:r>
            <w:rPr>
              <w:rFonts w:ascii="Tahoma" w:eastAsia="Tahoma" w:hAnsi="Tahoma" w:cs="Tahoma"/>
              <w:color w:val="000000"/>
              <w:sz w:val="22"/>
              <w:szCs w:val="22"/>
            </w:rPr>
            <w:t>Standardized Assessments for NRS Reporting</w:t>
          </w:r>
          <w:r>
            <w:rPr>
              <w:rFonts w:ascii="Tahoma" w:eastAsia="Tahoma" w:hAnsi="Tahoma" w:cs="Tahoma"/>
              <w:color w:val="000000"/>
              <w:sz w:val="22"/>
              <w:szCs w:val="22"/>
            </w:rPr>
            <w:tab/>
            <w:t>39</w:t>
          </w:r>
          <w:r>
            <w:fldChar w:fldCharType="end"/>
          </w:r>
        </w:p>
        <w:p w14:paraId="0398B786" w14:textId="11854916"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17zexj30ccsx">
            <w:r>
              <w:rPr>
                <w:rFonts w:ascii="Tahoma" w:eastAsia="Tahoma" w:hAnsi="Tahoma" w:cs="Tahoma"/>
                <w:color w:val="000000"/>
                <w:sz w:val="22"/>
                <w:szCs w:val="22"/>
              </w:rPr>
              <w:t>6.2.</w:t>
            </w:r>
          </w:hyperlink>
          <w:hyperlink w:anchor="_17zexj30ccsx">
            <w:r>
              <w:rPr>
                <w:rFonts w:ascii="Calibri" w:eastAsia="Calibri" w:hAnsi="Calibri" w:cs="Calibri"/>
                <w:color w:val="000000"/>
              </w:rPr>
              <w:tab/>
            </w:r>
          </w:hyperlink>
          <w:r>
            <w:fldChar w:fldCharType="begin"/>
          </w:r>
          <w:r>
            <w:instrText xml:space="preserve"> PAGEREF _17zexj30ccsx \h </w:instrText>
          </w:r>
          <w:r>
            <w:fldChar w:fldCharType="separate"/>
          </w:r>
          <w:r>
            <w:rPr>
              <w:rFonts w:ascii="Tahoma" w:eastAsia="Tahoma" w:hAnsi="Tahoma" w:cs="Tahoma"/>
              <w:color w:val="000000"/>
              <w:sz w:val="22"/>
              <w:szCs w:val="22"/>
            </w:rPr>
            <w:t xml:space="preserve">Assessment of Learners in Distance </w:t>
          </w:r>
          <w:r w:rsidR="001B709E">
            <w:rPr>
              <w:rFonts w:ascii="Tahoma" w:eastAsia="Tahoma" w:hAnsi="Tahoma" w:cs="Tahoma"/>
              <w:color w:val="000000"/>
              <w:sz w:val="22"/>
              <w:szCs w:val="22"/>
            </w:rPr>
            <w:t>Education</w:t>
          </w:r>
          <w:r>
            <w:rPr>
              <w:rFonts w:ascii="Tahoma" w:eastAsia="Tahoma" w:hAnsi="Tahoma" w:cs="Tahoma"/>
              <w:color w:val="000000"/>
              <w:sz w:val="22"/>
              <w:szCs w:val="22"/>
            </w:rPr>
            <w:t xml:space="preserve"> Programs</w:t>
          </w:r>
          <w:r>
            <w:rPr>
              <w:rFonts w:ascii="Tahoma" w:eastAsia="Tahoma" w:hAnsi="Tahoma" w:cs="Tahoma"/>
              <w:color w:val="000000"/>
              <w:sz w:val="22"/>
              <w:szCs w:val="22"/>
            </w:rPr>
            <w:tab/>
            <w:t>45</w:t>
          </w:r>
          <w:r>
            <w:fldChar w:fldCharType="end"/>
          </w:r>
        </w:p>
        <w:p w14:paraId="14C54C73"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cmgtkn5g82qw">
            <w:r>
              <w:rPr>
                <w:rFonts w:ascii="Tahoma" w:eastAsia="Tahoma" w:hAnsi="Tahoma" w:cs="Tahoma"/>
                <w:color w:val="000000"/>
                <w:sz w:val="22"/>
                <w:szCs w:val="22"/>
              </w:rPr>
              <w:t>6.3.</w:t>
            </w:r>
          </w:hyperlink>
          <w:hyperlink w:anchor="_cmgtkn5g82qw">
            <w:r>
              <w:rPr>
                <w:rFonts w:ascii="Calibri" w:eastAsia="Calibri" w:hAnsi="Calibri" w:cs="Calibri"/>
                <w:color w:val="000000"/>
              </w:rPr>
              <w:tab/>
            </w:r>
          </w:hyperlink>
          <w:r>
            <w:fldChar w:fldCharType="begin"/>
          </w:r>
          <w:r>
            <w:instrText xml:space="preserve"> PAGEREF _cmgtkn5g82qw \h </w:instrText>
          </w:r>
          <w:r>
            <w:fldChar w:fldCharType="separate"/>
          </w:r>
          <w:r>
            <w:rPr>
              <w:rFonts w:ascii="Tahoma" w:eastAsia="Tahoma" w:hAnsi="Tahoma" w:cs="Tahoma"/>
              <w:color w:val="000000"/>
              <w:sz w:val="22"/>
              <w:szCs w:val="22"/>
            </w:rPr>
            <w:t>Accommodations Using CASAS Assessment for Learners with Disabilities</w:t>
          </w:r>
          <w:r>
            <w:rPr>
              <w:rFonts w:ascii="Tahoma" w:eastAsia="Tahoma" w:hAnsi="Tahoma" w:cs="Tahoma"/>
              <w:color w:val="000000"/>
              <w:sz w:val="22"/>
              <w:szCs w:val="22"/>
            </w:rPr>
            <w:tab/>
            <w:t>46</w:t>
          </w:r>
          <w:r>
            <w:fldChar w:fldCharType="end"/>
          </w:r>
        </w:p>
        <w:p w14:paraId="7012972A"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9kblwhsqle0g">
            <w:r>
              <w:rPr>
                <w:rFonts w:ascii="Tahoma" w:eastAsia="Tahoma" w:hAnsi="Tahoma" w:cs="Tahoma"/>
                <w:color w:val="000000"/>
                <w:sz w:val="22"/>
                <w:szCs w:val="22"/>
              </w:rPr>
              <w:t>6.4.</w:t>
            </w:r>
          </w:hyperlink>
          <w:hyperlink w:anchor="_9kblwhsqle0g">
            <w:r>
              <w:rPr>
                <w:rFonts w:ascii="Calibri" w:eastAsia="Calibri" w:hAnsi="Calibri" w:cs="Calibri"/>
                <w:color w:val="000000"/>
              </w:rPr>
              <w:tab/>
            </w:r>
          </w:hyperlink>
          <w:r>
            <w:fldChar w:fldCharType="begin"/>
          </w:r>
          <w:r>
            <w:instrText xml:space="preserve"> PAGEREF _9kblwhsqle0g \h </w:instrText>
          </w:r>
          <w:r>
            <w:fldChar w:fldCharType="separate"/>
          </w:r>
          <w:r>
            <w:rPr>
              <w:rFonts w:ascii="Tahoma" w:eastAsia="Tahoma" w:hAnsi="Tahoma" w:cs="Tahoma"/>
              <w:color w:val="000000"/>
              <w:sz w:val="22"/>
              <w:szCs w:val="22"/>
            </w:rPr>
            <w:t>Accommodations Using BEST Plus 3.0 Assessment for Learners with Disabilities</w:t>
          </w:r>
          <w:r>
            <w:rPr>
              <w:rFonts w:ascii="Tahoma" w:eastAsia="Tahoma" w:hAnsi="Tahoma" w:cs="Tahoma"/>
              <w:color w:val="000000"/>
              <w:sz w:val="22"/>
              <w:szCs w:val="22"/>
            </w:rPr>
            <w:tab/>
            <w:t>46</w:t>
          </w:r>
          <w:r>
            <w:fldChar w:fldCharType="end"/>
          </w:r>
        </w:p>
        <w:p w14:paraId="143E19BA"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e52n0fip8b3v">
            <w:r>
              <w:rPr>
                <w:rFonts w:ascii="Tahoma" w:eastAsia="Tahoma" w:hAnsi="Tahoma" w:cs="Tahoma"/>
                <w:color w:val="000000"/>
                <w:sz w:val="22"/>
                <w:szCs w:val="22"/>
              </w:rPr>
              <w:t>6.5.</w:t>
            </w:r>
          </w:hyperlink>
          <w:hyperlink w:anchor="_e52n0fip8b3v">
            <w:r>
              <w:rPr>
                <w:rFonts w:ascii="Calibri" w:eastAsia="Calibri" w:hAnsi="Calibri" w:cs="Calibri"/>
                <w:color w:val="000000"/>
              </w:rPr>
              <w:tab/>
            </w:r>
          </w:hyperlink>
          <w:r>
            <w:fldChar w:fldCharType="begin"/>
          </w:r>
          <w:r>
            <w:instrText xml:space="preserve"> PAGEREF _e52n0fip8b3v \h </w:instrText>
          </w:r>
          <w:r>
            <w:fldChar w:fldCharType="separate"/>
          </w:r>
          <w:r>
            <w:rPr>
              <w:rFonts w:ascii="Tahoma" w:eastAsia="Tahoma" w:hAnsi="Tahoma" w:cs="Tahoma"/>
              <w:color w:val="000000"/>
              <w:sz w:val="22"/>
              <w:szCs w:val="22"/>
            </w:rPr>
            <w:t>Certified Test Administration</w:t>
          </w:r>
          <w:r>
            <w:rPr>
              <w:rFonts w:ascii="Tahoma" w:eastAsia="Tahoma" w:hAnsi="Tahoma" w:cs="Tahoma"/>
              <w:color w:val="000000"/>
              <w:sz w:val="22"/>
              <w:szCs w:val="22"/>
            </w:rPr>
            <w:tab/>
            <w:t>47</w:t>
          </w:r>
          <w:r>
            <w:fldChar w:fldCharType="end"/>
          </w:r>
        </w:p>
        <w:p w14:paraId="2D6DA49A"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ukbr6ijmvuog">
            <w:r>
              <w:rPr>
                <w:rFonts w:ascii="Tahoma" w:eastAsia="Tahoma" w:hAnsi="Tahoma" w:cs="Tahoma"/>
                <w:color w:val="000000"/>
                <w:sz w:val="22"/>
                <w:szCs w:val="22"/>
              </w:rPr>
              <w:t>6.6.</w:t>
            </w:r>
          </w:hyperlink>
          <w:hyperlink w:anchor="_ukbr6ijmvuog">
            <w:r>
              <w:rPr>
                <w:rFonts w:ascii="Calibri" w:eastAsia="Calibri" w:hAnsi="Calibri" w:cs="Calibri"/>
                <w:color w:val="000000"/>
              </w:rPr>
              <w:tab/>
            </w:r>
          </w:hyperlink>
          <w:r>
            <w:fldChar w:fldCharType="begin"/>
          </w:r>
          <w:r>
            <w:instrText xml:space="preserve"> PAGEREF _ukbr6ijmvuog \h </w:instrText>
          </w:r>
          <w:r>
            <w:fldChar w:fldCharType="separate"/>
          </w:r>
          <w:r>
            <w:rPr>
              <w:rFonts w:ascii="Tahoma" w:eastAsia="Tahoma" w:hAnsi="Tahoma" w:cs="Tahoma"/>
              <w:color w:val="000000"/>
              <w:sz w:val="22"/>
              <w:szCs w:val="22"/>
            </w:rPr>
            <w:t>Assessment Integrity and Security</w:t>
          </w:r>
          <w:r>
            <w:rPr>
              <w:rFonts w:ascii="Tahoma" w:eastAsia="Tahoma" w:hAnsi="Tahoma" w:cs="Tahoma"/>
              <w:color w:val="000000"/>
              <w:sz w:val="22"/>
              <w:szCs w:val="22"/>
            </w:rPr>
            <w:tab/>
            <w:t>49</w:t>
          </w:r>
          <w:r>
            <w:fldChar w:fldCharType="end"/>
          </w:r>
        </w:p>
        <w:p w14:paraId="62506BFA"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1swvymvuofhx">
            <w:r>
              <w:rPr>
                <w:rFonts w:ascii="Tahoma" w:eastAsia="Tahoma" w:hAnsi="Tahoma" w:cs="Tahoma"/>
                <w:color w:val="000000"/>
                <w:sz w:val="22"/>
                <w:szCs w:val="22"/>
              </w:rPr>
              <w:t>6.7.</w:t>
            </w:r>
          </w:hyperlink>
          <w:hyperlink w:anchor="_1swvymvuofhx">
            <w:r>
              <w:rPr>
                <w:rFonts w:ascii="Calibri" w:eastAsia="Calibri" w:hAnsi="Calibri" w:cs="Calibri"/>
                <w:color w:val="000000"/>
              </w:rPr>
              <w:tab/>
            </w:r>
          </w:hyperlink>
          <w:r>
            <w:fldChar w:fldCharType="begin"/>
          </w:r>
          <w:r>
            <w:instrText xml:space="preserve"> PAGEREF _1swvymvuofhx \h </w:instrText>
          </w:r>
          <w:r>
            <w:fldChar w:fldCharType="separate"/>
          </w:r>
          <w:r>
            <w:rPr>
              <w:rFonts w:ascii="Tahoma" w:eastAsia="Tahoma" w:hAnsi="Tahoma" w:cs="Tahoma"/>
              <w:color w:val="000000"/>
              <w:sz w:val="22"/>
              <w:szCs w:val="22"/>
            </w:rPr>
            <w:t>Purchasing Procedures for Each Assessment</w:t>
          </w:r>
          <w:r>
            <w:rPr>
              <w:rFonts w:ascii="Tahoma" w:eastAsia="Tahoma" w:hAnsi="Tahoma" w:cs="Tahoma"/>
              <w:color w:val="000000"/>
              <w:sz w:val="22"/>
              <w:szCs w:val="22"/>
            </w:rPr>
            <w:tab/>
            <w:t>50</w:t>
          </w:r>
          <w:r>
            <w:fldChar w:fldCharType="end"/>
          </w:r>
        </w:p>
        <w:p w14:paraId="424B5353" w14:textId="77777777" w:rsidR="00F8503D"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color w:val="000000"/>
            </w:rPr>
          </w:pPr>
          <w:hyperlink w:anchor="_f6hl3deu0gkp">
            <w:r>
              <w:rPr>
                <w:rFonts w:ascii="Tahoma" w:eastAsia="Tahoma" w:hAnsi="Tahoma" w:cs="Tahoma"/>
                <w:b/>
                <w:bCs/>
                <w:smallCaps/>
                <w:color w:val="000000"/>
              </w:rPr>
              <w:t>7.</w:t>
            </w:r>
          </w:hyperlink>
          <w:hyperlink w:anchor="_f6hl3deu0gkp">
            <w:r>
              <w:rPr>
                <w:rFonts w:ascii="Calibri" w:eastAsia="Calibri" w:hAnsi="Calibri" w:cs="Calibri"/>
                <w:color w:val="000000"/>
              </w:rPr>
              <w:tab/>
            </w:r>
          </w:hyperlink>
          <w:r>
            <w:fldChar w:fldCharType="begin"/>
          </w:r>
          <w:r>
            <w:instrText xml:space="preserve"> PAGEREF _f6hl3deu0gkp \h </w:instrText>
          </w:r>
          <w:r>
            <w:fldChar w:fldCharType="separate"/>
          </w:r>
          <w:r>
            <w:rPr>
              <w:rFonts w:ascii="Tahoma" w:eastAsia="Tahoma" w:hAnsi="Tahoma" w:cs="Tahoma"/>
              <w:b/>
              <w:bCs/>
              <w:smallCaps/>
              <w:color w:val="000000"/>
            </w:rPr>
            <w:t>Data Collection and Management</w:t>
          </w:r>
          <w:r>
            <w:rPr>
              <w:rFonts w:ascii="Tahoma" w:eastAsia="Tahoma" w:hAnsi="Tahoma" w:cs="Tahoma"/>
              <w:b/>
              <w:bCs/>
              <w:smallCaps/>
              <w:color w:val="000000"/>
            </w:rPr>
            <w:tab/>
            <w:t>51</w:t>
          </w:r>
          <w:r>
            <w:fldChar w:fldCharType="end"/>
          </w:r>
        </w:p>
        <w:p w14:paraId="5EC87A81"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34dmi41ogqm8">
            <w:r>
              <w:rPr>
                <w:rFonts w:ascii="Tahoma" w:eastAsia="Tahoma" w:hAnsi="Tahoma" w:cs="Tahoma"/>
                <w:color w:val="000000"/>
                <w:sz w:val="22"/>
                <w:szCs w:val="22"/>
              </w:rPr>
              <w:t>7.1.</w:t>
            </w:r>
          </w:hyperlink>
          <w:hyperlink w:anchor="_34dmi41ogqm8">
            <w:r>
              <w:rPr>
                <w:rFonts w:ascii="Calibri" w:eastAsia="Calibri" w:hAnsi="Calibri" w:cs="Calibri"/>
                <w:color w:val="000000"/>
              </w:rPr>
              <w:tab/>
            </w:r>
          </w:hyperlink>
          <w:r>
            <w:fldChar w:fldCharType="begin"/>
          </w:r>
          <w:r>
            <w:instrText xml:space="preserve"> PAGEREF _34dmi41ogqm8 \h </w:instrText>
          </w:r>
          <w:r>
            <w:fldChar w:fldCharType="separate"/>
          </w:r>
          <w:r>
            <w:rPr>
              <w:rFonts w:ascii="Tahoma" w:eastAsia="Tahoma" w:hAnsi="Tahoma" w:cs="Tahoma"/>
              <w:color w:val="000000"/>
              <w:sz w:val="22"/>
              <w:szCs w:val="22"/>
            </w:rPr>
            <w:t>Data Privacy and Sharing</w:t>
          </w:r>
          <w:r>
            <w:rPr>
              <w:rFonts w:ascii="Tahoma" w:eastAsia="Tahoma" w:hAnsi="Tahoma" w:cs="Tahoma"/>
              <w:color w:val="000000"/>
              <w:sz w:val="22"/>
              <w:szCs w:val="22"/>
            </w:rPr>
            <w:tab/>
            <w:t>51</w:t>
          </w:r>
          <w:r>
            <w:fldChar w:fldCharType="end"/>
          </w:r>
        </w:p>
        <w:p w14:paraId="4C10A185"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wc0zm5ona6wo">
            <w:r>
              <w:rPr>
                <w:rFonts w:ascii="Tahoma" w:eastAsia="Tahoma" w:hAnsi="Tahoma" w:cs="Tahoma"/>
                <w:color w:val="000000"/>
                <w:sz w:val="22"/>
                <w:szCs w:val="22"/>
              </w:rPr>
              <w:t>7.2.</w:t>
            </w:r>
          </w:hyperlink>
          <w:hyperlink w:anchor="_wc0zm5ona6wo">
            <w:r>
              <w:rPr>
                <w:rFonts w:ascii="Calibri" w:eastAsia="Calibri" w:hAnsi="Calibri" w:cs="Calibri"/>
                <w:color w:val="000000"/>
              </w:rPr>
              <w:tab/>
            </w:r>
          </w:hyperlink>
          <w:r>
            <w:fldChar w:fldCharType="begin"/>
          </w:r>
          <w:r>
            <w:instrText xml:space="preserve"> PAGEREF _wc0zm5ona6wo \h </w:instrText>
          </w:r>
          <w:r>
            <w:fldChar w:fldCharType="separate"/>
          </w:r>
          <w:r>
            <w:rPr>
              <w:rFonts w:ascii="Tahoma" w:eastAsia="Tahoma" w:hAnsi="Tahoma" w:cs="Tahoma"/>
              <w:color w:val="000000"/>
              <w:sz w:val="22"/>
              <w:szCs w:val="22"/>
            </w:rPr>
            <w:t>Data Collection</w:t>
          </w:r>
          <w:r>
            <w:rPr>
              <w:rFonts w:ascii="Tahoma" w:eastAsia="Tahoma" w:hAnsi="Tahoma" w:cs="Tahoma"/>
              <w:color w:val="000000"/>
              <w:sz w:val="22"/>
              <w:szCs w:val="22"/>
            </w:rPr>
            <w:tab/>
            <w:t>53</w:t>
          </w:r>
          <w:r>
            <w:fldChar w:fldCharType="end"/>
          </w:r>
        </w:p>
        <w:p w14:paraId="3511526B"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5l2mptzfkgqc">
            <w:r>
              <w:rPr>
                <w:rFonts w:ascii="Tahoma" w:eastAsia="Tahoma" w:hAnsi="Tahoma" w:cs="Tahoma"/>
                <w:color w:val="000000"/>
                <w:sz w:val="22"/>
                <w:szCs w:val="22"/>
              </w:rPr>
              <w:t>7.3.</w:t>
            </w:r>
          </w:hyperlink>
          <w:hyperlink w:anchor="_5l2mptzfkgqc">
            <w:r>
              <w:rPr>
                <w:rFonts w:ascii="Calibri" w:eastAsia="Calibri" w:hAnsi="Calibri" w:cs="Calibri"/>
                <w:color w:val="000000"/>
              </w:rPr>
              <w:tab/>
            </w:r>
          </w:hyperlink>
          <w:r>
            <w:fldChar w:fldCharType="begin"/>
          </w:r>
          <w:r>
            <w:instrText xml:space="preserve"> PAGEREF _5l2mptzfkgqc \h </w:instrText>
          </w:r>
          <w:r>
            <w:fldChar w:fldCharType="separate"/>
          </w:r>
          <w:r>
            <w:rPr>
              <w:rFonts w:ascii="Tahoma" w:eastAsia="Tahoma" w:hAnsi="Tahoma" w:cs="Tahoma"/>
              <w:color w:val="000000"/>
              <w:sz w:val="22"/>
              <w:szCs w:val="22"/>
            </w:rPr>
            <w:t>Data Entry and Updates</w:t>
          </w:r>
          <w:r>
            <w:rPr>
              <w:rFonts w:ascii="Tahoma" w:eastAsia="Tahoma" w:hAnsi="Tahoma" w:cs="Tahoma"/>
              <w:color w:val="000000"/>
              <w:sz w:val="22"/>
              <w:szCs w:val="22"/>
            </w:rPr>
            <w:tab/>
            <w:t>57</w:t>
          </w:r>
          <w:r>
            <w:fldChar w:fldCharType="end"/>
          </w:r>
        </w:p>
        <w:p w14:paraId="7493AA4F"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yznq6bgo01fg">
            <w:r>
              <w:rPr>
                <w:rFonts w:ascii="Tahoma" w:eastAsia="Tahoma" w:hAnsi="Tahoma" w:cs="Tahoma"/>
                <w:color w:val="000000"/>
                <w:sz w:val="22"/>
                <w:szCs w:val="22"/>
              </w:rPr>
              <w:t>7.4.</w:t>
            </w:r>
          </w:hyperlink>
          <w:hyperlink w:anchor="_yznq6bgo01fg">
            <w:r>
              <w:rPr>
                <w:rFonts w:ascii="Calibri" w:eastAsia="Calibri" w:hAnsi="Calibri" w:cs="Calibri"/>
                <w:color w:val="000000"/>
              </w:rPr>
              <w:tab/>
            </w:r>
          </w:hyperlink>
          <w:r>
            <w:fldChar w:fldCharType="begin"/>
          </w:r>
          <w:r>
            <w:instrText xml:space="preserve"> PAGEREF _yznq6bgo01fg \h </w:instrText>
          </w:r>
          <w:r>
            <w:fldChar w:fldCharType="separate"/>
          </w:r>
          <w:r>
            <w:rPr>
              <w:rFonts w:ascii="Tahoma" w:eastAsia="Tahoma" w:hAnsi="Tahoma" w:cs="Tahoma"/>
              <w:color w:val="000000"/>
              <w:sz w:val="22"/>
              <w:szCs w:val="22"/>
            </w:rPr>
            <w:t>Proxy Records</w:t>
          </w:r>
          <w:r>
            <w:rPr>
              <w:rFonts w:ascii="Tahoma" w:eastAsia="Tahoma" w:hAnsi="Tahoma" w:cs="Tahoma"/>
              <w:color w:val="000000"/>
              <w:sz w:val="22"/>
              <w:szCs w:val="22"/>
            </w:rPr>
            <w:tab/>
            <w:t>58</w:t>
          </w:r>
          <w:r>
            <w:fldChar w:fldCharType="end"/>
          </w:r>
        </w:p>
        <w:p w14:paraId="5FF997E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woqh8hmh1c2f">
            <w:r>
              <w:rPr>
                <w:rFonts w:ascii="Tahoma" w:eastAsia="Tahoma" w:hAnsi="Tahoma" w:cs="Tahoma"/>
                <w:color w:val="000000"/>
                <w:sz w:val="22"/>
                <w:szCs w:val="22"/>
              </w:rPr>
              <w:t>7.5.</w:t>
            </w:r>
          </w:hyperlink>
          <w:hyperlink w:anchor="_woqh8hmh1c2f">
            <w:r>
              <w:rPr>
                <w:rFonts w:ascii="Calibri" w:eastAsia="Calibri" w:hAnsi="Calibri" w:cs="Calibri"/>
                <w:color w:val="000000"/>
              </w:rPr>
              <w:tab/>
            </w:r>
          </w:hyperlink>
          <w:r>
            <w:fldChar w:fldCharType="begin"/>
          </w:r>
          <w:r>
            <w:instrText xml:space="preserve"> PAGEREF _woqh8hmh1c2f \h </w:instrText>
          </w:r>
          <w:r>
            <w:fldChar w:fldCharType="separate"/>
          </w:r>
          <w:r>
            <w:rPr>
              <w:rFonts w:ascii="Tahoma" w:eastAsia="Tahoma" w:hAnsi="Tahoma" w:cs="Tahoma"/>
              <w:color w:val="000000"/>
              <w:sz w:val="22"/>
              <w:szCs w:val="22"/>
            </w:rPr>
            <w:t>Data Storage for Security</w:t>
          </w:r>
          <w:r>
            <w:rPr>
              <w:rFonts w:ascii="Tahoma" w:eastAsia="Tahoma" w:hAnsi="Tahoma" w:cs="Tahoma"/>
              <w:color w:val="000000"/>
              <w:sz w:val="22"/>
              <w:szCs w:val="22"/>
            </w:rPr>
            <w:tab/>
            <w:t>58</w:t>
          </w:r>
          <w:r>
            <w:fldChar w:fldCharType="end"/>
          </w:r>
        </w:p>
        <w:p w14:paraId="0546496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560idokdbktz">
            <w:r>
              <w:rPr>
                <w:rFonts w:ascii="Tahoma" w:eastAsia="Tahoma" w:hAnsi="Tahoma" w:cs="Tahoma"/>
                <w:color w:val="000000"/>
                <w:sz w:val="22"/>
                <w:szCs w:val="22"/>
              </w:rPr>
              <w:t>7.6.</w:t>
            </w:r>
          </w:hyperlink>
          <w:hyperlink w:anchor="_560idokdbktz">
            <w:r>
              <w:rPr>
                <w:rFonts w:ascii="Calibri" w:eastAsia="Calibri" w:hAnsi="Calibri" w:cs="Calibri"/>
                <w:color w:val="000000"/>
              </w:rPr>
              <w:tab/>
            </w:r>
          </w:hyperlink>
          <w:r>
            <w:fldChar w:fldCharType="begin"/>
          </w:r>
          <w:r>
            <w:instrText xml:space="preserve"> PAGEREF _560idokdbktz \h </w:instrText>
          </w:r>
          <w:r>
            <w:fldChar w:fldCharType="separate"/>
          </w:r>
          <w:r>
            <w:rPr>
              <w:rFonts w:ascii="Tahoma" w:eastAsia="Tahoma" w:hAnsi="Tahoma" w:cs="Tahoma"/>
              <w:color w:val="000000"/>
              <w:sz w:val="22"/>
              <w:szCs w:val="22"/>
            </w:rPr>
            <w:t>Retention of Student Records</w:t>
          </w:r>
          <w:r>
            <w:rPr>
              <w:rFonts w:ascii="Tahoma" w:eastAsia="Tahoma" w:hAnsi="Tahoma" w:cs="Tahoma"/>
              <w:color w:val="000000"/>
              <w:sz w:val="22"/>
              <w:szCs w:val="22"/>
            </w:rPr>
            <w:tab/>
            <w:t>59</w:t>
          </w:r>
          <w:r>
            <w:fldChar w:fldCharType="end"/>
          </w:r>
        </w:p>
        <w:p w14:paraId="747B8468"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b57qcwe4y7ei">
            <w:r>
              <w:rPr>
                <w:rFonts w:ascii="Tahoma" w:eastAsia="Tahoma" w:hAnsi="Tahoma" w:cs="Tahoma"/>
                <w:color w:val="000000"/>
                <w:sz w:val="22"/>
                <w:szCs w:val="22"/>
              </w:rPr>
              <w:t>7.7.</w:t>
            </w:r>
          </w:hyperlink>
          <w:hyperlink w:anchor="_b57qcwe4y7ei">
            <w:r>
              <w:rPr>
                <w:rFonts w:ascii="Calibri" w:eastAsia="Calibri" w:hAnsi="Calibri" w:cs="Calibri"/>
                <w:color w:val="000000"/>
              </w:rPr>
              <w:tab/>
            </w:r>
          </w:hyperlink>
          <w:r>
            <w:fldChar w:fldCharType="begin"/>
          </w:r>
          <w:r>
            <w:instrText xml:space="preserve"> PAGEREF _b57qcwe4y7ei \h </w:instrText>
          </w:r>
          <w:r>
            <w:fldChar w:fldCharType="separate"/>
          </w:r>
          <w:r>
            <w:rPr>
              <w:rFonts w:ascii="Tahoma" w:eastAsia="Tahoma" w:hAnsi="Tahoma" w:cs="Tahoma"/>
              <w:color w:val="000000"/>
              <w:sz w:val="22"/>
              <w:szCs w:val="22"/>
            </w:rPr>
            <w:t>Data Quality Control</w:t>
          </w:r>
          <w:r>
            <w:rPr>
              <w:rFonts w:ascii="Tahoma" w:eastAsia="Tahoma" w:hAnsi="Tahoma" w:cs="Tahoma"/>
              <w:color w:val="000000"/>
              <w:sz w:val="22"/>
              <w:szCs w:val="22"/>
            </w:rPr>
            <w:tab/>
            <w:t>59</w:t>
          </w:r>
          <w:r>
            <w:fldChar w:fldCharType="end"/>
          </w:r>
        </w:p>
        <w:p w14:paraId="41937142"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fwu3j6mytioh">
            <w:r>
              <w:rPr>
                <w:rFonts w:ascii="Tahoma" w:eastAsia="Tahoma" w:hAnsi="Tahoma" w:cs="Tahoma"/>
                <w:color w:val="000000"/>
                <w:sz w:val="22"/>
                <w:szCs w:val="22"/>
              </w:rPr>
              <w:t>7.8.</w:t>
            </w:r>
          </w:hyperlink>
          <w:hyperlink w:anchor="_fwu3j6mytioh">
            <w:r>
              <w:rPr>
                <w:rFonts w:ascii="Calibri" w:eastAsia="Calibri" w:hAnsi="Calibri" w:cs="Calibri"/>
                <w:color w:val="000000"/>
              </w:rPr>
              <w:tab/>
            </w:r>
          </w:hyperlink>
          <w:r>
            <w:fldChar w:fldCharType="begin"/>
          </w:r>
          <w:r>
            <w:instrText xml:space="preserve"> PAGEREF _fwu3j6mytioh \h </w:instrText>
          </w:r>
          <w:r>
            <w:fldChar w:fldCharType="separate"/>
          </w:r>
          <w:r>
            <w:rPr>
              <w:rFonts w:ascii="Tahoma" w:eastAsia="Tahoma" w:hAnsi="Tahoma" w:cs="Tahoma"/>
              <w:color w:val="000000"/>
              <w:sz w:val="22"/>
              <w:szCs w:val="22"/>
            </w:rPr>
            <w:t>Data Quality Staff Training</w:t>
          </w:r>
          <w:r>
            <w:rPr>
              <w:rFonts w:ascii="Tahoma" w:eastAsia="Tahoma" w:hAnsi="Tahoma" w:cs="Tahoma"/>
              <w:color w:val="000000"/>
              <w:sz w:val="22"/>
              <w:szCs w:val="22"/>
            </w:rPr>
            <w:tab/>
            <w:t>59</w:t>
          </w:r>
          <w:r>
            <w:fldChar w:fldCharType="end"/>
          </w:r>
        </w:p>
        <w:p w14:paraId="506CC4F8" w14:textId="77777777" w:rsidR="00F8503D"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color w:val="000000"/>
            </w:rPr>
          </w:pPr>
          <w:hyperlink w:anchor="_h5l7iwpd8shf">
            <w:r>
              <w:rPr>
                <w:rFonts w:ascii="Tahoma" w:eastAsia="Tahoma" w:hAnsi="Tahoma" w:cs="Tahoma"/>
                <w:b/>
                <w:bCs/>
                <w:smallCaps/>
                <w:color w:val="000000"/>
              </w:rPr>
              <w:t>8.</w:t>
            </w:r>
          </w:hyperlink>
          <w:hyperlink w:anchor="_h5l7iwpd8shf">
            <w:r>
              <w:rPr>
                <w:rFonts w:ascii="Calibri" w:eastAsia="Calibri" w:hAnsi="Calibri" w:cs="Calibri"/>
                <w:color w:val="000000"/>
              </w:rPr>
              <w:tab/>
            </w:r>
          </w:hyperlink>
          <w:r>
            <w:fldChar w:fldCharType="begin"/>
          </w:r>
          <w:r>
            <w:instrText xml:space="preserve"> PAGEREF _h5l7iwpd8shf \h </w:instrText>
          </w:r>
          <w:r>
            <w:fldChar w:fldCharType="separate"/>
          </w:r>
          <w:r>
            <w:rPr>
              <w:rFonts w:ascii="Tahoma" w:eastAsia="Tahoma" w:hAnsi="Tahoma" w:cs="Tahoma"/>
              <w:b/>
              <w:bCs/>
              <w:smallCaps/>
              <w:color w:val="000000"/>
            </w:rPr>
            <w:t>Monitoring for Risk Management and Program Improvement</w:t>
          </w:r>
          <w:r>
            <w:rPr>
              <w:rFonts w:ascii="Tahoma" w:eastAsia="Tahoma" w:hAnsi="Tahoma" w:cs="Tahoma"/>
              <w:b/>
              <w:bCs/>
              <w:smallCaps/>
              <w:color w:val="000000"/>
            </w:rPr>
            <w:tab/>
            <w:t>60</w:t>
          </w:r>
          <w:r>
            <w:fldChar w:fldCharType="end"/>
          </w:r>
        </w:p>
        <w:p w14:paraId="77CD4FAF"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u7vk3qlgj472">
            <w:r>
              <w:rPr>
                <w:rFonts w:ascii="Tahoma" w:eastAsia="Tahoma" w:hAnsi="Tahoma" w:cs="Tahoma"/>
                <w:color w:val="000000"/>
                <w:sz w:val="22"/>
                <w:szCs w:val="22"/>
              </w:rPr>
              <w:t>8.1.</w:t>
            </w:r>
          </w:hyperlink>
          <w:hyperlink w:anchor="_u7vk3qlgj472">
            <w:r>
              <w:rPr>
                <w:rFonts w:ascii="Calibri" w:eastAsia="Calibri" w:hAnsi="Calibri" w:cs="Calibri"/>
                <w:color w:val="000000"/>
              </w:rPr>
              <w:tab/>
            </w:r>
          </w:hyperlink>
          <w:r>
            <w:fldChar w:fldCharType="begin"/>
          </w:r>
          <w:r>
            <w:instrText xml:space="preserve"> PAGEREF _u7vk3qlgj472 \h </w:instrText>
          </w:r>
          <w:r>
            <w:fldChar w:fldCharType="separate"/>
          </w:r>
          <w:r>
            <w:rPr>
              <w:rFonts w:ascii="Tahoma" w:eastAsia="Tahoma" w:hAnsi="Tahoma" w:cs="Tahoma"/>
              <w:color w:val="000000"/>
              <w:sz w:val="22"/>
              <w:szCs w:val="22"/>
            </w:rPr>
            <w:t>Risk Management</w:t>
          </w:r>
          <w:r>
            <w:rPr>
              <w:rFonts w:ascii="Tahoma" w:eastAsia="Tahoma" w:hAnsi="Tahoma" w:cs="Tahoma"/>
              <w:color w:val="000000"/>
              <w:sz w:val="22"/>
              <w:szCs w:val="22"/>
            </w:rPr>
            <w:tab/>
            <w:t>60</w:t>
          </w:r>
          <w:r>
            <w:fldChar w:fldCharType="end"/>
          </w:r>
        </w:p>
        <w:p w14:paraId="1A76D481"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mvdhwucyyfim">
            <w:r>
              <w:rPr>
                <w:rFonts w:ascii="Tahoma" w:eastAsia="Tahoma" w:hAnsi="Tahoma" w:cs="Tahoma"/>
                <w:color w:val="000000"/>
                <w:sz w:val="22"/>
                <w:szCs w:val="22"/>
              </w:rPr>
              <w:t>8.2.</w:t>
            </w:r>
          </w:hyperlink>
          <w:hyperlink w:anchor="_mvdhwucyyfim">
            <w:r>
              <w:rPr>
                <w:rFonts w:ascii="Calibri" w:eastAsia="Calibri" w:hAnsi="Calibri" w:cs="Calibri"/>
                <w:color w:val="000000"/>
              </w:rPr>
              <w:tab/>
            </w:r>
          </w:hyperlink>
          <w:r>
            <w:fldChar w:fldCharType="begin"/>
          </w:r>
          <w:r>
            <w:instrText xml:space="preserve"> PAGEREF _mvdhwucyyfim \h </w:instrText>
          </w:r>
          <w:r>
            <w:fldChar w:fldCharType="separate"/>
          </w:r>
          <w:r>
            <w:rPr>
              <w:rFonts w:ascii="Tahoma" w:eastAsia="Tahoma" w:hAnsi="Tahoma" w:cs="Tahoma"/>
              <w:color w:val="000000"/>
              <w:sz w:val="22"/>
              <w:szCs w:val="22"/>
            </w:rPr>
            <w:t>Risk Assessment</w:t>
          </w:r>
          <w:r>
            <w:rPr>
              <w:rFonts w:ascii="Tahoma" w:eastAsia="Tahoma" w:hAnsi="Tahoma" w:cs="Tahoma"/>
              <w:color w:val="000000"/>
              <w:sz w:val="22"/>
              <w:szCs w:val="22"/>
            </w:rPr>
            <w:tab/>
            <w:t>61</w:t>
          </w:r>
          <w:r>
            <w:fldChar w:fldCharType="end"/>
          </w:r>
        </w:p>
        <w:p w14:paraId="5BC309F1"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s8axy7ld1rp5">
            <w:r>
              <w:rPr>
                <w:rFonts w:ascii="Tahoma" w:eastAsia="Tahoma" w:hAnsi="Tahoma" w:cs="Tahoma"/>
                <w:color w:val="000000"/>
                <w:sz w:val="22"/>
                <w:szCs w:val="22"/>
              </w:rPr>
              <w:t>8.3.</w:t>
            </w:r>
          </w:hyperlink>
          <w:hyperlink w:anchor="_s8axy7ld1rp5">
            <w:r>
              <w:rPr>
                <w:rFonts w:ascii="Calibri" w:eastAsia="Calibri" w:hAnsi="Calibri" w:cs="Calibri"/>
                <w:color w:val="000000"/>
              </w:rPr>
              <w:tab/>
            </w:r>
          </w:hyperlink>
          <w:r>
            <w:fldChar w:fldCharType="begin"/>
          </w:r>
          <w:r>
            <w:instrText xml:space="preserve"> PAGEREF _s8axy7ld1rp5 \h </w:instrText>
          </w:r>
          <w:r>
            <w:fldChar w:fldCharType="separate"/>
          </w:r>
          <w:r>
            <w:rPr>
              <w:rFonts w:ascii="Tahoma" w:eastAsia="Tahoma" w:hAnsi="Tahoma" w:cs="Tahoma"/>
              <w:color w:val="000000"/>
              <w:sz w:val="22"/>
              <w:szCs w:val="22"/>
            </w:rPr>
            <w:t>State Monitoring Activities</w:t>
          </w:r>
          <w:r>
            <w:rPr>
              <w:rFonts w:ascii="Tahoma" w:eastAsia="Tahoma" w:hAnsi="Tahoma" w:cs="Tahoma"/>
              <w:color w:val="000000"/>
              <w:sz w:val="22"/>
              <w:szCs w:val="22"/>
            </w:rPr>
            <w:tab/>
            <w:t>62</w:t>
          </w:r>
          <w:r>
            <w:fldChar w:fldCharType="end"/>
          </w:r>
        </w:p>
        <w:p w14:paraId="64613B6A"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41b0891ucsa4">
            <w:r>
              <w:rPr>
                <w:rFonts w:ascii="Tahoma" w:eastAsia="Tahoma" w:hAnsi="Tahoma" w:cs="Tahoma"/>
                <w:color w:val="000000"/>
                <w:sz w:val="22"/>
                <w:szCs w:val="22"/>
              </w:rPr>
              <w:t>8.4.</w:t>
            </w:r>
          </w:hyperlink>
          <w:hyperlink w:anchor="_41b0891ucsa4">
            <w:r>
              <w:rPr>
                <w:rFonts w:ascii="Calibri" w:eastAsia="Calibri" w:hAnsi="Calibri" w:cs="Calibri"/>
                <w:color w:val="000000"/>
              </w:rPr>
              <w:tab/>
            </w:r>
          </w:hyperlink>
          <w:r>
            <w:fldChar w:fldCharType="begin"/>
          </w:r>
          <w:r>
            <w:instrText xml:space="preserve"> PAGEREF _41b0891ucsa4 \h </w:instrText>
          </w:r>
          <w:r>
            <w:fldChar w:fldCharType="separate"/>
          </w:r>
          <w:r>
            <w:rPr>
              <w:rFonts w:ascii="Tahoma" w:eastAsia="Tahoma" w:hAnsi="Tahoma" w:cs="Tahoma"/>
              <w:color w:val="000000"/>
              <w:sz w:val="22"/>
              <w:szCs w:val="22"/>
            </w:rPr>
            <w:t>Plans of Corrective Action and Technical Assistance</w:t>
          </w:r>
          <w:r>
            <w:rPr>
              <w:rFonts w:ascii="Tahoma" w:eastAsia="Tahoma" w:hAnsi="Tahoma" w:cs="Tahoma"/>
              <w:color w:val="000000"/>
              <w:sz w:val="22"/>
              <w:szCs w:val="22"/>
            </w:rPr>
            <w:tab/>
            <w:t>63</w:t>
          </w:r>
          <w:r>
            <w:fldChar w:fldCharType="end"/>
          </w:r>
        </w:p>
        <w:p w14:paraId="01313BAF" w14:textId="77777777" w:rsidR="00F8503D" w:rsidRDefault="0033067D">
          <w:pPr>
            <w:pBdr>
              <w:top w:val="nil"/>
              <w:left w:val="nil"/>
              <w:bottom w:val="nil"/>
              <w:right w:val="nil"/>
              <w:between w:val="nil"/>
            </w:pBdr>
            <w:tabs>
              <w:tab w:val="left" w:pos="360"/>
              <w:tab w:val="right" w:pos="9350"/>
            </w:tabs>
            <w:spacing w:before="120" w:after="120"/>
            <w:ind w:left="288" w:hanging="288"/>
            <w:rPr>
              <w:rFonts w:ascii="Calibri" w:eastAsia="Calibri" w:hAnsi="Calibri" w:cs="Calibri"/>
              <w:color w:val="000000"/>
            </w:rPr>
          </w:pPr>
          <w:hyperlink w:anchor="_6f9t7ejmb75z">
            <w:r>
              <w:rPr>
                <w:rFonts w:ascii="Tahoma" w:eastAsia="Tahoma" w:hAnsi="Tahoma" w:cs="Tahoma"/>
                <w:b/>
                <w:bCs/>
                <w:smallCaps/>
                <w:color w:val="000000"/>
              </w:rPr>
              <w:t>9.</w:t>
            </w:r>
          </w:hyperlink>
          <w:hyperlink w:anchor="_6f9t7ejmb75z">
            <w:r>
              <w:rPr>
                <w:rFonts w:ascii="Calibri" w:eastAsia="Calibri" w:hAnsi="Calibri" w:cs="Calibri"/>
                <w:color w:val="000000"/>
              </w:rPr>
              <w:tab/>
            </w:r>
          </w:hyperlink>
          <w:r>
            <w:fldChar w:fldCharType="begin"/>
          </w:r>
          <w:r>
            <w:instrText xml:space="preserve"> PAGEREF _6f9t7ejmb75z \h </w:instrText>
          </w:r>
          <w:r>
            <w:fldChar w:fldCharType="separate"/>
          </w:r>
          <w:r>
            <w:rPr>
              <w:rFonts w:ascii="Tahoma" w:eastAsia="Tahoma" w:hAnsi="Tahoma" w:cs="Tahoma"/>
              <w:b/>
              <w:bCs/>
              <w:smallCaps/>
              <w:color w:val="000000"/>
            </w:rPr>
            <w:t>Financial Information</w:t>
          </w:r>
          <w:r>
            <w:rPr>
              <w:rFonts w:ascii="Tahoma" w:eastAsia="Tahoma" w:hAnsi="Tahoma" w:cs="Tahoma"/>
              <w:b/>
              <w:bCs/>
              <w:smallCaps/>
              <w:color w:val="000000"/>
            </w:rPr>
            <w:tab/>
            <w:t>65</w:t>
          </w:r>
          <w:r>
            <w:fldChar w:fldCharType="end"/>
          </w:r>
        </w:p>
        <w:p w14:paraId="58CB6ACF"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lzzv2sn4cyg">
            <w:r>
              <w:rPr>
                <w:rFonts w:ascii="Tahoma" w:eastAsia="Tahoma" w:hAnsi="Tahoma" w:cs="Tahoma"/>
                <w:color w:val="000000"/>
                <w:sz w:val="22"/>
                <w:szCs w:val="22"/>
              </w:rPr>
              <w:t>9.1.</w:t>
            </w:r>
          </w:hyperlink>
          <w:hyperlink w:anchor="_lzzv2sn4cyg">
            <w:r>
              <w:rPr>
                <w:rFonts w:ascii="Calibri" w:eastAsia="Calibri" w:hAnsi="Calibri" w:cs="Calibri"/>
                <w:color w:val="000000"/>
              </w:rPr>
              <w:tab/>
            </w:r>
          </w:hyperlink>
          <w:r>
            <w:fldChar w:fldCharType="begin"/>
          </w:r>
          <w:r>
            <w:instrText xml:space="preserve"> PAGEREF _lzzv2sn4cyg \h </w:instrText>
          </w:r>
          <w:r>
            <w:fldChar w:fldCharType="separate"/>
          </w:r>
          <w:r>
            <w:rPr>
              <w:rFonts w:ascii="Tahoma" w:eastAsia="Tahoma" w:hAnsi="Tahoma" w:cs="Tahoma"/>
              <w:color w:val="000000"/>
              <w:sz w:val="22"/>
              <w:szCs w:val="22"/>
            </w:rPr>
            <w:t>Allowable Activities</w:t>
          </w:r>
          <w:r>
            <w:rPr>
              <w:rFonts w:ascii="Tahoma" w:eastAsia="Tahoma" w:hAnsi="Tahoma" w:cs="Tahoma"/>
              <w:color w:val="000000"/>
              <w:sz w:val="22"/>
              <w:szCs w:val="22"/>
            </w:rPr>
            <w:tab/>
            <w:t>65</w:t>
          </w:r>
          <w:r>
            <w:fldChar w:fldCharType="end"/>
          </w:r>
        </w:p>
        <w:p w14:paraId="0ECD76EC"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68lt9wokxxc1">
            <w:r>
              <w:rPr>
                <w:rFonts w:ascii="Tahoma" w:eastAsia="Tahoma" w:hAnsi="Tahoma" w:cs="Tahoma"/>
                <w:color w:val="000000"/>
                <w:sz w:val="22"/>
                <w:szCs w:val="22"/>
              </w:rPr>
              <w:t>9.2.</w:t>
            </w:r>
          </w:hyperlink>
          <w:hyperlink w:anchor="_68lt9wokxxc1">
            <w:r>
              <w:rPr>
                <w:rFonts w:ascii="Calibri" w:eastAsia="Calibri" w:hAnsi="Calibri" w:cs="Calibri"/>
                <w:color w:val="000000"/>
              </w:rPr>
              <w:tab/>
            </w:r>
          </w:hyperlink>
          <w:r>
            <w:fldChar w:fldCharType="begin"/>
          </w:r>
          <w:r>
            <w:instrText xml:space="preserve"> PAGEREF _68lt9wokxxc1 \h </w:instrText>
          </w:r>
          <w:r>
            <w:fldChar w:fldCharType="separate"/>
          </w:r>
          <w:r>
            <w:rPr>
              <w:rFonts w:ascii="Tahoma" w:eastAsia="Tahoma" w:hAnsi="Tahoma" w:cs="Tahoma"/>
              <w:color w:val="000000"/>
              <w:sz w:val="22"/>
              <w:szCs w:val="22"/>
            </w:rPr>
            <w:t>Allowable Costs</w:t>
          </w:r>
          <w:r>
            <w:rPr>
              <w:rFonts w:ascii="Tahoma" w:eastAsia="Tahoma" w:hAnsi="Tahoma" w:cs="Tahoma"/>
              <w:color w:val="000000"/>
              <w:sz w:val="22"/>
              <w:szCs w:val="22"/>
            </w:rPr>
            <w:tab/>
            <w:t>65</w:t>
          </w:r>
          <w:r>
            <w:fldChar w:fldCharType="end"/>
          </w:r>
        </w:p>
        <w:p w14:paraId="7B57F401"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ptqsjs7x1093">
            <w:r>
              <w:rPr>
                <w:rFonts w:ascii="Tahoma" w:eastAsia="Tahoma" w:hAnsi="Tahoma" w:cs="Tahoma"/>
                <w:color w:val="000000"/>
                <w:sz w:val="22"/>
                <w:szCs w:val="22"/>
              </w:rPr>
              <w:t>9.3.</w:t>
            </w:r>
          </w:hyperlink>
          <w:hyperlink w:anchor="_ptqsjs7x1093">
            <w:r>
              <w:rPr>
                <w:rFonts w:ascii="Calibri" w:eastAsia="Calibri" w:hAnsi="Calibri" w:cs="Calibri"/>
                <w:color w:val="000000"/>
              </w:rPr>
              <w:tab/>
            </w:r>
          </w:hyperlink>
          <w:r>
            <w:fldChar w:fldCharType="begin"/>
          </w:r>
          <w:r>
            <w:instrText xml:space="preserve"> PAGEREF _ptqsjs7x1093 \h </w:instrText>
          </w:r>
          <w:r>
            <w:fldChar w:fldCharType="separate"/>
          </w:r>
          <w:r>
            <w:rPr>
              <w:rFonts w:ascii="Tahoma" w:eastAsia="Tahoma" w:hAnsi="Tahoma" w:cs="Tahoma"/>
              <w:color w:val="000000"/>
              <w:sz w:val="22"/>
              <w:szCs w:val="22"/>
            </w:rPr>
            <w:t>Unallowable Costs</w:t>
          </w:r>
          <w:r>
            <w:rPr>
              <w:rFonts w:ascii="Tahoma" w:eastAsia="Tahoma" w:hAnsi="Tahoma" w:cs="Tahoma"/>
              <w:color w:val="000000"/>
              <w:sz w:val="22"/>
              <w:szCs w:val="22"/>
            </w:rPr>
            <w:tab/>
            <w:t>66</w:t>
          </w:r>
          <w:r>
            <w:fldChar w:fldCharType="end"/>
          </w:r>
        </w:p>
        <w:p w14:paraId="7838B402"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c8p04tgkslbz">
            <w:r>
              <w:rPr>
                <w:rFonts w:ascii="Tahoma" w:eastAsia="Tahoma" w:hAnsi="Tahoma" w:cs="Tahoma"/>
                <w:color w:val="000000"/>
                <w:sz w:val="22"/>
                <w:szCs w:val="22"/>
              </w:rPr>
              <w:t>9.4.</w:t>
            </w:r>
          </w:hyperlink>
          <w:hyperlink w:anchor="_c8p04tgkslbz">
            <w:r>
              <w:rPr>
                <w:rFonts w:ascii="Calibri" w:eastAsia="Calibri" w:hAnsi="Calibri" w:cs="Calibri"/>
                <w:color w:val="000000"/>
              </w:rPr>
              <w:tab/>
            </w:r>
          </w:hyperlink>
          <w:r>
            <w:fldChar w:fldCharType="begin"/>
          </w:r>
          <w:r>
            <w:instrText xml:space="preserve"> PAGEREF _c8p04tgkslbz \h </w:instrText>
          </w:r>
          <w:r>
            <w:fldChar w:fldCharType="separate"/>
          </w:r>
          <w:r>
            <w:rPr>
              <w:rFonts w:ascii="Tahoma" w:eastAsia="Tahoma" w:hAnsi="Tahoma" w:cs="Tahoma"/>
              <w:color w:val="000000"/>
              <w:sz w:val="22"/>
              <w:szCs w:val="22"/>
            </w:rPr>
            <w:t>Capital Outlays</w:t>
          </w:r>
          <w:r>
            <w:rPr>
              <w:rFonts w:ascii="Tahoma" w:eastAsia="Tahoma" w:hAnsi="Tahoma" w:cs="Tahoma"/>
              <w:color w:val="000000"/>
              <w:sz w:val="22"/>
              <w:szCs w:val="22"/>
            </w:rPr>
            <w:tab/>
            <w:t>67</w:t>
          </w:r>
          <w:r>
            <w:fldChar w:fldCharType="end"/>
          </w:r>
        </w:p>
        <w:p w14:paraId="325EB56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g3ezgzqewjuw">
            <w:r>
              <w:rPr>
                <w:rFonts w:ascii="Tahoma" w:eastAsia="Tahoma" w:hAnsi="Tahoma" w:cs="Tahoma"/>
                <w:color w:val="000000"/>
                <w:sz w:val="22"/>
                <w:szCs w:val="22"/>
              </w:rPr>
              <w:t>9.5.</w:t>
            </w:r>
          </w:hyperlink>
          <w:hyperlink w:anchor="_g3ezgzqewjuw">
            <w:r>
              <w:rPr>
                <w:rFonts w:ascii="Calibri" w:eastAsia="Calibri" w:hAnsi="Calibri" w:cs="Calibri"/>
                <w:color w:val="000000"/>
              </w:rPr>
              <w:tab/>
            </w:r>
          </w:hyperlink>
          <w:r>
            <w:fldChar w:fldCharType="begin"/>
          </w:r>
          <w:r>
            <w:instrText xml:space="preserve"> PAGEREF _g3ezgzqewjuw \h </w:instrText>
          </w:r>
          <w:r>
            <w:fldChar w:fldCharType="separate"/>
          </w:r>
          <w:r>
            <w:rPr>
              <w:rFonts w:ascii="Tahoma" w:eastAsia="Tahoma" w:hAnsi="Tahoma" w:cs="Tahoma"/>
              <w:color w:val="000000"/>
              <w:sz w:val="22"/>
              <w:szCs w:val="22"/>
            </w:rPr>
            <w:t>Supplies</w:t>
          </w:r>
          <w:r>
            <w:rPr>
              <w:rFonts w:ascii="Tahoma" w:eastAsia="Tahoma" w:hAnsi="Tahoma" w:cs="Tahoma"/>
              <w:color w:val="000000"/>
              <w:sz w:val="22"/>
              <w:szCs w:val="22"/>
            </w:rPr>
            <w:tab/>
            <w:t>68</w:t>
          </w:r>
          <w:r>
            <w:fldChar w:fldCharType="end"/>
          </w:r>
        </w:p>
        <w:p w14:paraId="7662E472"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8h3n3six91gz">
            <w:r>
              <w:rPr>
                <w:rFonts w:ascii="Tahoma" w:eastAsia="Tahoma" w:hAnsi="Tahoma" w:cs="Tahoma"/>
                <w:color w:val="000000"/>
                <w:sz w:val="22"/>
                <w:szCs w:val="22"/>
              </w:rPr>
              <w:t>9.6.</w:t>
            </w:r>
          </w:hyperlink>
          <w:hyperlink w:anchor="_8h3n3six91gz">
            <w:r>
              <w:rPr>
                <w:rFonts w:ascii="Calibri" w:eastAsia="Calibri" w:hAnsi="Calibri" w:cs="Calibri"/>
                <w:color w:val="000000"/>
              </w:rPr>
              <w:tab/>
            </w:r>
          </w:hyperlink>
          <w:r>
            <w:fldChar w:fldCharType="begin"/>
          </w:r>
          <w:r>
            <w:instrText xml:space="preserve"> PAGEREF _8h3n3six91gz \h </w:instrText>
          </w:r>
          <w:r>
            <w:fldChar w:fldCharType="separate"/>
          </w:r>
          <w:r>
            <w:rPr>
              <w:rFonts w:ascii="Tahoma" w:eastAsia="Tahoma" w:hAnsi="Tahoma" w:cs="Tahoma"/>
              <w:color w:val="000000"/>
              <w:sz w:val="22"/>
              <w:szCs w:val="22"/>
            </w:rPr>
            <w:t>Supplement Not Supplant</w:t>
          </w:r>
          <w:r>
            <w:rPr>
              <w:rFonts w:ascii="Tahoma" w:eastAsia="Tahoma" w:hAnsi="Tahoma" w:cs="Tahoma"/>
              <w:color w:val="000000"/>
              <w:sz w:val="22"/>
              <w:szCs w:val="22"/>
            </w:rPr>
            <w:tab/>
            <w:t>68</w:t>
          </w:r>
          <w:r>
            <w:fldChar w:fldCharType="end"/>
          </w:r>
        </w:p>
        <w:p w14:paraId="4AE2DF0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w3w12hih5aum">
            <w:r>
              <w:rPr>
                <w:rFonts w:ascii="Tahoma" w:eastAsia="Tahoma" w:hAnsi="Tahoma" w:cs="Tahoma"/>
                <w:color w:val="000000"/>
                <w:sz w:val="22"/>
                <w:szCs w:val="22"/>
              </w:rPr>
              <w:t>9.7.</w:t>
            </w:r>
          </w:hyperlink>
          <w:hyperlink w:anchor="_w3w12hih5aum">
            <w:r>
              <w:rPr>
                <w:rFonts w:ascii="Calibri" w:eastAsia="Calibri" w:hAnsi="Calibri" w:cs="Calibri"/>
                <w:color w:val="000000"/>
              </w:rPr>
              <w:tab/>
            </w:r>
          </w:hyperlink>
          <w:r>
            <w:fldChar w:fldCharType="begin"/>
          </w:r>
          <w:r>
            <w:instrText xml:space="preserve"> PAGEREF _w3w12hih5aum \h </w:instrText>
          </w:r>
          <w:r>
            <w:fldChar w:fldCharType="separate"/>
          </w:r>
          <w:r>
            <w:rPr>
              <w:rFonts w:ascii="Tahoma" w:eastAsia="Tahoma" w:hAnsi="Tahoma" w:cs="Tahoma"/>
              <w:color w:val="000000"/>
              <w:sz w:val="22"/>
              <w:szCs w:val="22"/>
            </w:rPr>
            <w:t>Match</w:t>
          </w:r>
          <w:r>
            <w:rPr>
              <w:rFonts w:ascii="Tahoma" w:eastAsia="Tahoma" w:hAnsi="Tahoma" w:cs="Tahoma"/>
              <w:color w:val="000000"/>
              <w:sz w:val="22"/>
              <w:szCs w:val="22"/>
            </w:rPr>
            <w:tab/>
            <w:t>69</w:t>
          </w:r>
          <w:r>
            <w:fldChar w:fldCharType="end"/>
          </w:r>
        </w:p>
        <w:p w14:paraId="7C93D674"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ybwtbxrzmib5">
            <w:r>
              <w:rPr>
                <w:rFonts w:ascii="Tahoma" w:eastAsia="Tahoma" w:hAnsi="Tahoma" w:cs="Tahoma"/>
                <w:color w:val="000000"/>
                <w:sz w:val="22"/>
                <w:szCs w:val="22"/>
              </w:rPr>
              <w:t>9.8.</w:t>
            </w:r>
          </w:hyperlink>
          <w:hyperlink w:anchor="_ybwtbxrzmib5">
            <w:r>
              <w:rPr>
                <w:rFonts w:ascii="Calibri" w:eastAsia="Calibri" w:hAnsi="Calibri" w:cs="Calibri"/>
                <w:color w:val="000000"/>
              </w:rPr>
              <w:tab/>
            </w:r>
          </w:hyperlink>
          <w:r>
            <w:fldChar w:fldCharType="begin"/>
          </w:r>
          <w:r>
            <w:instrText xml:space="preserve"> PAGEREF _ybwtbxrzmib5 \h </w:instrText>
          </w:r>
          <w:r>
            <w:fldChar w:fldCharType="separate"/>
          </w:r>
          <w:r>
            <w:rPr>
              <w:rFonts w:ascii="Tahoma" w:eastAsia="Tahoma" w:hAnsi="Tahoma" w:cs="Tahoma"/>
              <w:color w:val="000000"/>
              <w:sz w:val="22"/>
              <w:szCs w:val="22"/>
            </w:rPr>
            <w:t>Maintenance of Effort</w:t>
          </w:r>
          <w:r>
            <w:rPr>
              <w:rFonts w:ascii="Tahoma" w:eastAsia="Tahoma" w:hAnsi="Tahoma" w:cs="Tahoma"/>
              <w:color w:val="000000"/>
              <w:sz w:val="22"/>
              <w:szCs w:val="22"/>
            </w:rPr>
            <w:tab/>
            <w:t>69</w:t>
          </w:r>
          <w:r>
            <w:fldChar w:fldCharType="end"/>
          </w:r>
        </w:p>
        <w:p w14:paraId="4E970D16"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6nra8es6igoi">
            <w:r>
              <w:rPr>
                <w:rFonts w:ascii="Tahoma" w:eastAsia="Tahoma" w:hAnsi="Tahoma" w:cs="Tahoma"/>
                <w:color w:val="000000"/>
                <w:sz w:val="22"/>
                <w:szCs w:val="22"/>
              </w:rPr>
              <w:t>9.9.</w:t>
            </w:r>
          </w:hyperlink>
          <w:hyperlink w:anchor="_6nra8es6igoi">
            <w:r>
              <w:rPr>
                <w:rFonts w:ascii="Calibri" w:eastAsia="Calibri" w:hAnsi="Calibri" w:cs="Calibri"/>
                <w:color w:val="000000"/>
              </w:rPr>
              <w:tab/>
            </w:r>
          </w:hyperlink>
          <w:r>
            <w:fldChar w:fldCharType="begin"/>
          </w:r>
          <w:r>
            <w:instrText xml:space="preserve"> PAGEREF _6nra8es6igoi \h </w:instrText>
          </w:r>
          <w:r>
            <w:fldChar w:fldCharType="separate"/>
          </w:r>
          <w:r>
            <w:rPr>
              <w:rFonts w:ascii="Tahoma" w:eastAsia="Tahoma" w:hAnsi="Tahoma" w:cs="Tahoma"/>
              <w:color w:val="000000"/>
              <w:sz w:val="22"/>
              <w:szCs w:val="22"/>
            </w:rPr>
            <w:t>Program Income: Fees, Tuition, and Other Program Income</w:t>
          </w:r>
          <w:r>
            <w:rPr>
              <w:rFonts w:ascii="Tahoma" w:eastAsia="Tahoma" w:hAnsi="Tahoma" w:cs="Tahoma"/>
              <w:color w:val="000000"/>
              <w:sz w:val="22"/>
              <w:szCs w:val="22"/>
            </w:rPr>
            <w:tab/>
            <w:t>70</w:t>
          </w:r>
          <w:r>
            <w:fldChar w:fldCharType="end"/>
          </w:r>
        </w:p>
        <w:p w14:paraId="13DDE308"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qc8ym5frq5ox">
            <w:r>
              <w:rPr>
                <w:rFonts w:ascii="Tahoma" w:eastAsia="Tahoma" w:hAnsi="Tahoma" w:cs="Tahoma"/>
                <w:color w:val="000000"/>
                <w:sz w:val="22"/>
                <w:szCs w:val="22"/>
              </w:rPr>
              <w:t>9.10.</w:t>
            </w:r>
          </w:hyperlink>
          <w:hyperlink w:anchor="_qc8ym5frq5ox">
            <w:r>
              <w:rPr>
                <w:rFonts w:ascii="Calibri" w:eastAsia="Calibri" w:hAnsi="Calibri" w:cs="Calibri"/>
                <w:color w:val="000000"/>
              </w:rPr>
              <w:tab/>
            </w:r>
          </w:hyperlink>
          <w:r>
            <w:fldChar w:fldCharType="begin"/>
          </w:r>
          <w:r>
            <w:instrText xml:space="preserve"> PAGEREF _qc8ym5frq5ox \h </w:instrText>
          </w:r>
          <w:r>
            <w:fldChar w:fldCharType="separate"/>
          </w:r>
          <w:r>
            <w:rPr>
              <w:rFonts w:ascii="Tahoma" w:eastAsia="Tahoma" w:hAnsi="Tahoma" w:cs="Tahoma"/>
              <w:color w:val="000000"/>
              <w:sz w:val="22"/>
              <w:szCs w:val="22"/>
            </w:rPr>
            <w:t>Cost Sharing</w:t>
          </w:r>
          <w:r>
            <w:rPr>
              <w:rFonts w:ascii="Tahoma" w:eastAsia="Tahoma" w:hAnsi="Tahoma" w:cs="Tahoma"/>
              <w:color w:val="000000"/>
              <w:sz w:val="22"/>
              <w:szCs w:val="22"/>
            </w:rPr>
            <w:tab/>
            <w:t>72</w:t>
          </w:r>
          <w:r>
            <w:fldChar w:fldCharType="end"/>
          </w:r>
        </w:p>
        <w:p w14:paraId="425B5BCF"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w6wpc4e42be0">
            <w:r>
              <w:rPr>
                <w:rFonts w:ascii="Tahoma" w:eastAsia="Tahoma" w:hAnsi="Tahoma" w:cs="Tahoma"/>
                <w:color w:val="000000"/>
                <w:sz w:val="22"/>
                <w:szCs w:val="22"/>
              </w:rPr>
              <w:t>9.11.</w:t>
            </w:r>
          </w:hyperlink>
          <w:hyperlink w:anchor="_w6wpc4e42be0">
            <w:r>
              <w:rPr>
                <w:rFonts w:ascii="Calibri" w:eastAsia="Calibri" w:hAnsi="Calibri" w:cs="Calibri"/>
                <w:color w:val="000000"/>
              </w:rPr>
              <w:tab/>
            </w:r>
          </w:hyperlink>
          <w:r>
            <w:fldChar w:fldCharType="begin"/>
          </w:r>
          <w:r>
            <w:instrText xml:space="preserve"> PAGEREF _w6wpc4e42be0 \h </w:instrText>
          </w:r>
          <w:r>
            <w:fldChar w:fldCharType="separate"/>
          </w:r>
          <w:r>
            <w:rPr>
              <w:rFonts w:ascii="Tahoma" w:eastAsia="Tahoma" w:hAnsi="Tahoma" w:cs="Tahoma"/>
              <w:color w:val="000000"/>
              <w:sz w:val="22"/>
              <w:szCs w:val="22"/>
            </w:rPr>
            <w:t>Time and Effort Reporting</w:t>
          </w:r>
          <w:r>
            <w:rPr>
              <w:rFonts w:ascii="Tahoma" w:eastAsia="Tahoma" w:hAnsi="Tahoma" w:cs="Tahoma"/>
              <w:color w:val="000000"/>
              <w:sz w:val="22"/>
              <w:szCs w:val="22"/>
            </w:rPr>
            <w:tab/>
            <w:t>73</w:t>
          </w:r>
          <w:r>
            <w:fldChar w:fldCharType="end"/>
          </w:r>
        </w:p>
        <w:p w14:paraId="45DDECF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cj9m01ehohut">
            <w:r>
              <w:rPr>
                <w:rFonts w:ascii="Tahoma" w:eastAsia="Tahoma" w:hAnsi="Tahoma" w:cs="Tahoma"/>
                <w:color w:val="000000"/>
                <w:sz w:val="22"/>
                <w:szCs w:val="22"/>
              </w:rPr>
              <w:t>9.12.</w:t>
            </w:r>
          </w:hyperlink>
          <w:hyperlink w:anchor="_cj9m01ehohut">
            <w:r>
              <w:rPr>
                <w:rFonts w:ascii="Calibri" w:eastAsia="Calibri" w:hAnsi="Calibri" w:cs="Calibri"/>
                <w:color w:val="000000"/>
              </w:rPr>
              <w:tab/>
            </w:r>
          </w:hyperlink>
          <w:r>
            <w:fldChar w:fldCharType="begin"/>
          </w:r>
          <w:r>
            <w:instrText xml:space="preserve"> PAGEREF _cj9m01ehohut \h </w:instrText>
          </w:r>
          <w:r>
            <w:fldChar w:fldCharType="separate"/>
          </w:r>
          <w:r>
            <w:rPr>
              <w:rFonts w:ascii="Tahoma" w:eastAsia="Tahoma" w:hAnsi="Tahoma" w:cs="Tahoma"/>
              <w:color w:val="000000"/>
              <w:sz w:val="22"/>
              <w:szCs w:val="22"/>
            </w:rPr>
            <w:t>Oregon ABS Assurances</w:t>
          </w:r>
          <w:r>
            <w:rPr>
              <w:rFonts w:ascii="Tahoma" w:eastAsia="Tahoma" w:hAnsi="Tahoma" w:cs="Tahoma"/>
              <w:color w:val="000000"/>
              <w:sz w:val="22"/>
              <w:szCs w:val="22"/>
            </w:rPr>
            <w:tab/>
            <w:t>73</w:t>
          </w:r>
          <w:r>
            <w:fldChar w:fldCharType="end"/>
          </w:r>
        </w:p>
        <w:p w14:paraId="6DD9891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wcd033mh1qbh">
            <w:r>
              <w:rPr>
                <w:rFonts w:ascii="Tahoma" w:eastAsia="Tahoma" w:hAnsi="Tahoma" w:cs="Tahoma"/>
                <w:color w:val="000000"/>
                <w:sz w:val="22"/>
                <w:szCs w:val="22"/>
              </w:rPr>
              <w:t>9.13.</w:t>
            </w:r>
          </w:hyperlink>
          <w:hyperlink w:anchor="_wcd033mh1qbh">
            <w:r>
              <w:rPr>
                <w:rFonts w:ascii="Calibri" w:eastAsia="Calibri" w:hAnsi="Calibri" w:cs="Calibri"/>
                <w:color w:val="000000"/>
              </w:rPr>
              <w:tab/>
            </w:r>
          </w:hyperlink>
          <w:r>
            <w:fldChar w:fldCharType="begin"/>
          </w:r>
          <w:r>
            <w:instrText xml:space="preserve"> PAGEREF _wcd033mh1qbh \h </w:instrText>
          </w:r>
          <w:r>
            <w:fldChar w:fldCharType="separate"/>
          </w:r>
          <w:r>
            <w:rPr>
              <w:rFonts w:ascii="Tahoma" w:eastAsia="Tahoma" w:hAnsi="Tahoma" w:cs="Tahoma"/>
              <w:color w:val="000000"/>
              <w:sz w:val="22"/>
              <w:szCs w:val="22"/>
            </w:rPr>
            <w:t>Federal Certifications</w:t>
          </w:r>
          <w:r>
            <w:rPr>
              <w:rFonts w:ascii="Tahoma" w:eastAsia="Tahoma" w:hAnsi="Tahoma" w:cs="Tahoma"/>
              <w:color w:val="000000"/>
              <w:sz w:val="22"/>
              <w:szCs w:val="22"/>
            </w:rPr>
            <w:tab/>
            <w:t>73</w:t>
          </w:r>
          <w:r>
            <w:fldChar w:fldCharType="end"/>
          </w:r>
        </w:p>
        <w:p w14:paraId="4D6E0A41"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ub2gu95fwkci">
            <w:r>
              <w:rPr>
                <w:rFonts w:ascii="Tahoma" w:eastAsia="Tahoma" w:hAnsi="Tahoma" w:cs="Tahoma"/>
                <w:color w:val="000000"/>
                <w:sz w:val="22"/>
                <w:szCs w:val="22"/>
              </w:rPr>
              <w:t>9.14.</w:t>
            </w:r>
          </w:hyperlink>
          <w:hyperlink w:anchor="_ub2gu95fwkci">
            <w:r>
              <w:rPr>
                <w:rFonts w:ascii="Calibri" w:eastAsia="Calibri" w:hAnsi="Calibri" w:cs="Calibri"/>
                <w:color w:val="000000"/>
              </w:rPr>
              <w:tab/>
            </w:r>
          </w:hyperlink>
          <w:r>
            <w:fldChar w:fldCharType="begin"/>
          </w:r>
          <w:r>
            <w:instrText xml:space="preserve"> PAGEREF _ub2gu95fwkci \h </w:instrText>
          </w:r>
          <w:r>
            <w:fldChar w:fldCharType="separate"/>
          </w:r>
          <w:r>
            <w:rPr>
              <w:rFonts w:ascii="Tahoma" w:eastAsia="Tahoma" w:hAnsi="Tahoma" w:cs="Tahoma"/>
              <w:color w:val="000000"/>
              <w:sz w:val="22"/>
              <w:szCs w:val="22"/>
            </w:rPr>
            <w:t>Records Retention</w:t>
          </w:r>
          <w:r>
            <w:rPr>
              <w:rFonts w:ascii="Tahoma" w:eastAsia="Tahoma" w:hAnsi="Tahoma" w:cs="Tahoma"/>
              <w:color w:val="000000"/>
              <w:sz w:val="22"/>
              <w:szCs w:val="22"/>
            </w:rPr>
            <w:tab/>
            <w:t>74</w:t>
          </w:r>
          <w:r>
            <w:fldChar w:fldCharType="end"/>
          </w:r>
        </w:p>
        <w:p w14:paraId="118C4F09"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tb9bt354kzch">
            <w:r>
              <w:rPr>
                <w:rFonts w:ascii="Tahoma" w:eastAsia="Tahoma" w:hAnsi="Tahoma" w:cs="Tahoma"/>
                <w:color w:val="000000"/>
                <w:sz w:val="22"/>
                <w:szCs w:val="22"/>
              </w:rPr>
              <w:t>9.15.</w:t>
            </w:r>
          </w:hyperlink>
          <w:hyperlink w:anchor="_tb9bt354kzch">
            <w:r>
              <w:rPr>
                <w:rFonts w:ascii="Calibri" w:eastAsia="Calibri" w:hAnsi="Calibri" w:cs="Calibri"/>
                <w:color w:val="000000"/>
              </w:rPr>
              <w:tab/>
            </w:r>
          </w:hyperlink>
          <w:r>
            <w:fldChar w:fldCharType="begin"/>
          </w:r>
          <w:r>
            <w:instrText xml:space="preserve"> PAGEREF _tb9bt354kzch \h </w:instrText>
          </w:r>
          <w:r>
            <w:fldChar w:fldCharType="separate"/>
          </w:r>
          <w:r>
            <w:rPr>
              <w:rFonts w:ascii="Tahoma" w:eastAsia="Tahoma" w:hAnsi="Tahoma" w:cs="Tahoma"/>
              <w:color w:val="000000"/>
              <w:sz w:val="22"/>
              <w:szCs w:val="22"/>
            </w:rPr>
            <w:t>Insurance</w:t>
          </w:r>
          <w:r>
            <w:rPr>
              <w:rFonts w:ascii="Tahoma" w:eastAsia="Tahoma" w:hAnsi="Tahoma" w:cs="Tahoma"/>
              <w:color w:val="000000"/>
              <w:sz w:val="22"/>
              <w:szCs w:val="22"/>
            </w:rPr>
            <w:tab/>
            <w:t>74</w:t>
          </w:r>
          <w:r>
            <w:fldChar w:fldCharType="end"/>
          </w:r>
        </w:p>
        <w:p w14:paraId="4EC0C391"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qvv16nkvhrq1">
            <w:r>
              <w:rPr>
                <w:rFonts w:ascii="Tahoma" w:eastAsia="Tahoma" w:hAnsi="Tahoma" w:cs="Tahoma"/>
                <w:color w:val="000000"/>
                <w:sz w:val="22"/>
                <w:szCs w:val="22"/>
              </w:rPr>
              <w:t>9.16.</w:t>
            </w:r>
          </w:hyperlink>
          <w:hyperlink w:anchor="_qvv16nkvhrq1">
            <w:r>
              <w:rPr>
                <w:rFonts w:ascii="Calibri" w:eastAsia="Calibri" w:hAnsi="Calibri" w:cs="Calibri"/>
                <w:color w:val="000000"/>
              </w:rPr>
              <w:tab/>
            </w:r>
          </w:hyperlink>
          <w:r>
            <w:fldChar w:fldCharType="begin"/>
          </w:r>
          <w:r>
            <w:instrText xml:space="preserve"> PAGEREF _qvv16nkvhrq1 \h </w:instrText>
          </w:r>
          <w:r>
            <w:fldChar w:fldCharType="separate"/>
          </w:r>
          <w:r>
            <w:rPr>
              <w:rFonts w:ascii="Tahoma" w:eastAsia="Tahoma" w:hAnsi="Tahoma" w:cs="Tahoma"/>
              <w:color w:val="000000"/>
              <w:sz w:val="22"/>
              <w:szCs w:val="22"/>
            </w:rPr>
            <w:t>Rights to Materials</w:t>
          </w:r>
          <w:r>
            <w:rPr>
              <w:rFonts w:ascii="Tahoma" w:eastAsia="Tahoma" w:hAnsi="Tahoma" w:cs="Tahoma"/>
              <w:color w:val="000000"/>
              <w:sz w:val="22"/>
              <w:szCs w:val="22"/>
            </w:rPr>
            <w:tab/>
            <w:t>74</w:t>
          </w:r>
          <w:r>
            <w:fldChar w:fldCharType="end"/>
          </w:r>
        </w:p>
        <w:p w14:paraId="541B6D76"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s0k46b1dhd9g">
            <w:r>
              <w:rPr>
                <w:rFonts w:ascii="Tahoma" w:eastAsia="Tahoma" w:hAnsi="Tahoma" w:cs="Tahoma"/>
                <w:color w:val="000000"/>
                <w:sz w:val="22"/>
                <w:szCs w:val="22"/>
              </w:rPr>
              <w:t>9.17.</w:t>
            </w:r>
          </w:hyperlink>
          <w:hyperlink w:anchor="_s0k46b1dhd9g">
            <w:r>
              <w:rPr>
                <w:rFonts w:ascii="Calibri" w:eastAsia="Calibri" w:hAnsi="Calibri" w:cs="Calibri"/>
                <w:color w:val="000000"/>
              </w:rPr>
              <w:tab/>
            </w:r>
          </w:hyperlink>
          <w:r>
            <w:fldChar w:fldCharType="begin"/>
          </w:r>
          <w:r>
            <w:instrText xml:space="preserve"> PAGEREF _s0k46b1dhd9g \h </w:instrText>
          </w:r>
          <w:r>
            <w:fldChar w:fldCharType="separate"/>
          </w:r>
          <w:r>
            <w:rPr>
              <w:rFonts w:ascii="Tahoma" w:eastAsia="Tahoma" w:hAnsi="Tahoma" w:cs="Tahoma"/>
              <w:color w:val="000000"/>
              <w:sz w:val="22"/>
              <w:szCs w:val="22"/>
            </w:rPr>
            <w:t>Public Announcements, Disclosure of Federal Funding</w:t>
          </w:r>
          <w:r>
            <w:rPr>
              <w:rFonts w:ascii="Tahoma" w:eastAsia="Tahoma" w:hAnsi="Tahoma" w:cs="Tahoma"/>
              <w:color w:val="000000"/>
              <w:sz w:val="22"/>
              <w:szCs w:val="22"/>
            </w:rPr>
            <w:tab/>
            <w:t>75</w:t>
          </w:r>
          <w:r>
            <w:fldChar w:fldCharType="end"/>
          </w:r>
        </w:p>
        <w:p w14:paraId="3B433543"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vfuc7obrxrri">
            <w:r>
              <w:rPr>
                <w:rFonts w:ascii="Tahoma" w:eastAsia="Tahoma" w:hAnsi="Tahoma" w:cs="Tahoma"/>
                <w:color w:val="000000"/>
                <w:sz w:val="22"/>
                <w:szCs w:val="22"/>
              </w:rPr>
              <w:t>9.18.</w:t>
            </w:r>
          </w:hyperlink>
          <w:hyperlink w:anchor="_vfuc7obrxrri">
            <w:r>
              <w:rPr>
                <w:rFonts w:ascii="Calibri" w:eastAsia="Calibri" w:hAnsi="Calibri" w:cs="Calibri"/>
                <w:color w:val="000000"/>
              </w:rPr>
              <w:tab/>
            </w:r>
          </w:hyperlink>
          <w:r>
            <w:fldChar w:fldCharType="begin"/>
          </w:r>
          <w:r>
            <w:instrText xml:space="preserve"> PAGEREF _vfuc7obrxrri \h </w:instrText>
          </w:r>
          <w:r>
            <w:fldChar w:fldCharType="separate"/>
          </w:r>
          <w:r>
            <w:rPr>
              <w:rFonts w:ascii="Tahoma" w:eastAsia="Tahoma" w:hAnsi="Tahoma" w:cs="Tahoma"/>
              <w:color w:val="000000"/>
              <w:sz w:val="22"/>
              <w:szCs w:val="22"/>
            </w:rPr>
            <w:t>Nondiscrimination</w:t>
          </w:r>
          <w:r>
            <w:rPr>
              <w:rFonts w:ascii="Tahoma" w:eastAsia="Tahoma" w:hAnsi="Tahoma" w:cs="Tahoma"/>
              <w:color w:val="000000"/>
              <w:sz w:val="22"/>
              <w:szCs w:val="22"/>
            </w:rPr>
            <w:tab/>
            <w:t>75</w:t>
          </w:r>
          <w:r>
            <w:fldChar w:fldCharType="end"/>
          </w:r>
        </w:p>
        <w:p w14:paraId="1C5F2CA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ivme0wej28mi">
            <w:r>
              <w:rPr>
                <w:rFonts w:ascii="Tahoma" w:eastAsia="Tahoma" w:hAnsi="Tahoma" w:cs="Tahoma"/>
                <w:color w:val="000000"/>
                <w:sz w:val="22"/>
                <w:szCs w:val="22"/>
              </w:rPr>
              <w:t>9.19.</w:t>
            </w:r>
          </w:hyperlink>
          <w:hyperlink w:anchor="_ivme0wej28mi">
            <w:r>
              <w:rPr>
                <w:rFonts w:ascii="Calibri" w:eastAsia="Calibri" w:hAnsi="Calibri" w:cs="Calibri"/>
                <w:color w:val="000000"/>
              </w:rPr>
              <w:tab/>
            </w:r>
          </w:hyperlink>
          <w:r>
            <w:fldChar w:fldCharType="begin"/>
          </w:r>
          <w:r>
            <w:instrText xml:space="preserve"> PAGEREF _ivme0wej28mi \h </w:instrText>
          </w:r>
          <w:r>
            <w:fldChar w:fldCharType="separate"/>
          </w:r>
          <w:r>
            <w:rPr>
              <w:rFonts w:ascii="Tahoma" w:eastAsia="Tahoma" w:hAnsi="Tahoma" w:cs="Tahoma"/>
              <w:color w:val="000000"/>
              <w:sz w:val="22"/>
              <w:szCs w:val="22"/>
            </w:rPr>
            <w:t>Transparency Act</w:t>
          </w:r>
          <w:r>
            <w:rPr>
              <w:rFonts w:ascii="Tahoma" w:eastAsia="Tahoma" w:hAnsi="Tahoma" w:cs="Tahoma"/>
              <w:color w:val="000000"/>
              <w:sz w:val="22"/>
              <w:szCs w:val="22"/>
            </w:rPr>
            <w:tab/>
            <w:t>75</w:t>
          </w:r>
          <w:r>
            <w:fldChar w:fldCharType="end"/>
          </w:r>
        </w:p>
        <w:p w14:paraId="0A419A74"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hvn3hghczq8m">
            <w:r>
              <w:rPr>
                <w:rFonts w:ascii="Tahoma" w:eastAsia="Tahoma" w:hAnsi="Tahoma" w:cs="Tahoma"/>
                <w:color w:val="000000"/>
                <w:sz w:val="22"/>
                <w:szCs w:val="22"/>
              </w:rPr>
              <w:t>9.20.</w:t>
            </w:r>
          </w:hyperlink>
          <w:hyperlink w:anchor="_hvn3hghczq8m">
            <w:r>
              <w:rPr>
                <w:rFonts w:ascii="Calibri" w:eastAsia="Calibri" w:hAnsi="Calibri" w:cs="Calibri"/>
                <w:color w:val="000000"/>
              </w:rPr>
              <w:tab/>
            </w:r>
          </w:hyperlink>
          <w:r>
            <w:fldChar w:fldCharType="begin"/>
          </w:r>
          <w:r>
            <w:instrText xml:space="preserve"> PAGEREF _hvn3hghczq8m \h </w:instrText>
          </w:r>
          <w:r>
            <w:fldChar w:fldCharType="separate"/>
          </w:r>
          <w:r>
            <w:rPr>
              <w:rFonts w:ascii="Tahoma" w:eastAsia="Tahoma" w:hAnsi="Tahoma" w:cs="Tahoma"/>
              <w:color w:val="000000"/>
              <w:sz w:val="22"/>
              <w:szCs w:val="22"/>
            </w:rPr>
            <w:t>Fiscal Monitoring</w:t>
          </w:r>
          <w:r>
            <w:rPr>
              <w:rFonts w:ascii="Tahoma" w:eastAsia="Tahoma" w:hAnsi="Tahoma" w:cs="Tahoma"/>
              <w:color w:val="000000"/>
              <w:sz w:val="22"/>
              <w:szCs w:val="22"/>
            </w:rPr>
            <w:tab/>
            <w:t>76</w:t>
          </w:r>
          <w:r>
            <w:fldChar w:fldCharType="end"/>
          </w:r>
        </w:p>
        <w:p w14:paraId="11CF110F"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pkedjiifnmy">
            <w:r>
              <w:rPr>
                <w:rFonts w:ascii="Tahoma" w:eastAsia="Tahoma" w:hAnsi="Tahoma" w:cs="Tahoma"/>
                <w:color w:val="000000"/>
                <w:sz w:val="22"/>
                <w:szCs w:val="22"/>
              </w:rPr>
              <w:t>9.21.</w:t>
            </w:r>
          </w:hyperlink>
          <w:hyperlink w:anchor="_pkedjiifnmy">
            <w:r>
              <w:rPr>
                <w:rFonts w:ascii="Calibri" w:eastAsia="Calibri" w:hAnsi="Calibri" w:cs="Calibri"/>
                <w:color w:val="000000"/>
              </w:rPr>
              <w:tab/>
            </w:r>
          </w:hyperlink>
          <w:r>
            <w:fldChar w:fldCharType="begin"/>
          </w:r>
          <w:r>
            <w:instrText xml:space="preserve"> PAGEREF _pkedjiifnmy \h </w:instrText>
          </w:r>
          <w:r>
            <w:fldChar w:fldCharType="separate"/>
          </w:r>
          <w:r>
            <w:rPr>
              <w:rFonts w:ascii="Tahoma" w:eastAsia="Tahoma" w:hAnsi="Tahoma" w:cs="Tahoma"/>
              <w:color w:val="000000"/>
              <w:sz w:val="22"/>
              <w:szCs w:val="22"/>
            </w:rPr>
            <w:t>Audits</w:t>
          </w:r>
          <w:r>
            <w:rPr>
              <w:rFonts w:ascii="Tahoma" w:eastAsia="Tahoma" w:hAnsi="Tahoma" w:cs="Tahoma"/>
              <w:color w:val="000000"/>
              <w:sz w:val="22"/>
              <w:szCs w:val="22"/>
            </w:rPr>
            <w:tab/>
            <w:t>77</w:t>
          </w:r>
          <w:r>
            <w:fldChar w:fldCharType="end"/>
          </w:r>
        </w:p>
        <w:p w14:paraId="4FCE39C6"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qnpp8f4xxewj">
            <w:r>
              <w:rPr>
                <w:rFonts w:ascii="Tahoma" w:eastAsia="Tahoma" w:hAnsi="Tahoma" w:cs="Tahoma"/>
                <w:color w:val="000000"/>
                <w:sz w:val="22"/>
                <w:szCs w:val="22"/>
              </w:rPr>
              <w:t>9.22.</w:t>
            </w:r>
          </w:hyperlink>
          <w:hyperlink w:anchor="_qnpp8f4xxewj">
            <w:r>
              <w:rPr>
                <w:rFonts w:ascii="Calibri" w:eastAsia="Calibri" w:hAnsi="Calibri" w:cs="Calibri"/>
                <w:color w:val="000000"/>
              </w:rPr>
              <w:tab/>
            </w:r>
          </w:hyperlink>
          <w:r>
            <w:fldChar w:fldCharType="begin"/>
          </w:r>
          <w:r>
            <w:instrText xml:space="preserve"> PAGEREF _qnpp8f4xxewj \h </w:instrText>
          </w:r>
          <w:r>
            <w:fldChar w:fldCharType="separate"/>
          </w:r>
          <w:r>
            <w:rPr>
              <w:rFonts w:ascii="Tahoma" w:eastAsia="Tahoma" w:hAnsi="Tahoma" w:cs="Tahoma"/>
              <w:color w:val="000000"/>
              <w:sz w:val="22"/>
              <w:szCs w:val="22"/>
            </w:rPr>
            <w:t>Termination</w:t>
          </w:r>
          <w:r>
            <w:rPr>
              <w:rFonts w:ascii="Tahoma" w:eastAsia="Tahoma" w:hAnsi="Tahoma" w:cs="Tahoma"/>
              <w:color w:val="000000"/>
              <w:sz w:val="22"/>
              <w:szCs w:val="22"/>
            </w:rPr>
            <w:tab/>
            <w:t>78</w:t>
          </w:r>
          <w:r>
            <w:fldChar w:fldCharType="end"/>
          </w:r>
        </w:p>
        <w:p w14:paraId="358B4C27"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r8c0d919u669">
            <w:r>
              <w:rPr>
                <w:rFonts w:ascii="Tahoma" w:eastAsia="Tahoma" w:hAnsi="Tahoma" w:cs="Tahoma"/>
                <w:color w:val="000000"/>
                <w:sz w:val="22"/>
                <w:szCs w:val="22"/>
              </w:rPr>
              <w:t>9.23.</w:t>
            </w:r>
          </w:hyperlink>
          <w:hyperlink w:anchor="_r8c0d919u669">
            <w:r>
              <w:rPr>
                <w:rFonts w:ascii="Calibri" w:eastAsia="Calibri" w:hAnsi="Calibri" w:cs="Calibri"/>
                <w:color w:val="000000"/>
              </w:rPr>
              <w:tab/>
            </w:r>
          </w:hyperlink>
          <w:r>
            <w:fldChar w:fldCharType="begin"/>
          </w:r>
          <w:r>
            <w:instrText xml:space="preserve"> PAGEREF _r8c0d919u669 \h </w:instrText>
          </w:r>
          <w:r>
            <w:fldChar w:fldCharType="separate"/>
          </w:r>
          <w:r>
            <w:rPr>
              <w:rFonts w:ascii="Tahoma" w:eastAsia="Tahoma" w:hAnsi="Tahoma" w:cs="Tahoma"/>
              <w:color w:val="000000"/>
              <w:sz w:val="22"/>
              <w:szCs w:val="22"/>
            </w:rPr>
            <w:t>Budget Activities</w:t>
          </w:r>
          <w:r>
            <w:rPr>
              <w:rFonts w:ascii="Tahoma" w:eastAsia="Tahoma" w:hAnsi="Tahoma" w:cs="Tahoma"/>
              <w:color w:val="000000"/>
              <w:sz w:val="22"/>
              <w:szCs w:val="22"/>
            </w:rPr>
            <w:tab/>
            <w:t>78</w:t>
          </w:r>
          <w:r>
            <w:fldChar w:fldCharType="end"/>
          </w:r>
        </w:p>
        <w:p w14:paraId="3BF54B3C"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9kc3edp6kas">
            <w:r>
              <w:rPr>
                <w:rFonts w:ascii="Tahoma" w:eastAsia="Tahoma" w:hAnsi="Tahoma" w:cs="Tahoma"/>
                <w:color w:val="000000"/>
                <w:sz w:val="22"/>
                <w:szCs w:val="22"/>
              </w:rPr>
              <w:t>9.24.</w:t>
            </w:r>
          </w:hyperlink>
          <w:hyperlink w:anchor="_9kc3edp6kas">
            <w:r>
              <w:rPr>
                <w:rFonts w:ascii="Calibri" w:eastAsia="Calibri" w:hAnsi="Calibri" w:cs="Calibri"/>
                <w:color w:val="000000"/>
              </w:rPr>
              <w:tab/>
            </w:r>
          </w:hyperlink>
          <w:r>
            <w:fldChar w:fldCharType="begin"/>
          </w:r>
          <w:r>
            <w:instrText xml:space="preserve"> PAGEREF _9kc3edp6kas \h </w:instrText>
          </w:r>
          <w:r>
            <w:fldChar w:fldCharType="separate"/>
          </w:r>
          <w:r>
            <w:rPr>
              <w:rFonts w:ascii="Tahoma" w:eastAsia="Tahoma" w:hAnsi="Tahoma" w:cs="Tahoma"/>
              <w:color w:val="000000"/>
              <w:sz w:val="22"/>
              <w:szCs w:val="22"/>
            </w:rPr>
            <w:t>Cost Categories</w:t>
          </w:r>
          <w:r>
            <w:rPr>
              <w:rFonts w:ascii="Tahoma" w:eastAsia="Tahoma" w:hAnsi="Tahoma" w:cs="Tahoma"/>
              <w:color w:val="000000"/>
              <w:sz w:val="22"/>
              <w:szCs w:val="22"/>
            </w:rPr>
            <w:tab/>
            <w:t>80</w:t>
          </w:r>
          <w:r>
            <w:fldChar w:fldCharType="end"/>
          </w:r>
        </w:p>
        <w:p w14:paraId="4C54192F"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k29vhhtza5rm">
            <w:r>
              <w:rPr>
                <w:rFonts w:ascii="Tahoma" w:eastAsia="Tahoma" w:hAnsi="Tahoma" w:cs="Tahoma"/>
                <w:color w:val="000000"/>
                <w:sz w:val="22"/>
                <w:szCs w:val="22"/>
              </w:rPr>
              <w:t>9.25.</w:t>
            </w:r>
          </w:hyperlink>
          <w:hyperlink w:anchor="_k29vhhtza5rm">
            <w:r>
              <w:rPr>
                <w:rFonts w:ascii="Calibri" w:eastAsia="Calibri" w:hAnsi="Calibri" w:cs="Calibri"/>
                <w:color w:val="000000"/>
              </w:rPr>
              <w:tab/>
            </w:r>
          </w:hyperlink>
          <w:r>
            <w:fldChar w:fldCharType="begin"/>
          </w:r>
          <w:r>
            <w:instrText xml:space="preserve"> PAGEREF _k29vhhtza5rm \h </w:instrText>
          </w:r>
          <w:r>
            <w:fldChar w:fldCharType="separate"/>
          </w:r>
          <w:r>
            <w:rPr>
              <w:rFonts w:ascii="Tahoma" w:eastAsia="Tahoma" w:hAnsi="Tahoma" w:cs="Tahoma"/>
              <w:color w:val="000000"/>
              <w:sz w:val="22"/>
              <w:szCs w:val="22"/>
            </w:rPr>
            <w:t>Administrative Cap and Set-Asides</w:t>
          </w:r>
          <w:r>
            <w:rPr>
              <w:rFonts w:ascii="Tahoma" w:eastAsia="Tahoma" w:hAnsi="Tahoma" w:cs="Tahoma"/>
              <w:color w:val="000000"/>
              <w:sz w:val="22"/>
              <w:szCs w:val="22"/>
            </w:rPr>
            <w:tab/>
            <w:t>82</w:t>
          </w:r>
          <w:r>
            <w:fldChar w:fldCharType="end"/>
          </w:r>
        </w:p>
        <w:p w14:paraId="5156F87D"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rajdntfx61xl">
            <w:r>
              <w:rPr>
                <w:rFonts w:ascii="Tahoma" w:eastAsia="Tahoma" w:hAnsi="Tahoma" w:cs="Tahoma"/>
                <w:color w:val="000000"/>
                <w:sz w:val="22"/>
                <w:szCs w:val="22"/>
              </w:rPr>
              <w:t>9.26.</w:t>
            </w:r>
          </w:hyperlink>
          <w:hyperlink w:anchor="_rajdntfx61xl">
            <w:r>
              <w:rPr>
                <w:rFonts w:ascii="Calibri" w:eastAsia="Calibri" w:hAnsi="Calibri" w:cs="Calibri"/>
                <w:color w:val="000000"/>
              </w:rPr>
              <w:tab/>
            </w:r>
          </w:hyperlink>
          <w:r>
            <w:fldChar w:fldCharType="begin"/>
          </w:r>
          <w:r>
            <w:instrText xml:space="preserve"> PAGEREF _rajdntfx61xl \h </w:instrText>
          </w:r>
          <w:r>
            <w:fldChar w:fldCharType="separate"/>
          </w:r>
          <w:r>
            <w:rPr>
              <w:rFonts w:ascii="Tahoma" w:eastAsia="Tahoma" w:hAnsi="Tahoma" w:cs="Tahoma"/>
              <w:color w:val="000000"/>
              <w:sz w:val="22"/>
              <w:szCs w:val="22"/>
            </w:rPr>
            <w:t>Budget Amendments</w:t>
          </w:r>
          <w:r>
            <w:rPr>
              <w:rFonts w:ascii="Tahoma" w:eastAsia="Tahoma" w:hAnsi="Tahoma" w:cs="Tahoma"/>
              <w:color w:val="000000"/>
              <w:sz w:val="22"/>
              <w:szCs w:val="22"/>
            </w:rPr>
            <w:tab/>
            <w:t>83</w:t>
          </w:r>
          <w:r>
            <w:fldChar w:fldCharType="end"/>
          </w:r>
        </w:p>
        <w:p w14:paraId="1087BA24"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ty5d4as9zqex">
            <w:r>
              <w:rPr>
                <w:rFonts w:ascii="Tahoma" w:eastAsia="Tahoma" w:hAnsi="Tahoma" w:cs="Tahoma"/>
                <w:color w:val="000000"/>
                <w:sz w:val="22"/>
                <w:szCs w:val="22"/>
              </w:rPr>
              <w:t>9.27.</w:t>
            </w:r>
          </w:hyperlink>
          <w:hyperlink w:anchor="_ty5d4as9zqex">
            <w:r>
              <w:rPr>
                <w:rFonts w:ascii="Calibri" w:eastAsia="Calibri" w:hAnsi="Calibri" w:cs="Calibri"/>
                <w:color w:val="000000"/>
              </w:rPr>
              <w:tab/>
            </w:r>
          </w:hyperlink>
          <w:r>
            <w:fldChar w:fldCharType="begin"/>
          </w:r>
          <w:r>
            <w:instrText xml:space="preserve"> PAGEREF _ty5d4as9zqex \h </w:instrText>
          </w:r>
          <w:r>
            <w:fldChar w:fldCharType="separate"/>
          </w:r>
          <w:r>
            <w:rPr>
              <w:rFonts w:ascii="Tahoma" w:eastAsia="Tahoma" w:hAnsi="Tahoma" w:cs="Tahoma"/>
              <w:color w:val="000000"/>
              <w:sz w:val="22"/>
              <w:szCs w:val="22"/>
            </w:rPr>
            <w:t>Accounting and Invoicing</w:t>
          </w:r>
          <w:r>
            <w:rPr>
              <w:rFonts w:ascii="Tahoma" w:eastAsia="Tahoma" w:hAnsi="Tahoma" w:cs="Tahoma"/>
              <w:color w:val="000000"/>
              <w:sz w:val="22"/>
              <w:szCs w:val="22"/>
            </w:rPr>
            <w:tab/>
            <w:t>83</w:t>
          </w:r>
          <w:r>
            <w:fldChar w:fldCharType="end"/>
          </w:r>
        </w:p>
        <w:p w14:paraId="41FCABAE" w14:textId="77777777"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s2pem495n2vv">
            <w:r>
              <w:rPr>
                <w:rFonts w:ascii="Tahoma" w:eastAsia="Tahoma" w:hAnsi="Tahoma" w:cs="Tahoma"/>
                <w:color w:val="000000"/>
                <w:sz w:val="22"/>
                <w:szCs w:val="22"/>
              </w:rPr>
              <w:t>9.28.</w:t>
            </w:r>
          </w:hyperlink>
          <w:hyperlink w:anchor="_s2pem495n2vv">
            <w:r>
              <w:rPr>
                <w:rFonts w:ascii="Calibri" w:eastAsia="Calibri" w:hAnsi="Calibri" w:cs="Calibri"/>
                <w:color w:val="000000"/>
              </w:rPr>
              <w:tab/>
            </w:r>
          </w:hyperlink>
          <w:r>
            <w:fldChar w:fldCharType="begin"/>
          </w:r>
          <w:r>
            <w:instrText xml:space="preserve"> PAGEREF _s2pem495n2vv \h </w:instrText>
          </w:r>
          <w:r>
            <w:fldChar w:fldCharType="separate"/>
          </w:r>
          <w:r>
            <w:rPr>
              <w:rFonts w:ascii="Tahoma" w:eastAsia="Tahoma" w:hAnsi="Tahoma" w:cs="Tahoma"/>
              <w:color w:val="000000"/>
              <w:sz w:val="22"/>
              <w:szCs w:val="22"/>
            </w:rPr>
            <w:t>Annual Financial Reporting</w:t>
          </w:r>
          <w:r>
            <w:rPr>
              <w:rFonts w:ascii="Tahoma" w:eastAsia="Tahoma" w:hAnsi="Tahoma" w:cs="Tahoma"/>
              <w:color w:val="000000"/>
              <w:sz w:val="22"/>
              <w:szCs w:val="22"/>
            </w:rPr>
            <w:tab/>
            <w:t>84</w:t>
          </w:r>
          <w:r>
            <w:fldChar w:fldCharType="end"/>
          </w:r>
        </w:p>
        <w:p w14:paraId="2B3380BA" w14:textId="35FE01A4" w:rsidR="00F8503D" w:rsidRDefault="00F8503D" w:rsidP="000352A2">
          <w:pPr>
            <w:pBdr>
              <w:top w:val="nil"/>
              <w:left w:val="nil"/>
              <w:bottom w:val="nil"/>
              <w:right w:val="nil"/>
              <w:between w:val="nil"/>
            </w:pBdr>
            <w:tabs>
              <w:tab w:val="left" w:pos="360"/>
              <w:tab w:val="left" w:pos="720"/>
              <w:tab w:val="right" w:pos="9350"/>
            </w:tabs>
            <w:spacing w:before="120" w:after="120"/>
            <w:ind w:left="288" w:hanging="288"/>
            <w:rPr>
              <w:rFonts w:ascii="Calibri" w:eastAsia="Calibri" w:hAnsi="Calibri" w:cs="Calibri"/>
              <w:color w:val="000000"/>
            </w:rPr>
          </w:pPr>
        </w:p>
        <w:p w14:paraId="71DE336A" w14:textId="1D3E8D68" w:rsidR="00F8503D" w:rsidRDefault="0033067D">
          <w:pPr>
            <w:pBdr>
              <w:top w:val="nil"/>
              <w:left w:val="nil"/>
              <w:bottom w:val="nil"/>
              <w:right w:val="nil"/>
              <w:between w:val="nil"/>
            </w:pBdr>
            <w:tabs>
              <w:tab w:val="left" w:pos="360"/>
              <w:tab w:val="right" w:pos="9350"/>
              <w:tab w:val="left" w:pos="720"/>
            </w:tabs>
            <w:spacing w:before="120" w:after="120"/>
            <w:ind w:left="288" w:hanging="288"/>
            <w:rPr>
              <w:rFonts w:ascii="Calibri" w:eastAsia="Calibri" w:hAnsi="Calibri" w:cs="Calibri"/>
              <w:color w:val="000000"/>
            </w:rPr>
          </w:pPr>
          <w:hyperlink w:anchor="_j8rq7v9kz6hv">
            <w:r>
              <w:rPr>
                <w:rFonts w:ascii="Tahoma" w:eastAsia="Tahoma" w:hAnsi="Tahoma" w:cs="Tahoma"/>
                <w:b/>
                <w:bCs/>
                <w:smallCaps/>
                <w:color w:val="000000"/>
              </w:rPr>
              <w:t>1</w:t>
            </w:r>
            <w:r w:rsidR="00AF06E4">
              <w:rPr>
                <w:rFonts w:ascii="Tahoma" w:eastAsia="Tahoma" w:hAnsi="Tahoma" w:cs="Tahoma"/>
                <w:b/>
                <w:bCs/>
                <w:smallCaps/>
                <w:color w:val="000000"/>
              </w:rPr>
              <w:t>0</w:t>
            </w:r>
            <w:r>
              <w:rPr>
                <w:rFonts w:ascii="Tahoma" w:eastAsia="Tahoma" w:hAnsi="Tahoma" w:cs="Tahoma"/>
                <w:b/>
                <w:bCs/>
                <w:smallCaps/>
                <w:color w:val="000000"/>
              </w:rPr>
              <w:t>.</w:t>
            </w:r>
          </w:hyperlink>
          <w:r w:rsidR="00AF06E4">
            <w:t xml:space="preserve"> </w:t>
          </w:r>
          <w:hyperlink w:anchor="_j8rq7v9kz6hv"/>
          <w:r w:rsidR="00AF06E4">
            <w:t xml:space="preserve"> </w:t>
          </w:r>
          <w:r>
            <w:fldChar w:fldCharType="begin"/>
          </w:r>
          <w:r>
            <w:instrText xml:space="preserve"> PAGEREF _j8rq7v9kz6hv \h </w:instrText>
          </w:r>
          <w:r>
            <w:fldChar w:fldCharType="separate"/>
          </w:r>
          <w:r>
            <w:rPr>
              <w:rFonts w:ascii="Tahoma" w:eastAsia="Tahoma" w:hAnsi="Tahoma" w:cs="Tahoma"/>
              <w:b/>
              <w:bCs/>
              <w:smallCaps/>
              <w:color w:val="000000"/>
            </w:rPr>
            <w:t>Appendix</w:t>
          </w:r>
          <w:r>
            <w:rPr>
              <w:rFonts w:ascii="Tahoma" w:eastAsia="Tahoma" w:hAnsi="Tahoma" w:cs="Tahoma"/>
              <w:b/>
              <w:bCs/>
              <w:smallCaps/>
              <w:color w:val="000000"/>
            </w:rPr>
            <w:tab/>
            <w:t>87</w:t>
          </w:r>
          <w:r>
            <w:fldChar w:fldCharType="end"/>
          </w:r>
        </w:p>
        <w:p w14:paraId="74674D29" w14:textId="4A533B5F"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lc1xbldvwfj7">
            <w:r>
              <w:rPr>
                <w:rFonts w:ascii="Tahoma" w:eastAsia="Tahoma" w:hAnsi="Tahoma" w:cs="Tahoma"/>
                <w:color w:val="000000"/>
                <w:sz w:val="22"/>
                <w:szCs w:val="22"/>
              </w:rPr>
              <w:t>1</w:t>
            </w:r>
            <w:r w:rsidR="00BE40DB">
              <w:rPr>
                <w:rFonts w:ascii="Tahoma" w:eastAsia="Tahoma" w:hAnsi="Tahoma" w:cs="Tahoma"/>
                <w:color w:val="000000"/>
                <w:sz w:val="22"/>
                <w:szCs w:val="22"/>
              </w:rPr>
              <w:t>0</w:t>
            </w:r>
            <w:r>
              <w:rPr>
                <w:rFonts w:ascii="Tahoma" w:eastAsia="Tahoma" w:hAnsi="Tahoma" w:cs="Tahoma"/>
                <w:color w:val="000000"/>
                <w:sz w:val="22"/>
                <w:szCs w:val="22"/>
              </w:rPr>
              <w:t>.1.</w:t>
            </w:r>
          </w:hyperlink>
          <w:hyperlink w:anchor="_lc1xbldvwfj7">
            <w:r>
              <w:rPr>
                <w:rFonts w:ascii="Calibri" w:eastAsia="Calibri" w:hAnsi="Calibri" w:cs="Calibri"/>
                <w:color w:val="000000"/>
              </w:rPr>
              <w:tab/>
            </w:r>
          </w:hyperlink>
          <w:r>
            <w:fldChar w:fldCharType="begin"/>
          </w:r>
          <w:r>
            <w:instrText xml:space="preserve"> PAGEREF _lc1xbldvwfj7 \h </w:instrText>
          </w:r>
          <w:r>
            <w:fldChar w:fldCharType="separate"/>
          </w:r>
          <w:r>
            <w:rPr>
              <w:rFonts w:ascii="Tahoma" w:eastAsia="Tahoma" w:hAnsi="Tahoma" w:cs="Tahoma"/>
              <w:color w:val="000000"/>
              <w:sz w:val="22"/>
              <w:szCs w:val="22"/>
            </w:rPr>
            <w:t>Sample Form: Authorization for Release of Information</w:t>
          </w:r>
          <w:r>
            <w:rPr>
              <w:rFonts w:ascii="Tahoma" w:eastAsia="Tahoma" w:hAnsi="Tahoma" w:cs="Tahoma"/>
              <w:color w:val="000000"/>
              <w:sz w:val="22"/>
              <w:szCs w:val="22"/>
            </w:rPr>
            <w:tab/>
            <w:t>87</w:t>
          </w:r>
          <w:r>
            <w:fldChar w:fldCharType="end"/>
          </w:r>
        </w:p>
        <w:p w14:paraId="3A080E36" w14:textId="4DC9EC19"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zi3plyt6pmk7">
            <w:r>
              <w:rPr>
                <w:rFonts w:ascii="Tahoma" w:eastAsia="Tahoma" w:hAnsi="Tahoma" w:cs="Tahoma"/>
                <w:color w:val="000000"/>
                <w:sz w:val="22"/>
                <w:szCs w:val="22"/>
              </w:rPr>
              <w:t>1</w:t>
            </w:r>
            <w:r w:rsidR="00BE40DB">
              <w:rPr>
                <w:rFonts w:ascii="Tahoma" w:eastAsia="Tahoma" w:hAnsi="Tahoma" w:cs="Tahoma"/>
                <w:color w:val="000000"/>
                <w:sz w:val="22"/>
                <w:szCs w:val="22"/>
              </w:rPr>
              <w:t>0</w:t>
            </w:r>
            <w:r>
              <w:rPr>
                <w:rFonts w:ascii="Tahoma" w:eastAsia="Tahoma" w:hAnsi="Tahoma" w:cs="Tahoma"/>
                <w:color w:val="000000"/>
                <w:sz w:val="22"/>
                <w:szCs w:val="22"/>
              </w:rPr>
              <w:t>.2.</w:t>
            </w:r>
          </w:hyperlink>
          <w:hyperlink w:anchor="_zi3plyt6pmk7">
            <w:r>
              <w:rPr>
                <w:rFonts w:ascii="Calibri" w:eastAsia="Calibri" w:hAnsi="Calibri" w:cs="Calibri"/>
                <w:color w:val="000000"/>
              </w:rPr>
              <w:tab/>
            </w:r>
          </w:hyperlink>
          <w:r>
            <w:fldChar w:fldCharType="begin"/>
          </w:r>
          <w:r>
            <w:instrText xml:space="preserve"> PAGEREF _zi3plyt6pmk7 \h </w:instrText>
          </w:r>
          <w:r>
            <w:fldChar w:fldCharType="separate"/>
          </w:r>
          <w:r>
            <w:rPr>
              <w:rFonts w:ascii="Tahoma" w:eastAsia="Tahoma" w:hAnsi="Tahoma" w:cs="Tahoma"/>
              <w:color w:val="000000"/>
              <w:sz w:val="22"/>
              <w:szCs w:val="22"/>
            </w:rPr>
            <w:t>Sample Form: revocation for Release of Learner Information</w:t>
          </w:r>
          <w:r>
            <w:rPr>
              <w:rFonts w:ascii="Tahoma" w:eastAsia="Tahoma" w:hAnsi="Tahoma" w:cs="Tahoma"/>
              <w:color w:val="000000"/>
              <w:sz w:val="22"/>
              <w:szCs w:val="22"/>
            </w:rPr>
            <w:tab/>
            <w:t>89</w:t>
          </w:r>
          <w:r>
            <w:fldChar w:fldCharType="end"/>
          </w:r>
        </w:p>
        <w:p w14:paraId="6216123E" w14:textId="2176B471" w:rsidR="00F8503D" w:rsidRDefault="0033067D">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6zhi3j87x17s">
            <w:r>
              <w:rPr>
                <w:rFonts w:ascii="Tahoma" w:eastAsia="Tahoma" w:hAnsi="Tahoma" w:cs="Tahoma"/>
                <w:color w:val="000000"/>
                <w:sz w:val="22"/>
                <w:szCs w:val="22"/>
              </w:rPr>
              <w:t>1</w:t>
            </w:r>
            <w:r w:rsidR="00BE40DB">
              <w:rPr>
                <w:rFonts w:ascii="Tahoma" w:eastAsia="Tahoma" w:hAnsi="Tahoma" w:cs="Tahoma"/>
                <w:color w:val="000000"/>
                <w:sz w:val="22"/>
                <w:szCs w:val="22"/>
              </w:rPr>
              <w:t>0</w:t>
            </w:r>
            <w:r>
              <w:rPr>
                <w:rFonts w:ascii="Tahoma" w:eastAsia="Tahoma" w:hAnsi="Tahoma" w:cs="Tahoma"/>
                <w:color w:val="000000"/>
                <w:sz w:val="22"/>
                <w:szCs w:val="22"/>
              </w:rPr>
              <w:t>.3.</w:t>
            </w:r>
          </w:hyperlink>
          <w:hyperlink w:anchor="_6zhi3j87x17s">
            <w:r>
              <w:rPr>
                <w:rFonts w:ascii="Calibri" w:eastAsia="Calibri" w:hAnsi="Calibri" w:cs="Calibri"/>
                <w:color w:val="000000"/>
              </w:rPr>
              <w:tab/>
            </w:r>
          </w:hyperlink>
          <w:r>
            <w:fldChar w:fldCharType="begin"/>
          </w:r>
          <w:r>
            <w:instrText xml:space="preserve"> PAGEREF _6zhi3j87x17s \h </w:instrText>
          </w:r>
          <w:r>
            <w:fldChar w:fldCharType="separate"/>
          </w:r>
          <w:r>
            <w:rPr>
              <w:rFonts w:ascii="Tahoma" w:eastAsia="Tahoma" w:hAnsi="Tahoma" w:cs="Tahoma"/>
              <w:color w:val="000000"/>
              <w:sz w:val="22"/>
              <w:szCs w:val="22"/>
            </w:rPr>
            <w:t>State Assessment Certification Procedures</w:t>
          </w:r>
          <w:r>
            <w:rPr>
              <w:rFonts w:ascii="Tahoma" w:eastAsia="Tahoma" w:hAnsi="Tahoma" w:cs="Tahoma"/>
              <w:color w:val="000000"/>
              <w:sz w:val="22"/>
              <w:szCs w:val="22"/>
            </w:rPr>
            <w:tab/>
            <w:t>90</w:t>
          </w:r>
          <w:r>
            <w:fldChar w:fldCharType="end"/>
          </w:r>
        </w:p>
        <w:p w14:paraId="03C6D28F" w14:textId="2E07FCEB" w:rsidR="00F8503D" w:rsidRDefault="00BE40DB">
          <w:pPr>
            <w:pBdr>
              <w:top w:val="nil"/>
              <w:left w:val="nil"/>
              <w:bottom w:val="nil"/>
              <w:right w:val="nil"/>
              <w:between w:val="nil"/>
            </w:pBdr>
            <w:tabs>
              <w:tab w:val="left" w:pos="360"/>
              <w:tab w:val="right" w:pos="9350"/>
              <w:tab w:val="left" w:pos="720"/>
            </w:tabs>
            <w:spacing w:before="120" w:after="120"/>
            <w:ind w:left="288" w:hanging="288"/>
            <w:rPr>
              <w:rFonts w:ascii="Calibri" w:eastAsia="Calibri" w:hAnsi="Calibri" w:cs="Calibri"/>
              <w:color w:val="000000"/>
            </w:rPr>
          </w:pPr>
          <w:r w:rsidRPr="002D2B15">
            <w:rPr>
              <w:b/>
              <w:bCs/>
              <w:sz w:val="28"/>
              <w:szCs w:val="28"/>
            </w:rPr>
            <w:t>11</w:t>
          </w:r>
          <w:r>
            <w:t xml:space="preserve">. </w:t>
          </w:r>
          <w:r w:rsidR="00914D21" w:rsidRPr="002D2B15">
            <w:rPr>
              <w:rFonts w:ascii="Tahoma" w:eastAsia="Tahoma" w:hAnsi="Tahoma" w:cs="Tahoma"/>
              <w:b/>
              <w:bCs/>
              <w:smallCaps/>
              <w:color w:val="000000"/>
            </w:rPr>
            <w:t>State Assessment Certification Procedures</w:t>
          </w:r>
          <w:hyperlink w:anchor="_fahe1v76k0lr">
            <w:r w:rsidR="0033067D">
              <w:rPr>
                <w:rFonts w:ascii="Calibri" w:eastAsia="Calibri" w:hAnsi="Calibri" w:cs="Calibri"/>
                <w:color w:val="000000"/>
              </w:rPr>
              <w:tab/>
            </w:r>
          </w:hyperlink>
        </w:p>
        <w:p w14:paraId="7D8858FD" w14:textId="37041254" w:rsidR="00F8503D" w:rsidRDefault="0033067D">
          <w:pPr>
            <w:pBdr>
              <w:top w:val="nil"/>
              <w:left w:val="nil"/>
              <w:bottom w:val="nil"/>
              <w:right w:val="nil"/>
              <w:between w:val="nil"/>
            </w:pBdr>
            <w:tabs>
              <w:tab w:val="left" w:pos="360"/>
              <w:tab w:val="right" w:pos="9350"/>
              <w:tab w:val="left" w:pos="720"/>
            </w:tabs>
            <w:spacing w:before="120" w:after="120"/>
            <w:ind w:left="288" w:hanging="288"/>
            <w:rPr>
              <w:rFonts w:ascii="Calibri" w:eastAsia="Calibri" w:hAnsi="Calibri" w:cs="Calibri"/>
              <w:color w:val="000000"/>
            </w:rPr>
          </w:pPr>
          <w:hyperlink w:anchor="_f384rcsk7vt">
            <w:r>
              <w:rPr>
                <w:rFonts w:ascii="Tahoma" w:eastAsia="Tahoma" w:hAnsi="Tahoma" w:cs="Tahoma"/>
                <w:b/>
                <w:bCs/>
                <w:smallCaps/>
                <w:color w:val="000000"/>
              </w:rPr>
              <w:t>1</w:t>
            </w:r>
            <w:r w:rsidR="009B23DE">
              <w:rPr>
                <w:rFonts w:ascii="Tahoma" w:eastAsia="Tahoma" w:hAnsi="Tahoma" w:cs="Tahoma"/>
                <w:b/>
                <w:bCs/>
                <w:smallCaps/>
                <w:color w:val="000000"/>
              </w:rPr>
              <w:t>2</w:t>
            </w:r>
            <w:r>
              <w:rPr>
                <w:rFonts w:ascii="Tahoma" w:eastAsia="Tahoma" w:hAnsi="Tahoma" w:cs="Tahoma"/>
                <w:b/>
                <w:bCs/>
                <w:smallCaps/>
                <w:color w:val="000000"/>
              </w:rPr>
              <w:t>.</w:t>
            </w:r>
          </w:hyperlink>
          <w:r w:rsidR="009B23DE">
            <w:t xml:space="preserve"> </w:t>
          </w:r>
          <w:r>
            <w:fldChar w:fldCharType="begin"/>
          </w:r>
          <w:r>
            <w:instrText xml:space="preserve"> PAGEREF _f384rcsk7vt \h </w:instrText>
          </w:r>
          <w:r>
            <w:fldChar w:fldCharType="separate"/>
          </w:r>
          <w:r>
            <w:rPr>
              <w:rFonts w:ascii="Tahoma" w:eastAsia="Tahoma" w:hAnsi="Tahoma" w:cs="Tahoma"/>
              <w:b/>
              <w:bCs/>
              <w:smallCaps/>
              <w:color w:val="000000"/>
            </w:rPr>
            <w:t>Resources</w:t>
          </w:r>
          <w:r>
            <w:rPr>
              <w:rFonts w:ascii="Tahoma" w:eastAsia="Tahoma" w:hAnsi="Tahoma" w:cs="Tahoma"/>
              <w:b/>
              <w:bCs/>
              <w:smallCaps/>
              <w:color w:val="000000"/>
            </w:rPr>
            <w:tab/>
            <w:t>99</w:t>
          </w:r>
          <w:r>
            <w:fldChar w:fldCharType="end"/>
          </w:r>
        </w:p>
        <w:p w14:paraId="7D80C8DB" w14:textId="29205F3A" w:rsidR="00F8503D" w:rsidRDefault="0033067D" w:rsidP="009B23DE">
          <w:pPr>
            <w:pBdr>
              <w:top w:val="nil"/>
              <w:left w:val="nil"/>
              <w:bottom w:val="nil"/>
              <w:right w:val="nil"/>
              <w:between w:val="nil"/>
            </w:pBdr>
            <w:tabs>
              <w:tab w:val="left" w:pos="1200"/>
              <w:tab w:val="right" w:pos="9350"/>
            </w:tabs>
            <w:ind w:left="950" w:hanging="475"/>
            <w:rPr>
              <w:rFonts w:ascii="Calibri" w:eastAsia="Calibri" w:hAnsi="Calibri" w:cs="Calibri"/>
              <w:color w:val="000000"/>
            </w:rPr>
          </w:pPr>
          <w:hyperlink w:anchor="_k5fg8ygblej4">
            <w:r>
              <w:rPr>
                <w:rFonts w:ascii="Calibri" w:eastAsia="Calibri" w:hAnsi="Calibri" w:cs="Calibri"/>
                <w:color w:val="000000"/>
              </w:rPr>
              <w:tab/>
            </w:r>
          </w:hyperlink>
        </w:p>
        <w:p w14:paraId="53AA5C93" w14:textId="6B928640" w:rsidR="00F8503D" w:rsidRDefault="0033067D">
          <w:pPr>
            <w:rPr>
              <w:b/>
              <w:bCs/>
            </w:rPr>
          </w:pPr>
          <w:r>
            <w:lastRenderedPageBreak/>
            <w:fldChar w:fldCharType="end"/>
          </w:r>
        </w:p>
      </w:sdtContent>
    </w:sdt>
    <w:p w14:paraId="49AE67C4" w14:textId="77777777" w:rsidR="00F8503D" w:rsidRDefault="00F8503D">
      <w:pPr>
        <w:rPr>
          <w:b/>
          <w:bCs/>
        </w:rPr>
        <w:sectPr w:rsidR="00F8503D">
          <w:headerReference w:type="even" r:id="rId20"/>
          <w:headerReference w:type="default" r:id="rId21"/>
          <w:footerReference w:type="even" r:id="rId22"/>
          <w:footerReference w:type="default" r:id="rId23"/>
          <w:headerReference w:type="first" r:id="rId24"/>
          <w:footerReference w:type="first" r:id="rId25"/>
          <w:pgSz w:w="12240" w:h="15840"/>
          <w:pgMar w:top="1440" w:right="720" w:bottom="720" w:left="1440" w:header="720" w:footer="720" w:gutter="0"/>
          <w:pgNumType w:start="1"/>
          <w:cols w:space="720"/>
        </w:sectPr>
      </w:pPr>
    </w:p>
    <w:p w14:paraId="42CFA76A"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0" w:name="_47hozhtjat70" w:colFirst="0" w:colLast="0"/>
      <w:bookmarkEnd w:id="0"/>
      <w:r>
        <w:rPr>
          <w:rFonts w:ascii="Arial" w:eastAsia="Arial" w:hAnsi="Arial" w:cs="Arial"/>
          <w:b/>
          <w:bCs/>
          <w:smallCaps/>
          <w:color w:val="6A976C"/>
          <w:sz w:val="32"/>
          <w:szCs w:val="32"/>
        </w:rPr>
        <w:lastRenderedPageBreak/>
        <w:t>Overview</w:t>
      </w:r>
    </w:p>
    <w:p w14:paraId="335665D9"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48E1598" w14:textId="2B2AA951" w:rsidR="00F8503D" w:rsidRDefault="0073DF8C" w:rsidP="7B188CE2">
      <w:pPr>
        <w:pBdr>
          <w:top w:val="nil"/>
          <w:left w:val="nil"/>
          <w:bottom w:val="nil"/>
          <w:right w:val="nil"/>
          <w:between w:val="nil"/>
        </w:pBdr>
        <w:spacing w:after="160" w:line="276" w:lineRule="auto"/>
        <w:rPr>
          <w:rFonts w:ascii="Verdana" w:eastAsia="Verdana" w:hAnsi="Verdana" w:cs="Verdana"/>
          <w:color w:val="000000"/>
          <w:sz w:val="23"/>
          <w:szCs w:val="23"/>
        </w:rPr>
      </w:pPr>
      <w:r w:rsidRPr="7B188CE2">
        <w:rPr>
          <w:rFonts w:ascii="Verdana" w:eastAsia="Verdana" w:hAnsi="Verdana" w:cs="Verdana"/>
          <w:color w:val="000000" w:themeColor="text1"/>
          <w:sz w:val="23"/>
          <w:szCs w:val="23"/>
          <w:lang w:val="en-US"/>
        </w:rPr>
        <w:t>Workforce Innovation and Opportunity Act</w:t>
      </w:r>
      <w:r w:rsidRPr="7B188CE2">
        <w:rPr>
          <w:rFonts w:ascii="Verdana" w:eastAsia="Verdana" w:hAnsi="Verdana" w:cs="Verdana"/>
          <w:color w:val="000000" w:themeColor="text1"/>
          <w:sz w:val="23"/>
          <w:szCs w:val="23"/>
        </w:rPr>
        <w:t xml:space="preserve"> (</w:t>
      </w:r>
      <w:r w:rsidR="0033067D" w:rsidRPr="7B188CE2">
        <w:rPr>
          <w:rFonts w:ascii="Verdana" w:eastAsia="Verdana" w:hAnsi="Verdana" w:cs="Verdana"/>
          <w:color w:val="000000" w:themeColor="text1"/>
          <w:sz w:val="23"/>
          <w:szCs w:val="23"/>
        </w:rPr>
        <w:t>WIOA</w:t>
      </w:r>
      <w:r w:rsidR="310F9344" w:rsidRPr="7B188CE2">
        <w:rPr>
          <w:rFonts w:ascii="Verdana" w:eastAsia="Verdana" w:hAnsi="Verdana" w:cs="Verdana"/>
          <w:color w:val="000000" w:themeColor="text1"/>
          <w:sz w:val="23"/>
          <w:szCs w:val="23"/>
        </w:rPr>
        <w:t>)</w:t>
      </w:r>
      <w:r w:rsidR="0033067D" w:rsidRPr="7B188CE2">
        <w:rPr>
          <w:rFonts w:ascii="Verdana" w:eastAsia="Verdana" w:hAnsi="Verdana" w:cs="Verdana"/>
          <w:color w:val="000000" w:themeColor="text1"/>
          <w:sz w:val="23"/>
          <w:szCs w:val="23"/>
        </w:rPr>
        <w:t xml:space="preserve"> Title II, also known as the </w:t>
      </w:r>
      <w:hyperlink r:id="rId26">
        <w:r w:rsidR="0033067D" w:rsidRPr="7B188CE2">
          <w:rPr>
            <w:rFonts w:ascii="Verdana" w:eastAsia="Verdana" w:hAnsi="Verdana" w:cs="Verdana"/>
            <w:color w:val="0000FF"/>
            <w:sz w:val="23"/>
            <w:szCs w:val="23"/>
            <w:u w:val="single"/>
          </w:rPr>
          <w:t>Adult Education and Family Literacy Act (AEFLA)</w:t>
        </w:r>
      </w:hyperlink>
      <w:r w:rsidR="0033067D" w:rsidRPr="7B188CE2">
        <w:rPr>
          <w:rFonts w:ascii="Verdana" w:eastAsia="Verdana" w:hAnsi="Verdana" w:cs="Verdana"/>
          <w:color w:val="000000" w:themeColor="text1"/>
          <w:sz w:val="23"/>
          <w:szCs w:val="23"/>
        </w:rPr>
        <w:t xml:space="preserve">, provides grants to states for adult education and literacy services to help adults improve their skills for employment, economic self-sufficiency, and to transition to postsecondary education. It serves a wide range of people, including parents, immigrants, English language learners, and adults without a high school diploma or equivalency by offering programs for </w:t>
      </w:r>
      <w:r w:rsidR="00FF4575">
        <w:rPr>
          <w:rFonts w:ascii="Verdana" w:eastAsia="Verdana" w:hAnsi="Verdana" w:cs="Verdana"/>
          <w:color w:val="000000" w:themeColor="text1"/>
          <w:sz w:val="23"/>
          <w:szCs w:val="23"/>
        </w:rPr>
        <w:t>Basic</w:t>
      </w:r>
      <w:r w:rsidR="0033067D" w:rsidRPr="7B188CE2">
        <w:rPr>
          <w:rFonts w:ascii="Verdana" w:eastAsia="Verdana" w:hAnsi="Verdana" w:cs="Verdana"/>
          <w:color w:val="000000" w:themeColor="text1"/>
          <w:sz w:val="23"/>
          <w:szCs w:val="23"/>
        </w:rPr>
        <w:t xml:space="preserve"> skills, secondary school completion, and English language acquisition. </w:t>
      </w:r>
    </w:p>
    <w:p w14:paraId="6FFF8448" w14:textId="1E148BE5"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This manual contains policies, procedures, and program information for the Oregon Adult </w:t>
      </w:r>
      <w:r w:rsidR="00FF4575">
        <w:rPr>
          <w:rFonts w:ascii="Verdana" w:eastAsia="Verdana" w:hAnsi="Verdana" w:cs="Verdana"/>
          <w:color w:val="000000" w:themeColor="text1"/>
          <w:sz w:val="23"/>
          <w:szCs w:val="23"/>
          <w:lang w:val="en-US"/>
        </w:rPr>
        <w:t>Basic</w:t>
      </w:r>
      <w:r w:rsidRPr="7B188CE2">
        <w:rPr>
          <w:rFonts w:ascii="Verdana" w:eastAsia="Verdana" w:hAnsi="Verdana" w:cs="Verdana"/>
          <w:color w:val="000000" w:themeColor="text1"/>
          <w:sz w:val="23"/>
          <w:szCs w:val="23"/>
          <w:lang w:val="en-US"/>
        </w:rPr>
        <w:t xml:space="preserve"> Skills Program, administered by Oregon’s Higher Education Coordinating Commission (HECC), Office of Community Colleges and Workforce Development (CCWD).</w:t>
      </w:r>
    </w:p>
    <w:p w14:paraId="3882A9FB" w14:textId="0A8F56BC" w:rsidR="00F8503D" w:rsidRDefault="0033067D" w:rsidP="26274FD9">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26274FD9">
        <w:rPr>
          <w:rFonts w:ascii="Verdana" w:eastAsia="Verdana" w:hAnsi="Verdana" w:cs="Verdana"/>
          <w:color w:val="000000" w:themeColor="text1"/>
          <w:sz w:val="23"/>
          <w:szCs w:val="23"/>
          <w:lang w:val="en-US"/>
        </w:rPr>
        <w:t xml:space="preserve">In addition to administering the WIOA Title II pass-through funds, CCWD is responsible for providing leadership, professional development, technical assistance, and program monitoring to assure quality Adult </w:t>
      </w:r>
      <w:r w:rsidR="00FF4575">
        <w:rPr>
          <w:rFonts w:ascii="Verdana" w:eastAsia="Verdana" w:hAnsi="Verdana" w:cs="Verdana"/>
          <w:color w:val="000000" w:themeColor="text1"/>
          <w:sz w:val="23"/>
          <w:szCs w:val="23"/>
          <w:lang w:val="en-US"/>
        </w:rPr>
        <w:t>Basic</w:t>
      </w:r>
      <w:r w:rsidRPr="26274FD9">
        <w:rPr>
          <w:rFonts w:ascii="Verdana" w:eastAsia="Verdana" w:hAnsi="Verdana" w:cs="Verdana"/>
          <w:color w:val="000000" w:themeColor="text1"/>
          <w:sz w:val="23"/>
          <w:szCs w:val="23"/>
          <w:lang w:val="en-US"/>
        </w:rPr>
        <w:t xml:space="preserve"> Skills services for all Oregonians.</w:t>
      </w:r>
    </w:p>
    <w:p w14:paraId="07BFC459" w14:textId="214E44EA" w:rsidR="00F8503D" w:rsidRDefault="0033067D" w:rsidP="26274FD9">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5019B930">
        <w:rPr>
          <w:rFonts w:ascii="Verdana" w:eastAsia="Verdana" w:hAnsi="Verdana" w:cs="Verdana"/>
          <w:color w:val="000000" w:themeColor="text1"/>
          <w:sz w:val="23"/>
          <w:szCs w:val="23"/>
          <w:lang w:val="en-US"/>
        </w:rPr>
        <w:t xml:space="preserve">The term Adult </w:t>
      </w:r>
      <w:r w:rsidR="004019EF" w:rsidRPr="5019B930">
        <w:rPr>
          <w:rFonts w:ascii="Verdana" w:eastAsia="Verdana" w:hAnsi="Verdana" w:cs="Verdana"/>
          <w:color w:val="000000" w:themeColor="text1"/>
          <w:sz w:val="23"/>
          <w:szCs w:val="23"/>
          <w:lang w:val="en-US"/>
        </w:rPr>
        <w:t>Basic</w:t>
      </w:r>
      <w:r w:rsidR="6DF77D3B" w:rsidRPr="5019B930">
        <w:rPr>
          <w:rFonts w:ascii="Verdana" w:eastAsia="Verdana" w:hAnsi="Verdana" w:cs="Verdana"/>
          <w:color w:val="000000" w:themeColor="text1"/>
          <w:sz w:val="23"/>
          <w:szCs w:val="23"/>
          <w:lang w:val="en-US"/>
        </w:rPr>
        <w:t xml:space="preserve"> </w:t>
      </w:r>
      <w:r w:rsidRPr="5019B930">
        <w:rPr>
          <w:rFonts w:ascii="Verdana" w:eastAsia="Verdana" w:hAnsi="Verdana" w:cs="Verdana"/>
          <w:color w:val="000000" w:themeColor="text1"/>
          <w:sz w:val="23"/>
          <w:szCs w:val="23"/>
          <w:lang w:val="en-US"/>
        </w:rPr>
        <w:t xml:space="preserve">Education, or Adult </w:t>
      </w:r>
      <w:r w:rsidR="004019EF" w:rsidRPr="5019B930">
        <w:rPr>
          <w:rFonts w:ascii="Verdana" w:eastAsia="Verdana" w:hAnsi="Verdana" w:cs="Verdana"/>
          <w:color w:val="000000" w:themeColor="text1"/>
          <w:sz w:val="23"/>
          <w:szCs w:val="23"/>
          <w:lang w:val="en-US"/>
        </w:rPr>
        <w:t>Basic</w:t>
      </w:r>
      <w:r w:rsidR="2D7E7409" w:rsidRPr="5019B930">
        <w:rPr>
          <w:rFonts w:ascii="Verdana" w:eastAsia="Verdana" w:hAnsi="Verdana" w:cs="Verdana"/>
          <w:color w:val="000000" w:themeColor="text1"/>
          <w:sz w:val="23"/>
          <w:szCs w:val="23"/>
          <w:lang w:val="en-US"/>
        </w:rPr>
        <w:t xml:space="preserve"> </w:t>
      </w:r>
      <w:r w:rsidRPr="5019B930">
        <w:rPr>
          <w:rFonts w:ascii="Verdana" w:eastAsia="Verdana" w:hAnsi="Verdana" w:cs="Verdana"/>
          <w:color w:val="000000" w:themeColor="text1"/>
          <w:sz w:val="23"/>
          <w:szCs w:val="23"/>
          <w:lang w:val="en-US"/>
        </w:rPr>
        <w:t>Skills (ABS) in Oregon, means</w:t>
      </w:r>
      <w:r w:rsidR="7B090DE1" w:rsidRPr="5019B930">
        <w:rPr>
          <w:rFonts w:ascii="Verdana" w:eastAsia="Verdana" w:hAnsi="Verdana" w:cs="Verdana"/>
          <w:color w:val="000000" w:themeColor="text1"/>
          <w:sz w:val="23"/>
          <w:szCs w:val="23"/>
          <w:lang w:val="en-US"/>
        </w:rPr>
        <w:t xml:space="preserve"> adult </w:t>
      </w:r>
      <w:r w:rsidR="004019EF" w:rsidRPr="5019B930">
        <w:rPr>
          <w:rFonts w:ascii="Verdana" w:eastAsia="Verdana" w:hAnsi="Verdana" w:cs="Verdana"/>
          <w:color w:val="000000" w:themeColor="text1"/>
          <w:sz w:val="23"/>
          <w:szCs w:val="23"/>
          <w:lang w:val="en-US"/>
        </w:rPr>
        <w:t>Basic</w:t>
      </w:r>
      <w:r w:rsidRPr="5019B930">
        <w:rPr>
          <w:rFonts w:ascii="Verdana" w:eastAsia="Verdana" w:hAnsi="Verdana" w:cs="Verdana"/>
          <w:color w:val="000000" w:themeColor="text1"/>
          <w:sz w:val="23"/>
          <w:szCs w:val="23"/>
          <w:lang w:val="en-US"/>
        </w:rPr>
        <w:t xml:space="preserve"> instruction in reading, writing, math, speaking/listening in English, and adult secondary education, which includes GED</w:t>
      </w:r>
      <w:r w:rsidRPr="5019B930">
        <w:rPr>
          <w:rFonts w:ascii="Verdana" w:eastAsia="Verdana" w:hAnsi="Verdana" w:cs="Verdana"/>
          <w:color w:val="000000" w:themeColor="text1"/>
          <w:sz w:val="23"/>
          <w:szCs w:val="23"/>
          <w:vertAlign w:val="superscript"/>
          <w:lang w:val="en-US"/>
        </w:rPr>
        <w:t>®</w:t>
      </w:r>
      <w:r w:rsidRPr="5019B930">
        <w:rPr>
          <w:rFonts w:ascii="Verdana" w:eastAsia="Verdana" w:hAnsi="Verdana" w:cs="Verdana"/>
          <w:color w:val="000000" w:themeColor="text1"/>
          <w:sz w:val="23"/>
          <w:szCs w:val="23"/>
          <w:lang w:val="en-US"/>
        </w:rPr>
        <w:t xml:space="preserve"> and Adult High School Diploma preparation.</w:t>
      </w:r>
    </w:p>
    <w:p w14:paraId="62DC4CB7" w14:textId="37F0BFFF"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The purpose of </w:t>
      </w:r>
      <w:r w:rsidR="702ED209" w:rsidRPr="7B188CE2">
        <w:rPr>
          <w:rFonts w:ascii="Verdana" w:eastAsia="Verdana" w:hAnsi="Verdana" w:cs="Verdana"/>
          <w:color w:val="000000" w:themeColor="text1"/>
          <w:sz w:val="23"/>
          <w:szCs w:val="23"/>
          <w:lang w:val="en-US"/>
        </w:rPr>
        <w:t xml:space="preserve">Adult </w:t>
      </w:r>
      <w:r w:rsidR="004019EF">
        <w:rPr>
          <w:rFonts w:ascii="Verdana" w:eastAsia="Verdana" w:hAnsi="Verdana" w:cs="Verdana"/>
          <w:color w:val="000000" w:themeColor="text1"/>
          <w:sz w:val="23"/>
          <w:szCs w:val="23"/>
          <w:lang w:val="en-US"/>
        </w:rPr>
        <w:t>Basic</w:t>
      </w:r>
      <w:r w:rsidR="702ED209" w:rsidRPr="7B188CE2">
        <w:rPr>
          <w:rFonts w:ascii="Verdana" w:eastAsia="Verdana" w:hAnsi="Verdana" w:cs="Verdana"/>
          <w:color w:val="000000" w:themeColor="text1"/>
          <w:sz w:val="23"/>
          <w:szCs w:val="23"/>
          <w:lang w:val="en-US"/>
        </w:rPr>
        <w:t xml:space="preserve"> Education</w:t>
      </w:r>
      <w:r w:rsidRPr="7B188CE2">
        <w:rPr>
          <w:rFonts w:ascii="Verdana" w:eastAsia="Verdana" w:hAnsi="Verdana" w:cs="Verdana"/>
          <w:color w:val="000000" w:themeColor="text1"/>
          <w:sz w:val="23"/>
          <w:szCs w:val="23"/>
          <w:lang w:val="en-US"/>
        </w:rPr>
        <w:t xml:space="preserve"> in Oregon is to assist adults:</w:t>
      </w:r>
    </w:p>
    <w:p w14:paraId="38780623" w14:textId="77777777" w:rsidR="00F8503D" w:rsidRDefault="0033067D">
      <w:pPr>
        <w:numPr>
          <w:ilvl w:val="0"/>
          <w:numId w:val="53"/>
        </w:numPr>
        <w:pBdr>
          <w:top w:val="nil"/>
          <w:left w:val="nil"/>
          <w:bottom w:val="nil"/>
          <w:right w:val="nil"/>
          <w:between w:val="nil"/>
        </w:pBdr>
        <w:spacing w:after="160" w:line="276" w:lineRule="auto"/>
      </w:pPr>
      <w:r>
        <w:rPr>
          <w:rFonts w:ascii="Verdana" w:eastAsia="Verdana" w:hAnsi="Verdana" w:cs="Verdana"/>
          <w:color w:val="000000"/>
          <w:sz w:val="23"/>
          <w:szCs w:val="23"/>
        </w:rPr>
        <w:t>In obtaining the knowledge and skills necessary for work, further education, family self-sufficiency, and community involvement;</w:t>
      </w:r>
    </w:p>
    <w:p w14:paraId="6F9037A4" w14:textId="77777777" w:rsidR="00F8503D" w:rsidRDefault="0033067D">
      <w:pPr>
        <w:numPr>
          <w:ilvl w:val="0"/>
          <w:numId w:val="53"/>
        </w:numPr>
        <w:pBdr>
          <w:top w:val="nil"/>
          <w:left w:val="nil"/>
          <w:bottom w:val="nil"/>
          <w:right w:val="nil"/>
          <w:between w:val="nil"/>
        </w:pBdr>
        <w:spacing w:after="160" w:line="276" w:lineRule="auto"/>
      </w:pPr>
      <w:r>
        <w:rPr>
          <w:rFonts w:ascii="Verdana" w:eastAsia="Verdana" w:hAnsi="Verdana" w:cs="Verdana"/>
          <w:color w:val="000000"/>
          <w:sz w:val="23"/>
          <w:szCs w:val="23"/>
        </w:rPr>
        <w:t>To become literate and obtain the knowledge and skills necessary for employment and economic self-sufficiency;</w:t>
      </w:r>
    </w:p>
    <w:p w14:paraId="0AB380FF" w14:textId="77777777" w:rsidR="00F8503D" w:rsidRDefault="0033067D">
      <w:pPr>
        <w:numPr>
          <w:ilvl w:val="0"/>
          <w:numId w:val="53"/>
        </w:numPr>
        <w:pBdr>
          <w:top w:val="nil"/>
          <w:left w:val="nil"/>
          <w:bottom w:val="nil"/>
          <w:right w:val="nil"/>
          <w:between w:val="nil"/>
        </w:pBdr>
        <w:spacing w:after="160" w:line="276" w:lineRule="auto"/>
      </w:pPr>
      <w:r>
        <w:rPr>
          <w:rFonts w:ascii="Verdana" w:eastAsia="Verdana" w:hAnsi="Verdana" w:cs="Verdana"/>
          <w:color w:val="000000"/>
          <w:sz w:val="23"/>
          <w:szCs w:val="23"/>
        </w:rPr>
        <w:t>Who are parents or family members to obtain the education and skills that:</w:t>
      </w:r>
    </w:p>
    <w:p w14:paraId="23687833" w14:textId="77777777" w:rsidR="00F8503D" w:rsidRDefault="0033067D">
      <w:pPr>
        <w:numPr>
          <w:ilvl w:val="1"/>
          <w:numId w:val="54"/>
        </w:numPr>
        <w:pBdr>
          <w:top w:val="nil"/>
          <w:left w:val="nil"/>
          <w:bottom w:val="nil"/>
          <w:right w:val="nil"/>
          <w:between w:val="nil"/>
        </w:pBdr>
        <w:spacing w:after="160" w:line="276" w:lineRule="auto"/>
      </w:pPr>
      <w:r>
        <w:rPr>
          <w:rFonts w:ascii="Verdana" w:eastAsia="Verdana" w:hAnsi="Verdana" w:cs="Verdana"/>
          <w:color w:val="000000"/>
          <w:sz w:val="23"/>
          <w:szCs w:val="23"/>
        </w:rPr>
        <w:t>Are necessary to become full partners in the educational development of their children; and</w:t>
      </w:r>
    </w:p>
    <w:p w14:paraId="79D813E4" w14:textId="77777777" w:rsidR="00F8503D" w:rsidRDefault="0033067D">
      <w:pPr>
        <w:numPr>
          <w:ilvl w:val="1"/>
          <w:numId w:val="54"/>
        </w:numPr>
        <w:pBdr>
          <w:top w:val="nil"/>
          <w:left w:val="nil"/>
          <w:bottom w:val="nil"/>
          <w:right w:val="nil"/>
          <w:between w:val="nil"/>
        </w:pBdr>
        <w:spacing w:after="160" w:line="276" w:lineRule="auto"/>
      </w:pPr>
      <w:r>
        <w:rPr>
          <w:rFonts w:ascii="Verdana" w:eastAsia="Verdana" w:hAnsi="Verdana" w:cs="Verdana"/>
          <w:color w:val="000000"/>
          <w:sz w:val="23"/>
          <w:szCs w:val="23"/>
        </w:rPr>
        <w:t>Lead to sustainable improvements in the economic opportunities for their family;</w:t>
      </w:r>
    </w:p>
    <w:p w14:paraId="71800A16" w14:textId="77777777" w:rsidR="00F8503D" w:rsidRDefault="0033067D">
      <w:pPr>
        <w:numPr>
          <w:ilvl w:val="0"/>
          <w:numId w:val="5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lastRenderedPageBreak/>
        <w:t>In attaining a secondary school diploma and in the transition to postsecondary education and training, including through career pathways; and</w:t>
      </w:r>
    </w:p>
    <w:p w14:paraId="580FDC5C" w14:textId="77777777" w:rsidR="00F8503D" w:rsidRDefault="0033067D">
      <w:pPr>
        <w:numPr>
          <w:ilvl w:val="0"/>
          <w:numId w:val="55"/>
        </w:numPr>
        <w:pBdr>
          <w:top w:val="nil"/>
          <w:left w:val="nil"/>
          <w:bottom w:val="nil"/>
          <w:right w:val="nil"/>
          <w:between w:val="nil"/>
        </w:pBdr>
        <w:spacing w:after="160" w:line="276" w:lineRule="auto"/>
      </w:pPr>
      <w:r>
        <w:rPr>
          <w:rFonts w:ascii="Verdana" w:eastAsia="Verdana" w:hAnsi="Verdana" w:cs="Verdana"/>
          <w:color w:val="000000"/>
          <w:sz w:val="23"/>
          <w:szCs w:val="23"/>
        </w:rPr>
        <w:t>Immigrants and other individuals who are English language learners in:</w:t>
      </w:r>
    </w:p>
    <w:p w14:paraId="7385A4B0" w14:textId="77777777" w:rsidR="00F8503D" w:rsidRDefault="0033067D">
      <w:pPr>
        <w:numPr>
          <w:ilvl w:val="1"/>
          <w:numId w:val="56"/>
        </w:numPr>
        <w:pBdr>
          <w:top w:val="nil"/>
          <w:left w:val="nil"/>
          <w:bottom w:val="nil"/>
          <w:right w:val="nil"/>
          <w:between w:val="nil"/>
        </w:pBdr>
        <w:spacing w:after="160" w:line="276" w:lineRule="auto"/>
        <w:ind w:left="1440"/>
      </w:pPr>
      <w:r>
        <w:rPr>
          <w:rFonts w:ascii="Verdana" w:eastAsia="Verdana" w:hAnsi="Verdana" w:cs="Verdana"/>
          <w:color w:val="000000"/>
          <w:sz w:val="23"/>
          <w:szCs w:val="23"/>
        </w:rPr>
        <w:t>Improving their:</w:t>
      </w:r>
    </w:p>
    <w:p w14:paraId="690BEA06" w14:textId="77777777" w:rsidR="00F8503D" w:rsidRDefault="0033067D">
      <w:pPr>
        <w:numPr>
          <w:ilvl w:val="1"/>
          <w:numId w:val="57"/>
        </w:numPr>
        <w:pBdr>
          <w:top w:val="nil"/>
          <w:left w:val="nil"/>
          <w:bottom w:val="nil"/>
          <w:right w:val="nil"/>
          <w:between w:val="nil"/>
        </w:pBdr>
        <w:spacing w:after="160" w:line="276" w:lineRule="auto"/>
      </w:pPr>
      <w:r>
        <w:rPr>
          <w:rFonts w:ascii="Verdana" w:eastAsia="Verdana" w:hAnsi="Verdana" w:cs="Verdana"/>
          <w:color w:val="000000"/>
          <w:sz w:val="23"/>
          <w:szCs w:val="23"/>
        </w:rPr>
        <w:t>Reading, writing, speaking, and comprehension skills in English; and</w:t>
      </w:r>
    </w:p>
    <w:p w14:paraId="091DCC36" w14:textId="77777777" w:rsidR="00F8503D" w:rsidRDefault="0033067D">
      <w:pPr>
        <w:numPr>
          <w:ilvl w:val="1"/>
          <w:numId w:val="57"/>
        </w:numPr>
        <w:pBdr>
          <w:top w:val="nil"/>
          <w:left w:val="nil"/>
          <w:bottom w:val="nil"/>
          <w:right w:val="nil"/>
          <w:between w:val="nil"/>
        </w:pBdr>
        <w:spacing w:after="160" w:line="276" w:lineRule="auto"/>
      </w:pPr>
      <w:r>
        <w:rPr>
          <w:rFonts w:ascii="Verdana" w:eastAsia="Verdana" w:hAnsi="Verdana" w:cs="Verdana"/>
          <w:color w:val="000000"/>
          <w:sz w:val="23"/>
          <w:szCs w:val="23"/>
        </w:rPr>
        <w:t>Mathematics skills; and</w:t>
      </w:r>
    </w:p>
    <w:p w14:paraId="572FF9E6" w14:textId="77777777" w:rsidR="00F8503D" w:rsidRDefault="0033067D">
      <w:pPr>
        <w:numPr>
          <w:ilvl w:val="1"/>
          <w:numId w:val="56"/>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 xml:space="preserve">Acquiring an understanding of the American system of Government, individual freedom, and the responsibilities of citizenship (section 202 of WIOA; 34 Code of Federal Regulation (CFR) 463.1). </w:t>
      </w:r>
    </w:p>
    <w:p w14:paraId="6692D4EE"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rPr>
      </w:pPr>
      <w:r>
        <w:br w:type="page"/>
      </w:r>
    </w:p>
    <w:p w14:paraId="29FF8947"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1" w:name="_ju8o3od7n3qq" w:colFirst="0" w:colLast="0"/>
      <w:bookmarkEnd w:id="1"/>
      <w:r>
        <w:rPr>
          <w:rFonts w:ascii="Arial" w:eastAsia="Arial" w:hAnsi="Arial" w:cs="Arial"/>
          <w:b/>
          <w:bCs/>
          <w:smallCaps/>
          <w:color w:val="6A976C"/>
          <w:sz w:val="32"/>
          <w:szCs w:val="32"/>
        </w:rPr>
        <w:lastRenderedPageBreak/>
        <w:t>Administration</w:t>
      </w:r>
    </w:p>
    <w:p w14:paraId="4B4221F7" w14:textId="77777777" w:rsidR="00F8503D" w:rsidRDefault="0033067D">
      <w:pPr>
        <w:keepNext/>
        <w:numPr>
          <w:ilvl w:val="2"/>
          <w:numId w:val="24"/>
        </w:numPr>
        <w:pBdr>
          <w:top w:val="nil"/>
          <w:left w:val="nil"/>
          <w:bottom w:val="nil"/>
          <w:right w:val="nil"/>
          <w:between w:val="nil"/>
        </w:pBdr>
        <w:spacing w:before="240" w:after="40" w:line="276" w:lineRule="auto"/>
      </w:pPr>
      <w:bookmarkStart w:id="2" w:name="_95k8rah3suxf" w:colFirst="0" w:colLast="0"/>
      <w:bookmarkEnd w:id="2"/>
      <w:r>
        <w:rPr>
          <w:rFonts w:ascii="Arial" w:eastAsia="Arial" w:hAnsi="Arial" w:cs="Arial"/>
          <w:smallCaps/>
          <w:color w:val="6A976C"/>
          <w:sz w:val="28"/>
          <w:szCs w:val="28"/>
        </w:rPr>
        <w:t>Consortia</w:t>
      </w:r>
    </w:p>
    <w:p w14:paraId="431DCAE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68FE1FBD" w14:textId="481EC09C" w:rsidR="00F8503D" w:rsidRDefault="0033067D" w:rsidP="26274FD9">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26274FD9">
        <w:rPr>
          <w:rFonts w:ascii="Verdana" w:eastAsia="Verdana" w:hAnsi="Verdana" w:cs="Verdana"/>
          <w:color w:val="000000" w:themeColor="text1"/>
          <w:sz w:val="23"/>
          <w:szCs w:val="23"/>
          <w:lang w:val="en-US"/>
        </w:rPr>
        <w:t>An A</w:t>
      </w:r>
      <w:r w:rsidR="32DD0956" w:rsidRPr="26274FD9">
        <w:rPr>
          <w:rFonts w:ascii="Verdana" w:eastAsia="Verdana" w:hAnsi="Verdana" w:cs="Verdana"/>
          <w:color w:val="000000" w:themeColor="text1"/>
          <w:sz w:val="23"/>
          <w:szCs w:val="23"/>
          <w:lang w:val="en-US"/>
        </w:rPr>
        <w:t>dult Education</w:t>
      </w:r>
      <w:r w:rsidRPr="26274FD9">
        <w:rPr>
          <w:rFonts w:ascii="Verdana" w:eastAsia="Verdana" w:hAnsi="Verdana" w:cs="Verdana"/>
          <w:color w:val="000000" w:themeColor="text1"/>
          <w:sz w:val="23"/>
          <w:szCs w:val="23"/>
          <w:lang w:val="en-US"/>
        </w:rPr>
        <w:t xml:space="preserve"> consortium is a group of organizations, each of which provides A</w:t>
      </w:r>
      <w:r w:rsidR="7540BF7B" w:rsidRPr="26274FD9">
        <w:rPr>
          <w:rFonts w:ascii="Verdana" w:eastAsia="Verdana" w:hAnsi="Verdana" w:cs="Verdana"/>
          <w:color w:val="000000" w:themeColor="text1"/>
          <w:sz w:val="23"/>
          <w:szCs w:val="23"/>
          <w:lang w:val="en-US"/>
        </w:rPr>
        <w:t xml:space="preserve">dult </w:t>
      </w:r>
      <w:r w:rsidR="004019EF">
        <w:rPr>
          <w:rFonts w:ascii="Verdana" w:eastAsia="Verdana" w:hAnsi="Verdana" w:cs="Verdana"/>
          <w:color w:val="000000" w:themeColor="text1"/>
          <w:sz w:val="23"/>
          <w:szCs w:val="23"/>
          <w:lang w:val="en-US"/>
        </w:rPr>
        <w:t>Basic</w:t>
      </w:r>
      <w:r w:rsidR="7540BF7B" w:rsidRPr="26274FD9">
        <w:rPr>
          <w:rFonts w:ascii="Verdana" w:eastAsia="Verdana" w:hAnsi="Verdana" w:cs="Verdana"/>
          <w:color w:val="000000" w:themeColor="text1"/>
          <w:sz w:val="23"/>
          <w:szCs w:val="23"/>
          <w:lang w:val="en-US"/>
        </w:rPr>
        <w:t xml:space="preserve"> (</w:t>
      </w:r>
      <w:r w:rsidR="00FF4575">
        <w:rPr>
          <w:rFonts w:ascii="Verdana" w:eastAsia="Verdana" w:hAnsi="Verdana" w:cs="Verdana"/>
          <w:color w:val="000000" w:themeColor="text1"/>
          <w:sz w:val="23"/>
          <w:szCs w:val="23"/>
          <w:lang w:val="en-US"/>
        </w:rPr>
        <w:t>Basic</w:t>
      </w:r>
      <w:r w:rsidR="7540BF7B" w:rsidRPr="26274FD9">
        <w:rPr>
          <w:rFonts w:ascii="Verdana" w:eastAsia="Verdana" w:hAnsi="Verdana" w:cs="Verdana"/>
          <w:color w:val="000000" w:themeColor="text1"/>
          <w:sz w:val="23"/>
          <w:szCs w:val="23"/>
          <w:lang w:val="en-US"/>
        </w:rPr>
        <w:t>) education</w:t>
      </w:r>
      <w:r w:rsidR="41CD21CB" w:rsidRPr="26274FD9">
        <w:rPr>
          <w:rFonts w:ascii="Verdana" w:eastAsia="Verdana" w:hAnsi="Verdana" w:cs="Verdana"/>
          <w:color w:val="000000" w:themeColor="text1"/>
          <w:sz w:val="23"/>
          <w:szCs w:val="23"/>
          <w:lang w:val="en-US"/>
        </w:rPr>
        <w:t xml:space="preserve"> </w:t>
      </w:r>
      <w:r w:rsidRPr="26274FD9">
        <w:rPr>
          <w:rFonts w:ascii="Verdana" w:eastAsia="Verdana" w:hAnsi="Verdana" w:cs="Verdana"/>
          <w:color w:val="000000" w:themeColor="text1"/>
          <w:sz w:val="23"/>
          <w:szCs w:val="23"/>
          <w:lang w:val="en-US"/>
        </w:rPr>
        <w:t xml:space="preserve">services, that jointly applies for funding under a collaborative management structure, and a lead organization which is the fiscal agent. The consortium must have an identified fiscal agent that receives and is responsible for </w:t>
      </w:r>
      <w:r w:rsidR="097E488A" w:rsidRPr="26274FD9">
        <w:rPr>
          <w:rFonts w:ascii="Verdana" w:eastAsia="Verdana" w:hAnsi="Verdana" w:cs="Verdana"/>
          <w:color w:val="000000" w:themeColor="text1"/>
          <w:sz w:val="23"/>
          <w:szCs w:val="23"/>
          <w:lang w:val="en-US"/>
        </w:rPr>
        <w:t xml:space="preserve">WIOA </w:t>
      </w:r>
      <w:r w:rsidRPr="26274FD9">
        <w:rPr>
          <w:rFonts w:ascii="Verdana" w:eastAsia="Verdana" w:hAnsi="Verdana" w:cs="Verdana"/>
          <w:color w:val="000000" w:themeColor="text1"/>
          <w:sz w:val="23"/>
          <w:szCs w:val="23"/>
          <w:lang w:val="en-US"/>
        </w:rPr>
        <w:t>Title II funding. Fiscal agents may redistribute funds to consortium members, but those arrangements must be made locally, not by the state. The redistribution of funds to consortium members does not transfer responsibility from the organization acting as fiscal agent.</w:t>
      </w:r>
    </w:p>
    <w:p w14:paraId="7814805B" w14:textId="1AC151CE"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A consortium agreement between fiscal </w:t>
      </w:r>
      <w:r w:rsidR="00880AC7" w:rsidRPr="7B188CE2">
        <w:rPr>
          <w:rFonts w:ascii="Verdana" w:eastAsia="Verdana" w:hAnsi="Verdana" w:cs="Verdana"/>
          <w:color w:val="000000" w:themeColor="text1"/>
          <w:sz w:val="23"/>
          <w:szCs w:val="23"/>
          <w:lang w:val="en-US"/>
        </w:rPr>
        <w:t>agents</w:t>
      </w:r>
      <w:r w:rsidRPr="7B188CE2">
        <w:rPr>
          <w:rFonts w:ascii="Verdana" w:eastAsia="Verdana" w:hAnsi="Verdana" w:cs="Verdana"/>
          <w:color w:val="000000" w:themeColor="text1"/>
          <w:sz w:val="23"/>
          <w:szCs w:val="23"/>
          <w:lang w:val="en-US"/>
        </w:rPr>
        <w:t xml:space="preserve"> and member(s) should underscore the mandate to follow all fiscal and programmatic requirements and policies established by the state and federal government. As a condition of membership in a consortium, each member must make a documented contribution toward the cost of</w:t>
      </w:r>
      <w:r w:rsidR="4D14B905" w:rsidRPr="7B188CE2">
        <w:rPr>
          <w:rFonts w:ascii="Verdana" w:eastAsia="Verdana" w:hAnsi="Verdana" w:cs="Verdana"/>
          <w:color w:val="000000" w:themeColor="text1"/>
          <w:sz w:val="23"/>
          <w:szCs w:val="23"/>
          <w:lang w:val="en-US"/>
        </w:rPr>
        <w:t xml:space="preserve"> WIOA</w:t>
      </w:r>
      <w:r w:rsidRPr="7B188CE2">
        <w:rPr>
          <w:rFonts w:ascii="Verdana" w:eastAsia="Verdana" w:hAnsi="Verdana" w:cs="Verdana"/>
          <w:color w:val="000000" w:themeColor="text1"/>
          <w:sz w:val="23"/>
          <w:szCs w:val="23"/>
          <w:lang w:val="en-US"/>
        </w:rPr>
        <w:t xml:space="preserve"> Title II activities and services, either as a direct financial contribution or as an in-kind contribution.</w:t>
      </w:r>
    </w:p>
    <w:p w14:paraId="458D1613"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5094A9D9"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The lead applicant in a consortium is the fiscal agent and must be responsible for ensuring that each consortium partner member submits required information and complies with all policies, procedures, and regulations.</w:t>
      </w:r>
    </w:p>
    <w:p w14:paraId="7244C697"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A formal consortium agreement must detail the duties, roles, and responsibilities of each consortium member, specifically relating to approving financial expenditures, performance reporting, participant assessments, and other state and federal requirements. The consortium agreement should be developed collaboratively to ensure all consortium members are aware of the regulations and responsibilities of federal funding.</w:t>
      </w:r>
    </w:p>
    <w:p w14:paraId="53838A1D"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The fiscal agent must be ultimately responsible for the consortium funding, for the accuracy of data collected and reported, and for performance.</w:t>
      </w:r>
    </w:p>
    <w:p w14:paraId="78564CBA" w14:textId="77777777" w:rsidR="00F8503D" w:rsidRDefault="0033067D">
      <w:pPr>
        <w:keepNext/>
        <w:numPr>
          <w:ilvl w:val="2"/>
          <w:numId w:val="24"/>
        </w:numPr>
        <w:pBdr>
          <w:top w:val="nil"/>
          <w:left w:val="nil"/>
          <w:bottom w:val="nil"/>
          <w:right w:val="nil"/>
          <w:between w:val="nil"/>
        </w:pBdr>
        <w:spacing w:before="240" w:after="40" w:line="276" w:lineRule="auto"/>
      </w:pPr>
      <w:bookmarkStart w:id="3" w:name="_2jx2u72gctcr" w:colFirst="0" w:colLast="0"/>
      <w:bookmarkEnd w:id="3"/>
      <w:r>
        <w:rPr>
          <w:rFonts w:ascii="Arial" w:eastAsia="Arial" w:hAnsi="Arial" w:cs="Arial"/>
          <w:smallCaps/>
          <w:color w:val="6A976C"/>
          <w:sz w:val="28"/>
          <w:szCs w:val="28"/>
        </w:rPr>
        <w:t>Learner Eligibility: Age, Prior Education, or Skill Level</w:t>
      </w:r>
    </w:p>
    <w:p w14:paraId="21CA85BE"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71797B66"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 learner who is eligible to receive Title II services is one:</w:t>
      </w:r>
    </w:p>
    <w:p w14:paraId="5C7FECCB"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lastRenderedPageBreak/>
        <w:t>Who has attained 16 years of age;</w:t>
      </w:r>
    </w:p>
    <w:p w14:paraId="32AC0196"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Who is not enrolled or required to be enrolled in secondary school under State law; and Who:</w:t>
      </w:r>
    </w:p>
    <w:p w14:paraId="0BC5A92B" w14:textId="1AF7E2E6"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Is </w:t>
      </w:r>
      <w:r w:rsidR="00FF4575">
        <w:rPr>
          <w:rFonts w:ascii="Verdana" w:eastAsia="Verdana" w:hAnsi="Verdana" w:cs="Verdana"/>
          <w:color w:val="000000" w:themeColor="text1"/>
          <w:sz w:val="23"/>
          <w:szCs w:val="23"/>
          <w:lang w:val="en-US"/>
        </w:rPr>
        <w:t>Basic</w:t>
      </w:r>
      <w:r w:rsidR="0866F038" w:rsidRPr="7B188CE2">
        <w:rPr>
          <w:rFonts w:ascii="Verdana" w:eastAsia="Verdana" w:hAnsi="Verdana" w:cs="Verdana"/>
          <w:color w:val="000000" w:themeColor="text1"/>
          <w:sz w:val="23"/>
          <w:szCs w:val="23"/>
          <w:lang w:val="en-US"/>
        </w:rPr>
        <w:t>)</w:t>
      </w:r>
      <w:r w:rsidRPr="7B188CE2">
        <w:rPr>
          <w:rFonts w:ascii="Verdana" w:eastAsia="Verdana" w:hAnsi="Verdana" w:cs="Verdana"/>
          <w:color w:val="000000" w:themeColor="text1"/>
          <w:sz w:val="23"/>
          <w:szCs w:val="23"/>
          <w:lang w:val="en-US"/>
        </w:rPr>
        <w:t xml:space="preserve"> skills deficient;</w:t>
      </w:r>
    </w:p>
    <w:p w14:paraId="38F789A6" w14:textId="77777777" w:rsidR="00F8503D" w:rsidRDefault="0033067D">
      <w:pPr>
        <w:numPr>
          <w:ilvl w:val="7"/>
          <w:numId w:val="24"/>
        </w:numPr>
        <w:pBdr>
          <w:top w:val="nil"/>
          <w:left w:val="nil"/>
          <w:bottom w:val="nil"/>
          <w:right w:val="nil"/>
          <w:between w:val="nil"/>
        </w:pBdr>
        <w:spacing w:after="160" w:line="276" w:lineRule="auto"/>
        <w:ind w:left="1080"/>
      </w:pPr>
      <w:r>
        <w:rPr>
          <w:rFonts w:ascii="Verdana" w:eastAsia="Verdana" w:hAnsi="Verdana" w:cs="Verdana"/>
          <w:color w:val="000000"/>
          <w:sz w:val="23"/>
          <w:szCs w:val="23"/>
        </w:rPr>
        <w:t>Does not have a secondary school diploma or its recognized equivalent, and has not achieved an equivalent level of education; or</w:t>
      </w:r>
    </w:p>
    <w:p w14:paraId="0B687389" w14:textId="77777777" w:rsidR="00F8503D" w:rsidRDefault="0033067D">
      <w:pPr>
        <w:numPr>
          <w:ilvl w:val="7"/>
          <w:numId w:val="24"/>
        </w:numPr>
        <w:pBdr>
          <w:top w:val="nil"/>
          <w:left w:val="nil"/>
          <w:bottom w:val="nil"/>
          <w:right w:val="nil"/>
          <w:between w:val="nil"/>
        </w:pBdr>
        <w:spacing w:after="160" w:line="276" w:lineRule="auto"/>
        <w:ind w:left="1080"/>
      </w:pPr>
      <w:r>
        <w:rPr>
          <w:rFonts w:ascii="Verdana" w:eastAsia="Verdana" w:hAnsi="Verdana" w:cs="Verdana"/>
          <w:color w:val="000000"/>
          <w:sz w:val="23"/>
          <w:szCs w:val="23"/>
        </w:rPr>
        <w:t>Is an English language learner (section 203(4) of WIOA).</w:t>
      </w:r>
    </w:p>
    <w:p w14:paraId="4124F42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41B794DF" w14:textId="77777777" w:rsidR="00F8503D" w:rsidRDefault="0033067D">
      <w:pPr>
        <w:numPr>
          <w:ilvl w:val="3"/>
          <w:numId w:val="56"/>
        </w:numPr>
        <w:pBdr>
          <w:top w:val="nil"/>
          <w:left w:val="nil"/>
          <w:bottom w:val="nil"/>
          <w:right w:val="nil"/>
          <w:between w:val="nil"/>
        </w:pBdr>
        <w:spacing w:after="160" w:line="276" w:lineRule="auto"/>
        <w:ind w:left="360"/>
      </w:pPr>
      <w:r>
        <w:rPr>
          <w:rFonts w:ascii="Verdana" w:eastAsia="Verdana" w:hAnsi="Verdana" w:cs="Verdana"/>
          <w:color w:val="000000"/>
          <w:sz w:val="23"/>
          <w:szCs w:val="23"/>
        </w:rPr>
        <w:t>Age: Programs must only enroll individuals who are at least 16 years of age and not enrolled or required to be enrolled in secondary school under state law. To be exempt from compulsory attendance, an individual must have an exemption from compulsory attendance signed by the school district and the parent or guardian (see Oregon Administrative Rule (OAR) 581-021- 0076).</w:t>
      </w:r>
    </w:p>
    <w:p w14:paraId="3AD70FE5" w14:textId="514DB531" w:rsidR="00F8503D" w:rsidRDefault="0033067D">
      <w:pPr>
        <w:numPr>
          <w:ilvl w:val="3"/>
          <w:numId w:val="56"/>
        </w:numPr>
        <w:pBdr>
          <w:top w:val="nil"/>
          <w:left w:val="nil"/>
          <w:bottom w:val="nil"/>
          <w:right w:val="nil"/>
          <w:between w:val="nil"/>
        </w:pBdr>
        <w:spacing w:after="160" w:line="276" w:lineRule="auto"/>
        <w:ind w:left="360"/>
      </w:pPr>
      <w:r w:rsidRPr="569B1663">
        <w:rPr>
          <w:rFonts w:ascii="Verdana" w:eastAsia="Verdana" w:hAnsi="Verdana" w:cs="Verdana"/>
          <w:color w:val="000000" w:themeColor="text1"/>
          <w:sz w:val="23"/>
          <w:szCs w:val="23"/>
          <w:lang w:val="en-US"/>
        </w:rPr>
        <w:t xml:space="preserve">Prior education or skill level: Programs must only enroll individuals who qualify for services due to </w:t>
      </w:r>
      <w:r w:rsidR="50155FCF" w:rsidRPr="5019B930">
        <w:rPr>
          <w:rFonts w:ascii="Verdana" w:eastAsia="Verdana" w:hAnsi="Verdana" w:cs="Verdana"/>
          <w:color w:val="000000" w:themeColor="text1"/>
          <w:sz w:val="23"/>
          <w:szCs w:val="23"/>
          <w:lang w:val="en-US"/>
        </w:rPr>
        <w:t xml:space="preserve">at </w:t>
      </w:r>
      <w:r w:rsidRPr="569B1663">
        <w:rPr>
          <w:rFonts w:ascii="Verdana" w:eastAsia="Verdana" w:hAnsi="Verdana" w:cs="Verdana"/>
          <w:color w:val="000000" w:themeColor="text1"/>
          <w:sz w:val="23"/>
          <w:szCs w:val="23"/>
          <w:lang w:val="en-US"/>
        </w:rPr>
        <w:t>least one of these conditions:</w:t>
      </w:r>
    </w:p>
    <w:p w14:paraId="678998B5" w14:textId="77777777" w:rsidR="00F8503D" w:rsidRDefault="0033067D">
      <w:pPr>
        <w:numPr>
          <w:ilvl w:val="4"/>
          <w:numId w:val="56"/>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They do not have a high school diploma or its recognized equivalent;</w:t>
      </w:r>
    </w:p>
    <w:p w14:paraId="24B453C3" w14:textId="77777777" w:rsidR="00F8503D" w:rsidRDefault="0033067D">
      <w:pPr>
        <w:numPr>
          <w:ilvl w:val="4"/>
          <w:numId w:val="56"/>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They have not achieved an equivalent (secondary) level of education, as indicated by a scale score of 248 or below on the Comprehensive Adult Student Assessment Systems (CASAS) Reading GOALS 2, or 235 or below on the CASAS Math GOALS 2 test; or</w:t>
      </w:r>
    </w:p>
    <w:p w14:paraId="4A3C23DF" w14:textId="50C9B9B0" w:rsidR="00ED63C7" w:rsidRPr="008F1F89" w:rsidRDefault="003D3D63" w:rsidP="005171ED">
      <w:pPr>
        <w:keepNext/>
        <w:pBdr>
          <w:top w:val="nil"/>
          <w:left w:val="nil"/>
          <w:bottom w:val="nil"/>
          <w:right w:val="nil"/>
          <w:between w:val="nil"/>
        </w:pBdr>
        <w:spacing w:before="240" w:after="40" w:line="276" w:lineRule="auto"/>
        <w:ind w:left="720"/>
      </w:pPr>
      <w:r>
        <w:rPr>
          <w:rFonts w:ascii="Verdana" w:eastAsia="Verdana" w:hAnsi="Verdana" w:cs="Verdana"/>
          <w:color w:val="000000" w:themeColor="text1"/>
          <w:sz w:val="23"/>
          <w:szCs w:val="23"/>
          <w:lang w:val="en-US"/>
        </w:rPr>
        <w:t xml:space="preserve">C. </w:t>
      </w:r>
      <w:r w:rsidR="0033067D" w:rsidRPr="00B046C9">
        <w:rPr>
          <w:rFonts w:ascii="Verdana" w:eastAsia="Verdana" w:hAnsi="Verdana" w:cs="Verdana"/>
          <w:color w:val="000000" w:themeColor="text1"/>
          <w:sz w:val="23"/>
          <w:szCs w:val="23"/>
          <w:lang w:val="en-US"/>
        </w:rPr>
        <w:t>They are English language learners, as indicated by a scale score of 238 or below on the CASAS STEPS Reading Test, or a scale score of 231 or below on the CASAS STEPS Listening Test</w:t>
      </w:r>
      <w:r w:rsidR="0027640C" w:rsidRPr="00B046C9">
        <w:rPr>
          <w:rFonts w:ascii="Verdana" w:eastAsia="Verdana" w:hAnsi="Verdana" w:cs="Verdana"/>
          <w:color w:val="000000" w:themeColor="text1"/>
          <w:sz w:val="23"/>
          <w:szCs w:val="23"/>
          <w:lang w:val="en-US"/>
        </w:rPr>
        <w:t xml:space="preserve">. </w:t>
      </w:r>
      <w:bookmarkStart w:id="4" w:name="_n0mjz7dibh5" w:colFirst="0" w:colLast="0"/>
      <w:bookmarkEnd w:id="4"/>
      <w:r w:rsidR="0033067D" w:rsidRPr="00B046C9">
        <w:rPr>
          <w:rFonts w:ascii="Arial" w:eastAsia="Arial" w:hAnsi="Arial" w:cs="Arial"/>
          <w:smallCaps/>
          <w:color w:val="6A976C"/>
          <w:sz w:val="28"/>
          <w:szCs w:val="28"/>
        </w:rPr>
        <w:t xml:space="preserve"> </w:t>
      </w:r>
    </w:p>
    <w:p w14:paraId="15C1535D" w14:textId="024C7549" w:rsidR="00F8503D" w:rsidRDefault="0033067D">
      <w:pPr>
        <w:keepNext/>
        <w:numPr>
          <w:ilvl w:val="2"/>
          <w:numId w:val="24"/>
        </w:numPr>
        <w:pBdr>
          <w:top w:val="nil"/>
          <w:left w:val="nil"/>
          <w:bottom w:val="nil"/>
          <w:right w:val="nil"/>
          <w:between w:val="nil"/>
        </w:pBdr>
        <w:spacing w:before="240" w:after="40" w:line="276" w:lineRule="auto"/>
      </w:pPr>
      <w:r w:rsidRPr="00B046C9">
        <w:rPr>
          <w:rFonts w:ascii="Arial" w:eastAsia="Arial" w:hAnsi="Arial" w:cs="Arial"/>
          <w:smallCaps/>
          <w:color w:val="6A976C"/>
          <w:sz w:val="28"/>
          <w:szCs w:val="28"/>
        </w:rPr>
        <w:t>Distance Education</w:t>
      </w:r>
    </w:p>
    <w:p w14:paraId="34A7D00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4E4940E" w14:textId="29EE98ED" w:rsidR="00F8503D" w:rsidRDefault="0033067D">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r w:rsidRPr="5019B930">
        <w:rPr>
          <w:rFonts w:ascii="Verdana" w:eastAsia="Verdana" w:hAnsi="Verdana" w:cs="Verdana"/>
          <w:color w:val="000000" w:themeColor="text1"/>
          <w:sz w:val="23"/>
          <w:szCs w:val="23"/>
          <w:lang w:val="en-US"/>
        </w:rPr>
        <w:t xml:space="preserve">CCWD adopted the definition of distance education provided by the National Reporting System (NRS) </w:t>
      </w:r>
      <w:r w:rsidR="705B9A69" w:rsidRPr="5019B930">
        <w:rPr>
          <w:rFonts w:ascii="Verdana" w:eastAsia="Verdana" w:hAnsi="Verdana" w:cs="Verdana"/>
          <w:color w:val="000000" w:themeColor="text1"/>
          <w:sz w:val="23"/>
          <w:szCs w:val="23"/>
          <w:lang w:val="en-US"/>
        </w:rPr>
        <w:t>Technical Assistance Guide for Performance Accountability Under the Workforce Innovation and Opportunity Act</w:t>
      </w:r>
      <w:r w:rsidRPr="5019B930">
        <w:rPr>
          <w:rFonts w:ascii="Verdana" w:eastAsia="Verdana" w:hAnsi="Verdana" w:cs="Verdana"/>
          <w:color w:val="000000" w:themeColor="text1"/>
          <w:sz w:val="23"/>
          <w:szCs w:val="23"/>
          <w:lang w:val="en-US"/>
        </w:rPr>
        <w:t>,</w:t>
      </w:r>
    </w:p>
    <w:p w14:paraId="7010AC0F" w14:textId="140CA172" w:rsidR="00F8503D" w:rsidRDefault="0033067D" w:rsidP="0E6AD713">
      <w:pPr>
        <w:pBdr>
          <w:top w:val="nil"/>
          <w:left w:val="nil"/>
          <w:bottom w:val="nil"/>
          <w:right w:val="nil"/>
          <w:between w:val="nil"/>
        </w:pBdr>
        <w:spacing w:after="160" w:line="276" w:lineRule="auto"/>
        <w:ind w:left="360"/>
        <w:rPr>
          <w:rFonts w:ascii="Verdana" w:eastAsia="Verdana" w:hAnsi="Verdana" w:cs="Verdana"/>
          <w:color w:val="000000" w:themeColor="text1"/>
          <w:sz w:val="23"/>
          <w:szCs w:val="23"/>
          <w:lang w:val="en-US"/>
        </w:rPr>
      </w:pPr>
      <w:r w:rsidRPr="0E6AD713">
        <w:rPr>
          <w:rFonts w:ascii="Verdana" w:eastAsia="Verdana" w:hAnsi="Verdana" w:cs="Verdana"/>
          <w:color w:val="000000" w:themeColor="text1"/>
          <w:sz w:val="23"/>
          <w:szCs w:val="23"/>
          <w:lang w:val="en-US"/>
        </w:rPr>
        <w:t xml:space="preserve">Distance Education is a formal learning activity where </w:t>
      </w:r>
      <w:r w:rsidR="645900F7" w:rsidRPr="0E6AD713">
        <w:rPr>
          <w:rFonts w:ascii="Verdana" w:eastAsia="Verdana" w:hAnsi="Verdana" w:cs="Verdana"/>
          <w:color w:val="000000" w:themeColor="text1"/>
          <w:sz w:val="23"/>
          <w:szCs w:val="23"/>
          <w:lang w:val="en-US"/>
        </w:rPr>
        <w:t xml:space="preserve">learners </w:t>
      </w:r>
      <w:r w:rsidRPr="0E6AD713">
        <w:rPr>
          <w:rFonts w:ascii="Verdana" w:eastAsia="Verdana" w:hAnsi="Verdana" w:cs="Verdana"/>
          <w:color w:val="000000" w:themeColor="text1"/>
          <w:sz w:val="23"/>
          <w:szCs w:val="23"/>
          <w:lang w:val="en-US"/>
        </w:rPr>
        <w:t xml:space="preserve">and instructors are separated by geography, time, or both for the majority of the instructional period. Distance </w:t>
      </w:r>
      <w:r w:rsidR="00AD3B51">
        <w:rPr>
          <w:rFonts w:ascii="Verdana" w:eastAsia="Verdana" w:hAnsi="Verdana" w:cs="Verdana"/>
          <w:color w:val="000000" w:themeColor="text1"/>
          <w:sz w:val="23"/>
          <w:szCs w:val="23"/>
          <w:lang w:val="en-US"/>
        </w:rPr>
        <w:t xml:space="preserve">Education </w:t>
      </w:r>
      <w:r w:rsidRPr="0E6AD713">
        <w:rPr>
          <w:rFonts w:ascii="Verdana" w:eastAsia="Verdana" w:hAnsi="Verdana" w:cs="Verdana"/>
          <w:color w:val="000000" w:themeColor="text1"/>
          <w:sz w:val="23"/>
          <w:szCs w:val="23"/>
          <w:lang w:val="en-US"/>
        </w:rPr>
        <w:t xml:space="preserve">materials are delivered through a variety of media, including but not limited to, print, audio recording, videotape, broadcasts, computer software, Web based programs, and other </w:t>
      </w:r>
      <w:r w:rsidRPr="0E6AD713">
        <w:rPr>
          <w:rFonts w:ascii="Verdana" w:eastAsia="Verdana" w:hAnsi="Verdana" w:cs="Verdana"/>
          <w:color w:val="000000" w:themeColor="text1"/>
          <w:sz w:val="23"/>
          <w:szCs w:val="23"/>
          <w:lang w:val="en-US"/>
        </w:rPr>
        <w:lastRenderedPageBreak/>
        <w:t xml:space="preserve">online technology. Teachers support distance learners through communication by mail, telephone, e-mail, or online technologies and software. </w:t>
      </w:r>
    </w:p>
    <w:p w14:paraId="4AA5A68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4FF22BE2" w14:textId="77777777" w:rsidR="00F8503D" w:rsidRDefault="0033067D">
      <w:pPr>
        <w:numPr>
          <w:ilvl w:val="3"/>
          <w:numId w:val="57"/>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Learners who receive both distance instruction and classroom instruction must be classified as either a distance education or a traditional classroom learner, not both. The learner must be classified as a distance </w:t>
      </w:r>
      <w:r>
        <w:rPr>
          <w:rFonts w:ascii="Verdana" w:eastAsia="Verdana" w:hAnsi="Verdana" w:cs="Verdana"/>
          <w:sz w:val="23"/>
          <w:szCs w:val="23"/>
        </w:rPr>
        <w:t>education</w:t>
      </w:r>
      <w:r>
        <w:rPr>
          <w:rFonts w:ascii="Verdana" w:eastAsia="Verdana" w:hAnsi="Verdana" w:cs="Verdana"/>
          <w:color w:val="000000"/>
          <w:sz w:val="23"/>
          <w:szCs w:val="23"/>
        </w:rPr>
        <w:t xml:space="preserve"> learner if more than 50% of the instructional hours are at a distance.</w:t>
      </w:r>
    </w:p>
    <w:p w14:paraId="188A68B4" w14:textId="670E18A6" w:rsidR="00F8503D" w:rsidRDefault="0033067D">
      <w:pPr>
        <w:numPr>
          <w:ilvl w:val="3"/>
          <w:numId w:val="57"/>
        </w:numPr>
        <w:pBdr>
          <w:top w:val="nil"/>
          <w:left w:val="nil"/>
          <w:bottom w:val="nil"/>
          <w:right w:val="nil"/>
          <w:between w:val="nil"/>
        </w:pBdr>
        <w:spacing w:after="160" w:line="276" w:lineRule="auto"/>
        <w:ind w:left="360"/>
      </w:pPr>
      <w:r>
        <w:rPr>
          <w:rFonts w:ascii="Verdana" w:eastAsia="Verdana" w:hAnsi="Verdana" w:cs="Verdana"/>
          <w:sz w:val="23"/>
          <w:szCs w:val="23"/>
        </w:rPr>
        <w:t>Distance education</w:t>
      </w:r>
      <w:r>
        <w:rPr>
          <w:rFonts w:ascii="Verdana" w:eastAsia="Verdana" w:hAnsi="Verdana" w:cs="Verdana"/>
          <w:color w:val="000000"/>
          <w:sz w:val="23"/>
          <w:szCs w:val="23"/>
        </w:rPr>
        <w:t xml:space="preserve"> contact hours must be associated with one of three U.S. Department of Education, Office of Career, Technical, and Adult Education (OCTAE) approved distance </w:t>
      </w:r>
      <w:r w:rsidR="00AD3B51">
        <w:rPr>
          <w:rFonts w:ascii="Verdana" w:eastAsia="Verdana" w:hAnsi="Verdana" w:cs="Verdana"/>
          <w:color w:val="000000"/>
          <w:sz w:val="23"/>
          <w:szCs w:val="23"/>
        </w:rPr>
        <w:t>education</w:t>
      </w:r>
      <w:r w:rsidR="007E3569">
        <w:rPr>
          <w:rFonts w:ascii="Verdana" w:eastAsia="Verdana" w:hAnsi="Verdana" w:cs="Verdana"/>
          <w:color w:val="000000"/>
          <w:sz w:val="23"/>
          <w:szCs w:val="23"/>
        </w:rPr>
        <w:t xml:space="preserve"> </w:t>
      </w:r>
      <w:r>
        <w:rPr>
          <w:rFonts w:ascii="Verdana" w:eastAsia="Verdana" w:hAnsi="Verdana" w:cs="Verdana"/>
          <w:color w:val="000000"/>
          <w:sz w:val="23"/>
          <w:szCs w:val="23"/>
        </w:rPr>
        <w:t>models of instruction:</w:t>
      </w:r>
    </w:p>
    <w:p w14:paraId="10DF6E93" w14:textId="77777777" w:rsidR="00F8503D" w:rsidRDefault="0033067D">
      <w:pPr>
        <w:numPr>
          <w:ilvl w:val="4"/>
          <w:numId w:val="57"/>
        </w:numPr>
        <w:pBdr>
          <w:top w:val="nil"/>
          <w:left w:val="nil"/>
          <w:bottom w:val="nil"/>
          <w:right w:val="nil"/>
          <w:between w:val="nil"/>
        </w:pBdr>
        <w:spacing w:after="160" w:line="276" w:lineRule="auto"/>
        <w:ind w:left="1080"/>
      </w:pPr>
      <w:r>
        <w:rPr>
          <w:rFonts w:ascii="Verdana" w:eastAsia="Verdana" w:hAnsi="Verdana" w:cs="Verdana"/>
          <w:color w:val="000000"/>
          <w:sz w:val="23"/>
          <w:szCs w:val="23"/>
        </w:rPr>
        <w:t>Clock Time Model – Assigns contact hours based on time that learner is engaged in a software program that tracks time.</w:t>
      </w:r>
    </w:p>
    <w:p w14:paraId="66A1C52E" w14:textId="77777777" w:rsidR="00F8503D" w:rsidRDefault="0033067D">
      <w:pPr>
        <w:numPr>
          <w:ilvl w:val="4"/>
          <w:numId w:val="57"/>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Teacher Verification Model – Assigns a fixed number of hours for each assignment based on teacher determination of the extent to which a learner engaged in, or completed, the assignment. </w:t>
      </w:r>
    </w:p>
    <w:p w14:paraId="6716765C" w14:textId="77777777" w:rsidR="00F8503D" w:rsidRDefault="0033067D">
      <w:pPr>
        <w:numPr>
          <w:ilvl w:val="4"/>
          <w:numId w:val="57"/>
        </w:numPr>
        <w:pBdr>
          <w:top w:val="nil"/>
          <w:left w:val="nil"/>
          <w:bottom w:val="nil"/>
          <w:right w:val="nil"/>
          <w:between w:val="nil"/>
        </w:pBdr>
        <w:spacing w:after="160" w:line="276" w:lineRule="auto"/>
        <w:ind w:left="1080"/>
      </w:pPr>
      <w:r>
        <w:rPr>
          <w:rFonts w:ascii="Verdana" w:eastAsia="Verdana" w:hAnsi="Verdana" w:cs="Verdana"/>
          <w:color w:val="000000"/>
          <w:sz w:val="23"/>
          <w:szCs w:val="23"/>
        </w:rPr>
        <w:t>Learner Mastery Model – Assigns a fixed number of hours based on the learner passing a test on the content of the lesson.</w:t>
      </w:r>
    </w:p>
    <w:p w14:paraId="63C7A2E7" w14:textId="6A58D175" w:rsidR="00F8503D" w:rsidRDefault="0033067D">
      <w:pPr>
        <w:numPr>
          <w:ilvl w:val="3"/>
          <w:numId w:val="57"/>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 xml:space="preserve">Each program must determine the distance </w:t>
      </w:r>
      <w:r w:rsidRPr="7B188CE2">
        <w:rPr>
          <w:rFonts w:ascii="Verdana" w:eastAsia="Verdana" w:hAnsi="Verdana" w:cs="Verdana"/>
          <w:sz w:val="23"/>
          <w:szCs w:val="23"/>
          <w:lang w:val="en-US"/>
        </w:rPr>
        <w:t>education</w:t>
      </w:r>
      <w:r w:rsidRPr="7B188CE2">
        <w:rPr>
          <w:rFonts w:ascii="Verdana" w:eastAsia="Verdana" w:hAnsi="Verdana" w:cs="Verdana"/>
          <w:color w:val="000000" w:themeColor="text1"/>
          <w:sz w:val="23"/>
          <w:szCs w:val="23"/>
          <w:lang w:val="en-US"/>
        </w:rPr>
        <w:t xml:space="preserve"> model or models of instruction that it will employ for reporting distance </w:t>
      </w:r>
      <w:r w:rsidR="00AD3B51">
        <w:rPr>
          <w:rFonts w:ascii="Verdana" w:eastAsia="Verdana" w:hAnsi="Verdana" w:cs="Verdana"/>
          <w:color w:val="000000" w:themeColor="text1"/>
          <w:sz w:val="23"/>
          <w:szCs w:val="23"/>
          <w:lang w:val="en-US"/>
        </w:rPr>
        <w:t>education</w:t>
      </w:r>
      <w:r w:rsidRPr="7B188CE2">
        <w:rPr>
          <w:rFonts w:ascii="Verdana" w:eastAsia="Verdana" w:hAnsi="Verdana" w:cs="Verdana"/>
          <w:color w:val="000000" w:themeColor="text1"/>
          <w:sz w:val="23"/>
          <w:szCs w:val="23"/>
          <w:lang w:val="en-US"/>
        </w:rPr>
        <w:t>.</w:t>
      </w:r>
    </w:p>
    <w:p w14:paraId="7CC15EF1" w14:textId="77777777" w:rsidR="00F8503D" w:rsidRDefault="0033067D">
      <w:pPr>
        <w:numPr>
          <w:ilvl w:val="3"/>
          <w:numId w:val="57"/>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For assessment of learners in distance </w:t>
      </w:r>
      <w:r>
        <w:rPr>
          <w:rFonts w:ascii="Verdana" w:eastAsia="Verdana" w:hAnsi="Verdana" w:cs="Verdana"/>
          <w:sz w:val="23"/>
          <w:szCs w:val="23"/>
        </w:rPr>
        <w:t>education</w:t>
      </w:r>
      <w:r>
        <w:rPr>
          <w:rFonts w:ascii="Verdana" w:eastAsia="Verdana" w:hAnsi="Verdana" w:cs="Verdana"/>
          <w:color w:val="000000"/>
          <w:sz w:val="23"/>
          <w:szCs w:val="23"/>
        </w:rPr>
        <w:t xml:space="preserve"> programs, see Section 6 of this manual, Assessment.</w:t>
      </w:r>
    </w:p>
    <w:p w14:paraId="3EC74C83" w14:textId="7E671779" w:rsidR="001334C9" w:rsidRPr="00221751" w:rsidRDefault="0033067D">
      <w:pPr>
        <w:keepNext/>
        <w:numPr>
          <w:ilvl w:val="2"/>
          <w:numId w:val="24"/>
        </w:numPr>
        <w:pBdr>
          <w:top w:val="nil"/>
          <w:left w:val="nil"/>
          <w:bottom w:val="nil"/>
          <w:right w:val="nil"/>
          <w:between w:val="nil"/>
        </w:pBdr>
        <w:spacing w:before="240" w:after="40" w:line="276" w:lineRule="auto"/>
      </w:pPr>
      <w:r w:rsidRPr="00A96FBD">
        <w:rPr>
          <w:rFonts w:ascii="Verdana" w:eastAsia="Verdana" w:hAnsi="Verdana" w:cs="Verdana"/>
          <w:color w:val="000000" w:themeColor="text1"/>
          <w:sz w:val="23"/>
          <w:szCs w:val="23"/>
          <w:lang w:val="en-US"/>
        </w:rPr>
        <w:t xml:space="preserve">Each program must submit an application or indicate that they do not offer a distance </w:t>
      </w:r>
      <w:r w:rsidRPr="00A96FBD">
        <w:rPr>
          <w:rFonts w:ascii="Verdana" w:eastAsia="Verdana" w:hAnsi="Verdana" w:cs="Verdana"/>
          <w:sz w:val="23"/>
          <w:szCs w:val="23"/>
          <w:lang w:val="en-US"/>
        </w:rPr>
        <w:t>education</w:t>
      </w:r>
      <w:r w:rsidRPr="00A96FBD">
        <w:rPr>
          <w:rFonts w:ascii="Verdana" w:eastAsia="Verdana" w:hAnsi="Verdana" w:cs="Verdana"/>
          <w:color w:val="000000" w:themeColor="text1"/>
          <w:sz w:val="23"/>
          <w:szCs w:val="23"/>
          <w:lang w:val="en-US"/>
        </w:rPr>
        <w:t xml:space="preserve"> program that counts distance learners for federal reporting, prior to implementing the course(s).</w:t>
      </w:r>
    </w:p>
    <w:p w14:paraId="1D20C51A" w14:textId="391D9419" w:rsidR="00F8503D" w:rsidRDefault="0033067D">
      <w:pPr>
        <w:keepNext/>
        <w:numPr>
          <w:ilvl w:val="2"/>
          <w:numId w:val="24"/>
        </w:numPr>
        <w:pBdr>
          <w:top w:val="nil"/>
          <w:left w:val="nil"/>
          <w:bottom w:val="nil"/>
          <w:right w:val="nil"/>
          <w:between w:val="nil"/>
        </w:pBdr>
        <w:spacing w:before="240" w:after="40" w:line="276" w:lineRule="auto"/>
      </w:pPr>
      <w:r w:rsidRPr="007E33E8">
        <w:rPr>
          <w:rFonts w:ascii="Arial" w:eastAsia="Arial" w:hAnsi="Arial" w:cs="Arial"/>
          <w:smallCaps/>
          <w:color w:val="6A976C"/>
          <w:sz w:val="28"/>
          <w:szCs w:val="28"/>
        </w:rPr>
        <w:t>Staff Qualifications</w:t>
      </w:r>
    </w:p>
    <w:p w14:paraId="0D3647D2"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766E00CD" w14:textId="70BE33D3"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rPr>
      </w:pPr>
      <w:r w:rsidRPr="7B188CE2">
        <w:rPr>
          <w:rFonts w:ascii="Verdana" w:eastAsia="Verdana" w:hAnsi="Verdana" w:cs="Verdana"/>
          <w:color w:val="000000" w:themeColor="text1"/>
          <w:sz w:val="23"/>
          <w:szCs w:val="23"/>
        </w:rPr>
        <w:t xml:space="preserve">Programs must use the qualifications and processes listed below in hiring or appointing staff in </w:t>
      </w:r>
      <w:r w:rsidR="26CCD36E" w:rsidRPr="7B188CE2">
        <w:rPr>
          <w:rFonts w:ascii="Verdana" w:eastAsia="Verdana" w:hAnsi="Verdana" w:cs="Verdana"/>
          <w:color w:val="000000" w:themeColor="text1"/>
          <w:sz w:val="23"/>
          <w:szCs w:val="23"/>
        </w:rPr>
        <w:t xml:space="preserve">WIOA </w:t>
      </w:r>
      <w:r w:rsidRPr="7B188CE2">
        <w:rPr>
          <w:rFonts w:ascii="Verdana" w:eastAsia="Verdana" w:hAnsi="Verdana" w:cs="Verdana"/>
          <w:color w:val="000000" w:themeColor="text1"/>
          <w:sz w:val="23"/>
          <w:szCs w:val="23"/>
        </w:rPr>
        <w:t>Title-II funded programs.</w:t>
      </w:r>
    </w:p>
    <w:p w14:paraId="7521BD8B"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Instructor—Academic Organizations:</w:t>
      </w:r>
    </w:p>
    <w:p w14:paraId="2A716E1D" w14:textId="41F3B545" w:rsidR="00F8503D" w:rsidRDefault="1707F777">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WIOA Title II</w:t>
      </w:r>
      <w:r w:rsidR="0033067D" w:rsidRPr="7B188CE2">
        <w:rPr>
          <w:rFonts w:ascii="Verdana" w:eastAsia="Verdana" w:hAnsi="Verdana" w:cs="Verdana"/>
          <w:color w:val="000000" w:themeColor="text1"/>
          <w:sz w:val="23"/>
          <w:szCs w:val="23"/>
          <w:lang w:val="en-US"/>
        </w:rPr>
        <w:t xml:space="preserve"> </w:t>
      </w:r>
      <w:r w:rsidR="004019EF">
        <w:rPr>
          <w:rFonts w:ascii="Verdana" w:eastAsia="Verdana" w:hAnsi="Verdana" w:cs="Verdana"/>
          <w:color w:val="000000" w:themeColor="text1"/>
          <w:sz w:val="23"/>
          <w:szCs w:val="23"/>
          <w:lang w:val="en-US"/>
        </w:rPr>
        <w:t>Basic</w:t>
      </w:r>
      <w:r w:rsidR="4A74D6F5" w:rsidRPr="7B188CE2">
        <w:rPr>
          <w:rFonts w:ascii="Verdana" w:eastAsia="Verdana" w:hAnsi="Verdana" w:cs="Verdana"/>
          <w:color w:val="000000" w:themeColor="text1"/>
          <w:sz w:val="23"/>
          <w:szCs w:val="23"/>
          <w:lang w:val="en-US"/>
        </w:rPr>
        <w:t xml:space="preserve"> Education </w:t>
      </w:r>
      <w:r w:rsidR="0033067D" w:rsidRPr="7B188CE2">
        <w:rPr>
          <w:rFonts w:ascii="Verdana" w:eastAsia="Verdana" w:hAnsi="Verdana" w:cs="Verdana"/>
          <w:color w:val="000000" w:themeColor="text1"/>
          <w:sz w:val="23"/>
          <w:szCs w:val="23"/>
          <w:lang w:val="en-US"/>
        </w:rPr>
        <w:t xml:space="preserve">instructors must have at least a Bachelor’s degree in the content area or related field and meet any </w:t>
      </w:r>
      <w:r w:rsidR="0033067D" w:rsidRPr="7B188CE2">
        <w:rPr>
          <w:rFonts w:ascii="Verdana" w:eastAsia="Verdana" w:hAnsi="Verdana" w:cs="Verdana"/>
          <w:color w:val="000000" w:themeColor="text1"/>
          <w:sz w:val="23"/>
          <w:szCs w:val="23"/>
          <w:lang w:val="en-US"/>
        </w:rPr>
        <w:lastRenderedPageBreak/>
        <w:t>additional qualifications required by the college or district for faculty in other academic departments.</w:t>
      </w:r>
    </w:p>
    <w:p w14:paraId="5C9A28AC" w14:textId="5C9C5D45" w:rsidR="00F8503D" w:rsidRDefault="0033067D">
      <w:pPr>
        <w:numPr>
          <w:ilvl w:val="7"/>
          <w:numId w:val="24"/>
        </w:numPr>
        <w:pBdr>
          <w:top w:val="nil"/>
          <w:left w:val="nil"/>
          <w:bottom w:val="nil"/>
          <w:right w:val="nil"/>
          <w:between w:val="nil"/>
        </w:pBdr>
        <w:spacing w:after="160" w:line="276" w:lineRule="auto"/>
        <w:ind w:left="1080"/>
      </w:pPr>
      <w:r w:rsidRPr="3C4EB1C1">
        <w:rPr>
          <w:rFonts w:ascii="Verdana" w:eastAsia="Verdana" w:hAnsi="Verdana" w:cs="Verdana"/>
          <w:color w:val="000000" w:themeColor="text1"/>
          <w:sz w:val="23"/>
          <w:szCs w:val="23"/>
          <w:lang w:val="en-US"/>
        </w:rPr>
        <w:t>Hiring practices for instructors must be documented and must be consistent with those used by the college or district for faculty in other academic departments.</w:t>
      </w:r>
    </w:p>
    <w:p w14:paraId="21173C08"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Instructor—Non-academic Organizations:</w:t>
      </w:r>
    </w:p>
    <w:p w14:paraId="1366C7D1" w14:textId="6E00027F"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All </w:t>
      </w:r>
      <w:r w:rsidR="24823DE3" w:rsidRPr="7B188CE2">
        <w:rPr>
          <w:rFonts w:ascii="Verdana" w:eastAsia="Verdana" w:hAnsi="Verdana" w:cs="Verdana"/>
          <w:color w:val="000000" w:themeColor="text1"/>
          <w:sz w:val="23"/>
          <w:szCs w:val="23"/>
          <w:lang w:val="en-US"/>
        </w:rPr>
        <w:t xml:space="preserve">WIOA Title II </w:t>
      </w:r>
      <w:r w:rsidR="004019EF">
        <w:rPr>
          <w:rFonts w:ascii="Verdana" w:eastAsia="Verdana" w:hAnsi="Verdana" w:cs="Verdana"/>
          <w:color w:val="000000" w:themeColor="text1"/>
          <w:sz w:val="23"/>
          <w:szCs w:val="23"/>
          <w:lang w:val="en-US"/>
        </w:rPr>
        <w:t>Basic</w:t>
      </w:r>
      <w:r w:rsidR="24823DE3" w:rsidRPr="7B188CE2">
        <w:rPr>
          <w:rFonts w:ascii="Verdana" w:eastAsia="Verdana" w:hAnsi="Verdana" w:cs="Verdana"/>
          <w:color w:val="000000" w:themeColor="text1"/>
          <w:sz w:val="23"/>
          <w:szCs w:val="23"/>
          <w:lang w:val="en-US"/>
        </w:rPr>
        <w:t xml:space="preserve"> Education </w:t>
      </w:r>
      <w:r w:rsidRPr="7B188CE2">
        <w:rPr>
          <w:rFonts w:ascii="Verdana" w:eastAsia="Verdana" w:hAnsi="Verdana" w:cs="Verdana"/>
          <w:color w:val="000000" w:themeColor="text1"/>
          <w:sz w:val="23"/>
          <w:szCs w:val="23"/>
          <w:lang w:val="en-US"/>
        </w:rPr>
        <w:t>instructors must have at least a Bachelor’s degree in the content area or related field and meet any additional qualifications required by the organization.</w:t>
      </w:r>
    </w:p>
    <w:p w14:paraId="690C4649" w14:textId="329F45B6" w:rsidR="00F8503D" w:rsidRDefault="0033067D">
      <w:pPr>
        <w:numPr>
          <w:ilvl w:val="7"/>
          <w:numId w:val="24"/>
        </w:numPr>
        <w:pBdr>
          <w:top w:val="nil"/>
          <w:left w:val="nil"/>
          <w:bottom w:val="nil"/>
          <w:right w:val="nil"/>
          <w:between w:val="nil"/>
        </w:pBdr>
        <w:spacing w:after="160" w:line="276" w:lineRule="auto"/>
        <w:ind w:left="1080"/>
      </w:pPr>
      <w:r w:rsidRPr="5019B930">
        <w:rPr>
          <w:rFonts w:ascii="Verdana" w:eastAsia="Verdana" w:hAnsi="Verdana" w:cs="Verdana"/>
          <w:color w:val="000000" w:themeColor="text1"/>
          <w:sz w:val="23"/>
          <w:szCs w:val="23"/>
          <w:lang w:val="en-US"/>
        </w:rPr>
        <w:t>Hiring practices for instructors must be documented and must be consistent with those used by the organization for other professional staff.</w:t>
      </w:r>
    </w:p>
    <w:p w14:paraId="16F1428D"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Director or Coordinator—Academic Organizations:</w:t>
      </w:r>
    </w:p>
    <w:p w14:paraId="4092E181" w14:textId="722A2ADB"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All </w:t>
      </w:r>
      <w:r w:rsidR="03CA412C" w:rsidRPr="7B188CE2">
        <w:rPr>
          <w:rFonts w:ascii="Verdana" w:eastAsia="Verdana" w:hAnsi="Verdana" w:cs="Verdana"/>
          <w:color w:val="000000" w:themeColor="text1"/>
          <w:sz w:val="23"/>
          <w:szCs w:val="23"/>
          <w:lang w:val="en-US"/>
        </w:rPr>
        <w:t xml:space="preserve">WIOA Title II </w:t>
      </w:r>
      <w:r w:rsidR="004019EF">
        <w:rPr>
          <w:rFonts w:ascii="Verdana" w:eastAsia="Verdana" w:hAnsi="Verdana" w:cs="Verdana"/>
          <w:color w:val="000000" w:themeColor="text1"/>
          <w:sz w:val="23"/>
          <w:szCs w:val="23"/>
          <w:lang w:val="en-US"/>
        </w:rPr>
        <w:t>Basic</w:t>
      </w:r>
      <w:r w:rsidR="03CA412C" w:rsidRPr="7B188CE2">
        <w:rPr>
          <w:rFonts w:ascii="Verdana" w:eastAsia="Verdana" w:hAnsi="Verdana" w:cs="Verdana"/>
          <w:color w:val="000000" w:themeColor="text1"/>
          <w:sz w:val="23"/>
          <w:szCs w:val="23"/>
          <w:lang w:val="en-US"/>
        </w:rPr>
        <w:t xml:space="preserve"> Education</w:t>
      </w:r>
      <w:r w:rsidRPr="7B188CE2">
        <w:rPr>
          <w:rFonts w:ascii="Verdana" w:eastAsia="Verdana" w:hAnsi="Verdana" w:cs="Verdana"/>
          <w:color w:val="000000" w:themeColor="text1"/>
          <w:sz w:val="23"/>
          <w:szCs w:val="23"/>
          <w:lang w:val="en-US"/>
        </w:rPr>
        <w:t xml:space="preserve"> directors and/or coordinators must have at least a Master’s degree in education or a related field, three years of experience in an instructional setting, and meet any additional qualifications required by the college or district for administrators in academic departments. </w:t>
      </w:r>
    </w:p>
    <w:p w14:paraId="5DE1FA3D" w14:textId="4B5F8E6A"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An exemption may be requested and must be approved by the State </w:t>
      </w:r>
      <w:r w:rsidR="0F117287" w:rsidRPr="7B188CE2">
        <w:rPr>
          <w:rFonts w:ascii="Verdana" w:eastAsia="Verdana" w:hAnsi="Verdana" w:cs="Verdana"/>
          <w:color w:val="000000" w:themeColor="text1"/>
          <w:sz w:val="23"/>
          <w:szCs w:val="23"/>
          <w:lang w:val="en-US"/>
        </w:rPr>
        <w:t>WIOA Title II</w:t>
      </w:r>
      <w:r w:rsidRPr="7B188CE2">
        <w:rPr>
          <w:rFonts w:ascii="Verdana" w:eastAsia="Verdana" w:hAnsi="Verdana" w:cs="Verdana"/>
          <w:color w:val="000000" w:themeColor="text1"/>
          <w:sz w:val="23"/>
          <w:szCs w:val="23"/>
          <w:lang w:val="en-US"/>
        </w:rPr>
        <w:t xml:space="preserve"> Director in writing for those whom the organization feels are qualified to fulfill the duties and responsibilities of Director or Coordinator and have at least 10 years of direct A</w:t>
      </w:r>
      <w:r w:rsidR="3164924F" w:rsidRPr="7B188CE2">
        <w:rPr>
          <w:rFonts w:ascii="Verdana" w:eastAsia="Verdana" w:hAnsi="Verdana" w:cs="Verdana"/>
          <w:color w:val="000000" w:themeColor="text1"/>
          <w:sz w:val="23"/>
          <w:szCs w:val="23"/>
          <w:lang w:val="en-US"/>
        </w:rPr>
        <w:t xml:space="preserve">dult education </w:t>
      </w:r>
      <w:r w:rsidRPr="7B188CE2">
        <w:rPr>
          <w:rFonts w:ascii="Verdana" w:eastAsia="Verdana" w:hAnsi="Verdana" w:cs="Verdana"/>
          <w:color w:val="000000" w:themeColor="text1"/>
          <w:sz w:val="23"/>
          <w:szCs w:val="23"/>
          <w:lang w:val="en-US"/>
        </w:rPr>
        <w:t xml:space="preserve"> program experience.</w:t>
      </w:r>
    </w:p>
    <w:p w14:paraId="4149D0F9" w14:textId="1385A157"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rPr>
        <w:t xml:space="preserve">Hiring practices for </w:t>
      </w:r>
      <w:r w:rsidR="55C7F467" w:rsidRPr="7B188CE2">
        <w:rPr>
          <w:rFonts w:ascii="Verdana" w:eastAsia="Verdana" w:hAnsi="Verdana" w:cs="Verdana"/>
          <w:color w:val="000000" w:themeColor="text1"/>
          <w:sz w:val="23"/>
          <w:szCs w:val="23"/>
        </w:rPr>
        <w:t>WIOA Title II</w:t>
      </w:r>
      <w:r w:rsidRPr="7B188CE2">
        <w:rPr>
          <w:rFonts w:ascii="Verdana" w:eastAsia="Verdana" w:hAnsi="Verdana" w:cs="Verdana"/>
          <w:color w:val="000000" w:themeColor="text1"/>
          <w:sz w:val="23"/>
          <w:szCs w:val="23"/>
        </w:rPr>
        <w:t xml:space="preserve"> directors or coordinators must be documented and must be consistent with those used by the college or district for administrators in academic departments.</w:t>
      </w:r>
    </w:p>
    <w:p w14:paraId="47E2BFFE"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Director or Coordinator—Non-academic Organizations:</w:t>
      </w:r>
    </w:p>
    <w:p w14:paraId="60EC3D73" w14:textId="3E2591EE"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All</w:t>
      </w:r>
      <w:r w:rsidR="6CB24C95" w:rsidRPr="7B188CE2">
        <w:rPr>
          <w:rFonts w:ascii="Verdana" w:eastAsia="Verdana" w:hAnsi="Verdana" w:cs="Verdana"/>
          <w:color w:val="000000" w:themeColor="text1"/>
          <w:sz w:val="23"/>
          <w:szCs w:val="23"/>
          <w:lang w:val="en-US"/>
        </w:rPr>
        <w:t xml:space="preserve"> WIOA Title II </w:t>
      </w:r>
      <w:r w:rsidRPr="7B188CE2">
        <w:rPr>
          <w:rFonts w:ascii="Verdana" w:eastAsia="Verdana" w:hAnsi="Verdana" w:cs="Verdana"/>
          <w:color w:val="000000" w:themeColor="text1"/>
          <w:sz w:val="23"/>
          <w:szCs w:val="23"/>
          <w:lang w:val="en-US"/>
        </w:rPr>
        <w:t>directors or coordinators must have at least a Bachelor’s degree, three years of experience in an instructional or social service setting, and meet any additional qualifications required by the organization for other administrators who supervise professional staff.</w:t>
      </w:r>
    </w:p>
    <w:p w14:paraId="61FE5E3C" w14:textId="024A7183"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rPr>
        <w:t>Hiring practices for directors or coordinators must be documented and must be consistent with those used by the organization for other administrators who supervise professional staff.</w:t>
      </w:r>
    </w:p>
    <w:p w14:paraId="76720E7E"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lastRenderedPageBreak/>
        <w:t>Guidance</w:t>
      </w:r>
    </w:p>
    <w:p w14:paraId="10A2EAC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Programs should consider the qualifications below for all staff:</w:t>
      </w:r>
    </w:p>
    <w:p w14:paraId="55161A54" w14:textId="381A7140" w:rsidR="00F8503D" w:rsidRDefault="0033067D">
      <w:pPr>
        <w:numPr>
          <w:ilvl w:val="0"/>
          <w:numId w:val="58"/>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Training or coursework in teaching </w:t>
      </w:r>
      <w:r w:rsidR="004019EF">
        <w:rPr>
          <w:rFonts w:ascii="Verdana" w:eastAsia="Verdana" w:hAnsi="Verdana" w:cs="Verdana"/>
          <w:color w:val="000000"/>
          <w:sz w:val="23"/>
          <w:szCs w:val="23"/>
        </w:rPr>
        <w:t>Basic</w:t>
      </w:r>
      <w:r>
        <w:rPr>
          <w:rFonts w:ascii="Verdana" w:eastAsia="Verdana" w:hAnsi="Verdana" w:cs="Verdana"/>
          <w:color w:val="000000"/>
          <w:sz w:val="23"/>
          <w:szCs w:val="23"/>
        </w:rPr>
        <w:t xml:space="preserve"> skills;</w:t>
      </w:r>
    </w:p>
    <w:p w14:paraId="4BFCE547" w14:textId="3B2A2875" w:rsidR="00F8503D" w:rsidRDefault="0033067D">
      <w:pPr>
        <w:numPr>
          <w:ilvl w:val="0"/>
          <w:numId w:val="58"/>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 xml:space="preserve">Experience working with adults who </w:t>
      </w:r>
      <w:r w:rsidR="4FBD36B3" w:rsidRPr="7B188CE2">
        <w:rPr>
          <w:rFonts w:ascii="Verdana" w:eastAsia="Verdana" w:hAnsi="Verdana" w:cs="Verdana"/>
          <w:color w:val="000000" w:themeColor="text1"/>
          <w:sz w:val="23"/>
          <w:szCs w:val="23"/>
          <w:lang w:val="en-US"/>
        </w:rPr>
        <w:t xml:space="preserve">are building </w:t>
      </w:r>
      <w:r w:rsidR="004019EF">
        <w:rPr>
          <w:rFonts w:ascii="Verdana" w:eastAsia="Verdana" w:hAnsi="Verdana" w:cs="Verdana"/>
          <w:color w:val="000000" w:themeColor="text1"/>
          <w:sz w:val="23"/>
          <w:szCs w:val="23"/>
          <w:lang w:val="en-US"/>
        </w:rPr>
        <w:t>Basic</w:t>
      </w:r>
      <w:r w:rsidR="4FBD36B3" w:rsidRPr="7B188CE2">
        <w:rPr>
          <w:rFonts w:ascii="Verdana" w:eastAsia="Verdana" w:hAnsi="Verdana" w:cs="Verdana"/>
          <w:color w:val="000000" w:themeColor="text1"/>
          <w:sz w:val="23"/>
          <w:szCs w:val="23"/>
          <w:lang w:val="en-US"/>
        </w:rPr>
        <w:t xml:space="preserve"> education</w:t>
      </w:r>
      <w:r w:rsidRPr="7B188CE2">
        <w:rPr>
          <w:rFonts w:ascii="Verdana" w:eastAsia="Verdana" w:hAnsi="Verdana" w:cs="Verdana"/>
          <w:color w:val="000000" w:themeColor="text1"/>
          <w:sz w:val="23"/>
          <w:szCs w:val="23"/>
          <w:lang w:val="en-US"/>
        </w:rPr>
        <w:t xml:space="preserve"> skills, disabilities, low income, or cultural barriers;</w:t>
      </w:r>
    </w:p>
    <w:p w14:paraId="3FF4A9B0" w14:textId="77777777" w:rsidR="00F8503D" w:rsidRDefault="0033067D">
      <w:pPr>
        <w:numPr>
          <w:ilvl w:val="0"/>
          <w:numId w:val="58"/>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Proficiency in oral and written English; and</w:t>
      </w:r>
    </w:p>
    <w:p w14:paraId="281E9710" w14:textId="77777777" w:rsidR="00F8503D" w:rsidRDefault="0033067D">
      <w:pPr>
        <w:numPr>
          <w:ilvl w:val="0"/>
          <w:numId w:val="58"/>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Competency in the subject area. </w:t>
      </w:r>
    </w:p>
    <w:p w14:paraId="3895F749" w14:textId="77777777" w:rsidR="00F8503D" w:rsidRDefault="00F8503D">
      <w:pPr>
        <w:pBdr>
          <w:top w:val="nil"/>
          <w:left w:val="nil"/>
          <w:bottom w:val="nil"/>
          <w:right w:val="nil"/>
          <w:between w:val="nil"/>
        </w:pBdr>
        <w:spacing w:after="160" w:line="276" w:lineRule="auto"/>
        <w:ind w:left="720"/>
        <w:rPr>
          <w:rFonts w:ascii="Verdana" w:eastAsia="Verdana" w:hAnsi="Verdana" w:cs="Verdana"/>
          <w:color w:val="000000"/>
          <w:sz w:val="23"/>
          <w:szCs w:val="23"/>
        </w:rPr>
      </w:pPr>
    </w:p>
    <w:p w14:paraId="6C3C8761"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5" w:name="_2zb101gpiiyg" w:colFirst="0" w:colLast="0"/>
      <w:bookmarkEnd w:id="5"/>
      <w:r>
        <w:rPr>
          <w:rFonts w:ascii="Arial" w:eastAsia="Arial" w:hAnsi="Arial" w:cs="Arial"/>
          <w:b/>
          <w:bCs/>
          <w:smallCaps/>
          <w:color w:val="6A976C"/>
          <w:sz w:val="32"/>
          <w:szCs w:val="32"/>
        </w:rPr>
        <w:lastRenderedPageBreak/>
        <w:t>Performance</w:t>
      </w:r>
    </w:p>
    <w:p w14:paraId="6922889A" w14:textId="77777777" w:rsidR="00F8503D" w:rsidRDefault="0033067D">
      <w:pPr>
        <w:keepNext/>
        <w:numPr>
          <w:ilvl w:val="2"/>
          <w:numId w:val="24"/>
        </w:numPr>
        <w:pBdr>
          <w:top w:val="nil"/>
          <w:left w:val="nil"/>
          <w:bottom w:val="nil"/>
          <w:right w:val="nil"/>
          <w:between w:val="nil"/>
        </w:pBdr>
        <w:spacing w:before="240" w:after="40" w:line="276" w:lineRule="auto"/>
      </w:pPr>
      <w:bookmarkStart w:id="6" w:name="_si1q4ke4zq55" w:colFirst="0" w:colLast="0"/>
      <w:bookmarkEnd w:id="6"/>
      <w:r>
        <w:rPr>
          <w:rFonts w:ascii="Arial" w:eastAsia="Arial" w:hAnsi="Arial" w:cs="Arial"/>
          <w:smallCaps/>
          <w:color w:val="6A976C"/>
          <w:sz w:val="28"/>
          <w:szCs w:val="28"/>
        </w:rPr>
        <w:t>WIOA Primary Indicators of Performance</w:t>
      </w:r>
    </w:p>
    <w:p w14:paraId="6CDF593B"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4F6F0BBE" w14:textId="3B478B9E" w:rsidR="00F8503D" w:rsidRDefault="0033067D" w:rsidP="26274FD9">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26274FD9">
        <w:rPr>
          <w:rFonts w:ascii="Verdana" w:eastAsia="Verdana" w:hAnsi="Verdana" w:cs="Verdana"/>
          <w:color w:val="000000" w:themeColor="text1"/>
          <w:sz w:val="23"/>
          <w:szCs w:val="23"/>
          <w:lang w:val="en-US"/>
        </w:rPr>
        <w:t>WIOA aligns performance-related definitions, streamlines performance indicators, integrates reporting, and ensures comparable data collection and reporting across all six core WIOA programs, while also implementing program-specific (e.g., Title II) requirements related to data collection and reporting. Section 116 of WIOA (</w:t>
      </w:r>
      <w:hyperlink r:id="rId27">
        <w:r w:rsidRPr="26274FD9">
          <w:rPr>
            <w:rFonts w:ascii="Verdana" w:eastAsia="Verdana" w:hAnsi="Verdana" w:cs="Verdana"/>
            <w:color w:val="0000FF"/>
            <w:sz w:val="23"/>
            <w:szCs w:val="23"/>
            <w:lang w:val="en-US"/>
          </w:rPr>
          <w:t>https://www.congress.gov/113/bills/hr803/BILLS-113hr803enr.pdf</w:t>
        </w:r>
      </w:hyperlink>
      <w:r w:rsidRPr="26274FD9">
        <w:rPr>
          <w:rFonts w:ascii="Verdana" w:eastAsia="Verdana" w:hAnsi="Verdana" w:cs="Verdana"/>
          <w:color w:val="000000" w:themeColor="text1"/>
          <w:sz w:val="23"/>
          <w:szCs w:val="23"/>
          <w:lang w:val="en-US"/>
        </w:rPr>
        <w:t>) establishes performance accountability indicators and performance reporting requirements to assess the effectiveness of states and areas in achieving positive outcomes for individuals served by the workforce development system’s six core programs.</w:t>
      </w:r>
    </w:p>
    <w:p w14:paraId="722253A8" w14:textId="24404C4C" w:rsidR="00F8503D" w:rsidRDefault="0033067D" w:rsidP="0E6AD713">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0E6AD713">
        <w:rPr>
          <w:rFonts w:ascii="Verdana" w:eastAsia="Verdana" w:hAnsi="Verdana" w:cs="Verdana"/>
          <w:color w:val="000000" w:themeColor="text1"/>
          <w:sz w:val="23"/>
          <w:szCs w:val="23"/>
          <w:lang w:val="en-US"/>
        </w:rPr>
        <w:t>The joint U.S. Departments of Education and Labor (the Departments) final regulations present several provisions designed to improve accountability and transparency within the workforce system and measure key employment and educational outcomes, as well as program effectiveness in meeting employer needs. WIOA section 116(b)(2)(A) identifies six primary indicators of performance for all Titles:</w:t>
      </w:r>
    </w:p>
    <w:p w14:paraId="29F059DB"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Employment Rate – 2nd Quarter after Exit: The percentage of participants who are in unsubsidized employment during the second quarter after exit from the program;</w:t>
      </w:r>
    </w:p>
    <w:p w14:paraId="04B3E9EC"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Employment Rate – 4th Quarter after Exit: The percentage of participants who are in unsubsidized employment during the fourth quarter after exit from the program;</w:t>
      </w:r>
    </w:p>
    <w:p w14:paraId="0521C187"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Median Earnings – 2nd Quarter after Exit: The median earnings of participants who are in unsubsidized employment during the second quarter after exit from the program;</w:t>
      </w:r>
    </w:p>
    <w:p w14:paraId="7B0A13C2"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Credential Attainment – The percentage of those participants enrolled in an education or training program (excluding those in on-the-job training (OJT) and customized training) who attain a recognized postsecondary credential or a secondary school diploma, or its recognized equivalent, during participation in or within one year after exit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w:t>
      </w:r>
      <w:r>
        <w:rPr>
          <w:rFonts w:ascii="Verdana" w:eastAsia="Verdana" w:hAnsi="Verdana" w:cs="Verdana"/>
          <w:color w:val="000000"/>
          <w:sz w:val="23"/>
          <w:szCs w:val="23"/>
        </w:rPr>
        <w:lastRenderedPageBreak/>
        <w:t>recognized postsecondary credential within one year after exit from the program;</w:t>
      </w:r>
    </w:p>
    <w:p w14:paraId="4CA4F0C3"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Measurable Skill Gains – (pictured below) 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 Depending on the type of education or training program, progress is defined as one of the following:</w:t>
      </w:r>
    </w:p>
    <w:p w14:paraId="6EB54945" w14:textId="77777777" w:rsidR="00F8503D" w:rsidRDefault="0033067D">
      <w:pPr>
        <w:numPr>
          <w:ilvl w:val="7"/>
          <w:numId w:val="24"/>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Documented achievement of at least one educational functioning level of a participant who is receiving instruction below the postsecondary education level; </w:t>
      </w:r>
    </w:p>
    <w:p w14:paraId="3BC8D381" w14:textId="77777777" w:rsidR="00F8503D" w:rsidRDefault="0033067D">
      <w:pPr>
        <w:numPr>
          <w:ilvl w:val="7"/>
          <w:numId w:val="24"/>
        </w:numPr>
        <w:pBdr>
          <w:top w:val="nil"/>
          <w:left w:val="nil"/>
          <w:bottom w:val="nil"/>
          <w:right w:val="nil"/>
          <w:between w:val="nil"/>
        </w:pBdr>
        <w:spacing w:after="160" w:line="276" w:lineRule="auto"/>
        <w:ind w:left="1080"/>
      </w:pPr>
      <w:r>
        <w:rPr>
          <w:rFonts w:ascii="Verdana" w:eastAsia="Verdana" w:hAnsi="Verdana" w:cs="Verdana"/>
          <w:color w:val="000000"/>
          <w:sz w:val="23"/>
          <w:szCs w:val="23"/>
        </w:rPr>
        <w:t>Documented attainment of a secondary school diploma or its recognized equivalent;</w:t>
      </w:r>
    </w:p>
    <w:p w14:paraId="2266C405" w14:textId="77777777"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Secondary or postsecondary transcript or report card for a sufficient number of credit hours that shows a participant is meeting the State unit’s academic standards;</w:t>
      </w:r>
    </w:p>
    <w:p w14:paraId="5B7ACA95" w14:textId="77777777" w:rsidR="00F8503D" w:rsidRDefault="0033067D">
      <w:pPr>
        <w:numPr>
          <w:ilvl w:val="7"/>
          <w:numId w:val="24"/>
        </w:numPr>
        <w:pBdr>
          <w:top w:val="nil"/>
          <w:left w:val="nil"/>
          <w:bottom w:val="nil"/>
          <w:right w:val="nil"/>
          <w:between w:val="nil"/>
        </w:pBdr>
        <w:spacing w:after="160" w:line="276" w:lineRule="auto"/>
        <w:ind w:left="1080"/>
      </w:pPr>
      <w:r>
        <w:rPr>
          <w:rFonts w:ascii="Verdana" w:eastAsia="Verdana" w:hAnsi="Verdana" w:cs="Verdana"/>
          <w:color w:val="000000"/>
          <w:sz w:val="23"/>
          <w:szCs w:val="23"/>
        </w:rPr>
        <w:t>Satisfactory or better progress report, towards established milestones, such as completion of OJT or completion of one year of an apprenticeship program or similar milestones, from an employer or training provider who is providing training; or</w:t>
      </w:r>
    </w:p>
    <w:p w14:paraId="10BA9D02" w14:textId="77777777" w:rsidR="00F8503D" w:rsidRDefault="0033067D">
      <w:pPr>
        <w:numPr>
          <w:ilvl w:val="7"/>
          <w:numId w:val="2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Successful passage of an exam that is required for a particular occupation or progress in attaining technical or occupational skills as evidenced by trade-related benchmarks such as knowledge-based exams. (OCTAE Program Memorandum 17-2)</w:t>
      </w:r>
    </w:p>
    <w:p w14:paraId="62261843" w14:textId="26B9A9FB" w:rsidR="00F8503D" w:rsidRDefault="0033067D">
      <w:pPr>
        <w:numPr>
          <w:ilvl w:val="6"/>
          <w:numId w:val="24"/>
        </w:numPr>
        <w:pBdr>
          <w:top w:val="nil"/>
          <w:left w:val="nil"/>
          <w:bottom w:val="nil"/>
          <w:right w:val="nil"/>
          <w:between w:val="nil"/>
        </w:pBdr>
        <w:spacing w:after="160" w:line="276" w:lineRule="auto"/>
        <w:ind w:left="360"/>
        <w:rPr>
          <w:rFonts w:ascii="Verdana" w:eastAsia="Verdana" w:hAnsi="Verdana" w:cs="Verdana"/>
          <w:color w:val="000000" w:themeColor="text1"/>
          <w:sz w:val="23"/>
          <w:szCs w:val="23"/>
          <w:lang w:val="en-US"/>
        </w:rPr>
      </w:pPr>
      <w:r w:rsidRPr="0E6AD713">
        <w:rPr>
          <w:rFonts w:ascii="Verdana" w:eastAsia="Verdana" w:hAnsi="Verdana" w:cs="Verdana"/>
          <w:color w:val="000000" w:themeColor="text1"/>
          <w:sz w:val="23"/>
          <w:szCs w:val="23"/>
          <w:lang w:val="en-US"/>
        </w:rPr>
        <w:t xml:space="preserve">Effectiveness in serving employers – WIOA section 116(b)(2)(A)(i)(VI) requires the Departments to establish a primary indicator of performance for effectiveness in serving employers. On February 23, 2024, the U.S. Departments of Education and Labor published a </w:t>
      </w:r>
      <w:hyperlink r:id="rId28">
        <w:r w:rsidRPr="004A7903">
          <w:rPr>
            <w:rFonts w:ascii="Verdana" w:eastAsia="Verdana" w:hAnsi="Verdana" w:cs="Verdana"/>
            <w:sz w:val="23"/>
            <w:szCs w:val="23"/>
            <w:lang w:val="en-US"/>
          </w:rPr>
          <w:t>final rule</w:t>
        </w:r>
      </w:hyperlink>
      <w:r w:rsidRPr="0E6AD713">
        <w:rPr>
          <w:rFonts w:ascii="Verdana" w:eastAsia="Verdana" w:hAnsi="Verdana" w:cs="Verdana"/>
          <w:color w:val="000000" w:themeColor="text1"/>
          <w:sz w:val="23"/>
          <w:szCs w:val="23"/>
          <w:lang w:val="en-US"/>
        </w:rPr>
        <w:t xml:space="preserve"> in the Federal Register (89 FR 13814) that defines the sixth performance indicator – effectiveness in serving employers – as Retention with the Same Employer in the second and fourth quarters following a participant’s exit from a WIOA core program and requires it to be reported by one WIOA core program on behalf of all six such programs within each state. </w:t>
      </w:r>
    </w:p>
    <w:p w14:paraId="3BA24F1A" w14:textId="6F173EDD" w:rsidR="758EFABF" w:rsidRDefault="758EFABF" w:rsidP="00E76ADE">
      <w:pPr>
        <w:pBdr>
          <w:top w:val="nil"/>
          <w:left w:val="nil"/>
          <w:bottom w:val="nil"/>
          <w:right w:val="nil"/>
          <w:between w:val="nil"/>
        </w:pBdr>
      </w:pPr>
      <w:r>
        <w:rPr>
          <w:noProof/>
        </w:rPr>
        <w:lastRenderedPageBreak/>
        <w:drawing>
          <wp:inline distT="0" distB="0" distL="0" distR="0" wp14:anchorId="2E12C385" wp14:editId="3BA7DBFC">
            <wp:extent cx="5943600" cy="3190875"/>
            <wp:effectExtent l="9525" t="9525" r="9525" b="9525"/>
            <wp:docPr id="387340111" name="drawing" descr="Chart showing the types of measurable skill gains, how they are earned, and what program they apply to (for example, Title II programs in general or Integrated Education and Training program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40111" name="Picture 387340111"/>
                    <pic:cNvPicPr/>
                  </pic:nvPicPr>
                  <pic:blipFill>
                    <a:blip r:embed="rId29">
                      <a:extLst>
                        <a:ext uri="{28A0092B-C50C-407E-A947-70E740481C1C}">
                          <a14:useLocalDpi xmlns:a14="http://schemas.microsoft.com/office/drawing/2010/main"/>
                        </a:ext>
                      </a:extLst>
                    </a:blip>
                    <a:stretch>
                      <a:fillRect/>
                    </a:stretch>
                  </pic:blipFill>
                  <pic:spPr>
                    <a:xfrm>
                      <a:off x="0" y="0"/>
                      <a:ext cx="5943600" cy="3190875"/>
                    </a:xfrm>
                    <a:prstGeom prst="rect">
                      <a:avLst/>
                    </a:prstGeom>
                    <a:ln w="9525">
                      <a:solidFill>
                        <a:schemeClr val="tx1"/>
                      </a:solidFill>
                      <a:prstDash val="solid"/>
                    </a:ln>
                  </pic:spPr>
                </pic:pic>
              </a:graphicData>
            </a:graphic>
          </wp:inline>
        </w:drawing>
      </w:r>
    </w:p>
    <w:p w14:paraId="6A7DA791" w14:textId="1E4D918C" w:rsidR="00F8503D" w:rsidRDefault="1F5E4F80" w:rsidP="00E76ADE">
      <w:pPr>
        <w:pBdr>
          <w:top w:val="nil"/>
          <w:left w:val="nil"/>
          <w:bottom w:val="nil"/>
          <w:right w:val="nil"/>
          <w:between w:val="nil"/>
        </w:pBdr>
        <w:rPr>
          <w:rFonts w:ascii="Verdana" w:eastAsia="Verdana" w:hAnsi="Verdana" w:cs="Verdana"/>
          <w:color w:val="000000"/>
          <w:sz w:val="22"/>
          <w:szCs w:val="22"/>
        </w:rPr>
      </w:pPr>
      <w:r w:rsidRPr="00E76ADE">
        <w:rPr>
          <w:rFonts w:ascii="Verdana" w:eastAsia="Verdana" w:hAnsi="Verdana" w:cs="Verdana"/>
          <w:i/>
          <w:iCs/>
          <w:color w:val="000000" w:themeColor="text1"/>
          <w:sz w:val="22"/>
          <w:szCs w:val="22"/>
        </w:rPr>
        <w:t>For more information</w:t>
      </w:r>
      <w:r w:rsidR="25B54B91" w:rsidRPr="00E76ADE">
        <w:rPr>
          <w:rFonts w:ascii="Verdana" w:eastAsia="Verdana" w:hAnsi="Verdana" w:cs="Verdana"/>
          <w:i/>
          <w:iCs/>
          <w:color w:val="000000" w:themeColor="text1"/>
          <w:sz w:val="22"/>
          <w:szCs w:val="22"/>
        </w:rPr>
        <w:t xml:space="preserve"> on Measurable Skill Gains,</w:t>
      </w:r>
      <w:r w:rsidRPr="00E76ADE">
        <w:rPr>
          <w:rFonts w:ascii="Verdana" w:eastAsia="Verdana" w:hAnsi="Verdana" w:cs="Verdana"/>
          <w:i/>
          <w:iCs/>
          <w:color w:val="000000" w:themeColor="text1"/>
          <w:sz w:val="22"/>
          <w:szCs w:val="22"/>
        </w:rPr>
        <w:t xml:space="preserve"> refer to OCTAE Program Memorandum 17-2: </w:t>
      </w:r>
      <w:hyperlink r:id="rId30" w:history="1">
        <w:r w:rsidRPr="00FF1C05">
          <w:rPr>
            <w:rStyle w:val="Hyperlink"/>
            <w:rFonts w:ascii="Verdana" w:eastAsia="Verdana" w:hAnsi="Verdana" w:cs="Verdana"/>
            <w:i/>
            <w:iCs/>
            <w:color w:val="0070C0"/>
            <w:sz w:val="22"/>
            <w:szCs w:val="22"/>
          </w:rPr>
          <w:t>https://www2.ed.gov/policy/adulted/guid/memoranda.html</w:t>
        </w:r>
      </w:hyperlink>
      <w:r w:rsidRPr="008F1F89">
        <w:rPr>
          <w:rFonts w:ascii="Verdana" w:eastAsia="Verdana" w:hAnsi="Verdana" w:cs="Verdana"/>
          <w:i/>
          <w:iCs/>
          <w:color w:val="000000" w:themeColor="text1"/>
          <w:sz w:val="22"/>
          <w:szCs w:val="22"/>
        </w:rPr>
        <w:t>.</w:t>
      </w:r>
    </w:p>
    <w:p w14:paraId="469D4A6D" w14:textId="23B109F4" w:rsidR="26274FD9" w:rsidRDefault="26274FD9" w:rsidP="26274FD9">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p>
    <w:p w14:paraId="71924EB9" w14:textId="72A0C699" w:rsidR="00F8503D" w:rsidRDefault="0033067D" w:rsidP="26274FD9">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26274FD9">
        <w:rPr>
          <w:rFonts w:ascii="Verdana" w:eastAsia="Verdana" w:hAnsi="Verdana" w:cs="Verdana"/>
          <w:color w:val="000000" w:themeColor="text1"/>
          <w:sz w:val="23"/>
          <w:szCs w:val="23"/>
          <w:lang w:val="en-US"/>
        </w:rPr>
        <w:t>Individual learner outcomes for all measures are collected and calculated using learner data submitted into the CASAS TOPSpro Enterprise</w:t>
      </w:r>
      <w:r w:rsidRPr="26274FD9">
        <w:rPr>
          <w:rFonts w:ascii="Verdana" w:eastAsia="Verdana" w:hAnsi="Verdana" w:cs="Verdana"/>
          <w:color w:val="000000" w:themeColor="text1"/>
          <w:sz w:val="23"/>
          <w:szCs w:val="23"/>
          <w:vertAlign w:val="superscript"/>
          <w:lang w:val="en-US"/>
        </w:rPr>
        <w:t>®</w:t>
      </w:r>
      <w:r w:rsidRPr="26274FD9">
        <w:rPr>
          <w:rFonts w:ascii="Verdana" w:eastAsia="Verdana" w:hAnsi="Verdana" w:cs="Verdana"/>
          <w:color w:val="000000" w:themeColor="text1"/>
          <w:sz w:val="23"/>
          <w:szCs w:val="23"/>
          <w:lang w:val="en-US"/>
        </w:rPr>
        <w:t xml:space="preserve"> (Tracking of Programs and Students) database, as well as data matching with the Oregon Employment Department, National Student Clearinghouse, GED</w:t>
      </w:r>
      <w:r w:rsidRPr="26274FD9">
        <w:rPr>
          <w:rFonts w:ascii="Verdana" w:eastAsia="Verdana" w:hAnsi="Verdana" w:cs="Verdana"/>
          <w:color w:val="000000" w:themeColor="text1"/>
          <w:sz w:val="23"/>
          <w:szCs w:val="23"/>
          <w:vertAlign w:val="superscript"/>
          <w:lang w:val="en-US"/>
        </w:rPr>
        <w:t>®</w:t>
      </w:r>
      <w:r w:rsidRPr="26274FD9">
        <w:rPr>
          <w:rFonts w:ascii="Verdana" w:eastAsia="Verdana" w:hAnsi="Verdana" w:cs="Verdana"/>
          <w:color w:val="000000" w:themeColor="text1"/>
          <w:sz w:val="23"/>
          <w:szCs w:val="23"/>
          <w:lang w:val="en-US"/>
        </w:rPr>
        <w:t xml:space="preserve"> database, and Data for Analysis (D4A), the CCWD web-based data collection and reporting system.</w:t>
      </w:r>
    </w:p>
    <w:p w14:paraId="14E3026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Sanctions</w:t>
      </w:r>
    </w:p>
    <w:p w14:paraId="63DED764" w14:textId="21135633" w:rsidR="00F8503D" w:rsidRDefault="0033067D" w:rsidP="0E6AD713">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r w:rsidRPr="0E6AD713">
        <w:rPr>
          <w:rFonts w:ascii="Verdana" w:eastAsia="Verdana" w:hAnsi="Verdana" w:cs="Verdana"/>
          <w:color w:val="000000" w:themeColor="text1"/>
          <w:sz w:val="23"/>
          <w:szCs w:val="23"/>
          <w:lang w:val="en-US"/>
        </w:rPr>
        <w:t xml:space="preserve">WIOA identifies sanctions for states and local areas that fail to meet state performance targets. For low-performing states after the first year, technical assistance will be provided, including assistance in the development of a performance improvement plan. If a state fails to meet state targets for a second consecutive year, or a state fails to submit a required report for any program year, the percentage of the Governor’s reserve will be reduced by </w:t>
      </w:r>
      <w:r w:rsidR="6D10B697" w:rsidRPr="0E6AD713">
        <w:rPr>
          <w:rFonts w:ascii="Verdana" w:eastAsia="Verdana" w:hAnsi="Verdana" w:cs="Verdana"/>
          <w:color w:val="000000" w:themeColor="text1"/>
          <w:sz w:val="23"/>
          <w:szCs w:val="23"/>
          <w:lang w:val="en-US"/>
        </w:rPr>
        <w:t>five</w:t>
      </w:r>
      <w:r w:rsidRPr="0E6AD713">
        <w:rPr>
          <w:rFonts w:ascii="Verdana" w:eastAsia="Verdana" w:hAnsi="Verdana" w:cs="Verdana"/>
          <w:color w:val="000000" w:themeColor="text1"/>
          <w:sz w:val="23"/>
          <w:szCs w:val="23"/>
          <w:lang w:val="en-US"/>
        </w:rPr>
        <w:t xml:space="preserve"> percentage points.</w:t>
      </w:r>
    </w:p>
    <w:p w14:paraId="76FA1235" w14:textId="2B2138D1"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If local areas fail to meet local performance targets, WIOA stipulates that technical assistance </w:t>
      </w:r>
      <w:r w:rsidR="08C80186" w:rsidRPr="7B188CE2">
        <w:rPr>
          <w:rFonts w:ascii="Verdana" w:eastAsia="Verdana" w:hAnsi="Verdana" w:cs="Verdana"/>
          <w:color w:val="000000" w:themeColor="text1"/>
          <w:sz w:val="23"/>
          <w:szCs w:val="23"/>
          <w:lang w:val="en-US"/>
        </w:rPr>
        <w:t xml:space="preserve">will be provided </w:t>
      </w:r>
      <w:r w:rsidRPr="7B188CE2">
        <w:rPr>
          <w:rFonts w:ascii="Verdana" w:eastAsia="Verdana" w:hAnsi="Verdana" w:cs="Verdana"/>
          <w:color w:val="000000" w:themeColor="text1"/>
          <w:sz w:val="23"/>
          <w:szCs w:val="23"/>
          <w:lang w:val="en-US"/>
        </w:rPr>
        <w:t>which includes a performance improvement plan or modified local plan. If a local area fails to meet local performance measures for a third consecutive year, they are subject to corrective actions, which may include:</w:t>
      </w:r>
    </w:p>
    <w:p w14:paraId="72997742" w14:textId="77777777" w:rsidR="00F8503D" w:rsidRDefault="0033067D">
      <w:pPr>
        <w:numPr>
          <w:ilvl w:val="0"/>
          <w:numId w:val="59"/>
        </w:numPr>
        <w:pBdr>
          <w:top w:val="nil"/>
          <w:left w:val="nil"/>
          <w:bottom w:val="nil"/>
          <w:right w:val="nil"/>
          <w:between w:val="nil"/>
        </w:pBdr>
        <w:spacing w:after="160" w:line="276" w:lineRule="auto"/>
      </w:pPr>
      <w:r>
        <w:rPr>
          <w:rFonts w:ascii="Verdana" w:eastAsia="Verdana" w:hAnsi="Verdana" w:cs="Verdana"/>
          <w:color w:val="000000"/>
          <w:sz w:val="23"/>
          <w:szCs w:val="23"/>
        </w:rPr>
        <w:lastRenderedPageBreak/>
        <w:t>The development of a reorganization plan that consists of appointing a new local board;</w:t>
      </w:r>
    </w:p>
    <w:p w14:paraId="0481107F" w14:textId="77777777" w:rsidR="00F8503D" w:rsidRDefault="0033067D">
      <w:pPr>
        <w:numPr>
          <w:ilvl w:val="0"/>
          <w:numId w:val="59"/>
        </w:numPr>
        <w:pBdr>
          <w:top w:val="nil"/>
          <w:left w:val="nil"/>
          <w:bottom w:val="nil"/>
          <w:right w:val="nil"/>
          <w:between w:val="nil"/>
        </w:pBdr>
        <w:spacing w:after="160" w:line="276" w:lineRule="auto"/>
      </w:pPr>
      <w:r>
        <w:rPr>
          <w:rFonts w:ascii="Verdana" w:eastAsia="Verdana" w:hAnsi="Verdana" w:cs="Verdana"/>
          <w:color w:val="000000"/>
          <w:sz w:val="23"/>
          <w:szCs w:val="23"/>
        </w:rPr>
        <w:t>Prohibiting the use of eligible providers and one-stop partners identified as not meeting performance targets; and</w:t>
      </w:r>
    </w:p>
    <w:p w14:paraId="666292CE" w14:textId="77777777" w:rsidR="00F8503D" w:rsidRDefault="0033067D">
      <w:pPr>
        <w:numPr>
          <w:ilvl w:val="0"/>
          <w:numId w:val="5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Any other actions the Governor determines are appropriate.</w:t>
      </w:r>
    </w:p>
    <w:p w14:paraId="6EA6CB4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0FD1C9A6" w14:textId="77777777" w:rsidR="00F8503D" w:rsidRDefault="0033067D">
      <w:pPr>
        <w:numPr>
          <w:ilvl w:val="0"/>
          <w:numId w:val="60"/>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annually collect the necessary data to track and accurately report program performance on the WIOA primary performance indicators.</w:t>
      </w:r>
    </w:p>
    <w:p w14:paraId="7E31B134" w14:textId="77777777" w:rsidR="00F8503D" w:rsidRDefault="0033067D">
      <w:pPr>
        <w:numPr>
          <w:ilvl w:val="0"/>
          <w:numId w:val="60"/>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submit required reports to meet state and federal deadlines.</w:t>
      </w:r>
    </w:p>
    <w:p w14:paraId="5368182B" w14:textId="77777777" w:rsidR="00F8503D" w:rsidRDefault="0033067D">
      <w:pPr>
        <w:numPr>
          <w:ilvl w:val="0"/>
          <w:numId w:val="60"/>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meet annual performance targets. (For information about the consequences of not meeting targets, see Section 8 of this manual, Monitoring.)</w:t>
      </w:r>
    </w:p>
    <w:p w14:paraId="5B740243" w14:textId="77777777" w:rsidR="00F8503D" w:rsidRDefault="0033067D">
      <w:pPr>
        <w:keepNext/>
        <w:numPr>
          <w:ilvl w:val="2"/>
          <w:numId w:val="24"/>
        </w:numPr>
        <w:pBdr>
          <w:top w:val="nil"/>
          <w:left w:val="nil"/>
          <w:bottom w:val="nil"/>
          <w:right w:val="nil"/>
          <w:between w:val="nil"/>
        </w:pBdr>
        <w:spacing w:before="240" w:after="40" w:line="276" w:lineRule="auto"/>
        <w:rPr>
          <w:rFonts w:ascii="Arial" w:eastAsia="Arial" w:hAnsi="Arial" w:cs="Arial"/>
          <w:sz w:val="28"/>
          <w:szCs w:val="28"/>
        </w:rPr>
      </w:pPr>
      <w:bookmarkStart w:id="7" w:name="_3g5yyfnb1nft" w:colFirst="0" w:colLast="0"/>
      <w:bookmarkEnd w:id="7"/>
      <w:r>
        <w:rPr>
          <w:rFonts w:ascii="Arial" w:eastAsia="Arial" w:hAnsi="Arial" w:cs="Arial"/>
          <w:smallCaps/>
          <w:color w:val="6A976C"/>
          <w:sz w:val="28"/>
          <w:szCs w:val="28"/>
        </w:rPr>
        <w:t>Performance Targets</w:t>
      </w:r>
    </w:p>
    <w:p w14:paraId="0C87999D"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491CC445" w14:textId="39CCCC8F" w:rsidR="00F8503D" w:rsidRDefault="0033067D" w:rsidP="52446949">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52446949">
        <w:rPr>
          <w:rFonts w:ascii="Verdana" w:eastAsia="Verdana" w:hAnsi="Verdana" w:cs="Verdana"/>
          <w:color w:val="000000" w:themeColor="text1"/>
          <w:sz w:val="23"/>
          <w:szCs w:val="23"/>
          <w:lang w:val="en-US"/>
        </w:rPr>
        <w:t xml:space="preserve">Every two years, OCTAE negotiates the primary indicator targets with CCWD. These targets represent performance levels that Oregon is expected to meet each program year. OCTAE requires each state to submit an annual performance report through the National Reporting System (NRS) </w:t>
      </w:r>
      <w:hyperlink r:id="rId31">
        <w:r w:rsidR="0008789E" w:rsidRPr="52446949">
          <w:rPr>
            <w:rStyle w:val="Hyperlink"/>
            <w:rFonts w:ascii="Verdana" w:eastAsia="Verdana" w:hAnsi="Verdana" w:cs="Verdana"/>
            <w:sz w:val="23"/>
            <w:szCs w:val="23"/>
            <w:lang w:val="en-US"/>
          </w:rPr>
          <w:t>https://nrs.ed.gov</w:t>
        </w:r>
      </w:hyperlink>
      <w:r w:rsidRPr="52446949">
        <w:rPr>
          <w:rFonts w:ascii="Verdana" w:eastAsia="Verdana" w:hAnsi="Verdana" w:cs="Verdana"/>
          <w:color w:val="000000" w:themeColor="text1"/>
          <w:sz w:val="23"/>
          <w:szCs w:val="23"/>
          <w:lang w:val="en-US"/>
        </w:rPr>
        <w:t xml:space="preserve">. </w:t>
      </w:r>
    </w:p>
    <w:p w14:paraId="2D9A868D" w14:textId="0866360F" w:rsidR="52446949" w:rsidRDefault="52446949" w:rsidP="52446949">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p>
    <w:p w14:paraId="461F33BD" w14:textId="6813B94B" w:rsidR="52446949" w:rsidRDefault="52446949">
      <w:r>
        <w:br w:type="page"/>
      </w:r>
    </w:p>
    <w:tbl>
      <w:tblPr>
        <w:tblW w:w="0" w:type="auto"/>
        <w:tblLook w:val="06A0" w:firstRow="1" w:lastRow="0" w:firstColumn="1" w:lastColumn="0" w:noHBand="1" w:noVBand="1"/>
      </w:tblPr>
      <w:tblGrid>
        <w:gridCol w:w="1662"/>
        <w:gridCol w:w="998"/>
        <w:gridCol w:w="998"/>
        <w:gridCol w:w="994"/>
        <w:gridCol w:w="957"/>
        <w:gridCol w:w="998"/>
        <w:gridCol w:w="865"/>
        <w:gridCol w:w="1003"/>
        <w:gridCol w:w="865"/>
      </w:tblGrid>
      <w:tr w:rsidR="52446949" w14:paraId="5AE0E5BA" w14:textId="77777777" w:rsidTr="52446949">
        <w:trPr>
          <w:trHeight w:val="960"/>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D9E75"/>
            <w:tcMar>
              <w:left w:w="108" w:type="dxa"/>
              <w:right w:w="108" w:type="dxa"/>
            </w:tcMar>
            <w:vAlign w:val="center"/>
          </w:tcPr>
          <w:p w14:paraId="05F26B22" w14:textId="648F3182" w:rsidR="52446949" w:rsidRDefault="52446949" w:rsidP="52446949">
            <w:r w:rsidRPr="52446949">
              <w:rPr>
                <w:rFonts w:ascii="Verdana" w:eastAsia="Verdana" w:hAnsi="Verdana" w:cs="Verdana"/>
                <w:b/>
                <w:bCs/>
                <w:color w:val="000000" w:themeColor="text1"/>
                <w:sz w:val="20"/>
                <w:szCs w:val="20"/>
              </w:rPr>
              <w:lastRenderedPageBreak/>
              <w:t>WIOA Primary Indicator of Performance</w:t>
            </w:r>
          </w:p>
        </w:tc>
        <w:tc>
          <w:tcPr>
            <w:tcW w:w="82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D9E75"/>
            <w:tcMar>
              <w:left w:w="108" w:type="dxa"/>
              <w:right w:w="108" w:type="dxa"/>
            </w:tcMar>
            <w:vAlign w:val="center"/>
          </w:tcPr>
          <w:p w14:paraId="5FC99E11" w14:textId="51E5922C" w:rsidR="52446949" w:rsidRDefault="52446949" w:rsidP="52446949">
            <w:r w:rsidRPr="52446949">
              <w:rPr>
                <w:rFonts w:ascii="Verdana" w:eastAsia="Verdana" w:hAnsi="Verdana" w:cs="Verdana"/>
                <w:b/>
                <w:bCs/>
                <w:color w:val="000000" w:themeColor="text1"/>
                <w:sz w:val="20"/>
                <w:szCs w:val="20"/>
              </w:rPr>
              <w:t>Oregon Performance Targets and Actual State Performance</w:t>
            </w:r>
          </w:p>
        </w:tc>
      </w:tr>
      <w:tr w:rsidR="52446949" w14:paraId="35020C9A" w14:textId="77777777" w:rsidTr="52446949">
        <w:trPr>
          <w:trHeight w:val="360"/>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EA9AF"/>
            <w:tcMar>
              <w:left w:w="108" w:type="dxa"/>
              <w:right w:w="108" w:type="dxa"/>
            </w:tcMar>
          </w:tcPr>
          <w:p w14:paraId="6F9E5C54" w14:textId="76EE12F7" w:rsidR="52446949" w:rsidRDefault="52446949" w:rsidP="52446949">
            <w:r w:rsidRPr="52446949">
              <w:rPr>
                <w:rFonts w:ascii="Verdana" w:eastAsia="Verdana" w:hAnsi="Verdana" w:cs="Verdana"/>
                <w:color w:val="000000" w:themeColor="text1"/>
                <w:sz w:val="20"/>
                <w:szCs w:val="20"/>
              </w:rPr>
              <w:t xml:space="preserve"> </w:t>
            </w:r>
          </w:p>
        </w:tc>
        <w:tc>
          <w:tcPr>
            <w:tcW w:w="21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EA9AF"/>
            <w:tcMar>
              <w:left w:w="108" w:type="dxa"/>
              <w:right w:w="108" w:type="dxa"/>
            </w:tcMar>
            <w:vAlign w:val="center"/>
          </w:tcPr>
          <w:p w14:paraId="211EB62C" w14:textId="064A5AD0" w:rsidR="52446949" w:rsidRDefault="52446949" w:rsidP="52446949">
            <w:pPr>
              <w:jc w:val="center"/>
            </w:pPr>
            <w:r w:rsidRPr="52446949">
              <w:rPr>
                <w:rFonts w:ascii="Verdana" w:eastAsia="Verdana" w:hAnsi="Verdana" w:cs="Verdana"/>
                <w:b/>
                <w:bCs/>
                <w:color w:val="000000" w:themeColor="text1"/>
                <w:sz w:val="20"/>
                <w:szCs w:val="20"/>
              </w:rPr>
              <w:t>2023-24</w:t>
            </w:r>
          </w:p>
        </w:tc>
        <w:tc>
          <w:tcPr>
            <w:tcW w:w="2070" w:type="dxa"/>
            <w:gridSpan w:val="2"/>
            <w:tcBorders>
              <w:top w:val="nil"/>
              <w:left w:val="nil"/>
              <w:bottom w:val="single" w:sz="8" w:space="0" w:color="000000" w:themeColor="text1"/>
              <w:right w:val="single" w:sz="8" w:space="0" w:color="000000" w:themeColor="text1"/>
            </w:tcBorders>
            <w:shd w:val="clear" w:color="auto" w:fill="4EA9AF"/>
            <w:tcMar>
              <w:left w:w="108" w:type="dxa"/>
              <w:right w:w="108" w:type="dxa"/>
            </w:tcMar>
            <w:vAlign w:val="center"/>
          </w:tcPr>
          <w:p w14:paraId="274FF5F6" w14:textId="146CD187" w:rsidR="52446949" w:rsidRDefault="52446949" w:rsidP="52446949">
            <w:pPr>
              <w:jc w:val="center"/>
            </w:pPr>
            <w:r w:rsidRPr="52446949">
              <w:rPr>
                <w:rFonts w:ascii="Verdana" w:eastAsia="Verdana" w:hAnsi="Verdana" w:cs="Verdana"/>
                <w:b/>
                <w:bCs/>
                <w:color w:val="000000" w:themeColor="text1"/>
                <w:sz w:val="20"/>
                <w:szCs w:val="20"/>
              </w:rPr>
              <w:t>2024-25</w:t>
            </w:r>
          </w:p>
        </w:tc>
        <w:tc>
          <w:tcPr>
            <w:tcW w:w="1995" w:type="dxa"/>
            <w:gridSpan w:val="2"/>
            <w:tcBorders>
              <w:top w:val="nil"/>
              <w:left w:val="nil"/>
              <w:bottom w:val="single" w:sz="8" w:space="0" w:color="000000" w:themeColor="text1"/>
              <w:right w:val="single" w:sz="8" w:space="0" w:color="000000" w:themeColor="text1"/>
            </w:tcBorders>
            <w:shd w:val="clear" w:color="auto" w:fill="4EA9AF"/>
            <w:tcMar>
              <w:left w:w="108" w:type="dxa"/>
              <w:right w:w="108" w:type="dxa"/>
            </w:tcMar>
            <w:vAlign w:val="center"/>
          </w:tcPr>
          <w:p w14:paraId="40CB1BE8" w14:textId="3C14F771" w:rsidR="52446949" w:rsidRDefault="52446949" w:rsidP="52446949">
            <w:pPr>
              <w:jc w:val="center"/>
            </w:pPr>
            <w:r w:rsidRPr="52446949">
              <w:rPr>
                <w:rFonts w:ascii="Verdana" w:eastAsia="Verdana" w:hAnsi="Verdana" w:cs="Verdana"/>
                <w:b/>
                <w:bCs/>
                <w:color w:val="000000" w:themeColor="text1"/>
                <w:sz w:val="20"/>
                <w:szCs w:val="20"/>
              </w:rPr>
              <w:t>2025-26</w:t>
            </w:r>
          </w:p>
        </w:tc>
        <w:tc>
          <w:tcPr>
            <w:tcW w:w="2011" w:type="dxa"/>
            <w:gridSpan w:val="2"/>
            <w:tcBorders>
              <w:top w:val="nil"/>
              <w:left w:val="nil"/>
              <w:bottom w:val="single" w:sz="8" w:space="0" w:color="000000" w:themeColor="text1"/>
              <w:right w:val="single" w:sz="8" w:space="0" w:color="000000" w:themeColor="text1"/>
            </w:tcBorders>
            <w:shd w:val="clear" w:color="auto" w:fill="4EA9AF"/>
            <w:tcMar>
              <w:left w:w="108" w:type="dxa"/>
              <w:right w:w="108" w:type="dxa"/>
            </w:tcMar>
            <w:vAlign w:val="center"/>
          </w:tcPr>
          <w:p w14:paraId="4EF30ACC" w14:textId="64CC6D01" w:rsidR="52446949" w:rsidRDefault="52446949" w:rsidP="52446949">
            <w:pPr>
              <w:jc w:val="center"/>
            </w:pPr>
            <w:r w:rsidRPr="52446949">
              <w:rPr>
                <w:rFonts w:ascii="Verdana" w:eastAsia="Verdana" w:hAnsi="Verdana" w:cs="Verdana"/>
                <w:b/>
                <w:bCs/>
                <w:color w:val="000000" w:themeColor="text1"/>
                <w:sz w:val="20"/>
                <w:szCs w:val="20"/>
              </w:rPr>
              <w:t>2026-27</w:t>
            </w:r>
          </w:p>
        </w:tc>
      </w:tr>
      <w:tr w:rsidR="52446949" w14:paraId="20E1B44B" w14:textId="77777777" w:rsidTr="52446949">
        <w:trPr>
          <w:trHeight w:val="70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A4AFDA" w14:textId="49D99EC8" w:rsidR="52446949" w:rsidRDefault="52446949" w:rsidP="52446949">
            <w:r w:rsidRPr="52446949">
              <w:rPr>
                <w:rFonts w:ascii="Verdana" w:eastAsia="Verdana" w:hAnsi="Verdana" w:cs="Verdana"/>
                <w:b/>
                <w:bCs/>
                <w:sz w:val="20"/>
                <w:szCs w:val="20"/>
              </w:rPr>
              <w:t>Measurable Skill Gain (MSG)</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C5576D" w14:textId="26DFD7E3" w:rsidR="52446949" w:rsidRDefault="52446949" w:rsidP="52446949">
            <w:pPr>
              <w:jc w:val="center"/>
            </w:pPr>
            <w:r w:rsidRPr="52446949">
              <w:rPr>
                <w:rFonts w:ascii="Verdana" w:eastAsia="Verdana" w:hAnsi="Verdana" w:cs="Verdana"/>
                <w:sz w:val="20"/>
                <w:szCs w:val="20"/>
              </w:rPr>
              <w:t>Target</w:t>
            </w:r>
          </w:p>
        </w:tc>
        <w:tc>
          <w:tcPr>
            <w:tcW w:w="106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6BE080" w14:textId="489A05F5" w:rsidR="52446949" w:rsidRDefault="52446949" w:rsidP="52446949">
            <w:pPr>
              <w:jc w:val="center"/>
            </w:pPr>
            <w:r w:rsidRPr="52446949">
              <w:rPr>
                <w:rFonts w:ascii="Verdana" w:eastAsia="Verdana" w:hAnsi="Verdana" w:cs="Verdana"/>
                <w:sz w:val="20"/>
                <w:szCs w:val="20"/>
              </w:rPr>
              <w:t>Actual</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F2A93F" w14:textId="0BD0BE7F" w:rsidR="52446949" w:rsidRDefault="52446949" w:rsidP="52446949">
            <w:pPr>
              <w:jc w:val="center"/>
            </w:pPr>
            <w:r w:rsidRPr="52446949">
              <w:rPr>
                <w:rFonts w:ascii="Verdana" w:eastAsia="Verdana" w:hAnsi="Verdana" w:cs="Verdana"/>
                <w:sz w:val="20"/>
                <w:szCs w:val="20"/>
              </w:rPr>
              <w:t>Target</w:t>
            </w:r>
          </w:p>
        </w:tc>
        <w:tc>
          <w:tcPr>
            <w:tcW w:w="102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D8129E" w14:textId="712C3A51" w:rsidR="52446949" w:rsidRDefault="52446949" w:rsidP="52446949">
            <w:pPr>
              <w:jc w:val="center"/>
            </w:pPr>
            <w:r w:rsidRPr="52446949">
              <w:rPr>
                <w:rFonts w:ascii="Verdana" w:eastAsia="Verdana" w:hAnsi="Verdana" w:cs="Verdana"/>
                <w:sz w:val="20"/>
                <w:szCs w:val="20"/>
              </w:rPr>
              <w:t>Actual</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732E3D" w14:textId="59B1BC49" w:rsidR="52446949" w:rsidRDefault="52446949" w:rsidP="52446949">
            <w:pPr>
              <w:jc w:val="center"/>
            </w:pPr>
            <w:r w:rsidRPr="52446949">
              <w:rPr>
                <w:rFonts w:ascii="Verdana" w:eastAsia="Verdana" w:hAnsi="Verdana" w:cs="Verdana"/>
                <w:sz w:val="20"/>
                <w:szCs w:val="20"/>
              </w:rPr>
              <w:t>Target</w:t>
            </w:r>
          </w:p>
        </w:tc>
        <w:tc>
          <w:tcPr>
            <w:tcW w:w="93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1E7BFE" w14:textId="3538CA9D" w:rsidR="52446949" w:rsidRDefault="52446949" w:rsidP="52446949">
            <w:pPr>
              <w:jc w:val="center"/>
            </w:pPr>
            <w:r w:rsidRPr="52446949">
              <w:rPr>
                <w:rFonts w:ascii="Verdana" w:eastAsia="Verdana" w:hAnsi="Verdana" w:cs="Verdana"/>
                <w:sz w:val="20"/>
                <w:szCs w:val="20"/>
              </w:rPr>
              <w:t>Actual</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C54950" w14:textId="182D1D53" w:rsidR="52446949" w:rsidRDefault="52446949" w:rsidP="52446949">
            <w:pPr>
              <w:jc w:val="center"/>
            </w:pPr>
            <w:r w:rsidRPr="52446949">
              <w:rPr>
                <w:rFonts w:ascii="Verdana" w:eastAsia="Verdana" w:hAnsi="Verdana" w:cs="Verdana"/>
                <w:sz w:val="20"/>
                <w:szCs w:val="20"/>
              </w:rPr>
              <w:t>Target</w:t>
            </w:r>
          </w:p>
        </w:tc>
        <w:tc>
          <w:tcPr>
            <w:tcW w:w="93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7483C0" w14:textId="3EB44830" w:rsidR="52446949" w:rsidRDefault="52446949" w:rsidP="52446949">
            <w:pPr>
              <w:jc w:val="center"/>
            </w:pPr>
            <w:r w:rsidRPr="52446949">
              <w:rPr>
                <w:rFonts w:ascii="Verdana" w:eastAsia="Verdana" w:hAnsi="Verdana" w:cs="Verdana"/>
                <w:sz w:val="20"/>
                <w:szCs w:val="20"/>
              </w:rPr>
              <w:t>Actual</w:t>
            </w:r>
          </w:p>
        </w:tc>
      </w:tr>
      <w:tr w:rsidR="52446949" w14:paraId="3DA15DA1" w14:textId="77777777" w:rsidTr="52446949">
        <w:trPr>
          <w:trHeight w:val="64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7C62DA" w14:textId="31F7F4E7" w:rsidR="52446949" w:rsidRDefault="52446949" w:rsidP="52446949">
            <w:r w:rsidRPr="52446949">
              <w:rPr>
                <w:rFonts w:ascii="Verdana" w:eastAsia="Verdana" w:hAnsi="Verdana" w:cs="Verdana"/>
                <w:sz w:val="20"/>
                <w:szCs w:val="20"/>
              </w:rPr>
              <w:t>ABE Level 1</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40DBF8" w14:textId="12EEA7E5" w:rsidR="52446949" w:rsidRDefault="52446949" w:rsidP="52446949">
            <w:pPr>
              <w:jc w:val="center"/>
            </w:pPr>
            <w:r w:rsidRPr="52446949">
              <w:rPr>
                <w:rFonts w:ascii="Verdana" w:eastAsia="Verdana" w:hAnsi="Verdana" w:cs="Verdana"/>
                <w:sz w:val="20"/>
                <w:szCs w:val="20"/>
              </w:rPr>
              <w:t>31.5%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8CF15B2" w14:textId="0D3F86E6" w:rsidR="52446949" w:rsidRDefault="52446949" w:rsidP="52446949">
            <w:pPr>
              <w:jc w:val="center"/>
            </w:pPr>
            <w:r w:rsidRPr="52446949">
              <w:rPr>
                <w:rFonts w:ascii="Verdana" w:eastAsia="Verdana" w:hAnsi="Verdana" w:cs="Verdana"/>
                <w:color w:val="000000" w:themeColor="text1"/>
                <w:sz w:val="20"/>
                <w:szCs w:val="20"/>
              </w:rPr>
              <w:t>29.1%</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39A285" w14:textId="08C4A944" w:rsidR="52446949" w:rsidRDefault="52446949" w:rsidP="52446949">
            <w:pPr>
              <w:jc w:val="center"/>
            </w:pPr>
            <w:r w:rsidRPr="52446949">
              <w:rPr>
                <w:rFonts w:ascii="Verdana" w:eastAsia="Verdana" w:hAnsi="Verdana" w:cs="Verdana"/>
                <w:sz w:val="20"/>
                <w:szCs w:val="20"/>
              </w:rPr>
              <w:t>29.0%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C42ED31" w14:textId="1F50FE91" w:rsidR="52446949" w:rsidRDefault="52446949" w:rsidP="52446949">
            <w:pPr>
              <w:jc w:val="center"/>
            </w:pPr>
            <w:r w:rsidRPr="52446949">
              <w:rPr>
                <w:rFonts w:ascii="Verdana" w:eastAsia="Verdana" w:hAnsi="Verdana" w:cs="Verdana"/>
                <w:color w:val="000000" w:themeColor="text1"/>
                <w:sz w:val="20"/>
                <w:szCs w:val="20"/>
              </w:rPr>
              <w:t>41.9%</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90721D9" w14:textId="414413BC" w:rsidR="52446949" w:rsidRDefault="52446949" w:rsidP="52446949">
            <w:pPr>
              <w:jc w:val="center"/>
            </w:pPr>
            <w:r w:rsidRPr="52446949">
              <w:rPr>
                <w:rFonts w:ascii="Verdana" w:eastAsia="Verdana" w:hAnsi="Verdana" w:cs="Verdana"/>
                <w:color w:val="000000" w:themeColor="text1"/>
                <w:sz w:val="20"/>
                <w:szCs w:val="20"/>
              </w:rPr>
              <w:t>30.0%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2458EB4" w14:textId="3010D07C"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318A1C4D" w14:textId="6458DCC4" w:rsidR="52446949" w:rsidRDefault="52446949" w:rsidP="52446949">
            <w:pPr>
              <w:jc w:val="center"/>
            </w:pPr>
            <w:r w:rsidRPr="52446949">
              <w:rPr>
                <w:rFonts w:ascii="Verdana" w:eastAsia="Verdana" w:hAnsi="Verdana" w:cs="Verdana"/>
                <w:color w:val="000000" w:themeColor="text1"/>
                <w:sz w:val="20"/>
                <w:szCs w:val="20"/>
              </w:rPr>
              <w:t>33.0%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3446D8D" w14:textId="7DA1FCCC"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6E8E2F54" w14:textId="77777777" w:rsidTr="52446949">
        <w:trPr>
          <w:trHeight w:val="88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A1E1FA" w14:textId="599AC5BC" w:rsidR="52446949" w:rsidRDefault="52446949" w:rsidP="52446949">
            <w:r w:rsidRPr="52446949">
              <w:rPr>
                <w:rFonts w:ascii="Verdana" w:eastAsia="Verdana" w:hAnsi="Verdana" w:cs="Verdana"/>
                <w:sz w:val="20"/>
                <w:szCs w:val="20"/>
              </w:rPr>
              <w:t>ABE Level 2</w:t>
            </w:r>
          </w:p>
          <w:p w14:paraId="742C01D7" w14:textId="5F453339" w:rsidR="52446949" w:rsidRDefault="52446949" w:rsidP="52446949">
            <w:pPr>
              <w:rPr>
                <w:rFonts w:ascii="Verdana" w:eastAsia="Verdana" w:hAnsi="Verdana" w:cs="Verdana"/>
                <w:sz w:val="20"/>
                <w:szCs w:val="20"/>
              </w:rP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F4FC2C" w14:textId="79EC59F4" w:rsidR="52446949" w:rsidRDefault="52446949" w:rsidP="52446949">
            <w:pPr>
              <w:jc w:val="center"/>
            </w:pPr>
            <w:r w:rsidRPr="52446949">
              <w:rPr>
                <w:rFonts w:ascii="Verdana" w:eastAsia="Verdana" w:hAnsi="Verdana" w:cs="Verdana"/>
                <w:sz w:val="20"/>
                <w:szCs w:val="20"/>
              </w:rPr>
              <w:t>32.5%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1F0AB32" w14:textId="77ACB0A4" w:rsidR="52446949" w:rsidRDefault="52446949" w:rsidP="52446949">
            <w:pPr>
              <w:jc w:val="center"/>
            </w:pPr>
            <w:r w:rsidRPr="52446949">
              <w:rPr>
                <w:rFonts w:ascii="Verdana" w:eastAsia="Verdana" w:hAnsi="Verdana" w:cs="Verdana"/>
                <w:color w:val="000000" w:themeColor="text1"/>
                <w:sz w:val="20"/>
                <w:szCs w:val="20"/>
              </w:rPr>
              <w:t>43.3%</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4E06BA" w14:textId="14191366" w:rsidR="52446949" w:rsidRDefault="52446949" w:rsidP="52446949">
            <w:pPr>
              <w:jc w:val="center"/>
            </w:pPr>
            <w:r w:rsidRPr="52446949">
              <w:rPr>
                <w:rFonts w:ascii="Verdana" w:eastAsia="Verdana" w:hAnsi="Verdana" w:cs="Verdana"/>
                <w:sz w:val="20"/>
                <w:szCs w:val="20"/>
              </w:rPr>
              <w:t>48.0%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41E7562" w14:textId="7D8BD7CE" w:rsidR="52446949" w:rsidRDefault="52446949" w:rsidP="52446949">
            <w:pPr>
              <w:jc w:val="center"/>
            </w:pPr>
            <w:r w:rsidRPr="52446949">
              <w:rPr>
                <w:rFonts w:ascii="Verdana" w:eastAsia="Verdana" w:hAnsi="Verdana" w:cs="Verdana"/>
                <w:color w:val="000000" w:themeColor="text1"/>
                <w:sz w:val="20"/>
                <w:szCs w:val="20"/>
              </w:rPr>
              <w:t>42.3%</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F5A14CB" w14:textId="019FABE6" w:rsidR="52446949" w:rsidRDefault="52446949" w:rsidP="52446949">
            <w:pPr>
              <w:jc w:val="center"/>
            </w:pPr>
            <w:r w:rsidRPr="52446949">
              <w:rPr>
                <w:rFonts w:ascii="Verdana" w:eastAsia="Verdana" w:hAnsi="Verdana" w:cs="Verdana"/>
                <w:color w:val="000000" w:themeColor="text1"/>
                <w:sz w:val="20"/>
                <w:szCs w:val="20"/>
              </w:rPr>
              <w:t>49.0%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2427F5FD" w14:textId="373D2B9B"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4C523D5" w14:textId="7B9ECB0E" w:rsidR="52446949" w:rsidRDefault="52446949" w:rsidP="52446949">
            <w:pPr>
              <w:jc w:val="center"/>
            </w:pPr>
            <w:r w:rsidRPr="52446949">
              <w:rPr>
                <w:rFonts w:ascii="Verdana" w:eastAsia="Verdana" w:hAnsi="Verdana" w:cs="Verdana"/>
                <w:color w:val="000000" w:themeColor="text1"/>
                <w:sz w:val="20"/>
                <w:szCs w:val="20"/>
              </w:rPr>
              <w:t>50.0%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2E15F2C" w14:textId="5568C33D"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19921F72" w14:textId="77777777" w:rsidTr="52446949">
        <w:trPr>
          <w:trHeight w:val="6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811737" w14:textId="6397C475" w:rsidR="52446949" w:rsidRDefault="52446949" w:rsidP="52446949">
            <w:r w:rsidRPr="52446949">
              <w:rPr>
                <w:rFonts w:ascii="Verdana" w:eastAsia="Verdana" w:hAnsi="Verdana" w:cs="Verdana"/>
                <w:sz w:val="20"/>
                <w:szCs w:val="20"/>
              </w:rPr>
              <w:t>ABE Level 3</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F1A178" w14:textId="5AD113C4" w:rsidR="52446949" w:rsidRDefault="52446949" w:rsidP="52446949">
            <w:pPr>
              <w:jc w:val="center"/>
            </w:pPr>
            <w:r w:rsidRPr="52446949">
              <w:rPr>
                <w:rFonts w:ascii="Verdana" w:eastAsia="Verdana" w:hAnsi="Verdana" w:cs="Verdana"/>
                <w:sz w:val="20"/>
                <w:szCs w:val="20"/>
              </w:rPr>
              <w:t>38.5%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08024EC" w14:textId="0149B03D" w:rsidR="52446949" w:rsidRDefault="52446949" w:rsidP="52446949">
            <w:pPr>
              <w:jc w:val="center"/>
            </w:pPr>
            <w:r w:rsidRPr="52446949">
              <w:rPr>
                <w:rFonts w:ascii="Verdana" w:eastAsia="Verdana" w:hAnsi="Verdana" w:cs="Verdana"/>
                <w:color w:val="000000" w:themeColor="text1"/>
                <w:sz w:val="20"/>
                <w:szCs w:val="20"/>
              </w:rPr>
              <w:t>39.6%</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3A2F0C" w14:textId="72735029" w:rsidR="52446949" w:rsidRDefault="52446949" w:rsidP="52446949">
            <w:pPr>
              <w:jc w:val="center"/>
            </w:pPr>
            <w:r w:rsidRPr="52446949">
              <w:rPr>
                <w:rFonts w:ascii="Verdana" w:eastAsia="Verdana" w:hAnsi="Verdana" w:cs="Verdana"/>
                <w:sz w:val="20"/>
                <w:szCs w:val="20"/>
              </w:rPr>
              <w:t>39.5%</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A31B9AA" w14:textId="6AE190B8" w:rsidR="52446949" w:rsidRDefault="52446949" w:rsidP="52446949">
            <w:pPr>
              <w:jc w:val="center"/>
            </w:pPr>
            <w:r w:rsidRPr="52446949">
              <w:rPr>
                <w:rFonts w:ascii="Verdana" w:eastAsia="Verdana" w:hAnsi="Verdana" w:cs="Verdana"/>
                <w:color w:val="000000" w:themeColor="text1"/>
                <w:sz w:val="20"/>
                <w:szCs w:val="20"/>
              </w:rPr>
              <w:t>46.9%</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5BEB5FA5" w14:textId="040E00AA" w:rsidR="52446949" w:rsidRDefault="52446949" w:rsidP="52446949">
            <w:pPr>
              <w:jc w:val="center"/>
            </w:pPr>
            <w:r w:rsidRPr="52446949">
              <w:rPr>
                <w:rFonts w:ascii="Verdana" w:eastAsia="Verdana" w:hAnsi="Verdana" w:cs="Verdana"/>
                <w:color w:val="000000" w:themeColor="text1"/>
                <w:sz w:val="20"/>
                <w:szCs w:val="20"/>
              </w:rPr>
              <w:t>40.5%</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27B86BFA" w14:textId="465A9D11"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18F20A13" w14:textId="0D0C18E1" w:rsidR="52446949" w:rsidRDefault="52446949" w:rsidP="52446949">
            <w:pPr>
              <w:jc w:val="center"/>
            </w:pPr>
            <w:r w:rsidRPr="52446949">
              <w:rPr>
                <w:rFonts w:ascii="Verdana" w:eastAsia="Verdana" w:hAnsi="Verdana" w:cs="Verdana"/>
                <w:color w:val="000000" w:themeColor="text1"/>
                <w:sz w:val="20"/>
                <w:szCs w:val="20"/>
              </w:rPr>
              <w:t>44.0%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76FE43B" w14:textId="2F227667"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764E9C86" w14:textId="77777777" w:rsidTr="52446949">
        <w:trPr>
          <w:trHeight w:val="70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8E7B0D" w14:textId="2A9710FB" w:rsidR="52446949" w:rsidRDefault="52446949" w:rsidP="52446949">
            <w:r w:rsidRPr="52446949">
              <w:rPr>
                <w:rFonts w:ascii="Verdana" w:eastAsia="Verdana" w:hAnsi="Verdana" w:cs="Verdana"/>
                <w:sz w:val="20"/>
                <w:szCs w:val="20"/>
              </w:rPr>
              <w:t>ABE Level 4</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B890F9" w14:textId="60CF8D02" w:rsidR="52446949" w:rsidRDefault="52446949" w:rsidP="52446949">
            <w:pPr>
              <w:jc w:val="center"/>
            </w:pPr>
            <w:r w:rsidRPr="52446949">
              <w:rPr>
                <w:rFonts w:ascii="Verdana" w:eastAsia="Verdana" w:hAnsi="Verdana" w:cs="Verdana"/>
                <w:sz w:val="20"/>
                <w:szCs w:val="20"/>
              </w:rPr>
              <w:t>35.5%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DB72CEC" w14:textId="0019836E" w:rsidR="52446949" w:rsidRDefault="52446949" w:rsidP="52446949">
            <w:pPr>
              <w:jc w:val="center"/>
            </w:pPr>
            <w:r w:rsidRPr="52446949">
              <w:rPr>
                <w:rFonts w:ascii="Verdana" w:eastAsia="Verdana" w:hAnsi="Verdana" w:cs="Verdana"/>
                <w:color w:val="000000" w:themeColor="text1"/>
                <w:sz w:val="20"/>
                <w:szCs w:val="20"/>
              </w:rPr>
              <w:t>50.5%</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6FA1E" w14:textId="346BDF1F" w:rsidR="52446949" w:rsidRDefault="52446949" w:rsidP="52446949">
            <w:pPr>
              <w:jc w:val="center"/>
            </w:pPr>
            <w:r w:rsidRPr="52446949">
              <w:rPr>
                <w:rFonts w:ascii="Verdana" w:eastAsia="Verdana" w:hAnsi="Verdana" w:cs="Verdana"/>
                <w:sz w:val="20"/>
                <w:szCs w:val="20"/>
              </w:rPr>
              <w:t>42.0%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FEEBB18" w14:textId="71BBCB26" w:rsidR="52446949" w:rsidRDefault="52446949" w:rsidP="52446949">
            <w:pPr>
              <w:jc w:val="center"/>
            </w:pPr>
            <w:r w:rsidRPr="52446949">
              <w:rPr>
                <w:rFonts w:ascii="Verdana" w:eastAsia="Verdana" w:hAnsi="Verdana" w:cs="Verdana"/>
                <w:color w:val="000000" w:themeColor="text1"/>
                <w:sz w:val="20"/>
                <w:szCs w:val="20"/>
              </w:rPr>
              <w:t>56.1%</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58C4D7CE" w14:textId="3C4427F8" w:rsidR="52446949" w:rsidRDefault="52446949" w:rsidP="52446949">
            <w:pPr>
              <w:jc w:val="center"/>
            </w:pPr>
            <w:r w:rsidRPr="52446949">
              <w:rPr>
                <w:rFonts w:ascii="Verdana" w:eastAsia="Verdana" w:hAnsi="Verdana" w:cs="Verdana"/>
                <w:color w:val="000000" w:themeColor="text1"/>
                <w:sz w:val="20"/>
                <w:szCs w:val="20"/>
              </w:rPr>
              <w:t>43.0%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82C175B" w14:textId="66D4D68D"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40CE526C" w14:textId="242CF72D" w:rsidR="52446949" w:rsidRDefault="52446949" w:rsidP="52446949">
            <w:pPr>
              <w:jc w:val="center"/>
            </w:pPr>
            <w:r w:rsidRPr="52446949">
              <w:rPr>
                <w:rFonts w:ascii="Verdana" w:eastAsia="Verdana" w:hAnsi="Verdana" w:cs="Verdana"/>
                <w:color w:val="000000" w:themeColor="text1"/>
                <w:sz w:val="20"/>
                <w:szCs w:val="20"/>
              </w:rPr>
              <w:t>50.0%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55106FC" w14:textId="542F0848"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4CCA66DF" w14:textId="77777777" w:rsidTr="52446949">
        <w:trPr>
          <w:trHeight w:val="6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628EA" w14:textId="119E7C3F" w:rsidR="52446949" w:rsidRDefault="52446949" w:rsidP="52446949">
            <w:r w:rsidRPr="52446949">
              <w:rPr>
                <w:rFonts w:ascii="Verdana" w:eastAsia="Verdana" w:hAnsi="Verdana" w:cs="Verdana"/>
                <w:sz w:val="20"/>
                <w:szCs w:val="20"/>
              </w:rPr>
              <w:t>ABE Level 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98BA77" w14:textId="77066D8D" w:rsidR="52446949" w:rsidRDefault="52446949" w:rsidP="52446949">
            <w:pPr>
              <w:jc w:val="center"/>
            </w:pPr>
            <w:r w:rsidRPr="52446949">
              <w:rPr>
                <w:rFonts w:ascii="Verdana" w:eastAsia="Verdana" w:hAnsi="Verdana" w:cs="Verdana"/>
                <w:sz w:val="20"/>
                <w:szCs w:val="20"/>
              </w:rPr>
              <w:t>38.5%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7BEC666" w14:textId="62B9845D" w:rsidR="52446949" w:rsidRDefault="52446949" w:rsidP="52446949">
            <w:pPr>
              <w:jc w:val="center"/>
            </w:pPr>
            <w:r w:rsidRPr="52446949">
              <w:rPr>
                <w:rFonts w:ascii="Verdana" w:eastAsia="Verdana" w:hAnsi="Verdana" w:cs="Verdana"/>
                <w:color w:val="000000" w:themeColor="text1"/>
                <w:sz w:val="20"/>
                <w:szCs w:val="20"/>
              </w:rPr>
              <w:t>53.1%</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03124C" w14:textId="54895190" w:rsidR="52446949" w:rsidRDefault="52446949" w:rsidP="52446949">
            <w:pPr>
              <w:jc w:val="center"/>
            </w:pPr>
            <w:r w:rsidRPr="52446949">
              <w:rPr>
                <w:rFonts w:ascii="Verdana" w:eastAsia="Verdana" w:hAnsi="Verdana" w:cs="Verdana"/>
                <w:sz w:val="20"/>
                <w:szCs w:val="20"/>
              </w:rPr>
              <w:t>49.0%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491EB61" w14:textId="6469485C" w:rsidR="52446949" w:rsidRDefault="52446949" w:rsidP="52446949">
            <w:pPr>
              <w:jc w:val="center"/>
            </w:pPr>
            <w:r w:rsidRPr="52446949">
              <w:rPr>
                <w:rFonts w:ascii="Verdana" w:eastAsia="Verdana" w:hAnsi="Verdana" w:cs="Verdana"/>
                <w:color w:val="000000" w:themeColor="text1"/>
                <w:sz w:val="20"/>
                <w:szCs w:val="20"/>
              </w:rPr>
              <w:t>61.1%</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48E89938" w14:textId="68B9CADA" w:rsidR="52446949" w:rsidRDefault="52446949" w:rsidP="52446949">
            <w:pPr>
              <w:jc w:val="center"/>
            </w:pPr>
            <w:r w:rsidRPr="52446949">
              <w:rPr>
                <w:rFonts w:ascii="Verdana" w:eastAsia="Verdana" w:hAnsi="Verdana" w:cs="Verdana"/>
                <w:color w:val="000000" w:themeColor="text1"/>
                <w:sz w:val="20"/>
                <w:szCs w:val="20"/>
              </w:rPr>
              <w:t>50.0%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F18C7AD" w14:textId="07406129"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36BF8C64" w14:textId="5043E6F7" w:rsidR="52446949" w:rsidRDefault="52446949" w:rsidP="52446949">
            <w:pPr>
              <w:jc w:val="center"/>
            </w:pPr>
            <w:r w:rsidRPr="52446949">
              <w:rPr>
                <w:rFonts w:ascii="Verdana" w:eastAsia="Verdana" w:hAnsi="Verdana" w:cs="Verdana"/>
                <w:color w:val="000000" w:themeColor="text1"/>
                <w:sz w:val="20"/>
                <w:szCs w:val="20"/>
              </w:rPr>
              <w:t>53.0%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4806363" w14:textId="53F79835"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5E432CCF" w14:textId="77777777" w:rsidTr="52446949">
        <w:trPr>
          <w:trHeight w:val="6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A8D010" w14:textId="4A885889" w:rsidR="52446949" w:rsidRDefault="52446949" w:rsidP="52446949">
            <w:r w:rsidRPr="52446949">
              <w:rPr>
                <w:rFonts w:ascii="Verdana" w:eastAsia="Verdana" w:hAnsi="Verdana" w:cs="Verdana"/>
                <w:sz w:val="20"/>
                <w:szCs w:val="20"/>
              </w:rPr>
              <w:t>ABE Level 6</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A4A9FB" w14:textId="1A742098" w:rsidR="52446949" w:rsidRDefault="52446949" w:rsidP="52446949">
            <w:pPr>
              <w:jc w:val="center"/>
            </w:pPr>
            <w:r w:rsidRPr="52446949">
              <w:rPr>
                <w:rFonts w:ascii="Verdana" w:eastAsia="Verdana" w:hAnsi="Verdana" w:cs="Verdana"/>
                <w:sz w:val="20"/>
                <w:szCs w:val="20"/>
              </w:rPr>
              <w:t>38.0%</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289DCAB" w14:textId="306CE782" w:rsidR="52446949" w:rsidRDefault="52446949" w:rsidP="52446949">
            <w:pPr>
              <w:jc w:val="center"/>
            </w:pPr>
            <w:r w:rsidRPr="52446949">
              <w:rPr>
                <w:rFonts w:ascii="Verdana" w:eastAsia="Verdana" w:hAnsi="Verdana" w:cs="Verdana"/>
                <w:color w:val="000000" w:themeColor="text1"/>
                <w:sz w:val="20"/>
                <w:szCs w:val="20"/>
              </w:rPr>
              <w:t>66.1%</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53D162" w14:textId="1CAABC53" w:rsidR="52446949" w:rsidRDefault="52446949" w:rsidP="52446949">
            <w:pPr>
              <w:jc w:val="center"/>
            </w:pPr>
            <w:r w:rsidRPr="52446949">
              <w:rPr>
                <w:rFonts w:ascii="Verdana" w:eastAsia="Verdana" w:hAnsi="Verdana" w:cs="Verdana"/>
                <w:sz w:val="20"/>
                <w:szCs w:val="20"/>
              </w:rPr>
              <w:t>49.0%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FF8B59B" w14:textId="055221DC" w:rsidR="52446949" w:rsidRDefault="52446949" w:rsidP="52446949">
            <w:pPr>
              <w:jc w:val="center"/>
            </w:pPr>
            <w:r w:rsidRPr="52446949">
              <w:rPr>
                <w:rFonts w:ascii="Verdana" w:eastAsia="Verdana" w:hAnsi="Verdana" w:cs="Verdana"/>
                <w:color w:val="000000" w:themeColor="text1"/>
                <w:sz w:val="20"/>
                <w:szCs w:val="20"/>
              </w:rPr>
              <w:t>67.6%</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4AB8E78D" w14:textId="69A4DCD6" w:rsidR="52446949" w:rsidRDefault="52446949" w:rsidP="52446949">
            <w:pPr>
              <w:jc w:val="center"/>
            </w:pPr>
            <w:r w:rsidRPr="52446949">
              <w:rPr>
                <w:rFonts w:ascii="Verdana" w:eastAsia="Verdana" w:hAnsi="Verdana" w:cs="Verdana"/>
                <w:color w:val="000000" w:themeColor="text1"/>
                <w:sz w:val="20"/>
                <w:szCs w:val="20"/>
              </w:rPr>
              <w:t>50.0%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FC358E8" w14:textId="5A4EBD03"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2CDEC413" w14:textId="03982DA9" w:rsidR="52446949" w:rsidRDefault="52446949" w:rsidP="52446949">
            <w:pPr>
              <w:jc w:val="center"/>
            </w:pPr>
            <w:r w:rsidRPr="52446949">
              <w:rPr>
                <w:rFonts w:ascii="Verdana" w:eastAsia="Verdana" w:hAnsi="Verdana" w:cs="Verdana"/>
                <w:color w:val="000000" w:themeColor="text1"/>
                <w:sz w:val="20"/>
                <w:szCs w:val="20"/>
              </w:rPr>
              <w:t>52.0%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1CFEE64" w14:textId="7FAD1CF8"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43DF701D" w14:textId="77777777" w:rsidTr="52446949">
        <w:trPr>
          <w:trHeight w:val="70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2E1246" w14:textId="75F5C570" w:rsidR="52446949" w:rsidRDefault="52446949" w:rsidP="52446949">
            <w:r w:rsidRPr="52446949">
              <w:rPr>
                <w:rFonts w:ascii="Verdana" w:eastAsia="Verdana" w:hAnsi="Verdana" w:cs="Verdana"/>
                <w:sz w:val="20"/>
                <w:szCs w:val="20"/>
              </w:rPr>
              <w:t>ESL Level 1</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2EC250" w14:textId="7F920D80" w:rsidR="52446949" w:rsidRDefault="52446949" w:rsidP="52446949">
            <w:pPr>
              <w:jc w:val="center"/>
            </w:pPr>
            <w:r w:rsidRPr="52446949">
              <w:rPr>
                <w:rFonts w:ascii="Verdana" w:eastAsia="Verdana" w:hAnsi="Verdana" w:cs="Verdana"/>
                <w:sz w:val="20"/>
                <w:szCs w:val="20"/>
              </w:rPr>
              <w:t>23.5%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47DAE45" w14:textId="32A16267" w:rsidR="52446949" w:rsidRDefault="52446949" w:rsidP="52446949">
            <w:pPr>
              <w:jc w:val="center"/>
            </w:pPr>
            <w:r w:rsidRPr="52446949">
              <w:rPr>
                <w:rFonts w:ascii="Verdana" w:eastAsia="Verdana" w:hAnsi="Verdana" w:cs="Verdana"/>
                <w:color w:val="000000" w:themeColor="text1"/>
                <w:sz w:val="20"/>
                <w:szCs w:val="20"/>
              </w:rPr>
              <w:t>46.7%</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EFF4B3" w14:textId="5B9783C1" w:rsidR="52446949" w:rsidRDefault="52446949" w:rsidP="52446949">
            <w:pPr>
              <w:jc w:val="center"/>
            </w:pPr>
            <w:r w:rsidRPr="52446949">
              <w:rPr>
                <w:rFonts w:ascii="Verdana" w:eastAsia="Verdana" w:hAnsi="Verdana" w:cs="Verdana"/>
                <w:sz w:val="20"/>
                <w:szCs w:val="20"/>
              </w:rPr>
              <w:t>43.0%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73DD721" w14:textId="5A02E547" w:rsidR="52446949" w:rsidRDefault="52446949" w:rsidP="52446949">
            <w:pPr>
              <w:jc w:val="center"/>
            </w:pPr>
            <w:r w:rsidRPr="52446949">
              <w:rPr>
                <w:rFonts w:ascii="Verdana" w:eastAsia="Verdana" w:hAnsi="Verdana" w:cs="Verdana"/>
                <w:color w:val="000000" w:themeColor="text1"/>
                <w:sz w:val="20"/>
                <w:szCs w:val="20"/>
              </w:rPr>
              <w:t>54.0%</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7EC0E908" w14:textId="7DD3D721" w:rsidR="52446949" w:rsidRDefault="52446949" w:rsidP="52446949">
            <w:pPr>
              <w:jc w:val="center"/>
            </w:pPr>
            <w:r w:rsidRPr="52446949">
              <w:rPr>
                <w:rFonts w:ascii="Verdana" w:eastAsia="Verdana" w:hAnsi="Verdana" w:cs="Verdana"/>
                <w:color w:val="000000" w:themeColor="text1"/>
                <w:sz w:val="20"/>
                <w:szCs w:val="20"/>
              </w:rPr>
              <w:t>44.0%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0320F67" w14:textId="46B367F8"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36B148B4" w14:textId="524A4672" w:rsidR="52446949" w:rsidRDefault="52446949" w:rsidP="52446949">
            <w:pPr>
              <w:jc w:val="center"/>
            </w:pPr>
            <w:r w:rsidRPr="52446949">
              <w:rPr>
                <w:rFonts w:ascii="Verdana" w:eastAsia="Verdana" w:hAnsi="Verdana" w:cs="Verdana"/>
                <w:color w:val="000000" w:themeColor="text1"/>
                <w:sz w:val="20"/>
                <w:szCs w:val="20"/>
              </w:rPr>
              <w:t>45.0%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B3AE2FA" w14:textId="7201AE5B"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666330FE" w14:textId="77777777" w:rsidTr="52446949">
        <w:trPr>
          <w:trHeight w:val="6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B2B50E" w14:textId="25BA981E" w:rsidR="52446949" w:rsidRDefault="52446949" w:rsidP="52446949">
            <w:r w:rsidRPr="52446949">
              <w:rPr>
                <w:rFonts w:ascii="Verdana" w:eastAsia="Verdana" w:hAnsi="Verdana" w:cs="Verdana"/>
                <w:sz w:val="20"/>
                <w:szCs w:val="20"/>
              </w:rPr>
              <w:t>ESL Level 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DA4168" w14:textId="72D94E83" w:rsidR="52446949" w:rsidRDefault="52446949" w:rsidP="52446949">
            <w:pPr>
              <w:jc w:val="center"/>
            </w:pPr>
            <w:r w:rsidRPr="52446949">
              <w:rPr>
                <w:rFonts w:ascii="Verdana" w:eastAsia="Verdana" w:hAnsi="Verdana" w:cs="Verdana"/>
                <w:sz w:val="20"/>
                <w:szCs w:val="20"/>
              </w:rPr>
              <w:t>28.5%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653FB89" w14:textId="05DF55A3" w:rsidR="52446949" w:rsidRDefault="52446949" w:rsidP="52446949">
            <w:pPr>
              <w:jc w:val="center"/>
            </w:pPr>
            <w:r w:rsidRPr="52446949">
              <w:rPr>
                <w:rFonts w:ascii="Verdana" w:eastAsia="Verdana" w:hAnsi="Verdana" w:cs="Verdana"/>
                <w:color w:val="000000" w:themeColor="text1"/>
                <w:sz w:val="20"/>
                <w:szCs w:val="20"/>
              </w:rPr>
              <w:t>46.4%</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54A129" w14:textId="04A9859E" w:rsidR="52446949" w:rsidRDefault="52446949" w:rsidP="52446949">
            <w:pPr>
              <w:jc w:val="center"/>
            </w:pPr>
            <w:r w:rsidRPr="52446949">
              <w:rPr>
                <w:rFonts w:ascii="Verdana" w:eastAsia="Verdana" w:hAnsi="Verdana" w:cs="Verdana"/>
                <w:sz w:val="20"/>
                <w:szCs w:val="20"/>
              </w:rPr>
              <w:t>43.0%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5CCB860" w14:textId="7A03DAD6" w:rsidR="52446949" w:rsidRDefault="52446949" w:rsidP="52446949">
            <w:pPr>
              <w:jc w:val="center"/>
            </w:pPr>
            <w:r w:rsidRPr="52446949">
              <w:rPr>
                <w:rFonts w:ascii="Verdana" w:eastAsia="Verdana" w:hAnsi="Verdana" w:cs="Verdana"/>
                <w:color w:val="000000" w:themeColor="text1"/>
                <w:sz w:val="20"/>
                <w:szCs w:val="20"/>
              </w:rPr>
              <w:t>39.4%</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71DC1BDE" w14:textId="2772CB27" w:rsidR="52446949" w:rsidRDefault="52446949" w:rsidP="52446949">
            <w:pPr>
              <w:jc w:val="center"/>
            </w:pPr>
            <w:r w:rsidRPr="52446949">
              <w:rPr>
                <w:rFonts w:ascii="Verdana" w:eastAsia="Verdana" w:hAnsi="Verdana" w:cs="Verdana"/>
                <w:color w:val="000000" w:themeColor="text1"/>
                <w:sz w:val="20"/>
                <w:szCs w:val="20"/>
              </w:rPr>
              <w:t>44.0%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74B812E" w14:textId="7FF6090A"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15898165" w14:textId="4C54C20E" w:rsidR="52446949" w:rsidRDefault="52446949" w:rsidP="52446949">
            <w:pPr>
              <w:jc w:val="center"/>
            </w:pPr>
            <w:r w:rsidRPr="52446949">
              <w:rPr>
                <w:rFonts w:ascii="Verdana" w:eastAsia="Verdana" w:hAnsi="Verdana" w:cs="Verdana"/>
                <w:color w:val="000000" w:themeColor="text1"/>
                <w:sz w:val="20"/>
                <w:szCs w:val="20"/>
              </w:rPr>
              <w:t>47.0%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BF1E779" w14:textId="2BC304AA"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67A7AA8B" w14:textId="77777777" w:rsidTr="52446949">
        <w:trPr>
          <w:trHeight w:val="70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CEE6AB" w14:textId="10C29AA1" w:rsidR="52446949" w:rsidRDefault="52446949" w:rsidP="52446949">
            <w:r w:rsidRPr="52446949">
              <w:rPr>
                <w:rFonts w:ascii="Verdana" w:eastAsia="Verdana" w:hAnsi="Verdana" w:cs="Verdana"/>
                <w:sz w:val="20"/>
                <w:szCs w:val="20"/>
              </w:rPr>
              <w:t>ESL Level 3</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748067" w14:textId="694362CF" w:rsidR="52446949" w:rsidRDefault="52446949" w:rsidP="52446949">
            <w:pPr>
              <w:jc w:val="center"/>
            </w:pPr>
            <w:r w:rsidRPr="52446949">
              <w:rPr>
                <w:rFonts w:ascii="Verdana" w:eastAsia="Verdana" w:hAnsi="Verdana" w:cs="Verdana"/>
                <w:sz w:val="20"/>
                <w:szCs w:val="20"/>
              </w:rPr>
              <w:t>35.5%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71C4551" w14:textId="6AD79C8C" w:rsidR="52446949" w:rsidRDefault="52446949" w:rsidP="52446949">
            <w:pPr>
              <w:jc w:val="center"/>
            </w:pPr>
            <w:r w:rsidRPr="52446949">
              <w:rPr>
                <w:rFonts w:ascii="Verdana" w:eastAsia="Verdana" w:hAnsi="Verdana" w:cs="Verdana"/>
                <w:color w:val="000000" w:themeColor="text1"/>
                <w:sz w:val="20"/>
                <w:szCs w:val="20"/>
              </w:rPr>
              <w:t>47.5%</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4535AA" w14:textId="082525F7" w:rsidR="52446949" w:rsidRDefault="52446949" w:rsidP="52446949">
            <w:pPr>
              <w:jc w:val="center"/>
            </w:pPr>
            <w:r w:rsidRPr="52446949">
              <w:rPr>
                <w:rFonts w:ascii="Verdana" w:eastAsia="Verdana" w:hAnsi="Verdana" w:cs="Verdana"/>
                <w:sz w:val="20"/>
                <w:szCs w:val="20"/>
              </w:rPr>
              <w:t>49.0%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57E355F" w14:textId="4539EB95" w:rsidR="52446949" w:rsidRDefault="52446949" w:rsidP="52446949">
            <w:pPr>
              <w:jc w:val="center"/>
            </w:pPr>
            <w:r w:rsidRPr="52446949">
              <w:rPr>
                <w:rFonts w:ascii="Verdana" w:eastAsia="Verdana" w:hAnsi="Verdana" w:cs="Verdana"/>
                <w:color w:val="000000" w:themeColor="text1"/>
                <w:sz w:val="20"/>
                <w:szCs w:val="20"/>
              </w:rPr>
              <w:t>52.5%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405AF4DC" w14:textId="730AF7B1" w:rsidR="52446949" w:rsidRDefault="52446949" w:rsidP="52446949">
            <w:pPr>
              <w:jc w:val="center"/>
            </w:pPr>
            <w:r w:rsidRPr="52446949">
              <w:rPr>
                <w:rFonts w:ascii="Verdana" w:eastAsia="Verdana" w:hAnsi="Verdana" w:cs="Verdana"/>
                <w:color w:val="000000" w:themeColor="text1"/>
                <w:sz w:val="20"/>
                <w:szCs w:val="20"/>
              </w:rPr>
              <w:t>50.0%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EEC84D3" w14:textId="36A7F5C4"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478B54F5" w14:textId="613163B9" w:rsidR="52446949" w:rsidRDefault="52446949" w:rsidP="52446949">
            <w:pPr>
              <w:jc w:val="center"/>
            </w:pPr>
            <w:r w:rsidRPr="52446949">
              <w:rPr>
                <w:rFonts w:ascii="Verdana" w:eastAsia="Verdana" w:hAnsi="Verdana" w:cs="Verdana"/>
                <w:color w:val="000000" w:themeColor="text1"/>
                <w:sz w:val="20"/>
                <w:szCs w:val="20"/>
              </w:rPr>
              <w:t>53.0%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4A382F7" w14:textId="11A0783F"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22DE9D3D" w14:textId="77777777" w:rsidTr="52446949">
        <w:trPr>
          <w:trHeight w:val="70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82553C" w14:textId="6FFEAD3B" w:rsidR="52446949" w:rsidRDefault="52446949" w:rsidP="52446949">
            <w:r w:rsidRPr="52446949">
              <w:rPr>
                <w:rFonts w:ascii="Verdana" w:eastAsia="Verdana" w:hAnsi="Verdana" w:cs="Verdana"/>
                <w:sz w:val="20"/>
                <w:szCs w:val="20"/>
              </w:rPr>
              <w:t>ESL Level 4</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8BC554" w14:textId="6F92C2BF" w:rsidR="52446949" w:rsidRDefault="52446949" w:rsidP="52446949">
            <w:pPr>
              <w:jc w:val="center"/>
            </w:pPr>
            <w:r w:rsidRPr="52446949">
              <w:rPr>
                <w:rFonts w:ascii="Verdana" w:eastAsia="Verdana" w:hAnsi="Verdana" w:cs="Verdana"/>
                <w:sz w:val="20"/>
                <w:szCs w:val="20"/>
              </w:rPr>
              <w:t>30.5%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37AE982" w14:textId="727601B7" w:rsidR="52446949" w:rsidRDefault="52446949" w:rsidP="52446949">
            <w:pPr>
              <w:jc w:val="center"/>
            </w:pPr>
            <w:r w:rsidRPr="52446949">
              <w:rPr>
                <w:rFonts w:ascii="Verdana" w:eastAsia="Verdana" w:hAnsi="Verdana" w:cs="Verdana"/>
                <w:color w:val="000000" w:themeColor="text1"/>
                <w:sz w:val="20"/>
                <w:szCs w:val="20"/>
              </w:rPr>
              <w:t>39.8%</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E77F58" w14:textId="74BA1646" w:rsidR="52446949" w:rsidRDefault="52446949" w:rsidP="52446949">
            <w:pPr>
              <w:jc w:val="center"/>
            </w:pPr>
            <w:r w:rsidRPr="52446949">
              <w:rPr>
                <w:rFonts w:ascii="Verdana" w:eastAsia="Verdana" w:hAnsi="Verdana" w:cs="Verdana"/>
                <w:sz w:val="20"/>
                <w:szCs w:val="20"/>
              </w:rPr>
              <w:t>36.0%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76E576D" w14:textId="73F482DD" w:rsidR="52446949" w:rsidRDefault="52446949" w:rsidP="52446949">
            <w:pPr>
              <w:jc w:val="center"/>
            </w:pPr>
            <w:r w:rsidRPr="52446949">
              <w:rPr>
                <w:rFonts w:ascii="Verdana" w:eastAsia="Verdana" w:hAnsi="Verdana" w:cs="Verdana"/>
                <w:color w:val="000000" w:themeColor="text1"/>
                <w:sz w:val="20"/>
                <w:szCs w:val="20"/>
              </w:rPr>
              <w:t>44.3%</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7B19E472" w14:textId="47E0630B" w:rsidR="52446949" w:rsidRDefault="52446949" w:rsidP="52446949">
            <w:pPr>
              <w:jc w:val="center"/>
            </w:pPr>
            <w:r w:rsidRPr="52446949">
              <w:rPr>
                <w:rFonts w:ascii="Verdana" w:eastAsia="Verdana" w:hAnsi="Verdana" w:cs="Verdana"/>
                <w:color w:val="000000" w:themeColor="text1"/>
                <w:sz w:val="20"/>
                <w:szCs w:val="20"/>
              </w:rPr>
              <w:t>37.0%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4E2FD56" w14:textId="74782A06"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1D942CE8" w14:textId="6300C4E6" w:rsidR="52446949" w:rsidRDefault="52446949" w:rsidP="52446949">
            <w:pPr>
              <w:jc w:val="center"/>
            </w:pPr>
            <w:r w:rsidRPr="52446949">
              <w:rPr>
                <w:rFonts w:ascii="Verdana" w:eastAsia="Verdana" w:hAnsi="Verdana" w:cs="Verdana"/>
                <w:color w:val="000000" w:themeColor="text1"/>
                <w:sz w:val="20"/>
                <w:szCs w:val="20"/>
              </w:rPr>
              <w:t>42.0%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E218577" w14:textId="22D73DC1"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1D5DB5C3" w14:textId="77777777" w:rsidTr="52446949">
        <w:trPr>
          <w:trHeight w:val="70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BAF796" w14:textId="629E594A" w:rsidR="52446949" w:rsidRDefault="52446949" w:rsidP="52446949">
            <w:r w:rsidRPr="52446949">
              <w:rPr>
                <w:rFonts w:ascii="Verdana" w:eastAsia="Verdana" w:hAnsi="Verdana" w:cs="Verdana"/>
                <w:sz w:val="20"/>
                <w:szCs w:val="20"/>
              </w:rPr>
              <w:t>ESL Level 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E20F74" w14:textId="1DE29927" w:rsidR="52446949" w:rsidRDefault="52446949" w:rsidP="52446949">
            <w:pPr>
              <w:jc w:val="center"/>
            </w:pPr>
            <w:r w:rsidRPr="52446949">
              <w:rPr>
                <w:rFonts w:ascii="Verdana" w:eastAsia="Verdana" w:hAnsi="Verdana" w:cs="Verdana"/>
                <w:sz w:val="20"/>
                <w:szCs w:val="20"/>
              </w:rPr>
              <w:t>20.5%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447E46B" w14:textId="050D37FA" w:rsidR="52446949" w:rsidRDefault="52446949" w:rsidP="52446949">
            <w:pPr>
              <w:jc w:val="center"/>
            </w:pPr>
            <w:r w:rsidRPr="52446949">
              <w:rPr>
                <w:rFonts w:ascii="Verdana" w:eastAsia="Verdana" w:hAnsi="Verdana" w:cs="Verdana"/>
                <w:color w:val="000000" w:themeColor="text1"/>
                <w:sz w:val="20"/>
                <w:szCs w:val="20"/>
              </w:rPr>
              <w:t>37.6%</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F993C3" w14:textId="5BB735A6" w:rsidR="52446949" w:rsidRDefault="52446949" w:rsidP="52446949">
            <w:pPr>
              <w:jc w:val="center"/>
            </w:pPr>
            <w:r w:rsidRPr="52446949">
              <w:rPr>
                <w:rFonts w:ascii="Verdana" w:eastAsia="Verdana" w:hAnsi="Verdana" w:cs="Verdana"/>
                <w:sz w:val="20"/>
                <w:szCs w:val="20"/>
              </w:rPr>
              <w:t>33.0%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5AC9A64" w14:textId="557EA294" w:rsidR="52446949" w:rsidRDefault="52446949" w:rsidP="52446949">
            <w:pPr>
              <w:jc w:val="center"/>
            </w:pPr>
            <w:r w:rsidRPr="52446949">
              <w:rPr>
                <w:rFonts w:ascii="Verdana" w:eastAsia="Verdana" w:hAnsi="Verdana" w:cs="Verdana"/>
                <w:color w:val="000000" w:themeColor="text1"/>
                <w:sz w:val="20"/>
                <w:szCs w:val="20"/>
              </w:rPr>
              <w:t>37.1%</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55DF86B8" w14:textId="78FE8E33" w:rsidR="52446949" w:rsidRDefault="52446949" w:rsidP="52446949">
            <w:pPr>
              <w:jc w:val="center"/>
            </w:pPr>
            <w:r w:rsidRPr="52446949">
              <w:rPr>
                <w:rFonts w:ascii="Verdana" w:eastAsia="Verdana" w:hAnsi="Verdana" w:cs="Verdana"/>
                <w:color w:val="000000" w:themeColor="text1"/>
                <w:sz w:val="20"/>
                <w:szCs w:val="20"/>
              </w:rPr>
              <w:t>34.0%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9A54D70" w14:textId="3E3D392C"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6E4A471" w14:textId="7FFD8FB0" w:rsidR="52446949" w:rsidRDefault="52446949" w:rsidP="52446949">
            <w:pPr>
              <w:jc w:val="center"/>
            </w:pPr>
            <w:r w:rsidRPr="52446949">
              <w:rPr>
                <w:rFonts w:ascii="Verdana" w:eastAsia="Verdana" w:hAnsi="Verdana" w:cs="Verdana"/>
                <w:color w:val="000000" w:themeColor="text1"/>
                <w:sz w:val="20"/>
                <w:szCs w:val="20"/>
              </w:rPr>
              <w:t>37.0%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0A6AEA0" w14:textId="30739E8D"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05B87517" w14:textId="77777777" w:rsidTr="52446949">
        <w:trPr>
          <w:trHeight w:val="6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1931BB" w14:textId="3C05B542" w:rsidR="52446949" w:rsidRDefault="52446949" w:rsidP="52446949">
            <w:pPr>
              <w:ind w:left="-450"/>
            </w:pPr>
            <w:r w:rsidRPr="52446949">
              <w:rPr>
                <w:rFonts w:ascii="Verdana" w:eastAsia="Verdana" w:hAnsi="Verdana" w:cs="Verdana"/>
                <w:sz w:val="20"/>
                <w:szCs w:val="20"/>
              </w:rPr>
              <w:t>ESL Level 6</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F234BD" w14:textId="5C6B8620" w:rsidR="52446949" w:rsidRDefault="52446949" w:rsidP="52446949">
            <w:pPr>
              <w:jc w:val="center"/>
            </w:pPr>
            <w:r w:rsidRPr="52446949">
              <w:rPr>
                <w:rFonts w:ascii="Verdana" w:eastAsia="Verdana" w:hAnsi="Verdana" w:cs="Verdana"/>
                <w:sz w:val="20"/>
                <w:szCs w:val="20"/>
              </w:rPr>
              <w:t>18.5%</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93C5D02" w14:textId="2A8F60DC" w:rsidR="52446949" w:rsidRDefault="52446949" w:rsidP="52446949">
            <w:pPr>
              <w:jc w:val="center"/>
            </w:pPr>
            <w:r w:rsidRPr="52446949">
              <w:rPr>
                <w:rFonts w:ascii="Verdana" w:eastAsia="Verdana" w:hAnsi="Verdana" w:cs="Verdana"/>
                <w:color w:val="000000" w:themeColor="text1"/>
                <w:sz w:val="20"/>
                <w:szCs w:val="20"/>
              </w:rPr>
              <w:t>20.4%</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28D387" w14:textId="525FABD2" w:rsidR="52446949" w:rsidRDefault="52446949" w:rsidP="52446949">
            <w:pPr>
              <w:jc w:val="center"/>
            </w:pPr>
            <w:r w:rsidRPr="52446949">
              <w:rPr>
                <w:rFonts w:ascii="Verdana" w:eastAsia="Verdana" w:hAnsi="Verdana" w:cs="Verdana"/>
                <w:sz w:val="20"/>
                <w:szCs w:val="20"/>
              </w:rPr>
              <w:t>19.8%</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E6C2395" w14:textId="79667B9B" w:rsidR="52446949" w:rsidRDefault="52446949" w:rsidP="52446949">
            <w:pPr>
              <w:jc w:val="center"/>
            </w:pPr>
            <w:r w:rsidRPr="52446949">
              <w:rPr>
                <w:rFonts w:ascii="Verdana" w:eastAsia="Verdana" w:hAnsi="Verdana" w:cs="Verdana"/>
                <w:color w:val="000000" w:themeColor="text1"/>
                <w:sz w:val="20"/>
                <w:szCs w:val="20"/>
              </w:rPr>
              <w:t>31.2%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595786D0" w14:textId="2702DB5A" w:rsidR="52446949" w:rsidRDefault="52446949" w:rsidP="52446949">
            <w:pPr>
              <w:jc w:val="center"/>
            </w:pPr>
            <w:r w:rsidRPr="52446949">
              <w:rPr>
                <w:rFonts w:ascii="Verdana" w:eastAsia="Verdana" w:hAnsi="Verdana" w:cs="Verdana"/>
                <w:color w:val="000000" w:themeColor="text1"/>
                <w:sz w:val="20"/>
                <w:szCs w:val="20"/>
              </w:rPr>
              <w:t>20.0%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4087030" w14:textId="0D781B15" w:rsidR="52446949" w:rsidRDefault="52446949" w:rsidP="52446949">
            <w:pPr>
              <w:jc w:val="center"/>
            </w:pPr>
            <w:r w:rsidRPr="52446949">
              <w:rPr>
                <w:rFonts w:ascii="Verdana" w:eastAsia="Verdana" w:hAnsi="Verdana" w:cs="Verdana"/>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78FBD28D" w14:textId="6376BA96" w:rsidR="52446949" w:rsidRDefault="52446949" w:rsidP="52446949">
            <w:pPr>
              <w:jc w:val="center"/>
            </w:pPr>
            <w:r w:rsidRPr="52446949">
              <w:rPr>
                <w:rFonts w:ascii="Verdana" w:eastAsia="Verdana" w:hAnsi="Verdana" w:cs="Verdana"/>
                <w:color w:val="000000" w:themeColor="text1"/>
                <w:sz w:val="20"/>
                <w:szCs w:val="20"/>
              </w:rPr>
              <w:t>22.0%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23B75EAF" w14:textId="3F8E5177" w:rsidR="52446949" w:rsidRDefault="52446949" w:rsidP="52446949">
            <w:pPr>
              <w:jc w:val="center"/>
            </w:pPr>
            <w:r w:rsidRPr="52446949">
              <w:rPr>
                <w:rFonts w:ascii="Verdana" w:eastAsia="Verdana" w:hAnsi="Verdana" w:cs="Verdana"/>
                <w:color w:val="000000" w:themeColor="text1"/>
                <w:sz w:val="20"/>
                <w:szCs w:val="20"/>
              </w:rPr>
              <w:t>TBD</w:t>
            </w:r>
          </w:p>
        </w:tc>
      </w:tr>
      <w:tr w:rsidR="52446949" w14:paraId="63DEC511" w14:textId="77777777" w:rsidTr="52446949">
        <w:trPr>
          <w:trHeight w:val="6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8B3200" w14:textId="4144BC18" w:rsidR="52446949" w:rsidRDefault="52446949" w:rsidP="52446949">
            <w:r w:rsidRPr="52446949">
              <w:rPr>
                <w:rFonts w:ascii="Verdana" w:eastAsia="Verdana" w:hAnsi="Verdana" w:cs="Verdana"/>
                <w:b/>
                <w:bCs/>
                <w:sz w:val="20"/>
                <w:szCs w:val="20"/>
              </w:rPr>
              <w:t>Overall MSG</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4D4A0C" w14:textId="4330098C" w:rsidR="52446949" w:rsidRDefault="52446949" w:rsidP="52446949">
            <w:pPr>
              <w:jc w:val="center"/>
            </w:pPr>
            <w:r w:rsidRPr="52446949">
              <w:rPr>
                <w:rFonts w:ascii="Verdana" w:eastAsia="Verdana" w:hAnsi="Verdana" w:cs="Verdana"/>
                <w:b/>
                <w:bCs/>
                <w:sz w:val="20"/>
                <w:szCs w:val="20"/>
              </w:rPr>
              <w:t>33.1%</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95ED963" w14:textId="2513CC8F" w:rsidR="52446949" w:rsidRDefault="52446949" w:rsidP="52446949">
            <w:pPr>
              <w:jc w:val="center"/>
            </w:pPr>
            <w:r w:rsidRPr="52446949">
              <w:rPr>
                <w:rFonts w:ascii="Verdana" w:eastAsia="Verdana" w:hAnsi="Verdana" w:cs="Verdana"/>
                <w:b/>
                <w:bCs/>
                <w:color w:val="000000" w:themeColor="text1"/>
                <w:sz w:val="20"/>
                <w:szCs w:val="20"/>
              </w:rPr>
              <w:t>43.8%</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9F0879" w14:textId="1A918F6D" w:rsidR="52446949" w:rsidRDefault="52446949" w:rsidP="52446949">
            <w:pPr>
              <w:jc w:val="center"/>
            </w:pPr>
            <w:r w:rsidRPr="52446949">
              <w:rPr>
                <w:rFonts w:ascii="Verdana" w:eastAsia="Verdana" w:hAnsi="Verdana" w:cs="Verdana"/>
                <w:b/>
                <w:bCs/>
                <w:sz w:val="20"/>
                <w:szCs w:val="20"/>
              </w:rPr>
              <w:t>40.0%</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2B17D5B" w14:textId="2EBC3ECA" w:rsidR="52446949" w:rsidRDefault="52446949" w:rsidP="52446949">
            <w:pPr>
              <w:jc w:val="center"/>
            </w:pPr>
            <w:r w:rsidRPr="52446949">
              <w:rPr>
                <w:rFonts w:ascii="Verdana" w:eastAsia="Verdana" w:hAnsi="Verdana" w:cs="Verdana"/>
                <w:b/>
                <w:bCs/>
                <w:color w:val="000000" w:themeColor="text1"/>
                <w:sz w:val="20"/>
                <w:szCs w:val="20"/>
              </w:rPr>
              <w:t>47.8</w:t>
            </w:r>
            <w:r w:rsidRPr="52446949">
              <w:rPr>
                <w:rFonts w:ascii="Verdana" w:eastAsia="Verdana" w:hAnsi="Verdana" w:cs="Verdana"/>
                <w:color w:val="000000" w:themeColor="text1"/>
                <w:sz w:val="20"/>
                <w:szCs w:val="20"/>
              </w:rPr>
              <w:t>%</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4F95D2FE" w14:textId="526716CF" w:rsidR="52446949" w:rsidRDefault="52446949" w:rsidP="52446949">
            <w:pPr>
              <w:jc w:val="center"/>
            </w:pPr>
            <w:r w:rsidRPr="52446949">
              <w:rPr>
                <w:rFonts w:ascii="Verdana" w:eastAsia="Verdana" w:hAnsi="Verdana" w:cs="Verdana"/>
                <w:b/>
                <w:bCs/>
                <w:color w:val="000000" w:themeColor="text1"/>
                <w:sz w:val="20"/>
                <w:szCs w:val="20"/>
              </w:rPr>
              <w:t>41.0%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554D7ED" w14:textId="3F794833" w:rsidR="52446949" w:rsidRDefault="52446949" w:rsidP="52446949">
            <w:pPr>
              <w:jc w:val="center"/>
            </w:pPr>
            <w:r w:rsidRPr="52446949">
              <w:rPr>
                <w:rFonts w:ascii="Verdana" w:eastAsia="Verdana" w:hAnsi="Verdana" w:cs="Verdana"/>
                <w:b/>
                <w:bCs/>
                <w:color w:val="000000" w:themeColor="text1"/>
                <w:sz w:val="20"/>
                <w:szCs w:val="20"/>
              </w:rPr>
              <w:t>TBD</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4568146" w14:textId="73A65563" w:rsidR="52446949" w:rsidRDefault="52446949" w:rsidP="52446949">
            <w:pPr>
              <w:jc w:val="center"/>
            </w:pPr>
            <w:r w:rsidRPr="52446949">
              <w:rPr>
                <w:rFonts w:ascii="Verdana" w:eastAsia="Verdana" w:hAnsi="Verdana" w:cs="Verdana"/>
                <w:b/>
                <w:bCs/>
                <w:color w:val="000000" w:themeColor="text1"/>
                <w:sz w:val="20"/>
                <w:szCs w:val="20"/>
              </w:rPr>
              <w:t>44.0%</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2FF84CAF" w14:textId="1399A172" w:rsidR="52446949" w:rsidRDefault="52446949" w:rsidP="52446949">
            <w:pPr>
              <w:jc w:val="center"/>
            </w:pPr>
            <w:r w:rsidRPr="52446949">
              <w:rPr>
                <w:rFonts w:ascii="Verdana" w:eastAsia="Verdana" w:hAnsi="Verdana" w:cs="Verdana"/>
                <w:b/>
                <w:bCs/>
                <w:color w:val="000000" w:themeColor="text1"/>
                <w:sz w:val="20"/>
                <w:szCs w:val="20"/>
              </w:rPr>
              <w:t>TBD</w:t>
            </w:r>
          </w:p>
        </w:tc>
      </w:tr>
      <w:tr w:rsidR="52446949" w14:paraId="2FD9D7DD" w14:textId="77777777" w:rsidTr="52446949">
        <w:trPr>
          <w:trHeight w:val="615"/>
        </w:trPr>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FB5986A" w14:textId="22CCF7EC" w:rsidR="52446949" w:rsidRDefault="52446949" w:rsidP="52446949">
            <w:r w:rsidRPr="52446949">
              <w:rPr>
                <w:rFonts w:ascii="Verdana" w:eastAsia="Verdana" w:hAnsi="Verdana" w:cs="Verdana"/>
                <w:b/>
                <w:bCs/>
                <w:sz w:val="20"/>
                <w:szCs w:val="20"/>
              </w:rPr>
              <w:t xml:space="preserve">Overall MSG Adjusted Federal Target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CD0F68" w14:textId="24690FA1" w:rsidR="52446949" w:rsidRDefault="52446949" w:rsidP="52446949">
            <w:pPr>
              <w:jc w:val="center"/>
            </w:pPr>
            <w:r w:rsidRPr="52446949">
              <w:rPr>
                <w:rFonts w:ascii="Verdana" w:eastAsia="Verdana" w:hAnsi="Verdana" w:cs="Verdana"/>
                <w:b/>
                <w:bCs/>
                <w:sz w:val="20"/>
                <w:szCs w:val="20"/>
              </w:rPr>
              <w:t>--</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31EB2BC" w14:textId="1E18E96A" w:rsidR="52446949" w:rsidRDefault="52446949" w:rsidP="52446949">
            <w:pPr>
              <w:jc w:val="center"/>
            </w:pPr>
            <w:r w:rsidRPr="52446949">
              <w:rPr>
                <w:rFonts w:ascii="Verdana" w:eastAsia="Verdana" w:hAnsi="Verdana" w:cs="Verdana"/>
                <w:b/>
                <w:bCs/>
                <w:color w:val="000000" w:themeColor="text1"/>
                <w:sz w:val="20"/>
                <w:szCs w:val="20"/>
              </w:rPr>
              <w:t>--</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06C502" w14:textId="6B8D4556" w:rsidR="52446949" w:rsidRDefault="52446949" w:rsidP="52446949">
            <w:pPr>
              <w:jc w:val="center"/>
            </w:pPr>
            <w:r w:rsidRPr="52446949">
              <w:rPr>
                <w:rFonts w:ascii="Verdana" w:eastAsia="Verdana" w:hAnsi="Verdana" w:cs="Verdana"/>
                <w:b/>
                <w:bCs/>
                <w:sz w:val="20"/>
                <w:szCs w:val="20"/>
              </w:rPr>
              <w:t>45.3</w:t>
            </w:r>
            <w:r w:rsidRPr="52446949">
              <w:rPr>
                <w:rFonts w:ascii="Verdana" w:eastAsia="Verdana" w:hAnsi="Verdana" w:cs="Verdana"/>
                <w:b/>
                <w:bCs/>
                <w:color w:val="000000" w:themeColor="text1"/>
                <w:sz w:val="20"/>
                <w:szCs w:val="20"/>
              </w:rPr>
              <w:t>%</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6F4177D" w14:textId="738F895E" w:rsidR="52446949" w:rsidRDefault="52446949" w:rsidP="52446949">
            <w:pPr>
              <w:jc w:val="center"/>
            </w:pPr>
            <w:r w:rsidRPr="52446949">
              <w:rPr>
                <w:rFonts w:ascii="Verdana" w:eastAsia="Verdana" w:hAnsi="Verdana" w:cs="Verdana"/>
                <w:b/>
                <w:bCs/>
                <w:color w:val="000000" w:themeColor="text1"/>
                <w:sz w:val="20"/>
                <w:szCs w:val="20"/>
              </w:rPr>
              <w:t>--</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384EB0FB" w14:textId="0E0B9C31" w:rsidR="52446949" w:rsidRDefault="52446949" w:rsidP="52446949">
            <w:pPr>
              <w:jc w:val="center"/>
            </w:pPr>
            <w:r w:rsidRPr="52446949">
              <w:rPr>
                <w:rFonts w:ascii="Verdana" w:eastAsia="Verdana" w:hAnsi="Verdana" w:cs="Verdana"/>
                <w:b/>
                <w:bCs/>
                <w:color w:val="000000" w:themeColor="text1"/>
                <w:sz w:val="20"/>
                <w:szCs w:val="20"/>
              </w:rPr>
              <w:t>TBD</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3F0552E" w14:textId="0D81A63C" w:rsidR="52446949" w:rsidRDefault="52446949" w:rsidP="52446949">
            <w:pPr>
              <w:jc w:val="center"/>
            </w:pPr>
            <w:r w:rsidRPr="52446949">
              <w:rPr>
                <w:rFonts w:ascii="Verdana" w:eastAsia="Verdana" w:hAnsi="Verdana" w:cs="Verdana"/>
                <w:b/>
                <w:bCs/>
                <w:color w:val="000000" w:themeColor="text1"/>
                <w:sz w:val="20"/>
                <w:szCs w:val="20"/>
              </w:rPr>
              <w:t>--</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694B5374" w14:textId="1050FB89" w:rsidR="52446949" w:rsidRDefault="52446949" w:rsidP="52446949">
            <w:pPr>
              <w:jc w:val="center"/>
            </w:pPr>
            <w:r w:rsidRPr="52446949">
              <w:rPr>
                <w:rFonts w:ascii="Verdana" w:eastAsia="Verdana" w:hAnsi="Verdana" w:cs="Verdana"/>
                <w:b/>
                <w:bCs/>
                <w:color w:val="000000" w:themeColor="text1"/>
                <w:sz w:val="20"/>
                <w:szCs w:val="20"/>
              </w:rPr>
              <w:t>TBD</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DDA928B" w14:textId="50A51E59" w:rsidR="52446949" w:rsidRDefault="52446949" w:rsidP="52446949">
            <w:pPr>
              <w:jc w:val="center"/>
            </w:pPr>
            <w:r w:rsidRPr="52446949">
              <w:rPr>
                <w:rFonts w:ascii="Verdana" w:eastAsia="Verdana" w:hAnsi="Verdana" w:cs="Verdana"/>
                <w:b/>
                <w:bCs/>
                <w:color w:val="000000" w:themeColor="text1"/>
                <w:sz w:val="20"/>
                <w:szCs w:val="20"/>
              </w:rPr>
              <w:t>--</w:t>
            </w:r>
          </w:p>
        </w:tc>
      </w:tr>
    </w:tbl>
    <w:p w14:paraId="6FA279A8"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rPr>
      </w:pPr>
      <w:r>
        <w:br w:type="page"/>
      </w:r>
    </w:p>
    <w:tbl>
      <w:tblPr>
        <w:tblW w:w="0" w:type="auto"/>
        <w:tblLook w:val="06A0" w:firstRow="1" w:lastRow="0" w:firstColumn="1" w:lastColumn="0" w:noHBand="1" w:noVBand="1"/>
      </w:tblPr>
      <w:tblGrid>
        <w:gridCol w:w="1698"/>
        <w:gridCol w:w="867"/>
        <w:gridCol w:w="867"/>
        <w:gridCol w:w="870"/>
        <w:gridCol w:w="866"/>
        <w:gridCol w:w="783"/>
        <w:gridCol w:w="870"/>
        <w:gridCol w:w="866"/>
        <w:gridCol w:w="783"/>
        <w:gridCol w:w="870"/>
      </w:tblGrid>
      <w:tr w:rsidR="52446949" w14:paraId="442A4D67" w14:textId="77777777" w:rsidTr="52446949">
        <w:trPr>
          <w:trHeight w:val="705"/>
        </w:trPr>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D9E75"/>
            <w:tcMar>
              <w:left w:w="108" w:type="dxa"/>
              <w:right w:w="108" w:type="dxa"/>
            </w:tcMar>
            <w:vAlign w:val="center"/>
          </w:tcPr>
          <w:p w14:paraId="31F0037F" w14:textId="3AD5D963" w:rsidR="52446949" w:rsidRDefault="52446949" w:rsidP="52446949">
            <w:pPr>
              <w:ind w:right="-105"/>
            </w:pPr>
            <w:r w:rsidRPr="52446949">
              <w:rPr>
                <w:rFonts w:ascii="Verdana" w:eastAsia="Verdana" w:hAnsi="Verdana" w:cs="Verdana"/>
                <w:b/>
                <w:bCs/>
                <w:color w:val="000000" w:themeColor="text1"/>
                <w:sz w:val="20"/>
                <w:szCs w:val="20"/>
              </w:rPr>
              <w:lastRenderedPageBreak/>
              <w:t>WIOA Primary Indicator of Performance</w:t>
            </w:r>
          </w:p>
        </w:tc>
        <w:tc>
          <w:tcPr>
            <w:tcW w:w="8506"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D9E75"/>
            <w:tcMar>
              <w:left w:w="108" w:type="dxa"/>
              <w:right w:w="108" w:type="dxa"/>
            </w:tcMar>
            <w:vAlign w:val="center"/>
          </w:tcPr>
          <w:p w14:paraId="049F115B" w14:textId="78EFD2D2" w:rsidR="52446949" w:rsidRDefault="52446949" w:rsidP="52446949">
            <w:pPr>
              <w:jc w:val="center"/>
              <w:rPr>
                <w:rFonts w:ascii="Verdana" w:eastAsia="Verdana" w:hAnsi="Verdana" w:cs="Verdana"/>
                <w:b/>
                <w:bCs/>
                <w:color w:val="000000" w:themeColor="text1"/>
                <w:sz w:val="20"/>
                <w:szCs w:val="20"/>
              </w:rPr>
            </w:pPr>
          </w:p>
        </w:tc>
      </w:tr>
      <w:tr w:rsidR="52446949" w14:paraId="70713894" w14:textId="77777777" w:rsidTr="52446949">
        <w:trPr>
          <w:trHeight w:val="360"/>
        </w:trPr>
        <w:tc>
          <w:tcPr>
            <w:tcW w:w="189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EA9AF"/>
            <w:tcMar>
              <w:left w:w="108" w:type="dxa"/>
              <w:right w:w="108" w:type="dxa"/>
            </w:tcMar>
          </w:tcPr>
          <w:p w14:paraId="2E02CF31" w14:textId="5479648D" w:rsidR="52446949" w:rsidRDefault="52446949" w:rsidP="52446949">
            <w:pPr>
              <w:rPr>
                <w:rFonts w:ascii="Verdana" w:eastAsia="Verdana" w:hAnsi="Verdana" w:cs="Verdana"/>
                <w:color w:val="000000" w:themeColor="text1"/>
                <w:sz w:val="20"/>
                <w:szCs w:val="20"/>
              </w:rPr>
            </w:pPr>
          </w:p>
        </w:tc>
        <w:tc>
          <w:tcPr>
            <w:tcW w:w="2925" w:type="dxa"/>
            <w:gridSpan w:val="3"/>
            <w:tcBorders>
              <w:top w:val="nil"/>
              <w:left w:val="nil"/>
              <w:bottom w:val="single" w:sz="8" w:space="0" w:color="000000" w:themeColor="text1"/>
              <w:right w:val="single" w:sz="8" w:space="0" w:color="000000" w:themeColor="text1"/>
            </w:tcBorders>
            <w:shd w:val="clear" w:color="auto" w:fill="4EA9AF"/>
            <w:tcMar>
              <w:left w:w="108" w:type="dxa"/>
              <w:right w:w="108" w:type="dxa"/>
            </w:tcMar>
            <w:vAlign w:val="center"/>
          </w:tcPr>
          <w:p w14:paraId="141C9006" w14:textId="4B152EDE" w:rsidR="52446949" w:rsidRDefault="52446949" w:rsidP="52446949">
            <w:pPr>
              <w:jc w:val="center"/>
            </w:pPr>
            <w:r w:rsidRPr="52446949">
              <w:rPr>
                <w:rFonts w:ascii="Verdana" w:eastAsia="Verdana" w:hAnsi="Verdana" w:cs="Verdana"/>
                <w:b/>
                <w:bCs/>
                <w:color w:val="000000" w:themeColor="text1"/>
                <w:sz w:val="20"/>
                <w:szCs w:val="20"/>
              </w:rPr>
              <w:t>2024-25</w:t>
            </w:r>
          </w:p>
        </w:tc>
        <w:tc>
          <w:tcPr>
            <w:tcW w:w="2788" w:type="dxa"/>
            <w:gridSpan w:val="3"/>
            <w:tcBorders>
              <w:top w:val="nil"/>
              <w:left w:val="nil"/>
              <w:bottom w:val="single" w:sz="8" w:space="0" w:color="000000" w:themeColor="text1"/>
              <w:right w:val="single" w:sz="8" w:space="0" w:color="000000" w:themeColor="text1"/>
            </w:tcBorders>
            <w:shd w:val="clear" w:color="auto" w:fill="4EA9AF"/>
            <w:tcMar>
              <w:left w:w="108" w:type="dxa"/>
              <w:right w:w="108" w:type="dxa"/>
            </w:tcMar>
            <w:vAlign w:val="center"/>
          </w:tcPr>
          <w:p w14:paraId="74DD92B4" w14:textId="6855776C" w:rsidR="52446949" w:rsidRDefault="52446949" w:rsidP="52446949">
            <w:pPr>
              <w:jc w:val="center"/>
            </w:pPr>
            <w:r w:rsidRPr="52446949">
              <w:rPr>
                <w:rFonts w:ascii="Verdana" w:eastAsia="Verdana" w:hAnsi="Verdana" w:cs="Verdana"/>
                <w:b/>
                <w:bCs/>
                <w:color w:val="000000" w:themeColor="text1"/>
                <w:sz w:val="20"/>
                <w:szCs w:val="20"/>
              </w:rPr>
              <w:t>2025-26</w:t>
            </w:r>
          </w:p>
        </w:tc>
        <w:tc>
          <w:tcPr>
            <w:tcW w:w="2793" w:type="dxa"/>
            <w:gridSpan w:val="3"/>
            <w:tcBorders>
              <w:top w:val="nil"/>
              <w:left w:val="nil"/>
              <w:bottom w:val="single" w:sz="8" w:space="0" w:color="000000" w:themeColor="text1"/>
              <w:right w:val="single" w:sz="8" w:space="0" w:color="000000" w:themeColor="text1"/>
            </w:tcBorders>
            <w:shd w:val="clear" w:color="auto" w:fill="4EA9AF"/>
            <w:tcMar>
              <w:left w:w="108" w:type="dxa"/>
              <w:right w:w="108" w:type="dxa"/>
            </w:tcMar>
            <w:vAlign w:val="center"/>
          </w:tcPr>
          <w:p w14:paraId="08DF7B37" w14:textId="23E27285" w:rsidR="52446949" w:rsidRDefault="52446949" w:rsidP="52446949">
            <w:pPr>
              <w:jc w:val="center"/>
            </w:pPr>
            <w:r w:rsidRPr="52446949">
              <w:rPr>
                <w:rFonts w:ascii="Verdana" w:eastAsia="Verdana" w:hAnsi="Verdana" w:cs="Verdana"/>
                <w:b/>
                <w:bCs/>
                <w:color w:val="000000" w:themeColor="text1"/>
                <w:sz w:val="20"/>
                <w:szCs w:val="20"/>
              </w:rPr>
              <w:t>2026-27</w:t>
            </w:r>
          </w:p>
        </w:tc>
      </w:tr>
      <w:tr w:rsidR="52446949" w14:paraId="546660F0" w14:textId="77777777" w:rsidTr="52446949">
        <w:trPr>
          <w:trHeight w:val="525"/>
        </w:trPr>
        <w:tc>
          <w:tcPr>
            <w:tcW w:w="1890" w:type="dxa"/>
            <w:vMerge/>
            <w:tcBorders>
              <w:left w:val="single" w:sz="0" w:space="0" w:color="000000" w:themeColor="text1"/>
              <w:bottom w:val="single" w:sz="0" w:space="0" w:color="000000" w:themeColor="text1"/>
              <w:right w:val="single" w:sz="0" w:space="0" w:color="000000" w:themeColor="text1"/>
            </w:tcBorders>
            <w:vAlign w:val="center"/>
          </w:tcPr>
          <w:p w14:paraId="5F684E90" w14:textId="77777777" w:rsidR="000323D3" w:rsidRDefault="000323D3"/>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3B540E" w14:textId="500D9D89" w:rsidR="52446949" w:rsidRDefault="52446949" w:rsidP="52446949">
            <w:pPr>
              <w:ind w:left="-31"/>
              <w:jc w:val="center"/>
            </w:pPr>
            <w:r w:rsidRPr="52446949">
              <w:rPr>
                <w:rFonts w:ascii="Verdana" w:eastAsia="Verdana" w:hAnsi="Verdana" w:cs="Verdana"/>
                <w:sz w:val="20"/>
                <w:szCs w:val="20"/>
              </w:rPr>
              <w:t>Target</w:t>
            </w:r>
          </w:p>
        </w:tc>
        <w:tc>
          <w:tcPr>
            <w:tcW w:w="96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171C32" w14:textId="01629A39" w:rsidR="52446949" w:rsidRDefault="52446949" w:rsidP="52446949">
            <w:pPr>
              <w:ind w:left="-31"/>
              <w:jc w:val="center"/>
            </w:pPr>
            <w:r w:rsidRPr="52446949">
              <w:rPr>
                <w:rFonts w:ascii="Verdana" w:eastAsia="Verdana" w:hAnsi="Verdana" w:cs="Verdana"/>
                <w:sz w:val="20"/>
                <w:szCs w:val="20"/>
              </w:rPr>
              <w:t>Actual</w:t>
            </w:r>
          </w:p>
        </w:tc>
        <w:tc>
          <w:tcPr>
            <w:tcW w:w="99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709B732" w14:textId="303F0FE1" w:rsidR="52446949" w:rsidRDefault="52446949" w:rsidP="52446949">
            <w:pPr>
              <w:ind w:left="-31"/>
              <w:jc w:val="center"/>
            </w:pPr>
            <w:r w:rsidRPr="52446949">
              <w:rPr>
                <w:rFonts w:ascii="Verdana" w:eastAsia="Verdana" w:hAnsi="Verdana" w:cs="Verdana"/>
                <w:sz w:val="20"/>
                <w:szCs w:val="20"/>
              </w:rPr>
              <w:t>Adjust.</w:t>
            </w:r>
          </w:p>
        </w:tc>
        <w:tc>
          <w:tcPr>
            <w:tcW w:w="9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71EC1E" w14:textId="39F7DB69" w:rsidR="52446949" w:rsidRDefault="52446949" w:rsidP="52446949">
            <w:pPr>
              <w:ind w:left="-31"/>
              <w:jc w:val="center"/>
            </w:pPr>
            <w:r w:rsidRPr="52446949">
              <w:rPr>
                <w:rFonts w:ascii="Verdana" w:eastAsia="Verdana" w:hAnsi="Verdana" w:cs="Verdana"/>
                <w:sz w:val="20"/>
                <w:szCs w:val="20"/>
              </w:rPr>
              <w:t>Target</w:t>
            </w:r>
          </w:p>
        </w:tc>
        <w:tc>
          <w:tcPr>
            <w:tcW w:w="90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55C6AB" w14:textId="2F0AAF38" w:rsidR="52446949" w:rsidRDefault="52446949" w:rsidP="52446949">
            <w:pPr>
              <w:ind w:left="-31"/>
              <w:jc w:val="center"/>
            </w:pPr>
            <w:r w:rsidRPr="52446949">
              <w:rPr>
                <w:rFonts w:ascii="Verdana" w:eastAsia="Verdana" w:hAnsi="Verdana" w:cs="Verdana"/>
                <w:sz w:val="20"/>
                <w:szCs w:val="20"/>
              </w:rPr>
              <w:t>Actual</w:t>
            </w:r>
          </w:p>
        </w:tc>
        <w:tc>
          <w:tcPr>
            <w:tcW w:w="90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4BE637" w14:textId="39C1C3FF" w:rsidR="52446949" w:rsidRDefault="52446949" w:rsidP="52446949">
            <w:pPr>
              <w:ind w:left="-31" w:right="-90"/>
              <w:jc w:val="center"/>
            </w:pPr>
            <w:r w:rsidRPr="52446949">
              <w:rPr>
                <w:rFonts w:ascii="Verdana" w:eastAsia="Verdana" w:hAnsi="Verdana" w:cs="Verdana"/>
                <w:sz w:val="20"/>
                <w:szCs w:val="20"/>
              </w:rPr>
              <w:t>Adjust.</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906815" w14:textId="002AC208" w:rsidR="52446949" w:rsidRDefault="52446949" w:rsidP="52446949">
            <w:pPr>
              <w:ind w:left="-31"/>
              <w:jc w:val="center"/>
            </w:pPr>
            <w:r w:rsidRPr="52446949">
              <w:rPr>
                <w:rFonts w:ascii="Verdana" w:eastAsia="Verdana" w:hAnsi="Verdana" w:cs="Verdana"/>
                <w:sz w:val="20"/>
                <w:szCs w:val="20"/>
              </w:rPr>
              <w:t>Target</w:t>
            </w:r>
          </w:p>
        </w:tc>
        <w:tc>
          <w:tcPr>
            <w:tcW w:w="903"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E316C9" w14:textId="3A57C52B" w:rsidR="52446949" w:rsidRDefault="52446949" w:rsidP="52446949">
            <w:pPr>
              <w:ind w:left="-31"/>
              <w:jc w:val="center"/>
            </w:pPr>
            <w:r w:rsidRPr="52446949">
              <w:rPr>
                <w:rFonts w:ascii="Verdana" w:eastAsia="Verdana" w:hAnsi="Verdana" w:cs="Verdana"/>
                <w:sz w:val="20"/>
                <w:szCs w:val="20"/>
              </w:rPr>
              <w:t>Actual</w:t>
            </w:r>
          </w:p>
        </w:tc>
        <w:tc>
          <w:tcPr>
            <w:tcW w:w="8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DF8D3D" w14:textId="330EC689" w:rsidR="52446949" w:rsidRDefault="52446949" w:rsidP="52446949">
            <w:pPr>
              <w:ind w:left="-31" w:right="-90"/>
              <w:jc w:val="center"/>
            </w:pPr>
            <w:r w:rsidRPr="52446949">
              <w:rPr>
                <w:rFonts w:ascii="Verdana" w:eastAsia="Verdana" w:hAnsi="Verdana" w:cs="Verdana"/>
                <w:sz w:val="20"/>
                <w:szCs w:val="20"/>
              </w:rPr>
              <w:t>Adjust.</w:t>
            </w:r>
          </w:p>
        </w:tc>
      </w:tr>
      <w:tr w:rsidR="52446949" w14:paraId="5C16BB30" w14:textId="77777777" w:rsidTr="52446949">
        <w:trPr>
          <w:trHeight w:val="435"/>
        </w:trPr>
        <w:tc>
          <w:tcPr>
            <w:tcW w:w="189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B08BFC" w14:textId="2A2DFFF4" w:rsidR="52446949" w:rsidRDefault="52446949" w:rsidP="52446949">
            <w:pPr>
              <w:ind w:right="-15"/>
              <w:rPr>
                <w:rFonts w:ascii="Verdana" w:eastAsia="Verdana" w:hAnsi="Verdana" w:cs="Verdana"/>
                <w:sz w:val="20"/>
                <w:szCs w:val="20"/>
              </w:rPr>
            </w:pPr>
            <w:r w:rsidRPr="52446949">
              <w:rPr>
                <w:rFonts w:ascii="Verdana" w:eastAsia="Verdana" w:hAnsi="Verdana" w:cs="Verdana"/>
                <w:sz w:val="20"/>
                <w:szCs w:val="20"/>
              </w:rPr>
              <w:t>Overall MSG</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CDB46A" w14:textId="470EAEF6" w:rsidR="52446949" w:rsidRDefault="52446949" w:rsidP="52446949">
            <w:pPr>
              <w:ind w:left="-31"/>
              <w:jc w:val="center"/>
            </w:pPr>
            <w:r w:rsidRPr="52446949">
              <w:rPr>
                <w:rFonts w:ascii="Verdana" w:eastAsia="Verdana" w:hAnsi="Verdana" w:cs="Verdana"/>
                <w:sz w:val="20"/>
                <w:szCs w:val="20"/>
              </w:rPr>
              <w:t>40.0%</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08940B4" w14:textId="1336FB60" w:rsidR="52446949" w:rsidRDefault="52446949" w:rsidP="52446949">
            <w:pPr>
              <w:ind w:left="-31"/>
              <w:jc w:val="center"/>
            </w:pPr>
            <w:r w:rsidRPr="52446949">
              <w:rPr>
                <w:rFonts w:ascii="Verdana" w:eastAsia="Verdana" w:hAnsi="Verdana" w:cs="Verdana"/>
                <w:color w:val="000000" w:themeColor="text1"/>
                <w:sz w:val="20"/>
                <w:szCs w:val="20"/>
              </w:rPr>
              <w:t>47.8%</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E02750" w14:textId="5A637104" w:rsidR="52446949" w:rsidRDefault="52446949" w:rsidP="52446949">
            <w:pPr>
              <w:ind w:left="-31"/>
              <w:jc w:val="center"/>
            </w:pPr>
            <w:r w:rsidRPr="52446949">
              <w:rPr>
                <w:rFonts w:ascii="Verdana" w:eastAsia="Verdana" w:hAnsi="Verdana" w:cs="Verdana"/>
                <w:sz w:val="20"/>
                <w:szCs w:val="20"/>
              </w:rPr>
              <w:t>45.3%</w:t>
            </w:r>
          </w:p>
        </w:tc>
        <w:tc>
          <w:tcPr>
            <w:tcW w:w="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CFFE183" w14:textId="5C456BE0" w:rsidR="52446949" w:rsidRDefault="52446949" w:rsidP="52446949">
            <w:pPr>
              <w:ind w:left="-31"/>
              <w:jc w:val="center"/>
            </w:pPr>
            <w:r w:rsidRPr="52446949">
              <w:rPr>
                <w:rFonts w:ascii="Verdana" w:eastAsia="Verdana" w:hAnsi="Verdana" w:cs="Verdana"/>
                <w:color w:val="000000" w:themeColor="text1"/>
                <w:sz w:val="20"/>
                <w:szCs w:val="20"/>
              </w:rPr>
              <w:t>41.0%</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ABDA4F0" w14:textId="07208AC3" w:rsidR="52446949" w:rsidRDefault="52446949" w:rsidP="52446949">
            <w:pPr>
              <w:ind w:left="-31"/>
              <w:jc w:val="center"/>
            </w:pPr>
            <w:r w:rsidRPr="52446949">
              <w:rPr>
                <w:rFonts w:ascii="Verdana" w:eastAsia="Verdana" w:hAnsi="Verdana" w:cs="Verdana"/>
                <w:color w:val="000000" w:themeColor="text1"/>
                <w:sz w:val="20"/>
                <w:szCs w:val="20"/>
              </w:rPr>
              <w:t>TBD</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D438DD3" w14:textId="2BB25925" w:rsidR="52446949" w:rsidRDefault="52446949" w:rsidP="52446949">
            <w:pPr>
              <w:ind w:left="-31"/>
              <w:jc w:val="center"/>
            </w:pPr>
            <w:r w:rsidRPr="52446949">
              <w:rPr>
                <w:rFonts w:ascii="Verdana" w:eastAsia="Verdana" w:hAnsi="Verdana" w:cs="Verdana"/>
                <w:color w:val="000000" w:themeColor="text1"/>
                <w:sz w:val="20"/>
                <w:szCs w:val="20"/>
              </w:rPr>
              <w:t>TBD</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22435553" w14:textId="3D342AE2" w:rsidR="52446949" w:rsidRDefault="52446949" w:rsidP="52446949">
            <w:pPr>
              <w:ind w:left="-31"/>
              <w:jc w:val="center"/>
            </w:pPr>
            <w:r w:rsidRPr="52446949">
              <w:rPr>
                <w:rFonts w:ascii="Verdana" w:eastAsia="Verdana" w:hAnsi="Verdana" w:cs="Verdana"/>
                <w:color w:val="000000" w:themeColor="text1"/>
                <w:sz w:val="20"/>
                <w:szCs w:val="20"/>
              </w:rPr>
              <w:t>44.0%</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A5504E0" w14:textId="5047C013" w:rsidR="52446949" w:rsidRDefault="52446949" w:rsidP="52446949">
            <w:pPr>
              <w:ind w:left="-31"/>
              <w:jc w:val="center"/>
            </w:pPr>
            <w:r w:rsidRPr="52446949">
              <w:rPr>
                <w:rFonts w:ascii="Verdana" w:eastAsia="Verdana" w:hAnsi="Verdana" w:cs="Verdana"/>
                <w:color w:val="000000" w:themeColor="text1"/>
                <w:sz w:val="20"/>
                <w:szCs w:val="20"/>
              </w:rPr>
              <w:t>TBD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73C5E1C" w14:textId="1C16E9E3" w:rsidR="52446949" w:rsidRDefault="52446949" w:rsidP="52446949">
            <w:pPr>
              <w:ind w:left="-31"/>
              <w:jc w:val="center"/>
            </w:pPr>
            <w:r w:rsidRPr="52446949">
              <w:rPr>
                <w:rFonts w:ascii="Verdana" w:eastAsia="Verdana" w:hAnsi="Verdana" w:cs="Verdana"/>
                <w:color w:val="000000" w:themeColor="text1"/>
                <w:sz w:val="20"/>
                <w:szCs w:val="20"/>
              </w:rPr>
              <w:t>TBD</w:t>
            </w:r>
          </w:p>
        </w:tc>
      </w:tr>
      <w:tr w:rsidR="52446949" w14:paraId="1CA35246" w14:textId="77777777" w:rsidTr="52446949">
        <w:trPr>
          <w:trHeight w:val="615"/>
        </w:trPr>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F70066" w14:textId="254BB934" w:rsidR="52446949" w:rsidRDefault="52446949" w:rsidP="52446949">
            <w:pPr>
              <w:ind w:right="-15"/>
              <w:rPr>
                <w:rFonts w:ascii="Verdana" w:eastAsia="Verdana" w:hAnsi="Verdana" w:cs="Verdana"/>
                <w:sz w:val="20"/>
                <w:szCs w:val="20"/>
              </w:rPr>
            </w:pPr>
            <w:r w:rsidRPr="52446949">
              <w:rPr>
                <w:rFonts w:ascii="Verdana" w:eastAsia="Verdana" w:hAnsi="Verdana" w:cs="Verdana"/>
                <w:sz w:val="20"/>
                <w:szCs w:val="20"/>
              </w:rPr>
              <w:t>Employment 2nd Quarter after exit</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E24DAB" w14:textId="6F274DB9" w:rsidR="52446949" w:rsidRDefault="52446949" w:rsidP="52446949">
            <w:pPr>
              <w:ind w:left="-31"/>
              <w:jc w:val="center"/>
            </w:pPr>
            <w:r w:rsidRPr="52446949">
              <w:rPr>
                <w:rFonts w:ascii="Verdana" w:eastAsia="Verdana" w:hAnsi="Verdana" w:cs="Verdana"/>
                <w:sz w:val="20"/>
                <w:szCs w:val="20"/>
              </w:rPr>
              <w:t>34.0%</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7362F15" w14:textId="0FE90EAF" w:rsidR="52446949" w:rsidRDefault="52446949" w:rsidP="52446949">
            <w:pPr>
              <w:ind w:left="-31"/>
              <w:jc w:val="center"/>
            </w:pPr>
            <w:r w:rsidRPr="52446949">
              <w:rPr>
                <w:rFonts w:ascii="Verdana" w:eastAsia="Verdana" w:hAnsi="Verdana" w:cs="Verdana"/>
                <w:color w:val="000000" w:themeColor="text1"/>
                <w:sz w:val="20"/>
                <w:szCs w:val="20"/>
              </w:rPr>
              <w:t>27.3%</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68F273" w14:textId="00D15DBE" w:rsidR="52446949" w:rsidRDefault="52446949" w:rsidP="52446949">
            <w:pPr>
              <w:ind w:left="-31"/>
              <w:jc w:val="center"/>
            </w:pPr>
            <w:r w:rsidRPr="52446949">
              <w:rPr>
                <w:rFonts w:ascii="Verdana" w:eastAsia="Verdana" w:hAnsi="Verdana" w:cs="Verdana"/>
                <w:sz w:val="20"/>
                <w:szCs w:val="20"/>
              </w:rPr>
              <w:t>19.1%</w:t>
            </w:r>
          </w:p>
        </w:tc>
        <w:tc>
          <w:tcPr>
            <w:tcW w:w="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87188FC" w14:textId="26F265CB" w:rsidR="52446949" w:rsidRDefault="52446949" w:rsidP="52446949">
            <w:pPr>
              <w:ind w:left="-31"/>
              <w:jc w:val="center"/>
            </w:pPr>
            <w:r w:rsidRPr="52446949">
              <w:rPr>
                <w:rFonts w:ascii="Verdana" w:eastAsia="Verdana" w:hAnsi="Verdana" w:cs="Verdana"/>
                <w:color w:val="000000" w:themeColor="text1"/>
                <w:sz w:val="20"/>
                <w:szCs w:val="20"/>
              </w:rPr>
              <w:t>34.5%</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13CC203" w14:textId="5AA7BF36" w:rsidR="52446949" w:rsidRDefault="52446949" w:rsidP="52446949">
            <w:pPr>
              <w:ind w:left="-31"/>
              <w:jc w:val="center"/>
            </w:pPr>
            <w:r w:rsidRPr="52446949">
              <w:rPr>
                <w:rFonts w:ascii="Verdana" w:eastAsia="Verdana" w:hAnsi="Verdana" w:cs="Verdana"/>
                <w:color w:val="000000" w:themeColor="text1"/>
                <w:sz w:val="20"/>
                <w:szCs w:val="20"/>
              </w:rPr>
              <w:t>TBD</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0448137" w14:textId="27E5723B" w:rsidR="52446949" w:rsidRDefault="52446949" w:rsidP="52446949">
            <w:pPr>
              <w:ind w:left="-31"/>
              <w:jc w:val="center"/>
            </w:pPr>
            <w:r w:rsidRPr="52446949">
              <w:rPr>
                <w:rFonts w:ascii="Verdana" w:eastAsia="Verdana" w:hAnsi="Verdana" w:cs="Verdana"/>
                <w:color w:val="000000" w:themeColor="text1"/>
                <w:sz w:val="20"/>
                <w:szCs w:val="20"/>
              </w:rPr>
              <w:t>TBD</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4B48F13" w14:textId="41EDDDD1" w:rsidR="52446949" w:rsidRDefault="52446949" w:rsidP="52446949">
            <w:pPr>
              <w:ind w:left="-31"/>
              <w:jc w:val="center"/>
            </w:pPr>
            <w:r w:rsidRPr="52446949">
              <w:rPr>
                <w:rFonts w:ascii="Verdana" w:eastAsia="Verdana" w:hAnsi="Verdana" w:cs="Verdana"/>
                <w:color w:val="000000" w:themeColor="text1"/>
                <w:sz w:val="20"/>
                <w:szCs w:val="20"/>
              </w:rPr>
              <w:t>28.9%</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24D7B724" w14:textId="5845EFDC" w:rsidR="52446949" w:rsidRDefault="52446949" w:rsidP="52446949">
            <w:pPr>
              <w:ind w:left="-31"/>
              <w:jc w:val="center"/>
            </w:pPr>
            <w:r w:rsidRPr="52446949">
              <w:rPr>
                <w:rFonts w:ascii="Verdana" w:eastAsia="Verdana" w:hAnsi="Verdana" w:cs="Verdana"/>
                <w:color w:val="000000" w:themeColor="text1"/>
                <w:sz w:val="20"/>
                <w:szCs w:val="20"/>
              </w:rPr>
              <w:t>TBD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FE8B74B" w14:textId="38E40887" w:rsidR="52446949" w:rsidRDefault="52446949" w:rsidP="52446949">
            <w:pPr>
              <w:ind w:left="-31"/>
              <w:jc w:val="center"/>
            </w:pPr>
            <w:r w:rsidRPr="52446949">
              <w:rPr>
                <w:rFonts w:ascii="Verdana" w:eastAsia="Verdana" w:hAnsi="Verdana" w:cs="Verdana"/>
                <w:color w:val="000000" w:themeColor="text1"/>
                <w:sz w:val="20"/>
                <w:szCs w:val="20"/>
              </w:rPr>
              <w:t>TBD</w:t>
            </w:r>
          </w:p>
        </w:tc>
      </w:tr>
      <w:tr w:rsidR="52446949" w14:paraId="228AB2AC" w14:textId="77777777" w:rsidTr="52446949">
        <w:trPr>
          <w:trHeight w:val="615"/>
        </w:trPr>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2FF855" w14:textId="27188BFD" w:rsidR="52446949" w:rsidRDefault="52446949" w:rsidP="52446949">
            <w:pPr>
              <w:ind w:right="-15"/>
              <w:rPr>
                <w:rFonts w:ascii="Verdana" w:eastAsia="Verdana" w:hAnsi="Verdana" w:cs="Verdana"/>
                <w:sz w:val="20"/>
                <w:szCs w:val="20"/>
              </w:rPr>
            </w:pPr>
            <w:r w:rsidRPr="52446949">
              <w:rPr>
                <w:rFonts w:ascii="Verdana" w:eastAsia="Verdana" w:hAnsi="Verdana" w:cs="Verdana"/>
                <w:sz w:val="20"/>
                <w:szCs w:val="20"/>
              </w:rPr>
              <w:t>Employment 4th Quarter after exit</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FFA6A7" w14:textId="7EE0F338" w:rsidR="52446949" w:rsidRDefault="52446949" w:rsidP="52446949">
            <w:pPr>
              <w:ind w:left="-31"/>
              <w:jc w:val="center"/>
            </w:pPr>
            <w:r w:rsidRPr="52446949">
              <w:rPr>
                <w:rFonts w:ascii="Verdana" w:eastAsia="Verdana" w:hAnsi="Verdana" w:cs="Verdana"/>
                <w:sz w:val="20"/>
                <w:szCs w:val="20"/>
              </w:rPr>
              <w:t>28.7%</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BDD31CD" w14:textId="7CF0553E" w:rsidR="52446949" w:rsidRDefault="52446949" w:rsidP="52446949">
            <w:pPr>
              <w:ind w:left="-31"/>
              <w:jc w:val="center"/>
            </w:pPr>
            <w:r w:rsidRPr="52446949">
              <w:rPr>
                <w:rFonts w:ascii="Verdana" w:eastAsia="Verdana" w:hAnsi="Verdana" w:cs="Verdana"/>
                <w:color w:val="000000" w:themeColor="text1"/>
                <w:sz w:val="20"/>
                <w:szCs w:val="20"/>
              </w:rPr>
              <w:t>26.4%</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942A1C" w14:textId="52252C9D" w:rsidR="52446949" w:rsidRDefault="52446949" w:rsidP="52446949">
            <w:pPr>
              <w:ind w:left="-31"/>
              <w:jc w:val="center"/>
            </w:pPr>
            <w:r w:rsidRPr="52446949">
              <w:rPr>
                <w:rFonts w:ascii="Verdana" w:eastAsia="Verdana" w:hAnsi="Verdana" w:cs="Verdana"/>
                <w:sz w:val="20"/>
                <w:szCs w:val="20"/>
              </w:rPr>
              <w:t>--</w:t>
            </w:r>
          </w:p>
        </w:tc>
        <w:tc>
          <w:tcPr>
            <w:tcW w:w="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E33EBC3" w14:textId="66C8EFCA" w:rsidR="52446949" w:rsidRDefault="52446949" w:rsidP="52446949">
            <w:pPr>
              <w:ind w:left="-31"/>
              <w:jc w:val="center"/>
            </w:pPr>
            <w:r w:rsidRPr="52446949">
              <w:rPr>
                <w:rFonts w:ascii="Verdana" w:eastAsia="Verdana" w:hAnsi="Verdana" w:cs="Verdana"/>
                <w:color w:val="000000" w:themeColor="text1"/>
                <w:sz w:val="20"/>
                <w:szCs w:val="20"/>
              </w:rPr>
              <w:t>28.8%</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5BEED07" w14:textId="36786EC6" w:rsidR="52446949" w:rsidRDefault="52446949" w:rsidP="52446949">
            <w:pPr>
              <w:ind w:left="-31"/>
              <w:jc w:val="center"/>
            </w:pPr>
            <w:r w:rsidRPr="52446949">
              <w:rPr>
                <w:rFonts w:ascii="Verdana" w:eastAsia="Verdana" w:hAnsi="Verdana" w:cs="Verdana"/>
                <w:color w:val="000000" w:themeColor="text1"/>
                <w:sz w:val="20"/>
                <w:szCs w:val="20"/>
              </w:rPr>
              <w:t>TBD</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D1D9A80" w14:textId="694AA652" w:rsidR="52446949" w:rsidRDefault="52446949" w:rsidP="52446949">
            <w:pPr>
              <w:ind w:left="-31"/>
              <w:jc w:val="center"/>
            </w:pPr>
            <w:r w:rsidRPr="52446949">
              <w:rPr>
                <w:rFonts w:ascii="Verdana" w:eastAsia="Verdana" w:hAnsi="Verdana" w:cs="Verdana"/>
                <w:color w:val="000000" w:themeColor="text1"/>
                <w:sz w:val="20"/>
                <w:szCs w:val="20"/>
              </w:rPr>
              <w:t>TBD</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3A51732" w14:textId="11471290" w:rsidR="52446949" w:rsidRDefault="52446949" w:rsidP="52446949">
            <w:pPr>
              <w:ind w:left="-31"/>
              <w:jc w:val="center"/>
            </w:pPr>
            <w:r w:rsidRPr="52446949">
              <w:rPr>
                <w:rFonts w:ascii="Verdana" w:eastAsia="Verdana" w:hAnsi="Verdana" w:cs="Verdana"/>
                <w:color w:val="000000" w:themeColor="text1"/>
                <w:sz w:val="20"/>
                <w:szCs w:val="20"/>
              </w:rPr>
              <w:t>28.9%</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D91175C" w14:textId="637139FD" w:rsidR="52446949" w:rsidRDefault="52446949" w:rsidP="52446949">
            <w:pPr>
              <w:ind w:left="-31"/>
              <w:jc w:val="center"/>
            </w:pPr>
            <w:r w:rsidRPr="52446949">
              <w:rPr>
                <w:rFonts w:ascii="Verdana" w:eastAsia="Verdana" w:hAnsi="Verdana" w:cs="Verdana"/>
                <w:color w:val="000000" w:themeColor="text1"/>
                <w:sz w:val="20"/>
                <w:szCs w:val="20"/>
              </w:rPr>
              <w:t>TBD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71A2D42" w14:textId="600987BD" w:rsidR="52446949" w:rsidRDefault="52446949" w:rsidP="52446949">
            <w:pPr>
              <w:ind w:left="-31"/>
              <w:jc w:val="center"/>
            </w:pPr>
            <w:r w:rsidRPr="52446949">
              <w:rPr>
                <w:rFonts w:ascii="Verdana" w:eastAsia="Verdana" w:hAnsi="Verdana" w:cs="Verdana"/>
                <w:color w:val="000000" w:themeColor="text1"/>
                <w:sz w:val="20"/>
                <w:szCs w:val="20"/>
              </w:rPr>
              <w:t>TBD</w:t>
            </w:r>
          </w:p>
        </w:tc>
      </w:tr>
      <w:tr w:rsidR="52446949" w14:paraId="7B568FEF" w14:textId="77777777" w:rsidTr="52446949">
        <w:trPr>
          <w:trHeight w:val="705"/>
        </w:trPr>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77FFB4" w14:textId="7CEB3A4F" w:rsidR="52446949" w:rsidRDefault="52446949" w:rsidP="52446949">
            <w:pPr>
              <w:ind w:right="-15"/>
              <w:rPr>
                <w:rFonts w:ascii="Verdana" w:eastAsia="Verdana" w:hAnsi="Verdana" w:cs="Verdana"/>
                <w:sz w:val="20"/>
                <w:szCs w:val="20"/>
              </w:rPr>
            </w:pPr>
            <w:r w:rsidRPr="52446949">
              <w:rPr>
                <w:rFonts w:ascii="Verdana" w:eastAsia="Verdana" w:hAnsi="Verdana" w:cs="Verdana"/>
                <w:sz w:val="20"/>
                <w:szCs w:val="20"/>
              </w:rPr>
              <w:t>Median Earnings 2nd Quarter after exit</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B73C05" w14:textId="3255D530" w:rsidR="52446949" w:rsidRDefault="52446949" w:rsidP="52446949">
            <w:pPr>
              <w:ind w:left="-31"/>
              <w:jc w:val="center"/>
            </w:pPr>
            <w:r w:rsidRPr="52446949">
              <w:rPr>
                <w:rFonts w:ascii="Verdana" w:eastAsia="Verdana" w:hAnsi="Verdana" w:cs="Verdana"/>
                <w:sz w:val="20"/>
                <w:szCs w:val="20"/>
              </w:rPr>
              <w:t>$5,903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FB4DA40" w14:textId="6B197A67" w:rsidR="52446949" w:rsidRDefault="52446949" w:rsidP="52446949">
            <w:pPr>
              <w:ind w:left="-31"/>
              <w:jc w:val="center"/>
            </w:pPr>
            <w:r w:rsidRPr="52446949">
              <w:rPr>
                <w:rFonts w:ascii="Verdana" w:eastAsia="Verdana" w:hAnsi="Verdana" w:cs="Verdana"/>
                <w:color w:val="000000" w:themeColor="text1"/>
                <w:sz w:val="20"/>
                <w:szCs w:val="20"/>
              </w:rPr>
              <w:t>$8,137</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2B9CD3" w14:textId="18A6C5F9" w:rsidR="52446949" w:rsidRDefault="52446949" w:rsidP="52446949">
            <w:pPr>
              <w:ind w:left="-31"/>
              <w:jc w:val="center"/>
            </w:pPr>
            <w:r w:rsidRPr="52446949">
              <w:rPr>
                <w:rFonts w:ascii="Verdana" w:eastAsia="Verdana" w:hAnsi="Verdana" w:cs="Verdana"/>
                <w:sz w:val="20"/>
                <w:szCs w:val="20"/>
              </w:rPr>
              <w:t>--</w:t>
            </w:r>
          </w:p>
        </w:tc>
        <w:tc>
          <w:tcPr>
            <w:tcW w:w="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A78D887" w14:textId="03D89C61" w:rsidR="52446949" w:rsidRDefault="52446949" w:rsidP="52446949">
            <w:pPr>
              <w:ind w:left="-31"/>
              <w:jc w:val="center"/>
            </w:pPr>
            <w:r w:rsidRPr="52446949">
              <w:rPr>
                <w:rFonts w:ascii="Verdana" w:eastAsia="Verdana" w:hAnsi="Verdana" w:cs="Verdana"/>
                <w:color w:val="000000" w:themeColor="text1"/>
                <w:sz w:val="20"/>
                <w:szCs w:val="20"/>
              </w:rPr>
              <w:t>$6,000</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5F1D3EA" w14:textId="0EC112A8" w:rsidR="52446949" w:rsidRDefault="52446949" w:rsidP="52446949">
            <w:pPr>
              <w:ind w:left="-31"/>
              <w:jc w:val="center"/>
            </w:pPr>
            <w:r w:rsidRPr="52446949">
              <w:rPr>
                <w:rFonts w:ascii="Verdana" w:eastAsia="Verdana" w:hAnsi="Verdana" w:cs="Verdana"/>
                <w:color w:val="000000" w:themeColor="text1"/>
                <w:sz w:val="20"/>
                <w:szCs w:val="20"/>
              </w:rPr>
              <w:t>TBD</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D7592D8" w14:textId="7343DE66" w:rsidR="52446949" w:rsidRDefault="52446949" w:rsidP="52446949">
            <w:pPr>
              <w:ind w:left="-31"/>
              <w:jc w:val="center"/>
            </w:pPr>
            <w:r w:rsidRPr="52446949">
              <w:rPr>
                <w:rFonts w:ascii="Verdana" w:eastAsia="Verdana" w:hAnsi="Verdana" w:cs="Verdana"/>
                <w:color w:val="000000" w:themeColor="text1"/>
                <w:sz w:val="20"/>
                <w:szCs w:val="20"/>
              </w:rPr>
              <w:t>TBD</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0BA8753" w14:textId="35310FCA" w:rsidR="52446949" w:rsidRDefault="52446949" w:rsidP="52446949">
            <w:pPr>
              <w:ind w:left="-31"/>
              <w:jc w:val="center"/>
            </w:pPr>
            <w:r w:rsidRPr="52446949">
              <w:rPr>
                <w:rFonts w:ascii="Verdana" w:eastAsia="Verdana" w:hAnsi="Verdana" w:cs="Verdana"/>
                <w:color w:val="000000" w:themeColor="text1"/>
                <w:sz w:val="20"/>
                <w:szCs w:val="20"/>
              </w:rPr>
              <w:t>$6,378</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5E2AA18E" w14:textId="7513A6C0" w:rsidR="52446949" w:rsidRDefault="52446949" w:rsidP="52446949">
            <w:pPr>
              <w:ind w:left="-31"/>
              <w:jc w:val="center"/>
            </w:pPr>
            <w:r w:rsidRPr="52446949">
              <w:rPr>
                <w:rFonts w:ascii="Verdana" w:eastAsia="Verdana" w:hAnsi="Verdana" w:cs="Verdana"/>
                <w:color w:val="000000" w:themeColor="text1"/>
                <w:sz w:val="20"/>
                <w:szCs w:val="20"/>
              </w:rPr>
              <w:t>TBD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6920635E" w14:textId="7606D9EF" w:rsidR="52446949" w:rsidRDefault="52446949" w:rsidP="52446949">
            <w:pPr>
              <w:ind w:left="-31"/>
              <w:jc w:val="center"/>
            </w:pPr>
            <w:r w:rsidRPr="52446949">
              <w:rPr>
                <w:rFonts w:ascii="Verdana" w:eastAsia="Verdana" w:hAnsi="Verdana" w:cs="Verdana"/>
                <w:color w:val="000000" w:themeColor="text1"/>
                <w:sz w:val="20"/>
                <w:szCs w:val="20"/>
              </w:rPr>
              <w:t>TBD</w:t>
            </w:r>
          </w:p>
        </w:tc>
      </w:tr>
      <w:tr w:rsidR="52446949" w14:paraId="3648E23B" w14:textId="77777777" w:rsidTr="52446949">
        <w:trPr>
          <w:trHeight w:val="1155"/>
        </w:trPr>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09F9C4" w14:textId="4F0DD907" w:rsidR="52446949" w:rsidRDefault="52446949" w:rsidP="52446949">
            <w:pPr>
              <w:ind w:right="-15"/>
              <w:rPr>
                <w:rFonts w:ascii="Verdana" w:eastAsia="Verdana" w:hAnsi="Verdana" w:cs="Verdana"/>
                <w:sz w:val="20"/>
                <w:szCs w:val="20"/>
              </w:rPr>
            </w:pPr>
            <w:r w:rsidRPr="52446949">
              <w:rPr>
                <w:rFonts w:ascii="Verdana" w:eastAsia="Verdana" w:hAnsi="Verdana" w:cs="Verdana"/>
                <w:sz w:val="20"/>
                <w:szCs w:val="20"/>
              </w:rPr>
              <w:t xml:space="preserve">Credential Attainment (Unduplicated) </w:t>
            </w:r>
          </w:p>
          <w:p w14:paraId="052FBD05" w14:textId="6C294B03" w:rsidR="52446949" w:rsidRDefault="52446949" w:rsidP="52446949">
            <w:pPr>
              <w:ind w:right="-15"/>
              <w:rPr>
                <w:rFonts w:ascii="Verdana" w:eastAsia="Verdana" w:hAnsi="Verdana" w:cs="Verdana"/>
                <w:sz w:val="20"/>
                <w:szCs w:val="20"/>
                <w:lang w:val="en-US"/>
              </w:rPr>
            </w:pPr>
            <w:r w:rsidRPr="52446949">
              <w:rPr>
                <w:rFonts w:ascii="Verdana" w:eastAsia="Verdana" w:hAnsi="Verdana" w:cs="Verdana"/>
                <w:sz w:val="20"/>
                <w:szCs w:val="20"/>
                <w:lang w:val="en-US"/>
              </w:rPr>
              <w:t xml:space="preserve">(e.g., attained high school credential or equivalent </w:t>
            </w:r>
            <w:r w:rsidRPr="52446949">
              <w:rPr>
                <w:rFonts w:ascii="Verdana" w:eastAsia="Verdana" w:hAnsi="Verdana" w:cs="Verdana"/>
                <w:i/>
                <w:iCs/>
                <w:sz w:val="20"/>
                <w:szCs w:val="20"/>
                <w:lang w:val="en-US"/>
              </w:rPr>
              <w:t>and</w:t>
            </w:r>
            <w:r w:rsidRPr="52446949">
              <w:rPr>
                <w:rFonts w:ascii="Verdana" w:eastAsia="Verdana" w:hAnsi="Verdana" w:cs="Verdana"/>
                <w:sz w:val="20"/>
                <w:szCs w:val="20"/>
                <w:lang w:val="en-US"/>
              </w:rPr>
              <w:t xml:space="preserve"> employed or enrolled in postsecondary; or attained a postsecondary credential)</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B713ED" w14:textId="219674C5" w:rsidR="52446949" w:rsidRDefault="52446949" w:rsidP="52446949">
            <w:pPr>
              <w:ind w:left="-31"/>
              <w:jc w:val="center"/>
            </w:pPr>
            <w:r w:rsidRPr="52446949">
              <w:rPr>
                <w:rFonts w:ascii="Verdana" w:eastAsia="Verdana" w:hAnsi="Verdana" w:cs="Verdana"/>
                <w:sz w:val="20"/>
                <w:szCs w:val="20"/>
              </w:rPr>
              <w:t>35.0%</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73755249" w14:textId="2DFD6193" w:rsidR="52446949" w:rsidRDefault="52446949" w:rsidP="52446949">
            <w:pPr>
              <w:ind w:left="-31"/>
              <w:jc w:val="center"/>
            </w:pPr>
            <w:r w:rsidRPr="52446949">
              <w:rPr>
                <w:rFonts w:ascii="Verdana" w:eastAsia="Verdana" w:hAnsi="Verdana" w:cs="Verdana"/>
                <w:color w:val="000000" w:themeColor="text1"/>
                <w:sz w:val="20"/>
                <w:szCs w:val="20"/>
              </w:rPr>
              <w:t>58.8%</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9C4E8C" w14:textId="54E7A098" w:rsidR="52446949" w:rsidRDefault="52446949" w:rsidP="52446949">
            <w:pPr>
              <w:ind w:left="-31"/>
              <w:jc w:val="center"/>
            </w:pPr>
            <w:r w:rsidRPr="52446949">
              <w:rPr>
                <w:rFonts w:ascii="Verdana" w:eastAsia="Verdana" w:hAnsi="Verdana" w:cs="Verdana"/>
                <w:sz w:val="20"/>
                <w:szCs w:val="20"/>
              </w:rPr>
              <w:t>--</w:t>
            </w:r>
          </w:p>
        </w:tc>
        <w:tc>
          <w:tcPr>
            <w:tcW w:w="9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242A1E6" w14:textId="09F0F476" w:rsidR="52446949" w:rsidRDefault="52446949" w:rsidP="52446949">
            <w:pPr>
              <w:ind w:left="-31"/>
              <w:jc w:val="center"/>
            </w:pPr>
            <w:r w:rsidRPr="52446949">
              <w:rPr>
                <w:rFonts w:ascii="Verdana" w:eastAsia="Verdana" w:hAnsi="Verdana" w:cs="Verdana"/>
                <w:color w:val="000000" w:themeColor="text1"/>
                <w:sz w:val="20"/>
                <w:szCs w:val="20"/>
              </w:rPr>
              <w:t>35.5%</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446A624E" w14:textId="79A51BF8" w:rsidR="52446949" w:rsidRDefault="52446949" w:rsidP="52446949">
            <w:pPr>
              <w:ind w:left="-31"/>
              <w:jc w:val="center"/>
            </w:pPr>
            <w:r w:rsidRPr="52446949">
              <w:rPr>
                <w:rFonts w:ascii="Verdana" w:eastAsia="Verdana" w:hAnsi="Verdana" w:cs="Verdana"/>
                <w:color w:val="000000" w:themeColor="text1"/>
                <w:sz w:val="20"/>
                <w:szCs w:val="20"/>
              </w:rPr>
              <w:t>TBD</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3D2098BA" w14:textId="443CD432" w:rsidR="52446949" w:rsidRDefault="52446949" w:rsidP="52446949">
            <w:pPr>
              <w:ind w:left="-31"/>
              <w:jc w:val="center"/>
            </w:pPr>
            <w:r w:rsidRPr="52446949">
              <w:rPr>
                <w:rFonts w:ascii="Verdana" w:eastAsia="Verdana" w:hAnsi="Verdana" w:cs="Verdana"/>
                <w:color w:val="000000" w:themeColor="text1"/>
                <w:sz w:val="20"/>
                <w:szCs w:val="20"/>
              </w:rPr>
              <w:t>TBD</w:t>
            </w:r>
          </w:p>
        </w:tc>
        <w:tc>
          <w:tcPr>
            <w:tcW w:w="10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EE23536" w14:textId="6C0FEE0B" w:rsidR="52446949" w:rsidRDefault="52446949" w:rsidP="52446949">
            <w:pPr>
              <w:ind w:left="-31"/>
              <w:jc w:val="center"/>
            </w:pPr>
            <w:r w:rsidRPr="52446949">
              <w:rPr>
                <w:rFonts w:ascii="Verdana" w:eastAsia="Verdana" w:hAnsi="Verdana" w:cs="Verdana"/>
                <w:color w:val="000000" w:themeColor="text1"/>
                <w:sz w:val="20"/>
                <w:szCs w:val="20"/>
              </w:rPr>
              <w:t>35.7%</w:t>
            </w:r>
          </w:p>
        </w:tc>
        <w:tc>
          <w:tcPr>
            <w:tcW w:w="9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173F235B" w14:textId="0AF65239" w:rsidR="52446949" w:rsidRDefault="52446949" w:rsidP="52446949">
            <w:pPr>
              <w:ind w:left="-31"/>
              <w:jc w:val="center"/>
            </w:pPr>
            <w:r w:rsidRPr="52446949">
              <w:rPr>
                <w:rFonts w:ascii="Verdana" w:eastAsia="Verdana" w:hAnsi="Verdana" w:cs="Verdana"/>
                <w:color w:val="000000" w:themeColor="text1"/>
                <w:sz w:val="20"/>
                <w:szCs w:val="20"/>
              </w:rPr>
              <w:t>TBD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Mar>
              <w:left w:w="108" w:type="dxa"/>
              <w:right w:w="108" w:type="dxa"/>
            </w:tcMar>
            <w:vAlign w:val="center"/>
          </w:tcPr>
          <w:p w14:paraId="044C90AD" w14:textId="52DD7577" w:rsidR="52446949" w:rsidRDefault="52446949" w:rsidP="52446949">
            <w:pPr>
              <w:ind w:left="-31"/>
              <w:jc w:val="center"/>
            </w:pPr>
            <w:r w:rsidRPr="52446949">
              <w:rPr>
                <w:rFonts w:ascii="Verdana" w:eastAsia="Verdana" w:hAnsi="Verdana" w:cs="Verdana"/>
                <w:color w:val="000000" w:themeColor="text1"/>
                <w:sz w:val="20"/>
                <w:szCs w:val="20"/>
              </w:rPr>
              <w:t>TBD</w:t>
            </w:r>
          </w:p>
        </w:tc>
      </w:tr>
    </w:tbl>
    <w:p w14:paraId="62A1B393" w14:textId="7B99DAEF" w:rsidR="52446949" w:rsidRDefault="52446949" w:rsidP="52446949">
      <w:pPr>
        <w:pBdr>
          <w:top w:val="none" w:sz="0" w:space="0" w:color="000000"/>
          <w:left w:val="none" w:sz="0" w:space="0" w:color="000000"/>
          <w:bottom w:val="none" w:sz="0" w:space="0" w:color="000000"/>
          <w:right w:val="none" w:sz="0" w:space="0" w:color="000000"/>
          <w:between w:val="none" w:sz="0" w:space="0" w:color="000000"/>
        </w:pBdr>
        <w:spacing w:after="200" w:line="276" w:lineRule="auto"/>
        <w:ind w:right="-900"/>
        <w:rPr>
          <w:rFonts w:ascii="Arial" w:eastAsia="Arial" w:hAnsi="Arial" w:cs="Arial"/>
          <w:color w:val="669966"/>
          <w:sz w:val="28"/>
          <w:szCs w:val="28"/>
        </w:rPr>
      </w:pPr>
    </w:p>
    <w:p w14:paraId="484EEFB6" w14:textId="028D4E80" w:rsidR="00F8503D" w:rsidRDefault="0033067D" w:rsidP="52446949">
      <w:pPr>
        <w:keepNext/>
        <w:pBdr>
          <w:top w:val="none" w:sz="0" w:space="0" w:color="000000"/>
          <w:left w:val="none" w:sz="0" w:space="0" w:color="000000"/>
          <w:bottom w:val="none" w:sz="0" w:space="0" w:color="000000"/>
          <w:right w:val="none" w:sz="0" w:space="0" w:color="000000"/>
          <w:between w:val="none" w:sz="0" w:space="0" w:color="000000"/>
        </w:pBdr>
        <w:spacing w:before="40" w:after="200" w:line="276" w:lineRule="auto"/>
        <w:rPr>
          <w:rFonts w:ascii="Arial" w:eastAsia="Arial" w:hAnsi="Arial" w:cs="Arial"/>
          <w:color w:val="669966"/>
          <w:sz w:val="28"/>
          <w:szCs w:val="28"/>
        </w:rPr>
      </w:pPr>
      <w:r w:rsidRPr="52446949">
        <w:rPr>
          <w:rFonts w:ascii="Arial" w:eastAsia="Arial" w:hAnsi="Arial" w:cs="Arial"/>
          <w:color w:val="669966"/>
          <w:sz w:val="28"/>
          <w:szCs w:val="28"/>
        </w:rPr>
        <w:t>Policy</w:t>
      </w:r>
    </w:p>
    <w:p w14:paraId="174EEC4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Programs may be asked to negotiate local levels of performance (performance targets) with CCWD for each of the WIOA six primary performance indicators based on the State adjusted levels of performance.</w:t>
      </w:r>
    </w:p>
    <w:p w14:paraId="49CB9E2F" w14:textId="77777777" w:rsidR="00F8503D" w:rsidRDefault="0033067D">
      <w:pPr>
        <w:keepNext/>
        <w:numPr>
          <w:ilvl w:val="2"/>
          <w:numId w:val="24"/>
        </w:numPr>
        <w:pBdr>
          <w:top w:val="nil"/>
          <w:left w:val="nil"/>
          <w:bottom w:val="nil"/>
          <w:right w:val="nil"/>
          <w:between w:val="nil"/>
        </w:pBdr>
        <w:spacing w:before="240" w:after="40" w:line="276" w:lineRule="auto"/>
        <w:rPr>
          <w:rFonts w:ascii="Arial" w:eastAsia="Arial" w:hAnsi="Arial" w:cs="Arial"/>
          <w:sz w:val="28"/>
          <w:szCs w:val="28"/>
        </w:rPr>
      </w:pPr>
      <w:bookmarkStart w:id="8" w:name="_mq9hdfy5ifij" w:colFirst="0" w:colLast="0"/>
      <w:bookmarkEnd w:id="8"/>
      <w:r>
        <w:rPr>
          <w:rFonts w:ascii="Arial" w:eastAsia="Arial" w:hAnsi="Arial" w:cs="Arial"/>
          <w:smallCaps/>
          <w:color w:val="6A976C"/>
          <w:sz w:val="28"/>
          <w:szCs w:val="28"/>
        </w:rPr>
        <w:t>Performance-Based Funding</w:t>
      </w:r>
    </w:p>
    <w:p w14:paraId="23805FF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0EEE8058" w14:textId="5C8D4092"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In consultation with the Oregon Council for Adult </w:t>
      </w:r>
      <w:r w:rsidR="00FF4575">
        <w:rPr>
          <w:rFonts w:ascii="Verdana" w:eastAsia="Verdana" w:hAnsi="Verdana" w:cs="Verdana"/>
          <w:color w:val="000000" w:themeColor="text1"/>
          <w:sz w:val="23"/>
          <w:szCs w:val="23"/>
          <w:lang w:val="en-US"/>
        </w:rPr>
        <w:t>Basic</w:t>
      </w:r>
      <w:r w:rsidRPr="7B188CE2">
        <w:rPr>
          <w:rFonts w:ascii="Verdana" w:eastAsia="Verdana" w:hAnsi="Verdana" w:cs="Verdana"/>
          <w:color w:val="000000" w:themeColor="text1"/>
          <w:sz w:val="23"/>
          <w:szCs w:val="23"/>
          <w:lang w:val="en-US"/>
        </w:rPr>
        <w:t xml:space="preserve"> Skills Development (OCABSD), CCWD developed a Performance-Based Funding Model (PBFM) to incentivize continuous improvement of program quality, effectiveness, and learner success. The tool was developed during the 2018-19 program year, reviewed and refined during the 2019-20 program year, and implemented </w:t>
      </w:r>
      <w:r w:rsidRPr="7B188CE2">
        <w:rPr>
          <w:rFonts w:ascii="Verdana" w:eastAsia="Verdana" w:hAnsi="Verdana" w:cs="Verdana"/>
          <w:color w:val="000000" w:themeColor="text1"/>
          <w:sz w:val="23"/>
          <w:szCs w:val="23"/>
          <w:lang w:val="en-US"/>
        </w:rPr>
        <w:lastRenderedPageBreak/>
        <w:t>beginning with the 2020-21 program year. Local-program related data used in the Performance-Based Funding Model (e.g., enrollment, performance) is retrieved from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NRS Federal Tables and/or HECC CCWD analysis of local program data (e.g., employment and earnings via Oregon Employment Department data match based on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program data). </w:t>
      </w:r>
    </w:p>
    <w:p w14:paraId="6EBE5BE0"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Local Grant (82.5% of Oregon’s total Title II Federal Allocation) is comprised of the:</w:t>
      </w:r>
    </w:p>
    <w:p w14:paraId="17D78B27" w14:textId="77777777" w:rsidR="00F8503D" w:rsidRDefault="0033067D">
      <w:pPr>
        <w:numPr>
          <w:ilvl w:val="0"/>
          <w:numId w:val="61"/>
        </w:numPr>
        <w:pBdr>
          <w:top w:val="nil"/>
          <w:left w:val="nil"/>
          <w:bottom w:val="nil"/>
          <w:right w:val="nil"/>
          <w:between w:val="nil"/>
        </w:pBdr>
        <w:spacing w:after="160" w:line="276" w:lineRule="auto"/>
      </w:pPr>
      <w:r>
        <w:rPr>
          <w:rFonts w:ascii="Verdana" w:eastAsia="Verdana" w:hAnsi="Verdana" w:cs="Verdana"/>
          <w:color w:val="000000"/>
          <w:sz w:val="23"/>
          <w:szCs w:val="23"/>
        </w:rPr>
        <w:t>State Corrections Set-Aside</w:t>
      </w:r>
    </w:p>
    <w:p w14:paraId="43020480" w14:textId="77777777" w:rsidR="00F8503D" w:rsidRDefault="0033067D">
      <w:pPr>
        <w:numPr>
          <w:ilvl w:val="0"/>
          <w:numId w:val="61"/>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Basic Grant (80% of the Local Grant total funds remaining after the State Corrections Set-Aside has been allotted). The Basic Grant includes these components:</w:t>
      </w:r>
    </w:p>
    <w:p w14:paraId="3F737838" w14:textId="77777777" w:rsidR="00F8503D" w:rsidRDefault="0033067D">
      <w:pPr>
        <w:numPr>
          <w:ilvl w:val="1"/>
          <w:numId w:val="61"/>
        </w:numPr>
        <w:pBdr>
          <w:top w:val="nil"/>
          <w:left w:val="nil"/>
          <w:bottom w:val="nil"/>
          <w:right w:val="nil"/>
          <w:between w:val="nil"/>
        </w:pBdr>
        <w:spacing w:after="160" w:line="276" w:lineRule="auto"/>
      </w:pPr>
      <w:r>
        <w:rPr>
          <w:rFonts w:ascii="Verdana" w:eastAsia="Verdana" w:hAnsi="Verdana" w:cs="Verdana"/>
          <w:color w:val="000000"/>
          <w:sz w:val="23"/>
          <w:szCs w:val="23"/>
        </w:rPr>
        <w:t>Base Allocation ($32,000 for each Title II provider)</w:t>
      </w:r>
    </w:p>
    <w:p w14:paraId="4BD7CE64" w14:textId="77777777" w:rsidR="00F8503D" w:rsidRDefault="0033067D">
      <w:pPr>
        <w:numPr>
          <w:ilvl w:val="1"/>
          <w:numId w:val="61"/>
        </w:numPr>
        <w:pBdr>
          <w:top w:val="nil"/>
          <w:left w:val="nil"/>
          <w:bottom w:val="nil"/>
          <w:right w:val="nil"/>
          <w:between w:val="nil"/>
        </w:pBdr>
        <w:spacing w:after="160" w:line="276" w:lineRule="auto"/>
      </w:pPr>
      <w:r>
        <w:rPr>
          <w:rFonts w:ascii="Verdana" w:eastAsia="Verdana" w:hAnsi="Verdana" w:cs="Verdana"/>
          <w:color w:val="000000"/>
          <w:sz w:val="23"/>
          <w:szCs w:val="23"/>
        </w:rPr>
        <w:t>Enrollment Allocation (25% of the Basic Grant total)</w:t>
      </w:r>
    </w:p>
    <w:p w14:paraId="3115A832" w14:textId="77777777" w:rsidR="00F8503D" w:rsidRDefault="0033067D">
      <w:pPr>
        <w:numPr>
          <w:ilvl w:val="1"/>
          <w:numId w:val="61"/>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Regional Funding (total funds remaining in the Basic Grant after the Base and Enrollment Allocations have been allotted). The Regional Funding section includes these components:</w:t>
      </w:r>
    </w:p>
    <w:p w14:paraId="26E26626" w14:textId="77777777" w:rsidR="00F8503D" w:rsidRDefault="0033067D">
      <w:pPr>
        <w:numPr>
          <w:ilvl w:val="2"/>
          <w:numId w:val="61"/>
        </w:numPr>
        <w:pBdr>
          <w:top w:val="nil"/>
          <w:left w:val="nil"/>
          <w:bottom w:val="nil"/>
          <w:right w:val="nil"/>
          <w:between w:val="nil"/>
        </w:pBdr>
        <w:spacing w:after="160" w:line="276" w:lineRule="auto"/>
      </w:pPr>
      <w:r>
        <w:rPr>
          <w:rFonts w:ascii="Verdana" w:eastAsia="Verdana" w:hAnsi="Verdana" w:cs="Verdana"/>
          <w:color w:val="000000"/>
          <w:sz w:val="23"/>
          <w:szCs w:val="23"/>
        </w:rPr>
        <w:t>Target Population (50% of the Regional Funding total)</w:t>
      </w:r>
    </w:p>
    <w:p w14:paraId="56758D6E" w14:textId="77777777" w:rsidR="00F8503D" w:rsidRDefault="0033067D">
      <w:pPr>
        <w:numPr>
          <w:ilvl w:val="2"/>
          <w:numId w:val="61"/>
        </w:numPr>
        <w:pBdr>
          <w:top w:val="nil"/>
          <w:left w:val="nil"/>
          <w:bottom w:val="nil"/>
          <w:right w:val="nil"/>
          <w:between w:val="nil"/>
        </w:pBdr>
        <w:spacing w:after="160" w:line="276" w:lineRule="auto"/>
      </w:pPr>
      <w:r>
        <w:rPr>
          <w:rFonts w:ascii="Verdana" w:eastAsia="Verdana" w:hAnsi="Verdana" w:cs="Verdana"/>
          <w:color w:val="000000"/>
          <w:sz w:val="23"/>
          <w:szCs w:val="23"/>
        </w:rPr>
        <w:t>Unemployment (20% of the Regional Funding total)</w:t>
      </w:r>
    </w:p>
    <w:p w14:paraId="76BF95B1" w14:textId="77777777" w:rsidR="00F8503D" w:rsidRDefault="0033067D">
      <w:pPr>
        <w:numPr>
          <w:ilvl w:val="2"/>
          <w:numId w:val="61"/>
        </w:numPr>
        <w:pBdr>
          <w:top w:val="nil"/>
          <w:left w:val="nil"/>
          <w:bottom w:val="nil"/>
          <w:right w:val="nil"/>
          <w:between w:val="nil"/>
        </w:pBdr>
        <w:spacing w:after="160" w:line="276" w:lineRule="auto"/>
      </w:pPr>
      <w:r>
        <w:rPr>
          <w:rFonts w:ascii="Verdana" w:eastAsia="Verdana" w:hAnsi="Verdana" w:cs="Verdana"/>
          <w:color w:val="000000"/>
          <w:sz w:val="23"/>
          <w:szCs w:val="23"/>
        </w:rPr>
        <w:t>Poverty Population (30% of the Regional Funding total)</w:t>
      </w:r>
    </w:p>
    <w:p w14:paraId="2EDE943F" w14:textId="77777777" w:rsidR="00F8503D" w:rsidRDefault="0033067D">
      <w:pPr>
        <w:numPr>
          <w:ilvl w:val="0"/>
          <w:numId w:val="61"/>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Performance Grant (20% of the Local Grant total funds remaining after the State Corrections Set-Aside has been allotted). The Performance Grant includes these components:</w:t>
      </w:r>
    </w:p>
    <w:p w14:paraId="2BEA12EC" w14:textId="77777777" w:rsidR="00F8503D" w:rsidRDefault="0033067D">
      <w:pPr>
        <w:numPr>
          <w:ilvl w:val="1"/>
          <w:numId w:val="61"/>
        </w:numPr>
        <w:pBdr>
          <w:top w:val="nil"/>
          <w:left w:val="nil"/>
          <w:bottom w:val="nil"/>
          <w:right w:val="nil"/>
          <w:between w:val="nil"/>
        </w:pBdr>
        <w:spacing w:after="160" w:line="276" w:lineRule="auto"/>
      </w:pPr>
      <w:r>
        <w:rPr>
          <w:rFonts w:ascii="Verdana" w:eastAsia="Verdana" w:hAnsi="Verdana" w:cs="Verdana"/>
          <w:color w:val="000000"/>
          <w:sz w:val="23"/>
          <w:szCs w:val="23"/>
        </w:rPr>
        <w:t>Outcomes (50% of the Performance Grant total)</w:t>
      </w:r>
    </w:p>
    <w:p w14:paraId="4DE4C000" w14:textId="77777777" w:rsidR="00F8503D" w:rsidRDefault="0033067D">
      <w:pPr>
        <w:numPr>
          <w:ilvl w:val="1"/>
          <w:numId w:val="61"/>
        </w:numPr>
        <w:pBdr>
          <w:top w:val="nil"/>
          <w:left w:val="nil"/>
          <w:bottom w:val="nil"/>
          <w:right w:val="nil"/>
          <w:between w:val="nil"/>
        </w:pBdr>
        <w:spacing w:after="160" w:line="276" w:lineRule="auto"/>
      </w:pPr>
      <w:r>
        <w:rPr>
          <w:rFonts w:ascii="Verdana" w:eastAsia="Verdana" w:hAnsi="Verdana" w:cs="Verdana"/>
          <w:color w:val="000000"/>
          <w:sz w:val="23"/>
          <w:szCs w:val="23"/>
        </w:rPr>
        <w:t>Targets (50% of the Performance Grant total)</w:t>
      </w:r>
    </w:p>
    <w:p w14:paraId="5BA698C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An alternative way to describe the Performance-Based Funding Model is:</w:t>
      </w:r>
    </w:p>
    <w:p w14:paraId="21406097" w14:textId="77777777" w:rsidR="00F8503D" w:rsidRDefault="0033067D">
      <w:pPr>
        <w:pBdr>
          <w:top w:val="nil"/>
          <w:left w:val="nil"/>
          <w:bottom w:val="nil"/>
          <w:right w:val="nil"/>
          <w:between w:val="nil"/>
        </w:pBdr>
        <w:spacing w:after="160" w:line="276" w:lineRule="auto"/>
        <w:ind w:left="720"/>
        <w:rPr>
          <w:rFonts w:ascii="Verdana" w:eastAsia="Verdana" w:hAnsi="Verdana" w:cs="Verdana"/>
          <w:color w:val="000000"/>
          <w:sz w:val="23"/>
          <w:szCs w:val="23"/>
        </w:rPr>
      </w:pPr>
      <w:r>
        <w:rPr>
          <w:rFonts w:ascii="Verdana" w:eastAsia="Verdana" w:hAnsi="Verdana" w:cs="Verdana"/>
          <w:color w:val="000000"/>
          <w:sz w:val="23"/>
          <w:szCs w:val="23"/>
        </w:rPr>
        <w:t>Total Federal Grant Allocation = Title II Federal Allocation + IELCE</w:t>
      </w:r>
    </w:p>
    <w:p w14:paraId="3DC64737" w14:textId="77777777" w:rsidR="00F8503D" w:rsidRDefault="0033067D">
      <w:pPr>
        <w:pBdr>
          <w:top w:val="nil"/>
          <w:left w:val="nil"/>
          <w:bottom w:val="nil"/>
          <w:right w:val="nil"/>
          <w:between w:val="nil"/>
        </w:pBdr>
        <w:spacing w:after="160" w:line="276" w:lineRule="auto"/>
        <w:ind w:left="720"/>
        <w:rPr>
          <w:rFonts w:ascii="Verdana" w:eastAsia="Verdana" w:hAnsi="Verdana" w:cs="Verdana"/>
          <w:color w:val="000000"/>
          <w:sz w:val="23"/>
          <w:szCs w:val="23"/>
        </w:rPr>
      </w:pPr>
      <w:r>
        <w:rPr>
          <w:rFonts w:ascii="Verdana" w:eastAsia="Verdana" w:hAnsi="Verdana" w:cs="Verdana"/>
          <w:color w:val="000000"/>
          <w:sz w:val="23"/>
          <w:szCs w:val="23"/>
        </w:rPr>
        <w:t>Title II Federal Allocation = State Admin (5%) + State Leadership (12.5%) + Local Grant (82.5%)</w:t>
      </w:r>
    </w:p>
    <w:p w14:paraId="7AA6D1F5" w14:textId="77777777" w:rsidR="00F8503D" w:rsidRDefault="0033067D">
      <w:pPr>
        <w:pBdr>
          <w:top w:val="nil"/>
          <w:left w:val="nil"/>
          <w:bottom w:val="nil"/>
          <w:right w:val="nil"/>
          <w:between w:val="nil"/>
        </w:pBdr>
        <w:spacing w:after="160" w:line="276" w:lineRule="auto"/>
        <w:ind w:left="720"/>
        <w:rPr>
          <w:rFonts w:ascii="Verdana" w:eastAsia="Verdana" w:hAnsi="Verdana" w:cs="Verdana"/>
          <w:color w:val="000000"/>
          <w:sz w:val="23"/>
          <w:szCs w:val="23"/>
        </w:rPr>
      </w:pPr>
      <w:r>
        <w:rPr>
          <w:rFonts w:ascii="Verdana" w:eastAsia="Verdana" w:hAnsi="Verdana" w:cs="Verdana"/>
          <w:color w:val="000000"/>
          <w:sz w:val="23"/>
          <w:szCs w:val="23"/>
        </w:rPr>
        <w:t>Local Grant = State Corrections Set Aside + Basic Grant + Performance Grant</w:t>
      </w:r>
    </w:p>
    <w:p w14:paraId="6CD1A10F" w14:textId="77777777" w:rsidR="00F8503D" w:rsidRDefault="0033067D">
      <w:pPr>
        <w:pBdr>
          <w:top w:val="nil"/>
          <w:left w:val="nil"/>
          <w:bottom w:val="nil"/>
          <w:right w:val="nil"/>
          <w:between w:val="nil"/>
        </w:pBdr>
        <w:spacing w:after="160" w:line="276" w:lineRule="auto"/>
        <w:ind w:left="720"/>
        <w:rPr>
          <w:rFonts w:ascii="Verdana" w:eastAsia="Verdana" w:hAnsi="Verdana" w:cs="Verdana"/>
          <w:color w:val="000000"/>
          <w:sz w:val="23"/>
          <w:szCs w:val="23"/>
        </w:rPr>
      </w:pPr>
      <w:r>
        <w:rPr>
          <w:rFonts w:ascii="Verdana" w:eastAsia="Verdana" w:hAnsi="Verdana" w:cs="Verdana"/>
          <w:color w:val="000000"/>
          <w:sz w:val="23"/>
          <w:szCs w:val="23"/>
        </w:rPr>
        <w:t>Basic Grant = Base Allocation + Enrollment Allocation + Regional Funding</w:t>
      </w:r>
    </w:p>
    <w:p w14:paraId="411C9C6F" w14:textId="77777777" w:rsidR="00F8503D" w:rsidRDefault="0033067D">
      <w:pPr>
        <w:pBdr>
          <w:top w:val="nil"/>
          <w:left w:val="nil"/>
          <w:bottom w:val="nil"/>
          <w:right w:val="nil"/>
          <w:between w:val="nil"/>
        </w:pBdr>
        <w:spacing w:after="160" w:line="276" w:lineRule="auto"/>
        <w:ind w:left="720"/>
        <w:rPr>
          <w:rFonts w:ascii="Verdana" w:eastAsia="Verdana" w:hAnsi="Verdana" w:cs="Verdana"/>
          <w:color w:val="000000"/>
          <w:sz w:val="23"/>
          <w:szCs w:val="23"/>
        </w:rPr>
      </w:pPr>
      <w:r>
        <w:rPr>
          <w:rFonts w:ascii="Verdana" w:eastAsia="Verdana" w:hAnsi="Verdana" w:cs="Verdana"/>
          <w:color w:val="000000"/>
          <w:sz w:val="23"/>
          <w:szCs w:val="23"/>
        </w:rPr>
        <w:lastRenderedPageBreak/>
        <w:t>Regional Funding = Target Population (50%) + Unemployment (20%) + Poverty (30%)</w:t>
      </w:r>
    </w:p>
    <w:p w14:paraId="01AA1C07" w14:textId="77777777" w:rsidR="00F8503D" w:rsidRDefault="0033067D">
      <w:pPr>
        <w:pBdr>
          <w:top w:val="nil"/>
          <w:left w:val="nil"/>
          <w:bottom w:val="nil"/>
          <w:right w:val="nil"/>
          <w:between w:val="nil"/>
        </w:pBdr>
        <w:spacing w:after="160" w:line="276" w:lineRule="auto"/>
        <w:ind w:left="720"/>
        <w:rPr>
          <w:rFonts w:ascii="Verdana" w:eastAsia="Verdana" w:hAnsi="Verdana" w:cs="Verdana"/>
          <w:color w:val="000000"/>
          <w:sz w:val="23"/>
          <w:szCs w:val="23"/>
        </w:rPr>
      </w:pPr>
      <w:r>
        <w:rPr>
          <w:rFonts w:ascii="Verdana" w:eastAsia="Verdana" w:hAnsi="Verdana" w:cs="Verdana"/>
          <w:color w:val="000000"/>
          <w:sz w:val="23"/>
          <w:szCs w:val="23"/>
        </w:rPr>
        <w:t xml:space="preserve">Performance Grant = Outcomes (50%) + Targets (50%) </w:t>
      </w:r>
    </w:p>
    <w:p w14:paraId="7601F9E1" w14:textId="77777777" w:rsidR="00F8503D" w:rsidRDefault="0033067D">
      <w:pPr>
        <w:pBdr>
          <w:top w:val="nil"/>
          <w:left w:val="nil"/>
          <w:bottom w:val="nil"/>
          <w:right w:val="nil"/>
          <w:between w:val="nil"/>
        </w:pBdr>
        <w:spacing w:after="160" w:line="276" w:lineRule="auto"/>
        <w:jc w:val="center"/>
        <w:rPr>
          <w:rFonts w:ascii="Verdana" w:eastAsia="Verdana" w:hAnsi="Verdana" w:cs="Verdana"/>
          <w:color w:val="000000"/>
          <w:sz w:val="23"/>
          <w:szCs w:val="23"/>
        </w:rPr>
      </w:pPr>
      <w:r>
        <w:rPr>
          <w:rFonts w:ascii="Verdana" w:eastAsia="Verdana" w:hAnsi="Verdana" w:cs="Verdana"/>
          <w:noProof/>
          <w:color w:val="000000"/>
          <w:sz w:val="23"/>
          <w:szCs w:val="23"/>
        </w:rPr>
        <w:drawing>
          <wp:inline distT="0" distB="0" distL="0" distR="0" wp14:anchorId="3FCCF50E" wp14:editId="34E1F8A5">
            <wp:extent cx="5048248" cy="379452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048248" cy="3794524"/>
                    </a:xfrm>
                    <a:prstGeom prst="rect">
                      <a:avLst/>
                    </a:prstGeom>
                    <a:ln/>
                  </pic:spPr>
                </pic:pic>
              </a:graphicData>
            </a:graphic>
          </wp:inline>
        </w:drawing>
      </w:r>
    </w:p>
    <w:p w14:paraId="44DC159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Base Allocation</w:t>
      </w:r>
    </w:p>
    <w:p w14:paraId="4A341F3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2026-27 Base Allocation is $32,000 per provider.</w:t>
      </w:r>
    </w:p>
    <w:p w14:paraId="4C9D412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Enrollment Allocation</w:t>
      </w:r>
    </w:p>
    <w:p w14:paraId="17BE0E67" w14:textId="3803D894" w:rsidR="00F8503D" w:rsidRDefault="2D44E4B2" w:rsidP="52446949">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r w:rsidRPr="0E6AD713">
        <w:rPr>
          <w:rFonts w:ascii="Verdana" w:eastAsia="Verdana" w:hAnsi="Verdana" w:cs="Verdana"/>
          <w:color w:val="000000"/>
          <w:sz w:val="23"/>
          <w:szCs w:val="23"/>
          <w:lang w:val="en-US"/>
        </w:rPr>
        <w:t>The 2026-27 Enrollment</w:t>
      </w:r>
      <w:r w:rsidR="0033067D" w:rsidRPr="0E6AD713">
        <w:rPr>
          <w:rFonts w:ascii="Verdana" w:eastAsia="Verdana" w:hAnsi="Verdana" w:cs="Verdana"/>
          <w:color w:val="000000"/>
          <w:sz w:val="23"/>
          <w:szCs w:val="23"/>
          <w:vertAlign w:val="superscript"/>
          <w:lang w:val="en-US"/>
        </w:rPr>
        <w:footnoteReference w:id="1"/>
      </w:r>
      <w:r w:rsidRPr="0E6AD713">
        <w:rPr>
          <w:rFonts w:ascii="Verdana" w:eastAsia="Verdana" w:hAnsi="Verdana" w:cs="Verdana"/>
          <w:color w:val="000000"/>
          <w:sz w:val="23"/>
          <w:szCs w:val="23"/>
          <w:lang w:val="en-US"/>
        </w:rPr>
        <w:t xml:space="preserve"> Allocation is based on a three-year enrollment average (program years 2022-23</w:t>
      </w:r>
      <w:r w:rsidR="0C7C03DE" w:rsidRPr="381FD618">
        <w:rPr>
          <w:rFonts w:ascii="Verdana" w:eastAsia="Verdana" w:hAnsi="Verdana" w:cs="Verdana"/>
          <w:color w:val="000000" w:themeColor="text1"/>
          <w:sz w:val="23"/>
          <w:szCs w:val="23"/>
          <w:lang w:val="en-US"/>
        </w:rPr>
        <w:t xml:space="preserve">, 2023-24, and </w:t>
      </w:r>
      <w:r w:rsidRPr="0E6AD713">
        <w:rPr>
          <w:rFonts w:ascii="Verdana" w:eastAsia="Verdana" w:hAnsi="Verdana" w:cs="Verdana"/>
          <w:color w:val="000000"/>
          <w:sz w:val="23"/>
          <w:szCs w:val="23"/>
          <w:lang w:val="en-US"/>
        </w:rPr>
        <w:t>2024-2</w:t>
      </w:r>
      <w:r w:rsidR="221AD7C6" w:rsidRPr="0E6AD713">
        <w:rPr>
          <w:rFonts w:ascii="Verdana" w:eastAsia="Verdana" w:hAnsi="Verdana" w:cs="Verdana"/>
          <w:color w:val="000000"/>
          <w:sz w:val="23"/>
          <w:szCs w:val="23"/>
          <w:lang w:val="en-US"/>
        </w:rPr>
        <w:t>5</w:t>
      </w:r>
      <w:r w:rsidRPr="0E6AD713">
        <w:rPr>
          <w:rFonts w:ascii="Verdana" w:eastAsia="Verdana" w:hAnsi="Verdana" w:cs="Verdana"/>
          <w:color w:val="000000"/>
          <w:sz w:val="23"/>
          <w:szCs w:val="23"/>
          <w:lang w:val="en-US"/>
        </w:rPr>
        <w:t xml:space="preserve">). </w:t>
      </w:r>
    </w:p>
    <w:p w14:paraId="7221F768" w14:textId="7847C6B2" w:rsidR="00F8503D" w:rsidRDefault="5C98D2A4" w:rsidP="52446949">
      <w:pPr>
        <w:spacing w:after="160" w:line="276" w:lineRule="auto"/>
      </w:pPr>
      <w:r w:rsidRPr="52446949">
        <w:rPr>
          <w:rFonts w:ascii="Verdana" w:eastAsia="Verdana" w:hAnsi="Verdana" w:cs="Verdana"/>
          <w:color w:val="000000" w:themeColor="text1"/>
          <w:sz w:val="23"/>
          <w:szCs w:val="23"/>
          <w:lang w:val="en-US"/>
        </w:rPr>
        <w:t>Using the three-year enrollment average, enrollment funding is calculated based on each program’s percentage of the total statewide average enrollment over the three years. For a hypothetical example, Figure 1 shows:</w:t>
      </w:r>
    </w:p>
    <w:p w14:paraId="08EF36C9" w14:textId="35744B33" w:rsidR="00F8503D" w:rsidRDefault="5C98D2A4">
      <w:pPr>
        <w:pStyle w:val="ListParagraph"/>
        <w:numPr>
          <w:ilvl w:val="0"/>
          <w:numId w:val="13"/>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The total Enrollment Allocation is $1,000,000.</w:t>
      </w:r>
    </w:p>
    <w:p w14:paraId="6E9EB273" w14:textId="14FF20A3" w:rsidR="00F8503D" w:rsidRDefault="5C98D2A4">
      <w:pPr>
        <w:pStyle w:val="ListParagraph"/>
        <w:numPr>
          <w:ilvl w:val="0"/>
          <w:numId w:val="13"/>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The three-year statewide average enrollment is 8,000 (not including Title II enrollment at the Department of Corrections).</w:t>
      </w:r>
    </w:p>
    <w:p w14:paraId="53346E21" w14:textId="69B4B93D" w:rsidR="00F8503D" w:rsidRDefault="5C98D2A4">
      <w:pPr>
        <w:pStyle w:val="ListParagraph"/>
        <w:numPr>
          <w:ilvl w:val="0"/>
          <w:numId w:val="12"/>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lastRenderedPageBreak/>
        <w:t>A local program's three-year enrollment average is 320, representing 4% of the three-year statewide enrollment average.</w:t>
      </w:r>
    </w:p>
    <w:p w14:paraId="60857DAA" w14:textId="155BC78F" w:rsidR="00F8503D" w:rsidRDefault="5C98D2A4">
      <w:pPr>
        <w:pStyle w:val="ListParagraph"/>
        <w:numPr>
          <w:ilvl w:val="0"/>
          <w:numId w:val="12"/>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The local program Enrollment Allocation is 4% of $1,000,000, or $40,000.</w:t>
      </w:r>
    </w:p>
    <w:p w14:paraId="013E6B08" w14:textId="11C4197D" w:rsidR="00F8503D" w:rsidRDefault="5C98D2A4" w:rsidP="52446949">
      <w:pPr>
        <w:spacing w:line="276" w:lineRule="auto"/>
      </w:pPr>
      <w:r w:rsidRPr="52446949">
        <w:t xml:space="preserve"> </w:t>
      </w:r>
    </w:p>
    <w:p w14:paraId="0B78E4F3" w14:textId="44F75265" w:rsidR="00F8503D" w:rsidRDefault="5C98D2A4" w:rsidP="52446949">
      <w:pPr>
        <w:spacing w:line="276" w:lineRule="auto"/>
        <w:ind w:left="1710"/>
      </w:pPr>
      <w:r w:rsidRPr="52446949">
        <w:rPr>
          <w:rFonts w:ascii="Verdana" w:eastAsia="Verdana" w:hAnsi="Verdana" w:cs="Verdana"/>
          <w:b/>
          <w:bCs/>
          <w:i/>
          <w:iCs/>
          <w:color w:val="000000" w:themeColor="text1"/>
          <w:sz w:val="23"/>
          <w:szCs w:val="23"/>
          <w:lang w:val="en-US"/>
        </w:rPr>
        <w:t>Figure 1: Enrollment Allocation</w:t>
      </w:r>
    </w:p>
    <w:p w14:paraId="6F11204E" w14:textId="7B174AA3" w:rsidR="00F8503D" w:rsidRDefault="5C98D2A4" w:rsidP="52446949">
      <w:pPr>
        <w:spacing w:after="160" w:line="276" w:lineRule="auto"/>
        <w:jc w:val="center"/>
      </w:pPr>
      <w:r>
        <w:rPr>
          <w:noProof/>
        </w:rPr>
        <w:drawing>
          <wp:inline distT="0" distB="0" distL="0" distR="0" wp14:anchorId="6C0E103B" wp14:editId="71FBC42F">
            <wp:extent cx="3714750" cy="2095500"/>
            <wp:effectExtent l="0" t="0" r="0" b="0"/>
            <wp:docPr id="2124021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1431" name="Picture 2124021431"/>
                    <pic:cNvPicPr/>
                  </pic:nvPicPr>
                  <pic:blipFill>
                    <a:blip r:embed="rId33">
                      <a:extLst>
                        <a:ext uri="{28A0092B-C50C-407E-A947-70E740481C1C}">
                          <a14:useLocalDpi xmlns:a14="http://schemas.microsoft.com/office/drawing/2010/main"/>
                        </a:ext>
                      </a:extLst>
                    </a:blip>
                    <a:stretch>
                      <a:fillRect/>
                    </a:stretch>
                  </pic:blipFill>
                  <pic:spPr>
                    <a:xfrm>
                      <a:off x="0" y="0"/>
                      <a:ext cx="3714750" cy="2095500"/>
                    </a:xfrm>
                    <a:prstGeom prst="rect">
                      <a:avLst/>
                    </a:prstGeom>
                  </pic:spPr>
                </pic:pic>
              </a:graphicData>
            </a:graphic>
          </wp:inline>
        </w:drawing>
      </w:r>
    </w:p>
    <w:p w14:paraId="1472B709" w14:textId="127A74D2" w:rsidR="00F8503D" w:rsidRDefault="5C98D2A4" w:rsidP="52446949">
      <w:pPr>
        <w:spacing w:before="40" w:after="160" w:line="276" w:lineRule="auto"/>
      </w:pPr>
      <w:r w:rsidRPr="52446949">
        <w:rPr>
          <w:rFonts w:ascii="Arial" w:eastAsia="Arial" w:hAnsi="Arial" w:cs="Arial"/>
          <w:color w:val="669966"/>
          <w:sz w:val="28"/>
          <w:szCs w:val="28"/>
        </w:rPr>
        <w:t>Regional Allocation</w:t>
      </w:r>
    </w:p>
    <w:p w14:paraId="00E72978" w14:textId="3698C647" w:rsidR="00F8503D" w:rsidRDefault="5C98D2A4" w:rsidP="52446949">
      <w:pPr>
        <w:spacing w:after="160" w:line="276" w:lineRule="auto"/>
      </w:pPr>
      <w:r w:rsidRPr="52446949">
        <w:rPr>
          <w:rFonts w:ascii="Verdana" w:eastAsia="Verdana" w:hAnsi="Verdana" w:cs="Verdana"/>
          <w:color w:val="000000" w:themeColor="text1"/>
          <w:sz w:val="23"/>
          <w:szCs w:val="23"/>
        </w:rPr>
        <w:t>The Target Population, Unemployment, and Poverty Population data for each county are added together to calculate the number and percent of individuals in each of the three weighting factors for each local workforce board region. For a hypothetical example, Figure 2 shows:</w:t>
      </w:r>
    </w:p>
    <w:p w14:paraId="7EB13FC1" w14:textId="1D21BA28" w:rsidR="00F8503D" w:rsidRDefault="5C98D2A4" w:rsidP="52446949">
      <w:pPr>
        <w:spacing w:after="160" w:line="276" w:lineRule="auto"/>
      </w:pPr>
      <w:r w:rsidRPr="52446949">
        <w:rPr>
          <w:rFonts w:ascii="Verdana" w:eastAsia="Verdana" w:hAnsi="Verdana" w:cs="Verdana"/>
          <w:color w:val="000000" w:themeColor="text1"/>
          <w:sz w:val="23"/>
          <w:szCs w:val="23"/>
        </w:rPr>
        <w:t>Deschutes County is in the East Cascade Works local workforce board region. The counties in this workforce board region are Gilliam, Hood River, Sherman, Wheeler, Wasco, Jefferson, Crook, Deschutes, Klamath, and Lake counties.</w:t>
      </w:r>
    </w:p>
    <w:p w14:paraId="2A190981" w14:textId="69292422" w:rsidR="00F8503D" w:rsidRDefault="5C98D2A4">
      <w:pPr>
        <w:pStyle w:val="ListParagraph"/>
        <w:numPr>
          <w:ilvl w:val="0"/>
          <w:numId w:val="1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In Deschutes County, the population estimate is 200,000.</w:t>
      </w:r>
    </w:p>
    <w:p w14:paraId="4750E105" w14:textId="6878C813" w:rsidR="00F8503D" w:rsidRDefault="5C98D2A4">
      <w:pPr>
        <w:pStyle w:val="ListParagraph"/>
        <w:numPr>
          <w:ilvl w:val="0"/>
          <w:numId w:val="1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The Target Population is 10,000 (or 5%)</w:t>
      </w:r>
    </w:p>
    <w:p w14:paraId="58EDBF4D" w14:textId="11A9C251" w:rsidR="00F8503D" w:rsidRDefault="5C98D2A4">
      <w:pPr>
        <w:pStyle w:val="ListParagraph"/>
        <w:numPr>
          <w:ilvl w:val="0"/>
          <w:numId w:val="1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The Poverty Population is 17,000 (or 8.5%).</w:t>
      </w:r>
    </w:p>
    <w:p w14:paraId="138A387C" w14:textId="65EFAE12" w:rsidR="00F8503D" w:rsidRDefault="5C98D2A4">
      <w:pPr>
        <w:pStyle w:val="ListParagraph"/>
        <w:numPr>
          <w:ilvl w:val="0"/>
          <w:numId w:val="1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The Unemployment population is 8,000 (or 4%).</w:t>
      </w:r>
    </w:p>
    <w:p w14:paraId="090B7F02" w14:textId="0F19C641" w:rsidR="00F8503D" w:rsidRDefault="00F8503D" w:rsidP="52446949">
      <w:pPr>
        <w:pStyle w:val="ListParagraph"/>
        <w:spacing w:line="276" w:lineRule="auto"/>
        <w:ind w:left="360"/>
        <w:rPr>
          <w:rFonts w:ascii="Verdana" w:eastAsia="Verdana" w:hAnsi="Verdana" w:cs="Verdana"/>
          <w:color w:val="000000" w:themeColor="text1"/>
          <w:sz w:val="23"/>
          <w:szCs w:val="23"/>
        </w:rPr>
      </w:pPr>
    </w:p>
    <w:p w14:paraId="4BE13C73" w14:textId="59D2FC76" w:rsidR="00F8503D" w:rsidRDefault="5C98D2A4" w:rsidP="52446949">
      <w:pPr>
        <w:spacing w:line="276" w:lineRule="auto"/>
      </w:pPr>
      <w:r w:rsidRPr="52446949">
        <w:rPr>
          <w:rFonts w:ascii="Verdana" w:eastAsia="Verdana" w:hAnsi="Verdana" w:cs="Verdana"/>
          <w:b/>
          <w:bCs/>
          <w:i/>
          <w:iCs/>
          <w:color w:val="000000" w:themeColor="text1"/>
          <w:sz w:val="23"/>
          <w:szCs w:val="23"/>
          <w:lang w:val="en-US"/>
        </w:rPr>
        <w:t>Figure 2: Regional Allocation – Part 1</w:t>
      </w:r>
    </w:p>
    <w:p w14:paraId="4900209D" w14:textId="2A534929" w:rsidR="00F8503D" w:rsidRDefault="5C98D2A4" w:rsidP="52446949">
      <w:pPr>
        <w:spacing w:after="160" w:line="276" w:lineRule="auto"/>
      </w:pPr>
      <w:r>
        <w:rPr>
          <w:noProof/>
        </w:rPr>
        <w:lastRenderedPageBreak/>
        <w:drawing>
          <wp:inline distT="0" distB="0" distL="0" distR="0" wp14:anchorId="5998C80F" wp14:editId="076EAD43">
            <wp:extent cx="5876925" cy="1743075"/>
            <wp:effectExtent l="0" t="0" r="0" b="0"/>
            <wp:docPr id="17362706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70675" name="Picture 1736270675"/>
                    <pic:cNvPicPr/>
                  </pic:nvPicPr>
                  <pic:blipFill>
                    <a:blip r:embed="rId34">
                      <a:extLst>
                        <a:ext uri="{28A0092B-C50C-407E-A947-70E740481C1C}">
                          <a14:useLocalDpi xmlns:a14="http://schemas.microsoft.com/office/drawing/2010/main"/>
                        </a:ext>
                      </a:extLst>
                    </a:blip>
                    <a:stretch>
                      <a:fillRect/>
                    </a:stretch>
                  </pic:blipFill>
                  <pic:spPr>
                    <a:xfrm>
                      <a:off x="0" y="0"/>
                      <a:ext cx="5876925" cy="1743075"/>
                    </a:xfrm>
                    <a:prstGeom prst="rect">
                      <a:avLst/>
                    </a:prstGeom>
                  </pic:spPr>
                </pic:pic>
              </a:graphicData>
            </a:graphic>
          </wp:inline>
        </w:drawing>
      </w:r>
    </w:p>
    <w:p w14:paraId="748A0237" w14:textId="70FE27A3" w:rsidR="00F8503D" w:rsidRDefault="5C98D2A4" w:rsidP="52446949">
      <w:pPr>
        <w:spacing w:after="160" w:line="276" w:lineRule="auto"/>
      </w:pPr>
      <w:r w:rsidRPr="52446949">
        <w:rPr>
          <w:rFonts w:ascii="Verdana" w:eastAsia="Verdana" w:hAnsi="Verdana" w:cs="Verdana"/>
          <w:color w:val="000000" w:themeColor="text1"/>
          <w:sz w:val="23"/>
          <w:szCs w:val="23"/>
        </w:rPr>
        <w:t xml:space="preserve"> </w:t>
      </w:r>
    </w:p>
    <w:p w14:paraId="18308C07" w14:textId="14E8458D" w:rsidR="00F8503D" w:rsidRDefault="5C98D2A4" w:rsidP="52446949">
      <w:pPr>
        <w:spacing w:after="160" w:line="276" w:lineRule="auto"/>
      </w:pPr>
      <w:r w:rsidRPr="52446949">
        <w:rPr>
          <w:rFonts w:ascii="Verdana" w:eastAsia="Verdana" w:hAnsi="Verdana" w:cs="Verdana"/>
          <w:color w:val="000000" w:themeColor="text1"/>
          <w:sz w:val="23"/>
          <w:szCs w:val="23"/>
        </w:rPr>
        <w:t>The Target Population, Poverty Population, and Unemployment data for each county in the East Cascades Works local workforce board region are summed to calculate the number and percent of individuals across the three weighting factors in the East Cascades Works region. In a hypothetical example, Figure 3 shows these totals (A.):</w:t>
      </w:r>
    </w:p>
    <w:p w14:paraId="2FDEBD03" w14:textId="412014A0" w:rsidR="00F8503D" w:rsidRDefault="5C98D2A4" w:rsidP="52446949">
      <w:pPr>
        <w:spacing w:line="276" w:lineRule="auto"/>
      </w:pPr>
      <w:r w:rsidRPr="52446949">
        <w:rPr>
          <w:rFonts w:ascii="Verdana" w:eastAsia="Verdana" w:hAnsi="Verdana" w:cs="Verdana"/>
          <w:b/>
          <w:bCs/>
          <w:i/>
          <w:iCs/>
          <w:color w:val="000000" w:themeColor="text1"/>
          <w:sz w:val="23"/>
          <w:szCs w:val="23"/>
          <w:lang w:val="en-US"/>
        </w:rPr>
        <w:t>Figure 3: Regional Allocation – Part 2</w:t>
      </w:r>
    </w:p>
    <w:p w14:paraId="7EAB842E" w14:textId="6C42329A" w:rsidR="00F8503D" w:rsidRDefault="5C98D2A4" w:rsidP="52446949">
      <w:pPr>
        <w:spacing w:after="160" w:line="276" w:lineRule="auto"/>
      </w:pPr>
      <w:r>
        <w:rPr>
          <w:noProof/>
        </w:rPr>
        <w:drawing>
          <wp:inline distT="0" distB="0" distL="0" distR="0" wp14:anchorId="605FA2D1" wp14:editId="35EBA1C9">
            <wp:extent cx="5895975" cy="1819275"/>
            <wp:effectExtent l="0" t="0" r="0" b="0"/>
            <wp:docPr id="8368769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76904" name="Picture 836876904"/>
                    <pic:cNvPicPr/>
                  </pic:nvPicPr>
                  <pic:blipFill>
                    <a:blip r:embed="rId35">
                      <a:extLst>
                        <a:ext uri="{28A0092B-C50C-407E-A947-70E740481C1C}">
                          <a14:useLocalDpi xmlns:a14="http://schemas.microsoft.com/office/drawing/2010/main"/>
                        </a:ext>
                      </a:extLst>
                    </a:blip>
                    <a:stretch>
                      <a:fillRect/>
                    </a:stretch>
                  </pic:blipFill>
                  <pic:spPr>
                    <a:xfrm>
                      <a:off x="0" y="0"/>
                      <a:ext cx="5895975" cy="1819275"/>
                    </a:xfrm>
                    <a:prstGeom prst="rect">
                      <a:avLst/>
                    </a:prstGeom>
                  </pic:spPr>
                </pic:pic>
              </a:graphicData>
            </a:graphic>
          </wp:inline>
        </w:drawing>
      </w:r>
    </w:p>
    <w:p w14:paraId="769EB4AA" w14:textId="601B9AA4" w:rsidR="00F8503D" w:rsidRDefault="5C98D2A4" w:rsidP="52446949">
      <w:pPr>
        <w:spacing w:after="160" w:line="276" w:lineRule="auto"/>
      </w:pPr>
      <w:r w:rsidRPr="52446949">
        <w:rPr>
          <w:rFonts w:ascii="Verdana" w:eastAsia="Verdana" w:hAnsi="Verdana" w:cs="Verdana"/>
          <w:color w:val="000000" w:themeColor="text1"/>
          <w:sz w:val="23"/>
          <w:szCs w:val="23"/>
        </w:rPr>
        <w:t>Then, funding available for each local workforce board region is calculated using the overall Regional Funding amounts available to the state for allocation to local programs and the percent of Target Population, Poverty Population, and Unemployment in each workforce board region. For a hypothetical example, Figure 4 shows:</w:t>
      </w:r>
    </w:p>
    <w:p w14:paraId="12508AE5" w14:textId="457A8D06" w:rsidR="00F8503D" w:rsidRDefault="5C98D2A4">
      <w:pPr>
        <w:pStyle w:val="ListParagraph"/>
        <w:numPr>
          <w:ilvl w:val="0"/>
          <w:numId w:val="10"/>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If overall Regional Funding allocations in the PBFM are:</w:t>
      </w:r>
    </w:p>
    <w:p w14:paraId="5E496205" w14:textId="4461A746" w:rsidR="00F8503D" w:rsidRDefault="5C98D2A4">
      <w:pPr>
        <w:pStyle w:val="ListParagraph"/>
        <w:numPr>
          <w:ilvl w:val="1"/>
          <w:numId w:val="9"/>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$1,500,000 for Target Population</w:t>
      </w:r>
    </w:p>
    <w:p w14:paraId="37710EB1" w14:textId="2C2798F1" w:rsidR="00F8503D" w:rsidRDefault="5C98D2A4">
      <w:pPr>
        <w:pStyle w:val="ListParagraph"/>
        <w:numPr>
          <w:ilvl w:val="1"/>
          <w:numId w:val="9"/>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$800,000 for Poverty Population</w:t>
      </w:r>
    </w:p>
    <w:p w14:paraId="487F28DA" w14:textId="2E471209" w:rsidR="00F8503D" w:rsidRDefault="5C98D2A4">
      <w:pPr>
        <w:pStyle w:val="ListParagraph"/>
        <w:numPr>
          <w:ilvl w:val="1"/>
          <w:numId w:val="9"/>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$550,000 for Unemployment</w:t>
      </w:r>
    </w:p>
    <w:p w14:paraId="332988F3" w14:textId="3B70469D" w:rsidR="00F8503D" w:rsidRDefault="5C98D2A4">
      <w:pPr>
        <w:pStyle w:val="ListParagraph"/>
        <w:numPr>
          <w:ilvl w:val="0"/>
          <w:numId w:val="10"/>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The Target Population in the East Cascades Works region is 148,250 (or 26.09% of the total number of Target Population statewide);</w:t>
      </w:r>
    </w:p>
    <w:p w14:paraId="793CD354" w14:textId="44B1116B" w:rsidR="00F8503D" w:rsidRDefault="5C98D2A4">
      <w:pPr>
        <w:pStyle w:val="ListParagraph"/>
        <w:numPr>
          <w:ilvl w:val="0"/>
          <w:numId w:val="10"/>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lastRenderedPageBreak/>
        <w:t>The East Cascades Works region receives 26.09% of the Total Target Population Dollars to Allocate: 26.09% of $1,500,000, or $391,333.</w:t>
      </w:r>
    </w:p>
    <w:p w14:paraId="0E2B762B" w14:textId="13839A7A" w:rsidR="00F8503D" w:rsidRDefault="5C98D2A4">
      <w:pPr>
        <w:pStyle w:val="ListParagraph"/>
        <w:numPr>
          <w:ilvl w:val="0"/>
          <w:numId w:val="10"/>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 xml:space="preserve">This same methodology is used to determine the funding available for the Poverty Population (D.) and the Unemployment Population (E.) for each local workforce board region. </w:t>
      </w:r>
    </w:p>
    <w:p w14:paraId="560E0EDA" w14:textId="1487F594" w:rsidR="00F8503D" w:rsidRDefault="5C98D2A4" w:rsidP="52446949">
      <w:pPr>
        <w:spacing w:line="276" w:lineRule="auto"/>
        <w:ind w:left="90"/>
      </w:pPr>
      <w:r w:rsidRPr="52446949">
        <w:rPr>
          <w:rFonts w:ascii="Verdana" w:eastAsia="Verdana" w:hAnsi="Verdana" w:cs="Verdana"/>
          <w:b/>
          <w:bCs/>
          <w:i/>
          <w:iCs/>
          <w:color w:val="000000" w:themeColor="text1"/>
          <w:sz w:val="23"/>
          <w:szCs w:val="23"/>
          <w:lang w:val="en-US"/>
        </w:rPr>
        <w:t xml:space="preserve"> </w:t>
      </w:r>
    </w:p>
    <w:p w14:paraId="601C2CCF" w14:textId="1D59CDF9" w:rsidR="00F8503D" w:rsidRDefault="5C98D2A4" w:rsidP="52446949">
      <w:pPr>
        <w:spacing w:line="276" w:lineRule="auto"/>
        <w:ind w:left="90"/>
      </w:pPr>
      <w:r w:rsidRPr="52446949">
        <w:rPr>
          <w:rFonts w:ascii="Verdana" w:eastAsia="Verdana" w:hAnsi="Verdana" w:cs="Verdana"/>
          <w:b/>
          <w:bCs/>
          <w:i/>
          <w:iCs/>
          <w:color w:val="000000" w:themeColor="text1"/>
          <w:sz w:val="23"/>
          <w:szCs w:val="23"/>
          <w:lang w:val="en-US"/>
        </w:rPr>
        <w:t>Figure 4: Regional Allocation – Part 3</w:t>
      </w:r>
    </w:p>
    <w:p w14:paraId="73F2D19E" w14:textId="75AA0D7D" w:rsidR="00F8503D" w:rsidRDefault="5C98D2A4" w:rsidP="52446949">
      <w:pPr>
        <w:spacing w:after="160" w:line="276" w:lineRule="auto"/>
      </w:pPr>
      <w:r>
        <w:rPr>
          <w:noProof/>
        </w:rPr>
        <w:drawing>
          <wp:inline distT="0" distB="0" distL="0" distR="0" wp14:anchorId="24E2BB83" wp14:editId="129AB1BC">
            <wp:extent cx="5943600" cy="1647825"/>
            <wp:effectExtent l="0" t="0" r="0" b="0"/>
            <wp:docPr id="11439688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68831" name="Picture 1143968831"/>
                    <pic:cNvPicPr/>
                  </pic:nvPicPr>
                  <pic:blipFill>
                    <a:blip r:embed="rId36">
                      <a:extLst>
                        <a:ext uri="{28A0092B-C50C-407E-A947-70E740481C1C}">
                          <a14:useLocalDpi xmlns:a14="http://schemas.microsoft.com/office/drawing/2010/main"/>
                        </a:ext>
                      </a:extLst>
                    </a:blip>
                    <a:stretch>
                      <a:fillRect/>
                    </a:stretch>
                  </pic:blipFill>
                  <pic:spPr>
                    <a:xfrm>
                      <a:off x="0" y="0"/>
                      <a:ext cx="5943600" cy="1647825"/>
                    </a:xfrm>
                    <a:prstGeom prst="rect">
                      <a:avLst/>
                    </a:prstGeom>
                  </pic:spPr>
                </pic:pic>
              </a:graphicData>
            </a:graphic>
          </wp:inline>
        </w:drawing>
      </w:r>
    </w:p>
    <w:p w14:paraId="4D900517" w14:textId="62DF6E6F" w:rsidR="00F8503D" w:rsidRDefault="5C98D2A4" w:rsidP="52446949">
      <w:pPr>
        <w:spacing w:after="160" w:line="276" w:lineRule="auto"/>
      </w:pPr>
      <w:r w:rsidRPr="52446949">
        <w:rPr>
          <w:rFonts w:ascii="Verdana" w:eastAsia="Verdana" w:hAnsi="Verdana" w:cs="Verdana"/>
          <w:color w:val="000000" w:themeColor="text1"/>
          <w:sz w:val="23"/>
          <w:szCs w:val="23"/>
          <w:lang w:val="en-US"/>
        </w:rPr>
        <w:t>Finally, the amount of Regional Funding in each of the three weighting factors is calculated for each local provider. Local providers are assigned to a workforce board region; if a provider has multiple locations, the main location determines the workforce region. If there is more than one provider in a workforce region, then the three-year average enrollment is used to calculate the percentage of enrollees each provider serves in that region. For a hypothetical example, Figure 5 shows the calculations for more than one provider in a workforce region:</w:t>
      </w:r>
    </w:p>
    <w:p w14:paraId="3D30A24A" w14:textId="0D7517A2" w:rsidR="00F8503D" w:rsidRDefault="5C98D2A4" w:rsidP="52446949">
      <w:pPr>
        <w:pStyle w:val="ListParagraph"/>
        <w:numPr>
          <w:ilvl w:val="1"/>
          <w:numId w:val="8"/>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 xml:space="preserve">Central Oregon, Columbia Gorge, and Klamath lie within the East Cascades Works local workforce board region. The total three-year average Title II enrollment for this region is 675. </w:t>
      </w:r>
    </w:p>
    <w:p w14:paraId="417A61C8" w14:textId="53BB9C4B" w:rsidR="00F8503D" w:rsidRDefault="5C98D2A4" w:rsidP="52446949">
      <w:pPr>
        <w:pStyle w:val="ListParagraph"/>
        <w:numPr>
          <w:ilvl w:val="1"/>
          <w:numId w:val="8"/>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 xml:space="preserve">The three-year average enrollment for Central Oregon is 200, or 30% of the 675 regional enrollment average. A similar calculation is used for Columbia Gorge and Klamath. </w:t>
      </w:r>
    </w:p>
    <w:p w14:paraId="27764D1F" w14:textId="3AE3CE69" w:rsidR="00F8503D" w:rsidRDefault="5C98D2A4" w:rsidP="52446949">
      <w:pPr>
        <w:pStyle w:val="ListParagraph"/>
        <w:numPr>
          <w:ilvl w:val="1"/>
          <w:numId w:val="8"/>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 xml:space="preserve">Using the amount allocated for East Cascades Works for Target Population ($391,333), Poverty Population ($199,414), and Unemployment allocation ($127,455), the funding for each local provider is based on the percent of Title II enrollees (the three-year enrollment average) that each local provider serves in the region. </w:t>
      </w:r>
    </w:p>
    <w:p w14:paraId="07D854E0" w14:textId="78099DF1" w:rsidR="00F8503D" w:rsidRDefault="5C98D2A4" w:rsidP="52446949">
      <w:pPr>
        <w:pStyle w:val="ListParagraph"/>
        <w:numPr>
          <w:ilvl w:val="1"/>
          <w:numId w:val="8"/>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Central Oregon receives:</w:t>
      </w:r>
    </w:p>
    <w:p w14:paraId="4062568F" w14:textId="64F53A2B"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lastRenderedPageBreak/>
        <w:t>30% of the Target Population funding available to the region (or $115,951);</w:t>
      </w:r>
    </w:p>
    <w:p w14:paraId="149DA08F" w14:textId="2FE51758"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30% of the Poverty Population funding available to the region (or $59,086); and</w:t>
      </w:r>
    </w:p>
    <w:p w14:paraId="3AC8353F" w14:textId="37CDDABF"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30% of the Unemployment funding available to the region (or $37,764).</w:t>
      </w:r>
    </w:p>
    <w:p w14:paraId="38C759E8" w14:textId="32E02931" w:rsidR="00F8503D" w:rsidRDefault="5C98D2A4" w:rsidP="52446949">
      <w:pPr>
        <w:pStyle w:val="ListParagraph"/>
        <w:numPr>
          <w:ilvl w:val="1"/>
          <w:numId w:val="8"/>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Columbia Gorge receives:</w:t>
      </w:r>
    </w:p>
    <w:p w14:paraId="70579F69" w14:textId="15F051D6"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26% of the Target Population funding available to the region (or $101,457);</w:t>
      </w:r>
    </w:p>
    <w:p w14:paraId="6CB3D47E" w14:textId="1B5BB19A"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26% of the Poverty Population funding available to the region (or $51,700); and</w:t>
      </w:r>
    </w:p>
    <w:p w14:paraId="2F1B8CDF" w14:textId="38D21192"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26% of the Unemployment funding available to the region (or $33,044).</w:t>
      </w:r>
    </w:p>
    <w:p w14:paraId="7BF815E0" w14:textId="159E587C" w:rsidR="00F8503D" w:rsidRDefault="5C98D2A4" w:rsidP="52446949">
      <w:pPr>
        <w:pStyle w:val="ListParagraph"/>
        <w:numPr>
          <w:ilvl w:val="1"/>
          <w:numId w:val="8"/>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Klamath receives:</w:t>
      </w:r>
    </w:p>
    <w:p w14:paraId="7B3C8954" w14:textId="4111D5D3"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44% of the Target Population funding available to the region (or $173,926);</w:t>
      </w:r>
    </w:p>
    <w:p w14:paraId="1FA13E5C" w14:textId="190979CF"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44% of the Poverty Population funding available to the region (or $88,629); and</w:t>
      </w:r>
    </w:p>
    <w:p w14:paraId="2B640C01" w14:textId="4CFC8923" w:rsidR="00F8503D" w:rsidRDefault="5C98D2A4" w:rsidP="52446949">
      <w:pPr>
        <w:pStyle w:val="ListParagraph"/>
        <w:numPr>
          <w:ilvl w:val="2"/>
          <w:numId w:val="8"/>
        </w:numPr>
        <w:spacing w:after="160" w:line="276" w:lineRule="auto"/>
        <w:ind w:hanging="360"/>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44% of the Unemployment funding available to the region (or $56,647).</w:t>
      </w:r>
    </w:p>
    <w:p w14:paraId="32AC5DA9" w14:textId="3820043C" w:rsidR="00F8503D" w:rsidRDefault="00F8503D" w:rsidP="52446949">
      <w:pPr>
        <w:pStyle w:val="ListParagraph"/>
        <w:spacing w:line="276" w:lineRule="auto"/>
        <w:ind w:left="2160" w:hanging="360"/>
        <w:rPr>
          <w:rFonts w:ascii="Verdana" w:eastAsia="Verdana" w:hAnsi="Verdana" w:cs="Verdana"/>
          <w:color w:val="000000" w:themeColor="text1"/>
          <w:sz w:val="23"/>
          <w:szCs w:val="23"/>
        </w:rPr>
      </w:pPr>
    </w:p>
    <w:p w14:paraId="4849FB9C" w14:textId="4F4C8679" w:rsidR="00F8503D" w:rsidRDefault="5E49D8BF" w:rsidP="52446949">
      <w:pPr>
        <w:spacing w:before="40" w:after="160" w:line="276" w:lineRule="auto"/>
        <w:rPr>
          <w:rFonts w:ascii="Verdana" w:eastAsia="Verdana" w:hAnsi="Verdana" w:cs="Verdana"/>
          <w:color w:val="000000" w:themeColor="text1"/>
          <w:sz w:val="23"/>
          <w:szCs w:val="23"/>
        </w:rPr>
      </w:pPr>
      <w:r w:rsidRPr="52446949">
        <w:rPr>
          <w:rFonts w:ascii="Verdana" w:eastAsia="Verdana" w:hAnsi="Verdana" w:cs="Verdana"/>
          <w:b/>
          <w:bCs/>
          <w:i/>
          <w:iCs/>
          <w:color w:val="000000" w:themeColor="text1"/>
          <w:sz w:val="23"/>
          <w:szCs w:val="23"/>
          <w:lang w:val="en-US"/>
        </w:rPr>
        <w:t>Figure 5: Regional Allocation – Part 4</w:t>
      </w:r>
      <w:r w:rsidR="2D44E4B2">
        <w:br/>
      </w:r>
      <w:r>
        <w:rPr>
          <w:noProof/>
        </w:rPr>
        <w:drawing>
          <wp:inline distT="0" distB="0" distL="0" distR="0" wp14:anchorId="28672956" wp14:editId="7E461958">
            <wp:extent cx="5943600" cy="1219200"/>
            <wp:effectExtent l="0" t="0" r="0" b="0"/>
            <wp:docPr id="15467940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5406" name="Picture 1904335406"/>
                    <pic:cNvPicPr/>
                  </pic:nvPicPr>
                  <pic:blipFill>
                    <a:blip r:embed="rId37">
                      <a:extLst>
                        <a:ext uri="{28A0092B-C50C-407E-A947-70E740481C1C}">
                          <a14:useLocalDpi xmlns:a14="http://schemas.microsoft.com/office/drawing/2010/main"/>
                        </a:ext>
                      </a:extLst>
                    </a:blip>
                    <a:stretch>
                      <a:fillRect/>
                    </a:stretch>
                  </pic:blipFill>
                  <pic:spPr>
                    <a:xfrm>
                      <a:off x="0" y="0"/>
                      <a:ext cx="5943600" cy="1219200"/>
                    </a:xfrm>
                    <a:prstGeom prst="rect">
                      <a:avLst/>
                    </a:prstGeom>
                  </pic:spPr>
                </pic:pic>
              </a:graphicData>
            </a:graphic>
          </wp:inline>
        </w:drawing>
      </w:r>
      <w:r w:rsidR="2D44E4B2">
        <w:br/>
      </w:r>
      <w:r w:rsidRPr="52446949">
        <w:rPr>
          <w:rFonts w:ascii="Arial" w:eastAsia="Arial" w:hAnsi="Arial" w:cs="Arial"/>
          <w:color w:val="669966"/>
          <w:sz w:val="28"/>
          <w:szCs w:val="28"/>
        </w:rPr>
        <w:t>Performance Allocation</w:t>
      </w:r>
    </w:p>
    <w:p w14:paraId="669FE127" w14:textId="3C8FE20D" w:rsidR="00F8503D" w:rsidRDefault="5E49D8BF" w:rsidP="52446949">
      <w:pPr>
        <w:spacing w:before="40" w:after="160" w:line="276" w:lineRule="auto"/>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Of the total amount for Performance funding, 50% is reserved for Outcomes and 50% is reserved for Targets. Outcomes metrics are weighted most heavily (3 points each) in the funding model and include:</w:t>
      </w:r>
    </w:p>
    <w:p w14:paraId="4B67298A" w14:textId="48A8D2C3" w:rsidR="00F8503D" w:rsidRDefault="00F8503D" w:rsidP="52446949">
      <w:pPr>
        <w:spacing w:line="276" w:lineRule="auto"/>
        <w:rPr>
          <w:rFonts w:ascii="Verdana" w:eastAsia="Verdana" w:hAnsi="Verdana" w:cs="Verdana"/>
          <w:color w:val="000000" w:themeColor="text1"/>
          <w:sz w:val="23"/>
          <w:szCs w:val="23"/>
        </w:rPr>
      </w:pPr>
    </w:p>
    <w:p w14:paraId="00410E77" w14:textId="665B13BA" w:rsidR="00F8503D" w:rsidRDefault="5C98D2A4" w:rsidP="52446949">
      <w:pPr>
        <w:pStyle w:val="ListParagraph"/>
        <w:numPr>
          <w:ilvl w:val="0"/>
          <w:numId w:val="7"/>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Employment in the 2</w:t>
      </w:r>
      <w:r w:rsidRPr="52446949">
        <w:rPr>
          <w:rFonts w:ascii="Verdana" w:eastAsia="Verdana" w:hAnsi="Verdana" w:cs="Verdana"/>
          <w:color w:val="000000" w:themeColor="text1"/>
          <w:sz w:val="23"/>
          <w:szCs w:val="23"/>
          <w:vertAlign w:val="superscript"/>
        </w:rPr>
        <w:t>nd</w:t>
      </w:r>
      <w:r w:rsidRPr="52446949">
        <w:rPr>
          <w:rFonts w:ascii="Verdana" w:eastAsia="Verdana" w:hAnsi="Verdana" w:cs="Verdana"/>
          <w:color w:val="000000" w:themeColor="text1"/>
          <w:sz w:val="23"/>
          <w:szCs w:val="23"/>
        </w:rPr>
        <w:t xml:space="preserve"> quarter after program exit; </w:t>
      </w:r>
    </w:p>
    <w:p w14:paraId="1541EA8C" w14:textId="6E89327E" w:rsidR="00F8503D" w:rsidRDefault="5C98D2A4" w:rsidP="52446949">
      <w:pPr>
        <w:pStyle w:val="ListParagraph"/>
        <w:numPr>
          <w:ilvl w:val="0"/>
          <w:numId w:val="7"/>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lastRenderedPageBreak/>
        <w:t>Employment in the 4</w:t>
      </w:r>
      <w:r w:rsidRPr="52446949">
        <w:rPr>
          <w:rFonts w:ascii="Verdana" w:eastAsia="Verdana" w:hAnsi="Verdana" w:cs="Verdana"/>
          <w:color w:val="000000" w:themeColor="text1"/>
          <w:sz w:val="23"/>
          <w:szCs w:val="23"/>
          <w:vertAlign w:val="superscript"/>
        </w:rPr>
        <w:t>th</w:t>
      </w:r>
      <w:r w:rsidRPr="52446949">
        <w:rPr>
          <w:rFonts w:ascii="Verdana" w:eastAsia="Verdana" w:hAnsi="Verdana" w:cs="Verdana"/>
          <w:color w:val="000000" w:themeColor="text1"/>
          <w:sz w:val="23"/>
          <w:szCs w:val="23"/>
        </w:rPr>
        <w:t xml:space="preserve"> quarter after program exit; </w:t>
      </w:r>
    </w:p>
    <w:p w14:paraId="71F8160F" w14:textId="5DE80286" w:rsidR="00F8503D" w:rsidRDefault="5C98D2A4" w:rsidP="52446949">
      <w:pPr>
        <w:pStyle w:val="ListParagraph"/>
        <w:numPr>
          <w:ilvl w:val="0"/>
          <w:numId w:val="7"/>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Median earnings in the 2</w:t>
      </w:r>
      <w:r w:rsidRPr="52446949">
        <w:rPr>
          <w:rFonts w:ascii="Verdana" w:eastAsia="Verdana" w:hAnsi="Verdana" w:cs="Verdana"/>
          <w:color w:val="000000" w:themeColor="text1"/>
          <w:sz w:val="23"/>
          <w:szCs w:val="23"/>
          <w:vertAlign w:val="superscript"/>
        </w:rPr>
        <w:t>nd</w:t>
      </w:r>
      <w:r w:rsidRPr="52446949">
        <w:rPr>
          <w:rFonts w:ascii="Verdana" w:eastAsia="Verdana" w:hAnsi="Verdana" w:cs="Verdana"/>
          <w:color w:val="000000" w:themeColor="text1"/>
          <w:sz w:val="23"/>
          <w:szCs w:val="23"/>
        </w:rPr>
        <w:t xml:space="preserve"> quarter after program exit; and </w:t>
      </w:r>
    </w:p>
    <w:p w14:paraId="419A3F2E" w14:textId="0910B094" w:rsidR="00F8503D" w:rsidRDefault="5C98D2A4" w:rsidP="52446949">
      <w:pPr>
        <w:pStyle w:val="ListParagraph"/>
        <w:numPr>
          <w:ilvl w:val="0"/>
          <w:numId w:val="7"/>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Credential attainment (unduplicated). This metric measures those who a) attain a secondary school diploma/recognized equivalent AND were employed or enrolled in postsecondary education/training within one year of program exit or b) attain a recognized postsecondary credential while enrolled or within one year of program exit.</w:t>
      </w:r>
      <w:r w:rsidR="2D44E4B2">
        <w:br/>
      </w:r>
      <w:r w:rsidR="2D44E4B2">
        <w:br/>
      </w:r>
      <w:r w:rsidRPr="52446949">
        <w:rPr>
          <w:rFonts w:ascii="Verdana" w:eastAsia="Verdana" w:hAnsi="Verdana" w:cs="Verdana"/>
          <w:color w:val="000000" w:themeColor="text1"/>
          <w:sz w:val="23"/>
          <w:szCs w:val="23"/>
          <w:lang w:val="en-US"/>
        </w:rPr>
        <w:t>For each Outcomes metric, program performance is compared with the federal target negotiated with OCTAE: if a program meets or exceeds the federal target in a category, then points are earned. Outcomes funding is calculated based on each program’s portion of the total points earned statewide. For a hypothetical example, Figure 6 shows:</w:t>
      </w:r>
    </w:p>
    <w:p w14:paraId="63494A9A" w14:textId="68A36722" w:rsidR="00F8503D" w:rsidRDefault="5C98D2A4" w:rsidP="52446949">
      <w:pPr>
        <w:pStyle w:val="ListParagraph"/>
        <w:numPr>
          <w:ilvl w:val="0"/>
          <w:numId w:val="6"/>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 xml:space="preserve">Oregon Title II programs, combined, earned a total of 54 points in the Outcomes categories. </w:t>
      </w:r>
    </w:p>
    <w:p w14:paraId="46633394" w14:textId="24F6C501" w:rsidR="00F8503D" w:rsidRDefault="5C98D2A4" w:rsidP="52446949">
      <w:pPr>
        <w:pStyle w:val="ListParagraph"/>
        <w:numPr>
          <w:ilvl w:val="0"/>
          <w:numId w:val="5"/>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 xml:space="preserve">A local program met or exceeded the federal target in all of the Outcomes categories, and earned 3 points for each category. </w:t>
      </w:r>
    </w:p>
    <w:p w14:paraId="38445380" w14:textId="642DED55" w:rsidR="00F8503D" w:rsidRDefault="5C98D2A4" w:rsidP="52446949">
      <w:pPr>
        <w:pStyle w:val="ListParagraph"/>
        <w:numPr>
          <w:ilvl w:val="0"/>
          <w:numId w:val="5"/>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This program earned 12 points for Outcomes, or 22.2% of the total points earned statewide.</w:t>
      </w:r>
    </w:p>
    <w:p w14:paraId="544F1DBA" w14:textId="0A9EDF41" w:rsidR="00F8503D" w:rsidRDefault="5C98D2A4" w:rsidP="52446949">
      <w:pPr>
        <w:pStyle w:val="ListParagraph"/>
        <w:numPr>
          <w:ilvl w:val="0"/>
          <w:numId w:val="5"/>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This local program would be allocated 22.2% of the overall Performance – Outcomes funding available in the PBFM ($545,000), or $121,111.</w:t>
      </w:r>
    </w:p>
    <w:p w14:paraId="4D5335A3" w14:textId="321890A7" w:rsidR="00F8503D" w:rsidRDefault="5C98D2A4" w:rsidP="52446949">
      <w:pPr>
        <w:spacing w:line="276" w:lineRule="auto"/>
      </w:pPr>
      <w:r w:rsidRPr="52446949">
        <w:rPr>
          <w:rFonts w:ascii="Verdana" w:eastAsia="Verdana" w:hAnsi="Verdana" w:cs="Verdana"/>
          <w:b/>
          <w:bCs/>
          <w:i/>
          <w:iCs/>
          <w:color w:val="000000" w:themeColor="text1"/>
          <w:sz w:val="23"/>
          <w:szCs w:val="23"/>
          <w:lang w:val="en-US"/>
        </w:rPr>
        <w:t>Figure 6: Performance Allocation – Outcomes</w:t>
      </w:r>
    </w:p>
    <w:p w14:paraId="54F55F59" w14:textId="7D54E367" w:rsidR="00F8503D" w:rsidRDefault="5C98D2A4" w:rsidP="52446949">
      <w:pPr>
        <w:spacing w:after="160" w:line="276" w:lineRule="auto"/>
      </w:pPr>
      <w:r>
        <w:rPr>
          <w:noProof/>
        </w:rPr>
        <w:drawing>
          <wp:inline distT="0" distB="0" distL="0" distR="0" wp14:anchorId="59AE151C" wp14:editId="298A0E8F">
            <wp:extent cx="5943600" cy="2486025"/>
            <wp:effectExtent l="0" t="0" r="0" b="0"/>
            <wp:docPr id="3257136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13685" name="Picture 325713685"/>
                    <pic:cNvPicPr/>
                  </pic:nvPicPr>
                  <pic:blipFill>
                    <a:blip r:embed="rId38">
                      <a:extLst>
                        <a:ext uri="{28A0092B-C50C-407E-A947-70E740481C1C}">
                          <a14:useLocalDpi xmlns:a14="http://schemas.microsoft.com/office/drawing/2010/main"/>
                        </a:ext>
                      </a:extLst>
                    </a:blip>
                    <a:stretch>
                      <a:fillRect/>
                    </a:stretch>
                  </pic:blipFill>
                  <pic:spPr>
                    <a:xfrm>
                      <a:off x="0" y="0"/>
                      <a:ext cx="5943600" cy="2486025"/>
                    </a:xfrm>
                    <a:prstGeom prst="rect">
                      <a:avLst/>
                    </a:prstGeom>
                  </pic:spPr>
                </pic:pic>
              </a:graphicData>
            </a:graphic>
          </wp:inline>
        </w:drawing>
      </w:r>
    </w:p>
    <w:p w14:paraId="70F95772" w14:textId="6BC4CA9F" w:rsidR="00F8503D" w:rsidRDefault="5C98D2A4" w:rsidP="52446949">
      <w:pPr>
        <w:spacing w:after="160" w:line="276" w:lineRule="auto"/>
      </w:pPr>
      <w:r w:rsidRPr="52446949">
        <w:rPr>
          <w:rFonts w:ascii="Verdana" w:eastAsia="Verdana" w:hAnsi="Verdana" w:cs="Verdana"/>
          <w:color w:val="000000" w:themeColor="text1"/>
          <w:sz w:val="23"/>
          <w:szCs w:val="23"/>
        </w:rPr>
        <w:t xml:space="preserve">Similarly, Targets metrics are weighted and include: </w:t>
      </w:r>
    </w:p>
    <w:p w14:paraId="52598BAC" w14:textId="4AE7D18D" w:rsidR="00F8503D" w:rsidRDefault="5C98D2A4" w:rsidP="52446949">
      <w:pPr>
        <w:pStyle w:val="ListParagraph"/>
        <w:numPr>
          <w:ilvl w:val="0"/>
          <w:numId w:val="4"/>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 xml:space="preserve">Pre-/Post-Test Pair Percentage (2 points); </w:t>
      </w:r>
    </w:p>
    <w:p w14:paraId="02C987E6" w14:textId="4C4FAEA4" w:rsidR="00F8503D" w:rsidRDefault="5C98D2A4" w:rsidP="52446949">
      <w:pPr>
        <w:pStyle w:val="ListParagraph"/>
        <w:numPr>
          <w:ilvl w:val="0"/>
          <w:numId w:val="4"/>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lastRenderedPageBreak/>
        <w:t xml:space="preserve">Measurable Skill Gain at ABE Levels 1-6 (1 point for each level); and </w:t>
      </w:r>
    </w:p>
    <w:p w14:paraId="579BEF93" w14:textId="0E720F1B" w:rsidR="00F8503D" w:rsidRDefault="5C98D2A4" w:rsidP="52446949">
      <w:pPr>
        <w:pStyle w:val="ListParagraph"/>
        <w:numPr>
          <w:ilvl w:val="0"/>
          <w:numId w:val="4"/>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Measurable Skill Gain at E</w:t>
      </w:r>
      <w:r w:rsidRPr="52446949">
        <w:rPr>
          <w:rFonts w:ascii="Verdana" w:eastAsia="Verdana" w:hAnsi="Verdana" w:cs="Verdana"/>
          <w:sz w:val="23"/>
          <w:szCs w:val="23"/>
          <w:lang w:val="en-US"/>
        </w:rPr>
        <w:t xml:space="preserve">SL </w:t>
      </w:r>
      <w:r w:rsidRPr="52446949">
        <w:rPr>
          <w:rFonts w:ascii="Verdana" w:eastAsia="Verdana" w:hAnsi="Verdana" w:cs="Verdana"/>
          <w:color w:val="000000" w:themeColor="text1"/>
          <w:sz w:val="23"/>
          <w:szCs w:val="23"/>
          <w:lang w:val="en-US"/>
        </w:rPr>
        <w:t xml:space="preserve">Levels 1-6 (1 point for each level). </w:t>
      </w:r>
    </w:p>
    <w:p w14:paraId="2DD8C352" w14:textId="5C7AF832" w:rsidR="00F8503D" w:rsidRDefault="5C98D2A4" w:rsidP="52446949">
      <w:pPr>
        <w:spacing w:after="160" w:line="276" w:lineRule="auto"/>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For each Targets metric, program performance is compared with the state-negotiated target or state-determined goal. (The individual MSG targets for each education functioning level (EFL) are determined by the state but aggregate to the Overall MSG federal target negotiated with OCTAE. The Test Pair Goal is determined by the state.) If a program meets or exceeds the state target or goal in a category, then points are earned. (In the case of the Test Pair Goal, points are earned if the program meets or exceeds 90% of the state goal.) Targets funding is calculated based on each program’s portion of the total points earned statewide. For a hypothetical example, Figure 7 shows:</w:t>
      </w:r>
    </w:p>
    <w:p w14:paraId="7180E54D" w14:textId="18730B5B" w:rsidR="00F8503D" w:rsidRDefault="5C98D2A4" w:rsidP="52446949">
      <w:pPr>
        <w:pStyle w:val="ListParagraph"/>
        <w:numPr>
          <w:ilvl w:val="0"/>
          <w:numId w:val="3"/>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Oregon Title II programs, combined, earned a total of 14 points in the Targets categories.</w:t>
      </w:r>
    </w:p>
    <w:p w14:paraId="2CAE81E0" w14:textId="423E76B8" w:rsidR="00F8503D" w:rsidRDefault="5C98D2A4" w:rsidP="52446949">
      <w:pPr>
        <w:pStyle w:val="ListParagraph"/>
        <w:numPr>
          <w:ilvl w:val="0"/>
          <w:numId w:val="2"/>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A local program met or exceeded the target in three EFLs (earning 1 point each) and in the Test Pair Goal (earning 2 points).</w:t>
      </w:r>
    </w:p>
    <w:p w14:paraId="71C6A23E" w14:textId="21DFE407" w:rsidR="00F8503D" w:rsidRDefault="5C98D2A4" w:rsidP="52446949">
      <w:pPr>
        <w:pStyle w:val="ListParagraph"/>
        <w:numPr>
          <w:ilvl w:val="0"/>
          <w:numId w:val="2"/>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A local program earned one point by meeting or exceeding the target in 10 EFLs (earning 1 point each) and in the Test Pair Goal (earning 2 points); or 7.1% of the total points earned statewide.</w:t>
      </w:r>
    </w:p>
    <w:p w14:paraId="34512549" w14:textId="1379E71F" w:rsidR="00F8503D" w:rsidRDefault="5C98D2A4" w:rsidP="52446949">
      <w:pPr>
        <w:pStyle w:val="ListParagraph"/>
        <w:numPr>
          <w:ilvl w:val="0"/>
          <w:numId w:val="2"/>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This program earned 5 points for Targets, or 35.7% of the total points earned statewide.</w:t>
      </w:r>
    </w:p>
    <w:p w14:paraId="406D6BE7" w14:textId="54E7423D" w:rsidR="00F8503D" w:rsidRDefault="5C98D2A4" w:rsidP="52446949">
      <w:pPr>
        <w:pStyle w:val="ListParagraph"/>
        <w:numPr>
          <w:ilvl w:val="0"/>
          <w:numId w:val="2"/>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This local program would be allocated 35.7% of the overall Performance – Targets funding available in the PBFM ($545,000), or $194,643.</w:t>
      </w:r>
    </w:p>
    <w:p w14:paraId="2BF126C4" w14:textId="02B62F4B" w:rsidR="00F8503D" w:rsidRDefault="5C98D2A4" w:rsidP="52446949">
      <w:pPr>
        <w:spacing w:after="160" w:line="276" w:lineRule="auto"/>
      </w:pPr>
      <w:r w:rsidRPr="52446949">
        <w:rPr>
          <w:rFonts w:ascii="Verdana" w:eastAsia="Verdana" w:hAnsi="Verdana" w:cs="Verdana"/>
          <w:b/>
          <w:bCs/>
          <w:i/>
          <w:iCs/>
          <w:color w:val="000000" w:themeColor="text1"/>
          <w:sz w:val="23"/>
          <w:szCs w:val="23"/>
          <w:lang w:val="en-US"/>
        </w:rPr>
        <w:t>Figure 7: Performance Allocation – Targets</w:t>
      </w:r>
    </w:p>
    <w:p w14:paraId="2D1EF882" w14:textId="57A1AACB" w:rsidR="00F8503D" w:rsidRDefault="5C98D2A4" w:rsidP="52446949">
      <w:pPr>
        <w:spacing w:after="160" w:line="276" w:lineRule="auto"/>
      </w:pPr>
      <w:r>
        <w:rPr>
          <w:noProof/>
        </w:rPr>
        <w:drawing>
          <wp:inline distT="0" distB="0" distL="0" distR="0" wp14:anchorId="363D0FA0" wp14:editId="3E8402F3">
            <wp:extent cx="5943600" cy="2228850"/>
            <wp:effectExtent l="0" t="0" r="0" b="0"/>
            <wp:docPr id="16473663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66326" name="Picture 1647366326"/>
                    <pic:cNvPicPr/>
                  </pic:nvPicPr>
                  <pic:blipFill>
                    <a:blip r:embed="rId39">
                      <a:extLst>
                        <a:ext uri="{28A0092B-C50C-407E-A947-70E740481C1C}">
                          <a14:useLocalDpi xmlns:a14="http://schemas.microsoft.com/office/drawing/2010/main"/>
                        </a:ext>
                      </a:extLst>
                    </a:blip>
                    <a:stretch>
                      <a:fillRect/>
                    </a:stretch>
                  </pic:blipFill>
                  <pic:spPr>
                    <a:xfrm>
                      <a:off x="0" y="0"/>
                      <a:ext cx="5943600" cy="2228850"/>
                    </a:xfrm>
                    <a:prstGeom prst="rect">
                      <a:avLst/>
                    </a:prstGeom>
                  </pic:spPr>
                </pic:pic>
              </a:graphicData>
            </a:graphic>
          </wp:inline>
        </w:drawing>
      </w:r>
    </w:p>
    <w:p w14:paraId="3A11252F" w14:textId="19F4F835" w:rsidR="00F8503D" w:rsidRDefault="5C98D2A4" w:rsidP="52446949">
      <w:pPr>
        <w:spacing w:after="160" w:line="276" w:lineRule="auto"/>
      </w:pPr>
      <w:r w:rsidRPr="52446949">
        <w:rPr>
          <w:rFonts w:ascii="Verdana" w:eastAsia="Verdana" w:hAnsi="Verdana" w:cs="Verdana"/>
          <w:color w:val="000000" w:themeColor="text1"/>
          <w:sz w:val="23"/>
          <w:szCs w:val="23"/>
        </w:rPr>
        <w:lastRenderedPageBreak/>
        <w:t xml:space="preserve">The 2026-27 funding is based on performance calculated for federal reporting for the 2024-25 program year. Due to the nature of the post-exit outcomes metrics, each metric measures the outcomes of a different cohort of Title II participants exiting the program: </w:t>
      </w:r>
    </w:p>
    <w:p w14:paraId="11D6A021" w14:textId="50741DD2" w:rsidR="00F8503D" w:rsidRDefault="5C98D2A4" w:rsidP="52446949">
      <w:pPr>
        <w:pStyle w:val="ListParagraph"/>
        <w:numPr>
          <w:ilvl w:val="0"/>
          <w:numId w:val="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 xml:space="preserve">Employment in the </w:t>
      </w:r>
      <w:r w:rsidR="2491A662" w:rsidRPr="52446949">
        <w:rPr>
          <w:rFonts w:ascii="Verdana" w:eastAsia="Verdana" w:hAnsi="Verdana" w:cs="Verdana"/>
          <w:color w:val="000000" w:themeColor="text1"/>
          <w:sz w:val="23"/>
          <w:szCs w:val="23"/>
        </w:rPr>
        <w:t>2</w:t>
      </w:r>
      <w:r w:rsidR="2491A662" w:rsidRPr="52446949">
        <w:rPr>
          <w:rFonts w:ascii="Verdana" w:eastAsia="Verdana" w:hAnsi="Verdana" w:cs="Verdana"/>
          <w:color w:val="000000" w:themeColor="text1"/>
          <w:sz w:val="23"/>
          <w:szCs w:val="23"/>
          <w:vertAlign w:val="superscript"/>
        </w:rPr>
        <w:t>nd</w:t>
      </w:r>
      <w:r w:rsidR="2491A662" w:rsidRPr="52446949">
        <w:rPr>
          <w:rFonts w:ascii="Verdana" w:eastAsia="Verdana" w:hAnsi="Verdana" w:cs="Verdana"/>
          <w:color w:val="000000" w:themeColor="text1"/>
          <w:sz w:val="23"/>
          <w:szCs w:val="23"/>
        </w:rPr>
        <w:t xml:space="preserve"> </w:t>
      </w:r>
      <w:r w:rsidRPr="52446949">
        <w:rPr>
          <w:rFonts w:ascii="Verdana" w:eastAsia="Verdana" w:hAnsi="Verdana" w:cs="Verdana"/>
          <w:color w:val="000000" w:themeColor="text1"/>
          <w:sz w:val="23"/>
          <w:szCs w:val="23"/>
        </w:rPr>
        <w:t>quarter after program exit: For the 2024-25 federal report, the exit population includes those who exited the Title II program during the 2023-24 program year.</w:t>
      </w:r>
    </w:p>
    <w:p w14:paraId="7354B4A9" w14:textId="5C41742B" w:rsidR="00F8503D" w:rsidRDefault="5C98D2A4" w:rsidP="52446949">
      <w:pPr>
        <w:pStyle w:val="ListParagraph"/>
        <w:numPr>
          <w:ilvl w:val="0"/>
          <w:numId w:val="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 xml:space="preserve">Employment in the </w:t>
      </w:r>
      <w:r w:rsidR="56A5EE71" w:rsidRPr="52446949">
        <w:rPr>
          <w:rFonts w:ascii="Verdana" w:eastAsia="Verdana" w:hAnsi="Verdana" w:cs="Verdana"/>
          <w:color w:val="000000" w:themeColor="text1"/>
          <w:sz w:val="23"/>
          <w:szCs w:val="23"/>
        </w:rPr>
        <w:t>4</w:t>
      </w:r>
      <w:r w:rsidR="56A5EE71" w:rsidRPr="52446949">
        <w:rPr>
          <w:rFonts w:ascii="Verdana" w:eastAsia="Verdana" w:hAnsi="Verdana" w:cs="Verdana"/>
          <w:color w:val="000000" w:themeColor="text1"/>
          <w:sz w:val="23"/>
          <w:szCs w:val="23"/>
          <w:vertAlign w:val="superscript"/>
        </w:rPr>
        <w:t>th</w:t>
      </w:r>
      <w:r w:rsidR="56A5EE71" w:rsidRPr="52446949">
        <w:rPr>
          <w:rFonts w:ascii="Verdana" w:eastAsia="Verdana" w:hAnsi="Verdana" w:cs="Verdana"/>
          <w:color w:val="000000" w:themeColor="text1"/>
          <w:sz w:val="23"/>
          <w:szCs w:val="23"/>
        </w:rPr>
        <w:t xml:space="preserve"> </w:t>
      </w:r>
      <w:r w:rsidRPr="52446949">
        <w:rPr>
          <w:rFonts w:ascii="Verdana" w:eastAsia="Verdana" w:hAnsi="Verdana" w:cs="Verdana"/>
          <w:color w:val="000000" w:themeColor="text1"/>
          <w:sz w:val="23"/>
          <w:szCs w:val="23"/>
        </w:rPr>
        <w:t>quarter after program exit: For the 2024-25 federal report, the exit population includes those who exited the Title II program during the 2023 calendar year.</w:t>
      </w:r>
    </w:p>
    <w:p w14:paraId="381C3737" w14:textId="47E5F41C" w:rsidR="00F8503D" w:rsidRDefault="5C98D2A4" w:rsidP="52446949">
      <w:pPr>
        <w:pStyle w:val="ListParagraph"/>
        <w:numPr>
          <w:ilvl w:val="0"/>
          <w:numId w:val="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 xml:space="preserve">Median earnings in the </w:t>
      </w:r>
      <w:r w:rsidR="4A251293" w:rsidRPr="52446949">
        <w:rPr>
          <w:rFonts w:ascii="Verdana" w:eastAsia="Verdana" w:hAnsi="Verdana" w:cs="Verdana"/>
          <w:color w:val="000000" w:themeColor="text1"/>
          <w:sz w:val="23"/>
          <w:szCs w:val="23"/>
        </w:rPr>
        <w:t>2</w:t>
      </w:r>
      <w:r w:rsidR="4A251293" w:rsidRPr="52446949">
        <w:rPr>
          <w:rFonts w:ascii="Verdana" w:eastAsia="Verdana" w:hAnsi="Verdana" w:cs="Verdana"/>
          <w:color w:val="000000" w:themeColor="text1"/>
          <w:sz w:val="23"/>
          <w:szCs w:val="23"/>
          <w:vertAlign w:val="superscript"/>
        </w:rPr>
        <w:t>nd</w:t>
      </w:r>
      <w:r w:rsidR="4A251293" w:rsidRPr="52446949">
        <w:rPr>
          <w:rFonts w:ascii="Verdana" w:eastAsia="Verdana" w:hAnsi="Verdana" w:cs="Verdana"/>
          <w:color w:val="000000" w:themeColor="text1"/>
          <w:sz w:val="23"/>
          <w:szCs w:val="23"/>
        </w:rPr>
        <w:t xml:space="preserve"> </w:t>
      </w:r>
      <w:r w:rsidRPr="52446949">
        <w:rPr>
          <w:rFonts w:ascii="Verdana" w:eastAsia="Verdana" w:hAnsi="Verdana" w:cs="Verdana"/>
          <w:color w:val="000000" w:themeColor="text1"/>
          <w:sz w:val="23"/>
          <w:szCs w:val="23"/>
        </w:rPr>
        <w:t>quarter after program exit: For the 2024-25 federal report, the exit population includes those who exited the Title II program during the 2023-24 program year.</w:t>
      </w:r>
    </w:p>
    <w:p w14:paraId="4510BCA3" w14:textId="655DE9BA" w:rsidR="00F8503D" w:rsidRDefault="5C98D2A4" w:rsidP="52446949">
      <w:pPr>
        <w:pStyle w:val="ListParagraph"/>
        <w:numPr>
          <w:ilvl w:val="0"/>
          <w:numId w:val="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Credential attainment (unduplicated): For the 2024-25 federal report, the exit population includes an unduplicated count of those who exited the Title II program during the 2023 calendar year and who:</w:t>
      </w:r>
    </w:p>
    <w:p w14:paraId="3A5CC142" w14:textId="7F355EA3" w:rsidR="00F8503D" w:rsidRDefault="5C98D2A4" w:rsidP="52446949">
      <w:pPr>
        <w:pStyle w:val="ListParagraph"/>
        <w:numPr>
          <w:ilvl w:val="1"/>
          <w:numId w:val="1"/>
        </w:numPr>
        <w:spacing w:after="160" w:line="276" w:lineRule="auto"/>
        <w:contextualSpacing w:val="0"/>
        <w:rPr>
          <w:rFonts w:ascii="Verdana" w:eastAsia="Verdana" w:hAnsi="Verdana" w:cs="Verdana"/>
          <w:color w:val="000000" w:themeColor="text1"/>
          <w:sz w:val="23"/>
          <w:szCs w:val="23"/>
        </w:rPr>
      </w:pPr>
      <w:r w:rsidRPr="52446949">
        <w:rPr>
          <w:rFonts w:ascii="Verdana" w:eastAsia="Verdana" w:hAnsi="Verdana" w:cs="Verdana"/>
          <w:color w:val="000000" w:themeColor="text1"/>
          <w:sz w:val="23"/>
          <w:szCs w:val="23"/>
        </w:rPr>
        <w:t>earned a secondary school diploma/equivalent between January 1, 2023, and December 31, 2024, AND were employed or enrolled in postsecondary education/training within one year of program exit, OR</w:t>
      </w:r>
    </w:p>
    <w:p w14:paraId="7C8BA44D" w14:textId="6825722D" w:rsidR="00F8503D" w:rsidRDefault="5C98D2A4" w:rsidP="52446949">
      <w:pPr>
        <w:pStyle w:val="ListParagraph"/>
        <w:numPr>
          <w:ilvl w:val="1"/>
          <w:numId w:val="1"/>
        </w:numPr>
        <w:spacing w:after="160" w:line="276" w:lineRule="auto"/>
        <w:contextualSpacing w:val="0"/>
        <w:rPr>
          <w:rFonts w:ascii="Verdana" w:eastAsia="Verdana" w:hAnsi="Verdana" w:cs="Verdana"/>
          <w:color w:val="000000" w:themeColor="text1"/>
          <w:sz w:val="23"/>
          <w:szCs w:val="23"/>
          <w:lang w:val="en-US"/>
        </w:rPr>
      </w:pPr>
      <w:r w:rsidRPr="52446949">
        <w:rPr>
          <w:rFonts w:ascii="Verdana" w:eastAsia="Verdana" w:hAnsi="Verdana" w:cs="Verdana"/>
          <w:color w:val="000000" w:themeColor="text1"/>
          <w:sz w:val="23"/>
          <w:szCs w:val="23"/>
          <w:lang w:val="en-US"/>
        </w:rPr>
        <w:t>earned a recognized postsecondary credential while participating in the program or within one year of program exit.</w:t>
      </w:r>
    </w:p>
    <w:p w14:paraId="050F50DE" w14:textId="44EAFC71" w:rsidR="00F8503D" w:rsidRDefault="5C98D2A4" w:rsidP="52446949">
      <w:pPr>
        <w:spacing w:before="40" w:after="160" w:line="276" w:lineRule="auto"/>
      </w:pPr>
      <w:r w:rsidRPr="52446949">
        <w:rPr>
          <w:rFonts w:ascii="Arial" w:eastAsia="Arial" w:hAnsi="Arial" w:cs="Arial"/>
          <w:color w:val="669966"/>
          <w:sz w:val="28"/>
          <w:szCs w:val="28"/>
        </w:rPr>
        <w:t>Policy</w:t>
      </w:r>
    </w:p>
    <w:p w14:paraId="1DCC7D98" w14:textId="3F142B6F" w:rsidR="00F8503D" w:rsidRDefault="5C98D2A4" w:rsidP="52446949">
      <w:pPr>
        <w:spacing w:after="160" w:line="276" w:lineRule="auto"/>
      </w:pPr>
      <w:r w:rsidRPr="52446949">
        <w:rPr>
          <w:rFonts w:ascii="Verdana" w:eastAsia="Verdana" w:hAnsi="Verdana" w:cs="Verdana"/>
          <w:color w:val="000000" w:themeColor="text1"/>
          <w:sz w:val="23"/>
          <w:szCs w:val="23"/>
          <w:lang w:val="en-US"/>
        </w:rPr>
        <w:t>The State WIOA Title II Team will use a Performance-Based Funding Model (PBFM) to determine funding levels for Oregon’s WIOA TII sub-recipients.</w:t>
      </w:r>
      <w:r w:rsidRPr="52446949">
        <w:rPr>
          <w:rFonts w:ascii="Verdana" w:eastAsia="Verdana" w:hAnsi="Verdana" w:cs="Verdana"/>
          <w:sz w:val="23"/>
          <w:szCs w:val="23"/>
          <w:lang w:val="en-US"/>
        </w:rPr>
        <w:t xml:space="preserve"> </w:t>
      </w:r>
    </w:p>
    <w:p w14:paraId="35C17CCE" w14:textId="6861043D" w:rsidR="00F8503D" w:rsidRDefault="00F8503D" w:rsidP="52446949">
      <w:pPr>
        <w:spacing w:line="276" w:lineRule="auto"/>
      </w:pPr>
    </w:p>
    <w:p w14:paraId="77A7BEC6" w14:textId="22C81D51" w:rsidR="52446949" w:rsidRDefault="52446949" w:rsidP="52446949">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p>
    <w:p w14:paraId="7B8CC0B6"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rPr>
      </w:pPr>
      <w:r>
        <w:br w:type="page"/>
      </w:r>
    </w:p>
    <w:p w14:paraId="61CA0378"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9" w:name="_koia77hbxje9" w:colFirst="0" w:colLast="0"/>
      <w:bookmarkEnd w:id="9"/>
      <w:r>
        <w:rPr>
          <w:rFonts w:ascii="Arial" w:eastAsia="Arial" w:hAnsi="Arial" w:cs="Arial"/>
          <w:b/>
          <w:bCs/>
          <w:smallCaps/>
          <w:color w:val="6A976C"/>
          <w:sz w:val="32"/>
          <w:szCs w:val="32"/>
        </w:rPr>
        <w:lastRenderedPageBreak/>
        <w:t>Professional Development</w:t>
      </w:r>
    </w:p>
    <w:p w14:paraId="1DF40E74" w14:textId="77777777" w:rsidR="00F8503D" w:rsidRDefault="0033067D">
      <w:pPr>
        <w:keepNext/>
        <w:numPr>
          <w:ilvl w:val="2"/>
          <w:numId w:val="24"/>
        </w:numPr>
        <w:pBdr>
          <w:top w:val="nil"/>
          <w:left w:val="nil"/>
          <w:bottom w:val="nil"/>
          <w:right w:val="nil"/>
          <w:between w:val="nil"/>
        </w:pBdr>
        <w:spacing w:before="240" w:after="40" w:line="276" w:lineRule="auto"/>
      </w:pPr>
      <w:bookmarkStart w:id="10" w:name="_ufmdrdeaw0qf" w:colFirst="0" w:colLast="0"/>
      <w:bookmarkEnd w:id="10"/>
      <w:r>
        <w:rPr>
          <w:rFonts w:ascii="Arial" w:eastAsia="Arial" w:hAnsi="Arial" w:cs="Arial"/>
          <w:smallCaps/>
          <w:color w:val="6A976C"/>
          <w:sz w:val="28"/>
          <w:szCs w:val="28"/>
        </w:rPr>
        <w:t>Professional Development</w:t>
      </w:r>
    </w:p>
    <w:p w14:paraId="36DB354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1297ED64" w14:textId="12A669C0"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Participation in professional development opportunities of proven effectiveness is essential to ensure that administrators, instructional staff, volunteers, advisors, and support staff are knowledgeable about the quality indicators included in the WIOA 13 Considerations</w:t>
      </w:r>
      <w:r w:rsidR="002E3E79">
        <w:rPr>
          <w:rFonts w:ascii="Verdana" w:eastAsia="Verdana" w:hAnsi="Verdana" w:cs="Verdana"/>
          <w:color w:val="000000"/>
          <w:sz w:val="23"/>
          <w:szCs w:val="23"/>
        </w:rPr>
        <w:t xml:space="preserve"> </w:t>
      </w:r>
      <w:hyperlink r:id="rId40" w:anchor="p-463.20(d)" w:history="1">
        <w:r w:rsidR="002E3E79" w:rsidRPr="006B185B">
          <w:rPr>
            <w:rStyle w:val="Hyperlink"/>
            <w:rFonts w:ascii="Verdana" w:eastAsia="Verdana" w:hAnsi="Verdana" w:cs="Verdana"/>
            <w:sz w:val="23"/>
            <w:szCs w:val="23"/>
          </w:rPr>
          <w:t>(34 CFR 463.20(d)</w:t>
        </w:r>
      </w:hyperlink>
      <w:r w:rsidR="00AD77ED">
        <w:rPr>
          <w:rFonts w:ascii="Verdana" w:eastAsia="Verdana" w:hAnsi="Verdana" w:cs="Verdana"/>
          <w:color w:val="000000"/>
          <w:sz w:val="23"/>
          <w:szCs w:val="23"/>
        </w:rPr>
        <w:t>)</w:t>
      </w:r>
      <w:r>
        <w:rPr>
          <w:rFonts w:ascii="Verdana" w:eastAsia="Verdana" w:hAnsi="Verdana" w:cs="Verdana"/>
          <w:color w:val="000000"/>
          <w:sz w:val="23"/>
          <w:szCs w:val="23"/>
        </w:rPr>
        <w:t>, and best practices in ABS instruction, policies, procedures, and services.</w:t>
      </w:r>
    </w:p>
    <w:p w14:paraId="697ACDD2"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2736EFD8"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assure that staff complete the required professional development activities listed below.</w:t>
      </w:r>
    </w:p>
    <w:p w14:paraId="019C034B"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set aside funds to offer relevant professional development for administrators, instructors, advisors/navigators, data professionals, and support staff to implement an effective Title II program.</w:t>
      </w:r>
    </w:p>
    <w:p w14:paraId="59371535" w14:textId="7F81A17B" w:rsidR="00384662" w:rsidRPr="00717BF1"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develop a professional development plan to promote and support individual staff development and program improvement. The plan must outline the requirements for all staff evaluation. This document must be</w:t>
      </w:r>
      <w:r w:rsidR="007C115D">
        <w:rPr>
          <w:rFonts w:ascii="Verdana" w:eastAsia="Verdana" w:hAnsi="Verdana" w:cs="Verdana"/>
          <w:color w:val="000000"/>
          <w:sz w:val="23"/>
          <w:szCs w:val="23"/>
        </w:rPr>
        <w:t xml:space="preserve"> in a HECC approved format and </w:t>
      </w:r>
      <w:r>
        <w:rPr>
          <w:rFonts w:ascii="Verdana" w:eastAsia="Verdana" w:hAnsi="Verdana" w:cs="Verdana"/>
          <w:color w:val="000000"/>
          <w:sz w:val="23"/>
          <w:szCs w:val="23"/>
        </w:rPr>
        <w:t xml:space="preserve">on file and available for inspection </w:t>
      </w:r>
      <w:r w:rsidR="005C48C7">
        <w:rPr>
          <w:rFonts w:ascii="Verdana" w:eastAsia="Verdana" w:hAnsi="Verdana" w:cs="Verdana"/>
          <w:color w:val="000000"/>
          <w:sz w:val="23"/>
          <w:szCs w:val="23"/>
        </w:rPr>
        <w:t xml:space="preserve">as </w:t>
      </w:r>
      <w:r>
        <w:rPr>
          <w:rFonts w:ascii="Verdana" w:eastAsia="Verdana" w:hAnsi="Verdana" w:cs="Verdana"/>
          <w:color w:val="000000"/>
          <w:sz w:val="23"/>
          <w:szCs w:val="23"/>
        </w:rPr>
        <w:t>requested.</w:t>
      </w:r>
    </w:p>
    <w:p w14:paraId="4223D589" w14:textId="06FA4FE2" w:rsidR="007350BD" w:rsidRPr="00384662" w:rsidRDefault="007350BD">
      <w:pPr>
        <w:numPr>
          <w:ilvl w:val="6"/>
          <w:numId w:val="24"/>
        </w:numPr>
        <w:pBdr>
          <w:top w:val="nil"/>
          <w:left w:val="nil"/>
          <w:bottom w:val="nil"/>
          <w:right w:val="nil"/>
          <w:between w:val="nil"/>
        </w:pBdr>
        <w:spacing w:after="160" w:line="276" w:lineRule="auto"/>
        <w:ind w:left="360"/>
      </w:pPr>
      <w:r w:rsidRPr="00384662">
        <w:rPr>
          <w:lang w:val="en-US"/>
        </w:rPr>
        <w:t>It is the program’s responsibility to track and monitor professional development requirements for their staff. Documents must be available if and when requested by HECC.</w:t>
      </w:r>
    </w:p>
    <w:p w14:paraId="31357E9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PLEASE REFER TO THE CHART ON THE FOLLOWING PAGES FOR PROFESSIONAL DEVELOPMENT REQUIRED COMPONENTS</w:t>
      </w:r>
    </w:p>
    <w:p w14:paraId="6C46B1E9"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Garamond" w:eastAsia="Garamond" w:hAnsi="Garamond" w:cs="Garamond"/>
          <w:color w:val="000000"/>
        </w:rPr>
      </w:pPr>
      <w:r>
        <w:br w:type="page"/>
      </w:r>
    </w:p>
    <w:tbl>
      <w:tblPr>
        <w:tblpPr w:leftFromText="180" w:rightFromText="180" w:vertAnchor="text"/>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695"/>
        <w:gridCol w:w="1620"/>
        <w:gridCol w:w="3330"/>
        <w:gridCol w:w="1715"/>
      </w:tblGrid>
      <w:tr w:rsidR="00F8503D" w14:paraId="220C3385" w14:textId="77777777" w:rsidTr="7B188CE2">
        <w:trPr>
          <w:trHeight w:val="620"/>
        </w:trPr>
        <w:tc>
          <w:tcPr>
            <w:tcW w:w="2695" w:type="dxa"/>
            <w:shd w:val="clear" w:color="auto" w:fill="6D9E75"/>
            <w:vAlign w:val="center"/>
          </w:tcPr>
          <w:p w14:paraId="6F241AEC" w14:textId="77777777" w:rsidR="00F8503D" w:rsidRDefault="0033067D">
            <w:pPr>
              <w:ind w:right="58"/>
              <w:rPr>
                <w:rFonts w:ascii="Verdana" w:eastAsia="Verdana" w:hAnsi="Verdana" w:cs="Verdana"/>
                <w:b/>
                <w:bCs/>
                <w:sz w:val="16"/>
                <w:szCs w:val="16"/>
              </w:rPr>
            </w:pPr>
            <w:r>
              <w:rPr>
                <w:rFonts w:ascii="Verdana" w:eastAsia="Verdana" w:hAnsi="Verdana" w:cs="Verdana"/>
                <w:b/>
                <w:bCs/>
                <w:sz w:val="16"/>
                <w:szCs w:val="16"/>
              </w:rPr>
              <w:lastRenderedPageBreak/>
              <w:t>Professional Development Required Components</w:t>
            </w:r>
          </w:p>
        </w:tc>
        <w:tc>
          <w:tcPr>
            <w:tcW w:w="1620" w:type="dxa"/>
            <w:shd w:val="clear" w:color="auto" w:fill="6D9E75"/>
            <w:vAlign w:val="center"/>
          </w:tcPr>
          <w:p w14:paraId="5729C37F" w14:textId="77777777" w:rsidR="00F8503D" w:rsidRDefault="0033067D">
            <w:pPr>
              <w:rPr>
                <w:rFonts w:ascii="Verdana" w:eastAsia="Verdana" w:hAnsi="Verdana" w:cs="Verdana"/>
                <w:b/>
                <w:bCs/>
                <w:sz w:val="16"/>
                <w:szCs w:val="16"/>
              </w:rPr>
            </w:pPr>
            <w:r>
              <w:rPr>
                <w:rFonts w:ascii="Verdana" w:eastAsia="Verdana" w:hAnsi="Verdana" w:cs="Verdana"/>
                <w:b/>
                <w:bCs/>
                <w:sz w:val="16"/>
                <w:szCs w:val="16"/>
              </w:rPr>
              <w:t>Requirements by position</w:t>
            </w:r>
          </w:p>
        </w:tc>
        <w:tc>
          <w:tcPr>
            <w:tcW w:w="3330" w:type="dxa"/>
            <w:shd w:val="clear" w:color="auto" w:fill="6D9E75"/>
            <w:vAlign w:val="center"/>
          </w:tcPr>
          <w:p w14:paraId="783DD166" w14:textId="77777777" w:rsidR="00F8503D" w:rsidRDefault="0033067D">
            <w:pPr>
              <w:rPr>
                <w:rFonts w:ascii="Verdana" w:eastAsia="Verdana" w:hAnsi="Verdana" w:cs="Verdana"/>
                <w:b/>
                <w:bCs/>
                <w:sz w:val="16"/>
                <w:szCs w:val="16"/>
              </w:rPr>
            </w:pPr>
            <w:r>
              <w:rPr>
                <w:rFonts w:ascii="Verdana" w:eastAsia="Verdana" w:hAnsi="Verdana" w:cs="Verdana"/>
                <w:b/>
                <w:bCs/>
                <w:sz w:val="16"/>
                <w:szCs w:val="16"/>
              </w:rPr>
              <w:t>Training frequency</w:t>
            </w:r>
          </w:p>
        </w:tc>
        <w:tc>
          <w:tcPr>
            <w:tcW w:w="1715" w:type="dxa"/>
            <w:shd w:val="clear" w:color="auto" w:fill="6D9E75"/>
            <w:vAlign w:val="center"/>
          </w:tcPr>
          <w:p w14:paraId="76973654" w14:textId="77777777" w:rsidR="00F8503D" w:rsidRDefault="0033067D">
            <w:pPr>
              <w:ind w:right="58"/>
              <w:rPr>
                <w:rFonts w:ascii="Verdana" w:eastAsia="Verdana" w:hAnsi="Verdana" w:cs="Verdana"/>
                <w:b/>
                <w:bCs/>
                <w:sz w:val="16"/>
                <w:szCs w:val="16"/>
              </w:rPr>
            </w:pPr>
            <w:r>
              <w:rPr>
                <w:rFonts w:ascii="Verdana" w:eastAsia="Verdana" w:hAnsi="Verdana" w:cs="Verdana"/>
                <w:b/>
                <w:bCs/>
                <w:sz w:val="16"/>
                <w:szCs w:val="16"/>
              </w:rPr>
              <w:t>Format</w:t>
            </w:r>
          </w:p>
        </w:tc>
      </w:tr>
      <w:tr w:rsidR="00F8503D" w14:paraId="56C369D7" w14:textId="77777777" w:rsidTr="7B188CE2">
        <w:trPr>
          <w:trHeight w:val="530"/>
        </w:trPr>
        <w:tc>
          <w:tcPr>
            <w:tcW w:w="9360" w:type="dxa"/>
            <w:gridSpan w:val="4"/>
            <w:shd w:val="clear" w:color="auto" w:fill="4EA9AF"/>
            <w:vAlign w:val="center"/>
          </w:tcPr>
          <w:p w14:paraId="49214AA9" w14:textId="77777777" w:rsidR="00F8503D" w:rsidRDefault="0033067D">
            <w:pPr>
              <w:rPr>
                <w:rFonts w:ascii="Verdana" w:eastAsia="Verdana" w:hAnsi="Verdana" w:cs="Verdana"/>
                <w:b/>
                <w:bCs/>
                <w:sz w:val="16"/>
                <w:szCs w:val="16"/>
              </w:rPr>
            </w:pPr>
            <w:r>
              <w:rPr>
                <w:rFonts w:ascii="Verdana" w:eastAsia="Verdana" w:hAnsi="Verdana" w:cs="Verdana"/>
                <w:b/>
                <w:bCs/>
                <w:sz w:val="16"/>
                <w:szCs w:val="16"/>
              </w:rPr>
              <w:t>Assessment</w:t>
            </w:r>
          </w:p>
          <w:p w14:paraId="1D3A0AF7" w14:textId="77777777" w:rsidR="00F8503D" w:rsidRDefault="0033067D" w:rsidP="7B188CE2">
            <w:pPr>
              <w:rPr>
                <w:rFonts w:ascii="Verdana" w:eastAsia="Verdana" w:hAnsi="Verdana" w:cs="Verdana"/>
                <w:b/>
                <w:bCs/>
                <w:sz w:val="16"/>
                <w:szCs w:val="16"/>
                <w:lang w:val="en-US"/>
              </w:rPr>
            </w:pPr>
            <w:r w:rsidRPr="7B188CE2">
              <w:rPr>
                <w:rFonts w:ascii="Verdana" w:eastAsia="Verdana" w:hAnsi="Verdana" w:cs="Verdana"/>
                <w:b/>
                <w:bCs/>
                <w:sz w:val="16"/>
                <w:szCs w:val="16"/>
                <w:lang w:val="en-US"/>
              </w:rPr>
              <w:t>(Please refer to Section 6.5 for additional Testing Certification information)</w:t>
            </w:r>
          </w:p>
        </w:tc>
      </w:tr>
      <w:tr w:rsidR="00F8503D" w14:paraId="71CD459D" w14:textId="77777777" w:rsidTr="7B188CE2">
        <w:trPr>
          <w:trHeight w:val="2870"/>
        </w:trPr>
        <w:tc>
          <w:tcPr>
            <w:tcW w:w="2695" w:type="dxa"/>
            <w:vAlign w:val="center"/>
          </w:tcPr>
          <w:p w14:paraId="21C03B38" w14:textId="77777777" w:rsidR="00F8503D" w:rsidRDefault="0033067D" w:rsidP="7B188CE2">
            <w:pPr>
              <w:rPr>
                <w:rFonts w:ascii="Verdana" w:eastAsia="Verdana" w:hAnsi="Verdana" w:cs="Verdana"/>
                <w:sz w:val="16"/>
                <w:szCs w:val="16"/>
                <w:lang w:val="en-US"/>
              </w:rPr>
            </w:pPr>
            <w:r w:rsidRPr="7B188CE2">
              <w:rPr>
                <w:rFonts w:ascii="Verdana" w:eastAsia="Verdana" w:hAnsi="Verdana" w:cs="Verdana"/>
                <w:sz w:val="16"/>
                <w:szCs w:val="16"/>
                <w:lang w:val="en-US"/>
              </w:rPr>
              <w:t>CASAS eTests Agency Agreement</w:t>
            </w:r>
          </w:p>
          <w:p w14:paraId="66AC8C36" w14:textId="77777777" w:rsidR="00F8503D" w:rsidRDefault="00F8503D">
            <w:pPr>
              <w:rPr>
                <w:rFonts w:ascii="Verdana" w:eastAsia="Verdana" w:hAnsi="Verdana" w:cs="Verdana"/>
                <w:sz w:val="16"/>
                <w:szCs w:val="16"/>
              </w:rPr>
            </w:pPr>
          </w:p>
          <w:p w14:paraId="048BEEA7" w14:textId="77777777" w:rsidR="00F8503D" w:rsidRDefault="0033067D">
            <w:pPr>
              <w:rPr>
                <w:rFonts w:ascii="Verdana" w:eastAsia="Verdana" w:hAnsi="Verdana" w:cs="Verdana"/>
                <w:sz w:val="16"/>
                <w:szCs w:val="16"/>
              </w:rPr>
            </w:pPr>
            <w:r>
              <w:rPr>
                <w:rFonts w:ascii="Verdana" w:eastAsia="Verdana" w:hAnsi="Verdana" w:cs="Verdana"/>
                <w:sz w:val="16"/>
                <w:szCs w:val="16"/>
              </w:rPr>
              <w:t>Agency Remote Testing Agreement</w:t>
            </w:r>
            <w:r>
              <w:rPr>
                <w:rFonts w:ascii="Verdana" w:eastAsia="Verdana" w:hAnsi="Verdana" w:cs="Verdana"/>
                <w:sz w:val="16"/>
                <w:szCs w:val="16"/>
              </w:rPr>
              <w:br/>
            </w:r>
            <w:r>
              <w:rPr>
                <w:rFonts w:ascii="Verdana" w:eastAsia="Verdana" w:hAnsi="Verdana" w:cs="Verdana"/>
                <w:sz w:val="16"/>
                <w:szCs w:val="16"/>
              </w:rPr>
              <w:br/>
              <w:t>Module 1: Implementation Basics</w:t>
            </w:r>
          </w:p>
          <w:p w14:paraId="074F39E3" w14:textId="77777777" w:rsidR="00F8503D" w:rsidRDefault="00F8503D">
            <w:pPr>
              <w:rPr>
                <w:rFonts w:ascii="Verdana" w:eastAsia="Verdana" w:hAnsi="Verdana" w:cs="Verdana"/>
                <w:sz w:val="16"/>
                <w:szCs w:val="16"/>
              </w:rPr>
            </w:pPr>
          </w:p>
          <w:p w14:paraId="056C7C4E" w14:textId="77777777" w:rsidR="00F8503D" w:rsidRDefault="0033067D" w:rsidP="7B188CE2">
            <w:pPr>
              <w:rPr>
                <w:rFonts w:ascii="Verdana" w:eastAsia="Verdana" w:hAnsi="Verdana" w:cs="Verdana"/>
                <w:sz w:val="16"/>
                <w:szCs w:val="16"/>
                <w:lang w:val="en-US"/>
              </w:rPr>
            </w:pPr>
            <w:r w:rsidRPr="7B188CE2">
              <w:rPr>
                <w:rFonts w:ascii="Verdana" w:eastAsia="Verdana" w:hAnsi="Verdana" w:cs="Verdana"/>
                <w:sz w:val="16"/>
                <w:szCs w:val="16"/>
                <w:lang w:val="en-US"/>
              </w:rPr>
              <w:t>Module 2: CASAS eTests Implementation</w:t>
            </w:r>
          </w:p>
          <w:p w14:paraId="2DE970B6" w14:textId="77777777" w:rsidR="00F8503D" w:rsidRDefault="00F8503D">
            <w:pPr>
              <w:rPr>
                <w:rFonts w:ascii="Verdana" w:eastAsia="Verdana" w:hAnsi="Verdana" w:cs="Verdana"/>
                <w:sz w:val="16"/>
                <w:szCs w:val="16"/>
              </w:rPr>
            </w:pPr>
          </w:p>
          <w:p w14:paraId="6F95CEAE" w14:textId="77777777" w:rsidR="00F8503D" w:rsidRDefault="0033067D">
            <w:pPr>
              <w:rPr>
                <w:rFonts w:ascii="Verdana" w:eastAsia="Verdana" w:hAnsi="Verdana" w:cs="Verdana"/>
                <w:sz w:val="16"/>
                <w:szCs w:val="16"/>
              </w:rPr>
            </w:pPr>
            <w:r>
              <w:rPr>
                <w:rFonts w:ascii="Verdana" w:eastAsia="Verdana" w:hAnsi="Verdana" w:cs="Verdana"/>
                <w:sz w:val="16"/>
                <w:szCs w:val="16"/>
              </w:rPr>
              <w:t>Module 3: Launching Paper Tests with Proctor Certification</w:t>
            </w:r>
          </w:p>
        </w:tc>
        <w:tc>
          <w:tcPr>
            <w:tcW w:w="1620" w:type="dxa"/>
            <w:vAlign w:val="center"/>
          </w:tcPr>
          <w:p w14:paraId="6126DDDF" w14:textId="77777777" w:rsidR="00F8503D" w:rsidRDefault="0033067D" w:rsidP="7B188CE2">
            <w:pPr>
              <w:rPr>
                <w:rFonts w:ascii="Verdana" w:eastAsia="Verdana" w:hAnsi="Verdana" w:cs="Verdana"/>
                <w:sz w:val="16"/>
                <w:szCs w:val="16"/>
                <w:lang w:val="en-US"/>
              </w:rPr>
            </w:pPr>
            <w:r w:rsidRPr="7B188CE2">
              <w:rPr>
                <w:rFonts w:ascii="Verdana" w:eastAsia="Verdana" w:hAnsi="Verdana" w:cs="Verdana"/>
                <w:sz w:val="16"/>
                <w:szCs w:val="16"/>
                <w:lang w:val="en-US"/>
              </w:rPr>
              <w:t>At least one staff member per agency, based on type of testing (eTests, Paper, Remote)</w:t>
            </w:r>
          </w:p>
        </w:tc>
        <w:tc>
          <w:tcPr>
            <w:tcW w:w="3330" w:type="dxa"/>
            <w:vAlign w:val="center"/>
          </w:tcPr>
          <w:p w14:paraId="2B1AAD2C" w14:textId="77777777" w:rsidR="00F8503D" w:rsidRDefault="0033067D">
            <w:pPr>
              <w:rPr>
                <w:rFonts w:ascii="Verdana" w:eastAsia="Verdana" w:hAnsi="Verdana" w:cs="Verdana"/>
                <w:sz w:val="16"/>
                <w:szCs w:val="16"/>
              </w:rPr>
            </w:pPr>
            <w:r>
              <w:rPr>
                <w:rFonts w:ascii="Verdana" w:eastAsia="Verdana" w:hAnsi="Verdana" w:cs="Verdana"/>
                <w:sz w:val="16"/>
                <w:szCs w:val="16"/>
              </w:rPr>
              <w:t>Once before agency begins administering CASAS Tests</w:t>
            </w:r>
          </w:p>
        </w:tc>
        <w:tc>
          <w:tcPr>
            <w:tcW w:w="1715" w:type="dxa"/>
            <w:vMerge w:val="restart"/>
            <w:vAlign w:val="center"/>
          </w:tcPr>
          <w:p w14:paraId="39723FCF" w14:textId="77777777" w:rsidR="00F8503D" w:rsidRDefault="0033067D">
            <w:pPr>
              <w:rPr>
                <w:rFonts w:ascii="Verdana" w:eastAsia="Verdana" w:hAnsi="Verdana" w:cs="Verdana"/>
                <w:sz w:val="16"/>
                <w:szCs w:val="16"/>
              </w:rPr>
            </w:pPr>
            <w:r>
              <w:rPr>
                <w:rFonts w:ascii="Verdana" w:eastAsia="Verdana" w:hAnsi="Verdana" w:cs="Verdana"/>
                <w:sz w:val="16"/>
                <w:szCs w:val="16"/>
              </w:rPr>
              <w:t>Online from CASAS http</w:t>
            </w:r>
            <w:hyperlink r:id="rId41">
              <w:r>
                <w:rPr>
                  <w:rFonts w:ascii="Verdana" w:eastAsia="Verdana" w:hAnsi="Verdana" w:cs="Verdana"/>
                  <w:sz w:val="16"/>
                  <w:szCs w:val="16"/>
                </w:rPr>
                <w:t>s://training. casas.org</w:t>
              </w:r>
            </w:hyperlink>
          </w:p>
          <w:p w14:paraId="6F06C555" w14:textId="77777777" w:rsidR="00F8503D" w:rsidRDefault="00F8503D">
            <w:pPr>
              <w:rPr>
                <w:rFonts w:ascii="Verdana" w:eastAsia="Verdana" w:hAnsi="Verdana" w:cs="Verdana"/>
                <w:sz w:val="16"/>
                <w:szCs w:val="16"/>
              </w:rPr>
            </w:pPr>
          </w:p>
        </w:tc>
      </w:tr>
      <w:tr w:rsidR="00F8503D" w14:paraId="6EBB8AD9" w14:textId="77777777" w:rsidTr="7B188CE2">
        <w:trPr>
          <w:trHeight w:val="1070"/>
        </w:trPr>
        <w:tc>
          <w:tcPr>
            <w:tcW w:w="2695" w:type="dxa"/>
            <w:vAlign w:val="center"/>
          </w:tcPr>
          <w:p w14:paraId="6AF47C10" w14:textId="77777777" w:rsidR="00F8503D" w:rsidRDefault="0033067D">
            <w:pPr>
              <w:ind w:right="135"/>
              <w:rPr>
                <w:rFonts w:ascii="Verdana" w:eastAsia="Verdana" w:hAnsi="Verdana" w:cs="Verdana"/>
                <w:sz w:val="16"/>
                <w:szCs w:val="16"/>
              </w:rPr>
            </w:pPr>
            <w:r>
              <w:rPr>
                <w:rFonts w:ascii="Verdana" w:eastAsia="Verdana" w:hAnsi="Verdana" w:cs="Verdana"/>
                <w:sz w:val="16"/>
                <w:szCs w:val="16"/>
              </w:rPr>
              <w:t>CASAS eTest Coordinator Certification</w:t>
            </w:r>
          </w:p>
        </w:tc>
        <w:tc>
          <w:tcPr>
            <w:tcW w:w="1620" w:type="dxa"/>
            <w:vAlign w:val="center"/>
          </w:tcPr>
          <w:p w14:paraId="40485E89" w14:textId="77777777" w:rsidR="00F8503D" w:rsidRDefault="0033067D">
            <w:pPr>
              <w:rPr>
                <w:rFonts w:ascii="Verdana" w:eastAsia="Verdana" w:hAnsi="Verdana" w:cs="Verdana"/>
                <w:sz w:val="16"/>
                <w:szCs w:val="16"/>
              </w:rPr>
            </w:pPr>
            <w:r>
              <w:rPr>
                <w:rFonts w:ascii="Verdana" w:eastAsia="Verdana" w:hAnsi="Verdana" w:cs="Verdana"/>
                <w:sz w:val="16"/>
                <w:szCs w:val="16"/>
              </w:rPr>
              <w:t>All eTest Coordinators; there must be one Coordinator per testing site</w:t>
            </w:r>
          </w:p>
        </w:tc>
        <w:tc>
          <w:tcPr>
            <w:tcW w:w="3330" w:type="dxa"/>
            <w:vAlign w:val="center"/>
          </w:tcPr>
          <w:p w14:paraId="335F76D3" w14:textId="77777777" w:rsidR="00F8503D" w:rsidRDefault="0033067D">
            <w:pPr>
              <w:ind w:right="76"/>
              <w:rPr>
                <w:rFonts w:ascii="Verdana" w:eastAsia="Verdana" w:hAnsi="Verdana" w:cs="Verdana"/>
                <w:sz w:val="16"/>
                <w:szCs w:val="16"/>
              </w:rPr>
            </w:pPr>
            <w:r>
              <w:rPr>
                <w:rFonts w:ascii="Verdana" w:eastAsia="Verdana" w:hAnsi="Verdana" w:cs="Verdana"/>
                <w:sz w:val="16"/>
                <w:szCs w:val="16"/>
              </w:rPr>
              <w:t xml:space="preserve">Once, prior to administering any CASAS eTest  </w:t>
            </w:r>
          </w:p>
        </w:tc>
        <w:tc>
          <w:tcPr>
            <w:tcW w:w="1715" w:type="dxa"/>
            <w:vMerge/>
            <w:vAlign w:val="center"/>
          </w:tcPr>
          <w:p w14:paraId="705E5A4F" w14:textId="77777777" w:rsidR="00F8503D" w:rsidRDefault="00F8503D">
            <w:pPr>
              <w:widowControl w:val="0"/>
              <w:pBdr>
                <w:top w:val="nil"/>
                <w:left w:val="nil"/>
                <w:bottom w:val="nil"/>
                <w:right w:val="nil"/>
                <w:between w:val="nil"/>
              </w:pBdr>
              <w:spacing w:line="276" w:lineRule="auto"/>
              <w:rPr>
                <w:rFonts w:ascii="Verdana" w:eastAsia="Verdana" w:hAnsi="Verdana" w:cs="Verdana"/>
                <w:sz w:val="16"/>
                <w:szCs w:val="16"/>
              </w:rPr>
            </w:pPr>
          </w:p>
        </w:tc>
      </w:tr>
      <w:tr w:rsidR="00F8503D" w14:paraId="31D54A13" w14:textId="77777777" w:rsidTr="7B188CE2">
        <w:trPr>
          <w:trHeight w:val="530"/>
        </w:trPr>
        <w:tc>
          <w:tcPr>
            <w:tcW w:w="2695" w:type="dxa"/>
            <w:vAlign w:val="center"/>
          </w:tcPr>
          <w:p w14:paraId="2BCA944E" w14:textId="77777777" w:rsidR="00F8503D" w:rsidRDefault="0033067D">
            <w:pPr>
              <w:rPr>
                <w:rFonts w:ascii="Verdana" w:eastAsia="Verdana" w:hAnsi="Verdana" w:cs="Verdana"/>
                <w:sz w:val="16"/>
                <w:szCs w:val="16"/>
              </w:rPr>
            </w:pPr>
            <w:r>
              <w:rPr>
                <w:rFonts w:ascii="Verdana" w:eastAsia="Verdana" w:hAnsi="Verdana" w:cs="Verdana"/>
                <w:sz w:val="16"/>
                <w:szCs w:val="16"/>
              </w:rPr>
              <w:t>CASAS eTest Proctor Certification</w:t>
            </w:r>
          </w:p>
        </w:tc>
        <w:tc>
          <w:tcPr>
            <w:tcW w:w="1620" w:type="dxa"/>
            <w:vAlign w:val="center"/>
          </w:tcPr>
          <w:p w14:paraId="15A8365A" w14:textId="77777777" w:rsidR="00F8503D" w:rsidRDefault="0033067D">
            <w:pPr>
              <w:rPr>
                <w:rFonts w:ascii="Verdana" w:eastAsia="Verdana" w:hAnsi="Verdana" w:cs="Verdana"/>
                <w:sz w:val="16"/>
                <w:szCs w:val="16"/>
              </w:rPr>
            </w:pPr>
            <w:r>
              <w:rPr>
                <w:rFonts w:ascii="Verdana" w:eastAsia="Verdana" w:hAnsi="Verdana" w:cs="Verdana"/>
                <w:sz w:val="16"/>
                <w:szCs w:val="16"/>
              </w:rPr>
              <w:t>All CASAS eTest proctors</w:t>
            </w:r>
          </w:p>
        </w:tc>
        <w:tc>
          <w:tcPr>
            <w:tcW w:w="3330" w:type="dxa"/>
            <w:vAlign w:val="center"/>
          </w:tcPr>
          <w:p w14:paraId="7139CF24" w14:textId="77777777" w:rsidR="00F8503D" w:rsidRDefault="0033067D">
            <w:pPr>
              <w:rPr>
                <w:rFonts w:ascii="Verdana" w:eastAsia="Verdana" w:hAnsi="Verdana" w:cs="Verdana"/>
                <w:sz w:val="16"/>
                <w:szCs w:val="16"/>
              </w:rPr>
            </w:pPr>
            <w:r>
              <w:rPr>
                <w:rFonts w:ascii="Verdana" w:eastAsia="Verdana" w:hAnsi="Verdana" w:cs="Verdana"/>
                <w:sz w:val="16"/>
                <w:szCs w:val="16"/>
              </w:rPr>
              <w:t>Once, prior to proctoring a CASAS eTest</w:t>
            </w:r>
          </w:p>
        </w:tc>
        <w:tc>
          <w:tcPr>
            <w:tcW w:w="1715" w:type="dxa"/>
            <w:vMerge/>
            <w:vAlign w:val="center"/>
          </w:tcPr>
          <w:p w14:paraId="51CC9DF9" w14:textId="77777777" w:rsidR="00F8503D" w:rsidRDefault="00F8503D">
            <w:pPr>
              <w:widowControl w:val="0"/>
              <w:pBdr>
                <w:top w:val="nil"/>
                <w:left w:val="nil"/>
                <w:bottom w:val="nil"/>
                <w:right w:val="nil"/>
                <w:between w:val="nil"/>
              </w:pBdr>
              <w:spacing w:line="276" w:lineRule="auto"/>
              <w:rPr>
                <w:rFonts w:ascii="Verdana" w:eastAsia="Verdana" w:hAnsi="Verdana" w:cs="Verdana"/>
                <w:sz w:val="16"/>
                <w:szCs w:val="16"/>
              </w:rPr>
            </w:pPr>
          </w:p>
        </w:tc>
      </w:tr>
      <w:tr w:rsidR="00F8503D" w14:paraId="347FB5EC" w14:textId="77777777" w:rsidTr="7B188CE2">
        <w:trPr>
          <w:trHeight w:val="530"/>
        </w:trPr>
        <w:tc>
          <w:tcPr>
            <w:tcW w:w="2695" w:type="dxa"/>
            <w:vAlign w:val="center"/>
          </w:tcPr>
          <w:p w14:paraId="5E8794F7" w14:textId="77777777" w:rsidR="00F8503D" w:rsidRDefault="0033067D">
            <w:pPr>
              <w:rPr>
                <w:rFonts w:ascii="Verdana" w:eastAsia="Verdana" w:hAnsi="Verdana" w:cs="Verdana"/>
                <w:sz w:val="16"/>
                <w:szCs w:val="16"/>
              </w:rPr>
            </w:pPr>
            <w:r>
              <w:rPr>
                <w:rFonts w:ascii="Verdana" w:eastAsia="Verdana" w:hAnsi="Verdana" w:cs="Verdana"/>
                <w:sz w:val="16"/>
                <w:szCs w:val="16"/>
              </w:rPr>
              <w:t>CASAS Paper Test Proctor Certification</w:t>
            </w:r>
          </w:p>
        </w:tc>
        <w:tc>
          <w:tcPr>
            <w:tcW w:w="1620" w:type="dxa"/>
            <w:vAlign w:val="center"/>
          </w:tcPr>
          <w:p w14:paraId="126AAE4F" w14:textId="77777777" w:rsidR="00F8503D" w:rsidRDefault="0033067D">
            <w:pPr>
              <w:rPr>
                <w:rFonts w:ascii="Verdana" w:eastAsia="Verdana" w:hAnsi="Verdana" w:cs="Verdana"/>
                <w:sz w:val="16"/>
                <w:szCs w:val="16"/>
              </w:rPr>
            </w:pPr>
            <w:r>
              <w:rPr>
                <w:rFonts w:ascii="Verdana" w:eastAsia="Verdana" w:hAnsi="Verdana" w:cs="Verdana"/>
                <w:sz w:val="16"/>
                <w:szCs w:val="16"/>
              </w:rPr>
              <w:t>All CASAS Paper Test proctors</w:t>
            </w:r>
          </w:p>
        </w:tc>
        <w:tc>
          <w:tcPr>
            <w:tcW w:w="3330" w:type="dxa"/>
            <w:vAlign w:val="center"/>
          </w:tcPr>
          <w:p w14:paraId="21ADD9BA" w14:textId="77777777" w:rsidR="00F8503D" w:rsidRDefault="0033067D">
            <w:pPr>
              <w:rPr>
                <w:rFonts w:ascii="Verdana" w:eastAsia="Verdana" w:hAnsi="Verdana" w:cs="Verdana"/>
                <w:sz w:val="16"/>
                <w:szCs w:val="16"/>
              </w:rPr>
            </w:pPr>
            <w:r>
              <w:rPr>
                <w:rFonts w:ascii="Verdana" w:eastAsia="Verdana" w:hAnsi="Verdana" w:cs="Verdana"/>
                <w:sz w:val="16"/>
                <w:szCs w:val="16"/>
              </w:rPr>
              <w:t>Once, prior to proctoring a CASAS Paper Test</w:t>
            </w:r>
          </w:p>
        </w:tc>
        <w:tc>
          <w:tcPr>
            <w:tcW w:w="1715" w:type="dxa"/>
            <w:vMerge/>
            <w:vAlign w:val="center"/>
          </w:tcPr>
          <w:p w14:paraId="258683EC" w14:textId="77777777" w:rsidR="00F8503D" w:rsidRDefault="00F8503D">
            <w:pPr>
              <w:widowControl w:val="0"/>
              <w:pBdr>
                <w:top w:val="nil"/>
                <w:left w:val="nil"/>
                <w:bottom w:val="nil"/>
                <w:right w:val="nil"/>
                <w:between w:val="nil"/>
              </w:pBdr>
              <w:spacing w:line="276" w:lineRule="auto"/>
              <w:rPr>
                <w:rFonts w:ascii="Verdana" w:eastAsia="Verdana" w:hAnsi="Verdana" w:cs="Verdana"/>
                <w:sz w:val="16"/>
                <w:szCs w:val="16"/>
              </w:rPr>
            </w:pPr>
          </w:p>
        </w:tc>
      </w:tr>
      <w:tr w:rsidR="00F8503D" w14:paraId="6CD9B1C8" w14:textId="77777777" w:rsidTr="7B188CE2">
        <w:trPr>
          <w:trHeight w:val="1250"/>
        </w:trPr>
        <w:tc>
          <w:tcPr>
            <w:tcW w:w="2695" w:type="dxa"/>
            <w:vAlign w:val="center"/>
          </w:tcPr>
          <w:p w14:paraId="2272F9A0" w14:textId="77777777" w:rsidR="00F8503D" w:rsidRDefault="0033067D">
            <w:pPr>
              <w:rPr>
                <w:rFonts w:ascii="Verdana" w:eastAsia="Verdana" w:hAnsi="Verdana" w:cs="Verdana"/>
                <w:sz w:val="16"/>
                <w:szCs w:val="16"/>
              </w:rPr>
            </w:pPr>
            <w:r>
              <w:rPr>
                <w:rFonts w:ascii="Verdana" w:eastAsia="Verdana" w:hAnsi="Verdana" w:cs="Verdana"/>
                <w:sz w:val="16"/>
                <w:szCs w:val="16"/>
              </w:rPr>
              <w:t>CASAS Remote Test Proctor Certification</w:t>
            </w:r>
          </w:p>
        </w:tc>
        <w:tc>
          <w:tcPr>
            <w:tcW w:w="1620" w:type="dxa"/>
            <w:vAlign w:val="center"/>
          </w:tcPr>
          <w:p w14:paraId="2FDF2F44" w14:textId="77777777" w:rsidR="00F8503D" w:rsidRDefault="0033067D">
            <w:pPr>
              <w:rPr>
                <w:rFonts w:ascii="Verdana" w:eastAsia="Verdana" w:hAnsi="Verdana" w:cs="Verdana"/>
                <w:sz w:val="16"/>
                <w:szCs w:val="16"/>
              </w:rPr>
            </w:pPr>
            <w:r>
              <w:rPr>
                <w:rFonts w:ascii="Verdana" w:eastAsia="Verdana" w:hAnsi="Verdana" w:cs="Verdana"/>
                <w:sz w:val="16"/>
                <w:szCs w:val="16"/>
              </w:rPr>
              <w:t>All CASAS remote proctors</w:t>
            </w:r>
          </w:p>
        </w:tc>
        <w:tc>
          <w:tcPr>
            <w:tcW w:w="3330" w:type="dxa"/>
            <w:vAlign w:val="center"/>
          </w:tcPr>
          <w:p w14:paraId="202509C3" w14:textId="77777777" w:rsidR="00F8503D" w:rsidRDefault="0033067D">
            <w:pPr>
              <w:rPr>
                <w:rFonts w:ascii="Verdana" w:eastAsia="Verdana" w:hAnsi="Verdana" w:cs="Verdana"/>
                <w:sz w:val="16"/>
                <w:szCs w:val="16"/>
              </w:rPr>
            </w:pPr>
            <w:r>
              <w:rPr>
                <w:rFonts w:ascii="Verdana" w:eastAsia="Verdana" w:hAnsi="Verdana" w:cs="Verdana"/>
                <w:sz w:val="16"/>
                <w:szCs w:val="16"/>
              </w:rPr>
              <w:t xml:space="preserve">Once, prior to proctoring a CASAS remote eTest. </w:t>
            </w:r>
          </w:p>
          <w:p w14:paraId="47F4514F" w14:textId="77777777" w:rsidR="00F8503D" w:rsidRDefault="0033067D">
            <w:pPr>
              <w:rPr>
                <w:rFonts w:ascii="Verdana" w:eastAsia="Verdana" w:hAnsi="Verdana" w:cs="Verdana"/>
                <w:sz w:val="16"/>
                <w:szCs w:val="16"/>
              </w:rPr>
            </w:pPr>
            <w:r>
              <w:rPr>
                <w:rFonts w:ascii="Verdana" w:eastAsia="Verdana" w:hAnsi="Verdana" w:cs="Verdana"/>
                <w:sz w:val="16"/>
                <w:szCs w:val="16"/>
              </w:rPr>
              <w:t>Please note: all remote proctors must take eTest proctor training first and sign a proctor agreement with CASAS before remotely proctoring tests</w:t>
            </w:r>
          </w:p>
        </w:tc>
        <w:tc>
          <w:tcPr>
            <w:tcW w:w="1715" w:type="dxa"/>
            <w:vAlign w:val="center"/>
          </w:tcPr>
          <w:p w14:paraId="02E02AE1" w14:textId="77777777" w:rsidR="00F8503D" w:rsidRDefault="0033067D">
            <w:pPr>
              <w:rPr>
                <w:rFonts w:ascii="Verdana" w:eastAsia="Verdana" w:hAnsi="Verdana" w:cs="Verdana"/>
                <w:sz w:val="16"/>
                <w:szCs w:val="16"/>
              </w:rPr>
            </w:pPr>
            <w:r>
              <w:rPr>
                <w:rFonts w:ascii="Verdana" w:eastAsia="Verdana" w:hAnsi="Verdana" w:cs="Verdana"/>
                <w:sz w:val="16"/>
                <w:szCs w:val="16"/>
              </w:rPr>
              <w:t>Online from CASAS http</w:t>
            </w:r>
            <w:hyperlink r:id="rId42">
              <w:r>
                <w:rPr>
                  <w:rFonts w:ascii="Verdana" w:eastAsia="Verdana" w:hAnsi="Verdana" w:cs="Verdana"/>
                  <w:sz w:val="16"/>
                  <w:szCs w:val="16"/>
                </w:rPr>
                <w:t>s://training. casas.org</w:t>
              </w:r>
            </w:hyperlink>
          </w:p>
        </w:tc>
      </w:tr>
      <w:tr w:rsidR="00F8503D" w14:paraId="45850286" w14:textId="77777777" w:rsidTr="7B188CE2">
        <w:trPr>
          <w:trHeight w:val="1430"/>
        </w:trPr>
        <w:tc>
          <w:tcPr>
            <w:tcW w:w="2695" w:type="dxa"/>
            <w:vAlign w:val="center"/>
          </w:tcPr>
          <w:p w14:paraId="768640C3" w14:textId="77777777" w:rsidR="00F8503D" w:rsidRDefault="0033067D" w:rsidP="7B188CE2">
            <w:pPr>
              <w:ind w:right="260"/>
              <w:rPr>
                <w:rFonts w:ascii="Verdana" w:eastAsia="Verdana" w:hAnsi="Verdana" w:cs="Verdana"/>
                <w:sz w:val="16"/>
                <w:szCs w:val="16"/>
                <w:lang w:val="en-US"/>
              </w:rPr>
            </w:pPr>
            <w:r w:rsidRPr="7B188CE2">
              <w:rPr>
                <w:rFonts w:ascii="Verdana" w:eastAsia="Verdana" w:hAnsi="Verdana" w:cs="Verdana"/>
                <w:sz w:val="16"/>
                <w:szCs w:val="16"/>
                <w:lang w:val="en-US"/>
              </w:rPr>
              <w:t xml:space="preserve">CASAS Recertification </w:t>
            </w:r>
            <w:r>
              <w:br/>
            </w:r>
            <w:r w:rsidRPr="7B188CE2">
              <w:rPr>
                <w:rFonts w:ascii="Verdana" w:eastAsia="Verdana" w:hAnsi="Verdana" w:cs="Verdana"/>
                <w:sz w:val="16"/>
                <w:szCs w:val="16"/>
                <w:lang w:val="en-US"/>
              </w:rPr>
              <w:t>(eTests or Paper Tests)</w:t>
            </w:r>
          </w:p>
        </w:tc>
        <w:tc>
          <w:tcPr>
            <w:tcW w:w="1620" w:type="dxa"/>
            <w:vAlign w:val="center"/>
          </w:tcPr>
          <w:p w14:paraId="176F7A65" w14:textId="77777777" w:rsidR="00F8503D" w:rsidRDefault="0033067D">
            <w:pPr>
              <w:rPr>
                <w:rFonts w:ascii="Verdana" w:eastAsia="Verdana" w:hAnsi="Verdana" w:cs="Verdana"/>
                <w:sz w:val="16"/>
                <w:szCs w:val="16"/>
              </w:rPr>
            </w:pPr>
            <w:r>
              <w:rPr>
                <w:rFonts w:ascii="Verdana" w:eastAsia="Verdana" w:hAnsi="Verdana" w:cs="Verdana"/>
                <w:sz w:val="16"/>
                <w:szCs w:val="16"/>
              </w:rPr>
              <w:t xml:space="preserve">Anyone involved in administering CASAS tests (e.g., coordinators, proctors) </w:t>
            </w:r>
          </w:p>
        </w:tc>
        <w:tc>
          <w:tcPr>
            <w:tcW w:w="3330" w:type="dxa"/>
            <w:vAlign w:val="center"/>
          </w:tcPr>
          <w:p w14:paraId="2AB72A6B" w14:textId="77777777" w:rsidR="00F8503D" w:rsidRDefault="0033067D">
            <w:pPr>
              <w:rPr>
                <w:rFonts w:ascii="Verdana" w:eastAsia="Verdana" w:hAnsi="Verdana" w:cs="Verdana"/>
                <w:sz w:val="16"/>
                <w:szCs w:val="16"/>
              </w:rPr>
            </w:pPr>
            <w:r>
              <w:rPr>
                <w:rFonts w:ascii="Verdana" w:eastAsia="Verdana" w:hAnsi="Verdana" w:cs="Verdana"/>
                <w:sz w:val="16"/>
                <w:szCs w:val="16"/>
              </w:rPr>
              <w:t>Every 3 years</w:t>
            </w:r>
          </w:p>
        </w:tc>
        <w:tc>
          <w:tcPr>
            <w:tcW w:w="1715" w:type="dxa"/>
            <w:vAlign w:val="center"/>
          </w:tcPr>
          <w:p w14:paraId="4FE3076A" w14:textId="77777777" w:rsidR="00F8503D" w:rsidRDefault="0033067D">
            <w:pPr>
              <w:rPr>
                <w:rFonts w:ascii="Verdana" w:eastAsia="Verdana" w:hAnsi="Verdana" w:cs="Verdana"/>
                <w:sz w:val="16"/>
                <w:szCs w:val="16"/>
              </w:rPr>
            </w:pPr>
            <w:r>
              <w:rPr>
                <w:rFonts w:ascii="Verdana" w:eastAsia="Verdana" w:hAnsi="Verdana" w:cs="Verdana"/>
                <w:sz w:val="16"/>
                <w:szCs w:val="16"/>
              </w:rPr>
              <w:t>Online from CASAS http</w:t>
            </w:r>
            <w:hyperlink r:id="rId43">
              <w:r>
                <w:rPr>
                  <w:rFonts w:ascii="Verdana" w:eastAsia="Verdana" w:hAnsi="Verdana" w:cs="Verdana"/>
                  <w:sz w:val="16"/>
                  <w:szCs w:val="16"/>
                </w:rPr>
                <w:t>s://training. casas.org</w:t>
              </w:r>
            </w:hyperlink>
          </w:p>
          <w:p w14:paraId="53A03E5B" w14:textId="77777777" w:rsidR="00F8503D" w:rsidRDefault="0033067D" w:rsidP="7B188CE2">
            <w:pPr>
              <w:rPr>
                <w:rFonts w:ascii="Verdana" w:eastAsia="Verdana" w:hAnsi="Verdana" w:cs="Verdana"/>
                <w:sz w:val="16"/>
                <w:szCs w:val="16"/>
                <w:lang w:val="en-US"/>
              </w:rPr>
            </w:pPr>
            <w:r w:rsidRPr="7B188CE2">
              <w:rPr>
                <w:rFonts w:ascii="Verdana" w:eastAsia="Verdana" w:hAnsi="Verdana" w:cs="Verdana"/>
                <w:sz w:val="16"/>
                <w:szCs w:val="16"/>
                <w:lang w:val="en-US"/>
              </w:rPr>
              <w:t>Choose one option by role per role fulfilled</w:t>
            </w:r>
          </w:p>
        </w:tc>
      </w:tr>
      <w:tr w:rsidR="00F8503D" w14:paraId="6B7003A8" w14:textId="77777777" w:rsidTr="7B188CE2">
        <w:trPr>
          <w:trHeight w:val="890"/>
        </w:trPr>
        <w:tc>
          <w:tcPr>
            <w:tcW w:w="2695" w:type="dxa"/>
            <w:vAlign w:val="center"/>
          </w:tcPr>
          <w:p w14:paraId="1ABEA3E0" w14:textId="77777777" w:rsidR="00F8503D" w:rsidRDefault="0033067D">
            <w:pPr>
              <w:ind w:right="45"/>
              <w:rPr>
                <w:rFonts w:ascii="Verdana" w:eastAsia="Verdana" w:hAnsi="Verdana" w:cs="Verdana"/>
                <w:sz w:val="16"/>
                <w:szCs w:val="16"/>
              </w:rPr>
            </w:pPr>
            <w:r>
              <w:rPr>
                <w:rFonts w:ascii="Verdana" w:eastAsia="Verdana" w:hAnsi="Verdana" w:cs="Verdana"/>
                <w:sz w:val="16"/>
                <w:szCs w:val="16"/>
              </w:rPr>
              <w:t>CASAS Module 4a: Interpreting Test Results, and Module 4b: Instructional Reports</w:t>
            </w:r>
          </w:p>
        </w:tc>
        <w:tc>
          <w:tcPr>
            <w:tcW w:w="1620" w:type="dxa"/>
            <w:vAlign w:val="center"/>
          </w:tcPr>
          <w:p w14:paraId="1EA19002" w14:textId="77777777" w:rsidR="00F8503D" w:rsidRDefault="0033067D">
            <w:pPr>
              <w:rPr>
                <w:rFonts w:ascii="Verdana" w:eastAsia="Verdana" w:hAnsi="Verdana" w:cs="Verdana"/>
                <w:sz w:val="16"/>
                <w:szCs w:val="16"/>
              </w:rPr>
            </w:pPr>
            <w:r>
              <w:rPr>
                <w:rFonts w:ascii="Verdana" w:eastAsia="Verdana" w:hAnsi="Verdana" w:cs="Verdana"/>
                <w:sz w:val="16"/>
                <w:szCs w:val="16"/>
              </w:rPr>
              <w:t>Instructors</w:t>
            </w:r>
          </w:p>
          <w:p w14:paraId="371E6914" w14:textId="77777777" w:rsidR="00F8503D" w:rsidRDefault="00F8503D">
            <w:pPr>
              <w:rPr>
                <w:rFonts w:ascii="Verdana" w:eastAsia="Verdana" w:hAnsi="Verdana" w:cs="Verdana"/>
                <w:i/>
                <w:iCs/>
                <w:sz w:val="16"/>
                <w:szCs w:val="16"/>
              </w:rPr>
            </w:pPr>
          </w:p>
          <w:p w14:paraId="24B201A1" w14:textId="7D26872D" w:rsidR="00F8503D" w:rsidRDefault="00F8503D" w:rsidP="7B188CE2">
            <w:pPr>
              <w:rPr>
                <w:rFonts w:ascii="Verdana" w:eastAsia="Verdana" w:hAnsi="Verdana" w:cs="Verdana"/>
                <w:i/>
                <w:iCs/>
                <w:sz w:val="16"/>
                <w:szCs w:val="16"/>
                <w:lang w:val="en-US"/>
              </w:rPr>
            </w:pPr>
          </w:p>
        </w:tc>
        <w:tc>
          <w:tcPr>
            <w:tcW w:w="3330" w:type="dxa"/>
            <w:vAlign w:val="center"/>
          </w:tcPr>
          <w:p w14:paraId="5BF53D67" w14:textId="44839E43" w:rsidR="00F8503D" w:rsidRDefault="0086096A">
            <w:pPr>
              <w:rPr>
                <w:rFonts w:ascii="Verdana" w:eastAsia="Verdana" w:hAnsi="Verdana" w:cs="Verdana"/>
                <w:i/>
                <w:sz w:val="16"/>
                <w:szCs w:val="16"/>
                <w:lang w:val="en-US"/>
              </w:rPr>
            </w:pPr>
            <w:r w:rsidRPr="4D682C3C">
              <w:rPr>
                <w:rFonts w:ascii="Verdana" w:eastAsia="Verdana" w:hAnsi="Verdana" w:cs="Verdana"/>
                <w:sz w:val="16"/>
                <w:szCs w:val="16"/>
                <w:lang w:val="en-US"/>
              </w:rPr>
              <w:t>Recommended not required</w:t>
            </w:r>
          </w:p>
        </w:tc>
        <w:tc>
          <w:tcPr>
            <w:tcW w:w="1715" w:type="dxa"/>
            <w:vAlign w:val="center"/>
          </w:tcPr>
          <w:p w14:paraId="6A416FEF" w14:textId="77777777" w:rsidR="00F8503D" w:rsidRDefault="0033067D">
            <w:pPr>
              <w:rPr>
                <w:rFonts w:ascii="Verdana" w:eastAsia="Verdana" w:hAnsi="Verdana" w:cs="Verdana"/>
                <w:sz w:val="16"/>
                <w:szCs w:val="16"/>
              </w:rPr>
            </w:pPr>
            <w:r>
              <w:rPr>
                <w:rFonts w:ascii="Verdana" w:eastAsia="Verdana" w:hAnsi="Verdana" w:cs="Verdana"/>
                <w:sz w:val="16"/>
                <w:szCs w:val="16"/>
              </w:rPr>
              <w:t>Online from CASAS http</w:t>
            </w:r>
            <w:hyperlink r:id="rId44">
              <w:r>
                <w:rPr>
                  <w:rFonts w:ascii="Verdana" w:eastAsia="Verdana" w:hAnsi="Verdana" w:cs="Verdana"/>
                  <w:sz w:val="16"/>
                  <w:szCs w:val="16"/>
                </w:rPr>
                <w:t>s://training. casas.org</w:t>
              </w:r>
            </w:hyperlink>
          </w:p>
        </w:tc>
      </w:tr>
      <w:tr w:rsidR="00F8503D" w14:paraId="4FD1CE3A" w14:textId="77777777" w:rsidTr="7B188CE2">
        <w:trPr>
          <w:trHeight w:val="1070"/>
        </w:trPr>
        <w:tc>
          <w:tcPr>
            <w:tcW w:w="2695" w:type="dxa"/>
            <w:vAlign w:val="center"/>
          </w:tcPr>
          <w:p w14:paraId="43492A15" w14:textId="6C2B58C7" w:rsidR="00F8503D" w:rsidRDefault="0033067D" w:rsidP="7B188CE2">
            <w:pPr>
              <w:rPr>
                <w:rFonts w:ascii="Verdana" w:eastAsia="Verdana" w:hAnsi="Verdana" w:cs="Verdana"/>
                <w:b/>
                <w:bCs/>
                <w:sz w:val="16"/>
                <w:szCs w:val="16"/>
                <w:lang w:val="en-US"/>
              </w:rPr>
            </w:pPr>
            <w:r w:rsidRPr="7B188CE2">
              <w:rPr>
                <w:rFonts w:ascii="Verdana" w:eastAsia="Verdana" w:hAnsi="Verdana" w:cs="Verdana"/>
                <w:sz w:val="16"/>
                <w:szCs w:val="16"/>
                <w:lang w:val="en-US"/>
              </w:rPr>
              <w:t>Introduction to TOPSpro Enterprise</w:t>
            </w:r>
            <w:r w:rsidRPr="7B188CE2">
              <w:rPr>
                <w:rFonts w:ascii="Verdana" w:eastAsia="Verdana" w:hAnsi="Verdana" w:cs="Verdana"/>
                <w:sz w:val="16"/>
                <w:szCs w:val="16"/>
                <w:vertAlign w:val="superscript"/>
                <w:lang w:val="en-US"/>
              </w:rPr>
              <w:t>®</w:t>
            </w:r>
            <w:r w:rsidRPr="7B188CE2">
              <w:rPr>
                <w:rFonts w:ascii="Verdana" w:eastAsia="Verdana" w:hAnsi="Verdana" w:cs="Verdana"/>
                <w:sz w:val="16"/>
                <w:szCs w:val="16"/>
                <w:lang w:val="en-US"/>
              </w:rPr>
              <w:t xml:space="preserve"> </w:t>
            </w:r>
            <w:r w:rsidR="009E7DD7">
              <w:rPr>
                <w:rFonts w:ascii="Verdana" w:eastAsia="Verdana" w:hAnsi="Verdana" w:cs="Verdana"/>
                <w:sz w:val="16"/>
                <w:szCs w:val="16"/>
                <w:lang w:val="en-US"/>
              </w:rPr>
              <w:t>*</w:t>
            </w:r>
          </w:p>
        </w:tc>
        <w:tc>
          <w:tcPr>
            <w:tcW w:w="1620" w:type="dxa"/>
            <w:vAlign w:val="center"/>
          </w:tcPr>
          <w:p w14:paraId="68E050C0" w14:textId="77777777" w:rsidR="00F8503D" w:rsidRDefault="0033067D">
            <w:pPr>
              <w:rPr>
                <w:rFonts w:ascii="Verdana" w:eastAsia="Verdana" w:hAnsi="Verdana" w:cs="Verdana"/>
                <w:sz w:val="16"/>
                <w:szCs w:val="16"/>
              </w:rPr>
            </w:pPr>
            <w:r>
              <w:rPr>
                <w:rFonts w:ascii="Verdana" w:eastAsia="Verdana" w:hAnsi="Verdana" w:cs="Verdana"/>
                <w:sz w:val="16"/>
                <w:szCs w:val="16"/>
              </w:rPr>
              <w:t>Data Professionals</w:t>
            </w:r>
          </w:p>
          <w:p w14:paraId="0086CFE3" w14:textId="77777777" w:rsidR="00F8503D" w:rsidRDefault="00F8503D">
            <w:pPr>
              <w:rPr>
                <w:rFonts w:ascii="Verdana" w:eastAsia="Verdana" w:hAnsi="Verdana" w:cs="Verdana"/>
                <w:i/>
                <w:iCs/>
                <w:sz w:val="16"/>
                <w:szCs w:val="16"/>
              </w:rPr>
            </w:pPr>
          </w:p>
          <w:p w14:paraId="4EE1EDCA" w14:textId="43680EDF" w:rsidR="00F8503D" w:rsidRDefault="00F8503D" w:rsidP="7B188CE2">
            <w:pPr>
              <w:rPr>
                <w:rFonts w:ascii="Verdana" w:eastAsia="Verdana" w:hAnsi="Verdana" w:cs="Verdana"/>
                <w:i/>
                <w:iCs/>
                <w:sz w:val="16"/>
                <w:szCs w:val="16"/>
                <w:lang w:val="en-US"/>
              </w:rPr>
            </w:pPr>
          </w:p>
        </w:tc>
        <w:tc>
          <w:tcPr>
            <w:tcW w:w="3330" w:type="dxa"/>
            <w:vAlign w:val="center"/>
          </w:tcPr>
          <w:p w14:paraId="4C6C2C4F" w14:textId="579F7989" w:rsidR="00F8503D" w:rsidRDefault="00896B3A">
            <w:pPr>
              <w:rPr>
                <w:rFonts w:ascii="Verdana" w:eastAsia="Verdana" w:hAnsi="Verdana" w:cs="Verdana"/>
                <w:b/>
                <w:sz w:val="16"/>
                <w:szCs w:val="16"/>
                <w:lang w:val="en-US"/>
              </w:rPr>
            </w:pPr>
            <w:r w:rsidRPr="674EBE62">
              <w:rPr>
                <w:rFonts w:ascii="Verdana" w:eastAsia="Verdana" w:hAnsi="Verdana" w:cs="Verdana"/>
                <w:sz w:val="16"/>
                <w:szCs w:val="16"/>
                <w:lang w:val="en-US"/>
              </w:rPr>
              <w:t>Once, immediately after hire; as needed thereafter</w:t>
            </w:r>
          </w:p>
        </w:tc>
        <w:tc>
          <w:tcPr>
            <w:tcW w:w="1715" w:type="dxa"/>
            <w:vAlign w:val="center"/>
          </w:tcPr>
          <w:p w14:paraId="6CECB467" w14:textId="77777777" w:rsidR="00F8503D" w:rsidRDefault="0033067D">
            <w:pPr>
              <w:rPr>
                <w:rFonts w:ascii="Verdana" w:eastAsia="Verdana" w:hAnsi="Verdana" w:cs="Verdana"/>
                <w:sz w:val="16"/>
                <w:szCs w:val="16"/>
              </w:rPr>
            </w:pPr>
            <w:r>
              <w:rPr>
                <w:rFonts w:ascii="Verdana" w:eastAsia="Verdana" w:hAnsi="Verdana" w:cs="Verdana"/>
                <w:sz w:val="16"/>
                <w:szCs w:val="16"/>
              </w:rPr>
              <w:t>Online from CASAS http</w:t>
            </w:r>
            <w:hyperlink r:id="rId45">
              <w:r>
                <w:rPr>
                  <w:rFonts w:ascii="Verdana" w:eastAsia="Verdana" w:hAnsi="Verdana" w:cs="Verdana"/>
                  <w:sz w:val="16"/>
                  <w:szCs w:val="16"/>
                </w:rPr>
                <w:t>s://training. casas.org</w:t>
              </w:r>
            </w:hyperlink>
          </w:p>
        </w:tc>
      </w:tr>
    </w:tbl>
    <w:p w14:paraId="05BCA072" w14:textId="77777777" w:rsidR="00F8503D" w:rsidRDefault="00F8503D">
      <w:pPr>
        <w:pBdr>
          <w:top w:val="nil"/>
          <w:left w:val="nil"/>
          <w:bottom w:val="nil"/>
          <w:right w:val="nil"/>
          <w:between w:val="nil"/>
        </w:pBdr>
        <w:spacing w:after="160" w:line="276" w:lineRule="auto"/>
        <w:rPr>
          <w:rFonts w:ascii="Garamond" w:eastAsia="Garamond" w:hAnsi="Garamond" w:cs="Garamond"/>
          <w:color w:val="000000"/>
        </w:rPr>
      </w:pPr>
    </w:p>
    <w:p w14:paraId="32CEB9CC" w14:textId="77777777" w:rsidR="00741468" w:rsidRDefault="00741468">
      <w:pPr>
        <w:pBdr>
          <w:top w:val="nil"/>
          <w:left w:val="nil"/>
          <w:bottom w:val="nil"/>
          <w:right w:val="nil"/>
          <w:between w:val="nil"/>
        </w:pBdr>
        <w:spacing w:after="160" w:line="276" w:lineRule="auto"/>
        <w:rPr>
          <w:rFonts w:ascii="Garamond" w:eastAsia="Garamond" w:hAnsi="Garamond" w:cs="Garamond"/>
          <w:color w:val="000000"/>
        </w:rPr>
      </w:pPr>
    </w:p>
    <w:p w14:paraId="241BFF85" w14:textId="77777777" w:rsidR="00926314" w:rsidRDefault="00926314">
      <w:pPr>
        <w:pBdr>
          <w:top w:val="nil"/>
          <w:left w:val="nil"/>
          <w:bottom w:val="nil"/>
          <w:right w:val="nil"/>
          <w:between w:val="nil"/>
        </w:pBdr>
        <w:spacing w:after="160" w:line="276" w:lineRule="auto"/>
        <w:rPr>
          <w:rFonts w:ascii="Garamond" w:eastAsia="Garamond" w:hAnsi="Garamond" w:cs="Garamond"/>
          <w:color w:val="000000"/>
        </w:rPr>
      </w:pPr>
    </w:p>
    <w:p w14:paraId="17318C6C" w14:textId="77777777" w:rsidR="00EB5902" w:rsidRDefault="00EB5902">
      <w:pPr>
        <w:pBdr>
          <w:top w:val="nil"/>
          <w:left w:val="nil"/>
          <w:bottom w:val="nil"/>
          <w:right w:val="nil"/>
          <w:between w:val="nil"/>
        </w:pBdr>
        <w:spacing w:after="160" w:line="276" w:lineRule="auto"/>
        <w:rPr>
          <w:rFonts w:ascii="Garamond" w:eastAsia="Garamond" w:hAnsi="Garamond" w:cs="Garamond"/>
          <w:color w:val="000000"/>
        </w:rPr>
      </w:pPr>
    </w:p>
    <w:tbl>
      <w:tblPr>
        <w:tblpPr w:leftFromText="180" w:rightFromText="180" w:vertAnchor="text"/>
        <w:tblW w:w="10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487"/>
        <w:gridCol w:w="2372"/>
        <w:gridCol w:w="2502"/>
        <w:gridCol w:w="2014"/>
      </w:tblGrid>
      <w:tr w:rsidR="00F8503D" w14:paraId="05AE7887" w14:textId="77777777" w:rsidTr="7B188CE2">
        <w:trPr>
          <w:trHeight w:val="534"/>
        </w:trPr>
        <w:tc>
          <w:tcPr>
            <w:tcW w:w="3487" w:type="dxa"/>
            <w:shd w:val="clear" w:color="auto" w:fill="6D9E75"/>
            <w:vAlign w:val="center"/>
          </w:tcPr>
          <w:p w14:paraId="3063D6D5" w14:textId="77777777" w:rsidR="00F8503D" w:rsidRDefault="0033067D">
            <w:pPr>
              <w:ind w:right="360"/>
              <w:rPr>
                <w:rFonts w:ascii="Verdana" w:eastAsia="Verdana" w:hAnsi="Verdana" w:cs="Verdana"/>
                <w:b/>
                <w:bCs/>
                <w:color w:val="000000"/>
                <w:sz w:val="16"/>
                <w:szCs w:val="16"/>
              </w:rPr>
            </w:pPr>
            <w:r>
              <w:rPr>
                <w:rFonts w:ascii="Verdana" w:eastAsia="Verdana" w:hAnsi="Verdana" w:cs="Verdana"/>
                <w:b/>
                <w:bCs/>
                <w:color w:val="000000"/>
                <w:sz w:val="16"/>
                <w:szCs w:val="16"/>
              </w:rPr>
              <w:lastRenderedPageBreak/>
              <w:t>Professional Development Required Components</w:t>
            </w:r>
          </w:p>
        </w:tc>
        <w:tc>
          <w:tcPr>
            <w:tcW w:w="2372" w:type="dxa"/>
            <w:shd w:val="clear" w:color="auto" w:fill="6D9E75"/>
            <w:vAlign w:val="center"/>
          </w:tcPr>
          <w:p w14:paraId="013583AC" w14:textId="77777777" w:rsidR="00F8503D" w:rsidRDefault="0033067D">
            <w:pPr>
              <w:ind w:right="7"/>
              <w:rPr>
                <w:rFonts w:ascii="Verdana" w:eastAsia="Verdana" w:hAnsi="Verdana" w:cs="Verdana"/>
                <w:b/>
                <w:bCs/>
                <w:color w:val="000000"/>
                <w:sz w:val="16"/>
                <w:szCs w:val="16"/>
              </w:rPr>
            </w:pPr>
            <w:r>
              <w:rPr>
                <w:rFonts w:ascii="Verdana" w:eastAsia="Verdana" w:hAnsi="Verdana" w:cs="Verdana"/>
                <w:b/>
                <w:bCs/>
                <w:color w:val="000000"/>
                <w:sz w:val="16"/>
                <w:szCs w:val="16"/>
              </w:rPr>
              <w:t>Requirements by position</w:t>
            </w:r>
          </w:p>
        </w:tc>
        <w:tc>
          <w:tcPr>
            <w:tcW w:w="2502" w:type="dxa"/>
            <w:shd w:val="clear" w:color="auto" w:fill="6D9E75"/>
            <w:vAlign w:val="center"/>
          </w:tcPr>
          <w:p w14:paraId="7D090C3C" w14:textId="77777777" w:rsidR="00F8503D" w:rsidRDefault="0033067D">
            <w:pPr>
              <w:ind w:right="90"/>
              <w:rPr>
                <w:rFonts w:ascii="Verdana" w:eastAsia="Verdana" w:hAnsi="Verdana" w:cs="Verdana"/>
                <w:b/>
                <w:bCs/>
                <w:color w:val="000000"/>
                <w:sz w:val="16"/>
                <w:szCs w:val="16"/>
              </w:rPr>
            </w:pPr>
            <w:r>
              <w:rPr>
                <w:rFonts w:ascii="Verdana" w:eastAsia="Verdana" w:hAnsi="Verdana" w:cs="Verdana"/>
                <w:b/>
                <w:bCs/>
                <w:color w:val="000000"/>
                <w:sz w:val="16"/>
                <w:szCs w:val="16"/>
              </w:rPr>
              <w:t>Training frequency</w:t>
            </w:r>
          </w:p>
        </w:tc>
        <w:tc>
          <w:tcPr>
            <w:tcW w:w="2014" w:type="dxa"/>
            <w:shd w:val="clear" w:color="auto" w:fill="6D9E75"/>
            <w:vAlign w:val="center"/>
          </w:tcPr>
          <w:p w14:paraId="5F276730" w14:textId="77777777" w:rsidR="00F8503D" w:rsidRDefault="0033067D">
            <w:pPr>
              <w:ind w:right="173"/>
              <w:rPr>
                <w:rFonts w:ascii="Verdana" w:eastAsia="Verdana" w:hAnsi="Verdana" w:cs="Verdana"/>
                <w:b/>
                <w:bCs/>
                <w:color w:val="000000"/>
                <w:sz w:val="16"/>
                <w:szCs w:val="16"/>
              </w:rPr>
            </w:pPr>
            <w:r>
              <w:rPr>
                <w:rFonts w:ascii="Verdana" w:eastAsia="Verdana" w:hAnsi="Verdana" w:cs="Verdana"/>
                <w:b/>
                <w:bCs/>
                <w:color w:val="000000"/>
                <w:sz w:val="16"/>
                <w:szCs w:val="16"/>
              </w:rPr>
              <w:t>Format</w:t>
            </w:r>
          </w:p>
        </w:tc>
      </w:tr>
      <w:tr w:rsidR="00F8503D" w14:paraId="275B3E57" w14:textId="77777777" w:rsidTr="7B188CE2">
        <w:trPr>
          <w:trHeight w:val="435"/>
        </w:trPr>
        <w:tc>
          <w:tcPr>
            <w:tcW w:w="10375" w:type="dxa"/>
            <w:gridSpan w:val="4"/>
            <w:shd w:val="clear" w:color="auto" w:fill="4EA9AF"/>
            <w:vAlign w:val="center"/>
          </w:tcPr>
          <w:p w14:paraId="11528F97" w14:textId="77777777" w:rsidR="00F8503D" w:rsidRDefault="0033067D">
            <w:pPr>
              <w:ind w:left="40"/>
              <w:rPr>
                <w:rFonts w:ascii="Verdana" w:eastAsia="Verdana" w:hAnsi="Verdana" w:cs="Verdana"/>
                <w:b/>
                <w:bCs/>
                <w:color w:val="000000"/>
                <w:sz w:val="16"/>
                <w:szCs w:val="16"/>
              </w:rPr>
            </w:pPr>
            <w:r>
              <w:rPr>
                <w:rFonts w:ascii="Verdana" w:eastAsia="Verdana" w:hAnsi="Verdana" w:cs="Verdana"/>
                <w:b/>
                <w:bCs/>
                <w:color w:val="000000"/>
                <w:sz w:val="16"/>
                <w:szCs w:val="16"/>
              </w:rPr>
              <w:t>Data Management</w:t>
            </w:r>
          </w:p>
        </w:tc>
      </w:tr>
      <w:tr w:rsidR="00F8503D" w14:paraId="645C77D0" w14:textId="77777777" w:rsidTr="7B188CE2">
        <w:trPr>
          <w:trHeight w:val="804"/>
        </w:trPr>
        <w:tc>
          <w:tcPr>
            <w:tcW w:w="3487" w:type="dxa"/>
            <w:vAlign w:val="center"/>
          </w:tcPr>
          <w:p w14:paraId="72736911" w14:textId="77777777" w:rsidR="00F8503D" w:rsidRDefault="0033067D">
            <w:pPr>
              <w:ind w:right="-15"/>
              <w:rPr>
                <w:rFonts w:ascii="Verdana" w:eastAsia="Verdana" w:hAnsi="Verdana" w:cs="Verdana"/>
                <w:color w:val="000000"/>
                <w:sz w:val="16"/>
                <w:szCs w:val="16"/>
              </w:rPr>
            </w:pPr>
            <w:r>
              <w:rPr>
                <w:rFonts w:ascii="Verdana" w:eastAsia="Verdana" w:hAnsi="Verdana" w:cs="Verdana"/>
                <w:color w:val="000000"/>
                <w:sz w:val="16"/>
                <w:szCs w:val="16"/>
              </w:rPr>
              <w:t>Measuring Performance under WIOA, NRS Data Flow, Using NRS Data, NRS Data Use Guide Training</w:t>
            </w:r>
          </w:p>
        </w:tc>
        <w:tc>
          <w:tcPr>
            <w:tcW w:w="2372" w:type="dxa"/>
            <w:vAlign w:val="center"/>
          </w:tcPr>
          <w:p w14:paraId="5092ACBB" w14:textId="77777777" w:rsidR="00F8503D" w:rsidRDefault="0033067D">
            <w:pPr>
              <w:ind w:right="437"/>
              <w:rPr>
                <w:rFonts w:ascii="Verdana" w:eastAsia="Verdana" w:hAnsi="Verdana" w:cs="Verdana"/>
                <w:color w:val="000000"/>
                <w:sz w:val="16"/>
                <w:szCs w:val="16"/>
              </w:rPr>
            </w:pPr>
            <w:r>
              <w:rPr>
                <w:rFonts w:ascii="Verdana" w:eastAsia="Verdana" w:hAnsi="Verdana" w:cs="Verdana"/>
                <w:color w:val="000000"/>
                <w:sz w:val="16"/>
                <w:szCs w:val="16"/>
              </w:rPr>
              <w:t>Data professionals and directors</w:t>
            </w:r>
          </w:p>
        </w:tc>
        <w:tc>
          <w:tcPr>
            <w:tcW w:w="2502" w:type="dxa"/>
            <w:vAlign w:val="center"/>
          </w:tcPr>
          <w:p w14:paraId="25F97001" w14:textId="77777777" w:rsidR="00F8503D" w:rsidRDefault="0033067D">
            <w:pPr>
              <w:ind w:right="26"/>
              <w:rPr>
                <w:rFonts w:ascii="Verdana" w:eastAsia="Verdana" w:hAnsi="Verdana" w:cs="Verdana"/>
                <w:color w:val="000000"/>
                <w:sz w:val="16"/>
                <w:szCs w:val="16"/>
              </w:rPr>
            </w:pPr>
            <w:r>
              <w:rPr>
                <w:rFonts w:ascii="Verdana" w:eastAsia="Verdana" w:hAnsi="Verdana" w:cs="Verdana"/>
                <w:color w:val="000000"/>
                <w:sz w:val="16"/>
                <w:szCs w:val="16"/>
              </w:rPr>
              <w:t>Once, during pre- or in-service orientation</w:t>
            </w:r>
          </w:p>
        </w:tc>
        <w:tc>
          <w:tcPr>
            <w:tcW w:w="2014" w:type="dxa"/>
            <w:vAlign w:val="center"/>
          </w:tcPr>
          <w:p w14:paraId="6D4AA9AE" w14:textId="77777777" w:rsidR="00F8503D" w:rsidRDefault="0033067D">
            <w:pPr>
              <w:rPr>
                <w:rFonts w:ascii="Verdana" w:eastAsia="Verdana" w:hAnsi="Verdana" w:cs="Verdana"/>
                <w:color w:val="000000"/>
                <w:sz w:val="16"/>
                <w:szCs w:val="16"/>
              </w:rPr>
            </w:pPr>
            <w:hyperlink r:id="rId46">
              <w:r>
                <w:rPr>
                  <w:rFonts w:ascii="Verdana" w:eastAsia="Verdana" w:hAnsi="Verdana" w:cs="Verdana"/>
                  <w:color w:val="0562C1"/>
                  <w:sz w:val="16"/>
                  <w:szCs w:val="16"/>
                  <w:u w:val="single"/>
                </w:rPr>
                <w:t>NRS Self-Paced Online</w:t>
              </w:r>
            </w:hyperlink>
            <w:r>
              <w:rPr>
                <w:rFonts w:ascii="Verdana" w:eastAsia="Verdana" w:hAnsi="Verdana" w:cs="Verdana"/>
                <w:color w:val="0562C1"/>
                <w:sz w:val="16"/>
                <w:szCs w:val="16"/>
              </w:rPr>
              <w:t xml:space="preserve"> </w:t>
            </w:r>
            <w:hyperlink r:id="rId47">
              <w:r>
                <w:rPr>
                  <w:rFonts w:ascii="Verdana" w:eastAsia="Verdana" w:hAnsi="Verdana" w:cs="Verdana"/>
                  <w:color w:val="0562C1"/>
                  <w:sz w:val="16"/>
                  <w:szCs w:val="16"/>
                  <w:u w:val="single"/>
                </w:rPr>
                <w:t>Courses</w:t>
              </w:r>
            </w:hyperlink>
          </w:p>
        </w:tc>
      </w:tr>
      <w:tr w:rsidR="00F8503D" w14:paraId="11832C45" w14:textId="77777777" w:rsidTr="7B188CE2">
        <w:trPr>
          <w:trHeight w:val="1344"/>
        </w:trPr>
        <w:tc>
          <w:tcPr>
            <w:tcW w:w="3487" w:type="dxa"/>
            <w:vAlign w:val="center"/>
          </w:tcPr>
          <w:p w14:paraId="4A6D4D4A" w14:textId="6B5AA320" w:rsidR="00F8503D" w:rsidRDefault="0033067D" w:rsidP="7B188CE2">
            <w:pPr>
              <w:ind w:right="180"/>
              <w:rPr>
                <w:rFonts w:ascii="Verdana" w:eastAsia="Verdana" w:hAnsi="Verdana" w:cs="Verdana"/>
                <w:color w:val="000000"/>
                <w:sz w:val="16"/>
                <w:szCs w:val="16"/>
                <w:lang w:val="en-US"/>
              </w:rPr>
            </w:pPr>
            <w:r w:rsidRPr="7B188CE2">
              <w:rPr>
                <w:rFonts w:ascii="Verdana" w:eastAsia="Verdana" w:hAnsi="Verdana" w:cs="Verdana"/>
                <w:color w:val="000000" w:themeColor="text1"/>
                <w:sz w:val="16"/>
                <w:szCs w:val="16"/>
                <w:lang w:val="en-US"/>
              </w:rPr>
              <w:t>Introduction to TOPSpro Enterprise</w:t>
            </w:r>
            <w:r w:rsidRPr="7B188CE2">
              <w:rPr>
                <w:rFonts w:ascii="Verdana" w:eastAsia="Verdana" w:hAnsi="Verdana" w:cs="Verdana"/>
                <w:color w:val="000000" w:themeColor="text1"/>
                <w:sz w:val="16"/>
                <w:szCs w:val="16"/>
                <w:vertAlign w:val="superscript"/>
                <w:lang w:val="en-US"/>
              </w:rPr>
              <w:t>®</w:t>
            </w:r>
            <w:r w:rsidRPr="7B188CE2">
              <w:rPr>
                <w:rFonts w:ascii="Verdana" w:eastAsia="Verdana" w:hAnsi="Verdana" w:cs="Verdana"/>
                <w:color w:val="000000" w:themeColor="text1"/>
                <w:sz w:val="16"/>
                <w:szCs w:val="16"/>
                <w:lang w:val="en-US"/>
              </w:rPr>
              <w:t xml:space="preserve"> and materials posted on the CASAS website under Training and Support &gt; TOPSpro Enterprise Help (including information in the TOPSpro Sample Reports section)</w:t>
            </w:r>
            <w:r w:rsidR="006462D1">
              <w:rPr>
                <w:rFonts w:ascii="Verdana" w:eastAsia="Verdana" w:hAnsi="Verdana" w:cs="Verdana"/>
                <w:color w:val="000000" w:themeColor="text1"/>
                <w:sz w:val="16"/>
                <w:szCs w:val="16"/>
                <w:lang w:val="en-US"/>
              </w:rPr>
              <w:t>*</w:t>
            </w:r>
          </w:p>
        </w:tc>
        <w:tc>
          <w:tcPr>
            <w:tcW w:w="2372" w:type="dxa"/>
            <w:vAlign w:val="center"/>
          </w:tcPr>
          <w:p w14:paraId="5E3AEAD8" w14:textId="77777777" w:rsidR="00F8503D" w:rsidRDefault="0033067D">
            <w:pPr>
              <w:ind w:right="30"/>
              <w:rPr>
                <w:rFonts w:ascii="Verdana" w:eastAsia="Verdana" w:hAnsi="Verdana" w:cs="Verdana"/>
                <w:color w:val="000000"/>
                <w:sz w:val="16"/>
                <w:szCs w:val="16"/>
              </w:rPr>
            </w:pPr>
            <w:r>
              <w:rPr>
                <w:rFonts w:ascii="Verdana" w:eastAsia="Verdana" w:hAnsi="Verdana" w:cs="Verdana"/>
                <w:color w:val="000000"/>
                <w:sz w:val="16"/>
                <w:szCs w:val="16"/>
              </w:rPr>
              <w:t>Data professionals</w:t>
            </w:r>
          </w:p>
        </w:tc>
        <w:tc>
          <w:tcPr>
            <w:tcW w:w="2502" w:type="dxa"/>
            <w:vAlign w:val="center"/>
          </w:tcPr>
          <w:p w14:paraId="15504DF1" w14:textId="77777777" w:rsidR="00F8503D" w:rsidRDefault="0033067D" w:rsidP="7B188CE2">
            <w:pPr>
              <w:ind w:right="131"/>
              <w:rPr>
                <w:rFonts w:ascii="Verdana" w:eastAsia="Verdana" w:hAnsi="Verdana" w:cs="Verdana"/>
                <w:color w:val="000000"/>
                <w:sz w:val="16"/>
                <w:szCs w:val="16"/>
                <w:lang w:val="en-US"/>
              </w:rPr>
            </w:pPr>
            <w:r w:rsidRPr="7B188CE2">
              <w:rPr>
                <w:rFonts w:ascii="Verdana" w:eastAsia="Verdana" w:hAnsi="Verdana" w:cs="Verdana"/>
                <w:color w:val="000000" w:themeColor="text1"/>
                <w:sz w:val="16"/>
                <w:szCs w:val="16"/>
                <w:lang w:val="en-US"/>
              </w:rPr>
              <w:t>Once, immediately after hire; as needed thereafter</w:t>
            </w:r>
          </w:p>
        </w:tc>
        <w:tc>
          <w:tcPr>
            <w:tcW w:w="2014" w:type="dxa"/>
            <w:vAlign w:val="center"/>
          </w:tcPr>
          <w:p w14:paraId="44CAD87D" w14:textId="587749E6" w:rsidR="00F8503D" w:rsidRDefault="0033067D">
            <w:pPr>
              <w:ind w:right="180"/>
              <w:rPr>
                <w:rFonts w:ascii="Verdana" w:eastAsia="Verdana" w:hAnsi="Verdana" w:cs="Verdana"/>
                <w:b/>
                <w:color w:val="000000"/>
                <w:sz w:val="16"/>
                <w:szCs w:val="16"/>
                <w:lang w:val="en-US"/>
              </w:rPr>
            </w:pPr>
            <w:hyperlink r:id="rId48">
              <w:r w:rsidRPr="18D24B5E">
                <w:rPr>
                  <w:rFonts w:ascii="Verdana" w:eastAsia="Verdana" w:hAnsi="Verdana" w:cs="Verdana"/>
                  <w:color w:val="0000FF"/>
                  <w:sz w:val="16"/>
                  <w:szCs w:val="16"/>
                  <w:u w:val="single"/>
                  <w:lang w:val="en-US"/>
                </w:rPr>
                <w:t>Introduction to TOPSpro Enterprise</w:t>
              </w:r>
            </w:hyperlink>
            <w:r w:rsidR="006462D1" w:rsidRPr="18D24B5E">
              <w:rPr>
                <w:lang w:val="en-US"/>
              </w:rPr>
              <w:t>*</w:t>
            </w:r>
            <w:r w:rsidRPr="18D24B5E">
              <w:rPr>
                <w:rFonts w:ascii="Verdana" w:eastAsia="Verdana" w:hAnsi="Verdana" w:cs="Verdana"/>
                <w:color w:val="000000" w:themeColor="text1"/>
                <w:sz w:val="16"/>
                <w:szCs w:val="16"/>
                <w:lang w:val="en-US"/>
              </w:rPr>
              <w:t xml:space="preserve">and </w:t>
            </w:r>
          </w:p>
          <w:p w14:paraId="34E00742" w14:textId="77777777" w:rsidR="00F8503D" w:rsidRDefault="0033067D">
            <w:pPr>
              <w:ind w:right="180"/>
              <w:rPr>
                <w:rFonts w:ascii="Verdana" w:eastAsia="Verdana" w:hAnsi="Verdana" w:cs="Verdana"/>
                <w:b/>
                <w:bCs/>
                <w:color w:val="000000"/>
                <w:sz w:val="16"/>
                <w:szCs w:val="16"/>
              </w:rPr>
            </w:pPr>
            <w:hyperlink r:id="rId49">
              <w:r>
                <w:rPr>
                  <w:rFonts w:ascii="Verdana" w:eastAsia="Verdana" w:hAnsi="Verdana" w:cs="Verdana"/>
                  <w:color w:val="0000FF"/>
                  <w:sz w:val="16"/>
                  <w:szCs w:val="16"/>
                  <w:u w:val="single"/>
                </w:rPr>
                <w:t>TOPSpro Training and Support</w:t>
              </w:r>
            </w:hyperlink>
          </w:p>
        </w:tc>
      </w:tr>
      <w:tr w:rsidR="00F8503D" w14:paraId="4C3C4723" w14:textId="77777777" w:rsidTr="7B188CE2">
        <w:trPr>
          <w:trHeight w:val="615"/>
        </w:trPr>
        <w:tc>
          <w:tcPr>
            <w:tcW w:w="3487" w:type="dxa"/>
            <w:vAlign w:val="center"/>
          </w:tcPr>
          <w:p w14:paraId="70461CDE" w14:textId="77777777" w:rsidR="00F8503D" w:rsidRDefault="0033067D">
            <w:pPr>
              <w:ind w:right="445"/>
              <w:rPr>
                <w:rFonts w:ascii="Verdana" w:eastAsia="Verdana" w:hAnsi="Verdana" w:cs="Verdana"/>
                <w:color w:val="000000"/>
                <w:sz w:val="16"/>
                <w:szCs w:val="16"/>
              </w:rPr>
            </w:pPr>
            <w:r>
              <w:rPr>
                <w:rFonts w:ascii="Verdana" w:eastAsia="Verdana" w:hAnsi="Verdana" w:cs="Verdana"/>
                <w:color w:val="000000"/>
                <w:sz w:val="16"/>
                <w:szCs w:val="16"/>
              </w:rPr>
              <w:t>OCABSD Data Meeting</w:t>
            </w:r>
          </w:p>
        </w:tc>
        <w:tc>
          <w:tcPr>
            <w:tcW w:w="2372" w:type="dxa"/>
            <w:vAlign w:val="center"/>
          </w:tcPr>
          <w:p w14:paraId="4CCE6DA1" w14:textId="77777777" w:rsidR="00F8503D" w:rsidRDefault="0033067D">
            <w:pPr>
              <w:ind w:right="416"/>
              <w:rPr>
                <w:rFonts w:ascii="Verdana" w:eastAsia="Verdana" w:hAnsi="Verdana" w:cs="Verdana"/>
                <w:color w:val="000000"/>
                <w:sz w:val="16"/>
                <w:szCs w:val="16"/>
              </w:rPr>
            </w:pPr>
            <w:r>
              <w:rPr>
                <w:rFonts w:ascii="Verdana" w:eastAsia="Verdana" w:hAnsi="Verdana" w:cs="Verdana"/>
                <w:color w:val="000000"/>
                <w:sz w:val="16"/>
                <w:szCs w:val="16"/>
              </w:rPr>
              <w:t>Data professionals and directors</w:t>
            </w:r>
          </w:p>
        </w:tc>
        <w:tc>
          <w:tcPr>
            <w:tcW w:w="2502" w:type="dxa"/>
            <w:vAlign w:val="center"/>
          </w:tcPr>
          <w:p w14:paraId="2650926E" w14:textId="77777777" w:rsidR="00F8503D" w:rsidRDefault="0033067D">
            <w:pPr>
              <w:ind w:right="81"/>
              <w:rPr>
                <w:rFonts w:ascii="Verdana" w:eastAsia="Verdana" w:hAnsi="Verdana" w:cs="Verdana"/>
                <w:color w:val="000000"/>
                <w:sz w:val="16"/>
                <w:szCs w:val="16"/>
              </w:rPr>
            </w:pPr>
            <w:r>
              <w:rPr>
                <w:rFonts w:ascii="Verdana" w:eastAsia="Verdana" w:hAnsi="Verdana" w:cs="Verdana"/>
                <w:color w:val="000000"/>
                <w:sz w:val="16"/>
                <w:szCs w:val="16"/>
              </w:rPr>
              <w:t>Annually</w:t>
            </w:r>
          </w:p>
        </w:tc>
        <w:tc>
          <w:tcPr>
            <w:tcW w:w="2014" w:type="dxa"/>
            <w:vAlign w:val="center"/>
          </w:tcPr>
          <w:p w14:paraId="7C0E50BC" w14:textId="77777777" w:rsidR="00F8503D" w:rsidRDefault="0033067D">
            <w:pPr>
              <w:ind w:right="180"/>
              <w:rPr>
                <w:rFonts w:ascii="Verdana" w:eastAsia="Verdana" w:hAnsi="Verdana" w:cs="Verdana"/>
                <w:color w:val="000000"/>
                <w:sz w:val="16"/>
                <w:szCs w:val="16"/>
              </w:rPr>
            </w:pPr>
            <w:r>
              <w:rPr>
                <w:rFonts w:ascii="Verdana" w:eastAsia="Verdana" w:hAnsi="Verdana" w:cs="Verdana"/>
                <w:color w:val="000000"/>
                <w:sz w:val="16"/>
                <w:szCs w:val="16"/>
              </w:rPr>
              <w:t>In person or online</w:t>
            </w:r>
          </w:p>
        </w:tc>
      </w:tr>
      <w:tr w:rsidR="00F8503D" w14:paraId="7BEACB75" w14:textId="77777777" w:rsidTr="7B188CE2">
        <w:trPr>
          <w:trHeight w:val="624"/>
        </w:trPr>
        <w:tc>
          <w:tcPr>
            <w:tcW w:w="3487" w:type="dxa"/>
            <w:vAlign w:val="center"/>
          </w:tcPr>
          <w:p w14:paraId="3F81F9E2" w14:textId="77777777" w:rsidR="00F8503D" w:rsidRDefault="0033067D">
            <w:pPr>
              <w:ind w:right="423"/>
              <w:rPr>
                <w:rFonts w:ascii="Verdana" w:eastAsia="Verdana" w:hAnsi="Verdana" w:cs="Verdana"/>
                <w:color w:val="000000"/>
                <w:sz w:val="16"/>
                <w:szCs w:val="16"/>
              </w:rPr>
            </w:pPr>
            <w:r>
              <w:rPr>
                <w:rFonts w:ascii="Verdana" w:eastAsia="Verdana" w:hAnsi="Verdana" w:cs="Verdana"/>
                <w:color w:val="000000"/>
                <w:sz w:val="16"/>
                <w:szCs w:val="16"/>
              </w:rPr>
              <w:t>CCWD and Data Professionals Meetings and Assigned Activities</w:t>
            </w:r>
          </w:p>
        </w:tc>
        <w:tc>
          <w:tcPr>
            <w:tcW w:w="2372" w:type="dxa"/>
            <w:vAlign w:val="center"/>
          </w:tcPr>
          <w:p w14:paraId="785C29B7" w14:textId="77777777" w:rsidR="00F8503D" w:rsidRDefault="0033067D">
            <w:pPr>
              <w:ind w:right="30"/>
              <w:rPr>
                <w:rFonts w:ascii="Verdana" w:eastAsia="Verdana" w:hAnsi="Verdana" w:cs="Verdana"/>
                <w:color w:val="000000"/>
                <w:sz w:val="16"/>
                <w:szCs w:val="16"/>
              </w:rPr>
            </w:pPr>
            <w:r>
              <w:rPr>
                <w:rFonts w:ascii="Verdana" w:eastAsia="Verdana" w:hAnsi="Verdana" w:cs="Verdana"/>
                <w:color w:val="000000"/>
                <w:sz w:val="16"/>
                <w:szCs w:val="16"/>
              </w:rPr>
              <w:t>Data professionals</w:t>
            </w:r>
          </w:p>
        </w:tc>
        <w:tc>
          <w:tcPr>
            <w:tcW w:w="2502" w:type="dxa"/>
            <w:vAlign w:val="center"/>
          </w:tcPr>
          <w:p w14:paraId="02B950CA" w14:textId="77777777" w:rsidR="00F8503D" w:rsidRDefault="0033067D">
            <w:pPr>
              <w:ind w:right="131"/>
              <w:rPr>
                <w:rFonts w:ascii="Verdana" w:eastAsia="Verdana" w:hAnsi="Verdana" w:cs="Verdana"/>
                <w:color w:val="000000"/>
                <w:sz w:val="16"/>
                <w:szCs w:val="16"/>
              </w:rPr>
            </w:pPr>
            <w:r>
              <w:rPr>
                <w:rFonts w:ascii="Verdana" w:eastAsia="Verdana" w:hAnsi="Verdana" w:cs="Verdana"/>
                <w:color w:val="000000"/>
                <w:sz w:val="16"/>
                <w:szCs w:val="16"/>
              </w:rPr>
              <w:t>Monthly</w:t>
            </w:r>
          </w:p>
        </w:tc>
        <w:tc>
          <w:tcPr>
            <w:tcW w:w="2014" w:type="dxa"/>
            <w:vAlign w:val="center"/>
          </w:tcPr>
          <w:p w14:paraId="1A5CF9E0" w14:textId="77777777" w:rsidR="00F8503D" w:rsidRDefault="0033067D">
            <w:pPr>
              <w:ind w:right="180"/>
              <w:rPr>
                <w:rFonts w:ascii="Verdana" w:eastAsia="Verdana" w:hAnsi="Verdana" w:cs="Verdana"/>
                <w:color w:val="000000"/>
                <w:sz w:val="16"/>
                <w:szCs w:val="16"/>
              </w:rPr>
            </w:pPr>
            <w:r>
              <w:rPr>
                <w:rFonts w:ascii="Verdana" w:eastAsia="Verdana" w:hAnsi="Verdana" w:cs="Verdana"/>
                <w:color w:val="000000"/>
                <w:sz w:val="16"/>
                <w:szCs w:val="16"/>
              </w:rPr>
              <w:t>Online with CCWD</w:t>
            </w:r>
          </w:p>
        </w:tc>
      </w:tr>
      <w:tr w:rsidR="00F8503D" w14:paraId="161217A5" w14:textId="77777777" w:rsidTr="7B188CE2">
        <w:trPr>
          <w:trHeight w:val="552"/>
        </w:trPr>
        <w:tc>
          <w:tcPr>
            <w:tcW w:w="10375" w:type="dxa"/>
            <w:gridSpan w:val="4"/>
            <w:shd w:val="clear" w:color="auto" w:fill="4EA9AF"/>
            <w:vAlign w:val="center"/>
          </w:tcPr>
          <w:p w14:paraId="798C4A7A" w14:textId="77777777" w:rsidR="00F8503D" w:rsidRDefault="0033067D">
            <w:pPr>
              <w:ind w:left="40" w:right="838"/>
              <w:rPr>
                <w:rFonts w:ascii="Verdana" w:eastAsia="Verdana" w:hAnsi="Verdana" w:cs="Verdana"/>
                <w:b/>
                <w:bCs/>
                <w:color w:val="000000"/>
                <w:sz w:val="16"/>
                <w:szCs w:val="16"/>
              </w:rPr>
            </w:pPr>
            <w:r>
              <w:rPr>
                <w:rFonts w:ascii="Verdana" w:eastAsia="Verdana" w:hAnsi="Verdana" w:cs="Verdana"/>
                <w:b/>
                <w:bCs/>
                <w:color w:val="000000"/>
                <w:sz w:val="16"/>
                <w:szCs w:val="16"/>
              </w:rPr>
              <w:t>Oregon Adult College and Career Readiness Standards (OACCRS) / Oregon Adult English Language Proficiency Standards (OAELPS)</w:t>
            </w:r>
          </w:p>
        </w:tc>
      </w:tr>
      <w:tr w:rsidR="00F8503D" w14:paraId="25AC911E" w14:textId="77777777" w:rsidTr="7B188CE2">
        <w:trPr>
          <w:trHeight w:val="2028"/>
        </w:trPr>
        <w:tc>
          <w:tcPr>
            <w:tcW w:w="3487" w:type="dxa"/>
            <w:vAlign w:val="center"/>
          </w:tcPr>
          <w:p w14:paraId="4F21C904" w14:textId="77777777" w:rsidR="00F8503D" w:rsidRDefault="0033067D">
            <w:pPr>
              <w:rPr>
                <w:rFonts w:ascii="Verdana" w:eastAsia="Verdana" w:hAnsi="Verdana" w:cs="Verdana"/>
                <w:color w:val="000000"/>
                <w:sz w:val="16"/>
                <w:szCs w:val="16"/>
              </w:rPr>
            </w:pPr>
            <w:r>
              <w:rPr>
                <w:rFonts w:ascii="Verdana" w:eastAsia="Verdana" w:hAnsi="Verdana" w:cs="Verdana"/>
                <w:sz w:val="16"/>
                <w:szCs w:val="16"/>
              </w:rPr>
              <w:t>Learning Standards</w:t>
            </w:r>
            <w:r>
              <w:rPr>
                <w:rFonts w:ascii="Verdana" w:eastAsia="Verdana" w:hAnsi="Verdana" w:cs="Verdana"/>
                <w:color w:val="000000"/>
                <w:sz w:val="16"/>
                <w:szCs w:val="16"/>
              </w:rPr>
              <w:t xml:space="preserve"> Foundation </w:t>
            </w:r>
            <w:r>
              <w:rPr>
                <w:rFonts w:ascii="Verdana" w:eastAsia="Verdana" w:hAnsi="Verdana" w:cs="Verdana"/>
                <w:sz w:val="16"/>
                <w:szCs w:val="16"/>
              </w:rPr>
              <w:t>Trainings</w:t>
            </w:r>
            <w:r>
              <w:rPr>
                <w:rFonts w:ascii="Verdana" w:eastAsia="Verdana" w:hAnsi="Verdana" w:cs="Verdana"/>
                <w:color w:val="000000"/>
                <w:sz w:val="16"/>
                <w:szCs w:val="16"/>
              </w:rPr>
              <w:t>:</w:t>
            </w:r>
          </w:p>
          <w:p w14:paraId="5E298182" w14:textId="77777777" w:rsidR="00F8503D" w:rsidRDefault="0033067D">
            <w:pPr>
              <w:ind w:left="157"/>
              <w:rPr>
                <w:rFonts w:ascii="Verdana" w:eastAsia="Verdana" w:hAnsi="Verdana" w:cs="Verdana"/>
                <w:color w:val="000000"/>
                <w:sz w:val="16"/>
                <w:szCs w:val="16"/>
              </w:rPr>
            </w:pPr>
            <w:r>
              <w:rPr>
                <w:rFonts w:ascii="Verdana" w:eastAsia="Verdana" w:hAnsi="Verdana" w:cs="Verdana"/>
                <w:color w:val="000000"/>
                <w:sz w:val="16"/>
                <w:szCs w:val="16"/>
              </w:rPr>
              <w:t>(a) OACCRS/OAELPS Orientation</w:t>
            </w:r>
          </w:p>
          <w:p w14:paraId="795A3702" w14:textId="77777777" w:rsidR="00F8503D" w:rsidRDefault="0033067D">
            <w:pPr>
              <w:ind w:left="157"/>
              <w:rPr>
                <w:rFonts w:ascii="Verdana" w:eastAsia="Verdana" w:hAnsi="Verdana" w:cs="Verdana"/>
                <w:color w:val="000000"/>
                <w:sz w:val="16"/>
                <w:szCs w:val="16"/>
              </w:rPr>
            </w:pPr>
            <w:r>
              <w:rPr>
                <w:rFonts w:ascii="Verdana" w:eastAsia="Verdana" w:hAnsi="Verdana" w:cs="Verdana"/>
                <w:color w:val="000000"/>
                <w:sz w:val="16"/>
                <w:szCs w:val="16"/>
              </w:rPr>
              <w:t>(b) Adult Ed Module</w:t>
            </w:r>
          </w:p>
        </w:tc>
        <w:tc>
          <w:tcPr>
            <w:tcW w:w="2372" w:type="dxa"/>
            <w:vAlign w:val="center"/>
          </w:tcPr>
          <w:p w14:paraId="14FD3F51" w14:textId="77777777" w:rsidR="00F8503D" w:rsidRDefault="0033067D">
            <w:pPr>
              <w:ind w:right="30"/>
              <w:rPr>
                <w:rFonts w:ascii="Verdana" w:eastAsia="Verdana" w:hAnsi="Verdana" w:cs="Verdana"/>
                <w:color w:val="000000"/>
                <w:sz w:val="16"/>
                <w:szCs w:val="16"/>
              </w:rPr>
            </w:pPr>
            <w:r>
              <w:rPr>
                <w:rFonts w:ascii="Verdana" w:eastAsia="Verdana" w:hAnsi="Verdana" w:cs="Verdana"/>
                <w:color w:val="000000"/>
                <w:sz w:val="16"/>
                <w:szCs w:val="16"/>
              </w:rPr>
              <w:t xml:space="preserve">All instructors, directors, and data professionals must take the OACCRS/OAELPS Orientation. </w:t>
            </w:r>
          </w:p>
          <w:p w14:paraId="5272B601" w14:textId="77777777" w:rsidR="00F8503D" w:rsidRDefault="00F8503D">
            <w:pPr>
              <w:ind w:right="30"/>
              <w:rPr>
                <w:rFonts w:ascii="Verdana" w:eastAsia="Verdana" w:hAnsi="Verdana" w:cs="Verdana"/>
                <w:color w:val="000000"/>
                <w:sz w:val="16"/>
                <w:szCs w:val="16"/>
              </w:rPr>
            </w:pPr>
          </w:p>
          <w:p w14:paraId="15BD2B51" w14:textId="42A47064" w:rsidR="00F8503D" w:rsidRDefault="0033067D">
            <w:pPr>
              <w:ind w:right="30"/>
              <w:rPr>
                <w:rFonts w:ascii="Verdana" w:eastAsia="Verdana" w:hAnsi="Verdana" w:cs="Verdana"/>
                <w:color w:val="000000"/>
                <w:sz w:val="16"/>
                <w:szCs w:val="16"/>
              </w:rPr>
            </w:pPr>
            <w:r>
              <w:rPr>
                <w:rFonts w:ascii="Verdana" w:eastAsia="Verdana" w:hAnsi="Verdana" w:cs="Verdana"/>
                <w:color w:val="000000"/>
                <w:sz w:val="16"/>
                <w:szCs w:val="16"/>
              </w:rPr>
              <w:t>All instructors and directors must also take the Adult Ed Module</w:t>
            </w:r>
            <w:r w:rsidR="00AD1CA1">
              <w:rPr>
                <w:rFonts w:ascii="Verdana" w:eastAsia="Verdana" w:hAnsi="Verdana" w:cs="Verdana"/>
                <w:color w:val="000000"/>
                <w:sz w:val="16"/>
                <w:szCs w:val="16"/>
              </w:rPr>
              <w:t>.</w:t>
            </w:r>
          </w:p>
        </w:tc>
        <w:tc>
          <w:tcPr>
            <w:tcW w:w="2502" w:type="dxa"/>
            <w:vAlign w:val="center"/>
          </w:tcPr>
          <w:p w14:paraId="15338BEF" w14:textId="77777777" w:rsidR="00F8503D" w:rsidRDefault="0033067D">
            <w:pPr>
              <w:ind w:right="48"/>
              <w:rPr>
                <w:rFonts w:ascii="Verdana" w:eastAsia="Verdana" w:hAnsi="Verdana" w:cs="Verdana"/>
                <w:color w:val="000000"/>
                <w:sz w:val="16"/>
                <w:szCs w:val="16"/>
              </w:rPr>
            </w:pPr>
            <w:r>
              <w:rPr>
                <w:rFonts w:ascii="Verdana" w:eastAsia="Verdana" w:hAnsi="Verdana" w:cs="Verdana"/>
                <w:color w:val="000000"/>
                <w:sz w:val="16"/>
                <w:szCs w:val="16"/>
              </w:rPr>
              <w:t>Within 90 days of hire</w:t>
            </w:r>
          </w:p>
        </w:tc>
        <w:tc>
          <w:tcPr>
            <w:tcW w:w="2014" w:type="dxa"/>
            <w:vAlign w:val="center"/>
          </w:tcPr>
          <w:p w14:paraId="758C0A91" w14:textId="17756FCE" w:rsidR="00F8503D" w:rsidRDefault="0033067D">
            <w:pPr>
              <w:widowControl w:val="0"/>
              <w:numPr>
                <w:ilvl w:val="0"/>
                <w:numId w:val="62"/>
              </w:numPr>
              <w:pBdr>
                <w:top w:val="nil"/>
                <w:left w:val="nil"/>
                <w:bottom w:val="nil"/>
                <w:right w:val="nil"/>
                <w:between w:val="nil"/>
              </w:pBdr>
              <w:ind w:left="259" w:right="16" w:hanging="270"/>
              <w:rPr>
                <w:rFonts w:ascii="Verdana" w:eastAsia="Verdana" w:hAnsi="Verdana" w:cs="Verdana"/>
                <w:color w:val="000000"/>
                <w:sz w:val="16"/>
                <w:szCs w:val="16"/>
              </w:rPr>
            </w:pPr>
            <w:r>
              <w:rPr>
                <w:rFonts w:ascii="Verdana" w:eastAsia="Verdana" w:hAnsi="Verdana" w:cs="Verdana"/>
                <w:color w:val="000000"/>
                <w:sz w:val="16"/>
                <w:szCs w:val="16"/>
              </w:rPr>
              <w:t>OACCRS/OAELPS Orientation</w:t>
            </w:r>
          </w:p>
          <w:p w14:paraId="187E461A" w14:textId="3BAA7279" w:rsidR="00F8503D" w:rsidRDefault="0033067D">
            <w:pPr>
              <w:tabs>
                <w:tab w:val="left" w:pos="181"/>
              </w:tabs>
              <w:ind w:left="259"/>
              <w:rPr>
                <w:rFonts w:ascii="Verdana" w:eastAsia="Verdana" w:hAnsi="Verdana" w:cs="Verdana"/>
                <w:color w:val="000000"/>
                <w:sz w:val="16"/>
                <w:szCs w:val="16"/>
              </w:rPr>
            </w:pPr>
            <w:r>
              <w:rPr>
                <w:rFonts w:ascii="Verdana" w:eastAsia="Verdana" w:hAnsi="Verdana" w:cs="Verdana"/>
                <w:color w:val="000000"/>
                <w:sz w:val="16"/>
                <w:szCs w:val="16"/>
              </w:rPr>
              <w:t xml:space="preserve">Facilitated: </w:t>
            </w:r>
            <w:r>
              <w:rPr>
                <w:rFonts w:ascii="Verdana" w:eastAsia="Verdana" w:hAnsi="Verdana" w:cs="Verdana"/>
                <w:color w:val="000000"/>
                <w:sz w:val="16"/>
                <w:szCs w:val="16"/>
              </w:rPr>
              <w:br/>
            </w:r>
            <w:hyperlink r:id="rId50">
              <w:r>
                <w:rPr>
                  <w:rFonts w:ascii="Verdana" w:eastAsia="Verdana" w:hAnsi="Verdana" w:cs="Verdana"/>
                  <w:color w:val="000000"/>
                  <w:sz w:val="16"/>
                  <w:szCs w:val="16"/>
                </w:rPr>
                <w:t xml:space="preserve">ABS PD Calendar </w:t>
              </w:r>
            </w:hyperlink>
          </w:p>
          <w:p w14:paraId="3F541CCD" w14:textId="77777777" w:rsidR="00F8503D" w:rsidRDefault="0033067D">
            <w:pPr>
              <w:tabs>
                <w:tab w:val="left" w:pos="181"/>
              </w:tabs>
              <w:ind w:left="254"/>
              <w:rPr>
                <w:rFonts w:ascii="Verdana" w:eastAsia="Verdana" w:hAnsi="Verdana" w:cs="Verdana"/>
                <w:color w:val="000000"/>
                <w:sz w:val="16"/>
                <w:szCs w:val="16"/>
              </w:rPr>
            </w:pPr>
            <w:r>
              <w:rPr>
                <w:rFonts w:ascii="Verdana" w:eastAsia="Verdana" w:hAnsi="Verdana" w:cs="Verdana"/>
                <w:color w:val="000000"/>
                <w:sz w:val="16"/>
                <w:szCs w:val="16"/>
              </w:rPr>
              <w:t xml:space="preserve">Self-study: </w:t>
            </w:r>
            <w:r>
              <w:rPr>
                <w:rFonts w:ascii="Verdana" w:eastAsia="Verdana" w:hAnsi="Verdana" w:cs="Verdana"/>
                <w:color w:val="000000"/>
                <w:sz w:val="16"/>
                <w:szCs w:val="16"/>
              </w:rPr>
              <w:br/>
            </w:r>
            <w:r>
              <w:rPr>
                <w:rFonts w:ascii="Verdana" w:eastAsia="Verdana" w:hAnsi="Verdana" w:cs="Verdana"/>
                <w:sz w:val="16"/>
                <w:szCs w:val="16"/>
              </w:rPr>
              <w:t>Canvas LMS</w:t>
            </w:r>
          </w:p>
          <w:p w14:paraId="18E1B7A5" w14:textId="77777777" w:rsidR="00F8503D" w:rsidRDefault="00F8503D">
            <w:pPr>
              <w:widowControl w:val="0"/>
              <w:ind w:right="16"/>
              <w:rPr>
                <w:rFonts w:ascii="Verdana" w:eastAsia="Verdana" w:hAnsi="Verdana" w:cs="Verdana"/>
                <w:sz w:val="16"/>
                <w:szCs w:val="16"/>
              </w:rPr>
            </w:pPr>
          </w:p>
          <w:p w14:paraId="264F003F" w14:textId="77777777" w:rsidR="00F8503D" w:rsidRDefault="0033067D">
            <w:pPr>
              <w:widowControl w:val="0"/>
              <w:numPr>
                <w:ilvl w:val="0"/>
                <w:numId w:val="62"/>
              </w:numPr>
              <w:pBdr>
                <w:top w:val="nil"/>
                <w:left w:val="nil"/>
                <w:bottom w:val="nil"/>
                <w:right w:val="nil"/>
                <w:between w:val="nil"/>
              </w:pBdr>
              <w:ind w:left="259" w:right="16" w:hanging="270"/>
              <w:rPr>
                <w:rFonts w:ascii="Verdana" w:eastAsia="Verdana" w:hAnsi="Verdana" w:cs="Verdana"/>
                <w:color w:val="000000"/>
                <w:sz w:val="16"/>
                <w:szCs w:val="16"/>
              </w:rPr>
            </w:pPr>
            <w:r>
              <w:rPr>
                <w:rFonts w:ascii="Verdana" w:eastAsia="Verdana" w:hAnsi="Verdana" w:cs="Verdana"/>
                <w:color w:val="000000"/>
                <w:sz w:val="16"/>
                <w:szCs w:val="16"/>
              </w:rPr>
              <w:t>Adult Ed Module</w:t>
            </w:r>
          </w:p>
          <w:p w14:paraId="3FC9396B" w14:textId="77777777" w:rsidR="00F8503D" w:rsidRDefault="0033067D">
            <w:pPr>
              <w:tabs>
                <w:tab w:val="left" w:pos="254"/>
              </w:tabs>
              <w:ind w:left="259" w:right="121"/>
              <w:rPr>
                <w:rFonts w:ascii="Verdana" w:eastAsia="Verdana" w:hAnsi="Verdana" w:cs="Verdana"/>
                <w:color w:val="000000"/>
                <w:sz w:val="16"/>
                <w:szCs w:val="16"/>
              </w:rPr>
            </w:pPr>
            <w:r>
              <w:rPr>
                <w:rFonts w:ascii="Verdana" w:eastAsia="Verdana" w:hAnsi="Verdana" w:cs="Verdana"/>
                <w:color w:val="000000"/>
                <w:sz w:val="16"/>
                <w:szCs w:val="16"/>
              </w:rPr>
              <w:t xml:space="preserve">Self-study: </w:t>
            </w:r>
            <w:r>
              <w:rPr>
                <w:rFonts w:ascii="Verdana" w:eastAsia="Verdana" w:hAnsi="Verdana" w:cs="Verdana"/>
                <w:color w:val="000000"/>
                <w:sz w:val="16"/>
                <w:szCs w:val="16"/>
              </w:rPr>
              <w:br/>
            </w:r>
            <w:r>
              <w:rPr>
                <w:rFonts w:ascii="Verdana" w:eastAsia="Verdana" w:hAnsi="Verdana" w:cs="Verdana"/>
                <w:sz w:val="16"/>
                <w:szCs w:val="16"/>
              </w:rPr>
              <w:t>Canvas LMS</w:t>
            </w:r>
          </w:p>
        </w:tc>
      </w:tr>
      <w:tr w:rsidR="00F8503D" w14:paraId="6E1B10BA" w14:textId="77777777" w:rsidTr="7B188CE2">
        <w:trPr>
          <w:trHeight w:val="804"/>
        </w:trPr>
        <w:tc>
          <w:tcPr>
            <w:tcW w:w="3487" w:type="dxa"/>
            <w:vAlign w:val="center"/>
          </w:tcPr>
          <w:p w14:paraId="6847FE2B" w14:textId="77777777" w:rsidR="00F8503D" w:rsidRDefault="0033067D">
            <w:pPr>
              <w:ind w:right="869"/>
              <w:rPr>
                <w:rFonts w:ascii="Verdana" w:eastAsia="Verdana" w:hAnsi="Verdana" w:cs="Verdana"/>
                <w:color w:val="000000"/>
                <w:sz w:val="16"/>
                <w:szCs w:val="16"/>
              </w:rPr>
            </w:pPr>
            <w:r>
              <w:rPr>
                <w:rFonts w:ascii="Verdana" w:eastAsia="Verdana" w:hAnsi="Verdana" w:cs="Verdana"/>
                <w:color w:val="000000"/>
                <w:sz w:val="16"/>
                <w:szCs w:val="16"/>
              </w:rPr>
              <w:t>Standards-based Professional Learning Communities</w:t>
            </w:r>
          </w:p>
        </w:tc>
        <w:tc>
          <w:tcPr>
            <w:tcW w:w="2372" w:type="dxa"/>
            <w:vAlign w:val="center"/>
          </w:tcPr>
          <w:p w14:paraId="2CEEA265" w14:textId="77777777" w:rsidR="00F8503D" w:rsidRDefault="0033067D">
            <w:pPr>
              <w:ind w:right="30"/>
              <w:rPr>
                <w:rFonts w:ascii="Verdana" w:eastAsia="Verdana" w:hAnsi="Verdana" w:cs="Verdana"/>
                <w:color w:val="000000"/>
                <w:sz w:val="16"/>
                <w:szCs w:val="16"/>
              </w:rPr>
            </w:pPr>
            <w:r>
              <w:rPr>
                <w:rFonts w:ascii="Verdana" w:eastAsia="Verdana" w:hAnsi="Verdana" w:cs="Verdana"/>
                <w:color w:val="000000"/>
                <w:sz w:val="16"/>
                <w:szCs w:val="16"/>
              </w:rPr>
              <w:t>All directors, instructors, and data professionals</w:t>
            </w:r>
          </w:p>
        </w:tc>
        <w:tc>
          <w:tcPr>
            <w:tcW w:w="2502" w:type="dxa"/>
            <w:vAlign w:val="center"/>
          </w:tcPr>
          <w:p w14:paraId="59D8D04F" w14:textId="77777777" w:rsidR="00F8503D" w:rsidRDefault="0033067D">
            <w:pPr>
              <w:rPr>
                <w:rFonts w:ascii="Verdana" w:eastAsia="Verdana" w:hAnsi="Verdana" w:cs="Verdana"/>
                <w:color w:val="000000"/>
                <w:sz w:val="16"/>
                <w:szCs w:val="16"/>
              </w:rPr>
            </w:pPr>
            <w:r>
              <w:rPr>
                <w:rFonts w:ascii="Verdana" w:eastAsia="Verdana" w:hAnsi="Verdana" w:cs="Verdana"/>
                <w:color w:val="000000"/>
                <w:sz w:val="16"/>
                <w:szCs w:val="16"/>
              </w:rPr>
              <w:t>Participation in 1 PLC per program year (meet a minimum of 3 times)</w:t>
            </w:r>
          </w:p>
        </w:tc>
        <w:tc>
          <w:tcPr>
            <w:tcW w:w="2014" w:type="dxa"/>
            <w:vAlign w:val="center"/>
          </w:tcPr>
          <w:p w14:paraId="6DBC5BCF" w14:textId="77777777" w:rsidR="00F8503D" w:rsidRDefault="0033067D">
            <w:pPr>
              <w:rPr>
                <w:rFonts w:ascii="Verdana" w:eastAsia="Verdana" w:hAnsi="Verdana" w:cs="Verdana"/>
                <w:color w:val="000000"/>
                <w:sz w:val="16"/>
                <w:szCs w:val="16"/>
              </w:rPr>
            </w:pPr>
            <w:r>
              <w:rPr>
                <w:rFonts w:ascii="Verdana" w:eastAsia="Verdana" w:hAnsi="Verdana" w:cs="Verdana"/>
                <w:color w:val="000000"/>
                <w:sz w:val="16"/>
                <w:szCs w:val="16"/>
              </w:rPr>
              <w:t>Online and/or in person; contact Local Lead</w:t>
            </w:r>
          </w:p>
        </w:tc>
      </w:tr>
      <w:tr w:rsidR="00F8503D" w14:paraId="678C17EB" w14:textId="77777777" w:rsidTr="7B188CE2">
        <w:trPr>
          <w:trHeight w:val="390"/>
        </w:trPr>
        <w:tc>
          <w:tcPr>
            <w:tcW w:w="10375" w:type="dxa"/>
            <w:gridSpan w:val="4"/>
            <w:shd w:val="clear" w:color="auto" w:fill="4EA9AF"/>
            <w:vAlign w:val="center"/>
          </w:tcPr>
          <w:p w14:paraId="1F5DAB94" w14:textId="77777777" w:rsidR="00F8503D" w:rsidRDefault="0033067D">
            <w:pPr>
              <w:ind w:left="40"/>
              <w:rPr>
                <w:rFonts w:ascii="Verdana" w:eastAsia="Verdana" w:hAnsi="Verdana" w:cs="Verdana"/>
                <w:b/>
                <w:bCs/>
                <w:color w:val="000000"/>
                <w:sz w:val="16"/>
                <w:szCs w:val="16"/>
              </w:rPr>
            </w:pPr>
            <w:r>
              <w:rPr>
                <w:rFonts w:ascii="Verdana" w:eastAsia="Verdana" w:hAnsi="Verdana" w:cs="Verdana"/>
                <w:b/>
                <w:bCs/>
                <w:color w:val="000000"/>
                <w:sz w:val="16"/>
                <w:szCs w:val="16"/>
              </w:rPr>
              <w:t>Program Administration</w:t>
            </w:r>
          </w:p>
        </w:tc>
      </w:tr>
      <w:tr w:rsidR="00F8503D" w14:paraId="508463D7" w14:textId="77777777" w:rsidTr="7B188CE2">
        <w:trPr>
          <w:trHeight w:val="489"/>
        </w:trPr>
        <w:tc>
          <w:tcPr>
            <w:tcW w:w="3487" w:type="dxa"/>
            <w:vAlign w:val="center"/>
          </w:tcPr>
          <w:p w14:paraId="047E7355" w14:textId="77777777" w:rsidR="00F8503D" w:rsidRDefault="0033067D">
            <w:pPr>
              <w:ind w:right="443"/>
              <w:rPr>
                <w:rFonts w:ascii="Verdana" w:eastAsia="Verdana" w:hAnsi="Verdana" w:cs="Verdana"/>
                <w:color w:val="000000"/>
                <w:sz w:val="16"/>
                <w:szCs w:val="16"/>
              </w:rPr>
            </w:pPr>
            <w:r>
              <w:rPr>
                <w:rFonts w:ascii="Verdana" w:eastAsia="Verdana" w:hAnsi="Verdana" w:cs="Verdana"/>
                <w:color w:val="000000"/>
                <w:sz w:val="16"/>
                <w:szCs w:val="16"/>
              </w:rPr>
              <w:t>OCABSD Quarterly Meetings</w:t>
            </w:r>
          </w:p>
        </w:tc>
        <w:tc>
          <w:tcPr>
            <w:tcW w:w="2372" w:type="dxa"/>
            <w:vAlign w:val="center"/>
          </w:tcPr>
          <w:p w14:paraId="021B3902" w14:textId="77777777" w:rsidR="00F8503D" w:rsidRDefault="0033067D">
            <w:pPr>
              <w:ind w:right="30"/>
              <w:rPr>
                <w:rFonts w:ascii="Verdana" w:eastAsia="Verdana" w:hAnsi="Verdana" w:cs="Verdana"/>
                <w:color w:val="000000"/>
                <w:sz w:val="16"/>
                <w:szCs w:val="16"/>
              </w:rPr>
            </w:pPr>
            <w:r>
              <w:rPr>
                <w:rFonts w:ascii="Verdana" w:eastAsia="Verdana" w:hAnsi="Verdana" w:cs="Verdana"/>
                <w:color w:val="000000"/>
                <w:sz w:val="16"/>
                <w:szCs w:val="16"/>
              </w:rPr>
              <w:t>Directors</w:t>
            </w:r>
          </w:p>
        </w:tc>
        <w:tc>
          <w:tcPr>
            <w:tcW w:w="2502" w:type="dxa"/>
            <w:vAlign w:val="center"/>
          </w:tcPr>
          <w:p w14:paraId="6966ACE2" w14:textId="77777777" w:rsidR="00F8503D" w:rsidRDefault="0033067D">
            <w:pPr>
              <w:ind w:right="120"/>
              <w:rPr>
                <w:rFonts w:ascii="Verdana" w:eastAsia="Verdana" w:hAnsi="Verdana" w:cs="Verdana"/>
                <w:color w:val="000000"/>
                <w:sz w:val="16"/>
                <w:szCs w:val="16"/>
              </w:rPr>
            </w:pPr>
            <w:r>
              <w:rPr>
                <w:rFonts w:ascii="Verdana" w:eastAsia="Verdana" w:hAnsi="Verdana" w:cs="Verdana"/>
                <w:color w:val="000000"/>
                <w:sz w:val="16"/>
                <w:szCs w:val="16"/>
              </w:rPr>
              <w:t>Quarterly</w:t>
            </w:r>
          </w:p>
        </w:tc>
        <w:tc>
          <w:tcPr>
            <w:tcW w:w="2014" w:type="dxa"/>
            <w:vAlign w:val="center"/>
          </w:tcPr>
          <w:p w14:paraId="23034BEC" w14:textId="77777777" w:rsidR="00F8503D" w:rsidRDefault="0033067D">
            <w:pPr>
              <w:ind w:right="164"/>
              <w:rPr>
                <w:rFonts w:ascii="Verdana" w:eastAsia="Verdana" w:hAnsi="Verdana" w:cs="Verdana"/>
                <w:color w:val="000000"/>
                <w:sz w:val="16"/>
                <w:szCs w:val="16"/>
              </w:rPr>
            </w:pPr>
            <w:r>
              <w:rPr>
                <w:rFonts w:ascii="Verdana" w:eastAsia="Verdana" w:hAnsi="Verdana" w:cs="Verdana"/>
                <w:color w:val="000000"/>
                <w:sz w:val="16"/>
                <w:szCs w:val="16"/>
              </w:rPr>
              <w:t>In person or online</w:t>
            </w:r>
          </w:p>
        </w:tc>
      </w:tr>
      <w:tr w:rsidR="00F8503D" w14:paraId="6993B0A6" w14:textId="77777777" w:rsidTr="7B188CE2">
        <w:trPr>
          <w:trHeight w:val="444"/>
        </w:trPr>
        <w:tc>
          <w:tcPr>
            <w:tcW w:w="3487" w:type="dxa"/>
            <w:vAlign w:val="center"/>
          </w:tcPr>
          <w:p w14:paraId="01F71769" w14:textId="77777777" w:rsidR="00F8503D" w:rsidRDefault="0033067D">
            <w:pPr>
              <w:ind w:right="445"/>
              <w:rPr>
                <w:rFonts w:ascii="Verdana" w:eastAsia="Verdana" w:hAnsi="Verdana" w:cs="Verdana"/>
                <w:color w:val="000000"/>
                <w:sz w:val="16"/>
                <w:szCs w:val="16"/>
              </w:rPr>
            </w:pPr>
            <w:r>
              <w:rPr>
                <w:rFonts w:ascii="Verdana" w:eastAsia="Verdana" w:hAnsi="Verdana" w:cs="Verdana"/>
                <w:color w:val="000000"/>
                <w:sz w:val="16"/>
                <w:szCs w:val="16"/>
              </w:rPr>
              <w:t>CCWD Monthly Directors Calls</w:t>
            </w:r>
          </w:p>
        </w:tc>
        <w:tc>
          <w:tcPr>
            <w:tcW w:w="2372" w:type="dxa"/>
            <w:vAlign w:val="center"/>
          </w:tcPr>
          <w:p w14:paraId="7F49C49F" w14:textId="77777777" w:rsidR="00F8503D" w:rsidRDefault="0033067D">
            <w:pPr>
              <w:ind w:right="30"/>
              <w:rPr>
                <w:rFonts w:ascii="Verdana" w:eastAsia="Verdana" w:hAnsi="Verdana" w:cs="Verdana"/>
                <w:color w:val="000000"/>
                <w:sz w:val="16"/>
                <w:szCs w:val="16"/>
              </w:rPr>
            </w:pPr>
            <w:r>
              <w:rPr>
                <w:rFonts w:ascii="Verdana" w:eastAsia="Verdana" w:hAnsi="Verdana" w:cs="Verdana"/>
                <w:color w:val="000000"/>
                <w:sz w:val="16"/>
                <w:szCs w:val="16"/>
              </w:rPr>
              <w:t>Directors</w:t>
            </w:r>
          </w:p>
        </w:tc>
        <w:tc>
          <w:tcPr>
            <w:tcW w:w="2502" w:type="dxa"/>
            <w:vAlign w:val="center"/>
          </w:tcPr>
          <w:p w14:paraId="4C0911C8" w14:textId="77777777" w:rsidR="00F8503D" w:rsidRDefault="0033067D">
            <w:pPr>
              <w:ind w:right="90"/>
              <w:rPr>
                <w:rFonts w:ascii="Verdana" w:eastAsia="Verdana" w:hAnsi="Verdana" w:cs="Verdana"/>
                <w:color w:val="000000"/>
                <w:sz w:val="16"/>
                <w:szCs w:val="16"/>
              </w:rPr>
            </w:pPr>
            <w:r>
              <w:rPr>
                <w:rFonts w:ascii="Verdana" w:eastAsia="Verdana" w:hAnsi="Verdana" w:cs="Verdana"/>
                <w:color w:val="000000"/>
                <w:sz w:val="16"/>
                <w:szCs w:val="16"/>
              </w:rPr>
              <w:t>Monthly</w:t>
            </w:r>
          </w:p>
        </w:tc>
        <w:tc>
          <w:tcPr>
            <w:tcW w:w="2014" w:type="dxa"/>
            <w:vAlign w:val="center"/>
          </w:tcPr>
          <w:p w14:paraId="12FC068B" w14:textId="77777777" w:rsidR="00F8503D" w:rsidRDefault="0033067D">
            <w:pPr>
              <w:ind w:right="163"/>
              <w:rPr>
                <w:rFonts w:ascii="Verdana" w:eastAsia="Verdana" w:hAnsi="Verdana" w:cs="Verdana"/>
                <w:color w:val="000000"/>
                <w:sz w:val="16"/>
                <w:szCs w:val="16"/>
              </w:rPr>
            </w:pPr>
            <w:r>
              <w:rPr>
                <w:rFonts w:ascii="Verdana" w:eastAsia="Verdana" w:hAnsi="Verdana" w:cs="Verdana"/>
                <w:color w:val="000000"/>
                <w:sz w:val="16"/>
                <w:szCs w:val="16"/>
              </w:rPr>
              <w:t>Online with CCWD</w:t>
            </w:r>
          </w:p>
        </w:tc>
      </w:tr>
    </w:tbl>
    <w:p w14:paraId="61ECCC4F" w14:textId="63A23904" w:rsidR="00F8503D" w:rsidRDefault="00803776" w:rsidP="40E74F6B">
      <w:pPr>
        <w:pBdr>
          <w:top w:val="nil"/>
          <w:left w:val="nil"/>
          <w:bottom w:val="nil"/>
          <w:right w:val="nil"/>
          <w:between w:val="nil"/>
        </w:pBdr>
        <w:spacing w:after="160" w:line="276" w:lineRule="auto"/>
        <w:rPr>
          <w:rFonts w:ascii="Garamond" w:eastAsia="Garamond" w:hAnsi="Garamond" w:cs="Garamond"/>
          <w:color w:val="000000"/>
          <w:lang w:val="en-US"/>
        </w:rPr>
      </w:pPr>
      <w:r w:rsidRPr="40E74F6B">
        <w:rPr>
          <w:rFonts w:ascii="Garamond" w:eastAsia="Garamond" w:hAnsi="Garamond" w:cs="Garamond"/>
          <w:color w:val="000000" w:themeColor="text1"/>
          <w:lang w:val="en-US"/>
        </w:rPr>
        <w:t xml:space="preserve">*Note: </w:t>
      </w:r>
      <w:r w:rsidR="004C7C97" w:rsidRPr="40E74F6B">
        <w:rPr>
          <w:rFonts w:ascii="Garamond" w:eastAsia="Garamond" w:hAnsi="Garamond" w:cs="Garamond"/>
          <w:color w:val="000000" w:themeColor="text1"/>
          <w:lang w:val="en-US"/>
        </w:rPr>
        <w:t>CASAS will be launching a revised version of Intro to TOPSpro Enterprise after July 1, 2026, which will be called “Starting Strong: TOPSpro Enterprise Basics”</w:t>
      </w:r>
      <w:r w:rsidR="00C57F36" w:rsidRPr="40E74F6B">
        <w:rPr>
          <w:rFonts w:ascii="Garamond" w:eastAsia="Garamond" w:hAnsi="Garamond" w:cs="Garamond"/>
          <w:color w:val="000000" w:themeColor="text1"/>
          <w:lang w:val="en-US"/>
        </w:rPr>
        <w:t>.</w:t>
      </w:r>
      <w:r w:rsidR="004E2D13" w:rsidRPr="40E74F6B">
        <w:rPr>
          <w:rFonts w:ascii="Garamond" w:eastAsia="Garamond" w:hAnsi="Garamond" w:cs="Garamond"/>
          <w:color w:val="000000" w:themeColor="text1"/>
          <w:lang w:val="en-US"/>
        </w:rPr>
        <w:t xml:space="preserve"> </w:t>
      </w:r>
    </w:p>
    <w:p w14:paraId="0A4B1312"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11" w:name="_u35hhvbkq2b" w:colFirst="0" w:colLast="0"/>
      <w:bookmarkEnd w:id="11"/>
      <w:r>
        <w:rPr>
          <w:rFonts w:ascii="Arial" w:eastAsia="Arial" w:hAnsi="Arial" w:cs="Arial"/>
          <w:b/>
          <w:bCs/>
          <w:smallCaps/>
          <w:color w:val="6A976C"/>
          <w:sz w:val="32"/>
          <w:szCs w:val="32"/>
        </w:rPr>
        <w:lastRenderedPageBreak/>
        <w:t>Oregon Adult College and Career Readiness Standards and Oregon Adult English Language Proficiency Standards</w:t>
      </w:r>
    </w:p>
    <w:p w14:paraId="7D2752C8" w14:textId="77777777" w:rsidR="00F8503D" w:rsidRDefault="0033067D">
      <w:pPr>
        <w:keepNext/>
        <w:numPr>
          <w:ilvl w:val="2"/>
          <w:numId w:val="24"/>
        </w:numPr>
        <w:pBdr>
          <w:top w:val="nil"/>
          <w:left w:val="nil"/>
          <w:bottom w:val="nil"/>
          <w:right w:val="nil"/>
          <w:between w:val="nil"/>
        </w:pBdr>
        <w:spacing w:before="240" w:after="40" w:line="276" w:lineRule="auto"/>
      </w:pPr>
      <w:bookmarkStart w:id="12" w:name="_ue3rq9emv3oq" w:colFirst="0" w:colLast="0"/>
      <w:bookmarkEnd w:id="12"/>
      <w:r>
        <w:rPr>
          <w:rFonts w:ascii="Arial" w:eastAsia="Arial" w:hAnsi="Arial" w:cs="Arial"/>
          <w:smallCaps/>
          <w:color w:val="6A976C"/>
          <w:sz w:val="28"/>
          <w:szCs w:val="28"/>
        </w:rPr>
        <w:t>Learning Standards</w:t>
      </w:r>
    </w:p>
    <w:p w14:paraId="689FBA2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52B5D2AB"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OCTAE emphasized the importance of content standards by requiring that states describe how they align their content standards for ABS with the “State-adopted challenging academic content standards, as adopted under section 1111(b)(1) of the Elementary and Secondary Education Act of 1965, as amended (20 U.S.C. 6311(b)(1)).” Oregon uses the national College and Career Readiness Standards for Adult Education (CCRS). The CCRS are aligned with the Common Core State Standards and the Oregon Academic Content Standards for K-12. As certain elements of the former Oregon-specific standards (OALS) were considered to be a useful complement to the national standards, these elements were incorporated into the CCRS resource documents for use in Oregon. The required standards for implementation in ABE/ASE classrooms are therefore referred to as the Oregon Adult College and Career Readiness Standards (OACCRS).</w:t>
      </w:r>
    </w:p>
    <w:p w14:paraId="245FDC2A"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OACCRS provide detailed information for instruction and are aligned with the Education Functioning Levels (EFLs) as defined by OCTAE and reported through the NRS. They are also aligned with the CASAS GOALS 2 series, which is approved for assessment purposes in Oregon. (See Section 6.1, Standardized Assessments for NRS Reporting, for information regarding approved and required assessments.)</w:t>
      </w:r>
    </w:p>
    <w:p w14:paraId="0C8DFC45"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As of Program Year 2020-2021, ESL programs transitioned from use of the Oregon Adult Learning Standards (OALS) to use of the national English Language Proficiency Standards (ELPS). In Program Year 2022-2023, programs transitioned from ELPS to OAELPS (Oregon Adult English Language Proficiency Standards), which incorporate elements of OALS into the ELPS.</w:t>
      </w:r>
    </w:p>
    <w:p w14:paraId="3E13A1B5"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The goal of OACCRS and OAELPS is to support learners in developing the skills and knowledge they need to meet their goals as family members, workers, community members, and lifelong learners. The standards articulate a clear continuum of transferable skills that can guide instruction, assessment, and accountability; provide a common language and consistent expectations across institutions; and serve as a basis for statewide professional development and </w:t>
      </w:r>
      <w:r w:rsidRPr="7B188CE2">
        <w:rPr>
          <w:rFonts w:ascii="Verdana" w:eastAsia="Verdana" w:hAnsi="Verdana" w:cs="Verdana"/>
          <w:color w:val="000000" w:themeColor="text1"/>
          <w:sz w:val="23"/>
          <w:szCs w:val="23"/>
          <w:lang w:val="en-US"/>
        </w:rPr>
        <w:lastRenderedPageBreak/>
        <w:t>program improvement. Information regarding the OACCRS and OAELPS is posted on the Oregon ABS Resources website.</w:t>
      </w:r>
    </w:p>
    <w:p w14:paraId="122F70E7"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Training materials for OACCRS and OAELPS can be found on the </w:t>
      </w:r>
      <w:hyperlink r:id="rId51">
        <w:r w:rsidRPr="7B188CE2">
          <w:rPr>
            <w:rFonts w:ascii="Verdana" w:eastAsia="Verdana" w:hAnsi="Verdana" w:cs="Verdana"/>
            <w:color w:val="0000FF"/>
            <w:sz w:val="23"/>
            <w:szCs w:val="23"/>
            <w:lang w:val="en-US"/>
          </w:rPr>
          <w:t>ABS Professional Development website</w:t>
        </w:r>
      </w:hyperlink>
      <w:r w:rsidRPr="7B188CE2">
        <w:rPr>
          <w:rFonts w:ascii="Verdana" w:eastAsia="Verdana" w:hAnsi="Verdana" w:cs="Verdana"/>
          <w:color w:val="000000" w:themeColor="text1"/>
          <w:sz w:val="23"/>
          <w:szCs w:val="23"/>
          <w:lang w:val="en-US"/>
        </w:rPr>
        <w:t xml:space="preserve"> and Canvas LMS.  </w:t>
      </w:r>
    </w:p>
    <w:p w14:paraId="410B00B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Information regarding the national College and Career Readiness Standards can be found on </w:t>
      </w:r>
      <w:hyperlink r:id="rId52">
        <w:r w:rsidRPr="7B188CE2">
          <w:rPr>
            <w:rFonts w:ascii="Verdana" w:eastAsia="Verdana" w:hAnsi="Verdana" w:cs="Verdana"/>
            <w:color w:val="0000FF"/>
            <w:sz w:val="23"/>
            <w:szCs w:val="23"/>
            <w:lang w:val="en-US"/>
          </w:rPr>
          <w:t>LINCS</w:t>
        </w:r>
      </w:hyperlink>
      <w:r w:rsidRPr="7B188CE2">
        <w:rPr>
          <w:rFonts w:ascii="Verdana" w:eastAsia="Verdana" w:hAnsi="Verdana" w:cs="Verdana"/>
          <w:color w:val="000000" w:themeColor="text1"/>
          <w:sz w:val="23"/>
          <w:szCs w:val="23"/>
          <w:lang w:val="en-US"/>
        </w:rPr>
        <w:t xml:space="preserve">. Information on the national English Language Proficiency Standards can also be found on </w:t>
      </w:r>
      <w:hyperlink r:id="rId53">
        <w:r w:rsidRPr="7B188CE2">
          <w:rPr>
            <w:rFonts w:ascii="Verdana" w:eastAsia="Verdana" w:hAnsi="Verdana" w:cs="Verdana"/>
            <w:color w:val="0000FF"/>
            <w:sz w:val="23"/>
            <w:szCs w:val="23"/>
            <w:lang w:val="en-US"/>
          </w:rPr>
          <w:t>LINCS</w:t>
        </w:r>
      </w:hyperlink>
      <w:r w:rsidRPr="7B188CE2">
        <w:rPr>
          <w:rFonts w:ascii="Verdana" w:eastAsia="Verdana" w:hAnsi="Verdana" w:cs="Verdana"/>
          <w:color w:val="000000" w:themeColor="text1"/>
          <w:sz w:val="23"/>
          <w:szCs w:val="23"/>
          <w:lang w:val="en-US"/>
        </w:rPr>
        <w:t>.</w:t>
      </w:r>
    </w:p>
    <w:p w14:paraId="5E27728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2A617D2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Implementation of the OACCRS/OAELPS must be evident in Title II-funded programs as noted below. (For professional development requirements by activity and role specific to OACCRS/OAELPS, see Section 4.1, Professional Development.) </w:t>
      </w:r>
    </w:p>
    <w:tbl>
      <w:tblPr>
        <w:tblW w:w="86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000" w:firstRow="0" w:lastRow="0" w:firstColumn="0" w:lastColumn="0" w:noHBand="0" w:noVBand="0"/>
      </w:tblPr>
      <w:tblGrid>
        <w:gridCol w:w="1700"/>
        <w:gridCol w:w="4590"/>
        <w:gridCol w:w="2370"/>
      </w:tblGrid>
      <w:tr w:rsidR="00F8503D" w14:paraId="58CC3975" w14:textId="77777777" w:rsidTr="4C5F9134">
        <w:trPr>
          <w:trHeight w:val="583"/>
          <w:jc w:val="center"/>
        </w:trPr>
        <w:tc>
          <w:tcPr>
            <w:tcW w:w="1700" w:type="dxa"/>
            <w:shd w:val="clear" w:color="auto" w:fill="4EA9AF"/>
            <w:vAlign w:val="center"/>
          </w:tcPr>
          <w:p w14:paraId="790B58BF" w14:textId="77777777" w:rsidR="00F8503D" w:rsidRDefault="0033067D">
            <w:pPr>
              <w:ind w:left="-30"/>
              <w:rPr>
                <w:rFonts w:ascii="Verdana" w:eastAsia="Verdana" w:hAnsi="Verdana" w:cs="Verdana"/>
                <w:b/>
                <w:bCs/>
                <w:color w:val="000000"/>
                <w:sz w:val="18"/>
                <w:szCs w:val="18"/>
              </w:rPr>
            </w:pPr>
            <w:r>
              <w:rPr>
                <w:rFonts w:ascii="Verdana" w:eastAsia="Verdana" w:hAnsi="Verdana" w:cs="Verdana"/>
                <w:b/>
                <w:bCs/>
                <w:color w:val="000000"/>
                <w:sz w:val="18"/>
                <w:szCs w:val="18"/>
              </w:rPr>
              <w:t>Program Component</w:t>
            </w:r>
          </w:p>
        </w:tc>
        <w:tc>
          <w:tcPr>
            <w:tcW w:w="4590" w:type="dxa"/>
            <w:shd w:val="clear" w:color="auto" w:fill="4EA9AF"/>
            <w:vAlign w:val="center"/>
          </w:tcPr>
          <w:p w14:paraId="435882D6" w14:textId="77777777" w:rsidR="00F8503D" w:rsidRDefault="0033067D">
            <w:pPr>
              <w:rPr>
                <w:rFonts w:ascii="Verdana" w:eastAsia="Verdana" w:hAnsi="Verdana" w:cs="Verdana"/>
                <w:b/>
                <w:bCs/>
                <w:color w:val="000000"/>
                <w:sz w:val="18"/>
                <w:szCs w:val="18"/>
              </w:rPr>
            </w:pPr>
            <w:r>
              <w:rPr>
                <w:rFonts w:ascii="Verdana" w:eastAsia="Verdana" w:hAnsi="Verdana" w:cs="Verdana"/>
                <w:b/>
                <w:bCs/>
                <w:color w:val="000000"/>
                <w:sz w:val="18"/>
                <w:szCs w:val="18"/>
              </w:rPr>
              <w:t>Evidence</w:t>
            </w:r>
          </w:p>
        </w:tc>
        <w:tc>
          <w:tcPr>
            <w:tcW w:w="2370" w:type="dxa"/>
            <w:shd w:val="clear" w:color="auto" w:fill="4EA9AF"/>
            <w:vAlign w:val="center"/>
          </w:tcPr>
          <w:p w14:paraId="35A01180" w14:textId="77777777" w:rsidR="00F8503D" w:rsidRDefault="0033067D">
            <w:pPr>
              <w:rPr>
                <w:rFonts w:ascii="Verdana" w:eastAsia="Verdana" w:hAnsi="Verdana" w:cs="Verdana"/>
                <w:b/>
                <w:bCs/>
                <w:color w:val="000000"/>
                <w:sz w:val="18"/>
                <w:szCs w:val="18"/>
              </w:rPr>
            </w:pPr>
            <w:r>
              <w:rPr>
                <w:rFonts w:ascii="Verdana" w:eastAsia="Verdana" w:hAnsi="Verdana" w:cs="Verdana"/>
                <w:b/>
                <w:bCs/>
                <w:color w:val="000000"/>
                <w:sz w:val="18"/>
                <w:szCs w:val="18"/>
              </w:rPr>
              <w:t>Due Date</w:t>
            </w:r>
          </w:p>
        </w:tc>
      </w:tr>
      <w:tr w:rsidR="00F8503D" w14:paraId="33702106" w14:textId="77777777" w:rsidTr="4C5F9134">
        <w:trPr>
          <w:trHeight w:val="610"/>
          <w:jc w:val="center"/>
        </w:trPr>
        <w:tc>
          <w:tcPr>
            <w:tcW w:w="1700" w:type="dxa"/>
            <w:vAlign w:val="center"/>
          </w:tcPr>
          <w:p w14:paraId="2DC5352A" w14:textId="77777777" w:rsidR="00F8503D" w:rsidRDefault="0033067D">
            <w:pPr>
              <w:ind w:right="22"/>
              <w:rPr>
                <w:rFonts w:ascii="Verdana" w:eastAsia="Verdana" w:hAnsi="Verdana" w:cs="Verdana"/>
                <w:color w:val="000000"/>
                <w:sz w:val="18"/>
                <w:szCs w:val="18"/>
              </w:rPr>
            </w:pPr>
            <w:r>
              <w:rPr>
                <w:rFonts w:ascii="Verdana" w:eastAsia="Verdana" w:hAnsi="Verdana" w:cs="Verdana"/>
                <w:color w:val="000000"/>
                <w:sz w:val="18"/>
                <w:szCs w:val="18"/>
              </w:rPr>
              <w:t>Contact</w:t>
            </w:r>
          </w:p>
        </w:tc>
        <w:tc>
          <w:tcPr>
            <w:tcW w:w="4590" w:type="dxa"/>
            <w:vAlign w:val="center"/>
          </w:tcPr>
          <w:p w14:paraId="0195692C" w14:textId="77777777" w:rsidR="00F8503D" w:rsidRDefault="0033067D">
            <w:pPr>
              <w:ind w:right="167"/>
              <w:rPr>
                <w:rFonts w:ascii="Verdana" w:eastAsia="Verdana" w:hAnsi="Verdana" w:cs="Verdana"/>
                <w:color w:val="000000"/>
                <w:sz w:val="18"/>
                <w:szCs w:val="18"/>
              </w:rPr>
            </w:pPr>
            <w:r>
              <w:rPr>
                <w:rFonts w:ascii="Verdana" w:eastAsia="Verdana" w:hAnsi="Verdana" w:cs="Verdana"/>
                <w:color w:val="000000"/>
                <w:sz w:val="18"/>
                <w:szCs w:val="18"/>
              </w:rPr>
              <w:t>Name/contact information of designated Local OACCRS/OAELPS Lead submitted</w:t>
            </w:r>
          </w:p>
        </w:tc>
        <w:tc>
          <w:tcPr>
            <w:tcW w:w="2370" w:type="dxa"/>
            <w:vAlign w:val="center"/>
          </w:tcPr>
          <w:p w14:paraId="5BF07973" w14:textId="26F52097" w:rsidR="00F8503D" w:rsidRDefault="0033067D">
            <w:pPr>
              <w:ind w:right="541"/>
              <w:rPr>
                <w:rFonts w:ascii="Verdana" w:eastAsia="Verdana" w:hAnsi="Verdana" w:cs="Verdana"/>
                <w:color w:val="000000"/>
                <w:sz w:val="18"/>
                <w:szCs w:val="18"/>
              </w:rPr>
            </w:pPr>
            <w:r>
              <w:rPr>
                <w:rFonts w:ascii="Verdana" w:eastAsia="Verdana" w:hAnsi="Verdana" w:cs="Verdana"/>
                <w:color w:val="000000"/>
                <w:sz w:val="18"/>
                <w:szCs w:val="18"/>
              </w:rPr>
              <w:t xml:space="preserve">October </w:t>
            </w:r>
            <w:r w:rsidR="00891727">
              <w:rPr>
                <w:rFonts w:ascii="Verdana" w:eastAsia="Verdana" w:hAnsi="Verdana" w:cs="Verdana"/>
                <w:color w:val="000000"/>
                <w:sz w:val="18"/>
                <w:szCs w:val="18"/>
              </w:rPr>
              <w:t>9</w:t>
            </w:r>
            <w:r>
              <w:rPr>
                <w:rFonts w:ascii="Verdana" w:eastAsia="Verdana" w:hAnsi="Verdana" w:cs="Verdana"/>
                <w:color w:val="000000"/>
                <w:sz w:val="18"/>
                <w:szCs w:val="18"/>
              </w:rPr>
              <w:t>, 2026</w:t>
            </w:r>
          </w:p>
        </w:tc>
      </w:tr>
      <w:tr w:rsidR="00F8503D" w14:paraId="57BD3D31" w14:textId="77777777" w:rsidTr="4C5F9134">
        <w:trPr>
          <w:trHeight w:val="610"/>
          <w:jc w:val="center"/>
        </w:trPr>
        <w:tc>
          <w:tcPr>
            <w:tcW w:w="1700" w:type="dxa"/>
            <w:vAlign w:val="center"/>
          </w:tcPr>
          <w:p w14:paraId="6FAFA5DD" w14:textId="77777777" w:rsidR="00F8503D" w:rsidRDefault="0033067D">
            <w:pPr>
              <w:rPr>
                <w:rFonts w:ascii="Verdana" w:eastAsia="Verdana" w:hAnsi="Verdana" w:cs="Verdana"/>
                <w:color w:val="000000"/>
                <w:sz w:val="18"/>
                <w:szCs w:val="18"/>
              </w:rPr>
            </w:pPr>
            <w:r>
              <w:rPr>
                <w:rFonts w:ascii="Verdana" w:eastAsia="Verdana" w:hAnsi="Verdana" w:cs="Verdana"/>
                <w:color w:val="000000"/>
                <w:sz w:val="18"/>
                <w:szCs w:val="18"/>
              </w:rPr>
              <w:t>Professional Development</w:t>
            </w:r>
          </w:p>
        </w:tc>
        <w:tc>
          <w:tcPr>
            <w:tcW w:w="4590" w:type="dxa"/>
            <w:vAlign w:val="center"/>
          </w:tcPr>
          <w:p w14:paraId="407B0273" w14:textId="3A18D1AD" w:rsidR="00F8503D" w:rsidRDefault="0033067D">
            <w:pPr>
              <w:ind w:right="328"/>
              <w:rPr>
                <w:rFonts w:ascii="Verdana" w:eastAsia="Verdana" w:hAnsi="Verdana" w:cs="Verdana"/>
                <w:color w:val="000000"/>
                <w:sz w:val="18"/>
                <w:szCs w:val="18"/>
              </w:rPr>
            </w:pPr>
            <w:bookmarkStart w:id="13" w:name="_qttqb1vxhg2r" w:colFirst="0" w:colLast="0"/>
            <w:bookmarkEnd w:id="13"/>
            <w:r>
              <w:rPr>
                <w:rFonts w:ascii="Verdana" w:eastAsia="Verdana" w:hAnsi="Verdana" w:cs="Verdana"/>
                <w:color w:val="000000"/>
                <w:sz w:val="18"/>
                <w:szCs w:val="18"/>
              </w:rPr>
              <w:t>Annual Professional Development Plan for PY 2027</w:t>
            </w:r>
            <w:r w:rsidR="001A1AFB">
              <w:rPr>
                <w:rFonts w:ascii="Verdana" w:eastAsia="Verdana" w:hAnsi="Verdana" w:cs="Verdana"/>
                <w:color w:val="000000"/>
                <w:sz w:val="18"/>
                <w:szCs w:val="18"/>
              </w:rPr>
              <w:t>-2028</w:t>
            </w:r>
          </w:p>
        </w:tc>
        <w:tc>
          <w:tcPr>
            <w:tcW w:w="2370" w:type="dxa"/>
            <w:vMerge w:val="restart"/>
            <w:vAlign w:val="center"/>
          </w:tcPr>
          <w:p w14:paraId="3CA9C37C" w14:textId="75EB9062" w:rsidR="00F8503D" w:rsidRDefault="005F34F8">
            <w:pPr>
              <w:rPr>
                <w:rFonts w:ascii="Verdana" w:eastAsia="Verdana" w:hAnsi="Verdana" w:cs="Verdana"/>
                <w:color w:val="000000"/>
                <w:sz w:val="18"/>
                <w:szCs w:val="18"/>
              </w:rPr>
            </w:pPr>
            <w:r>
              <w:rPr>
                <w:rFonts w:ascii="Verdana" w:eastAsia="Verdana" w:hAnsi="Verdana" w:cs="Verdana"/>
                <w:color w:val="000000"/>
                <w:sz w:val="18"/>
                <w:szCs w:val="18"/>
              </w:rPr>
              <w:t>T</w:t>
            </w:r>
            <w:r w:rsidR="0068779F">
              <w:rPr>
                <w:rFonts w:ascii="Verdana" w:eastAsia="Verdana" w:hAnsi="Verdana" w:cs="Verdana"/>
                <w:color w:val="000000"/>
                <w:sz w:val="18"/>
                <w:szCs w:val="18"/>
              </w:rPr>
              <w:t xml:space="preserve">o be announced </w:t>
            </w:r>
            <w:r>
              <w:rPr>
                <w:rFonts w:ascii="Verdana" w:eastAsia="Verdana" w:hAnsi="Verdana" w:cs="Verdana"/>
                <w:color w:val="000000"/>
                <w:sz w:val="18"/>
                <w:szCs w:val="18"/>
              </w:rPr>
              <w:t xml:space="preserve"> </w:t>
            </w:r>
          </w:p>
        </w:tc>
      </w:tr>
      <w:tr w:rsidR="00F8503D" w14:paraId="5DF71B38" w14:textId="77777777" w:rsidTr="4C5F9134">
        <w:trPr>
          <w:trHeight w:val="1240"/>
          <w:jc w:val="center"/>
        </w:trPr>
        <w:tc>
          <w:tcPr>
            <w:tcW w:w="1700" w:type="dxa"/>
            <w:vAlign w:val="center"/>
          </w:tcPr>
          <w:p w14:paraId="11E17624" w14:textId="77777777" w:rsidR="00F8503D" w:rsidRDefault="0033067D">
            <w:pPr>
              <w:ind w:right="379"/>
              <w:rPr>
                <w:rFonts w:ascii="Verdana" w:eastAsia="Verdana" w:hAnsi="Verdana" w:cs="Verdana"/>
                <w:color w:val="000000"/>
                <w:sz w:val="18"/>
                <w:szCs w:val="18"/>
              </w:rPr>
            </w:pPr>
            <w:r>
              <w:rPr>
                <w:rFonts w:ascii="Verdana" w:eastAsia="Verdana" w:hAnsi="Verdana" w:cs="Verdana"/>
                <w:color w:val="000000"/>
                <w:sz w:val="18"/>
                <w:szCs w:val="18"/>
              </w:rPr>
              <w:t>Program</w:t>
            </w:r>
          </w:p>
        </w:tc>
        <w:tc>
          <w:tcPr>
            <w:tcW w:w="4590" w:type="dxa"/>
            <w:vAlign w:val="center"/>
          </w:tcPr>
          <w:p w14:paraId="117E07CA" w14:textId="77777777" w:rsidR="00F8503D" w:rsidRDefault="0033067D" w:rsidP="7B188CE2">
            <w:pPr>
              <w:ind w:right="160"/>
              <w:rPr>
                <w:rFonts w:ascii="Verdana" w:eastAsia="Verdana" w:hAnsi="Verdana" w:cs="Verdana"/>
                <w:color w:val="000000"/>
                <w:sz w:val="18"/>
                <w:szCs w:val="18"/>
                <w:lang w:val="en-US"/>
              </w:rPr>
            </w:pPr>
            <w:r w:rsidRPr="7B188CE2">
              <w:rPr>
                <w:rFonts w:ascii="Verdana" w:eastAsia="Verdana" w:hAnsi="Verdana" w:cs="Verdana"/>
                <w:color w:val="000000" w:themeColor="text1"/>
                <w:sz w:val="18"/>
                <w:szCs w:val="18"/>
                <w:lang w:val="en-US"/>
              </w:rPr>
              <w:t>OACCRS/OAELPS apparent in: Job descriptions and qualifications, evaluation for instructors and faculty, orientation or other training for non-instructional staff, staff meeting agendas and notes</w:t>
            </w:r>
          </w:p>
        </w:tc>
        <w:tc>
          <w:tcPr>
            <w:tcW w:w="2370" w:type="dxa"/>
            <w:vMerge/>
            <w:vAlign w:val="center"/>
          </w:tcPr>
          <w:p w14:paraId="2AFD9984"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r>
      <w:tr w:rsidR="00F8503D" w14:paraId="0DE0FF96" w14:textId="77777777" w:rsidTr="4C5F9134">
        <w:trPr>
          <w:trHeight w:val="790"/>
          <w:jc w:val="center"/>
        </w:trPr>
        <w:tc>
          <w:tcPr>
            <w:tcW w:w="1700" w:type="dxa"/>
            <w:vMerge w:val="restart"/>
            <w:vAlign w:val="center"/>
          </w:tcPr>
          <w:p w14:paraId="6BDC0B02" w14:textId="77777777" w:rsidR="00F8503D" w:rsidRDefault="0033067D">
            <w:pPr>
              <w:ind w:right="275"/>
              <w:rPr>
                <w:rFonts w:ascii="Verdana" w:eastAsia="Verdana" w:hAnsi="Verdana" w:cs="Verdana"/>
                <w:color w:val="000000"/>
                <w:sz w:val="18"/>
                <w:szCs w:val="18"/>
              </w:rPr>
            </w:pPr>
            <w:r>
              <w:rPr>
                <w:rFonts w:ascii="Verdana" w:eastAsia="Verdana" w:hAnsi="Verdana" w:cs="Verdana"/>
                <w:color w:val="000000"/>
                <w:sz w:val="18"/>
                <w:szCs w:val="18"/>
              </w:rPr>
              <w:t>Curriculum</w:t>
            </w:r>
          </w:p>
        </w:tc>
        <w:tc>
          <w:tcPr>
            <w:tcW w:w="4590" w:type="dxa"/>
            <w:vAlign w:val="center"/>
          </w:tcPr>
          <w:p w14:paraId="739F397E" w14:textId="77777777" w:rsidR="00F8503D" w:rsidRDefault="0033067D" w:rsidP="7B188CE2">
            <w:pPr>
              <w:ind w:right="122"/>
              <w:rPr>
                <w:rFonts w:ascii="Verdana" w:eastAsia="Verdana" w:hAnsi="Verdana" w:cs="Verdana"/>
                <w:color w:val="000000"/>
                <w:sz w:val="18"/>
                <w:szCs w:val="18"/>
                <w:lang w:val="en-US"/>
              </w:rPr>
            </w:pPr>
            <w:r w:rsidRPr="7B188CE2">
              <w:rPr>
                <w:rFonts w:ascii="Verdana" w:eastAsia="Verdana" w:hAnsi="Verdana" w:cs="Verdana"/>
                <w:color w:val="000000" w:themeColor="text1"/>
                <w:sz w:val="18"/>
                <w:szCs w:val="18"/>
                <w:lang w:val="en-US"/>
              </w:rPr>
              <w:t>Institutionally approved curriculum description (course outlines, core learning outcomes, course content and outcome guides, etc.)</w:t>
            </w:r>
          </w:p>
        </w:tc>
        <w:tc>
          <w:tcPr>
            <w:tcW w:w="2370" w:type="dxa"/>
            <w:vMerge/>
            <w:vAlign w:val="center"/>
          </w:tcPr>
          <w:p w14:paraId="3E6D9B06"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r>
      <w:tr w:rsidR="00F8503D" w14:paraId="07CF46EC" w14:textId="77777777" w:rsidTr="4C5F9134">
        <w:trPr>
          <w:trHeight w:val="790"/>
          <w:jc w:val="center"/>
        </w:trPr>
        <w:tc>
          <w:tcPr>
            <w:tcW w:w="1700" w:type="dxa"/>
            <w:vMerge/>
            <w:vAlign w:val="center"/>
          </w:tcPr>
          <w:p w14:paraId="0BB9DF22"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c>
          <w:tcPr>
            <w:tcW w:w="4590" w:type="dxa"/>
            <w:vAlign w:val="center"/>
          </w:tcPr>
          <w:p w14:paraId="74B1D352" w14:textId="77777777" w:rsidR="00F8503D" w:rsidRDefault="0033067D">
            <w:pPr>
              <w:ind w:right="490"/>
              <w:rPr>
                <w:rFonts w:ascii="Verdana" w:eastAsia="Verdana" w:hAnsi="Verdana" w:cs="Verdana"/>
                <w:color w:val="000000"/>
                <w:sz w:val="18"/>
                <w:szCs w:val="18"/>
              </w:rPr>
            </w:pPr>
            <w:r>
              <w:rPr>
                <w:rFonts w:ascii="Verdana" w:eastAsia="Verdana" w:hAnsi="Verdana" w:cs="Verdana"/>
                <w:color w:val="000000"/>
                <w:sz w:val="18"/>
                <w:szCs w:val="18"/>
              </w:rPr>
              <w:t>Teacher-developed curriculum descriptions (syllabi, course outlines, lesson plans etc.)</w:t>
            </w:r>
          </w:p>
        </w:tc>
        <w:tc>
          <w:tcPr>
            <w:tcW w:w="2370" w:type="dxa"/>
            <w:vMerge/>
            <w:vAlign w:val="center"/>
          </w:tcPr>
          <w:p w14:paraId="6504E4ED"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r>
      <w:tr w:rsidR="00F8503D" w14:paraId="537F32F4" w14:textId="77777777" w:rsidTr="4C5F9134">
        <w:trPr>
          <w:trHeight w:val="790"/>
          <w:jc w:val="center"/>
        </w:trPr>
        <w:tc>
          <w:tcPr>
            <w:tcW w:w="1700" w:type="dxa"/>
            <w:vMerge/>
            <w:vAlign w:val="center"/>
          </w:tcPr>
          <w:p w14:paraId="35E071A6"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c>
          <w:tcPr>
            <w:tcW w:w="4590" w:type="dxa"/>
            <w:vAlign w:val="center"/>
          </w:tcPr>
          <w:p w14:paraId="7E74C3B2" w14:textId="730F30E4" w:rsidR="00F8503D" w:rsidRPr="00A6243A" w:rsidRDefault="0033067D">
            <w:pPr>
              <w:ind w:right="150"/>
              <w:rPr>
                <w:rFonts w:ascii="Verdana" w:eastAsia="Verdana" w:hAnsi="Verdana" w:cs="Verdana"/>
                <w:color w:val="000000"/>
                <w:sz w:val="18"/>
                <w:szCs w:val="18"/>
              </w:rPr>
            </w:pPr>
            <w:r w:rsidRPr="00A6243A">
              <w:rPr>
                <w:rFonts w:ascii="Verdana" w:eastAsia="Verdana" w:hAnsi="Verdana" w:cs="Verdana"/>
                <w:color w:val="000000"/>
                <w:sz w:val="18"/>
                <w:szCs w:val="18"/>
              </w:rPr>
              <w:t xml:space="preserve">Criteria for instructional resource selection, </w:t>
            </w:r>
            <w:r w:rsidR="00A6243A">
              <w:rPr>
                <w:rFonts w:ascii="Verdana" w:eastAsia="Verdana" w:hAnsi="Verdana" w:cs="Verdana"/>
                <w:color w:val="000000"/>
                <w:sz w:val="18"/>
                <w:szCs w:val="18"/>
              </w:rPr>
              <w:t xml:space="preserve">alignment </w:t>
            </w:r>
            <w:r w:rsidRPr="00A6243A">
              <w:rPr>
                <w:rFonts w:ascii="Verdana" w:eastAsia="Verdana" w:hAnsi="Verdana" w:cs="Verdana"/>
                <w:color w:val="000000"/>
                <w:sz w:val="18"/>
                <w:szCs w:val="18"/>
              </w:rPr>
              <w:t>with credit courses including course placement</w:t>
            </w:r>
          </w:p>
        </w:tc>
        <w:tc>
          <w:tcPr>
            <w:tcW w:w="2370" w:type="dxa"/>
            <w:vMerge/>
            <w:vAlign w:val="center"/>
          </w:tcPr>
          <w:p w14:paraId="60846E10"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r>
      <w:tr w:rsidR="00F8503D" w14:paraId="3B8703C1" w14:textId="77777777" w:rsidTr="4C5F9134">
        <w:trPr>
          <w:trHeight w:val="790"/>
          <w:jc w:val="center"/>
        </w:trPr>
        <w:tc>
          <w:tcPr>
            <w:tcW w:w="1700" w:type="dxa"/>
            <w:vAlign w:val="center"/>
          </w:tcPr>
          <w:p w14:paraId="51D29DFF" w14:textId="77777777" w:rsidR="00F8503D" w:rsidRDefault="0033067D">
            <w:pPr>
              <w:ind w:right="379"/>
              <w:rPr>
                <w:rFonts w:ascii="Verdana" w:eastAsia="Verdana" w:hAnsi="Verdana" w:cs="Verdana"/>
                <w:color w:val="000000"/>
                <w:sz w:val="18"/>
                <w:szCs w:val="18"/>
              </w:rPr>
            </w:pPr>
            <w:r>
              <w:rPr>
                <w:rFonts w:ascii="Verdana" w:eastAsia="Verdana" w:hAnsi="Verdana" w:cs="Verdana"/>
                <w:color w:val="000000"/>
                <w:sz w:val="18"/>
                <w:szCs w:val="18"/>
              </w:rPr>
              <w:t>Instruction</w:t>
            </w:r>
          </w:p>
        </w:tc>
        <w:tc>
          <w:tcPr>
            <w:tcW w:w="4590" w:type="dxa"/>
            <w:vAlign w:val="center"/>
          </w:tcPr>
          <w:p w14:paraId="180413EF" w14:textId="77777777" w:rsidR="00F8503D" w:rsidRDefault="0033067D" w:rsidP="7B188CE2">
            <w:pPr>
              <w:ind w:right="234"/>
              <w:rPr>
                <w:rFonts w:ascii="Verdana" w:eastAsia="Verdana" w:hAnsi="Verdana" w:cs="Verdana"/>
                <w:color w:val="000000"/>
                <w:sz w:val="18"/>
                <w:szCs w:val="18"/>
                <w:lang w:val="en-US"/>
              </w:rPr>
            </w:pPr>
            <w:r w:rsidRPr="7B188CE2">
              <w:rPr>
                <w:rFonts w:ascii="Verdana" w:eastAsia="Verdana" w:hAnsi="Verdana" w:cs="Verdana"/>
                <w:color w:val="000000" w:themeColor="text1"/>
                <w:sz w:val="18"/>
                <w:szCs w:val="18"/>
                <w:lang w:val="en-US"/>
              </w:rPr>
              <w:t>OACCRS/OAELPS apparent in learner orientation content, course levels, and tracking of student progress</w:t>
            </w:r>
          </w:p>
        </w:tc>
        <w:tc>
          <w:tcPr>
            <w:tcW w:w="2370" w:type="dxa"/>
            <w:vMerge/>
            <w:vAlign w:val="center"/>
          </w:tcPr>
          <w:p w14:paraId="6F7D788F"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r>
      <w:tr w:rsidR="00F8503D" w14:paraId="5288DA38" w14:textId="77777777" w:rsidTr="4C5F9134">
        <w:trPr>
          <w:trHeight w:val="1330"/>
          <w:jc w:val="center"/>
        </w:trPr>
        <w:tc>
          <w:tcPr>
            <w:tcW w:w="1700" w:type="dxa"/>
            <w:vAlign w:val="center"/>
          </w:tcPr>
          <w:p w14:paraId="45A7DC0E" w14:textId="77777777" w:rsidR="00F8503D" w:rsidRDefault="0033067D">
            <w:pPr>
              <w:rPr>
                <w:rFonts w:ascii="Verdana" w:eastAsia="Verdana" w:hAnsi="Verdana" w:cs="Verdana"/>
                <w:color w:val="000000"/>
                <w:sz w:val="18"/>
                <w:szCs w:val="18"/>
              </w:rPr>
            </w:pPr>
            <w:r>
              <w:rPr>
                <w:rFonts w:ascii="Verdana" w:eastAsia="Verdana" w:hAnsi="Verdana" w:cs="Verdana"/>
                <w:color w:val="000000"/>
                <w:sz w:val="18"/>
                <w:szCs w:val="18"/>
              </w:rPr>
              <w:t>IET</w:t>
            </w:r>
          </w:p>
        </w:tc>
        <w:tc>
          <w:tcPr>
            <w:tcW w:w="4590" w:type="dxa"/>
            <w:vAlign w:val="center"/>
          </w:tcPr>
          <w:p w14:paraId="53B1CFDD" w14:textId="066EBCF1" w:rsidR="00F8503D" w:rsidRDefault="0033067D" w:rsidP="7B188CE2">
            <w:pPr>
              <w:ind w:right="469"/>
              <w:rPr>
                <w:rFonts w:ascii="Verdana" w:eastAsia="Verdana" w:hAnsi="Verdana" w:cs="Verdana"/>
                <w:color w:val="000000"/>
                <w:sz w:val="18"/>
                <w:szCs w:val="18"/>
                <w:lang w:val="en-US"/>
              </w:rPr>
            </w:pPr>
            <w:r w:rsidRPr="7B188CE2">
              <w:rPr>
                <w:rFonts w:ascii="Verdana" w:eastAsia="Verdana" w:hAnsi="Verdana" w:cs="Verdana"/>
                <w:color w:val="000000" w:themeColor="text1"/>
                <w:sz w:val="18"/>
                <w:szCs w:val="18"/>
                <w:lang w:val="en-US"/>
              </w:rPr>
              <w:t>OACCRS/OAELPS apparent in common learning objectives for all IET components:</w:t>
            </w:r>
          </w:p>
          <w:p w14:paraId="678035C3" w14:textId="77777777" w:rsidR="00F8503D" w:rsidRDefault="0033067D">
            <w:pPr>
              <w:widowControl w:val="0"/>
              <w:numPr>
                <w:ilvl w:val="0"/>
                <w:numId w:val="63"/>
              </w:numPr>
              <w:pBdr>
                <w:top w:val="nil"/>
                <w:left w:val="nil"/>
                <w:bottom w:val="nil"/>
                <w:right w:val="nil"/>
                <w:between w:val="nil"/>
              </w:pBdr>
              <w:tabs>
                <w:tab w:val="left" w:pos="835"/>
                <w:tab w:val="left" w:pos="836"/>
              </w:tabs>
              <w:ind w:left="475"/>
              <w:rPr>
                <w:color w:val="000000"/>
                <w:sz w:val="18"/>
                <w:szCs w:val="18"/>
              </w:rPr>
            </w:pPr>
            <w:r>
              <w:rPr>
                <w:rFonts w:ascii="Verdana" w:eastAsia="Verdana" w:hAnsi="Verdana" w:cs="Verdana"/>
                <w:color w:val="000000"/>
                <w:sz w:val="18"/>
                <w:szCs w:val="18"/>
              </w:rPr>
              <w:t>ABS</w:t>
            </w:r>
          </w:p>
          <w:p w14:paraId="3C9B69EF" w14:textId="77777777" w:rsidR="00F8503D" w:rsidRDefault="0033067D">
            <w:pPr>
              <w:widowControl w:val="0"/>
              <w:numPr>
                <w:ilvl w:val="0"/>
                <w:numId w:val="63"/>
              </w:numPr>
              <w:pBdr>
                <w:top w:val="nil"/>
                <w:left w:val="nil"/>
                <w:bottom w:val="nil"/>
                <w:right w:val="nil"/>
                <w:between w:val="nil"/>
              </w:pBdr>
              <w:tabs>
                <w:tab w:val="left" w:pos="835"/>
                <w:tab w:val="left" w:pos="836"/>
              </w:tabs>
              <w:ind w:left="475"/>
              <w:rPr>
                <w:color w:val="000000"/>
                <w:sz w:val="18"/>
                <w:szCs w:val="18"/>
              </w:rPr>
            </w:pPr>
            <w:r>
              <w:rPr>
                <w:rFonts w:ascii="Verdana" w:eastAsia="Verdana" w:hAnsi="Verdana" w:cs="Verdana"/>
                <w:color w:val="000000"/>
                <w:sz w:val="18"/>
                <w:szCs w:val="18"/>
              </w:rPr>
              <w:t>Workforce Preparation</w:t>
            </w:r>
          </w:p>
          <w:p w14:paraId="313BC579" w14:textId="77777777" w:rsidR="00F8503D" w:rsidRDefault="0033067D">
            <w:pPr>
              <w:widowControl w:val="0"/>
              <w:numPr>
                <w:ilvl w:val="0"/>
                <w:numId w:val="63"/>
              </w:numPr>
              <w:pBdr>
                <w:top w:val="nil"/>
                <w:left w:val="nil"/>
                <w:bottom w:val="nil"/>
                <w:right w:val="nil"/>
                <w:between w:val="nil"/>
              </w:pBdr>
              <w:tabs>
                <w:tab w:val="left" w:pos="835"/>
                <w:tab w:val="left" w:pos="836"/>
              </w:tabs>
              <w:ind w:left="475"/>
              <w:rPr>
                <w:color w:val="000000"/>
                <w:sz w:val="18"/>
                <w:szCs w:val="18"/>
              </w:rPr>
            </w:pPr>
            <w:r>
              <w:rPr>
                <w:rFonts w:ascii="Verdana" w:eastAsia="Verdana" w:hAnsi="Verdana" w:cs="Verdana"/>
                <w:color w:val="000000"/>
                <w:sz w:val="18"/>
                <w:szCs w:val="18"/>
              </w:rPr>
              <w:t>Workforce Training</w:t>
            </w:r>
          </w:p>
        </w:tc>
        <w:tc>
          <w:tcPr>
            <w:tcW w:w="2370" w:type="dxa"/>
            <w:vMerge/>
            <w:vAlign w:val="center"/>
          </w:tcPr>
          <w:p w14:paraId="5D139004" w14:textId="77777777" w:rsidR="00F8503D" w:rsidRDefault="00F8503D">
            <w:pPr>
              <w:widowControl w:val="0"/>
              <w:pBdr>
                <w:top w:val="nil"/>
                <w:left w:val="nil"/>
                <w:bottom w:val="nil"/>
                <w:right w:val="nil"/>
                <w:between w:val="nil"/>
              </w:pBdr>
              <w:spacing w:line="276" w:lineRule="auto"/>
              <w:rPr>
                <w:rFonts w:ascii="Verdana" w:eastAsia="Verdana" w:hAnsi="Verdana" w:cs="Verdana"/>
                <w:color w:val="000000"/>
                <w:sz w:val="18"/>
                <w:szCs w:val="18"/>
              </w:rPr>
            </w:pPr>
          </w:p>
        </w:tc>
      </w:tr>
    </w:tbl>
    <w:p w14:paraId="67287E58"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rPr>
      </w:pPr>
      <w:r>
        <w:br w:type="page"/>
      </w:r>
    </w:p>
    <w:p w14:paraId="1783D44E" w14:textId="77777777" w:rsidR="00F8503D" w:rsidRDefault="0033067D">
      <w:pPr>
        <w:keepNext/>
        <w:numPr>
          <w:ilvl w:val="2"/>
          <w:numId w:val="24"/>
        </w:numPr>
        <w:pBdr>
          <w:top w:val="nil"/>
          <w:left w:val="nil"/>
          <w:bottom w:val="nil"/>
          <w:right w:val="nil"/>
          <w:between w:val="nil"/>
        </w:pBdr>
        <w:spacing w:before="240" w:after="40" w:line="276" w:lineRule="auto"/>
      </w:pPr>
      <w:bookmarkStart w:id="14" w:name="_h1wd6vti1714" w:colFirst="0" w:colLast="0"/>
      <w:bookmarkEnd w:id="14"/>
      <w:r>
        <w:rPr>
          <w:rFonts w:ascii="Arial" w:eastAsia="Arial" w:hAnsi="Arial" w:cs="Arial"/>
          <w:smallCaps/>
          <w:color w:val="6A976C"/>
          <w:sz w:val="28"/>
          <w:szCs w:val="28"/>
        </w:rPr>
        <w:lastRenderedPageBreak/>
        <w:t>Essential Components of Reading Instruction</w:t>
      </w:r>
    </w:p>
    <w:p w14:paraId="3774821D"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0BB05AD8"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WIOA (section 231 (e)) requires that states consider the extent to which an eligible provider uses instructional practices that include the essential components of reading instruction in awarding Title II grants. The Adult Education and Family Literacy Act (Title II) states that the term “essential components of reading instruction” has the meaning given the term in section 1208 of the Elementary and Secondary Education Act of 1965 (20 U.S.C. 6368) which is explicit and systematic instruction in:</w:t>
      </w:r>
    </w:p>
    <w:p w14:paraId="0799CED0" w14:textId="77777777" w:rsidR="00F8503D" w:rsidRDefault="0033067D">
      <w:pPr>
        <w:numPr>
          <w:ilvl w:val="0"/>
          <w:numId w:val="64"/>
        </w:numPr>
        <w:pBdr>
          <w:top w:val="nil"/>
          <w:left w:val="nil"/>
          <w:bottom w:val="nil"/>
          <w:right w:val="nil"/>
          <w:between w:val="nil"/>
        </w:pBdr>
        <w:spacing w:after="160" w:line="276" w:lineRule="auto"/>
      </w:pPr>
      <w:r>
        <w:rPr>
          <w:rFonts w:ascii="Verdana" w:eastAsia="Verdana" w:hAnsi="Verdana" w:cs="Verdana"/>
          <w:color w:val="000000"/>
          <w:sz w:val="23"/>
          <w:szCs w:val="23"/>
        </w:rPr>
        <w:t>Phonemic awareness;</w:t>
      </w:r>
    </w:p>
    <w:p w14:paraId="329FB9D6" w14:textId="77777777" w:rsidR="00F8503D" w:rsidRDefault="0033067D">
      <w:pPr>
        <w:numPr>
          <w:ilvl w:val="0"/>
          <w:numId w:val="64"/>
        </w:numPr>
        <w:pBdr>
          <w:top w:val="nil"/>
          <w:left w:val="nil"/>
          <w:bottom w:val="nil"/>
          <w:right w:val="nil"/>
          <w:between w:val="nil"/>
        </w:pBdr>
        <w:spacing w:after="160" w:line="276" w:lineRule="auto"/>
      </w:pPr>
      <w:r>
        <w:rPr>
          <w:rFonts w:ascii="Verdana" w:eastAsia="Verdana" w:hAnsi="Verdana" w:cs="Verdana"/>
          <w:color w:val="000000"/>
          <w:sz w:val="23"/>
          <w:szCs w:val="23"/>
        </w:rPr>
        <w:t>Phonics;</w:t>
      </w:r>
    </w:p>
    <w:p w14:paraId="34A90A07" w14:textId="77777777" w:rsidR="00F8503D" w:rsidRDefault="0033067D">
      <w:pPr>
        <w:numPr>
          <w:ilvl w:val="0"/>
          <w:numId w:val="64"/>
        </w:numPr>
        <w:pBdr>
          <w:top w:val="nil"/>
          <w:left w:val="nil"/>
          <w:bottom w:val="nil"/>
          <w:right w:val="nil"/>
          <w:between w:val="nil"/>
        </w:pBdr>
        <w:spacing w:after="160" w:line="276" w:lineRule="auto"/>
      </w:pPr>
      <w:r>
        <w:rPr>
          <w:rFonts w:ascii="Verdana" w:eastAsia="Verdana" w:hAnsi="Verdana" w:cs="Verdana"/>
          <w:color w:val="000000"/>
          <w:sz w:val="23"/>
          <w:szCs w:val="23"/>
        </w:rPr>
        <w:t>Vocabulary development</w:t>
      </w:r>
    </w:p>
    <w:p w14:paraId="53F28CBA" w14:textId="77777777" w:rsidR="00F8503D" w:rsidRDefault="0033067D">
      <w:pPr>
        <w:numPr>
          <w:ilvl w:val="0"/>
          <w:numId w:val="64"/>
        </w:numPr>
        <w:pBdr>
          <w:top w:val="nil"/>
          <w:left w:val="nil"/>
          <w:bottom w:val="nil"/>
          <w:right w:val="nil"/>
          <w:between w:val="nil"/>
        </w:pBdr>
        <w:spacing w:after="160" w:line="276" w:lineRule="auto"/>
      </w:pPr>
      <w:r>
        <w:rPr>
          <w:rFonts w:ascii="Verdana" w:eastAsia="Verdana" w:hAnsi="Verdana" w:cs="Verdana"/>
          <w:color w:val="000000"/>
          <w:sz w:val="23"/>
          <w:szCs w:val="23"/>
        </w:rPr>
        <w:t>Reading fluency, including oral reading skills; and</w:t>
      </w:r>
    </w:p>
    <w:p w14:paraId="1B0DA1C6" w14:textId="77777777" w:rsidR="00F8503D" w:rsidRDefault="0033067D">
      <w:pPr>
        <w:numPr>
          <w:ilvl w:val="0"/>
          <w:numId w:val="64"/>
        </w:numPr>
        <w:pBdr>
          <w:top w:val="nil"/>
          <w:left w:val="nil"/>
          <w:bottom w:val="nil"/>
          <w:right w:val="nil"/>
          <w:between w:val="nil"/>
        </w:pBdr>
        <w:spacing w:after="160" w:line="276" w:lineRule="auto"/>
      </w:pPr>
      <w:r>
        <w:rPr>
          <w:rFonts w:ascii="Verdana" w:eastAsia="Verdana" w:hAnsi="Verdana" w:cs="Verdana"/>
          <w:color w:val="000000"/>
          <w:sz w:val="23"/>
          <w:szCs w:val="23"/>
        </w:rPr>
        <w:t>Reading comprehension strategies.</w:t>
      </w:r>
    </w:p>
    <w:p w14:paraId="7503F97A"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Student Achievement in Reading (STAR) program, which was created by OCTAE to assist states and local programs in making systemic and instructional changes required to improve the reading achievement of intermediate-level adult learners, defines the components:</w:t>
      </w:r>
    </w:p>
    <w:p w14:paraId="3486A147" w14:textId="77777777" w:rsidR="00F8503D" w:rsidRDefault="0033067D">
      <w:pPr>
        <w:numPr>
          <w:ilvl w:val="0"/>
          <w:numId w:val="6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Alphabetics (which includes phonemic awareness, phonics, and decoding) is the process readers use to identify words. Readers must rely on alphabetic knowledge and decoding skills to read unfamiliar words.</w:t>
      </w:r>
    </w:p>
    <w:p w14:paraId="2BE5E042" w14:textId="77777777" w:rsidR="00F8503D" w:rsidRDefault="0033067D">
      <w:pPr>
        <w:numPr>
          <w:ilvl w:val="0"/>
          <w:numId w:val="65"/>
        </w:numPr>
        <w:pBdr>
          <w:top w:val="nil"/>
          <w:left w:val="nil"/>
          <w:bottom w:val="nil"/>
          <w:right w:val="nil"/>
          <w:between w:val="nil"/>
        </w:pBdr>
        <w:spacing w:after="160" w:line="276" w:lineRule="auto"/>
      </w:pPr>
      <w:r>
        <w:rPr>
          <w:rFonts w:ascii="Verdana" w:eastAsia="Verdana" w:hAnsi="Verdana" w:cs="Verdana"/>
          <w:color w:val="000000"/>
          <w:sz w:val="23"/>
          <w:szCs w:val="23"/>
        </w:rPr>
        <w:t>Fluency is the ability to read with efficiency and ease (speed and accuracy). Without fluency, readers attend more to decoding than to understanding the meaning of what they are reading. When word and sentence reading are automatic and fluent, readers can concentrate more fully on understanding and connecting sentences and paragraphs, which enables them to create meaning from the text.</w:t>
      </w:r>
    </w:p>
    <w:p w14:paraId="2CD9180C" w14:textId="77777777" w:rsidR="00F8503D" w:rsidRDefault="0033067D">
      <w:pPr>
        <w:numPr>
          <w:ilvl w:val="0"/>
          <w:numId w:val="65"/>
        </w:numPr>
        <w:pBdr>
          <w:top w:val="nil"/>
          <w:left w:val="nil"/>
          <w:bottom w:val="nil"/>
          <w:right w:val="nil"/>
          <w:between w:val="nil"/>
        </w:pBdr>
        <w:spacing w:after="160" w:line="276" w:lineRule="auto"/>
      </w:pPr>
      <w:r>
        <w:rPr>
          <w:rFonts w:ascii="Verdana" w:eastAsia="Verdana" w:hAnsi="Verdana" w:cs="Verdana"/>
          <w:color w:val="000000"/>
          <w:sz w:val="23"/>
          <w:szCs w:val="23"/>
        </w:rPr>
        <w:t>Vocabulary is the body of words whose meanings a person knows and understands. Vocabulary knowledge— specifically, the depth, breadth, and flexibility of a person’s knowledge about words—is a primary predictor of reading success.</w:t>
      </w:r>
    </w:p>
    <w:p w14:paraId="1F7C568F" w14:textId="77777777" w:rsidR="00F8503D" w:rsidRDefault="0033067D">
      <w:pPr>
        <w:numPr>
          <w:ilvl w:val="0"/>
          <w:numId w:val="6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 xml:space="preserve">Reading comprehension is the process and product of understanding text and requires a high level of metacognitive engagement with text. </w:t>
      </w:r>
    </w:p>
    <w:p w14:paraId="0011696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lastRenderedPageBreak/>
        <w:t>Policies</w:t>
      </w:r>
    </w:p>
    <w:p w14:paraId="3704F912" w14:textId="77777777" w:rsidR="00F8503D" w:rsidRDefault="0033067D">
      <w:pPr>
        <w:numPr>
          <w:ilvl w:val="0"/>
          <w:numId w:val="66"/>
        </w:numPr>
        <w:pBdr>
          <w:top w:val="nil"/>
          <w:left w:val="nil"/>
          <w:bottom w:val="nil"/>
          <w:right w:val="nil"/>
          <w:between w:val="nil"/>
        </w:pBdr>
        <w:spacing w:after="160" w:line="276" w:lineRule="auto"/>
        <w:ind w:left="360" w:hanging="360"/>
      </w:pPr>
      <w:r>
        <w:rPr>
          <w:rFonts w:ascii="Verdana" w:eastAsia="Verdana" w:hAnsi="Verdana" w:cs="Verdana"/>
          <w:color w:val="000000"/>
          <w:sz w:val="23"/>
          <w:szCs w:val="23"/>
        </w:rPr>
        <w:t>Programs must incorporate the essential components of reading instruction into program activities.</w:t>
      </w:r>
    </w:p>
    <w:p w14:paraId="54D3F5EA" w14:textId="77777777" w:rsidR="00F8503D" w:rsidRDefault="0033067D">
      <w:pPr>
        <w:numPr>
          <w:ilvl w:val="0"/>
          <w:numId w:val="66"/>
        </w:numPr>
        <w:pBdr>
          <w:top w:val="nil"/>
          <w:left w:val="nil"/>
          <w:bottom w:val="nil"/>
          <w:right w:val="nil"/>
          <w:between w:val="nil"/>
        </w:pBdr>
        <w:spacing w:after="160" w:line="276" w:lineRule="auto"/>
        <w:ind w:left="360" w:hanging="360"/>
      </w:pPr>
      <w:r>
        <w:rPr>
          <w:rFonts w:ascii="Verdana" w:eastAsia="Verdana" w:hAnsi="Verdana" w:cs="Verdana"/>
          <w:color w:val="000000"/>
          <w:sz w:val="23"/>
          <w:szCs w:val="23"/>
        </w:rPr>
        <w:t>Programs must use the relevant OACCRS/OAELPS Reading Standards.</w:t>
      </w:r>
    </w:p>
    <w:p w14:paraId="628DF955" w14:textId="77777777" w:rsidR="00F8503D" w:rsidRDefault="0033067D">
      <w:pPr>
        <w:keepNext/>
        <w:numPr>
          <w:ilvl w:val="2"/>
          <w:numId w:val="24"/>
        </w:numPr>
        <w:pBdr>
          <w:top w:val="nil"/>
          <w:left w:val="nil"/>
          <w:bottom w:val="nil"/>
          <w:right w:val="nil"/>
          <w:between w:val="nil"/>
        </w:pBdr>
        <w:spacing w:before="240" w:after="40" w:line="276" w:lineRule="auto"/>
      </w:pPr>
      <w:bookmarkStart w:id="15" w:name="_jp09rpmp0gk5" w:colFirst="0" w:colLast="0"/>
      <w:bookmarkEnd w:id="15"/>
      <w:r>
        <w:rPr>
          <w:rFonts w:ascii="Arial" w:eastAsia="Arial" w:hAnsi="Arial" w:cs="Arial"/>
          <w:smallCaps/>
          <w:color w:val="6A976C"/>
          <w:sz w:val="28"/>
          <w:szCs w:val="28"/>
        </w:rPr>
        <w:t>Serving Learners with Disabilities</w:t>
      </w:r>
    </w:p>
    <w:p w14:paraId="7BA31E3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3BCB6393"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accountability standards in the 1998 Workforce Investment Act included the Rehabilitation Act Amendments of 1998 to improve access to adult programs and achieve employment outcomes for learners with disabilities. Other legislation addresses provisions related to testing accommodations for learners with disabilities, including the ADA Amendments of 2008, Section 504 in the Rehabilitation Act of 1973, the Individuals with Disabilities Education Improvement Act of 2004, and the No Child Left Behind Act of 2001. These laws ensure equal access for all learners in education programs, including learners with disabilities. Accommodations provide an opportunity for learners to demonstrate their skills and ability. The accommodations may alter delivery of instruction without changing the content.</w:t>
      </w:r>
    </w:p>
    <w:p w14:paraId="04B7C36A"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Workforce Innovation and Opportunity Act (WIOA) reaffirms the intent of the previous acts, and further specifies individuals with temporary disabilities, such as pregnancy, as well as identifying specific disabilities such as dyslexia and Attention Deficit/Hyperactivity Disorder (AD/HD) as eligible for accommodation and as priorities for education and training.</w:t>
      </w:r>
    </w:p>
    <w:p w14:paraId="18D0782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109E1DF4"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provide fully accessible services and ensure that these services meet reasonable criteria according to federal and state law and the policies of their organization.</w:t>
      </w:r>
    </w:p>
    <w:p w14:paraId="1CEFCC72"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require that adult learners with disabilities are responsible for requesting accommodations and for submitting documentation of their disability.</w:t>
      </w:r>
    </w:p>
    <w:p w14:paraId="3682EABC"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follow their organization’s policy regarding services to individuals with disabilities.</w:t>
      </w:r>
    </w:p>
    <w:p w14:paraId="57740669"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provide accommodations at no cost to the learner.</w:t>
      </w:r>
    </w:p>
    <w:p w14:paraId="1926DB5D"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Programs must provide learners with the same disabilities services as other individuals receiving educational services in the organization, including </w:t>
      </w:r>
      <w:r>
        <w:rPr>
          <w:rFonts w:ascii="Verdana" w:eastAsia="Verdana" w:hAnsi="Verdana" w:cs="Verdana"/>
          <w:color w:val="000000"/>
          <w:sz w:val="23"/>
          <w:szCs w:val="23"/>
        </w:rPr>
        <w:lastRenderedPageBreak/>
        <w:t>assessment, counseling, advising, and provision of reasonable accommodations, assistive technology, and other accommodations available to other learners.</w:t>
      </w:r>
    </w:p>
    <w:p w14:paraId="02BA43E0"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Programs must provide the same accommodations for testing as they do for instruction and as documented in a learner’s education plan. </w:t>
      </w:r>
    </w:p>
    <w:p w14:paraId="3ECA879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Guidance</w:t>
      </w:r>
    </w:p>
    <w:p w14:paraId="7AC1AEC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Programs may provide other accommodations to all learners without the need for documentation of disability. These accommodations could include magnifiers, slot paper, straight-edged rulers, colored overlays, etc.</w:t>
      </w:r>
    </w:p>
    <w:p w14:paraId="735B458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Program Activities</w:t>
      </w:r>
    </w:p>
    <w:p w14:paraId="0F887890" w14:textId="0D53B3A2" w:rsidR="00F8503D" w:rsidRDefault="0033067D">
      <w:pPr>
        <w:keepNext/>
        <w:numPr>
          <w:ilvl w:val="2"/>
          <w:numId w:val="24"/>
        </w:numPr>
        <w:pBdr>
          <w:top w:val="nil"/>
          <w:left w:val="nil"/>
          <w:bottom w:val="nil"/>
          <w:right w:val="nil"/>
          <w:between w:val="nil"/>
        </w:pBdr>
        <w:spacing w:before="240" w:after="40" w:line="276" w:lineRule="auto"/>
      </w:pPr>
      <w:bookmarkStart w:id="16" w:name="_c38yp7uo0jra" w:colFirst="0" w:colLast="0"/>
      <w:bookmarkEnd w:id="16"/>
      <w:r>
        <w:rPr>
          <w:rFonts w:ascii="Arial" w:eastAsia="Arial" w:hAnsi="Arial" w:cs="Arial"/>
          <w:smallCaps/>
          <w:color w:val="6A976C"/>
          <w:sz w:val="28"/>
          <w:szCs w:val="28"/>
        </w:rPr>
        <w:t xml:space="preserve">Adult </w:t>
      </w:r>
      <w:r w:rsidR="00FF4575">
        <w:rPr>
          <w:rFonts w:ascii="Arial" w:eastAsia="Arial" w:hAnsi="Arial" w:cs="Arial"/>
          <w:smallCaps/>
          <w:color w:val="6A976C"/>
          <w:sz w:val="28"/>
          <w:szCs w:val="28"/>
        </w:rPr>
        <w:t>Basic</w:t>
      </w:r>
      <w:r>
        <w:rPr>
          <w:rFonts w:ascii="Arial" w:eastAsia="Arial" w:hAnsi="Arial" w:cs="Arial"/>
          <w:smallCaps/>
          <w:color w:val="6A976C"/>
          <w:sz w:val="28"/>
          <w:szCs w:val="28"/>
        </w:rPr>
        <w:t xml:space="preserve"> Education (ABE)</w:t>
      </w:r>
    </w:p>
    <w:p w14:paraId="0185D84D"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06C7A6FE" w14:textId="457F8E4C"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“Adult </w:t>
      </w:r>
      <w:r w:rsidR="00FF4575">
        <w:rPr>
          <w:rFonts w:ascii="Verdana" w:eastAsia="Verdana" w:hAnsi="Verdana" w:cs="Verdana"/>
          <w:color w:val="000000"/>
          <w:sz w:val="23"/>
          <w:szCs w:val="23"/>
        </w:rPr>
        <w:t>Basic</w:t>
      </w:r>
      <w:r>
        <w:rPr>
          <w:rFonts w:ascii="Verdana" w:eastAsia="Verdana" w:hAnsi="Verdana" w:cs="Verdana"/>
          <w:color w:val="000000"/>
          <w:sz w:val="23"/>
          <w:szCs w:val="23"/>
        </w:rPr>
        <w:t xml:space="preserve"> Education” means instruction designed for an adult whose Educational Functioning Level (EFL) is equivalent to a particular ABE literacy level described in the NRS EFL table in the Measures and Methods for the National Reporting System (NRS) for Adult Education, OMB Control Number: 1830–0027 (henceforth known as NRS Implementation Guidelines).</w:t>
      </w:r>
    </w:p>
    <w:p w14:paraId="345E076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164F21C6" w14:textId="21DEB75F" w:rsidR="00F8503D" w:rsidRPr="00955A56"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Programs must use Title II funds for allowable ABS activities that target eligible individuals. Programs must provide </w:t>
      </w:r>
      <w:r w:rsidRPr="008F1F89">
        <w:rPr>
          <w:rFonts w:ascii="Verdana" w:eastAsia="Verdana" w:hAnsi="Verdana" w:cs="Verdana"/>
          <w:sz w:val="23"/>
          <w:szCs w:val="23"/>
        </w:rPr>
        <w:t xml:space="preserve"> ABE and ASE, ESL, andIET.</w:t>
      </w:r>
    </w:p>
    <w:p w14:paraId="74CF63DC" w14:textId="77777777" w:rsidR="00F8503D" w:rsidRDefault="0033067D">
      <w:pPr>
        <w:numPr>
          <w:ilvl w:val="6"/>
          <w:numId w:val="24"/>
        </w:numPr>
        <w:pBdr>
          <w:top w:val="nil"/>
          <w:left w:val="nil"/>
          <w:bottom w:val="nil"/>
          <w:right w:val="nil"/>
          <w:between w:val="nil"/>
        </w:pBdr>
        <w:spacing w:after="160" w:line="276" w:lineRule="auto"/>
        <w:ind w:left="360"/>
      </w:pPr>
      <w:r w:rsidRPr="008F1F89">
        <w:rPr>
          <w:rFonts w:ascii="Verdana" w:eastAsia="Verdana" w:hAnsi="Verdana" w:cs="Verdana"/>
          <w:sz w:val="23"/>
          <w:szCs w:val="23"/>
          <w:lang w:val="en-US"/>
        </w:rPr>
        <w:t>Implementation of the OACCRS/OAELPS</w:t>
      </w:r>
      <w:r w:rsidRPr="7B188CE2">
        <w:rPr>
          <w:rFonts w:ascii="Verdana" w:eastAsia="Verdana" w:hAnsi="Verdana" w:cs="Verdana"/>
          <w:color w:val="000000" w:themeColor="text1"/>
          <w:sz w:val="23"/>
          <w:szCs w:val="23"/>
          <w:lang w:val="en-US"/>
        </w:rPr>
        <w:t xml:space="preserve"> must be evident in ABE curriculum and instruction.</w:t>
      </w:r>
    </w:p>
    <w:p w14:paraId="5336D696" w14:textId="77777777" w:rsidR="00F8503D" w:rsidRDefault="0033067D">
      <w:pPr>
        <w:keepNext/>
        <w:numPr>
          <w:ilvl w:val="2"/>
          <w:numId w:val="24"/>
        </w:numPr>
        <w:pBdr>
          <w:top w:val="nil"/>
          <w:left w:val="nil"/>
          <w:bottom w:val="nil"/>
          <w:right w:val="nil"/>
          <w:between w:val="nil"/>
        </w:pBdr>
        <w:spacing w:before="240" w:after="40" w:line="276" w:lineRule="auto"/>
      </w:pPr>
      <w:bookmarkStart w:id="17" w:name="_t0v8owfyvrth" w:colFirst="0" w:colLast="0"/>
      <w:bookmarkEnd w:id="17"/>
      <w:r>
        <w:rPr>
          <w:rFonts w:ascii="Arial" w:eastAsia="Arial" w:hAnsi="Arial" w:cs="Arial"/>
          <w:smallCaps/>
          <w:color w:val="6A976C"/>
          <w:sz w:val="28"/>
          <w:szCs w:val="28"/>
        </w:rPr>
        <w:t>Adult Secondary Education (ASE)</w:t>
      </w:r>
    </w:p>
    <w:p w14:paraId="79D30AA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304DE5B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“Adult Secondary Education” means instruction designed for an adult whose EFL is equivalent to a particular ASE literacy level described in the NRS EFL table in the NRS Implementation Guidelines.</w:t>
      </w:r>
    </w:p>
    <w:p w14:paraId="377381C4"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65460A93" w14:textId="027C716E" w:rsidR="00F8503D" w:rsidRDefault="0033067D">
      <w:pPr>
        <w:numPr>
          <w:ilvl w:val="0"/>
          <w:numId w:val="52"/>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use Title II funds for allowable ABS activities that target eligible individuals. Programs must provide ABE and ASE, ESL, and IET.</w:t>
      </w:r>
    </w:p>
    <w:p w14:paraId="4B10A974" w14:textId="77777777" w:rsidR="00F8503D" w:rsidRDefault="0033067D">
      <w:pPr>
        <w:numPr>
          <w:ilvl w:val="0"/>
          <w:numId w:val="52"/>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Implementation of the OACCRS/OAELPS must be evident in ASE curriculum and instruction.</w:t>
      </w:r>
    </w:p>
    <w:p w14:paraId="5941B13D" w14:textId="77777777" w:rsidR="00F8503D" w:rsidRDefault="0033067D">
      <w:pPr>
        <w:keepNext/>
        <w:numPr>
          <w:ilvl w:val="2"/>
          <w:numId w:val="24"/>
        </w:numPr>
        <w:pBdr>
          <w:top w:val="nil"/>
          <w:left w:val="nil"/>
          <w:bottom w:val="nil"/>
          <w:right w:val="nil"/>
          <w:between w:val="nil"/>
        </w:pBdr>
        <w:spacing w:before="240" w:after="40" w:line="276" w:lineRule="auto"/>
      </w:pPr>
      <w:bookmarkStart w:id="18" w:name="_6lhbsowvtiap" w:colFirst="0" w:colLast="0"/>
      <w:bookmarkEnd w:id="18"/>
      <w:r>
        <w:rPr>
          <w:rFonts w:ascii="Arial" w:eastAsia="Arial" w:hAnsi="Arial" w:cs="Arial"/>
          <w:smallCaps/>
          <w:color w:val="6A976C"/>
          <w:sz w:val="28"/>
          <w:szCs w:val="28"/>
        </w:rPr>
        <w:lastRenderedPageBreak/>
        <w:t>Career Pathways</w:t>
      </w:r>
    </w:p>
    <w:p w14:paraId="483952CB"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5A2A0338"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In Oregon, community college programs follow the federal WIOA definition of “career pathways.” According to WIOA, the term ‘‘career pathway’’ means a combination of rigorous and high-quality education, training, and other services that:</w:t>
      </w:r>
    </w:p>
    <w:p w14:paraId="18CA7481" w14:textId="77777777" w:rsidR="00F8503D" w:rsidRDefault="0033067D">
      <w:pPr>
        <w:numPr>
          <w:ilvl w:val="0"/>
          <w:numId w:val="67"/>
        </w:numPr>
        <w:pBdr>
          <w:top w:val="nil"/>
          <w:left w:val="nil"/>
          <w:bottom w:val="nil"/>
          <w:right w:val="nil"/>
          <w:between w:val="nil"/>
        </w:pBdr>
        <w:spacing w:after="160" w:line="276" w:lineRule="auto"/>
      </w:pPr>
      <w:r>
        <w:rPr>
          <w:rFonts w:ascii="Verdana" w:eastAsia="Verdana" w:hAnsi="Verdana" w:cs="Verdana"/>
          <w:color w:val="000000"/>
          <w:sz w:val="23"/>
          <w:szCs w:val="23"/>
        </w:rPr>
        <w:t>Aligns with the skill needs of industries in the economy of the State or regional economy involved;</w:t>
      </w:r>
    </w:p>
    <w:p w14:paraId="29E447B1" w14:textId="77777777" w:rsidR="00F8503D" w:rsidRDefault="0033067D">
      <w:pPr>
        <w:numPr>
          <w:ilvl w:val="0"/>
          <w:numId w:val="67"/>
        </w:numPr>
        <w:pBdr>
          <w:top w:val="nil"/>
          <w:left w:val="nil"/>
          <w:bottom w:val="nil"/>
          <w:right w:val="nil"/>
          <w:between w:val="nil"/>
        </w:pBdr>
        <w:spacing w:after="160" w:line="276" w:lineRule="auto"/>
      </w:pPr>
      <w:r>
        <w:rPr>
          <w:rFonts w:ascii="Verdana" w:eastAsia="Verdana" w:hAnsi="Verdana" w:cs="Verdana"/>
          <w:color w:val="000000"/>
          <w:sz w:val="23"/>
          <w:szCs w:val="23"/>
        </w:rPr>
        <w:t>Prepares an individual to be successful in any of a full range of secondary or postsecondary education options, including apprenticeships registered under the Act of August 16, 1937 (commonly known as the ‘‘National Apprenticeship Act’’; 50 Stat. 664, chapter 663; 29 U.S.C. 50 et seq.) (referred to individually in this Act as an ‘‘apprenticeship’’, except in section 171);</w:t>
      </w:r>
    </w:p>
    <w:p w14:paraId="359F0813" w14:textId="77777777" w:rsidR="00F8503D" w:rsidRDefault="0033067D">
      <w:pPr>
        <w:numPr>
          <w:ilvl w:val="0"/>
          <w:numId w:val="67"/>
        </w:numPr>
        <w:pBdr>
          <w:top w:val="nil"/>
          <w:left w:val="nil"/>
          <w:bottom w:val="nil"/>
          <w:right w:val="nil"/>
          <w:between w:val="nil"/>
        </w:pBdr>
        <w:spacing w:after="160" w:line="276" w:lineRule="auto"/>
      </w:pPr>
      <w:r>
        <w:rPr>
          <w:rFonts w:ascii="Verdana" w:eastAsia="Verdana" w:hAnsi="Verdana" w:cs="Verdana"/>
          <w:color w:val="000000"/>
          <w:sz w:val="23"/>
          <w:szCs w:val="23"/>
        </w:rPr>
        <w:t>Includes counseling to support an individual in achieving the individual’s education and career goals;</w:t>
      </w:r>
    </w:p>
    <w:p w14:paraId="31059247" w14:textId="77777777" w:rsidR="00F8503D" w:rsidRDefault="0033067D">
      <w:pPr>
        <w:numPr>
          <w:ilvl w:val="0"/>
          <w:numId w:val="6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Includes, as appropriate, education offered concurrently with and in the same context as workforce preparation activities and training for a specific occupation or occupational cluster;</w:t>
      </w:r>
    </w:p>
    <w:p w14:paraId="3DC96B4F" w14:textId="77777777" w:rsidR="00F8503D" w:rsidRDefault="0033067D">
      <w:pPr>
        <w:numPr>
          <w:ilvl w:val="0"/>
          <w:numId w:val="6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Organizes education, training, and other services to meet the particular needs of an individual in a manner that accelerates the educational and career advancement of the individual to the extent practicable;</w:t>
      </w:r>
    </w:p>
    <w:p w14:paraId="73269468" w14:textId="77777777" w:rsidR="00F8503D" w:rsidRDefault="0033067D">
      <w:pPr>
        <w:numPr>
          <w:ilvl w:val="0"/>
          <w:numId w:val="6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Enables an individual to attain a secondary school diploma or its recognized equivalent, and at least one recognized postsecondary credential; and</w:t>
      </w:r>
    </w:p>
    <w:p w14:paraId="2A184A66" w14:textId="77777777" w:rsidR="00F8503D" w:rsidRDefault="0033067D">
      <w:pPr>
        <w:numPr>
          <w:ilvl w:val="0"/>
          <w:numId w:val="67"/>
        </w:numPr>
        <w:pBdr>
          <w:top w:val="nil"/>
          <w:left w:val="nil"/>
          <w:bottom w:val="nil"/>
          <w:right w:val="nil"/>
          <w:between w:val="nil"/>
        </w:pBdr>
        <w:spacing w:after="160" w:line="276" w:lineRule="auto"/>
      </w:pPr>
      <w:r>
        <w:rPr>
          <w:rFonts w:ascii="Verdana" w:eastAsia="Verdana" w:hAnsi="Verdana" w:cs="Verdana"/>
          <w:color w:val="000000"/>
          <w:sz w:val="23"/>
          <w:szCs w:val="23"/>
        </w:rPr>
        <w:t>Helps an individual enter or advance within a specific occupation or occupational cluster (WIOA section 3).</w:t>
      </w:r>
    </w:p>
    <w:p w14:paraId="00EB053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Additionally, the Oregon State Plan for WIOA includes the following working definition of Career Pathways:</w:t>
      </w:r>
    </w:p>
    <w:p w14:paraId="53331658" w14:textId="77777777" w:rsidR="00F8503D" w:rsidRDefault="0033067D">
      <w:pPr>
        <w:pBdr>
          <w:top w:val="nil"/>
          <w:left w:val="nil"/>
          <w:bottom w:val="nil"/>
          <w:right w:val="nil"/>
          <w:between w:val="nil"/>
        </w:pBdr>
        <w:spacing w:after="160" w:line="276" w:lineRule="auto"/>
        <w:ind w:left="360"/>
        <w:rPr>
          <w:rFonts w:ascii="Verdana" w:eastAsia="Verdana" w:hAnsi="Verdana" w:cs="Verdana"/>
          <w:i/>
          <w:iCs/>
          <w:color w:val="000000"/>
          <w:sz w:val="23"/>
          <w:szCs w:val="23"/>
        </w:rPr>
      </w:pPr>
      <w:r>
        <w:rPr>
          <w:rFonts w:ascii="Verdana" w:eastAsia="Verdana" w:hAnsi="Verdana" w:cs="Verdana"/>
          <w:i/>
          <w:iCs/>
          <w:color w:val="000000"/>
          <w:sz w:val="23"/>
          <w:szCs w:val="23"/>
        </w:rPr>
        <w:t>Career pathways are sequences of high–quality education, training, and services connected to industry skill needs. Career pathways have multiple entry and exit points that allow individuals to achieve education and employment goals over time. Career Pathways may include apprenticeships, on-the-job training, industry-recognized credentials, non–credit training and certificates, credit certificates, and degrees.</w:t>
      </w:r>
    </w:p>
    <w:p w14:paraId="69ED1D3C"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lastRenderedPageBreak/>
        <w:t>The ‘Community College Career Pathways’ grants, which are awarded to colleges every two years, also follow the federal and state definitions of career pathways. The community of practice established with these grants (Oregon Pathways Alliance) also created a working definition to create a shared vision and better guide their implementation of these grants. It defines career pathways as:</w:t>
      </w:r>
    </w:p>
    <w:p w14:paraId="48878859" w14:textId="77777777" w:rsidR="00F8503D" w:rsidRDefault="0033067D" w:rsidP="7B188CE2">
      <w:pPr>
        <w:pBdr>
          <w:top w:val="nil"/>
          <w:left w:val="nil"/>
          <w:bottom w:val="nil"/>
          <w:right w:val="nil"/>
          <w:between w:val="nil"/>
        </w:pBdr>
        <w:spacing w:after="160" w:line="276" w:lineRule="auto"/>
        <w:ind w:left="360"/>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Oregon career pathways are linked education and training with intentional student support that enable individuals to secure credentials and advance over time to higher levels of education and employment in a given occupation or industry sector.</w:t>
      </w:r>
    </w:p>
    <w:p w14:paraId="12869A5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"Career Pathways Certificate of Completion" is a certificate awarded by a community college for meeting specific technical skill proficiency requirements that meet an employment need. Career Pathways Certificates are a collection of 12 to 44 credits that are wholly contained in an approved Associate of Applied Science (AAS) degree option, or an Independent Certificate of Completion (with at least 45 credits). A Career Pathways Certificate also has a defined job entry point, represents collegiate-level work, and meets Commission standards and criteria. (OAR 589-006-0050 (14)). </w:t>
      </w:r>
    </w:p>
    <w:p w14:paraId="50DBFDE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22A8824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Career pathways used in Integrated Education and Training refers to the federal WIOA definition. </w:t>
      </w:r>
    </w:p>
    <w:p w14:paraId="3599AA57" w14:textId="77777777" w:rsidR="00F8503D" w:rsidRDefault="0033067D">
      <w:pPr>
        <w:keepNext/>
        <w:numPr>
          <w:ilvl w:val="2"/>
          <w:numId w:val="24"/>
        </w:numPr>
        <w:pBdr>
          <w:top w:val="nil"/>
          <w:left w:val="nil"/>
          <w:bottom w:val="nil"/>
          <w:right w:val="nil"/>
          <w:between w:val="nil"/>
        </w:pBdr>
        <w:spacing w:before="240" w:after="40" w:line="276" w:lineRule="auto"/>
      </w:pPr>
      <w:bookmarkStart w:id="19" w:name="_z7ph51flmz6u" w:colFirst="0" w:colLast="0"/>
      <w:bookmarkEnd w:id="19"/>
      <w:r>
        <w:rPr>
          <w:rFonts w:ascii="Arial" w:eastAsia="Arial" w:hAnsi="Arial" w:cs="Arial"/>
          <w:smallCaps/>
          <w:color w:val="6A976C"/>
          <w:sz w:val="28"/>
          <w:szCs w:val="28"/>
        </w:rPr>
        <w:t>Corrections Education</w:t>
      </w:r>
    </w:p>
    <w:p w14:paraId="6328A452"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934BA07"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Corrections Education services are educational programs, such as ABE, ASE, ESL, and peer tutoring, for criminal offenders in correctional institutions and other institutionalized individuals.</w:t>
      </w:r>
    </w:p>
    <w:p w14:paraId="66D1690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0AB6D3CA" w14:textId="4102D17E"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 xml:space="preserve">Corrections programs must use Title II funds in accordance with section 225 of WIOA for educational programs for criminal offenders in correctional institutions and the education of other institutionalized individuals, including academic programs for ABE and ASE, ESL, Peer Tutoring, IET, and </w:t>
      </w:r>
      <w:r w:rsidR="001B7FD1">
        <w:rPr>
          <w:rFonts w:ascii="Verdana" w:eastAsia="Verdana" w:hAnsi="Verdana" w:cs="Verdana"/>
          <w:color w:val="000000" w:themeColor="text1"/>
          <w:sz w:val="23"/>
          <w:szCs w:val="23"/>
          <w:lang w:val="en-US"/>
        </w:rPr>
        <w:t>c</w:t>
      </w:r>
      <w:r w:rsidRPr="7B188CE2">
        <w:rPr>
          <w:rFonts w:ascii="Verdana" w:eastAsia="Verdana" w:hAnsi="Verdana" w:cs="Verdana"/>
          <w:color w:val="000000" w:themeColor="text1"/>
          <w:sz w:val="23"/>
          <w:szCs w:val="23"/>
          <w:lang w:val="en-US"/>
        </w:rPr>
        <w:t xml:space="preserve">areer </w:t>
      </w:r>
      <w:r w:rsidR="001B7FD1">
        <w:rPr>
          <w:rFonts w:ascii="Verdana" w:eastAsia="Verdana" w:hAnsi="Verdana" w:cs="Verdana"/>
          <w:color w:val="000000" w:themeColor="text1"/>
          <w:sz w:val="23"/>
          <w:szCs w:val="23"/>
          <w:lang w:val="en-US"/>
        </w:rPr>
        <w:t>p</w:t>
      </w:r>
      <w:r w:rsidRPr="7B188CE2">
        <w:rPr>
          <w:rFonts w:ascii="Verdana" w:eastAsia="Verdana" w:hAnsi="Verdana" w:cs="Verdana"/>
          <w:color w:val="000000" w:themeColor="text1"/>
          <w:sz w:val="23"/>
          <w:szCs w:val="23"/>
          <w:lang w:val="en-US"/>
        </w:rPr>
        <w:t>athways.</w:t>
      </w:r>
    </w:p>
    <w:p w14:paraId="22E7A03C"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Corrections programs must give priority to individuals who are likely to leave a correctional institution within five years of participation in the program.</w:t>
      </w:r>
    </w:p>
    <w:p w14:paraId="2AFAEBF3"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lastRenderedPageBreak/>
        <w:t>Implementation of the OACCRS/OAELPS must be evident in corrections education curriculum and instruction.</w:t>
      </w:r>
    </w:p>
    <w:p w14:paraId="773A8E0F" w14:textId="77777777" w:rsidR="00F8503D" w:rsidRDefault="0033067D">
      <w:pPr>
        <w:keepNext/>
        <w:numPr>
          <w:ilvl w:val="2"/>
          <w:numId w:val="24"/>
        </w:numPr>
        <w:pBdr>
          <w:top w:val="nil"/>
          <w:left w:val="nil"/>
          <w:bottom w:val="nil"/>
          <w:right w:val="nil"/>
          <w:between w:val="nil"/>
        </w:pBdr>
        <w:spacing w:before="240" w:after="40" w:line="276" w:lineRule="auto"/>
      </w:pPr>
      <w:bookmarkStart w:id="20" w:name="_cwwi7zc94inb" w:colFirst="0" w:colLast="0"/>
      <w:bookmarkEnd w:id="20"/>
      <w:r>
        <w:rPr>
          <w:rFonts w:ascii="Arial" w:eastAsia="Arial" w:hAnsi="Arial" w:cs="Arial"/>
          <w:smallCaps/>
          <w:color w:val="6A976C"/>
          <w:sz w:val="28"/>
          <w:szCs w:val="28"/>
        </w:rPr>
        <w:t>English as a Second Language (ESL)</w:t>
      </w:r>
    </w:p>
    <w:p w14:paraId="1C68CBE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7B638A3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“English as a Second Language” means instruction designed for an adult whose EFL is equivalent to a particular ESL proficiency level described in the NRS EFL table in the NRS Implementation Guidelines. ESL and English Language Acquisition (ELA) refer to the same instructional program.</w:t>
      </w:r>
    </w:p>
    <w:p w14:paraId="34BAB21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794E8F64" w14:textId="6B326D9A"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use Title II funds for allowable ABS activities that target eligible individuals. Programs must provide ABE and ASE, ESL, and IET.</w:t>
      </w:r>
    </w:p>
    <w:p w14:paraId="55DFDF45"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Implementation of the OAELPS/OACCRS must be evident in ESL curriculum and instruction in accordance with CCWD guidance.</w:t>
      </w:r>
    </w:p>
    <w:p w14:paraId="0885424C" w14:textId="77777777" w:rsidR="00F8503D" w:rsidRDefault="0033067D">
      <w:pPr>
        <w:keepNext/>
        <w:numPr>
          <w:ilvl w:val="2"/>
          <w:numId w:val="24"/>
        </w:numPr>
        <w:pBdr>
          <w:top w:val="nil"/>
          <w:left w:val="nil"/>
          <w:bottom w:val="nil"/>
          <w:right w:val="nil"/>
          <w:between w:val="nil"/>
        </w:pBdr>
        <w:spacing w:before="240" w:after="40" w:line="276" w:lineRule="auto"/>
      </w:pPr>
      <w:bookmarkStart w:id="21" w:name="_hlhkeoksixqr" w:colFirst="0" w:colLast="0"/>
      <w:bookmarkEnd w:id="21"/>
      <w:r>
        <w:rPr>
          <w:rFonts w:ascii="Arial" w:eastAsia="Arial" w:hAnsi="Arial" w:cs="Arial"/>
          <w:smallCaps/>
          <w:color w:val="6A976C"/>
          <w:sz w:val="28"/>
          <w:szCs w:val="28"/>
        </w:rPr>
        <w:t>Family Literacy</w:t>
      </w:r>
    </w:p>
    <w:p w14:paraId="7B4D041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54A4010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term “Family Literacy activities” means activities that are of sufficient intensity and quality to make sustainable improvements in the economic prospects for a family, that better enable parents or family members to support their children’s learning needs, and that integrate all the following activities: </w:t>
      </w:r>
    </w:p>
    <w:p w14:paraId="32C8A623" w14:textId="77777777" w:rsidR="00F8503D" w:rsidRDefault="0033067D">
      <w:pPr>
        <w:numPr>
          <w:ilvl w:val="0"/>
          <w:numId w:val="68"/>
        </w:numPr>
        <w:pBdr>
          <w:top w:val="nil"/>
          <w:left w:val="nil"/>
          <w:bottom w:val="nil"/>
          <w:right w:val="nil"/>
          <w:between w:val="nil"/>
        </w:pBdr>
        <w:spacing w:after="160" w:line="276" w:lineRule="auto"/>
      </w:pPr>
      <w:r>
        <w:rPr>
          <w:rFonts w:ascii="Verdana" w:eastAsia="Verdana" w:hAnsi="Verdana" w:cs="Verdana"/>
          <w:color w:val="000000"/>
          <w:sz w:val="23"/>
          <w:szCs w:val="23"/>
        </w:rPr>
        <w:t>Parent or family adult education and literacy activities that lead to readiness for postsecondary education or training, career advancement, and economic self-sufficiency;</w:t>
      </w:r>
    </w:p>
    <w:p w14:paraId="569A6DD2" w14:textId="77777777" w:rsidR="00F8503D" w:rsidRDefault="0033067D">
      <w:pPr>
        <w:numPr>
          <w:ilvl w:val="0"/>
          <w:numId w:val="68"/>
        </w:numPr>
        <w:pBdr>
          <w:top w:val="nil"/>
          <w:left w:val="nil"/>
          <w:bottom w:val="nil"/>
          <w:right w:val="nil"/>
          <w:between w:val="nil"/>
        </w:pBdr>
        <w:spacing w:after="160" w:line="276" w:lineRule="auto"/>
      </w:pPr>
      <w:r>
        <w:rPr>
          <w:rFonts w:ascii="Verdana" w:eastAsia="Verdana" w:hAnsi="Verdana" w:cs="Verdana"/>
          <w:color w:val="000000"/>
          <w:sz w:val="23"/>
          <w:szCs w:val="23"/>
        </w:rPr>
        <w:t>Interactive literacy activities between parents or family members and their children;</w:t>
      </w:r>
    </w:p>
    <w:p w14:paraId="7D73FAB6" w14:textId="77777777" w:rsidR="00F8503D" w:rsidRDefault="0033067D">
      <w:pPr>
        <w:numPr>
          <w:ilvl w:val="0"/>
          <w:numId w:val="68"/>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Training for parents or family members regarding how to be the primary teacher for their children and full partners in the education of their children; and</w:t>
      </w:r>
    </w:p>
    <w:p w14:paraId="656607C2" w14:textId="77777777" w:rsidR="00F8503D" w:rsidRDefault="0033067D">
      <w:pPr>
        <w:numPr>
          <w:ilvl w:val="0"/>
          <w:numId w:val="68"/>
        </w:numPr>
        <w:pBdr>
          <w:top w:val="nil"/>
          <w:left w:val="nil"/>
          <w:bottom w:val="nil"/>
          <w:right w:val="nil"/>
          <w:between w:val="nil"/>
        </w:pBdr>
        <w:spacing w:after="160" w:line="276" w:lineRule="auto"/>
      </w:pPr>
      <w:r>
        <w:rPr>
          <w:rFonts w:ascii="Verdana" w:eastAsia="Verdana" w:hAnsi="Verdana" w:cs="Verdana"/>
          <w:color w:val="000000"/>
          <w:sz w:val="23"/>
          <w:szCs w:val="23"/>
        </w:rPr>
        <w:t>An age-appropriate education to prepare children for success in school and life experiences (section 231(d) of WIOA; 34 CFR 463.30).</w:t>
      </w:r>
    </w:p>
    <w:p w14:paraId="1644903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Family Literacy is an optional ABS activity.</w:t>
      </w:r>
    </w:p>
    <w:p w14:paraId="5F5C852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lastRenderedPageBreak/>
        <w:t>Policies</w:t>
      </w:r>
    </w:p>
    <w:p w14:paraId="7B6D5C2B" w14:textId="08A39E04" w:rsidR="00F8503D" w:rsidRDefault="0033067D">
      <w:pPr>
        <w:numPr>
          <w:ilvl w:val="6"/>
          <w:numId w:val="69"/>
        </w:numPr>
        <w:pBdr>
          <w:top w:val="nil"/>
          <w:left w:val="nil"/>
          <w:bottom w:val="nil"/>
          <w:right w:val="nil"/>
          <w:between w:val="nil"/>
        </w:pBdr>
        <w:spacing w:after="160" w:line="276" w:lineRule="auto"/>
        <w:ind w:left="360"/>
      </w:pPr>
      <w:r w:rsidRPr="4C5F9134">
        <w:rPr>
          <w:rFonts w:ascii="Verdana" w:eastAsia="Verdana" w:hAnsi="Verdana" w:cs="Verdana"/>
          <w:color w:val="000000" w:themeColor="text1"/>
          <w:sz w:val="23"/>
          <w:szCs w:val="23"/>
          <w:lang w:val="en-US"/>
        </w:rPr>
        <w:t>Programs must not use funds for providing services, or activities to individuals who are not eligible</w:t>
      </w:r>
      <w:r w:rsidR="004A450D" w:rsidRPr="4C5F9134">
        <w:rPr>
          <w:rFonts w:ascii="Verdana" w:eastAsia="Verdana" w:hAnsi="Verdana" w:cs="Verdana"/>
          <w:color w:val="000000" w:themeColor="text1"/>
          <w:sz w:val="23"/>
          <w:szCs w:val="23"/>
          <w:lang w:val="en-US"/>
        </w:rPr>
        <w:t>.</w:t>
      </w:r>
      <w:r w:rsidRPr="4C5F9134">
        <w:rPr>
          <w:rFonts w:ascii="Verdana" w:eastAsia="Verdana" w:hAnsi="Verdana" w:cs="Verdana"/>
          <w:color w:val="000000" w:themeColor="text1"/>
          <w:sz w:val="23"/>
          <w:szCs w:val="23"/>
          <w:lang w:val="en-US"/>
        </w:rPr>
        <w:t xml:space="preserve"> </w:t>
      </w:r>
      <w:r w:rsidR="00EB73BB" w:rsidRPr="4C5F9134">
        <w:rPr>
          <w:rFonts w:ascii="Verdana" w:eastAsia="Verdana" w:hAnsi="Verdana" w:cs="Verdana"/>
          <w:color w:val="000000" w:themeColor="text1"/>
          <w:sz w:val="23"/>
          <w:szCs w:val="23"/>
          <w:lang w:val="en-US"/>
        </w:rPr>
        <w:t>However, f</w:t>
      </w:r>
      <w:r w:rsidRPr="4C5F9134">
        <w:rPr>
          <w:rFonts w:ascii="Verdana" w:eastAsia="Verdana" w:hAnsi="Verdana" w:cs="Verdana"/>
          <w:color w:val="000000" w:themeColor="text1"/>
          <w:sz w:val="23"/>
          <w:szCs w:val="23"/>
          <w:lang w:val="en-US"/>
        </w:rPr>
        <w:t xml:space="preserve">unds </w:t>
      </w:r>
      <w:r w:rsidR="006B511E" w:rsidRPr="4C5F9134">
        <w:rPr>
          <w:rFonts w:ascii="Verdana" w:eastAsia="Verdana" w:hAnsi="Verdana" w:cs="Verdana"/>
          <w:color w:val="000000" w:themeColor="text1"/>
          <w:sz w:val="23"/>
          <w:szCs w:val="23"/>
          <w:lang w:val="en-US"/>
        </w:rPr>
        <w:t xml:space="preserve">can be provided </w:t>
      </w:r>
      <w:r w:rsidR="00406027" w:rsidRPr="4C5F9134">
        <w:rPr>
          <w:rFonts w:ascii="Verdana" w:eastAsia="Verdana" w:hAnsi="Verdana" w:cs="Verdana"/>
          <w:color w:val="000000" w:themeColor="text1"/>
          <w:sz w:val="23"/>
          <w:szCs w:val="23"/>
          <w:lang w:val="en-US"/>
        </w:rPr>
        <w:t xml:space="preserve">for </w:t>
      </w:r>
      <w:r w:rsidR="00BA5946" w:rsidRPr="4C5F9134">
        <w:rPr>
          <w:rFonts w:ascii="Verdana" w:eastAsia="Verdana" w:hAnsi="Verdana" w:cs="Verdana"/>
          <w:color w:val="000000" w:themeColor="text1"/>
          <w:sz w:val="23"/>
          <w:szCs w:val="23"/>
          <w:lang w:val="en-US"/>
        </w:rPr>
        <w:t>ineligible</w:t>
      </w:r>
      <w:r w:rsidR="00406027" w:rsidRPr="4C5F9134">
        <w:rPr>
          <w:rFonts w:ascii="Verdana" w:eastAsia="Verdana" w:hAnsi="Verdana" w:cs="Verdana"/>
          <w:color w:val="000000" w:themeColor="text1"/>
          <w:sz w:val="23"/>
          <w:szCs w:val="23"/>
          <w:lang w:val="en-US"/>
        </w:rPr>
        <w:t xml:space="preserve"> individuals if the activities are tied to family </w:t>
      </w:r>
      <w:r w:rsidR="00553426" w:rsidRPr="4C5F9134">
        <w:rPr>
          <w:rFonts w:ascii="Verdana" w:eastAsia="Verdana" w:hAnsi="Verdana" w:cs="Verdana"/>
          <w:color w:val="000000" w:themeColor="text1"/>
          <w:sz w:val="23"/>
          <w:szCs w:val="23"/>
          <w:lang w:val="en-US"/>
        </w:rPr>
        <w:t>literacy</w:t>
      </w:r>
      <w:r w:rsidR="00BA5946" w:rsidRPr="4C5F9134">
        <w:rPr>
          <w:rFonts w:ascii="Verdana" w:eastAsia="Verdana" w:hAnsi="Verdana" w:cs="Verdana"/>
          <w:color w:val="000000" w:themeColor="text1"/>
          <w:sz w:val="23"/>
          <w:szCs w:val="23"/>
          <w:lang w:val="en-US"/>
        </w:rPr>
        <w:t>.</w:t>
      </w:r>
      <w:r w:rsidR="00553426" w:rsidRPr="4C5F9134">
        <w:rPr>
          <w:rFonts w:ascii="Verdana" w:eastAsia="Verdana" w:hAnsi="Verdana" w:cs="Verdana"/>
          <w:color w:val="000000" w:themeColor="text1"/>
          <w:sz w:val="23"/>
          <w:szCs w:val="23"/>
          <w:lang w:val="en-US"/>
        </w:rPr>
        <w:t xml:space="preserve"> </w:t>
      </w:r>
      <w:r w:rsidRPr="4C5F9134">
        <w:rPr>
          <w:rFonts w:ascii="Verdana" w:eastAsia="Verdana" w:hAnsi="Verdana" w:cs="Verdana"/>
          <w:color w:val="000000" w:themeColor="text1"/>
          <w:sz w:val="23"/>
          <w:szCs w:val="23"/>
          <w:lang w:val="en-US"/>
        </w:rPr>
        <w:t xml:space="preserve">Prior to providing family literacy activities for individuals who are not eligible individuals, an eligible provider must attempt to coordinate with programs and services that do not receive </w:t>
      </w:r>
      <w:r w:rsidR="00EB73BB" w:rsidRPr="4C5F9134">
        <w:rPr>
          <w:rFonts w:ascii="Verdana" w:eastAsia="Verdana" w:hAnsi="Verdana" w:cs="Verdana"/>
          <w:color w:val="000000" w:themeColor="text1"/>
          <w:sz w:val="23"/>
          <w:szCs w:val="23"/>
          <w:lang w:val="en-US"/>
        </w:rPr>
        <w:t xml:space="preserve">WIOA Title II </w:t>
      </w:r>
      <w:r w:rsidRPr="4C5F9134">
        <w:rPr>
          <w:rFonts w:ascii="Verdana" w:eastAsia="Verdana" w:hAnsi="Verdana" w:cs="Verdana"/>
          <w:color w:val="000000" w:themeColor="text1"/>
          <w:sz w:val="23"/>
          <w:szCs w:val="23"/>
          <w:lang w:val="en-US"/>
        </w:rPr>
        <w:t>funding.</w:t>
      </w:r>
    </w:p>
    <w:p w14:paraId="2D75DB81" w14:textId="77777777" w:rsidR="00F8503D" w:rsidRDefault="0033067D">
      <w:pPr>
        <w:numPr>
          <w:ilvl w:val="6"/>
          <w:numId w:val="69"/>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Implementation of the OACCRS/OAELPS must be evident in Family Literacy curriculum and instruction.</w:t>
      </w:r>
    </w:p>
    <w:p w14:paraId="1D729D56" w14:textId="77777777" w:rsidR="00F8503D" w:rsidRDefault="0033067D">
      <w:pPr>
        <w:keepNext/>
        <w:numPr>
          <w:ilvl w:val="2"/>
          <w:numId w:val="24"/>
        </w:numPr>
        <w:pBdr>
          <w:top w:val="nil"/>
          <w:left w:val="nil"/>
          <w:bottom w:val="nil"/>
          <w:right w:val="nil"/>
          <w:between w:val="nil"/>
        </w:pBdr>
        <w:spacing w:before="240" w:after="40" w:line="276" w:lineRule="auto"/>
      </w:pPr>
      <w:bookmarkStart w:id="22" w:name="_q3xdsru1k58c" w:colFirst="0" w:colLast="0"/>
      <w:bookmarkEnd w:id="22"/>
      <w:r>
        <w:rPr>
          <w:rFonts w:ascii="Arial" w:eastAsia="Arial" w:hAnsi="Arial" w:cs="Arial"/>
          <w:smallCaps/>
          <w:color w:val="6A976C"/>
          <w:sz w:val="28"/>
          <w:szCs w:val="28"/>
        </w:rPr>
        <w:t>Integrated Education and Training (IET)</w:t>
      </w:r>
    </w:p>
    <w:p w14:paraId="510AABEE"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172B27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“Integrated Education and Training” means a service approach that provides adult education and literacy activities concurrently and contextually with workforce preparation activities and workforce training for a specific occupation or occupational cluster for the purpose of educational and career advancement.</w:t>
      </w:r>
    </w:p>
    <w:p w14:paraId="48343885"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An IET program must include three components:</w:t>
      </w:r>
    </w:p>
    <w:p w14:paraId="16692B3F" w14:textId="77777777" w:rsidR="00F8503D" w:rsidRDefault="0033067D">
      <w:pPr>
        <w:numPr>
          <w:ilvl w:val="6"/>
          <w:numId w:val="70"/>
        </w:numPr>
        <w:pBdr>
          <w:top w:val="nil"/>
          <w:left w:val="nil"/>
          <w:bottom w:val="nil"/>
          <w:right w:val="nil"/>
          <w:between w:val="nil"/>
        </w:pBdr>
        <w:spacing w:after="160" w:line="276" w:lineRule="auto"/>
        <w:ind w:left="360"/>
      </w:pPr>
      <w:r>
        <w:rPr>
          <w:rFonts w:ascii="Verdana" w:eastAsia="Verdana" w:hAnsi="Verdana" w:cs="Verdana"/>
          <w:color w:val="000000"/>
          <w:sz w:val="23"/>
          <w:szCs w:val="23"/>
        </w:rPr>
        <w:t>ABS activities as described in the Federal code of regulations (34 CFR 463.30).</w:t>
      </w:r>
    </w:p>
    <w:p w14:paraId="5BACDD1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“adult education and literacy activities” means programs, activities, and services that include:</w:t>
      </w:r>
    </w:p>
    <w:p w14:paraId="11A98C1A"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Adult education;</w:t>
      </w:r>
    </w:p>
    <w:p w14:paraId="30707A64"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Literacy;</w:t>
      </w:r>
    </w:p>
    <w:p w14:paraId="661429F7"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Workplace adult education and literacy activities;</w:t>
      </w:r>
    </w:p>
    <w:p w14:paraId="2E9AC831"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Family literacy activities;</w:t>
      </w:r>
    </w:p>
    <w:p w14:paraId="02FEC304"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English language acquisition activities;</w:t>
      </w:r>
    </w:p>
    <w:p w14:paraId="028C214F"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Integrated English literacy and civics education;</w:t>
      </w:r>
    </w:p>
    <w:p w14:paraId="54E697A9"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Workforce preparation activities; or</w:t>
      </w:r>
    </w:p>
    <w:p w14:paraId="2D551591" w14:textId="77777777" w:rsidR="00F8503D" w:rsidRDefault="0033067D">
      <w:pPr>
        <w:numPr>
          <w:ilvl w:val="7"/>
          <w:numId w:val="72"/>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Integrated education and training. </w:t>
      </w:r>
    </w:p>
    <w:p w14:paraId="34293272" w14:textId="77777777" w:rsidR="00F8503D" w:rsidRDefault="0033067D">
      <w:pPr>
        <w:numPr>
          <w:ilvl w:val="6"/>
          <w:numId w:val="70"/>
        </w:numPr>
        <w:pBdr>
          <w:top w:val="nil"/>
          <w:left w:val="nil"/>
          <w:bottom w:val="nil"/>
          <w:right w:val="nil"/>
          <w:between w:val="nil"/>
        </w:pBdr>
        <w:spacing w:after="160" w:line="276" w:lineRule="auto"/>
        <w:ind w:left="360"/>
      </w:pPr>
      <w:r>
        <w:rPr>
          <w:rFonts w:ascii="Verdana" w:eastAsia="Verdana" w:hAnsi="Verdana" w:cs="Verdana"/>
          <w:color w:val="000000"/>
          <w:sz w:val="23"/>
          <w:szCs w:val="23"/>
        </w:rPr>
        <w:t>Workforce preparation activities as described in Federal code of regulations (34 CFR 463.34).</w:t>
      </w:r>
    </w:p>
    <w:p w14:paraId="2B80FFEE" w14:textId="3AD15622"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lastRenderedPageBreak/>
        <w:t xml:space="preserve">Workforce preparation activities include activities, programs, or services designed to help an individual acquire a combination of </w:t>
      </w:r>
      <w:r w:rsidR="00FF4575">
        <w:rPr>
          <w:rFonts w:ascii="Verdana" w:eastAsia="Verdana" w:hAnsi="Verdana" w:cs="Verdana"/>
          <w:color w:val="000000" w:themeColor="text1"/>
          <w:sz w:val="23"/>
          <w:szCs w:val="23"/>
          <w:lang w:val="en-US"/>
        </w:rPr>
        <w:t>Basic</w:t>
      </w:r>
      <w:r w:rsidRPr="7B188CE2">
        <w:rPr>
          <w:rFonts w:ascii="Verdana" w:eastAsia="Verdana" w:hAnsi="Verdana" w:cs="Verdana"/>
          <w:color w:val="000000" w:themeColor="text1"/>
          <w:sz w:val="23"/>
          <w:szCs w:val="23"/>
          <w:lang w:val="en-US"/>
        </w:rPr>
        <w:t xml:space="preserve"> academic skills, critical thinking skills, digital literacy skills, and self-management skills, including competencies in:</w:t>
      </w:r>
    </w:p>
    <w:p w14:paraId="0EE71000" w14:textId="77777777" w:rsidR="00F8503D" w:rsidRDefault="0033067D">
      <w:pPr>
        <w:numPr>
          <w:ilvl w:val="7"/>
          <w:numId w:val="71"/>
        </w:numPr>
        <w:pBdr>
          <w:top w:val="nil"/>
          <w:left w:val="nil"/>
          <w:bottom w:val="nil"/>
          <w:right w:val="nil"/>
          <w:between w:val="nil"/>
        </w:pBdr>
        <w:spacing w:after="160" w:line="276" w:lineRule="auto"/>
        <w:ind w:left="1080"/>
      </w:pPr>
      <w:r>
        <w:rPr>
          <w:rFonts w:ascii="Verdana" w:eastAsia="Verdana" w:hAnsi="Verdana" w:cs="Verdana"/>
          <w:color w:val="000000"/>
          <w:sz w:val="23"/>
          <w:szCs w:val="23"/>
        </w:rPr>
        <w:t>Utilizing resources;</w:t>
      </w:r>
    </w:p>
    <w:p w14:paraId="515D8EDD" w14:textId="77777777" w:rsidR="00F8503D" w:rsidRDefault="0033067D">
      <w:pPr>
        <w:numPr>
          <w:ilvl w:val="7"/>
          <w:numId w:val="71"/>
        </w:numPr>
        <w:pBdr>
          <w:top w:val="nil"/>
          <w:left w:val="nil"/>
          <w:bottom w:val="nil"/>
          <w:right w:val="nil"/>
          <w:between w:val="nil"/>
        </w:pBdr>
        <w:spacing w:after="160" w:line="276" w:lineRule="auto"/>
        <w:ind w:left="1080"/>
      </w:pPr>
      <w:r>
        <w:rPr>
          <w:rFonts w:ascii="Verdana" w:eastAsia="Verdana" w:hAnsi="Verdana" w:cs="Verdana"/>
          <w:color w:val="000000"/>
          <w:sz w:val="23"/>
          <w:szCs w:val="23"/>
        </w:rPr>
        <w:t>Using information;</w:t>
      </w:r>
    </w:p>
    <w:p w14:paraId="0D3E9D57" w14:textId="77777777" w:rsidR="00F8503D" w:rsidRDefault="0033067D">
      <w:pPr>
        <w:numPr>
          <w:ilvl w:val="7"/>
          <w:numId w:val="71"/>
        </w:numPr>
        <w:pBdr>
          <w:top w:val="nil"/>
          <w:left w:val="nil"/>
          <w:bottom w:val="nil"/>
          <w:right w:val="nil"/>
          <w:between w:val="nil"/>
        </w:pBdr>
        <w:spacing w:after="160" w:line="276" w:lineRule="auto"/>
        <w:ind w:left="1080"/>
      </w:pPr>
      <w:r>
        <w:rPr>
          <w:rFonts w:ascii="Verdana" w:eastAsia="Verdana" w:hAnsi="Verdana" w:cs="Verdana"/>
          <w:color w:val="000000"/>
          <w:sz w:val="23"/>
          <w:szCs w:val="23"/>
        </w:rPr>
        <w:t>Working with others;</w:t>
      </w:r>
    </w:p>
    <w:p w14:paraId="3626B90B" w14:textId="77777777" w:rsidR="00F8503D" w:rsidRDefault="0033067D">
      <w:pPr>
        <w:numPr>
          <w:ilvl w:val="7"/>
          <w:numId w:val="71"/>
        </w:numPr>
        <w:pBdr>
          <w:top w:val="nil"/>
          <w:left w:val="nil"/>
          <w:bottom w:val="nil"/>
          <w:right w:val="nil"/>
          <w:between w:val="nil"/>
        </w:pBdr>
        <w:spacing w:after="160" w:line="276" w:lineRule="auto"/>
        <w:ind w:left="1080"/>
      </w:pPr>
      <w:r>
        <w:rPr>
          <w:rFonts w:ascii="Verdana" w:eastAsia="Verdana" w:hAnsi="Verdana" w:cs="Verdana"/>
          <w:color w:val="000000"/>
          <w:sz w:val="23"/>
          <w:szCs w:val="23"/>
        </w:rPr>
        <w:t>Understanding systems;</w:t>
      </w:r>
    </w:p>
    <w:p w14:paraId="0695BBCF" w14:textId="77777777" w:rsidR="00F8503D" w:rsidRDefault="0033067D">
      <w:pPr>
        <w:numPr>
          <w:ilvl w:val="7"/>
          <w:numId w:val="71"/>
        </w:numPr>
        <w:pBdr>
          <w:top w:val="nil"/>
          <w:left w:val="nil"/>
          <w:bottom w:val="nil"/>
          <w:right w:val="nil"/>
          <w:between w:val="nil"/>
        </w:pBdr>
        <w:spacing w:after="160" w:line="276" w:lineRule="auto"/>
        <w:ind w:left="1080"/>
      </w:pPr>
      <w:r>
        <w:rPr>
          <w:rFonts w:ascii="Verdana" w:eastAsia="Verdana" w:hAnsi="Verdana" w:cs="Verdana"/>
          <w:color w:val="000000"/>
          <w:sz w:val="23"/>
          <w:szCs w:val="23"/>
        </w:rPr>
        <w:t>Skills necessary for successful transition into and completion of postsecondary education or training, or employment; and</w:t>
      </w:r>
    </w:p>
    <w:p w14:paraId="39529B63" w14:textId="77777777" w:rsidR="00F8503D" w:rsidRDefault="0033067D">
      <w:pPr>
        <w:numPr>
          <w:ilvl w:val="7"/>
          <w:numId w:val="71"/>
        </w:numPr>
        <w:pBdr>
          <w:top w:val="nil"/>
          <w:left w:val="nil"/>
          <w:bottom w:val="nil"/>
          <w:right w:val="nil"/>
          <w:between w:val="nil"/>
        </w:pBdr>
        <w:spacing w:after="160" w:line="276" w:lineRule="auto"/>
        <w:ind w:left="1080"/>
      </w:pPr>
      <w:r>
        <w:rPr>
          <w:rFonts w:ascii="Verdana" w:eastAsia="Verdana" w:hAnsi="Verdana" w:cs="Verdana"/>
          <w:color w:val="000000"/>
          <w:sz w:val="23"/>
          <w:szCs w:val="23"/>
        </w:rPr>
        <w:t>Other employability skills that increase an individual's preparation for the workforce.</w:t>
      </w:r>
    </w:p>
    <w:p w14:paraId="311FFEBB" w14:textId="77777777" w:rsidR="00F8503D" w:rsidRDefault="0033067D">
      <w:pPr>
        <w:numPr>
          <w:ilvl w:val="6"/>
          <w:numId w:val="70"/>
        </w:numPr>
        <w:pBdr>
          <w:top w:val="nil"/>
          <w:left w:val="nil"/>
          <w:bottom w:val="nil"/>
          <w:right w:val="nil"/>
          <w:between w:val="nil"/>
        </w:pBdr>
        <w:spacing w:after="160" w:line="276" w:lineRule="auto"/>
        <w:ind w:left="360"/>
      </w:pPr>
      <w:r>
        <w:rPr>
          <w:rFonts w:ascii="Verdana" w:eastAsia="Verdana" w:hAnsi="Verdana" w:cs="Verdana"/>
          <w:color w:val="000000"/>
          <w:sz w:val="23"/>
          <w:szCs w:val="23"/>
        </w:rPr>
        <w:t>Workforce training for a specific occupation or occupational cluster which can be anyone of the training services defined in section 134(c) (3) (D) of the Act</w:t>
      </w:r>
    </w:p>
    <w:p w14:paraId="337C16A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Training services may include—</w:t>
      </w:r>
    </w:p>
    <w:p w14:paraId="3A7D48BA" w14:textId="77777777" w:rsidR="00F8503D" w:rsidRDefault="0033067D">
      <w:pPr>
        <w:numPr>
          <w:ilvl w:val="7"/>
          <w:numId w:val="73"/>
        </w:numPr>
        <w:pBdr>
          <w:top w:val="nil"/>
          <w:left w:val="nil"/>
          <w:bottom w:val="nil"/>
          <w:right w:val="nil"/>
          <w:between w:val="nil"/>
        </w:pBdr>
        <w:spacing w:after="160" w:line="276" w:lineRule="auto"/>
        <w:ind w:left="1080"/>
      </w:pPr>
      <w:r>
        <w:rPr>
          <w:rFonts w:ascii="Verdana" w:eastAsia="Verdana" w:hAnsi="Verdana" w:cs="Verdana"/>
          <w:color w:val="000000"/>
          <w:sz w:val="23"/>
          <w:szCs w:val="23"/>
        </w:rPr>
        <w:t>Occupational skills training, including training for nontraditional employment;</w:t>
      </w:r>
    </w:p>
    <w:p w14:paraId="735BD56B" w14:textId="77777777" w:rsidR="00F8503D" w:rsidRDefault="0033067D">
      <w:pPr>
        <w:numPr>
          <w:ilvl w:val="7"/>
          <w:numId w:val="73"/>
        </w:numPr>
        <w:pBdr>
          <w:top w:val="nil"/>
          <w:left w:val="nil"/>
          <w:bottom w:val="nil"/>
          <w:right w:val="nil"/>
          <w:between w:val="nil"/>
        </w:pBdr>
        <w:spacing w:after="160" w:line="276" w:lineRule="auto"/>
        <w:ind w:left="1080"/>
      </w:pPr>
      <w:r>
        <w:rPr>
          <w:rFonts w:ascii="Verdana" w:eastAsia="Verdana" w:hAnsi="Verdana" w:cs="Verdana"/>
          <w:color w:val="000000"/>
          <w:sz w:val="23"/>
          <w:szCs w:val="23"/>
        </w:rPr>
        <w:t>On-the-job training;</w:t>
      </w:r>
    </w:p>
    <w:p w14:paraId="25175F83" w14:textId="77777777" w:rsidR="00F8503D" w:rsidRDefault="0033067D">
      <w:pPr>
        <w:numPr>
          <w:ilvl w:val="7"/>
          <w:numId w:val="73"/>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Incumbent worker training in accordance with subsection (d)(4); or</w:t>
      </w:r>
    </w:p>
    <w:p w14:paraId="0CB7DEF6" w14:textId="77777777" w:rsidR="00F8503D" w:rsidRDefault="0033067D">
      <w:pPr>
        <w:numPr>
          <w:ilvl w:val="7"/>
          <w:numId w:val="73"/>
        </w:numPr>
        <w:pBdr>
          <w:top w:val="nil"/>
          <w:left w:val="nil"/>
          <w:bottom w:val="nil"/>
          <w:right w:val="nil"/>
          <w:between w:val="nil"/>
        </w:pBdr>
        <w:spacing w:after="160" w:line="276" w:lineRule="auto"/>
        <w:ind w:left="1080"/>
      </w:pPr>
      <w:r>
        <w:rPr>
          <w:rFonts w:ascii="Verdana" w:eastAsia="Verdana" w:hAnsi="Verdana" w:cs="Verdana"/>
          <w:color w:val="000000"/>
          <w:sz w:val="23"/>
          <w:szCs w:val="23"/>
        </w:rPr>
        <w:t>Programs that combine workplace training and ABS.</w:t>
      </w:r>
    </w:p>
    <w:p w14:paraId="04F149F4"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In order to meet the requirement that the ABS activities, workforce preparation activities, and workforce training be integrated, services must be provided concurrently and contextually such that—</w:t>
      </w:r>
    </w:p>
    <w:p w14:paraId="37AECD2A" w14:textId="77777777" w:rsidR="00F8503D" w:rsidRDefault="0033067D">
      <w:pPr>
        <w:numPr>
          <w:ilvl w:val="7"/>
          <w:numId w:val="74"/>
        </w:numPr>
        <w:pBdr>
          <w:top w:val="nil"/>
          <w:left w:val="nil"/>
          <w:bottom w:val="nil"/>
          <w:right w:val="nil"/>
          <w:between w:val="nil"/>
        </w:pBdr>
        <w:spacing w:after="160" w:line="276" w:lineRule="auto"/>
        <w:ind w:left="1080"/>
      </w:pPr>
      <w:r>
        <w:rPr>
          <w:rFonts w:ascii="Verdana" w:eastAsia="Verdana" w:hAnsi="Verdana" w:cs="Verdana"/>
          <w:color w:val="000000"/>
          <w:sz w:val="23"/>
          <w:szCs w:val="23"/>
        </w:rPr>
        <w:t>Within the overall scope of a particular integrated education and training program, the ABS activities, workforce preparation activities, and workforce training:</w:t>
      </w:r>
    </w:p>
    <w:p w14:paraId="48018E96" w14:textId="77777777" w:rsidR="00F8503D" w:rsidRDefault="0033067D">
      <w:pPr>
        <w:numPr>
          <w:ilvl w:val="3"/>
          <w:numId w:val="75"/>
        </w:numPr>
        <w:pBdr>
          <w:top w:val="nil"/>
          <w:left w:val="nil"/>
          <w:bottom w:val="nil"/>
          <w:right w:val="nil"/>
          <w:between w:val="nil"/>
        </w:pBdr>
        <w:spacing w:after="160" w:line="276" w:lineRule="auto"/>
        <w:ind w:left="1800"/>
      </w:pPr>
      <w:r w:rsidRPr="7B188CE2">
        <w:rPr>
          <w:rFonts w:ascii="Verdana" w:eastAsia="Verdana" w:hAnsi="Verdana" w:cs="Verdana"/>
          <w:color w:val="000000" w:themeColor="text1"/>
          <w:sz w:val="23"/>
          <w:szCs w:val="23"/>
          <w:lang w:val="en-US"/>
        </w:rPr>
        <w:t>Are each of sufficient intensity and quality, and based on the most rigorous research available, particularly with respect to improving reading, writing, mathematics, and English proficiency of eligible individuals;</w:t>
      </w:r>
    </w:p>
    <w:p w14:paraId="7EC7F185" w14:textId="77777777" w:rsidR="00F8503D" w:rsidRDefault="0033067D">
      <w:pPr>
        <w:numPr>
          <w:ilvl w:val="3"/>
          <w:numId w:val="75"/>
        </w:numPr>
        <w:pBdr>
          <w:top w:val="nil"/>
          <w:left w:val="nil"/>
          <w:bottom w:val="nil"/>
          <w:right w:val="nil"/>
          <w:between w:val="nil"/>
        </w:pBdr>
        <w:spacing w:after="160" w:line="276" w:lineRule="auto"/>
        <w:ind w:left="1800"/>
      </w:pPr>
      <w:r>
        <w:rPr>
          <w:rFonts w:ascii="Verdana" w:eastAsia="Verdana" w:hAnsi="Verdana" w:cs="Verdana"/>
          <w:color w:val="000000"/>
          <w:sz w:val="23"/>
          <w:szCs w:val="23"/>
        </w:rPr>
        <w:t>Occur simultaneously; and</w:t>
      </w:r>
    </w:p>
    <w:p w14:paraId="57898422" w14:textId="77777777" w:rsidR="00F8503D" w:rsidRDefault="0033067D">
      <w:pPr>
        <w:numPr>
          <w:ilvl w:val="3"/>
          <w:numId w:val="75"/>
        </w:numPr>
        <w:pBdr>
          <w:top w:val="nil"/>
          <w:left w:val="nil"/>
          <w:bottom w:val="nil"/>
          <w:right w:val="nil"/>
          <w:between w:val="nil"/>
        </w:pBdr>
        <w:spacing w:after="160" w:line="276" w:lineRule="auto"/>
        <w:ind w:left="1800"/>
      </w:pPr>
      <w:r>
        <w:rPr>
          <w:rFonts w:ascii="Verdana" w:eastAsia="Verdana" w:hAnsi="Verdana" w:cs="Verdana"/>
          <w:color w:val="000000"/>
          <w:sz w:val="23"/>
          <w:szCs w:val="23"/>
        </w:rPr>
        <w:lastRenderedPageBreak/>
        <w:t>Use occupationally relevant instructional materials.</w:t>
      </w:r>
    </w:p>
    <w:p w14:paraId="519F0044" w14:textId="77777777" w:rsidR="00F8503D" w:rsidRDefault="0033067D">
      <w:pPr>
        <w:numPr>
          <w:ilvl w:val="7"/>
          <w:numId w:val="74"/>
        </w:numPr>
        <w:pBdr>
          <w:top w:val="nil"/>
          <w:left w:val="nil"/>
          <w:bottom w:val="nil"/>
          <w:right w:val="nil"/>
          <w:between w:val="nil"/>
        </w:pBdr>
        <w:spacing w:after="160" w:line="276" w:lineRule="auto"/>
        <w:ind w:left="1170"/>
      </w:pPr>
      <w:r w:rsidRPr="7B188CE2">
        <w:rPr>
          <w:rFonts w:ascii="Verdana" w:eastAsia="Verdana" w:hAnsi="Verdana" w:cs="Verdana"/>
          <w:color w:val="000000" w:themeColor="text1"/>
          <w:sz w:val="23"/>
          <w:szCs w:val="23"/>
          <w:lang w:val="en-US"/>
        </w:rPr>
        <w:t>The IET program has a single set of learning objectives that identifies specific ABS content, workforce preparation activities, and workforce training competencies, and the program activities are organized to function cooperatively. (34 CFR 463.37)</w:t>
      </w:r>
    </w:p>
    <w:p w14:paraId="5BDA0A77"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88FD554">
        <w:rPr>
          <w:rFonts w:ascii="Verdana" w:eastAsia="Verdana" w:hAnsi="Verdana" w:cs="Verdana"/>
          <w:color w:val="000000" w:themeColor="text1"/>
          <w:sz w:val="23"/>
          <w:szCs w:val="23"/>
          <w:lang w:val="en-US"/>
        </w:rPr>
        <w:t xml:space="preserve">Programs meet the requirement that the IET program is for the purpose of educational and career advancement if; </w:t>
      </w:r>
    </w:p>
    <w:p w14:paraId="56D0684C" w14:textId="77777777" w:rsidR="00F8503D" w:rsidRDefault="0033067D">
      <w:pPr>
        <w:numPr>
          <w:ilvl w:val="6"/>
          <w:numId w:val="76"/>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 xml:space="preserve">The ABS component of the program is aligned with the state’s content standards for ABS and </w:t>
      </w:r>
    </w:p>
    <w:p w14:paraId="143E091F" w14:textId="77777777" w:rsidR="00F8503D" w:rsidRDefault="0033067D">
      <w:pPr>
        <w:numPr>
          <w:ilvl w:val="6"/>
          <w:numId w:val="76"/>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The IET program is part of a career pathway (34 CFR 463.38). </w:t>
      </w:r>
    </w:p>
    <w:p w14:paraId="2AF0B81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Bridge programs can be used to prepare individuals for successful entry into programs including IETs. Bridge programs focus on college and career readiness skills, sector-related literacy and numeracy skills, and career exploration. Some bridge programs offer short-term certificates that may include credit and/or non-credit courses.</w:t>
      </w:r>
    </w:p>
    <w:p w14:paraId="6FD3FFC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In Oregon, Title II funded ABS bridge activities must:</w:t>
      </w:r>
    </w:p>
    <w:p w14:paraId="330988C8" w14:textId="77777777" w:rsidR="00F8503D" w:rsidRDefault="0033067D">
      <w:pPr>
        <w:numPr>
          <w:ilvl w:val="7"/>
          <w:numId w:val="77"/>
        </w:numPr>
        <w:pBdr>
          <w:top w:val="nil"/>
          <w:left w:val="nil"/>
          <w:bottom w:val="nil"/>
          <w:right w:val="nil"/>
          <w:between w:val="nil"/>
        </w:pBdr>
        <w:spacing w:after="160" w:line="276" w:lineRule="auto"/>
        <w:ind w:left="1170"/>
      </w:pPr>
      <w:r w:rsidRPr="7B188CE2">
        <w:rPr>
          <w:rFonts w:ascii="Verdana" w:eastAsia="Verdana" w:hAnsi="Verdana" w:cs="Verdana"/>
          <w:color w:val="000000" w:themeColor="text1"/>
          <w:sz w:val="23"/>
          <w:szCs w:val="23"/>
          <w:lang w:val="en-US"/>
        </w:rPr>
        <w:t>comply with all Title II eligibility and allowable cost requirements as defined in the ABS Policy Manual,</w:t>
      </w:r>
    </w:p>
    <w:p w14:paraId="0FD13FBE" w14:textId="7BD62235" w:rsidR="00F8503D" w:rsidRDefault="0033067D">
      <w:pPr>
        <w:numPr>
          <w:ilvl w:val="7"/>
          <w:numId w:val="77"/>
        </w:numPr>
        <w:pBdr>
          <w:top w:val="nil"/>
          <w:left w:val="nil"/>
          <w:bottom w:val="nil"/>
          <w:right w:val="nil"/>
          <w:between w:val="nil"/>
        </w:pBdr>
        <w:spacing w:after="160" w:line="276" w:lineRule="auto"/>
        <w:ind w:left="1170"/>
      </w:pPr>
      <w:r>
        <w:rPr>
          <w:rFonts w:ascii="Verdana" w:eastAsia="Verdana" w:hAnsi="Verdana" w:cs="Verdana"/>
          <w:color w:val="000000"/>
          <w:sz w:val="23"/>
          <w:szCs w:val="23"/>
        </w:rPr>
        <w:t xml:space="preserve">include adult </w:t>
      </w:r>
      <w:r w:rsidR="00FF4575">
        <w:rPr>
          <w:rFonts w:ascii="Verdana" w:eastAsia="Verdana" w:hAnsi="Verdana" w:cs="Verdana"/>
          <w:color w:val="000000"/>
          <w:sz w:val="23"/>
          <w:szCs w:val="23"/>
        </w:rPr>
        <w:t>Basic</w:t>
      </w:r>
      <w:r>
        <w:rPr>
          <w:rFonts w:ascii="Verdana" w:eastAsia="Verdana" w:hAnsi="Verdana" w:cs="Verdana"/>
          <w:color w:val="000000"/>
          <w:sz w:val="23"/>
          <w:szCs w:val="23"/>
        </w:rPr>
        <w:t xml:space="preserve"> skills instruction (ABE, ASE, and/or ESL) contextualized to a credit or non-credit career pathway, and</w:t>
      </w:r>
    </w:p>
    <w:p w14:paraId="698722C1" w14:textId="77777777" w:rsidR="00F8503D" w:rsidRDefault="0033067D">
      <w:pPr>
        <w:numPr>
          <w:ilvl w:val="7"/>
          <w:numId w:val="77"/>
        </w:numPr>
        <w:pBdr>
          <w:top w:val="nil"/>
          <w:left w:val="nil"/>
          <w:bottom w:val="nil"/>
          <w:right w:val="nil"/>
          <w:between w:val="nil"/>
        </w:pBdr>
        <w:spacing w:after="160" w:line="276" w:lineRule="auto"/>
        <w:ind w:left="1170"/>
      </w:pPr>
      <w:r>
        <w:rPr>
          <w:rFonts w:ascii="Verdana" w:eastAsia="Verdana" w:hAnsi="Verdana" w:cs="Verdana"/>
          <w:color w:val="000000"/>
          <w:sz w:val="23"/>
          <w:szCs w:val="23"/>
        </w:rPr>
        <w:t xml:space="preserve">lead to a developed IET. </w:t>
      </w:r>
    </w:p>
    <w:p w14:paraId="004D31F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Bridge activities may include:</w:t>
      </w:r>
    </w:p>
    <w:p w14:paraId="2C818647" w14:textId="77777777" w:rsidR="00F8503D" w:rsidRDefault="0033067D">
      <w:pPr>
        <w:numPr>
          <w:ilvl w:val="7"/>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career preparation activities, such as career exploration, resume building, and interview skills;</w:t>
      </w:r>
    </w:p>
    <w:p w14:paraId="00090D38" w14:textId="77777777" w:rsidR="00F8503D" w:rsidRDefault="0033067D">
      <w:pPr>
        <w:numPr>
          <w:ilvl w:val="7"/>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college readiness activities, such as study skills;</w:t>
      </w:r>
    </w:p>
    <w:p w14:paraId="764CBA6A" w14:textId="77777777" w:rsidR="00F8503D" w:rsidRDefault="0033067D">
      <w:pPr>
        <w:numPr>
          <w:ilvl w:val="7"/>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instruction preparing lower-level students for successful transition into an IET;</w:t>
      </w:r>
    </w:p>
    <w:p w14:paraId="789860A1" w14:textId="77777777" w:rsidR="00F8503D" w:rsidRDefault="0033067D">
      <w:pPr>
        <w:numPr>
          <w:ilvl w:val="7"/>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workforce preparation, including essential employability skills (soft skills) and digital literacy; and</w:t>
      </w:r>
    </w:p>
    <w:p w14:paraId="08BFEC2A" w14:textId="77777777" w:rsidR="00F8503D" w:rsidRDefault="0033067D">
      <w:pPr>
        <w:numPr>
          <w:ilvl w:val="7"/>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short-term certificates that may include credit and/or non-credit courses; they may also include certificates awarded by workforce development boards, work readiness certificates, and general skills certificates.</w:t>
      </w:r>
    </w:p>
    <w:p w14:paraId="45D3BB7C"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lastRenderedPageBreak/>
        <w:t>Policies</w:t>
      </w:r>
    </w:p>
    <w:p w14:paraId="66CC4EAC" w14:textId="5EF9DFAA" w:rsidR="00F8503D" w:rsidRDefault="0033067D">
      <w:pPr>
        <w:numPr>
          <w:ilvl w:val="6"/>
          <w:numId w:val="79"/>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use Title II funds for allowable ABS activities that target eligible individuals. Programs must provide ABE and ASE, ESL, and IET.</w:t>
      </w:r>
    </w:p>
    <w:p w14:paraId="46F31964" w14:textId="77D980CA" w:rsidR="00F8503D" w:rsidRDefault="0033067D">
      <w:pPr>
        <w:numPr>
          <w:ilvl w:val="6"/>
          <w:numId w:val="79"/>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offer IET activities (section 203(11) of WIOA; 34 CRF 463.35-.38) to learners in at least one EFL and at least one site</w:t>
      </w:r>
      <w:r w:rsidR="00870CA8">
        <w:rPr>
          <w:rFonts w:ascii="Verdana" w:eastAsia="Verdana" w:hAnsi="Verdana" w:cs="Verdana"/>
          <w:color w:val="000000"/>
          <w:sz w:val="23"/>
          <w:szCs w:val="23"/>
        </w:rPr>
        <w:t>.</w:t>
      </w:r>
    </w:p>
    <w:p w14:paraId="7721E34C" w14:textId="77777777" w:rsidR="00F8503D" w:rsidRDefault="0033067D">
      <w:pPr>
        <w:numPr>
          <w:ilvl w:val="6"/>
          <w:numId w:val="79"/>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Implementation of the OACCRS/OAELPS must be evident in IET curriculum and instruction.</w:t>
      </w:r>
    </w:p>
    <w:p w14:paraId="6A19CFDF" w14:textId="77777777" w:rsidR="00F8503D" w:rsidRDefault="0033067D">
      <w:pPr>
        <w:numPr>
          <w:ilvl w:val="6"/>
          <w:numId w:val="79"/>
        </w:numPr>
        <w:pBdr>
          <w:top w:val="nil"/>
          <w:left w:val="nil"/>
          <w:bottom w:val="nil"/>
          <w:right w:val="nil"/>
          <w:between w:val="nil"/>
        </w:pBdr>
        <w:spacing w:after="160" w:line="276" w:lineRule="auto"/>
        <w:ind w:left="360"/>
      </w:pPr>
      <w:r>
        <w:rPr>
          <w:rFonts w:ascii="Verdana" w:eastAsia="Verdana" w:hAnsi="Verdana" w:cs="Verdana"/>
          <w:color w:val="000000"/>
          <w:sz w:val="23"/>
          <w:szCs w:val="23"/>
        </w:rPr>
        <w:t>Bridge programs as defined above are allowable activities but do not meet the requirement of offering IET activities.</w:t>
      </w:r>
    </w:p>
    <w:p w14:paraId="7B488230" w14:textId="77777777" w:rsidR="00F8503D" w:rsidRDefault="0033067D">
      <w:pPr>
        <w:numPr>
          <w:ilvl w:val="6"/>
          <w:numId w:val="79"/>
        </w:numPr>
        <w:pBdr>
          <w:top w:val="nil"/>
          <w:left w:val="nil"/>
          <w:bottom w:val="nil"/>
          <w:right w:val="nil"/>
          <w:between w:val="nil"/>
        </w:pBdr>
        <w:spacing w:after="160" w:line="276" w:lineRule="auto"/>
        <w:ind w:left="360"/>
      </w:pPr>
      <w:r>
        <w:rPr>
          <w:rFonts w:ascii="Verdana" w:eastAsia="Verdana" w:hAnsi="Verdana" w:cs="Verdana"/>
          <w:color w:val="000000"/>
          <w:sz w:val="23"/>
          <w:szCs w:val="23"/>
        </w:rPr>
        <w:t>IET program design must describe how Measurable Skill Gain (MSG) 5 will be met, ensuring that the IET allows for completion of a recognized postsecondary credential. IET program design should also consider strategies for meeting MSGs 3 and 4.</w:t>
      </w:r>
    </w:p>
    <w:p w14:paraId="27B76606"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1D1ADF3" w14:textId="77777777" w:rsidR="00F8503D" w:rsidRDefault="0033067D">
      <w:pPr>
        <w:numPr>
          <w:ilvl w:val="4"/>
          <w:numId w:val="80"/>
        </w:numPr>
        <w:pBdr>
          <w:top w:val="nil"/>
          <w:left w:val="nil"/>
          <w:bottom w:val="nil"/>
          <w:right w:val="nil"/>
          <w:between w:val="nil"/>
        </w:pBdr>
        <w:spacing w:after="160" w:line="276" w:lineRule="auto"/>
        <w:ind w:left="1080"/>
      </w:pPr>
      <w:r>
        <w:rPr>
          <w:rFonts w:ascii="Verdana" w:eastAsia="Verdana" w:hAnsi="Verdana" w:cs="Verdana"/>
          <w:color w:val="000000"/>
          <w:sz w:val="23"/>
          <w:szCs w:val="23"/>
        </w:rPr>
        <w:t>A recognized postsecondary credential is defined in WIOA section 3(52) as “a credential consisting of an industry-recognized certificate or certification, a certificate of completion of an apprenticeship, a license recognized by the State involved or Federal Government, or an associate or baccalaureate degree.”</w:t>
      </w:r>
    </w:p>
    <w:p w14:paraId="240B1ED7" w14:textId="77777777" w:rsidR="00F8503D" w:rsidRDefault="0033067D" w:rsidP="7B188CE2">
      <w:pPr>
        <w:pBdr>
          <w:top w:val="nil"/>
          <w:left w:val="nil"/>
          <w:bottom w:val="nil"/>
          <w:right w:val="nil"/>
          <w:between w:val="nil"/>
        </w:pBdr>
        <w:spacing w:after="160" w:line="276" w:lineRule="auto"/>
        <w:ind w:left="1080"/>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OCTAE Memo 17-2 further states that “a recognized postsecondary credential is awarded in recognition of an individual’s attainment of measurable technical or industry/occupational skills necessary to obtain employment or advance within an industry/occupation. These technical or industry/occupational skills generally are based on standards developed or endorsed by employers or industry associations.”</w:t>
      </w:r>
    </w:p>
    <w:p w14:paraId="59AAF698" w14:textId="77777777" w:rsidR="00F8503D" w:rsidRDefault="0033067D">
      <w:pPr>
        <w:pBdr>
          <w:top w:val="nil"/>
          <w:left w:val="nil"/>
          <w:bottom w:val="nil"/>
          <w:right w:val="nil"/>
          <w:between w:val="nil"/>
        </w:pBdr>
        <w:spacing w:after="160" w:line="276" w:lineRule="auto"/>
        <w:ind w:left="1080"/>
        <w:rPr>
          <w:rFonts w:ascii="Verdana" w:eastAsia="Verdana" w:hAnsi="Verdana" w:cs="Verdana"/>
          <w:color w:val="000000"/>
          <w:sz w:val="23"/>
          <w:szCs w:val="23"/>
        </w:rPr>
      </w:pPr>
      <w:r>
        <w:rPr>
          <w:rFonts w:ascii="Verdana" w:eastAsia="Verdana" w:hAnsi="Verdana" w:cs="Verdana"/>
          <w:color w:val="000000"/>
          <w:sz w:val="23"/>
          <w:szCs w:val="23"/>
        </w:rPr>
        <w:t>In Oregon, this includes state-approved certificates of completion that range from 12-108 credits and state-approved Non-Credit Training Certificates. Definitions and approval procedures for these credentials are found in Oregon Administrative Rules 589-006-0050 - 589-006-0150 and 589-006-0300.</w:t>
      </w:r>
    </w:p>
    <w:p w14:paraId="0EC312EB" w14:textId="77777777" w:rsidR="00F8503D" w:rsidRDefault="0033067D">
      <w:pPr>
        <w:numPr>
          <w:ilvl w:val="4"/>
          <w:numId w:val="80"/>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“Certificates awarded by workforce development boards, work readiness certificates, and general skills certificates are not included in this definition because neither type of certificate is recognized industry-wide, and they do not document the measurable technical or </w:t>
      </w:r>
      <w:r>
        <w:rPr>
          <w:rFonts w:ascii="Verdana" w:eastAsia="Verdana" w:hAnsi="Verdana" w:cs="Verdana"/>
          <w:color w:val="000000"/>
          <w:sz w:val="23"/>
          <w:szCs w:val="23"/>
        </w:rPr>
        <w:lastRenderedPageBreak/>
        <w:t>industry/occupational skills necessary to gain employment or advancement within an occupation” (OCTAE Memo 17-2, Section D, Definition of a Recognized Postsecondary Credential).</w:t>
      </w:r>
    </w:p>
    <w:p w14:paraId="6CB971D9" w14:textId="2104BC9D" w:rsidR="00F8503D" w:rsidRDefault="0033067D">
      <w:pPr>
        <w:keepNext/>
        <w:numPr>
          <w:ilvl w:val="2"/>
          <w:numId w:val="24"/>
        </w:numPr>
        <w:pBdr>
          <w:top w:val="nil"/>
          <w:left w:val="nil"/>
          <w:bottom w:val="nil"/>
          <w:right w:val="nil"/>
          <w:between w:val="nil"/>
        </w:pBdr>
        <w:spacing w:before="240" w:after="40" w:line="276" w:lineRule="auto"/>
        <w:rPr>
          <w:rFonts w:ascii="Arial" w:eastAsia="Arial" w:hAnsi="Arial" w:cs="Arial"/>
          <w:smallCaps/>
          <w:color w:val="6A976C"/>
          <w:sz w:val="28"/>
          <w:szCs w:val="28"/>
          <w:lang w:val="en-US"/>
        </w:rPr>
      </w:pPr>
      <w:bookmarkStart w:id="23" w:name="_osgyputk38qn"/>
      <w:bookmarkEnd w:id="23"/>
      <w:r w:rsidRPr="0E6AD713">
        <w:rPr>
          <w:rFonts w:ascii="Arial" w:eastAsia="Arial" w:hAnsi="Arial" w:cs="Arial"/>
          <w:smallCaps/>
          <w:color w:val="6A976C"/>
          <w:sz w:val="28"/>
          <w:szCs w:val="28"/>
          <w:lang w:val="en-US"/>
        </w:rPr>
        <w:t>Integrated English literacy and Civics Education (</w:t>
      </w:r>
      <w:r w:rsidR="1CE6E855" w:rsidRPr="0E6AD713">
        <w:rPr>
          <w:rFonts w:ascii="Arial" w:eastAsia="Arial" w:hAnsi="Arial" w:cs="Arial"/>
          <w:smallCaps/>
          <w:color w:val="6A976C"/>
          <w:sz w:val="28"/>
          <w:szCs w:val="28"/>
          <w:lang w:val="en-US"/>
        </w:rPr>
        <w:t>IELCE</w:t>
      </w:r>
      <w:r w:rsidRPr="0E6AD713">
        <w:rPr>
          <w:rFonts w:ascii="Arial" w:eastAsia="Arial" w:hAnsi="Arial" w:cs="Arial"/>
          <w:smallCaps/>
          <w:color w:val="6A976C"/>
          <w:sz w:val="28"/>
          <w:szCs w:val="28"/>
          <w:lang w:val="en-US"/>
        </w:rPr>
        <w:t>)</w:t>
      </w:r>
    </w:p>
    <w:p w14:paraId="21517FAE"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4E9BF4C7" w14:textId="3CBAC4D6"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IELCE means education services provided to English Language Learners (ELLs) who are adults, including professionals with degrees and credentials in their native countries that enable such adults to achieve competency in the English language and acquire the </w:t>
      </w:r>
      <w:r w:rsidR="00FF4575">
        <w:rPr>
          <w:rFonts w:ascii="Verdana" w:eastAsia="Verdana" w:hAnsi="Verdana" w:cs="Verdana"/>
          <w:color w:val="000000"/>
          <w:sz w:val="23"/>
          <w:szCs w:val="23"/>
        </w:rPr>
        <w:t>Basic</w:t>
      </w:r>
      <w:r>
        <w:rPr>
          <w:rFonts w:ascii="Verdana" w:eastAsia="Verdana" w:hAnsi="Verdana" w:cs="Verdana"/>
          <w:color w:val="000000"/>
          <w:sz w:val="23"/>
          <w:szCs w:val="23"/>
        </w:rPr>
        <w:t xml:space="preserve"> and more advanced skills needed to function effectively as parents, workers, and citizens in the United States.</w:t>
      </w:r>
    </w:p>
    <w:p w14:paraId="500A4378"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Such services must include instruction in literacy and English language acquisition and instruction on the rights and responsibilities of citizenship and civic participation, in combination with IET activities (see WIOA section 243(a)).</w:t>
      </w:r>
    </w:p>
    <w:p w14:paraId="34CB2FE1"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71F8AA0B"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that receive funding under section 243 must be designed to prepare adults who are ELLs for, and place them in, unsubsidized employment in in-demand industries and occupations that lead to economic self-sufficiency and integrate with the local workforce development system and its functions to carry out the activities of the program.</w:t>
      </w:r>
    </w:p>
    <w:p w14:paraId="6BA069FF"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IELCE programs must include:</w:t>
      </w:r>
    </w:p>
    <w:p w14:paraId="040F3B2D" w14:textId="77777777" w:rsidR="00F8503D" w:rsidRDefault="0033067D">
      <w:pPr>
        <w:numPr>
          <w:ilvl w:val="0"/>
          <w:numId w:val="81"/>
        </w:numPr>
        <w:pBdr>
          <w:top w:val="nil"/>
          <w:left w:val="nil"/>
          <w:bottom w:val="nil"/>
          <w:right w:val="nil"/>
          <w:between w:val="nil"/>
        </w:pBdr>
        <w:spacing w:after="160" w:line="276" w:lineRule="auto"/>
        <w:ind w:left="1080"/>
      </w:pPr>
      <w:r>
        <w:rPr>
          <w:rFonts w:ascii="Verdana" w:eastAsia="Verdana" w:hAnsi="Verdana" w:cs="Verdana"/>
          <w:color w:val="000000"/>
          <w:sz w:val="23"/>
          <w:szCs w:val="23"/>
        </w:rPr>
        <w:t>Instruction in literacy and English language acquisition and instruction on the rights and responsibilities of citizenship and civic participation; and</w:t>
      </w:r>
    </w:p>
    <w:p w14:paraId="575DD13D" w14:textId="77777777" w:rsidR="00F8503D" w:rsidRDefault="0033067D">
      <w:pPr>
        <w:numPr>
          <w:ilvl w:val="0"/>
          <w:numId w:val="81"/>
        </w:numPr>
        <w:pBdr>
          <w:top w:val="nil"/>
          <w:left w:val="nil"/>
          <w:bottom w:val="nil"/>
          <w:right w:val="nil"/>
          <w:between w:val="nil"/>
        </w:pBdr>
        <w:spacing w:after="160" w:line="276" w:lineRule="auto"/>
        <w:ind w:left="1080"/>
      </w:pPr>
      <w:r>
        <w:rPr>
          <w:rFonts w:ascii="Verdana" w:eastAsia="Verdana" w:hAnsi="Verdana" w:cs="Verdana"/>
          <w:color w:val="000000"/>
          <w:sz w:val="23"/>
          <w:szCs w:val="23"/>
        </w:rPr>
        <w:t>IET activities, that must include ABE/ASE and/or ESL, Workforce Preparation, and Workforce training for a specific occupation or occupational cluster (34 CFR 463.73)</w:t>
      </w:r>
    </w:p>
    <w:p w14:paraId="4530EB39"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Implementation of the OACCRS/OAELPS must be evident in IELCE curriculum and instruction.</w:t>
      </w:r>
    </w:p>
    <w:p w14:paraId="00BCD04A" w14:textId="77777777" w:rsidR="00F8503D" w:rsidRDefault="0033067D">
      <w:pPr>
        <w:keepNext/>
        <w:numPr>
          <w:ilvl w:val="2"/>
          <w:numId w:val="24"/>
        </w:numPr>
        <w:pBdr>
          <w:top w:val="nil"/>
          <w:left w:val="nil"/>
          <w:bottom w:val="nil"/>
          <w:right w:val="nil"/>
          <w:between w:val="nil"/>
        </w:pBdr>
        <w:spacing w:before="240" w:after="40" w:line="276" w:lineRule="auto"/>
      </w:pPr>
      <w:bookmarkStart w:id="24" w:name="_wls30eolehn" w:colFirst="0" w:colLast="0"/>
      <w:bookmarkEnd w:id="24"/>
      <w:r>
        <w:rPr>
          <w:rFonts w:ascii="Arial" w:eastAsia="Arial" w:hAnsi="Arial" w:cs="Arial"/>
          <w:smallCaps/>
          <w:color w:val="6A976C"/>
          <w:sz w:val="28"/>
          <w:szCs w:val="28"/>
        </w:rPr>
        <w:t>Workforce Preparation</w:t>
      </w:r>
    </w:p>
    <w:p w14:paraId="668F4D8B"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29EC336" w14:textId="722D0E9E"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Workforce preparation activities include activities, programs, or services designed to help an individual acquire a combination of </w:t>
      </w:r>
      <w:r w:rsidR="00FF4575">
        <w:rPr>
          <w:rFonts w:ascii="Verdana" w:eastAsia="Verdana" w:hAnsi="Verdana" w:cs="Verdana"/>
          <w:color w:val="000000" w:themeColor="text1"/>
          <w:sz w:val="23"/>
          <w:szCs w:val="23"/>
          <w:lang w:val="en-US"/>
        </w:rPr>
        <w:t>Basic</w:t>
      </w:r>
      <w:r w:rsidRPr="7B188CE2">
        <w:rPr>
          <w:rFonts w:ascii="Verdana" w:eastAsia="Verdana" w:hAnsi="Verdana" w:cs="Verdana"/>
          <w:color w:val="000000" w:themeColor="text1"/>
          <w:sz w:val="23"/>
          <w:szCs w:val="23"/>
          <w:lang w:val="en-US"/>
        </w:rPr>
        <w:t xml:space="preserve"> academic skills, </w:t>
      </w:r>
      <w:r w:rsidRPr="7B188CE2">
        <w:rPr>
          <w:rFonts w:ascii="Verdana" w:eastAsia="Verdana" w:hAnsi="Verdana" w:cs="Verdana"/>
          <w:color w:val="000000" w:themeColor="text1"/>
          <w:sz w:val="23"/>
          <w:szCs w:val="23"/>
          <w:lang w:val="en-US"/>
        </w:rPr>
        <w:lastRenderedPageBreak/>
        <w:t>critical thinking skills, digital literacy skills, and self-management skills, including competencies in:</w:t>
      </w:r>
    </w:p>
    <w:p w14:paraId="3FB3BB45" w14:textId="77777777" w:rsidR="00F8503D" w:rsidRDefault="0033067D">
      <w:pPr>
        <w:numPr>
          <w:ilvl w:val="0"/>
          <w:numId w:val="82"/>
        </w:numPr>
        <w:pBdr>
          <w:top w:val="nil"/>
          <w:left w:val="nil"/>
          <w:bottom w:val="nil"/>
          <w:right w:val="nil"/>
          <w:between w:val="nil"/>
        </w:pBdr>
        <w:spacing w:after="160" w:line="276" w:lineRule="auto"/>
      </w:pPr>
      <w:r>
        <w:rPr>
          <w:rFonts w:ascii="Verdana" w:eastAsia="Verdana" w:hAnsi="Verdana" w:cs="Verdana"/>
          <w:color w:val="000000"/>
          <w:sz w:val="23"/>
          <w:szCs w:val="23"/>
        </w:rPr>
        <w:t>Utilizing resources; Using information; Working with others; Understanding systems;</w:t>
      </w:r>
    </w:p>
    <w:p w14:paraId="6D2418EF" w14:textId="77777777" w:rsidR="00F8503D" w:rsidRDefault="0033067D">
      <w:pPr>
        <w:numPr>
          <w:ilvl w:val="0"/>
          <w:numId w:val="82"/>
        </w:numPr>
        <w:pBdr>
          <w:top w:val="nil"/>
          <w:left w:val="nil"/>
          <w:bottom w:val="nil"/>
          <w:right w:val="nil"/>
          <w:between w:val="nil"/>
        </w:pBdr>
        <w:spacing w:after="160" w:line="276" w:lineRule="auto"/>
      </w:pPr>
      <w:r>
        <w:rPr>
          <w:rFonts w:ascii="Verdana" w:eastAsia="Verdana" w:hAnsi="Verdana" w:cs="Verdana"/>
          <w:color w:val="000000"/>
          <w:sz w:val="23"/>
          <w:szCs w:val="23"/>
        </w:rPr>
        <w:t>Skills necessary for successful transition into and completion of postsecondary education or training, or employment; and</w:t>
      </w:r>
    </w:p>
    <w:p w14:paraId="1CDD84FC" w14:textId="77777777" w:rsidR="00F8503D" w:rsidRDefault="0033067D">
      <w:pPr>
        <w:numPr>
          <w:ilvl w:val="0"/>
          <w:numId w:val="82"/>
        </w:numPr>
        <w:pBdr>
          <w:top w:val="nil"/>
          <w:left w:val="nil"/>
          <w:bottom w:val="nil"/>
          <w:right w:val="nil"/>
          <w:between w:val="nil"/>
        </w:pBdr>
        <w:spacing w:after="160" w:line="276" w:lineRule="auto"/>
      </w:pPr>
      <w:r>
        <w:rPr>
          <w:rFonts w:ascii="Verdana" w:eastAsia="Verdana" w:hAnsi="Verdana" w:cs="Verdana"/>
          <w:color w:val="000000"/>
          <w:sz w:val="23"/>
          <w:szCs w:val="23"/>
        </w:rPr>
        <w:t>Other employability skills that increase an individual’s preparation for the workforce.</w:t>
      </w:r>
    </w:p>
    <w:p w14:paraId="79436A4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2A50D825" w14:textId="33066E46" w:rsidR="00F8503D" w:rsidRDefault="0033067D">
      <w:pPr>
        <w:numPr>
          <w:ilvl w:val="6"/>
          <w:numId w:val="83"/>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offer Workforce Preparation activities (section 203(17) of WIOA; 34 CRF 463.34) Programs must offer Workforce Preparation concurrently with another activity such as ABE, ASE, ESL</w:t>
      </w:r>
      <w:r w:rsidR="00966E13">
        <w:rPr>
          <w:rFonts w:ascii="Verdana" w:eastAsia="Verdana" w:hAnsi="Verdana" w:cs="Verdana"/>
          <w:color w:val="000000"/>
          <w:sz w:val="23"/>
          <w:szCs w:val="23"/>
        </w:rPr>
        <w:t>,</w:t>
      </w:r>
      <w:r>
        <w:rPr>
          <w:rFonts w:ascii="Verdana" w:eastAsia="Verdana" w:hAnsi="Verdana" w:cs="Verdana"/>
          <w:color w:val="000000"/>
          <w:sz w:val="23"/>
          <w:szCs w:val="23"/>
        </w:rPr>
        <w:t xml:space="preserve"> IET, or IELCE and be consistent with the organizational requirements for those activities.</w:t>
      </w:r>
    </w:p>
    <w:p w14:paraId="7A80DFAD" w14:textId="77777777" w:rsidR="00F8503D" w:rsidRDefault="0033067D">
      <w:pPr>
        <w:numPr>
          <w:ilvl w:val="0"/>
          <w:numId w:val="83"/>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Implementation of the OACCRS/OAELPS must be evident in workforce preparation curriculum and instruction.</w:t>
      </w:r>
    </w:p>
    <w:p w14:paraId="3D11E0B1" w14:textId="77777777" w:rsidR="00F8503D" w:rsidRDefault="0033067D">
      <w:pPr>
        <w:keepNext/>
        <w:numPr>
          <w:ilvl w:val="2"/>
          <w:numId w:val="24"/>
        </w:numPr>
        <w:pBdr>
          <w:top w:val="nil"/>
          <w:left w:val="nil"/>
          <w:bottom w:val="nil"/>
          <w:right w:val="nil"/>
          <w:between w:val="nil"/>
        </w:pBdr>
        <w:spacing w:before="240" w:after="40" w:line="276" w:lineRule="auto"/>
      </w:pPr>
      <w:bookmarkStart w:id="25" w:name="_nm3qz7cwvoma" w:colFirst="0" w:colLast="0"/>
      <w:bookmarkEnd w:id="25"/>
      <w:r>
        <w:rPr>
          <w:rFonts w:ascii="Arial" w:eastAsia="Arial" w:hAnsi="Arial" w:cs="Arial"/>
          <w:smallCaps/>
          <w:color w:val="6A976C"/>
          <w:sz w:val="28"/>
          <w:szCs w:val="28"/>
        </w:rPr>
        <w:t>Workplace Adult Education</w:t>
      </w:r>
    </w:p>
    <w:p w14:paraId="71E5AF0E"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1379943D"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Workplace Adult Education can only be offered by programs funded to offer ABE, ASE or ESL. Workplace Adult Education activities will be offered by programs in collaboration with an employer or employee organization at a workplace or an offsite location. Workplace Adult Education activities include ABE, ASE, or ESL content which addresses the improvement of the productivity of the workforce.</w:t>
      </w:r>
    </w:p>
    <w:p w14:paraId="3A38AE3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2B806DD1"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Implementation of the OACCRS/OAELPS must be evident in Workplace Adult Education curriculum and instruction.</w:t>
      </w:r>
    </w:p>
    <w:p w14:paraId="7901ABBC"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26" w:name="_h293wy3xrnf3" w:colFirst="0" w:colLast="0"/>
      <w:bookmarkEnd w:id="26"/>
      <w:r>
        <w:rPr>
          <w:rFonts w:ascii="Arial" w:eastAsia="Arial" w:hAnsi="Arial" w:cs="Arial"/>
          <w:b/>
          <w:bCs/>
          <w:smallCaps/>
          <w:color w:val="6A976C"/>
          <w:sz w:val="32"/>
          <w:szCs w:val="32"/>
        </w:rPr>
        <w:lastRenderedPageBreak/>
        <w:t>Assessment</w:t>
      </w:r>
    </w:p>
    <w:p w14:paraId="50265012"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68DA974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Federal regulation 34 CFR 462.40-41 requires that states have an assessment policy that identifies the pre- and post-tests and test procedures that eligible providers must use to measure the EFL placement and gain of ABE, ASE, and ESL learners. CCWD is responsible for ensuring that programs follow uniform federal data collection policies and procedures and for implementing accountability requirements, which include:</w:t>
      </w:r>
    </w:p>
    <w:p w14:paraId="24EA8FB5" w14:textId="77777777" w:rsidR="00F8503D" w:rsidRDefault="0033067D">
      <w:pPr>
        <w:numPr>
          <w:ilvl w:val="0"/>
          <w:numId w:val="84"/>
        </w:numPr>
        <w:pBdr>
          <w:top w:val="nil"/>
          <w:left w:val="nil"/>
          <w:bottom w:val="nil"/>
          <w:right w:val="nil"/>
          <w:between w:val="nil"/>
        </w:pBdr>
        <w:spacing w:after="160" w:line="276" w:lineRule="auto"/>
      </w:pPr>
      <w:r>
        <w:rPr>
          <w:rFonts w:ascii="Verdana" w:eastAsia="Verdana" w:hAnsi="Verdana" w:cs="Verdana"/>
          <w:color w:val="000000"/>
          <w:sz w:val="23"/>
          <w:szCs w:val="23"/>
        </w:rPr>
        <w:t>Facilitating ongoing professional development of staff;</w:t>
      </w:r>
    </w:p>
    <w:p w14:paraId="5597D178" w14:textId="77777777" w:rsidR="00F8503D" w:rsidRDefault="0033067D">
      <w:pPr>
        <w:numPr>
          <w:ilvl w:val="0"/>
          <w:numId w:val="84"/>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Providing technical assistance to programs;</w:t>
      </w:r>
    </w:p>
    <w:p w14:paraId="3C4BC3B5" w14:textId="77777777" w:rsidR="00F8503D" w:rsidRDefault="0033067D">
      <w:pPr>
        <w:numPr>
          <w:ilvl w:val="0"/>
          <w:numId w:val="84"/>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Implementing quality control and monitoring procedures to ensure that local data procedures are accurate and complete;</w:t>
      </w:r>
    </w:p>
    <w:p w14:paraId="419FCBCC" w14:textId="77777777" w:rsidR="00F8503D" w:rsidRDefault="0033067D">
      <w:pPr>
        <w:numPr>
          <w:ilvl w:val="0"/>
          <w:numId w:val="84"/>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Establishing and maintaining a state database that includes an individual learner record system employing a relational database for programs;</w:t>
      </w:r>
    </w:p>
    <w:p w14:paraId="2A5A312B" w14:textId="77777777" w:rsidR="00F8503D" w:rsidRDefault="0033067D">
      <w:pPr>
        <w:numPr>
          <w:ilvl w:val="0"/>
          <w:numId w:val="84"/>
        </w:numPr>
        <w:pBdr>
          <w:top w:val="nil"/>
          <w:left w:val="nil"/>
          <w:bottom w:val="nil"/>
          <w:right w:val="nil"/>
          <w:between w:val="nil"/>
        </w:pBdr>
        <w:spacing w:after="160" w:line="276" w:lineRule="auto"/>
      </w:pPr>
      <w:r>
        <w:rPr>
          <w:rFonts w:ascii="Verdana" w:eastAsia="Verdana" w:hAnsi="Verdana" w:cs="Verdana"/>
          <w:color w:val="000000"/>
          <w:sz w:val="23"/>
          <w:szCs w:val="23"/>
        </w:rPr>
        <w:t>Establishing statewide uniform methods for a learner assessment system;</w:t>
      </w:r>
    </w:p>
    <w:p w14:paraId="611D1337" w14:textId="77777777" w:rsidR="00F8503D" w:rsidRDefault="0033067D">
      <w:pPr>
        <w:numPr>
          <w:ilvl w:val="0"/>
          <w:numId w:val="84"/>
        </w:numPr>
        <w:pBdr>
          <w:top w:val="nil"/>
          <w:left w:val="nil"/>
          <w:bottom w:val="nil"/>
          <w:right w:val="nil"/>
          <w:between w:val="nil"/>
        </w:pBdr>
        <w:spacing w:after="160" w:line="276" w:lineRule="auto"/>
      </w:pPr>
      <w:r>
        <w:rPr>
          <w:rFonts w:ascii="Verdana" w:eastAsia="Verdana" w:hAnsi="Verdana" w:cs="Verdana"/>
          <w:color w:val="000000"/>
          <w:sz w:val="23"/>
          <w:szCs w:val="23"/>
        </w:rPr>
        <w:t>Documenting state learning gains on the EFLs;</w:t>
      </w:r>
    </w:p>
    <w:p w14:paraId="33770198" w14:textId="77777777" w:rsidR="00F8503D" w:rsidRDefault="0033067D">
      <w:pPr>
        <w:numPr>
          <w:ilvl w:val="0"/>
          <w:numId w:val="84"/>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Analyzing assessment results to identify trends and anomalies;</w:t>
      </w:r>
    </w:p>
    <w:p w14:paraId="7784EB2C" w14:textId="77777777" w:rsidR="00F8503D" w:rsidRDefault="0033067D">
      <w:pPr>
        <w:numPr>
          <w:ilvl w:val="0"/>
          <w:numId w:val="84"/>
        </w:numPr>
        <w:pBdr>
          <w:top w:val="nil"/>
          <w:left w:val="nil"/>
          <w:bottom w:val="nil"/>
          <w:right w:val="nil"/>
          <w:between w:val="nil"/>
        </w:pBdr>
        <w:spacing w:after="160" w:line="276" w:lineRule="auto"/>
      </w:pPr>
      <w:r>
        <w:rPr>
          <w:rFonts w:ascii="Verdana" w:eastAsia="Verdana" w:hAnsi="Verdana" w:cs="Verdana"/>
          <w:color w:val="000000"/>
          <w:sz w:val="23"/>
          <w:szCs w:val="23"/>
        </w:rPr>
        <w:t>Setting annual performance targets for EFLs; and</w:t>
      </w:r>
    </w:p>
    <w:p w14:paraId="413EF7B6" w14:textId="77777777" w:rsidR="00F8503D" w:rsidRDefault="0033067D">
      <w:pPr>
        <w:numPr>
          <w:ilvl w:val="0"/>
          <w:numId w:val="84"/>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Including performance outcomes in the annual funding formula   </w:t>
      </w:r>
    </w:p>
    <w:p w14:paraId="27B1DD5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assessment policies in this section support:</w:t>
      </w:r>
    </w:p>
    <w:p w14:paraId="6D85B689" w14:textId="77777777" w:rsidR="00F8503D" w:rsidRDefault="0033067D">
      <w:pPr>
        <w:numPr>
          <w:ilvl w:val="0"/>
          <w:numId w:val="8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The use of appropriate assessment instruments;</w:t>
      </w:r>
    </w:p>
    <w:p w14:paraId="3DB894BD" w14:textId="77777777" w:rsidR="00F8503D" w:rsidRDefault="0033067D">
      <w:pPr>
        <w:numPr>
          <w:ilvl w:val="0"/>
          <w:numId w:val="85"/>
        </w:numPr>
        <w:pBdr>
          <w:top w:val="nil"/>
          <w:left w:val="nil"/>
          <w:bottom w:val="nil"/>
          <w:right w:val="nil"/>
          <w:between w:val="nil"/>
        </w:pBdr>
        <w:spacing w:after="160" w:line="276" w:lineRule="auto"/>
      </w:pPr>
      <w:r>
        <w:rPr>
          <w:rFonts w:ascii="Verdana" w:eastAsia="Verdana" w:hAnsi="Verdana" w:cs="Verdana"/>
          <w:color w:val="000000"/>
          <w:sz w:val="23"/>
          <w:szCs w:val="23"/>
        </w:rPr>
        <w:t>Appropriate test administration, scoring, and reporting of test scores;</w:t>
      </w:r>
    </w:p>
    <w:p w14:paraId="6D2EF0F2" w14:textId="77777777" w:rsidR="00F8503D" w:rsidRDefault="0033067D">
      <w:pPr>
        <w:numPr>
          <w:ilvl w:val="0"/>
          <w:numId w:val="85"/>
        </w:numPr>
        <w:pBdr>
          <w:top w:val="nil"/>
          <w:left w:val="nil"/>
          <w:bottom w:val="nil"/>
          <w:right w:val="nil"/>
          <w:between w:val="nil"/>
        </w:pBdr>
        <w:spacing w:after="160" w:line="276" w:lineRule="auto"/>
      </w:pPr>
      <w:r>
        <w:rPr>
          <w:rFonts w:ascii="Verdana" w:eastAsia="Verdana" w:hAnsi="Verdana" w:cs="Verdana"/>
          <w:color w:val="000000"/>
          <w:sz w:val="23"/>
          <w:szCs w:val="23"/>
        </w:rPr>
        <w:t>Appropriate use of test results to inform instruction and improve programs;</w:t>
      </w:r>
    </w:p>
    <w:p w14:paraId="3CDE6F65" w14:textId="77777777" w:rsidR="00F8503D" w:rsidRDefault="0033067D">
      <w:pPr>
        <w:numPr>
          <w:ilvl w:val="0"/>
          <w:numId w:val="85"/>
        </w:numPr>
        <w:pBdr>
          <w:top w:val="nil"/>
          <w:left w:val="nil"/>
          <w:bottom w:val="nil"/>
          <w:right w:val="nil"/>
          <w:between w:val="nil"/>
        </w:pBdr>
        <w:spacing w:after="160" w:line="276" w:lineRule="auto"/>
      </w:pPr>
      <w:r>
        <w:rPr>
          <w:rFonts w:ascii="Verdana" w:eastAsia="Verdana" w:hAnsi="Verdana" w:cs="Verdana"/>
          <w:color w:val="000000"/>
          <w:sz w:val="23"/>
          <w:szCs w:val="23"/>
        </w:rPr>
        <w:t>The training of staff on assessment; and</w:t>
      </w:r>
    </w:p>
    <w:p w14:paraId="3C645CB8" w14:textId="77777777" w:rsidR="00F8503D" w:rsidRDefault="0033067D">
      <w:pPr>
        <w:numPr>
          <w:ilvl w:val="0"/>
          <w:numId w:val="85"/>
        </w:numPr>
        <w:pBdr>
          <w:top w:val="nil"/>
          <w:left w:val="nil"/>
          <w:bottom w:val="nil"/>
          <w:right w:val="nil"/>
          <w:between w:val="nil"/>
        </w:pBdr>
        <w:spacing w:after="160" w:line="276" w:lineRule="auto"/>
      </w:pPr>
      <w:r>
        <w:rPr>
          <w:rFonts w:ascii="Verdana" w:eastAsia="Verdana" w:hAnsi="Verdana" w:cs="Verdana"/>
          <w:color w:val="000000"/>
          <w:sz w:val="23"/>
          <w:szCs w:val="23"/>
        </w:rPr>
        <w:t>The reporting of valid and reliable assessment results and related accountability information to local, state, and federal funding sources.</w:t>
      </w:r>
    </w:p>
    <w:p w14:paraId="7145CF50" w14:textId="77777777" w:rsidR="00F8503D" w:rsidRDefault="0033067D">
      <w:pPr>
        <w:keepNext/>
        <w:numPr>
          <w:ilvl w:val="2"/>
          <w:numId w:val="24"/>
        </w:numPr>
        <w:pBdr>
          <w:top w:val="nil"/>
          <w:left w:val="nil"/>
          <w:bottom w:val="nil"/>
          <w:right w:val="nil"/>
          <w:between w:val="nil"/>
        </w:pBdr>
        <w:spacing w:before="240" w:after="40" w:line="276" w:lineRule="auto"/>
      </w:pPr>
      <w:bookmarkStart w:id="27" w:name="_9wued4o1tlx3" w:colFirst="0" w:colLast="0"/>
      <w:bookmarkEnd w:id="27"/>
      <w:r>
        <w:rPr>
          <w:rFonts w:ascii="Arial" w:eastAsia="Arial" w:hAnsi="Arial" w:cs="Arial"/>
          <w:smallCaps/>
          <w:color w:val="6A976C"/>
          <w:sz w:val="28"/>
          <w:szCs w:val="28"/>
        </w:rPr>
        <w:lastRenderedPageBreak/>
        <w:t>Standardized Assessments for NRS Reporting</w:t>
      </w:r>
    </w:p>
    <w:p w14:paraId="1E2F336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13D42D05" w14:textId="77777777" w:rsidR="00F8503D" w:rsidRDefault="0033067D">
      <w:pPr>
        <w:numPr>
          <w:ilvl w:val="6"/>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in addition to complying with Federal assessment rules and Oregon assessment policies, create and maintain local assessment procedures.</w:t>
      </w:r>
    </w:p>
    <w:p w14:paraId="4DCFE58B" w14:textId="77777777" w:rsidR="00F8503D" w:rsidRDefault="0033067D">
      <w:pPr>
        <w:pBdr>
          <w:top w:val="nil"/>
          <w:left w:val="nil"/>
          <w:bottom w:val="nil"/>
          <w:right w:val="nil"/>
          <w:between w:val="nil"/>
        </w:pBdr>
        <w:spacing w:after="160" w:line="276" w:lineRule="auto"/>
        <w:ind w:left="360"/>
        <w:rPr>
          <w:rFonts w:ascii="Verdana" w:eastAsia="Verdana" w:hAnsi="Verdana" w:cs="Verdana"/>
          <w:color w:val="000000"/>
          <w:sz w:val="23"/>
          <w:szCs w:val="23"/>
        </w:rPr>
      </w:pPr>
      <w:r>
        <w:rPr>
          <w:rFonts w:ascii="Verdana" w:eastAsia="Verdana" w:hAnsi="Verdana" w:cs="Verdana"/>
          <w:color w:val="000000"/>
          <w:sz w:val="23"/>
          <w:szCs w:val="23"/>
        </w:rPr>
        <w:t>Local assessment procedures must include the following:</w:t>
      </w:r>
    </w:p>
    <w:p w14:paraId="3BA5DF56" w14:textId="77777777" w:rsidR="00F8503D" w:rsidRDefault="0033067D">
      <w:pPr>
        <w:numPr>
          <w:ilvl w:val="7"/>
          <w:numId w:val="86"/>
        </w:numPr>
        <w:pBdr>
          <w:top w:val="nil"/>
          <w:left w:val="nil"/>
          <w:bottom w:val="nil"/>
          <w:right w:val="nil"/>
          <w:between w:val="nil"/>
        </w:pBdr>
        <w:spacing w:after="160" w:line="276" w:lineRule="auto"/>
        <w:ind w:left="1080"/>
      </w:pPr>
      <w:r>
        <w:rPr>
          <w:rFonts w:ascii="Verdana" w:eastAsia="Verdana" w:hAnsi="Verdana" w:cs="Verdana"/>
          <w:color w:val="000000"/>
          <w:sz w:val="23"/>
          <w:szCs w:val="23"/>
        </w:rPr>
        <w:t>A complete and current list of all certified test administrators. (Assessment certifications and dates of certification should be available to CCWD upon request.)</w:t>
      </w:r>
    </w:p>
    <w:p w14:paraId="6575B7E9" w14:textId="77777777" w:rsidR="00F8503D" w:rsidRDefault="0033067D">
      <w:pPr>
        <w:numPr>
          <w:ilvl w:val="1"/>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Documentation of testing procedures, including: </w:t>
      </w:r>
    </w:p>
    <w:p w14:paraId="701D6565" w14:textId="77777777" w:rsidR="00F8503D" w:rsidRDefault="0033067D">
      <w:pPr>
        <w:numPr>
          <w:ilvl w:val="2"/>
          <w:numId w:val="87"/>
        </w:numPr>
        <w:pBdr>
          <w:top w:val="nil"/>
          <w:left w:val="nil"/>
          <w:bottom w:val="nil"/>
          <w:right w:val="nil"/>
          <w:between w:val="nil"/>
        </w:pBdr>
        <w:spacing w:after="160" w:line="276" w:lineRule="auto"/>
        <w:ind w:left="1620"/>
      </w:pPr>
      <w:r>
        <w:rPr>
          <w:rFonts w:ascii="Verdana" w:eastAsia="Verdana" w:hAnsi="Verdana" w:cs="Verdana"/>
          <w:color w:val="000000"/>
          <w:sz w:val="23"/>
          <w:szCs w:val="23"/>
        </w:rPr>
        <w:t>Who notifies instructors when students are eligible to posttest;</w:t>
      </w:r>
    </w:p>
    <w:p w14:paraId="32C7C848" w14:textId="77777777" w:rsidR="00F8503D" w:rsidRDefault="0033067D">
      <w:pPr>
        <w:numPr>
          <w:ilvl w:val="2"/>
          <w:numId w:val="87"/>
        </w:numPr>
        <w:pBdr>
          <w:top w:val="nil"/>
          <w:left w:val="nil"/>
          <w:bottom w:val="nil"/>
          <w:right w:val="nil"/>
          <w:between w:val="nil"/>
        </w:pBdr>
        <w:spacing w:after="160" w:line="276" w:lineRule="auto"/>
        <w:ind w:left="1620"/>
      </w:pPr>
      <w:r>
        <w:rPr>
          <w:rFonts w:ascii="Verdana" w:eastAsia="Verdana" w:hAnsi="Verdana" w:cs="Verdana"/>
          <w:color w:val="000000"/>
          <w:sz w:val="23"/>
          <w:szCs w:val="23"/>
        </w:rPr>
        <w:t>When to notify instructors that students are eligible to posttest;</w:t>
      </w:r>
    </w:p>
    <w:p w14:paraId="355B3DE9" w14:textId="77777777" w:rsidR="00F8503D" w:rsidRDefault="0033067D">
      <w:pPr>
        <w:numPr>
          <w:ilvl w:val="2"/>
          <w:numId w:val="87"/>
        </w:numPr>
        <w:pBdr>
          <w:top w:val="nil"/>
          <w:left w:val="nil"/>
          <w:bottom w:val="nil"/>
          <w:right w:val="nil"/>
          <w:between w:val="nil"/>
        </w:pBdr>
        <w:spacing w:after="160" w:line="276" w:lineRule="auto"/>
        <w:ind w:left="1620"/>
      </w:pPr>
      <w:r>
        <w:rPr>
          <w:rFonts w:ascii="Verdana" w:eastAsia="Verdana" w:hAnsi="Verdana" w:cs="Verdana"/>
          <w:color w:val="000000"/>
          <w:sz w:val="23"/>
          <w:szCs w:val="23"/>
        </w:rPr>
        <w:t>How instructors communicate when students are ready to posttest and:</w:t>
      </w:r>
    </w:p>
    <w:p w14:paraId="0862DFA0" w14:textId="77777777" w:rsidR="00F8503D" w:rsidRDefault="0033067D">
      <w:pPr>
        <w:numPr>
          <w:ilvl w:val="2"/>
          <w:numId w:val="87"/>
        </w:numPr>
        <w:pBdr>
          <w:top w:val="nil"/>
          <w:left w:val="nil"/>
          <w:bottom w:val="nil"/>
          <w:right w:val="nil"/>
          <w:between w:val="nil"/>
        </w:pBdr>
        <w:spacing w:after="160" w:line="276" w:lineRule="auto"/>
        <w:ind w:left="1620"/>
      </w:pPr>
      <w:r w:rsidRPr="7B188CE2">
        <w:rPr>
          <w:rFonts w:ascii="Verdana" w:eastAsia="Verdana" w:hAnsi="Verdana" w:cs="Verdana"/>
          <w:color w:val="000000" w:themeColor="text1"/>
          <w:sz w:val="23"/>
          <w:szCs w:val="23"/>
          <w:lang w:val="en-US"/>
        </w:rPr>
        <w:t>Who makes the final decision whether a student posttests.</w:t>
      </w:r>
    </w:p>
    <w:p w14:paraId="5429B7A5" w14:textId="77777777" w:rsidR="00F8503D" w:rsidRDefault="0033067D">
      <w:pPr>
        <w:pBdr>
          <w:top w:val="nil"/>
          <w:left w:val="nil"/>
          <w:bottom w:val="nil"/>
          <w:right w:val="nil"/>
          <w:between w:val="nil"/>
        </w:pBdr>
        <w:spacing w:after="160" w:line="276" w:lineRule="auto"/>
        <w:ind w:left="360"/>
        <w:rPr>
          <w:rFonts w:ascii="Verdana" w:eastAsia="Verdana" w:hAnsi="Verdana" w:cs="Verdana"/>
          <w:color w:val="000000"/>
          <w:sz w:val="23"/>
          <w:szCs w:val="23"/>
        </w:rPr>
      </w:pPr>
      <w:r>
        <w:rPr>
          <w:rFonts w:ascii="Verdana" w:eastAsia="Verdana" w:hAnsi="Verdana" w:cs="Verdana"/>
          <w:color w:val="000000"/>
          <w:sz w:val="23"/>
          <w:szCs w:val="23"/>
        </w:rPr>
        <w:t>Programs must make local assessment procedures available to CCWD and OCTAE upon request.</w:t>
      </w:r>
    </w:p>
    <w:p w14:paraId="5F770975"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report on the NRS measures according to state and federal requirements, including:</w:t>
      </w:r>
    </w:p>
    <w:p w14:paraId="74B2C982" w14:textId="77777777" w:rsidR="00F8503D" w:rsidRDefault="0033067D">
      <w:pPr>
        <w:numPr>
          <w:ilvl w:val="7"/>
          <w:numId w:val="88"/>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Complying with the federal and state-defined procedures for assessing learners for placement in EFLs and assessing progress using valid, standardized procedures to ensure comparability across programs; and</w:t>
      </w:r>
    </w:p>
    <w:p w14:paraId="09E971AC" w14:textId="77777777" w:rsidR="00F8503D" w:rsidRDefault="0033067D">
      <w:pPr>
        <w:numPr>
          <w:ilvl w:val="7"/>
          <w:numId w:val="88"/>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Reporting accurate data in TOPSpro Enterprise®.</w:t>
      </w:r>
    </w:p>
    <w:p w14:paraId="5BBA8742"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Scoring and alignment with NRS levels:</w:t>
      </w:r>
    </w:p>
    <w:p w14:paraId="1DE3DC86" w14:textId="03C8B8CB" w:rsidR="00F8503D" w:rsidRDefault="0033067D">
      <w:pPr>
        <w:pBdr>
          <w:top w:val="nil"/>
          <w:left w:val="nil"/>
          <w:bottom w:val="nil"/>
          <w:right w:val="nil"/>
          <w:between w:val="nil"/>
        </w:pBdr>
        <w:spacing w:after="160" w:line="276" w:lineRule="auto"/>
        <w:ind w:left="360"/>
        <w:rPr>
          <w:rFonts w:ascii="Verdana" w:eastAsia="Verdana" w:hAnsi="Verdana" w:cs="Verdana"/>
          <w:color w:val="000000"/>
          <w:sz w:val="23"/>
          <w:szCs w:val="23"/>
        </w:rPr>
      </w:pPr>
      <w:r>
        <w:rPr>
          <w:rFonts w:ascii="Verdana" w:eastAsia="Verdana" w:hAnsi="Verdana" w:cs="Verdana"/>
          <w:color w:val="000000"/>
          <w:sz w:val="23"/>
          <w:szCs w:val="23"/>
        </w:rPr>
        <w:t>Programs must use scaled scores provided in conversion charts by CASAS for state and federal reporting and when communicating with learners about their progress. Programs must not use raw test scores for these purposes.</w:t>
      </w:r>
    </w:p>
    <w:p w14:paraId="498FC996"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Learners to be assessed and reported:</w:t>
      </w:r>
    </w:p>
    <w:p w14:paraId="2C354F38" w14:textId="77777777" w:rsidR="00F8503D" w:rsidRDefault="0033067D" w:rsidP="7B188CE2">
      <w:pPr>
        <w:pBdr>
          <w:top w:val="nil"/>
          <w:left w:val="nil"/>
          <w:bottom w:val="nil"/>
          <w:right w:val="nil"/>
          <w:between w:val="nil"/>
        </w:pBdr>
        <w:spacing w:after="160" w:line="276" w:lineRule="auto"/>
        <w:ind w:left="360"/>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assess all learners receiving Title II services and include assessment data in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w:t>
      </w:r>
    </w:p>
    <w:p w14:paraId="142CD503" w14:textId="77777777" w:rsidR="00F8503D" w:rsidRPr="004E5C17"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OCTAE-approved assessment instruments for accountability use in Oregon are pictured below: </w:t>
      </w:r>
    </w:p>
    <w:p w14:paraId="0DAF1040" w14:textId="77777777" w:rsidR="004E5C17" w:rsidRDefault="004E5C17" w:rsidP="004E5C17">
      <w:pPr>
        <w:pBdr>
          <w:top w:val="nil"/>
          <w:left w:val="nil"/>
          <w:bottom w:val="nil"/>
          <w:right w:val="nil"/>
          <w:between w:val="nil"/>
        </w:pBdr>
        <w:spacing w:after="160" w:line="276" w:lineRule="auto"/>
        <w:ind w:left="360"/>
      </w:pPr>
    </w:p>
    <w:tbl>
      <w:tblPr>
        <w:tblStyle w:val="a6"/>
        <w:tblpPr w:leftFromText="180" w:rightFromText="180" w:vertAnchor="text" w:horzAnchor="page" w:tblpX="527" w:tblpY="-8137"/>
        <w:tblW w:w="10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535"/>
        <w:gridCol w:w="1170"/>
        <w:gridCol w:w="1170"/>
        <w:gridCol w:w="1170"/>
        <w:gridCol w:w="1170"/>
        <w:gridCol w:w="1710"/>
        <w:gridCol w:w="1260"/>
      </w:tblGrid>
      <w:tr w:rsidR="004E5C17" w14:paraId="66550EB0" w14:textId="77777777" w:rsidTr="00CE4DD8">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775060D"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Series</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F76207B"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Appraisal &amp; Locator</w:t>
            </w:r>
          </w:p>
          <w:p w14:paraId="41C8B68C"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forms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C0FE49D"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Reading forms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8C22704"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Math forms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B5F7EF8"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Listening forms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996EAFA"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Speaking forms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DC14E77"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Computer forms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BEBF64F" w14:textId="77777777" w:rsidR="004E5C17" w:rsidRDefault="004E5C17" w:rsidP="00CE4DD8">
            <w:pPr>
              <w:rPr>
                <w:rFonts w:ascii="Verdana" w:eastAsia="Verdana" w:hAnsi="Verdana" w:cs="Verdana"/>
                <w:b/>
                <w:bCs/>
                <w:sz w:val="18"/>
                <w:szCs w:val="18"/>
              </w:rPr>
            </w:pPr>
            <w:r>
              <w:rPr>
                <w:rFonts w:ascii="Verdana" w:eastAsia="Verdana" w:hAnsi="Verdana" w:cs="Verdana"/>
                <w:b/>
                <w:bCs/>
                <w:sz w:val="18"/>
                <w:szCs w:val="18"/>
              </w:rPr>
              <w:t>Approved until:</w:t>
            </w:r>
          </w:p>
        </w:tc>
      </w:tr>
      <w:tr w:rsidR="004E5C17" w14:paraId="79839875" w14:textId="77777777" w:rsidTr="00CE4DD8">
        <w:trPr>
          <w:trHeight w:val="4550"/>
        </w:trPr>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BAD01" w14:textId="77777777" w:rsidR="004E5C17" w:rsidRPr="001B5E21" w:rsidRDefault="004E5C17" w:rsidP="00CE4DD8">
            <w:r w:rsidRPr="001B5E21">
              <w:t>Reading</w:t>
            </w:r>
          </w:p>
          <w:p w14:paraId="4388F4B3" w14:textId="77777777" w:rsidR="004E5C17" w:rsidRPr="001B5E21" w:rsidRDefault="004E5C17" w:rsidP="00CE4DD8">
            <w:r w:rsidRPr="001B5E21">
              <w:t>GOALS 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06219" w14:textId="77777777" w:rsidR="004E5C17" w:rsidRPr="001B5E21" w:rsidRDefault="004E5C17" w:rsidP="00CE4DD8">
            <w:r w:rsidRPr="001B5E21">
              <w:t>920R (Locator) 919R (Appraisal)</w:t>
            </w:r>
          </w:p>
          <w:p w14:paraId="0D604894" w14:textId="77777777" w:rsidR="004E5C17" w:rsidRPr="001B5E21" w:rsidRDefault="004E5C17" w:rsidP="00CE4DD8"/>
          <w:p w14:paraId="41CD1408"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64E92" w14:textId="77777777" w:rsidR="004E5C17" w:rsidRPr="001B5E21" w:rsidRDefault="004E5C17" w:rsidP="00CE4DD8">
            <w:r w:rsidRPr="001B5E21">
              <w:t>Levels A-E (921/922, 923/924, 925/926, 927/928, 929/930)</w:t>
            </w:r>
          </w:p>
          <w:p w14:paraId="028124D0" w14:textId="77777777" w:rsidR="004E5C17" w:rsidRPr="001B5E21" w:rsidRDefault="004E5C17" w:rsidP="00CE4DD8">
            <w:r w:rsidRPr="001B5E21">
              <w:t>ABE/ASE only</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DF716"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CD153"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E72ED4" w14:textId="77777777" w:rsidR="004E5C17" w:rsidRPr="001B5E21" w:rsidRDefault="004E5C17" w:rsidP="00CE4DD8"/>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FC2E0B" w14:textId="77777777" w:rsidR="004E5C17" w:rsidRPr="001B5E21" w:rsidRDefault="004E5C17" w:rsidP="00CE4DD8">
            <w:pPr>
              <w:rPr>
                <w:lang w:val="en-US"/>
              </w:rPr>
            </w:pPr>
            <w:r w:rsidRPr="001B5E21">
              <w:rPr>
                <w:lang w:val="en-US"/>
              </w:rPr>
              <w:t>eTests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F2A39" w14:textId="77777777" w:rsidR="004E5C17" w:rsidRPr="001B5E21" w:rsidRDefault="004E5C17" w:rsidP="00CE4DD8">
            <w:r w:rsidRPr="001B5E21">
              <w:t>May 8, 2032</w:t>
            </w:r>
          </w:p>
        </w:tc>
      </w:tr>
      <w:tr w:rsidR="004E5C17" w14:paraId="7861FB18" w14:textId="77777777" w:rsidTr="00CE4DD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5E980" w14:textId="77777777" w:rsidR="004E5C17" w:rsidRPr="001B5E21" w:rsidRDefault="004E5C17" w:rsidP="00CE4DD8">
            <w:r w:rsidRPr="001B5E21">
              <w:t>Math GOALS 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BB5F4" w14:textId="77777777" w:rsidR="004E5C17" w:rsidRPr="001B5E21" w:rsidRDefault="004E5C17" w:rsidP="00CE4DD8">
            <w:r w:rsidRPr="001B5E21">
              <w:t>920M (Locator) 919M (Appraisal)</w:t>
            </w:r>
          </w:p>
          <w:p w14:paraId="02C0458F" w14:textId="77777777" w:rsidR="004E5C17" w:rsidRPr="001B5E21" w:rsidRDefault="004E5C17" w:rsidP="00CE4DD8"/>
          <w:p w14:paraId="2539326D"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05146"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AB476" w14:textId="77777777" w:rsidR="004E5C17" w:rsidRPr="001B5E21" w:rsidRDefault="004E5C17" w:rsidP="00CE4DD8">
            <w:r w:rsidRPr="001B5E21">
              <w:t>Levels A-E (921/922, 923/924, 925/926, 927/928, 929/930)</w:t>
            </w:r>
          </w:p>
          <w:p w14:paraId="6EF9D806" w14:textId="77777777" w:rsidR="004E5C17" w:rsidRPr="001B5E21" w:rsidRDefault="004E5C17" w:rsidP="00CE4DD8">
            <w:r w:rsidRPr="001B5E21">
              <w:t>ABE/ASE only</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15120"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1DE51" w14:textId="77777777" w:rsidR="004E5C17" w:rsidRPr="001B5E21" w:rsidRDefault="004E5C17" w:rsidP="00CE4DD8"/>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A8AEA" w14:textId="77777777" w:rsidR="004E5C17" w:rsidRPr="001B5E21" w:rsidRDefault="004E5C17" w:rsidP="00CE4DD8">
            <w:pPr>
              <w:rPr>
                <w:lang w:val="en-US"/>
              </w:rPr>
            </w:pPr>
            <w:r w:rsidRPr="001B5E21">
              <w:rPr>
                <w:lang w:val="en-US"/>
              </w:rPr>
              <w:t>eTests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01A68" w14:textId="77777777" w:rsidR="004E5C17" w:rsidRPr="001B5E21" w:rsidRDefault="004E5C17" w:rsidP="00CE4DD8">
            <w:r w:rsidRPr="001B5E21">
              <w:t>July 13, 2030</w:t>
            </w:r>
          </w:p>
        </w:tc>
      </w:tr>
      <w:tr w:rsidR="004E5C17" w14:paraId="294E4AC3" w14:textId="77777777" w:rsidTr="00CE4DD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6B8B1" w14:textId="77777777" w:rsidR="004E5C17" w:rsidRPr="001B5E21" w:rsidRDefault="004E5C17" w:rsidP="00CE4DD8">
            <w:r w:rsidRPr="001B5E21">
              <w:t>Reading</w:t>
            </w:r>
          </w:p>
          <w:p w14:paraId="73C82062" w14:textId="77777777" w:rsidR="004E5C17" w:rsidRPr="001B5E21" w:rsidRDefault="004E5C17" w:rsidP="00CE4DD8">
            <w:r w:rsidRPr="001B5E21">
              <w:t>STEPS*</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F57BF" w14:textId="77777777" w:rsidR="004E5C17" w:rsidRPr="001B5E21" w:rsidRDefault="004E5C17" w:rsidP="00CE4DD8">
            <w:r w:rsidRPr="001B5E21">
              <w:t>620R (Locator)</w:t>
            </w:r>
          </w:p>
          <w:p w14:paraId="192615E0" w14:textId="77777777" w:rsidR="004E5C17" w:rsidRPr="001B5E21" w:rsidRDefault="004E5C17" w:rsidP="00CE4DD8">
            <w:r w:rsidRPr="001B5E21">
              <w:t>619R (Appraisal)</w:t>
            </w:r>
          </w:p>
          <w:p w14:paraId="652203E5" w14:textId="77777777" w:rsidR="004E5C17" w:rsidRPr="001B5E21" w:rsidRDefault="004E5C17" w:rsidP="00CE4DD8"/>
          <w:p w14:paraId="64FC5A01"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5D532" w14:textId="77777777" w:rsidR="004E5C17" w:rsidRPr="001B5E21" w:rsidRDefault="004E5C17" w:rsidP="00CE4DD8">
            <w:r w:rsidRPr="001B5E21">
              <w:t>Levels A-E (621/622, 623/624, 625/626, 627/628, 629/630)</w:t>
            </w:r>
          </w:p>
          <w:p w14:paraId="20A0AA2B" w14:textId="77777777" w:rsidR="004E5C17" w:rsidRPr="001B5E21" w:rsidRDefault="004E5C17" w:rsidP="00CE4DD8">
            <w:r w:rsidRPr="001B5E21">
              <w:t>ESL only</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D06A4"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4A54E"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6987A" w14:textId="77777777" w:rsidR="004E5C17" w:rsidRPr="001B5E21" w:rsidRDefault="004E5C17" w:rsidP="00CE4DD8"/>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42C75" w14:textId="77777777" w:rsidR="004E5C17" w:rsidRPr="001B5E21" w:rsidRDefault="004E5C17" w:rsidP="00CE4DD8">
            <w:pPr>
              <w:rPr>
                <w:lang w:val="en-US"/>
              </w:rPr>
            </w:pPr>
            <w:r w:rsidRPr="001B5E21">
              <w:rPr>
                <w:lang w:val="en-US"/>
              </w:rPr>
              <w:t>eTests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A3775" w14:textId="77777777" w:rsidR="004E5C17" w:rsidRPr="001B5E21" w:rsidRDefault="004E5C17" w:rsidP="00CE4DD8">
            <w:r w:rsidRPr="001B5E21">
              <w:t>July 13, 2030</w:t>
            </w:r>
          </w:p>
        </w:tc>
      </w:tr>
      <w:tr w:rsidR="004E5C17" w14:paraId="273D0E56" w14:textId="77777777" w:rsidTr="00CE4DD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73A16" w14:textId="77777777" w:rsidR="004E5C17" w:rsidRPr="001B5E21" w:rsidRDefault="004E5C17" w:rsidP="00CE4DD8">
            <w:r w:rsidRPr="001B5E21">
              <w:t>Listening STEPS</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C1C09" w14:textId="77777777" w:rsidR="004E5C17" w:rsidRPr="001B5E21" w:rsidRDefault="004E5C17" w:rsidP="00CE4DD8">
            <w:r w:rsidRPr="001B5E21">
              <w:t>620L (Locator)</w:t>
            </w:r>
          </w:p>
          <w:p w14:paraId="0C0C4809" w14:textId="77777777" w:rsidR="004E5C17" w:rsidRPr="001B5E21" w:rsidRDefault="004E5C17" w:rsidP="00CE4DD8">
            <w:r w:rsidRPr="001B5E21">
              <w:t>619L (Appraisal)</w:t>
            </w:r>
          </w:p>
          <w:p w14:paraId="4E342EAD" w14:textId="77777777" w:rsidR="004E5C17" w:rsidRPr="001B5E21" w:rsidRDefault="004E5C17" w:rsidP="00CE4DD8"/>
          <w:p w14:paraId="42EF7F89"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C78B1"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F1AE9" w14:textId="77777777" w:rsidR="004E5C17" w:rsidRPr="001B5E21" w:rsidRDefault="004E5C17" w:rsidP="00CE4DD8"/>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812D1" w14:textId="77777777" w:rsidR="004E5C17" w:rsidRPr="001B5E21" w:rsidRDefault="004E5C17" w:rsidP="00CE4DD8">
            <w:r w:rsidRPr="001B5E21">
              <w:t>621/622, 623/624, 625/626, 627/628, 629/630</w:t>
            </w:r>
          </w:p>
          <w:p w14:paraId="0AE6C248" w14:textId="77777777" w:rsidR="004E5C17" w:rsidRPr="001B5E21" w:rsidRDefault="004E5C17" w:rsidP="00CE4DD8">
            <w:r w:rsidRPr="001B5E21">
              <w:t>ESL only</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7FC47" w14:textId="77777777" w:rsidR="004E5C17" w:rsidRPr="001B5E21" w:rsidRDefault="004E5C17" w:rsidP="00CE4DD8"/>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60B82" w14:textId="77777777" w:rsidR="004E5C17" w:rsidRPr="001B5E21" w:rsidRDefault="004E5C17" w:rsidP="00CE4DD8">
            <w:pPr>
              <w:rPr>
                <w:lang w:val="en-US"/>
              </w:rPr>
            </w:pPr>
            <w:r w:rsidRPr="001B5E21">
              <w:rPr>
                <w:lang w:val="en-US"/>
              </w:rPr>
              <w:t>eTests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43A4A" w14:textId="77777777" w:rsidR="004E5C17" w:rsidRPr="001B5E21" w:rsidRDefault="004E5C17" w:rsidP="00CE4DD8">
            <w:r w:rsidRPr="001B5E21">
              <w:t>July 13, 2030</w:t>
            </w:r>
          </w:p>
        </w:tc>
      </w:tr>
    </w:tbl>
    <w:p w14:paraId="67A55803" w14:textId="674274A9" w:rsidR="00F8503D" w:rsidRDefault="0033067D" w:rsidP="7B188CE2">
      <w:pPr>
        <w:pBdr>
          <w:top w:val="nil"/>
          <w:left w:val="nil"/>
          <w:bottom w:val="nil"/>
          <w:right w:val="nil"/>
          <w:between w:val="nil"/>
        </w:pBdr>
        <w:ind w:left="-994" w:right="-994"/>
        <w:rPr>
          <w:rFonts w:ascii="Verdana" w:eastAsia="Verdana" w:hAnsi="Verdana" w:cs="Verdana"/>
          <w:color w:val="000000"/>
          <w:sz w:val="20"/>
          <w:szCs w:val="20"/>
          <w:lang w:val="en-US"/>
        </w:rPr>
      </w:pPr>
      <w:r w:rsidRPr="7B188CE2">
        <w:rPr>
          <w:rFonts w:ascii="Verdana" w:eastAsia="Verdana" w:hAnsi="Verdana" w:cs="Verdana"/>
          <w:color w:val="000000" w:themeColor="text1"/>
          <w:sz w:val="20"/>
          <w:szCs w:val="20"/>
          <w:lang w:val="en-US"/>
        </w:rPr>
        <w:t>*The CASAS ESL Oral Screening Interview may be used to determine if a STEPS Appraisal 619R is appropriate for non-native speakers.</w:t>
      </w:r>
    </w:p>
    <w:p w14:paraId="4D2E52B7" w14:textId="77777777" w:rsidR="00F8503D" w:rsidRDefault="00F8503D">
      <w:pPr>
        <w:pBdr>
          <w:top w:val="nil"/>
          <w:left w:val="nil"/>
          <w:bottom w:val="nil"/>
          <w:right w:val="nil"/>
          <w:between w:val="nil"/>
        </w:pBdr>
        <w:spacing w:after="160" w:line="276" w:lineRule="auto"/>
        <w:ind w:left="360"/>
        <w:rPr>
          <w:rFonts w:ascii="Verdana" w:eastAsia="Verdana" w:hAnsi="Verdana" w:cs="Verdana"/>
          <w:color w:val="000000"/>
          <w:sz w:val="23"/>
          <w:szCs w:val="23"/>
        </w:rPr>
      </w:pPr>
    </w:p>
    <w:p w14:paraId="05281857" w14:textId="77777777" w:rsidR="00F8503D" w:rsidRDefault="0033067D">
      <w:pPr>
        <w:numPr>
          <w:ilvl w:val="6"/>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Appraisal or locator tests:</w:t>
      </w:r>
    </w:p>
    <w:p w14:paraId="6E3A7D9F" w14:textId="75796772" w:rsidR="00F8503D" w:rsidRDefault="0033067D" w:rsidP="7B188CE2">
      <w:pPr>
        <w:pBdr>
          <w:top w:val="nil"/>
          <w:left w:val="nil"/>
          <w:bottom w:val="nil"/>
          <w:right w:val="nil"/>
          <w:between w:val="nil"/>
        </w:pBdr>
        <w:spacing w:after="160" w:line="276" w:lineRule="auto"/>
        <w:ind w:left="360"/>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Initial placement with a CASAS appraisal or locator gauges a learner’s reading, math, and listening comprehension. Oregon requires the use of CASAS appraisals or locators to ensure that appropriate decisions are made </w:t>
      </w:r>
      <w:r w:rsidRPr="7B188CE2">
        <w:rPr>
          <w:rFonts w:ascii="Verdana" w:eastAsia="Verdana" w:hAnsi="Verdana" w:cs="Verdana"/>
          <w:color w:val="000000" w:themeColor="text1"/>
          <w:sz w:val="23"/>
          <w:szCs w:val="23"/>
          <w:lang w:val="en-US"/>
        </w:rPr>
        <w:lastRenderedPageBreak/>
        <w:t>regarding educational placement and appropriate pretest form to administer. Appraisals and locators cannot be used as a pretest or to measure learner progress. The CASAS test administration manual includes specific recommendations about which level of pretest to administer based on the appraisal or locator test score. The appraisal is built into the pretest of the computer-adaptive version of the test (CAT) but is a separate test for both the paper and computer-based (CBT) versions of the test. The CASAS Locator and Appraisal are different, though they have the same purpose of determining the appropriate pretest at intake. Locator tests generally comprise 12-14 items and usually take up to 15 minutes. Appraisals comprise 28 items and usually take up to 30 minutes. Programs may choose to use either the locator or the appraisal test based on what is determined to be in the best interest of the student. Programs must use the CASAS appraisal or locator tests for the skill areas indicated below.</w:t>
      </w:r>
    </w:p>
    <w:tbl>
      <w:tblPr>
        <w:tblStyle w:val="a7"/>
        <w:tblW w:w="8618"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2160"/>
        <w:gridCol w:w="1800"/>
        <w:gridCol w:w="1530"/>
        <w:gridCol w:w="1598"/>
      </w:tblGrid>
      <w:tr w:rsidR="00F8503D" w14:paraId="693122E5" w14:textId="77777777">
        <w:trPr>
          <w:trHeight w:val="728"/>
          <w:jc w:val="right"/>
        </w:trPr>
        <w:tc>
          <w:tcPr>
            <w:tcW w:w="8618" w:type="dxa"/>
            <w:gridSpan w:val="5"/>
            <w:shd w:val="clear" w:color="auto" w:fill="837C67"/>
            <w:vAlign w:val="center"/>
          </w:tcPr>
          <w:p w14:paraId="54F2298F" w14:textId="77777777" w:rsidR="00F8503D" w:rsidRDefault="0033067D">
            <w:pPr>
              <w:spacing w:line="276" w:lineRule="auto"/>
              <w:rPr>
                <w:rFonts w:ascii="Verdana" w:eastAsia="Verdana" w:hAnsi="Verdana" w:cs="Verdana"/>
                <w:b/>
                <w:bCs/>
                <w:sz w:val="18"/>
                <w:szCs w:val="18"/>
              </w:rPr>
            </w:pPr>
            <w:bookmarkStart w:id="28" w:name="_uzn086xbpvx6" w:colFirst="0" w:colLast="0"/>
            <w:bookmarkEnd w:id="28"/>
            <w:r>
              <w:rPr>
                <w:rFonts w:ascii="Verdana" w:eastAsia="Verdana" w:hAnsi="Verdana" w:cs="Verdana"/>
                <w:b/>
                <w:bCs/>
                <w:color w:val="000000"/>
                <w:sz w:val="18"/>
                <w:szCs w:val="18"/>
              </w:rPr>
              <w:t xml:space="preserve">CASAS Appraisal &amp; Locator Tests for </w:t>
            </w:r>
            <w:r>
              <w:rPr>
                <w:rFonts w:ascii="Verdana" w:eastAsia="Verdana" w:hAnsi="Verdana" w:cs="Verdana"/>
                <w:sz w:val="18"/>
                <w:szCs w:val="18"/>
              </w:rPr>
              <w:br/>
            </w:r>
            <w:r>
              <w:rPr>
                <w:rFonts w:ascii="Verdana" w:eastAsia="Verdana" w:hAnsi="Verdana" w:cs="Verdana"/>
                <w:b/>
                <w:bCs/>
                <w:color w:val="000000"/>
                <w:sz w:val="18"/>
                <w:szCs w:val="18"/>
              </w:rPr>
              <w:t>Reading GOALS 2, Math GOALS 2, Reading STEPS, Listening STEPS</w:t>
            </w:r>
          </w:p>
        </w:tc>
      </w:tr>
      <w:tr w:rsidR="00F8503D" w14:paraId="20FC7005" w14:textId="77777777">
        <w:trPr>
          <w:trHeight w:val="620"/>
          <w:jc w:val="right"/>
        </w:trPr>
        <w:tc>
          <w:tcPr>
            <w:tcW w:w="1530" w:type="dxa"/>
            <w:shd w:val="clear" w:color="auto" w:fill="B7DEF7"/>
            <w:vAlign w:val="center"/>
          </w:tcPr>
          <w:p w14:paraId="1D14A421" w14:textId="77777777" w:rsidR="00F8503D" w:rsidRDefault="0033067D">
            <w:pPr>
              <w:rPr>
                <w:rFonts w:ascii="Verdana" w:eastAsia="Verdana" w:hAnsi="Verdana" w:cs="Verdana"/>
                <w:b/>
                <w:bCs/>
                <w:color w:val="000000"/>
                <w:sz w:val="18"/>
                <w:szCs w:val="18"/>
              </w:rPr>
            </w:pPr>
            <w:r>
              <w:rPr>
                <w:rFonts w:ascii="Verdana" w:eastAsia="Verdana" w:hAnsi="Verdana" w:cs="Verdana"/>
                <w:b/>
                <w:bCs/>
                <w:sz w:val="18"/>
                <w:szCs w:val="18"/>
              </w:rPr>
              <w:t>Skills Area</w:t>
            </w:r>
          </w:p>
        </w:tc>
        <w:tc>
          <w:tcPr>
            <w:tcW w:w="2160" w:type="dxa"/>
            <w:shd w:val="clear" w:color="auto" w:fill="B7DEF7"/>
            <w:vAlign w:val="center"/>
          </w:tcPr>
          <w:p w14:paraId="3BE93FE9" w14:textId="77777777" w:rsidR="00F8503D" w:rsidRDefault="0033067D">
            <w:pPr>
              <w:spacing w:before="51"/>
              <w:rPr>
                <w:rFonts w:ascii="Verdana" w:eastAsia="Verdana" w:hAnsi="Verdana" w:cs="Verdana"/>
                <w:b/>
                <w:bCs/>
                <w:color w:val="000000"/>
                <w:sz w:val="18"/>
                <w:szCs w:val="18"/>
              </w:rPr>
            </w:pPr>
            <w:r>
              <w:rPr>
                <w:rFonts w:ascii="Verdana" w:eastAsia="Verdana" w:hAnsi="Verdana" w:cs="Verdana"/>
                <w:b/>
                <w:bCs/>
                <w:color w:val="000000"/>
                <w:sz w:val="18"/>
                <w:szCs w:val="18"/>
              </w:rPr>
              <w:t xml:space="preserve">ABE/ASE Reading </w:t>
            </w:r>
          </w:p>
          <w:p w14:paraId="7E4590C7" w14:textId="77777777" w:rsidR="00F8503D" w:rsidRDefault="0033067D">
            <w:pPr>
              <w:spacing w:before="37"/>
              <w:rPr>
                <w:rFonts w:ascii="Verdana" w:eastAsia="Verdana" w:hAnsi="Verdana" w:cs="Verdana"/>
                <w:b/>
                <w:bCs/>
                <w:color w:val="000000"/>
                <w:sz w:val="18"/>
                <w:szCs w:val="18"/>
              </w:rPr>
            </w:pPr>
            <w:r>
              <w:rPr>
                <w:rFonts w:ascii="Verdana" w:eastAsia="Verdana" w:hAnsi="Verdana" w:cs="Verdana"/>
                <w:b/>
                <w:bCs/>
                <w:color w:val="000000"/>
                <w:sz w:val="18"/>
                <w:szCs w:val="18"/>
              </w:rPr>
              <w:t>GOALS 2</w:t>
            </w:r>
          </w:p>
        </w:tc>
        <w:tc>
          <w:tcPr>
            <w:tcW w:w="1800" w:type="dxa"/>
            <w:shd w:val="clear" w:color="auto" w:fill="B7DEF7"/>
            <w:vAlign w:val="center"/>
          </w:tcPr>
          <w:p w14:paraId="4DD018E7" w14:textId="77777777" w:rsidR="00F8503D" w:rsidRDefault="0033067D">
            <w:pPr>
              <w:keepNext/>
              <w:spacing w:line="276" w:lineRule="auto"/>
              <w:rPr>
                <w:rFonts w:ascii="Verdana" w:eastAsia="Verdana" w:hAnsi="Verdana" w:cs="Verdana"/>
                <w:b/>
                <w:bCs/>
                <w:sz w:val="18"/>
                <w:szCs w:val="18"/>
              </w:rPr>
            </w:pPr>
            <w:r>
              <w:rPr>
                <w:rFonts w:ascii="Verdana" w:eastAsia="Verdana" w:hAnsi="Verdana" w:cs="Verdana"/>
                <w:b/>
                <w:bCs/>
                <w:sz w:val="18"/>
                <w:szCs w:val="18"/>
              </w:rPr>
              <w:t>ABE/ASE Math GOALS 2</w:t>
            </w:r>
          </w:p>
        </w:tc>
        <w:tc>
          <w:tcPr>
            <w:tcW w:w="1530" w:type="dxa"/>
            <w:shd w:val="clear" w:color="auto" w:fill="B7DEF7"/>
            <w:vAlign w:val="center"/>
          </w:tcPr>
          <w:p w14:paraId="43584470" w14:textId="77777777" w:rsidR="00F8503D" w:rsidRDefault="0033067D">
            <w:pPr>
              <w:spacing w:before="37"/>
              <w:rPr>
                <w:rFonts w:ascii="Verdana" w:eastAsia="Verdana" w:hAnsi="Verdana" w:cs="Verdana"/>
                <w:b/>
                <w:bCs/>
                <w:color w:val="000000"/>
                <w:sz w:val="18"/>
                <w:szCs w:val="18"/>
              </w:rPr>
            </w:pPr>
            <w:r>
              <w:rPr>
                <w:rFonts w:ascii="Verdana" w:eastAsia="Verdana" w:hAnsi="Verdana" w:cs="Verdana"/>
                <w:b/>
                <w:bCs/>
                <w:sz w:val="18"/>
                <w:szCs w:val="18"/>
              </w:rPr>
              <w:t>ESL Reading STEPS</w:t>
            </w:r>
          </w:p>
        </w:tc>
        <w:tc>
          <w:tcPr>
            <w:tcW w:w="1598" w:type="dxa"/>
            <w:shd w:val="clear" w:color="auto" w:fill="B7DEF7"/>
            <w:vAlign w:val="center"/>
          </w:tcPr>
          <w:p w14:paraId="2C465375" w14:textId="77777777" w:rsidR="00F8503D" w:rsidRDefault="0033067D">
            <w:pPr>
              <w:keepNext/>
              <w:spacing w:line="276" w:lineRule="auto"/>
              <w:rPr>
                <w:rFonts w:ascii="Verdana" w:eastAsia="Verdana" w:hAnsi="Verdana" w:cs="Verdana"/>
                <w:b/>
                <w:bCs/>
                <w:sz w:val="18"/>
                <w:szCs w:val="18"/>
              </w:rPr>
            </w:pPr>
            <w:r>
              <w:rPr>
                <w:rFonts w:ascii="Verdana" w:eastAsia="Verdana" w:hAnsi="Verdana" w:cs="Verdana"/>
                <w:b/>
                <w:bCs/>
                <w:sz w:val="18"/>
                <w:szCs w:val="18"/>
              </w:rPr>
              <w:t>ESL Listening STEPS</w:t>
            </w:r>
          </w:p>
        </w:tc>
      </w:tr>
      <w:tr w:rsidR="00F8503D" w14:paraId="0D663DA3" w14:textId="77777777">
        <w:trPr>
          <w:trHeight w:val="449"/>
          <w:jc w:val="right"/>
        </w:trPr>
        <w:tc>
          <w:tcPr>
            <w:tcW w:w="1530" w:type="dxa"/>
            <w:vAlign w:val="center"/>
          </w:tcPr>
          <w:p w14:paraId="0F62325B" w14:textId="77777777" w:rsidR="00F8503D" w:rsidRDefault="0033067D">
            <w:pPr>
              <w:spacing w:before="70"/>
              <w:rPr>
                <w:rFonts w:ascii="Verdana" w:eastAsia="Verdana" w:hAnsi="Verdana" w:cs="Verdana"/>
                <w:b/>
                <w:bCs/>
                <w:color w:val="000000"/>
                <w:sz w:val="18"/>
                <w:szCs w:val="18"/>
              </w:rPr>
            </w:pPr>
            <w:r>
              <w:rPr>
                <w:rFonts w:ascii="Verdana" w:eastAsia="Verdana" w:hAnsi="Verdana" w:cs="Verdana"/>
                <w:b/>
                <w:bCs/>
                <w:sz w:val="18"/>
                <w:szCs w:val="18"/>
              </w:rPr>
              <w:t>Appraisal</w:t>
            </w:r>
          </w:p>
        </w:tc>
        <w:tc>
          <w:tcPr>
            <w:tcW w:w="2160" w:type="dxa"/>
            <w:vAlign w:val="center"/>
          </w:tcPr>
          <w:p w14:paraId="45328BEC" w14:textId="77777777" w:rsidR="00F8503D" w:rsidRDefault="0033067D">
            <w:pPr>
              <w:spacing w:before="70"/>
              <w:ind w:left="-16"/>
              <w:rPr>
                <w:rFonts w:ascii="Verdana" w:eastAsia="Verdana" w:hAnsi="Verdana" w:cs="Verdana"/>
                <w:color w:val="000000"/>
                <w:sz w:val="18"/>
                <w:szCs w:val="18"/>
              </w:rPr>
            </w:pPr>
            <w:r>
              <w:rPr>
                <w:rFonts w:ascii="Verdana" w:eastAsia="Verdana" w:hAnsi="Verdana" w:cs="Verdana"/>
                <w:color w:val="000000"/>
                <w:sz w:val="18"/>
                <w:szCs w:val="18"/>
              </w:rPr>
              <w:t>919R</w:t>
            </w:r>
          </w:p>
        </w:tc>
        <w:tc>
          <w:tcPr>
            <w:tcW w:w="1800" w:type="dxa"/>
            <w:vAlign w:val="center"/>
          </w:tcPr>
          <w:p w14:paraId="3F2EC5C9" w14:textId="77777777" w:rsidR="00F8503D" w:rsidRDefault="0033067D">
            <w:pPr>
              <w:spacing w:before="70"/>
              <w:rPr>
                <w:rFonts w:ascii="Verdana" w:eastAsia="Verdana" w:hAnsi="Verdana" w:cs="Verdana"/>
                <w:color w:val="000000"/>
                <w:sz w:val="18"/>
                <w:szCs w:val="18"/>
              </w:rPr>
            </w:pPr>
            <w:r>
              <w:rPr>
                <w:rFonts w:ascii="Verdana" w:eastAsia="Verdana" w:hAnsi="Verdana" w:cs="Verdana"/>
                <w:sz w:val="18"/>
                <w:szCs w:val="18"/>
              </w:rPr>
              <w:t>919M</w:t>
            </w:r>
          </w:p>
        </w:tc>
        <w:tc>
          <w:tcPr>
            <w:tcW w:w="1530" w:type="dxa"/>
            <w:vAlign w:val="center"/>
          </w:tcPr>
          <w:p w14:paraId="00667CD3" w14:textId="77777777" w:rsidR="00F8503D" w:rsidRDefault="0033067D">
            <w:pPr>
              <w:spacing w:before="70"/>
              <w:ind w:left="6"/>
              <w:rPr>
                <w:rFonts w:ascii="Verdana" w:eastAsia="Verdana" w:hAnsi="Verdana" w:cs="Verdana"/>
                <w:color w:val="000000"/>
                <w:sz w:val="18"/>
                <w:szCs w:val="18"/>
              </w:rPr>
            </w:pPr>
            <w:r>
              <w:rPr>
                <w:rFonts w:ascii="Verdana" w:eastAsia="Verdana" w:hAnsi="Verdana" w:cs="Verdana"/>
                <w:sz w:val="18"/>
                <w:szCs w:val="18"/>
              </w:rPr>
              <w:t>619R</w:t>
            </w:r>
          </w:p>
        </w:tc>
        <w:tc>
          <w:tcPr>
            <w:tcW w:w="1598" w:type="dxa"/>
            <w:vAlign w:val="center"/>
          </w:tcPr>
          <w:p w14:paraId="76CF6518" w14:textId="77777777" w:rsidR="00F8503D" w:rsidRDefault="0033067D">
            <w:pPr>
              <w:spacing w:before="70"/>
              <w:rPr>
                <w:rFonts w:ascii="Verdana" w:eastAsia="Verdana" w:hAnsi="Verdana" w:cs="Verdana"/>
                <w:color w:val="000000"/>
                <w:sz w:val="18"/>
                <w:szCs w:val="18"/>
              </w:rPr>
            </w:pPr>
            <w:r>
              <w:rPr>
                <w:rFonts w:ascii="Verdana" w:eastAsia="Verdana" w:hAnsi="Verdana" w:cs="Verdana"/>
                <w:sz w:val="18"/>
                <w:szCs w:val="18"/>
              </w:rPr>
              <w:t>619L</w:t>
            </w:r>
          </w:p>
        </w:tc>
      </w:tr>
      <w:tr w:rsidR="00F8503D" w14:paraId="388FC1CC" w14:textId="77777777">
        <w:trPr>
          <w:trHeight w:val="521"/>
          <w:jc w:val="right"/>
        </w:trPr>
        <w:tc>
          <w:tcPr>
            <w:tcW w:w="1530" w:type="dxa"/>
            <w:vAlign w:val="center"/>
          </w:tcPr>
          <w:p w14:paraId="26575814" w14:textId="77777777" w:rsidR="00F8503D" w:rsidRDefault="0033067D">
            <w:pPr>
              <w:spacing w:before="142"/>
              <w:rPr>
                <w:rFonts w:ascii="Verdana" w:eastAsia="Verdana" w:hAnsi="Verdana" w:cs="Verdana"/>
                <w:b/>
                <w:bCs/>
                <w:color w:val="000000"/>
                <w:sz w:val="18"/>
                <w:szCs w:val="18"/>
              </w:rPr>
            </w:pPr>
            <w:r>
              <w:rPr>
                <w:rFonts w:ascii="Verdana" w:eastAsia="Verdana" w:hAnsi="Verdana" w:cs="Verdana"/>
                <w:b/>
                <w:bCs/>
                <w:sz w:val="18"/>
                <w:szCs w:val="18"/>
              </w:rPr>
              <w:t>Locator</w:t>
            </w:r>
          </w:p>
        </w:tc>
        <w:tc>
          <w:tcPr>
            <w:tcW w:w="2160" w:type="dxa"/>
            <w:vAlign w:val="center"/>
          </w:tcPr>
          <w:p w14:paraId="7FDAC423" w14:textId="77777777" w:rsidR="00F8503D" w:rsidRDefault="0033067D">
            <w:pPr>
              <w:spacing w:before="142"/>
              <w:ind w:left="-16"/>
              <w:rPr>
                <w:rFonts w:ascii="Verdana" w:eastAsia="Verdana" w:hAnsi="Verdana" w:cs="Verdana"/>
                <w:color w:val="000000"/>
                <w:sz w:val="18"/>
                <w:szCs w:val="18"/>
              </w:rPr>
            </w:pPr>
            <w:r>
              <w:rPr>
                <w:rFonts w:ascii="Verdana" w:eastAsia="Verdana" w:hAnsi="Verdana" w:cs="Verdana"/>
                <w:color w:val="000000"/>
                <w:sz w:val="18"/>
                <w:szCs w:val="18"/>
              </w:rPr>
              <w:t>920R</w:t>
            </w:r>
          </w:p>
        </w:tc>
        <w:tc>
          <w:tcPr>
            <w:tcW w:w="1800" w:type="dxa"/>
            <w:vAlign w:val="center"/>
          </w:tcPr>
          <w:p w14:paraId="06A380DC" w14:textId="77777777" w:rsidR="00F8503D" w:rsidRDefault="0033067D">
            <w:pPr>
              <w:spacing w:before="142"/>
              <w:rPr>
                <w:rFonts w:ascii="Verdana" w:eastAsia="Verdana" w:hAnsi="Verdana" w:cs="Verdana"/>
                <w:color w:val="000000"/>
                <w:sz w:val="18"/>
                <w:szCs w:val="18"/>
              </w:rPr>
            </w:pPr>
            <w:r>
              <w:rPr>
                <w:rFonts w:ascii="Verdana" w:eastAsia="Verdana" w:hAnsi="Verdana" w:cs="Verdana"/>
                <w:sz w:val="18"/>
                <w:szCs w:val="18"/>
              </w:rPr>
              <w:t>920M</w:t>
            </w:r>
          </w:p>
        </w:tc>
        <w:tc>
          <w:tcPr>
            <w:tcW w:w="1530" w:type="dxa"/>
            <w:vAlign w:val="center"/>
          </w:tcPr>
          <w:p w14:paraId="49931B10" w14:textId="77777777" w:rsidR="00F8503D" w:rsidRDefault="0033067D">
            <w:pPr>
              <w:spacing w:before="142"/>
              <w:ind w:left="6"/>
              <w:rPr>
                <w:rFonts w:ascii="Verdana" w:eastAsia="Verdana" w:hAnsi="Verdana" w:cs="Verdana"/>
                <w:color w:val="000000"/>
                <w:sz w:val="18"/>
                <w:szCs w:val="18"/>
              </w:rPr>
            </w:pPr>
            <w:r>
              <w:rPr>
                <w:rFonts w:ascii="Verdana" w:eastAsia="Verdana" w:hAnsi="Verdana" w:cs="Verdana"/>
                <w:sz w:val="18"/>
                <w:szCs w:val="18"/>
              </w:rPr>
              <w:t>620R</w:t>
            </w:r>
          </w:p>
        </w:tc>
        <w:tc>
          <w:tcPr>
            <w:tcW w:w="1598" w:type="dxa"/>
            <w:vAlign w:val="center"/>
          </w:tcPr>
          <w:p w14:paraId="2B8215EC" w14:textId="77777777" w:rsidR="00F8503D" w:rsidRDefault="0033067D">
            <w:pPr>
              <w:spacing w:before="142"/>
              <w:rPr>
                <w:rFonts w:ascii="Verdana" w:eastAsia="Verdana" w:hAnsi="Verdana" w:cs="Verdana"/>
                <w:color w:val="000000"/>
                <w:sz w:val="18"/>
                <w:szCs w:val="18"/>
              </w:rPr>
            </w:pPr>
            <w:r>
              <w:rPr>
                <w:rFonts w:ascii="Verdana" w:eastAsia="Verdana" w:hAnsi="Verdana" w:cs="Verdana"/>
                <w:sz w:val="18"/>
                <w:szCs w:val="18"/>
              </w:rPr>
              <w:t>620L</w:t>
            </w:r>
          </w:p>
        </w:tc>
      </w:tr>
    </w:tbl>
    <w:p w14:paraId="7E0A7863" w14:textId="77777777" w:rsidR="00F8503D" w:rsidRDefault="00F8503D">
      <w:pPr>
        <w:pBdr>
          <w:top w:val="nil"/>
          <w:left w:val="nil"/>
          <w:bottom w:val="nil"/>
          <w:right w:val="nil"/>
          <w:between w:val="nil"/>
        </w:pBdr>
        <w:spacing w:after="160" w:line="276" w:lineRule="auto"/>
        <w:ind w:left="360"/>
        <w:rPr>
          <w:rFonts w:ascii="Verdana" w:eastAsia="Verdana" w:hAnsi="Verdana" w:cs="Verdana"/>
          <w:color w:val="000000"/>
          <w:sz w:val="23"/>
          <w:szCs w:val="23"/>
        </w:rPr>
      </w:pPr>
    </w:p>
    <w:p w14:paraId="72B96087" w14:textId="77777777" w:rsidR="00F8503D" w:rsidRDefault="0033067D">
      <w:pPr>
        <w:numPr>
          <w:ilvl w:val="0"/>
          <w:numId w:val="98"/>
        </w:numPr>
        <w:pBdr>
          <w:top w:val="nil"/>
          <w:left w:val="nil"/>
          <w:bottom w:val="nil"/>
          <w:right w:val="nil"/>
          <w:between w:val="nil"/>
        </w:pBdr>
        <w:spacing w:after="160" w:line="276" w:lineRule="auto"/>
        <w:ind w:left="360"/>
      </w:pPr>
      <w:r>
        <w:rPr>
          <w:rFonts w:ascii="Verdana" w:eastAsia="Verdana" w:hAnsi="Verdana" w:cs="Verdana"/>
          <w:color w:val="000000"/>
          <w:sz w:val="23"/>
          <w:szCs w:val="23"/>
        </w:rPr>
        <w:t>Pretests:</w:t>
      </w:r>
    </w:p>
    <w:p w14:paraId="4CB910E8" w14:textId="77777777" w:rsidR="00F8503D" w:rsidRDefault="0033067D">
      <w:pPr>
        <w:numPr>
          <w:ilvl w:val="0"/>
          <w:numId w:val="90"/>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Programs in Oregon must pretest learners in reportable skill areas to establish a baseline against which progress will be measured and to evaluate their educational needs. </w:t>
      </w:r>
    </w:p>
    <w:p w14:paraId="72CA637A" w14:textId="77777777" w:rsidR="00F8503D" w:rsidRDefault="0033067D" w:rsidP="7B188CE2">
      <w:pPr>
        <w:pBdr>
          <w:top w:val="nil"/>
          <w:left w:val="nil"/>
          <w:bottom w:val="nil"/>
          <w:right w:val="nil"/>
          <w:between w:val="nil"/>
        </w:pBdr>
        <w:spacing w:after="160" w:line="276" w:lineRule="auto"/>
        <w:ind w:left="1080"/>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required skill area for ABE/ASE is reading. Math is a reportable skill area, but it is not required for either state or federal reporting. Prior to receiving instruction in math, students must be pretested using CASAS for placement purposes, and subsequently posttested after receiving a minimum of 40 hours of instruction.</w:t>
      </w:r>
    </w:p>
    <w:p w14:paraId="59573F4C" w14:textId="77777777" w:rsidR="00F8503D" w:rsidRDefault="0033067D">
      <w:pPr>
        <w:numPr>
          <w:ilvl w:val="0"/>
          <w:numId w:val="90"/>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The required skill area for ESL is reading. Listening and speaking are reportable skill areas but are not required for either state or federal reporting.</w:t>
      </w:r>
    </w:p>
    <w:p w14:paraId="032429BE" w14:textId="77777777" w:rsidR="00F8503D" w:rsidRDefault="0033067D">
      <w:pPr>
        <w:numPr>
          <w:ilvl w:val="0"/>
          <w:numId w:val="90"/>
        </w:numPr>
        <w:pBdr>
          <w:top w:val="nil"/>
          <w:left w:val="nil"/>
          <w:bottom w:val="nil"/>
          <w:right w:val="nil"/>
          <w:between w:val="nil"/>
        </w:pBdr>
        <w:spacing w:after="160" w:line="276" w:lineRule="auto"/>
        <w:ind w:left="1080"/>
      </w:pPr>
      <w:r>
        <w:rPr>
          <w:rFonts w:ascii="Verdana" w:eastAsia="Verdana" w:hAnsi="Verdana" w:cs="Verdana"/>
          <w:color w:val="000000"/>
          <w:sz w:val="23"/>
          <w:szCs w:val="23"/>
        </w:rPr>
        <w:t>Pretests must be administered within the first 12 hours after program entry.</w:t>
      </w:r>
    </w:p>
    <w:p w14:paraId="1D621D6A" w14:textId="77777777" w:rsidR="00F8503D" w:rsidRDefault="0033067D">
      <w:pPr>
        <w:pBdr>
          <w:top w:val="nil"/>
          <w:left w:val="nil"/>
          <w:bottom w:val="nil"/>
          <w:right w:val="nil"/>
          <w:between w:val="nil"/>
        </w:pBdr>
        <w:spacing w:after="160" w:line="276" w:lineRule="auto"/>
        <w:ind w:left="720"/>
        <w:rPr>
          <w:rFonts w:ascii="Verdana" w:eastAsia="Verdana" w:hAnsi="Verdana" w:cs="Verdana"/>
          <w:color w:val="000000"/>
          <w:sz w:val="23"/>
          <w:szCs w:val="23"/>
        </w:rPr>
      </w:pPr>
      <w:r>
        <w:rPr>
          <w:rFonts w:ascii="Verdana" w:eastAsia="Verdana" w:hAnsi="Verdana" w:cs="Verdana"/>
          <w:color w:val="000000"/>
          <w:sz w:val="23"/>
          <w:szCs w:val="23"/>
        </w:rPr>
        <w:t>Exceptions:</w:t>
      </w:r>
    </w:p>
    <w:p w14:paraId="580F389C" w14:textId="77777777" w:rsidR="00F8503D" w:rsidRDefault="0033067D">
      <w:pPr>
        <w:numPr>
          <w:ilvl w:val="8"/>
          <w:numId w:val="91"/>
        </w:numPr>
        <w:pBdr>
          <w:top w:val="nil"/>
          <w:left w:val="nil"/>
          <w:bottom w:val="nil"/>
          <w:right w:val="nil"/>
          <w:between w:val="nil"/>
        </w:pBdr>
        <w:spacing w:after="160" w:line="276" w:lineRule="auto"/>
        <w:ind w:left="1620"/>
      </w:pPr>
      <w:r w:rsidRPr="7B188CE2">
        <w:rPr>
          <w:rFonts w:ascii="Verdana" w:eastAsia="Verdana" w:hAnsi="Verdana" w:cs="Verdana"/>
          <w:color w:val="000000" w:themeColor="text1"/>
          <w:sz w:val="23"/>
          <w:szCs w:val="23"/>
          <w:lang w:val="en-US"/>
        </w:rPr>
        <w:lastRenderedPageBreak/>
        <w:t>If a student has passed one or more GED</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subject tests, the local program can decide if that GED</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test exempts the student from pretesting in that subject (e.g. passed GED</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math means the student doesn’t have to pretest in math.) Local programs must outline which GED</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test(s) negate which CASAS pretest(s) in the local assessment policy manuals.</w:t>
      </w:r>
    </w:p>
    <w:p w14:paraId="5AFBA5FE" w14:textId="77777777" w:rsidR="00F8503D" w:rsidRDefault="0033067D">
      <w:pPr>
        <w:numPr>
          <w:ilvl w:val="8"/>
          <w:numId w:val="91"/>
        </w:numPr>
        <w:pBdr>
          <w:top w:val="nil"/>
          <w:left w:val="nil"/>
          <w:bottom w:val="nil"/>
          <w:right w:val="nil"/>
          <w:between w:val="nil"/>
        </w:pBdr>
        <w:spacing w:after="160" w:line="276" w:lineRule="auto"/>
        <w:ind w:left="1620"/>
      </w:pPr>
      <w:r>
        <w:rPr>
          <w:rFonts w:ascii="Verdana" w:eastAsia="Verdana" w:hAnsi="Verdana" w:cs="Verdana"/>
          <w:color w:val="000000"/>
          <w:sz w:val="23"/>
          <w:szCs w:val="23"/>
        </w:rPr>
        <w:t>Students who have previously tested at the highest level (Level 6) do not need to be retested in that subject, even if the test is from a previous year. Local programs must have a record of that student testing at the highest level.</w:t>
      </w:r>
    </w:p>
    <w:p w14:paraId="031BDBA4" w14:textId="77777777" w:rsidR="00F8503D" w:rsidRDefault="0033067D">
      <w:pPr>
        <w:numPr>
          <w:ilvl w:val="0"/>
          <w:numId w:val="97"/>
        </w:numPr>
        <w:pBdr>
          <w:top w:val="nil"/>
          <w:left w:val="nil"/>
          <w:bottom w:val="nil"/>
          <w:right w:val="nil"/>
          <w:between w:val="nil"/>
        </w:pBdr>
        <w:spacing w:after="160" w:line="276" w:lineRule="auto"/>
        <w:ind w:left="360"/>
      </w:pPr>
      <w:r>
        <w:rPr>
          <w:rFonts w:ascii="Verdana" w:eastAsia="Verdana" w:hAnsi="Verdana" w:cs="Verdana"/>
          <w:color w:val="000000"/>
          <w:sz w:val="23"/>
          <w:szCs w:val="23"/>
        </w:rPr>
        <w:t>Posttests:</w:t>
      </w:r>
    </w:p>
    <w:p w14:paraId="5EC5D84D" w14:textId="77777777" w:rsidR="00F8503D" w:rsidRDefault="0033067D">
      <w:pPr>
        <w:numPr>
          <w:ilvl w:val="7"/>
          <w:numId w:val="92"/>
        </w:numPr>
        <w:pBdr>
          <w:top w:val="nil"/>
          <w:left w:val="nil"/>
          <w:bottom w:val="nil"/>
          <w:right w:val="nil"/>
          <w:between w:val="nil"/>
        </w:pBdr>
        <w:spacing w:after="160" w:line="276" w:lineRule="auto"/>
        <w:ind w:left="1080"/>
      </w:pPr>
      <w:r>
        <w:rPr>
          <w:rFonts w:ascii="Verdana" w:eastAsia="Verdana" w:hAnsi="Verdana" w:cs="Verdana"/>
          <w:color w:val="000000"/>
          <w:sz w:val="23"/>
          <w:szCs w:val="23"/>
        </w:rPr>
        <w:t>Programs must posttest learners in the same skill areas as pretests to measure academic progress (i.e., programs cannot use a reading pretest and a math posttest).</w:t>
      </w:r>
    </w:p>
    <w:p w14:paraId="6707E4E1" w14:textId="77777777" w:rsidR="00F8503D" w:rsidRDefault="0033067D">
      <w:pPr>
        <w:numPr>
          <w:ilvl w:val="8"/>
          <w:numId w:val="93"/>
        </w:numPr>
        <w:pBdr>
          <w:top w:val="nil"/>
          <w:left w:val="nil"/>
          <w:bottom w:val="nil"/>
          <w:right w:val="nil"/>
          <w:between w:val="nil"/>
        </w:pBdr>
        <w:spacing w:after="160" w:line="276" w:lineRule="auto"/>
        <w:ind w:left="1620"/>
      </w:pPr>
      <w:r w:rsidRPr="7B188CE2">
        <w:rPr>
          <w:rFonts w:ascii="Verdana" w:eastAsia="Verdana" w:hAnsi="Verdana" w:cs="Verdana"/>
          <w:color w:val="000000" w:themeColor="text1"/>
          <w:sz w:val="23"/>
          <w:szCs w:val="23"/>
          <w:lang w:val="en-US"/>
        </w:rPr>
        <w:t>Learners must only be posttested in subject areas in which they received instruction.</w:t>
      </w:r>
    </w:p>
    <w:p w14:paraId="34E47397" w14:textId="7B826935" w:rsidR="00F8503D" w:rsidRDefault="0033067D">
      <w:pPr>
        <w:numPr>
          <w:ilvl w:val="8"/>
          <w:numId w:val="93"/>
        </w:numPr>
        <w:pBdr>
          <w:top w:val="nil"/>
          <w:left w:val="nil"/>
          <w:bottom w:val="nil"/>
          <w:right w:val="nil"/>
          <w:between w:val="nil"/>
        </w:pBdr>
        <w:spacing w:after="160" w:line="276" w:lineRule="auto"/>
        <w:ind w:left="1620"/>
      </w:pPr>
      <w:r w:rsidRPr="7B188CE2">
        <w:rPr>
          <w:rFonts w:ascii="Verdana" w:eastAsia="Verdana" w:hAnsi="Verdana" w:cs="Verdana"/>
          <w:color w:val="000000" w:themeColor="text1"/>
          <w:sz w:val="23"/>
          <w:szCs w:val="23"/>
          <w:lang w:val="en-US"/>
        </w:rPr>
        <w:t xml:space="preserve">Per CASAS guidelines and Oregon Title II requirements, learners must receive at least 40 hours of instruction before being posttested. It is recommended that programs conduct posttesting at the end of a semester, term, quarter, or other substantial block of instruction if learners have received at least 40 hours of instruction. However, the CASAS recommendation is that students should receive between 70 and 100 hours of instruction before being posttested, therefore professional judgment should be exercised as to whether students are ready to test after the required 40 hours, or whether it would be in the students’ interest to wait until the recommended number of hours has been reached. </w:t>
      </w:r>
      <w:r w:rsidR="00FC4C92">
        <w:rPr>
          <w:rFonts w:ascii="Verdana" w:eastAsia="Verdana" w:hAnsi="Verdana" w:cs="Verdana"/>
          <w:color w:val="000000" w:themeColor="text1"/>
          <w:sz w:val="23"/>
          <w:szCs w:val="23"/>
          <w:lang w:val="en-US"/>
        </w:rPr>
        <w:br/>
      </w:r>
      <w:r w:rsidR="00FC4C92">
        <w:rPr>
          <w:rFonts w:ascii="Verdana" w:eastAsia="Verdana" w:hAnsi="Verdana" w:cs="Verdana"/>
          <w:color w:val="000000" w:themeColor="text1"/>
          <w:sz w:val="23"/>
          <w:szCs w:val="23"/>
          <w:lang w:val="en-US"/>
        </w:rPr>
        <w:br/>
      </w:r>
      <w:r w:rsidRPr="7B188CE2">
        <w:rPr>
          <w:rFonts w:ascii="Verdana" w:eastAsia="Verdana" w:hAnsi="Verdana" w:cs="Verdana"/>
          <w:color w:val="000000" w:themeColor="text1"/>
          <w:sz w:val="23"/>
          <w:szCs w:val="23"/>
          <w:lang w:val="en-US"/>
        </w:rPr>
        <w:t xml:space="preserve">Exceptions may be allowable with documentation. </w:t>
      </w:r>
      <w:r w:rsidR="00FC4C92">
        <w:rPr>
          <w:rFonts w:ascii="Verdana" w:eastAsia="Verdana" w:hAnsi="Verdana" w:cs="Verdana"/>
          <w:color w:val="000000" w:themeColor="text1"/>
          <w:sz w:val="23"/>
          <w:szCs w:val="23"/>
          <w:lang w:val="en-US"/>
        </w:rPr>
        <w:t xml:space="preserve"> </w:t>
      </w:r>
      <w:r w:rsidR="004B0168">
        <w:rPr>
          <w:rFonts w:ascii="Verdana" w:eastAsia="Verdana" w:hAnsi="Verdana" w:cs="Verdana"/>
          <w:color w:val="000000" w:themeColor="text1"/>
          <w:sz w:val="23"/>
          <w:szCs w:val="23"/>
          <w:lang w:val="en-US"/>
        </w:rPr>
        <w:t>If an exception is needed, p</w:t>
      </w:r>
      <w:r w:rsidR="00FC4C92">
        <w:rPr>
          <w:rFonts w:ascii="Verdana" w:eastAsia="Verdana" w:hAnsi="Verdana" w:cs="Verdana"/>
          <w:color w:val="000000" w:themeColor="text1"/>
          <w:sz w:val="23"/>
          <w:szCs w:val="23"/>
          <w:lang w:val="en-US"/>
        </w:rPr>
        <w:t xml:space="preserve">lease email </w:t>
      </w:r>
      <w:hyperlink r:id="rId54" w:history="1">
        <w:r w:rsidR="00FC4C92" w:rsidRPr="00E56993">
          <w:rPr>
            <w:rStyle w:val="Hyperlink"/>
            <w:rFonts w:ascii="Verdana" w:eastAsia="Verdana" w:hAnsi="Verdana" w:cs="Verdana"/>
            <w:sz w:val="23"/>
            <w:szCs w:val="23"/>
            <w:lang w:val="en-US"/>
          </w:rPr>
          <w:t>hecc.absteam@hecc.oregon.gov</w:t>
        </w:r>
      </w:hyperlink>
      <w:r w:rsidR="00FC4C92">
        <w:rPr>
          <w:rFonts w:ascii="Verdana" w:eastAsia="Verdana" w:hAnsi="Verdana" w:cs="Verdana"/>
          <w:color w:val="000000" w:themeColor="text1"/>
          <w:sz w:val="23"/>
          <w:szCs w:val="23"/>
          <w:lang w:val="en-US"/>
        </w:rPr>
        <w:t xml:space="preserve"> requesting </w:t>
      </w:r>
      <w:r w:rsidR="004B0168">
        <w:rPr>
          <w:rFonts w:ascii="Verdana" w:eastAsia="Verdana" w:hAnsi="Verdana" w:cs="Verdana"/>
          <w:color w:val="000000" w:themeColor="text1"/>
          <w:sz w:val="23"/>
          <w:szCs w:val="23"/>
          <w:lang w:val="en-US"/>
        </w:rPr>
        <w:t>the</w:t>
      </w:r>
      <w:r w:rsidR="00FC4C92">
        <w:rPr>
          <w:rFonts w:ascii="Verdana" w:eastAsia="Verdana" w:hAnsi="Verdana" w:cs="Verdana"/>
          <w:color w:val="000000" w:themeColor="text1"/>
          <w:sz w:val="23"/>
          <w:szCs w:val="23"/>
          <w:lang w:val="en-US"/>
        </w:rPr>
        <w:t xml:space="preserve"> exception</w:t>
      </w:r>
      <w:r w:rsidR="004E027D">
        <w:rPr>
          <w:rFonts w:ascii="Verdana" w:eastAsia="Verdana" w:hAnsi="Verdana" w:cs="Verdana"/>
          <w:color w:val="000000" w:themeColor="text1"/>
          <w:sz w:val="23"/>
          <w:szCs w:val="23"/>
          <w:lang w:val="en-US"/>
        </w:rPr>
        <w:t xml:space="preserve"> before the posttest is given</w:t>
      </w:r>
      <w:r w:rsidR="00FC4C92">
        <w:rPr>
          <w:rFonts w:ascii="Verdana" w:eastAsia="Verdana" w:hAnsi="Verdana" w:cs="Verdana"/>
          <w:color w:val="000000" w:themeColor="text1"/>
          <w:sz w:val="23"/>
          <w:szCs w:val="23"/>
          <w:lang w:val="en-US"/>
        </w:rPr>
        <w:t>.</w:t>
      </w:r>
      <w:r w:rsidR="004B0168">
        <w:rPr>
          <w:rFonts w:ascii="Verdana" w:eastAsia="Verdana" w:hAnsi="Verdana" w:cs="Verdana"/>
          <w:color w:val="000000" w:themeColor="text1"/>
          <w:sz w:val="23"/>
          <w:szCs w:val="23"/>
          <w:lang w:val="en-US"/>
        </w:rPr>
        <w:t xml:space="preserve"> Include a description </w:t>
      </w:r>
      <w:r w:rsidR="00D30A45">
        <w:rPr>
          <w:rFonts w:ascii="Verdana" w:eastAsia="Verdana" w:hAnsi="Verdana" w:cs="Verdana"/>
          <w:color w:val="000000" w:themeColor="text1"/>
          <w:sz w:val="23"/>
          <w:szCs w:val="23"/>
          <w:lang w:val="en-US"/>
        </w:rPr>
        <w:t>of why the exception is in the learner’s best interest</w:t>
      </w:r>
      <w:r w:rsidR="004B0168">
        <w:rPr>
          <w:rFonts w:ascii="Verdana" w:eastAsia="Verdana" w:hAnsi="Verdana" w:cs="Verdana"/>
          <w:color w:val="000000" w:themeColor="text1"/>
          <w:sz w:val="23"/>
          <w:szCs w:val="23"/>
          <w:lang w:val="en-US"/>
        </w:rPr>
        <w:t xml:space="preserve"> (e.g., the learner is leaving the program before 40 hours of instruction).</w:t>
      </w:r>
      <w:r w:rsidR="00FC4C92">
        <w:rPr>
          <w:rFonts w:ascii="Verdana" w:eastAsia="Verdana" w:hAnsi="Verdana" w:cs="Verdana"/>
          <w:color w:val="000000" w:themeColor="text1"/>
          <w:sz w:val="23"/>
          <w:szCs w:val="23"/>
          <w:lang w:val="en-US"/>
        </w:rPr>
        <w:t xml:space="preserve"> Do not include any personally identifiable information.</w:t>
      </w:r>
      <w:r w:rsidR="004B0168">
        <w:rPr>
          <w:rFonts w:ascii="Verdana" w:eastAsia="Verdana" w:hAnsi="Verdana" w:cs="Verdana"/>
          <w:color w:val="000000" w:themeColor="text1"/>
          <w:sz w:val="23"/>
          <w:szCs w:val="23"/>
          <w:lang w:val="en-US"/>
        </w:rPr>
        <w:t xml:space="preserve"> Keep the CCWD’s response on file.</w:t>
      </w:r>
    </w:p>
    <w:p w14:paraId="3701EBA2" w14:textId="77777777" w:rsidR="00F8503D" w:rsidRDefault="0033067D">
      <w:pPr>
        <w:numPr>
          <w:ilvl w:val="8"/>
          <w:numId w:val="93"/>
        </w:numPr>
        <w:pBdr>
          <w:top w:val="nil"/>
          <w:left w:val="nil"/>
          <w:bottom w:val="nil"/>
          <w:right w:val="nil"/>
          <w:between w:val="nil"/>
        </w:pBdr>
        <w:spacing w:after="160" w:line="276" w:lineRule="auto"/>
        <w:ind w:left="1620"/>
      </w:pPr>
      <w:r>
        <w:rPr>
          <w:rFonts w:ascii="Verdana" w:eastAsia="Verdana" w:hAnsi="Verdana" w:cs="Verdana"/>
          <w:color w:val="000000"/>
          <w:sz w:val="23"/>
          <w:szCs w:val="23"/>
        </w:rPr>
        <w:lastRenderedPageBreak/>
        <w:t>Learners must not receive the same version/form of a test two testing sessions in a row.</w:t>
      </w:r>
    </w:p>
    <w:p w14:paraId="67A71A87" w14:textId="605D6E04" w:rsidR="00F8503D" w:rsidRDefault="0033067D">
      <w:pPr>
        <w:numPr>
          <w:ilvl w:val="0"/>
          <w:numId w:val="96"/>
        </w:numPr>
        <w:pBdr>
          <w:top w:val="nil"/>
          <w:left w:val="nil"/>
          <w:bottom w:val="nil"/>
          <w:right w:val="nil"/>
          <w:between w:val="nil"/>
        </w:pBdr>
        <w:spacing w:after="160" w:line="276" w:lineRule="auto"/>
        <w:ind w:left="360"/>
      </w:pPr>
      <w:r>
        <w:rPr>
          <w:rFonts w:ascii="Verdana" w:eastAsia="Verdana" w:hAnsi="Verdana" w:cs="Verdana"/>
          <w:color w:val="000000"/>
          <w:sz w:val="23"/>
          <w:szCs w:val="23"/>
        </w:rPr>
        <w:t>CASAS requires that the same test series be used for the pre- and post-test. For example, if a pre-test is given in the Math GOALS 2, then the post-test must also be given from the Math GOALS 2 series. Test scores outside the range:</w:t>
      </w:r>
    </w:p>
    <w:p w14:paraId="10B18E87" w14:textId="4DAE3F5E" w:rsidR="00F8503D" w:rsidRPr="00596CB8" w:rsidRDefault="0033067D">
      <w:pPr>
        <w:numPr>
          <w:ilvl w:val="7"/>
          <w:numId w:val="94"/>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If a learner achieves a </w:t>
      </w:r>
      <w:r w:rsidR="00B57985">
        <w:rPr>
          <w:rFonts w:ascii="Verdana" w:eastAsia="Verdana" w:hAnsi="Verdana" w:cs="Verdana"/>
          <w:color w:val="000000" w:themeColor="text1"/>
          <w:sz w:val="23"/>
          <w:szCs w:val="23"/>
          <w:lang w:val="en-US"/>
        </w:rPr>
        <w:t xml:space="preserve">conservative estimate score </w:t>
      </w:r>
      <w:r w:rsidRPr="7B188CE2">
        <w:rPr>
          <w:rFonts w:ascii="Verdana" w:eastAsia="Verdana" w:hAnsi="Verdana" w:cs="Verdana"/>
          <w:color w:val="000000" w:themeColor="text1"/>
          <w:sz w:val="23"/>
          <w:szCs w:val="23"/>
          <w:lang w:val="en-US"/>
        </w:rPr>
        <w:t>on a CASAS pretest</w:t>
      </w:r>
      <w:r w:rsidR="00306BCB">
        <w:rPr>
          <w:rFonts w:ascii="Verdana" w:eastAsia="Verdana" w:hAnsi="Verdana" w:cs="Verdana"/>
          <w:color w:val="000000" w:themeColor="text1"/>
          <w:sz w:val="23"/>
          <w:szCs w:val="23"/>
          <w:lang w:val="en-US"/>
        </w:rPr>
        <w:t>, designated by a closed diamond symbol (</w:t>
      </w:r>
      <w:r w:rsidR="003637DD">
        <w:rPr>
          <w:rFonts w:ascii="Segoe UI Symbol" w:eastAsia="Verdana" w:hAnsi="Segoe UI Symbol" w:cs="Segoe UI Symbol"/>
          <w:color w:val="000000" w:themeColor="text1"/>
          <w:sz w:val="23"/>
          <w:szCs w:val="23"/>
        </w:rPr>
        <w:t>♦</w:t>
      </w:r>
      <w:r w:rsidR="00306BCB">
        <w:rPr>
          <w:rFonts w:ascii="Verdana" w:eastAsia="Verdana" w:hAnsi="Verdana" w:cs="Verdana"/>
          <w:color w:val="000000" w:themeColor="text1"/>
          <w:sz w:val="23"/>
          <w:szCs w:val="23"/>
          <w:lang w:val="en-US"/>
        </w:rPr>
        <w:t>),</w:t>
      </w:r>
      <w:r w:rsidR="00197390">
        <w:rPr>
          <w:rFonts w:ascii="Verdana" w:eastAsia="Verdana" w:hAnsi="Verdana" w:cs="Verdana"/>
          <w:color w:val="000000" w:themeColor="text1"/>
          <w:sz w:val="23"/>
          <w:szCs w:val="23"/>
          <w:lang w:val="en-US"/>
        </w:rPr>
        <w:t xml:space="preserve"> </w:t>
      </w:r>
      <w:r w:rsidR="00197390" w:rsidRPr="7B188CE2">
        <w:rPr>
          <w:rFonts w:ascii="Verdana" w:eastAsia="Verdana" w:hAnsi="Verdana" w:cs="Verdana"/>
          <w:color w:val="000000" w:themeColor="text1"/>
          <w:sz w:val="23"/>
          <w:szCs w:val="23"/>
          <w:lang w:val="en-US"/>
        </w:rPr>
        <w:t>the learner must be re-tested with a test from the next higher level within a week of the initial pretest.</w:t>
      </w:r>
      <w:r w:rsidRPr="7B188CE2">
        <w:rPr>
          <w:rFonts w:ascii="Verdana" w:eastAsia="Verdana" w:hAnsi="Verdana" w:cs="Verdana"/>
          <w:color w:val="000000" w:themeColor="text1"/>
          <w:sz w:val="23"/>
          <w:szCs w:val="23"/>
          <w:lang w:val="en-US"/>
        </w:rPr>
        <w:t xml:space="preserve"> </w:t>
      </w:r>
      <w:r w:rsidR="00197390">
        <w:rPr>
          <w:rFonts w:ascii="Verdana" w:eastAsia="Verdana" w:hAnsi="Verdana" w:cs="Verdana"/>
          <w:color w:val="000000" w:themeColor="text1"/>
          <w:sz w:val="23"/>
          <w:szCs w:val="23"/>
          <w:lang w:val="en-US"/>
        </w:rPr>
        <w:t>This score</w:t>
      </w:r>
      <w:r w:rsidRPr="7B188CE2">
        <w:rPr>
          <w:rFonts w:ascii="Verdana" w:eastAsia="Verdana" w:hAnsi="Verdana" w:cs="Verdana"/>
          <w:color w:val="000000" w:themeColor="text1"/>
          <w:sz w:val="23"/>
          <w:szCs w:val="23"/>
          <w:lang w:val="en-US"/>
        </w:rPr>
        <w:t xml:space="preserve"> is potentially inaccurate because the learner’s skills exceed the upper limits of the test</w:t>
      </w:r>
      <w:r w:rsidR="009A485D">
        <w:rPr>
          <w:rFonts w:ascii="Verdana" w:eastAsia="Verdana" w:hAnsi="Verdana" w:cs="Verdana"/>
          <w:color w:val="000000" w:themeColor="text1"/>
          <w:sz w:val="23"/>
          <w:szCs w:val="23"/>
          <w:lang w:val="en-US"/>
        </w:rPr>
        <w:t>.</w:t>
      </w:r>
      <w:r w:rsidRPr="7B188CE2">
        <w:rPr>
          <w:rFonts w:ascii="Verdana" w:eastAsia="Verdana" w:hAnsi="Verdana" w:cs="Verdana"/>
          <w:color w:val="000000" w:themeColor="text1"/>
          <w:sz w:val="23"/>
          <w:szCs w:val="23"/>
          <w:lang w:val="en-US"/>
        </w:rPr>
        <w:t xml:space="preserve"> The new assessment score replaces the conservative estimate score, and the replaced test record should be deleted from the database.</w:t>
      </w:r>
    </w:p>
    <w:p w14:paraId="4C3EF4C3" w14:textId="77777777" w:rsidR="00CA2B5A" w:rsidRPr="00CA2B5A" w:rsidRDefault="00160D1C">
      <w:pPr>
        <w:pStyle w:val="Default"/>
        <w:numPr>
          <w:ilvl w:val="0"/>
          <w:numId w:val="94"/>
        </w:numPr>
        <w:rPr>
          <w:rFonts w:ascii="Times New Roman" w:hAnsi="Times New Roman" w:cs="Times New Roman"/>
        </w:rPr>
      </w:pPr>
      <w:r>
        <w:rPr>
          <w:rFonts w:ascii="Verdana" w:eastAsia="Verdana" w:hAnsi="Verdana" w:cs="Verdana"/>
          <w:color w:val="000000" w:themeColor="text1"/>
          <w:sz w:val="23"/>
          <w:szCs w:val="23"/>
        </w:rPr>
        <w:t>If a learner achieves a lower-end estimate score</w:t>
      </w:r>
      <w:r w:rsidR="009A115C">
        <w:rPr>
          <w:rFonts w:ascii="Verdana" w:eastAsia="Verdana" w:hAnsi="Verdana" w:cs="Verdana"/>
          <w:color w:val="000000" w:themeColor="text1"/>
          <w:sz w:val="23"/>
          <w:szCs w:val="23"/>
        </w:rPr>
        <w:t xml:space="preserve"> on a CASA</w:t>
      </w:r>
      <w:r w:rsidR="00E137FB">
        <w:rPr>
          <w:rFonts w:ascii="Verdana" w:eastAsia="Verdana" w:hAnsi="Verdana" w:cs="Verdana"/>
          <w:color w:val="000000" w:themeColor="text1"/>
          <w:sz w:val="23"/>
          <w:szCs w:val="23"/>
        </w:rPr>
        <w:t>S</w:t>
      </w:r>
      <w:r w:rsidR="003D6659">
        <w:rPr>
          <w:rFonts w:ascii="Verdana" w:eastAsia="Verdana" w:hAnsi="Verdana" w:cs="Verdana"/>
          <w:color w:val="000000" w:themeColor="text1"/>
          <w:sz w:val="23"/>
          <w:szCs w:val="23"/>
        </w:rPr>
        <w:t xml:space="preserve"> Level B-E</w:t>
      </w:r>
      <w:r w:rsidR="00E137FB">
        <w:rPr>
          <w:rFonts w:ascii="Verdana" w:eastAsia="Verdana" w:hAnsi="Verdana" w:cs="Verdana"/>
          <w:color w:val="000000" w:themeColor="text1"/>
          <w:sz w:val="23"/>
          <w:szCs w:val="23"/>
        </w:rPr>
        <w:t xml:space="preserve"> test</w:t>
      </w:r>
      <w:r>
        <w:rPr>
          <w:rFonts w:ascii="Verdana" w:eastAsia="Verdana" w:hAnsi="Verdana" w:cs="Verdana"/>
          <w:color w:val="000000" w:themeColor="text1"/>
          <w:sz w:val="23"/>
          <w:szCs w:val="23"/>
        </w:rPr>
        <w:t>, designated by an open diamond symbol (</w:t>
      </w:r>
      <w:r>
        <w:rPr>
          <w:rFonts w:ascii="Symbol" w:eastAsia="Symbol" w:hAnsi="Symbol" w:cs="Symbol"/>
          <w:color w:val="000000" w:themeColor="text1"/>
          <w:sz w:val="23"/>
          <w:szCs w:val="23"/>
        </w:rPr>
        <w:t>à</w:t>
      </w:r>
      <w:r>
        <w:rPr>
          <w:rFonts w:ascii="Verdana" w:eastAsia="Verdana" w:hAnsi="Verdana" w:cs="Verdana"/>
          <w:color w:val="000000" w:themeColor="text1"/>
          <w:sz w:val="23"/>
          <w:szCs w:val="23"/>
        </w:rPr>
        <w:t xml:space="preserve">), the learner receives the lowest scale score currently given on the test and </w:t>
      </w:r>
      <w:r w:rsidR="006A3CE6">
        <w:rPr>
          <w:rFonts w:ascii="Verdana" w:eastAsia="Verdana" w:hAnsi="Verdana" w:cs="Verdana"/>
          <w:color w:val="000000" w:themeColor="text1"/>
          <w:sz w:val="23"/>
          <w:szCs w:val="23"/>
        </w:rPr>
        <w:t>is</w:t>
      </w:r>
      <w:r>
        <w:rPr>
          <w:rFonts w:ascii="Verdana" w:eastAsia="Verdana" w:hAnsi="Verdana" w:cs="Verdana"/>
          <w:color w:val="000000" w:themeColor="text1"/>
          <w:sz w:val="23"/>
          <w:szCs w:val="23"/>
        </w:rPr>
        <w:t xml:space="preserve"> assigned the corresponding NRS level without the need to retest. </w:t>
      </w:r>
      <w:r w:rsidR="0058423D">
        <w:rPr>
          <w:rFonts w:ascii="Verdana" w:eastAsia="Verdana" w:hAnsi="Verdana" w:cs="Verdana"/>
          <w:color w:val="000000" w:themeColor="text1"/>
          <w:sz w:val="23"/>
          <w:szCs w:val="23"/>
        </w:rPr>
        <w:t xml:space="preserve">This applies to </w:t>
      </w:r>
      <w:r w:rsidR="00DB2910">
        <w:rPr>
          <w:rFonts w:ascii="Verdana" w:eastAsia="Verdana" w:hAnsi="Verdana" w:cs="Verdana"/>
          <w:color w:val="000000" w:themeColor="text1"/>
          <w:sz w:val="23"/>
          <w:szCs w:val="23"/>
        </w:rPr>
        <w:t xml:space="preserve">Reading GOALS 2, Math GOALS 2, Reading STEPS, and Listening STEPS. </w:t>
      </w:r>
    </w:p>
    <w:p w14:paraId="6C88AA20" w14:textId="253FA965" w:rsidR="00160D1C" w:rsidRPr="00CA2B5A" w:rsidRDefault="00CA2B5A" w:rsidP="00CA2B5A">
      <w:pPr>
        <w:pStyle w:val="Default"/>
        <w:ind w:left="720"/>
        <w:rPr>
          <w:rFonts w:ascii="Times New Roman" w:hAnsi="Times New Roman" w:cs="Times New Roman"/>
        </w:rPr>
      </w:pPr>
      <w:r>
        <w:rPr>
          <w:rFonts w:ascii="Times New Roman" w:hAnsi="Times New Roman" w:cs="Times New Roman"/>
        </w:rPr>
        <w:br/>
      </w:r>
      <w:r w:rsidR="00DB2910" w:rsidRPr="00CA2B5A">
        <w:rPr>
          <w:rFonts w:ascii="Verdana" w:eastAsia="Verdana" w:hAnsi="Verdana" w:cs="Verdana"/>
          <w:color w:val="000000" w:themeColor="text1"/>
          <w:sz w:val="23"/>
          <w:szCs w:val="23"/>
        </w:rPr>
        <w:t>For an example of th</w:t>
      </w:r>
      <w:r w:rsidR="005C01CC">
        <w:rPr>
          <w:rFonts w:ascii="Verdana" w:eastAsia="Verdana" w:hAnsi="Verdana" w:cs="Verdana"/>
          <w:color w:val="000000" w:themeColor="text1"/>
          <w:sz w:val="23"/>
          <w:szCs w:val="23"/>
        </w:rPr>
        <w:t>is</w:t>
      </w:r>
      <w:r w:rsidR="00DB2910" w:rsidRPr="00CA2B5A">
        <w:rPr>
          <w:rFonts w:ascii="Verdana" w:eastAsia="Verdana" w:hAnsi="Verdana" w:cs="Verdana"/>
          <w:color w:val="000000" w:themeColor="text1"/>
          <w:sz w:val="23"/>
          <w:szCs w:val="23"/>
        </w:rPr>
        <w:t xml:space="preserve"> change, </w:t>
      </w:r>
      <w:r w:rsidR="008D2544">
        <w:rPr>
          <w:rFonts w:ascii="Verdana" w:eastAsia="Verdana" w:hAnsi="Verdana" w:cs="Verdana"/>
          <w:color w:val="000000" w:themeColor="text1"/>
          <w:sz w:val="23"/>
          <w:szCs w:val="23"/>
        </w:rPr>
        <w:t>see the image below</w:t>
      </w:r>
      <w:r w:rsidR="00BE11DD" w:rsidRPr="00CA2B5A">
        <w:rPr>
          <w:rFonts w:ascii="Verdana" w:eastAsia="Verdana" w:hAnsi="Verdana" w:cs="Verdana"/>
          <w:color w:val="000000" w:themeColor="text1"/>
          <w:sz w:val="23"/>
          <w:szCs w:val="23"/>
        </w:rPr>
        <w:t xml:space="preserve"> depicting </w:t>
      </w:r>
      <w:r w:rsidR="008D2544">
        <w:rPr>
          <w:rFonts w:ascii="Verdana" w:eastAsia="Verdana" w:hAnsi="Verdana" w:cs="Verdana"/>
          <w:color w:val="000000" w:themeColor="text1"/>
          <w:sz w:val="23"/>
          <w:szCs w:val="23"/>
        </w:rPr>
        <w:t>how a low-end estimate score is denoted</w:t>
      </w:r>
      <w:r w:rsidR="00744569">
        <w:rPr>
          <w:rFonts w:ascii="Verdana" w:eastAsia="Verdana" w:hAnsi="Verdana" w:cs="Verdana"/>
          <w:color w:val="000000" w:themeColor="text1"/>
          <w:sz w:val="23"/>
          <w:szCs w:val="23"/>
        </w:rPr>
        <w:t>.</w:t>
      </w:r>
      <w:r w:rsidR="00BE11DD" w:rsidRPr="00CA2B5A">
        <w:rPr>
          <w:rFonts w:ascii="Verdana" w:eastAsia="Verdana" w:hAnsi="Verdana" w:cs="Verdana"/>
          <w:color w:val="000000" w:themeColor="text1"/>
          <w:sz w:val="23"/>
          <w:szCs w:val="23"/>
        </w:rPr>
        <w:t xml:space="preserve"> </w:t>
      </w:r>
      <w:r w:rsidR="00744569">
        <w:rPr>
          <w:rFonts w:ascii="Verdana" w:eastAsia="Verdana" w:hAnsi="Verdana" w:cs="Verdana"/>
          <w:color w:val="000000" w:themeColor="text1"/>
          <w:sz w:val="23"/>
          <w:szCs w:val="23"/>
        </w:rPr>
        <w:t xml:space="preserve"> </w:t>
      </w:r>
    </w:p>
    <w:p w14:paraId="0B637A94" w14:textId="77777777" w:rsidR="00F900FB" w:rsidRDefault="00F900FB" w:rsidP="00F900FB">
      <w:pPr>
        <w:pStyle w:val="Default"/>
        <w:rPr>
          <w:rFonts w:ascii="Times New Roman" w:hAnsi="Times New Roman" w:cs="Times New Roman"/>
        </w:rPr>
      </w:pPr>
    </w:p>
    <w:p w14:paraId="34A29D76" w14:textId="6D3E8093" w:rsidR="007B4B58" w:rsidRPr="001B233B" w:rsidRDefault="00F900FB" w:rsidP="00F900FB">
      <w:pPr>
        <w:pStyle w:val="Default"/>
        <w:rPr>
          <w:rFonts w:ascii="Verdana" w:hAnsi="Verdana" w:cs="Times New Roman"/>
          <w:b/>
          <w:bCs/>
          <w:sz w:val="23"/>
          <w:szCs w:val="23"/>
        </w:rPr>
      </w:pPr>
      <w:r w:rsidRPr="001B233B">
        <w:rPr>
          <w:rFonts w:ascii="Verdana" w:hAnsi="Verdana" w:cs="Times New Roman"/>
          <w:b/>
          <w:bCs/>
          <w:sz w:val="23"/>
          <w:szCs w:val="23"/>
        </w:rPr>
        <w:t>IMAGE</w:t>
      </w:r>
    </w:p>
    <w:p w14:paraId="738FCD8E" w14:textId="1EA22777" w:rsidR="00A41D62" w:rsidRPr="001B233B" w:rsidRDefault="00A41D62" w:rsidP="00F900FB">
      <w:pPr>
        <w:pStyle w:val="Default"/>
        <w:rPr>
          <w:rFonts w:ascii="Verdana" w:hAnsi="Verdana" w:cs="Times New Roman"/>
          <w:sz w:val="23"/>
          <w:szCs w:val="23"/>
        </w:rPr>
      </w:pPr>
      <w:r w:rsidRPr="001B233B">
        <w:rPr>
          <w:rFonts w:ascii="Verdana" w:hAnsi="Verdana" w:cs="Times New Roman"/>
          <w:sz w:val="23"/>
          <w:szCs w:val="23"/>
        </w:rPr>
        <w:t>The image below depicts the scale scor</w:t>
      </w:r>
      <w:r w:rsidR="007000D2">
        <w:rPr>
          <w:rFonts w:ascii="Verdana" w:hAnsi="Verdana" w:cs="Times New Roman"/>
          <w:sz w:val="23"/>
          <w:szCs w:val="23"/>
        </w:rPr>
        <w:t>e chart for</w:t>
      </w:r>
      <w:r w:rsidRPr="001B233B">
        <w:rPr>
          <w:rFonts w:ascii="Verdana" w:hAnsi="Verdana" w:cs="Times New Roman"/>
          <w:sz w:val="23"/>
          <w:szCs w:val="23"/>
        </w:rPr>
        <w:t xml:space="preserve"> a Reading GOALS 2 Level B Test, Form 923. Learners who receive a raw score of </w:t>
      </w:r>
      <w:r w:rsidR="00A6272B" w:rsidRPr="001B233B">
        <w:rPr>
          <w:rFonts w:ascii="Verdana" w:hAnsi="Verdana" w:cs="Times New Roman"/>
          <w:sz w:val="23"/>
          <w:szCs w:val="23"/>
        </w:rPr>
        <w:t xml:space="preserve">7, 8, or 9 no longer receive an inaccurate (*) score; now, they receive a low-end estimate score, which is designated by the </w:t>
      </w:r>
      <w:r w:rsidR="00A6272B" w:rsidRPr="001B233B">
        <w:rPr>
          <w:rFonts w:ascii="Verdana" w:eastAsia="Verdana" w:hAnsi="Verdana" w:cs="Verdana"/>
          <w:color w:val="000000" w:themeColor="text1"/>
          <w:sz w:val="23"/>
          <w:szCs w:val="23"/>
        </w:rPr>
        <w:t>open diamond symbol (</w:t>
      </w:r>
      <w:r w:rsidR="00A6272B" w:rsidRPr="001B233B">
        <w:rPr>
          <w:rFonts w:ascii="Symbol" w:eastAsia="Symbol" w:hAnsi="Symbol" w:cs="Symbol"/>
          <w:color w:val="000000" w:themeColor="text1"/>
          <w:sz w:val="23"/>
          <w:szCs w:val="23"/>
        </w:rPr>
        <w:t>à</w:t>
      </w:r>
      <w:r w:rsidR="00A6272B" w:rsidRPr="001B233B">
        <w:rPr>
          <w:rFonts w:ascii="Verdana" w:eastAsia="Verdana" w:hAnsi="Verdana" w:cs="Verdana"/>
          <w:color w:val="000000" w:themeColor="text1"/>
          <w:sz w:val="23"/>
          <w:szCs w:val="23"/>
        </w:rPr>
        <w:t>).</w:t>
      </w:r>
      <w:r w:rsidR="006E1C97" w:rsidRPr="001B233B">
        <w:rPr>
          <w:rFonts w:ascii="Verdana" w:eastAsia="Verdana" w:hAnsi="Verdana" w:cs="Verdana"/>
          <w:color w:val="000000" w:themeColor="text1"/>
          <w:sz w:val="23"/>
          <w:szCs w:val="23"/>
        </w:rPr>
        <w:t xml:space="preserve"> </w:t>
      </w:r>
      <w:r w:rsidR="00AF2303">
        <w:rPr>
          <w:rFonts w:ascii="Verdana" w:eastAsia="Verdana" w:hAnsi="Verdana" w:cs="Verdana"/>
          <w:color w:val="000000" w:themeColor="text1"/>
          <w:sz w:val="23"/>
          <w:szCs w:val="23"/>
        </w:rPr>
        <w:t>With that low-end estimate score, t</w:t>
      </w:r>
      <w:r w:rsidR="006E1C97" w:rsidRPr="001B233B">
        <w:rPr>
          <w:rFonts w:ascii="Verdana" w:eastAsia="Verdana" w:hAnsi="Verdana" w:cs="Verdana"/>
          <w:color w:val="000000" w:themeColor="text1"/>
          <w:sz w:val="23"/>
          <w:szCs w:val="23"/>
        </w:rPr>
        <w:t>he learner is assigned an NRS level without the need to retest.</w:t>
      </w:r>
    </w:p>
    <w:p w14:paraId="608446E7" w14:textId="416F1FBD" w:rsidR="00BD435E" w:rsidRDefault="00BD435E">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r>
        <w:rPr>
          <w:rFonts w:ascii="Verdana" w:eastAsia="Verdana" w:hAnsi="Verdana" w:cs="Verdana"/>
          <w:noProof/>
          <w:color w:val="000000" w:themeColor="text1"/>
          <w:sz w:val="23"/>
          <w:szCs w:val="23"/>
          <w:lang w:val="en-US"/>
        </w:rPr>
        <w:lastRenderedPageBreak/>
        <w:drawing>
          <wp:inline distT="0" distB="0" distL="0" distR="0" wp14:anchorId="5F217C3C" wp14:editId="554BDAED">
            <wp:extent cx="5943600" cy="3312795"/>
            <wp:effectExtent l="0" t="0" r="0" b="1905"/>
            <wp:docPr id="877267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67927" name="Picture 877267927"/>
                    <pic:cNvPicPr/>
                  </pic:nvPicPr>
                  <pic:blipFill>
                    <a:blip r:embed="rId55">
                      <a:extLst>
                        <a:ext uri="{28A0092B-C50C-407E-A947-70E740481C1C}">
                          <a14:useLocalDpi xmlns:a14="http://schemas.microsoft.com/office/drawing/2010/main" val="0"/>
                        </a:ext>
                      </a:extLst>
                    </a:blip>
                    <a:stretch>
                      <a:fillRect/>
                    </a:stretch>
                  </pic:blipFill>
                  <pic:spPr>
                    <a:xfrm>
                      <a:off x="0" y="0"/>
                      <a:ext cx="5943600" cy="3312795"/>
                    </a:xfrm>
                    <a:prstGeom prst="rect">
                      <a:avLst/>
                    </a:prstGeom>
                  </pic:spPr>
                </pic:pic>
              </a:graphicData>
            </a:graphic>
          </wp:inline>
        </w:drawing>
      </w:r>
    </w:p>
    <w:p w14:paraId="6C7A8C88" w14:textId="77777777" w:rsidR="0061119D" w:rsidRDefault="0061119D">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p>
    <w:p w14:paraId="06B59096" w14:textId="24E7FE26" w:rsidR="00F8503D" w:rsidRDefault="00160D1C">
      <w:pPr>
        <w:pBdr>
          <w:top w:val="nil"/>
          <w:left w:val="nil"/>
          <w:bottom w:val="nil"/>
          <w:right w:val="nil"/>
          <w:between w:val="nil"/>
        </w:pBdr>
        <w:spacing w:after="160" w:line="276" w:lineRule="auto"/>
      </w:pPr>
      <w:r>
        <w:rPr>
          <w:rFonts w:ascii="Verdana" w:eastAsia="Verdana" w:hAnsi="Verdana" w:cs="Verdana"/>
          <w:color w:val="000000" w:themeColor="text1"/>
          <w:sz w:val="23"/>
          <w:szCs w:val="23"/>
          <w:lang w:val="en-US"/>
        </w:rPr>
        <w:t xml:space="preserve">c) </w:t>
      </w:r>
      <w:r w:rsidR="0033067D" w:rsidRPr="7B188CE2">
        <w:rPr>
          <w:rFonts w:ascii="Verdana" w:eastAsia="Verdana" w:hAnsi="Verdana" w:cs="Verdana"/>
          <w:color w:val="000000" w:themeColor="text1"/>
          <w:sz w:val="23"/>
          <w:szCs w:val="23"/>
          <w:lang w:val="en-US"/>
        </w:rPr>
        <w:t xml:space="preserve">If a learner achieves a conservative estimate score on an appropriate level CASAS posttest, </w:t>
      </w:r>
      <w:r w:rsidR="00602640">
        <w:rPr>
          <w:rFonts w:ascii="Verdana" w:eastAsia="Verdana" w:hAnsi="Verdana" w:cs="Verdana"/>
          <w:color w:val="000000" w:themeColor="text1"/>
          <w:sz w:val="23"/>
          <w:szCs w:val="23"/>
          <w:lang w:val="en-US"/>
        </w:rPr>
        <w:t>designated by a closed diamond symbol (</w:t>
      </w:r>
      <w:r w:rsidR="003637DD">
        <w:rPr>
          <w:rFonts w:ascii="Segoe UI Symbol" w:eastAsia="Verdana" w:hAnsi="Segoe UI Symbol" w:cs="Segoe UI Symbol"/>
          <w:color w:val="000000" w:themeColor="text1"/>
          <w:sz w:val="23"/>
          <w:szCs w:val="23"/>
        </w:rPr>
        <w:t>♦</w:t>
      </w:r>
      <w:r w:rsidR="00602640">
        <w:rPr>
          <w:rFonts w:ascii="Verdana" w:eastAsia="Verdana" w:hAnsi="Verdana" w:cs="Verdana"/>
          <w:color w:val="000000" w:themeColor="text1"/>
          <w:sz w:val="23"/>
          <w:szCs w:val="23"/>
          <w:lang w:val="en-US"/>
        </w:rPr>
        <w:t>)</w:t>
      </w:r>
      <w:r w:rsidR="0033067D" w:rsidRPr="7B188CE2">
        <w:rPr>
          <w:rFonts w:ascii="Verdana" w:eastAsia="Verdana" w:hAnsi="Verdana" w:cs="Verdana"/>
          <w:color w:val="000000" w:themeColor="text1"/>
          <w:sz w:val="23"/>
          <w:szCs w:val="23"/>
          <w:lang w:val="en-US"/>
        </w:rPr>
        <w:t>, the learner has sufficiently demonstrated skill gain and should not be re-tested until the next scheduled assessment cycle. At the next scheduled assessment cycle, the learner must receive a test from the next higher CASAS level.</w:t>
      </w:r>
    </w:p>
    <w:p w14:paraId="7E787F2A" w14:textId="77777777" w:rsidR="00F8503D" w:rsidRDefault="0033067D">
      <w:pPr>
        <w:numPr>
          <w:ilvl w:val="0"/>
          <w:numId w:val="95"/>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Uniform test administration times: Programs must follow the test publisher’s requirements for the maximum amount of time allowed for testing.</w:t>
      </w:r>
    </w:p>
    <w:p w14:paraId="6FB362B2"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CASAS Appraisal for Reading GOALS 2: 30 minutes</w:t>
      </w:r>
    </w:p>
    <w:p w14:paraId="4FDE2AFE"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CASAS Locator for Reading GOALS 2: 20 minutes</w:t>
      </w:r>
    </w:p>
    <w:p w14:paraId="19243482"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CASAS Reading GOALS 2 pre/posttests Level A: 35 minutes; Level B: 60 minutes; Levels C, D, E: 70 minutes</w:t>
      </w:r>
    </w:p>
    <w:p w14:paraId="1CFF17BA"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CASAS Appraisal for Math GOALS 2, STEPS: 30 minutes</w:t>
      </w:r>
    </w:p>
    <w:p w14:paraId="013DEC67"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CASAS Locator for Math GOALS 2, STEPS: 15 minutes.</w:t>
      </w:r>
    </w:p>
    <w:p w14:paraId="3FA2D6E0"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CASAS Math GOALS 2 pre/posttests Level A: 50 minutes; Level B: 65 minutes; Levels C and D: 75 minutes; Level E: 90 minutes.</w:t>
      </w:r>
    </w:p>
    <w:p w14:paraId="651A36B3"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t>CASAS Reading STEPS pre/posttests Level A: 30 minutes; Level B: 50 minutes; Levels C, D, E: 75 minutes.</w:t>
      </w:r>
    </w:p>
    <w:p w14:paraId="39B168D7" w14:textId="77777777" w:rsidR="00F8503D" w:rsidRDefault="0033067D">
      <w:pPr>
        <w:numPr>
          <w:ilvl w:val="0"/>
          <w:numId w:val="99"/>
        </w:numPr>
        <w:pBdr>
          <w:top w:val="nil"/>
          <w:left w:val="nil"/>
          <w:bottom w:val="nil"/>
          <w:right w:val="nil"/>
          <w:between w:val="nil"/>
        </w:pBdr>
        <w:spacing w:after="160" w:line="276" w:lineRule="auto"/>
        <w:ind w:left="1080"/>
      </w:pPr>
      <w:r>
        <w:rPr>
          <w:rFonts w:ascii="Verdana" w:eastAsia="Verdana" w:hAnsi="Verdana" w:cs="Verdana"/>
          <w:color w:val="000000"/>
          <w:sz w:val="23"/>
          <w:szCs w:val="23"/>
        </w:rPr>
        <w:lastRenderedPageBreak/>
        <w:t>CASAS Listening STEPS pre/posttests Level A: 28 minutes; Level B: 45 minutes; Level C: 52 minutes; Level D: 56 minutes; Level E: 38 minutes.</w:t>
      </w:r>
    </w:p>
    <w:p w14:paraId="05F5AF73" w14:textId="77777777" w:rsidR="00F8503D" w:rsidRDefault="0033067D">
      <w:pPr>
        <w:numPr>
          <w:ilvl w:val="0"/>
          <w:numId w:val="95"/>
        </w:numPr>
        <w:pBdr>
          <w:top w:val="nil"/>
          <w:left w:val="nil"/>
          <w:bottom w:val="nil"/>
          <w:right w:val="nil"/>
          <w:between w:val="nil"/>
        </w:pBdr>
        <w:spacing w:after="160" w:line="276" w:lineRule="auto"/>
        <w:ind w:left="360"/>
      </w:pPr>
      <w:r>
        <w:rPr>
          <w:rFonts w:ascii="Verdana" w:eastAsia="Verdana" w:hAnsi="Verdana" w:cs="Verdana"/>
          <w:color w:val="000000"/>
          <w:sz w:val="23"/>
          <w:szCs w:val="23"/>
        </w:rPr>
        <w:t>Periods of Participation:</w:t>
      </w:r>
    </w:p>
    <w:p w14:paraId="3D58730B"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0542438B" w14:textId="08EE7738" w:rsidR="00F8503D" w:rsidRDefault="0033067D" w:rsidP="0E6AD713">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0E6AD713">
        <w:rPr>
          <w:rFonts w:ascii="Verdana" w:eastAsia="Verdana" w:hAnsi="Verdana" w:cs="Verdana"/>
          <w:color w:val="000000" w:themeColor="text1"/>
          <w:sz w:val="23"/>
          <w:szCs w:val="23"/>
          <w:lang w:val="en-US"/>
        </w:rPr>
        <w:t xml:space="preserve">A Period of Participation (PoP) begins when a </w:t>
      </w:r>
      <w:r w:rsidR="58F2913D"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 xml:space="preserve">enters a program and becomes reportable when </w:t>
      </w:r>
      <w:r w:rsidR="66A93375" w:rsidRPr="0E6AD713">
        <w:rPr>
          <w:rFonts w:ascii="Verdana" w:eastAsia="Verdana" w:hAnsi="Verdana" w:cs="Verdana"/>
          <w:color w:val="000000" w:themeColor="text1"/>
          <w:sz w:val="23"/>
          <w:szCs w:val="23"/>
          <w:lang w:val="en-US"/>
        </w:rPr>
        <w:t xml:space="preserve">the learner </w:t>
      </w:r>
      <w:r w:rsidRPr="0E6AD713">
        <w:rPr>
          <w:rFonts w:ascii="Verdana" w:eastAsia="Verdana" w:hAnsi="Verdana" w:cs="Verdana"/>
          <w:color w:val="000000" w:themeColor="text1"/>
          <w:sz w:val="23"/>
          <w:szCs w:val="23"/>
          <w:lang w:val="en-US"/>
        </w:rPr>
        <w:t xml:space="preserve">has 12 or more contact hours. The PoP ends when the </w:t>
      </w:r>
      <w:r w:rsidR="2F080204"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 xml:space="preserve">leaves the program and goes for 90 days without services or scheduled services (i.e. exits the program). </w:t>
      </w:r>
      <w:r w:rsidR="5619153C" w:rsidRPr="0E6AD713">
        <w:rPr>
          <w:rFonts w:ascii="Verdana" w:eastAsia="Verdana" w:hAnsi="Verdana" w:cs="Verdana"/>
          <w:color w:val="000000" w:themeColor="text1"/>
          <w:sz w:val="23"/>
          <w:szCs w:val="23"/>
          <w:lang w:val="en-US"/>
        </w:rPr>
        <w:t xml:space="preserve">Learners </w:t>
      </w:r>
      <w:r w:rsidRPr="0E6AD713">
        <w:rPr>
          <w:rFonts w:ascii="Verdana" w:eastAsia="Verdana" w:hAnsi="Verdana" w:cs="Verdana"/>
          <w:color w:val="000000" w:themeColor="text1"/>
          <w:sz w:val="23"/>
          <w:szCs w:val="23"/>
          <w:lang w:val="en-US"/>
        </w:rPr>
        <w:t>who remain enrolled across program years/multiple program years do not need to requalify as participants.</w:t>
      </w:r>
    </w:p>
    <w:p w14:paraId="5A25D71A" w14:textId="6D41F4DD" w:rsidR="00F8503D" w:rsidRDefault="0033067D" w:rsidP="0E6AD713">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0E6AD713">
        <w:rPr>
          <w:rFonts w:ascii="Verdana" w:eastAsia="Verdana" w:hAnsi="Verdana" w:cs="Verdana"/>
          <w:color w:val="000000" w:themeColor="text1"/>
          <w:sz w:val="23"/>
          <w:szCs w:val="23"/>
          <w:lang w:val="en-US"/>
        </w:rPr>
        <w:t xml:space="preserve">A Measurable Skill Gain (MSG) will be applied to a previous PoP if a </w:t>
      </w:r>
      <w:r w:rsidR="475A485C"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 xml:space="preserve">exits without posttesting, then reenters for a subsequent PoP, is tested at re-entry, and demonstrates a level gain. However, an MSG cannot be retroactively applied to a prior program year. Any test given at re-entry will be used as a pre-test for the subsequent PoP. A gain will also be counted for a prior PoP if the </w:t>
      </w:r>
      <w:r w:rsidR="3609D061"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exits with insufficient hours to posttest but achieves enough hours after re-entering to be eligible to posttest.</w:t>
      </w:r>
    </w:p>
    <w:p w14:paraId="78B9F5B4"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111404DC" w14:textId="57C2B86E" w:rsidR="00F8503D" w:rsidRDefault="0033067D">
      <w:pPr>
        <w:numPr>
          <w:ilvl w:val="0"/>
          <w:numId w:val="100"/>
        </w:numPr>
        <w:pBdr>
          <w:top w:val="nil"/>
          <w:left w:val="nil"/>
          <w:bottom w:val="nil"/>
          <w:right w:val="nil"/>
          <w:between w:val="nil"/>
        </w:pBdr>
        <w:spacing w:after="160" w:line="276" w:lineRule="auto"/>
        <w:ind w:left="360"/>
      </w:pPr>
      <w:r w:rsidRPr="0E6AD713">
        <w:rPr>
          <w:rFonts w:ascii="Verdana" w:eastAsia="Verdana" w:hAnsi="Verdana" w:cs="Verdana"/>
          <w:color w:val="000000" w:themeColor="text1"/>
          <w:sz w:val="23"/>
          <w:szCs w:val="23"/>
          <w:lang w:val="en-US"/>
        </w:rPr>
        <w:t xml:space="preserve">If a </w:t>
      </w:r>
      <w:r w:rsidR="529DE187"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 xml:space="preserve">is absent for 90 days or more but has accumulated enough hours during the previous PoP to be eligible to posttest, the </w:t>
      </w:r>
      <w:r w:rsidR="0984AF51"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must be tested on re-entry.</w:t>
      </w:r>
    </w:p>
    <w:p w14:paraId="480B392C" w14:textId="27A71E14" w:rsidR="00F8503D" w:rsidRPr="008F1F89" w:rsidRDefault="0033067D">
      <w:pPr>
        <w:numPr>
          <w:ilvl w:val="8"/>
          <w:numId w:val="93"/>
        </w:numPr>
        <w:pBdr>
          <w:top w:val="nil"/>
          <w:left w:val="nil"/>
          <w:bottom w:val="nil"/>
          <w:right w:val="nil"/>
          <w:between w:val="nil"/>
        </w:pBdr>
        <w:spacing w:after="160" w:line="276" w:lineRule="auto"/>
        <w:ind w:left="1620"/>
        <w:rPr>
          <w:rFonts w:eastAsia="Verdana"/>
        </w:rPr>
      </w:pPr>
      <w:r w:rsidRPr="0E6AD713">
        <w:rPr>
          <w:rFonts w:ascii="Verdana" w:eastAsia="Verdana" w:hAnsi="Verdana" w:cs="Verdana"/>
          <w:color w:val="000000" w:themeColor="text1"/>
          <w:sz w:val="23"/>
          <w:szCs w:val="23"/>
          <w:lang w:val="en-US"/>
        </w:rPr>
        <w:t xml:space="preserve">If a </w:t>
      </w:r>
      <w:r w:rsidR="798BA32A" w:rsidRPr="25E8816E">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 xml:space="preserve">is absent for 90 days or more and did not accumulate enough hours during the previous PoP to be eligible to posttest, the program may determine that it is still in the </w:t>
      </w:r>
      <w:r w:rsidR="49231513" w:rsidRPr="25E8816E">
        <w:rPr>
          <w:rFonts w:ascii="Verdana" w:eastAsia="Verdana" w:hAnsi="Verdana" w:cs="Verdana"/>
          <w:color w:val="000000" w:themeColor="text1"/>
          <w:sz w:val="23"/>
          <w:szCs w:val="23"/>
          <w:lang w:val="en-US"/>
        </w:rPr>
        <w:t>learner’s</w:t>
      </w:r>
      <w:r w:rsidRPr="0E6AD713">
        <w:rPr>
          <w:rFonts w:ascii="Verdana" w:eastAsia="Verdana" w:hAnsi="Verdana" w:cs="Verdana"/>
          <w:color w:val="000000" w:themeColor="text1"/>
          <w:sz w:val="23"/>
          <w:szCs w:val="23"/>
          <w:lang w:val="en-US"/>
        </w:rPr>
        <w:t xml:space="preserve"> best interest to retest upon re-entry. However, the program must submit a detailed pedagogic justification for testing a </w:t>
      </w:r>
      <w:r w:rsidR="65DD0569" w:rsidRPr="25E8816E">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who has accumulated fewer than the minimum required number of hours (as outlined by published testing guidelines) to CCWD via secure file transfer.</w:t>
      </w:r>
      <w:r w:rsidR="00D30A45" w:rsidRPr="25E8816E">
        <w:rPr>
          <w:rFonts w:ascii="Verdana" w:eastAsia="Verdana" w:hAnsi="Verdana" w:cs="Verdana"/>
          <w:color w:val="000000" w:themeColor="text1"/>
          <w:sz w:val="23"/>
          <w:szCs w:val="23"/>
          <w:lang w:val="en-US"/>
        </w:rPr>
        <w:t xml:space="preserve"> If an exception is needed, please email </w:t>
      </w:r>
      <w:hyperlink r:id="rId56" w:history="1">
        <w:r w:rsidR="00D30A45" w:rsidRPr="25E8816E">
          <w:rPr>
            <w:rStyle w:val="Hyperlink"/>
            <w:rFonts w:ascii="Verdana" w:eastAsia="Verdana" w:hAnsi="Verdana" w:cs="Verdana"/>
            <w:sz w:val="23"/>
            <w:szCs w:val="23"/>
            <w:lang w:val="en-US"/>
          </w:rPr>
          <w:t>hecc.absteam@hecc.oregon.gov</w:t>
        </w:r>
      </w:hyperlink>
      <w:r w:rsidR="00D30A45" w:rsidRPr="25E8816E">
        <w:rPr>
          <w:rFonts w:ascii="Verdana" w:eastAsia="Verdana" w:hAnsi="Verdana" w:cs="Verdana"/>
          <w:color w:val="000000" w:themeColor="text1"/>
          <w:sz w:val="23"/>
          <w:szCs w:val="23"/>
          <w:lang w:val="en-US"/>
        </w:rPr>
        <w:t xml:space="preserve"> requesting the exception</w:t>
      </w:r>
      <w:r w:rsidR="004A1A78">
        <w:rPr>
          <w:rFonts w:ascii="Verdana" w:eastAsia="Verdana" w:hAnsi="Verdana" w:cs="Verdana"/>
          <w:color w:val="000000" w:themeColor="text1"/>
          <w:sz w:val="23"/>
          <w:szCs w:val="23"/>
          <w:lang w:val="en-US"/>
        </w:rPr>
        <w:t xml:space="preserve"> before the post</w:t>
      </w:r>
      <w:r w:rsidR="6631E69D">
        <w:rPr>
          <w:rFonts w:ascii="Verdana" w:eastAsia="Verdana" w:hAnsi="Verdana" w:cs="Verdana"/>
          <w:color w:val="000000" w:themeColor="text1"/>
          <w:sz w:val="23"/>
          <w:szCs w:val="23"/>
          <w:lang w:val="en-US"/>
        </w:rPr>
        <w:t>t</w:t>
      </w:r>
      <w:r w:rsidR="004A1A78">
        <w:rPr>
          <w:rFonts w:ascii="Verdana" w:eastAsia="Verdana" w:hAnsi="Verdana" w:cs="Verdana"/>
          <w:color w:val="000000" w:themeColor="text1"/>
          <w:sz w:val="23"/>
          <w:szCs w:val="23"/>
          <w:lang w:val="en-US"/>
        </w:rPr>
        <w:t>est is given</w:t>
      </w:r>
      <w:r w:rsidR="00D30A45" w:rsidRPr="25E8816E">
        <w:rPr>
          <w:rFonts w:ascii="Verdana" w:eastAsia="Verdana" w:hAnsi="Verdana" w:cs="Verdana"/>
          <w:color w:val="000000" w:themeColor="text1"/>
          <w:sz w:val="23"/>
          <w:szCs w:val="23"/>
          <w:lang w:val="en-US"/>
        </w:rPr>
        <w:t>. Include a description of why the exception is in the learner’s best interest (e.g., the learner is leaving the program before 40 hours of instruction). Do not include any personally identifiable information. Keep the CCWD’s response on file.</w:t>
      </w:r>
    </w:p>
    <w:p w14:paraId="719D313C" w14:textId="2EC447B9" w:rsidR="00F8503D" w:rsidRDefault="0033067D">
      <w:pPr>
        <w:numPr>
          <w:ilvl w:val="0"/>
          <w:numId w:val="100"/>
        </w:numPr>
        <w:pBdr>
          <w:top w:val="nil"/>
          <w:left w:val="nil"/>
          <w:bottom w:val="nil"/>
          <w:right w:val="nil"/>
          <w:between w:val="nil"/>
        </w:pBdr>
        <w:spacing w:after="160" w:line="276" w:lineRule="auto"/>
        <w:ind w:left="360"/>
      </w:pPr>
      <w:r w:rsidRPr="0E6AD713">
        <w:rPr>
          <w:rFonts w:ascii="Verdana" w:eastAsia="Verdana" w:hAnsi="Verdana" w:cs="Verdana"/>
          <w:color w:val="000000" w:themeColor="text1"/>
          <w:sz w:val="23"/>
          <w:szCs w:val="23"/>
          <w:lang w:val="en-US"/>
        </w:rPr>
        <w:lastRenderedPageBreak/>
        <w:t xml:space="preserve">If the </w:t>
      </w:r>
      <w:r w:rsidR="19A1BE63"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 xml:space="preserve">has been absent for 120 days or more, </w:t>
      </w:r>
      <w:r w:rsidR="1673E920" w:rsidRPr="0E6AD713">
        <w:rPr>
          <w:rFonts w:ascii="Verdana" w:eastAsia="Verdana" w:hAnsi="Verdana" w:cs="Verdana"/>
          <w:color w:val="000000" w:themeColor="text1"/>
          <w:sz w:val="23"/>
          <w:szCs w:val="23"/>
          <w:lang w:val="en-US"/>
        </w:rPr>
        <w:t>they</w:t>
      </w:r>
      <w:r w:rsidRPr="0E6AD713">
        <w:rPr>
          <w:rFonts w:ascii="Verdana" w:eastAsia="Verdana" w:hAnsi="Verdana" w:cs="Verdana"/>
          <w:color w:val="000000" w:themeColor="text1"/>
          <w:sz w:val="23"/>
          <w:szCs w:val="23"/>
          <w:lang w:val="en-US"/>
        </w:rPr>
        <w:t xml:space="preserve"> must be tested on reentry regardless of how many hours were accumulated during a previous PoP.</w:t>
      </w:r>
    </w:p>
    <w:p w14:paraId="3676CC59" w14:textId="3B005E32" w:rsidR="00F8503D" w:rsidRDefault="0033067D" w:rsidP="4C5F9134">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4C5F9134">
        <w:rPr>
          <w:rFonts w:ascii="Verdana" w:eastAsia="Verdana" w:hAnsi="Verdana" w:cs="Verdana"/>
          <w:color w:val="000000" w:themeColor="text1"/>
          <w:sz w:val="23"/>
          <w:szCs w:val="23"/>
          <w:lang w:val="en-US"/>
        </w:rPr>
        <w:t xml:space="preserve">Note: CCWD will use data to monitor </w:t>
      </w:r>
      <w:r w:rsidR="18772103" w:rsidRPr="4C5F9134">
        <w:rPr>
          <w:rFonts w:ascii="Verdana" w:eastAsia="Verdana" w:hAnsi="Verdana" w:cs="Verdana"/>
          <w:color w:val="000000" w:themeColor="text1"/>
          <w:sz w:val="23"/>
          <w:szCs w:val="23"/>
          <w:lang w:val="en-US"/>
        </w:rPr>
        <w:t xml:space="preserve">learners </w:t>
      </w:r>
      <w:r w:rsidRPr="4C5F9134">
        <w:rPr>
          <w:rFonts w:ascii="Verdana" w:eastAsia="Verdana" w:hAnsi="Verdana" w:cs="Verdana"/>
          <w:color w:val="000000" w:themeColor="text1"/>
          <w:sz w:val="23"/>
          <w:szCs w:val="23"/>
          <w:lang w:val="en-US"/>
        </w:rPr>
        <w:t>who are tested at under the minimum required number of hours and carry out random sampling to verify that required documentation has been submitted.</w:t>
      </w:r>
    </w:p>
    <w:tbl>
      <w:tblPr>
        <w:tblW w:w="0" w:type="auto"/>
        <w:tblLook w:val="06A0" w:firstRow="1" w:lastRow="0" w:firstColumn="1" w:lastColumn="0" w:noHBand="1" w:noVBand="1"/>
      </w:tblPr>
      <w:tblGrid>
        <w:gridCol w:w="1462"/>
        <w:gridCol w:w="1534"/>
        <w:gridCol w:w="2639"/>
        <w:gridCol w:w="3705"/>
      </w:tblGrid>
      <w:tr w:rsidR="4C5F9134" w14:paraId="5B8DD34F" w14:textId="77777777" w:rsidTr="4C5F9134">
        <w:trPr>
          <w:trHeight w:val="390"/>
        </w:trPr>
        <w:tc>
          <w:tcPr>
            <w:tcW w:w="947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D9E75"/>
            <w:tcMar>
              <w:left w:w="108" w:type="dxa"/>
              <w:right w:w="108" w:type="dxa"/>
            </w:tcMar>
            <w:vAlign w:val="center"/>
          </w:tcPr>
          <w:p w14:paraId="40A8A9E7" w14:textId="6A3B9299" w:rsidR="4C5F9134" w:rsidRDefault="4C5F9134" w:rsidP="4C5F9134">
            <w:pPr>
              <w:jc w:val="center"/>
            </w:pPr>
            <w:r w:rsidRPr="4C5F9134">
              <w:rPr>
                <w:rFonts w:ascii="Verdana" w:eastAsia="Verdana" w:hAnsi="Verdana" w:cs="Verdana"/>
                <w:b/>
                <w:bCs/>
                <w:color w:val="000000" w:themeColor="text1"/>
                <w:sz w:val="20"/>
                <w:szCs w:val="20"/>
              </w:rPr>
              <w:t>Days of Absence</w:t>
            </w:r>
          </w:p>
        </w:tc>
      </w:tr>
      <w:tr w:rsidR="4C5F9134" w14:paraId="4E11DBD6" w14:textId="77777777" w:rsidTr="4C5F9134">
        <w:trPr>
          <w:trHeight w:val="405"/>
        </w:trPr>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EA9AF"/>
            <w:tcMar>
              <w:left w:w="108" w:type="dxa"/>
              <w:right w:w="108" w:type="dxa"/>
            </w:tcMar>
            <w:vAlign w:val="center"/>
          </w:tcPr>
          <w:p w14:paraId="09A9F29B" w14:textId="48E0AE09" w:rsidR="4C5F9134" w:rsidRDefault="4C5F9134" w:rsidP="4C5F9134">
            <w:r w:rsidRPr="4C5F9134">
              <w:rPr>
                <w:rFonts w:ascii="Verdana" w:eastAsia="Verdana" w:hAnsi="Verdana" w:cs="Verdana"/>
                <w:b/>
                <w:bCs/>
                <w:color w:val="000000" w:themeColor="text1"/>
                <w:sz w:val="20"/>
                <w:szCs w:val="20"/>
              </w:rPr>
              <w:t>Absence</w:t>
            </w:r>
          </w:p>
        </w:tc>
        <w:tc>
          <w:tcPr>
            <w:tcW w:w="1562" w:type="dxa"/>
            <w:tcBorders>
              <w:top w:val="nil"/>
              <w:left w:val="single" w:sz="8" w:space="0" w:color="000000" w:themeColor="text1"/>
              <w:bottom w:val="single" w:sz="8" w:space="0" w:color="000000" w:themeColor="text1"/>
              <w:right w:val="single" w:sz="8" w:space="0" w:color="000000" w:themeColor="text1"/>
            </w:tcBorders>
            <w:shd w:val="clear" w:color="auto" w:fill="4EA9AF"/>
            <w:tcMar>
              <w:left w:w="108" w:type="dxa"/>
              <w:right w:w="108" w:type="dxa"/>
            </w:tcMar>
            <w:vAlign w:val="center"/>
          </w:tcPr>
          <w:p w14:paraId="12BA6F70" w14:textId="3CC061BD" w:rsidR="4C5F9134" w:rsidRDefault="4C5F9134" w:rsidP="4C5F9134">
            <w:r w:rsidRPr="4C5F9134">
              <w:rPr>
                <w:rFonts w:ascii="Verdana" w:eastAsia="Verdana" w:hAnsi="Verdana" w:cs="Verdana"/>
                <w:b/>
                <w:bCs/>
                <w:color w:val="000000" w:themeColor="text1"/>
                <w:sz w:val="20"/>
                <w:szCs w:val="20"/>
              </w:rPr>
              <w:t>0-89 days</w:t>
            </w:r>
          </w:p>
        </w:tc>
        <w:tc>
          <w:tcPr>
            <w:tcW w:w="2715" w:type="dxa"/>
            <w:tcBorders>
              <w:top w:val="nil"/>
              <w:left w:val="single" w:sz="8" w:space="0" w:color="000000" w:themeColor="text1"/>
              <w:bottom w:val="single" w:sz="8" w:space="0" w:color="000000" w:themeColor="text1"/>
              <w:right w:val="single" w:sz="8" w:space="0" w:color="000000" w:themeColor="text1"/>
            </w:tcBorders>
            <w:shd w:val="clear" w:color="auto" w:fill="4EA9AF"/>
            <w:tcMar>
              <w:left w:w="108" w:type="dxa"/>
              <w:right w:w="108" w:type="dxa"/>
            </w:tcMar>
            <w:vAlign w:val="center"/>
          </w:tcPr>
          <w:p w14:paraId="224EA8A2" w14:textId="1E7C1E59" w:rsidR="4C5F9134" w:rsidRDefault="4C5F9134" w:rsidP="4C5F9134">
            <w:r w:rsidRPr="4C5F9134">
              <w:rPr>
                <w:rFonts w:ascii="Verdana" w:eastAsia="Verdana" w:hAnsi="Verdana" w:cs="Verdana"/>
                <w:b/>
                <w:bCs/>
                <w:color w:val="000000" w:themeColor="text1"/>
                <w:sz w:val="20"/>
                <w:szCs w:val="20"/>
              </w:rPr>
              <w:t>90-119 days</w:t>
            </w:r>
          </w:p>
        </w:tc>
        <w:tc>
          <w:tcPr>
            <w:tcW w:w="3717" w:type="dxa"/>
            <w:tcBorders>
              <w:top w:val="nil"/>
              <w:left w:val="single" w:sz="8" w:space="0" w:color="000000" w:themeColor="text1"/>
              <w:bottom w:val="single" w:sz="8" w:space="0" w:color="000000" w:themeColor="text1"/>
              <w:right w:val="single" w:sz="8" w:space="0" w:color="000000" w:themeColor="text1"/>
            </w:tcBorders>
            <w:shd w:val="clear" w:color="auto" w:fill="4EA9AF"/>
            <w:tcMar>
              <w:left w:w="108" w:type="dxa"/>
              <w:right w:w="108" w:type="dxa"/>
            </w:tcMar>
            <w:vAlign w:val="center"/>
          </w:tcPr>
          <w:p w14:paraId="75A68BAD" w14:textId="2BC19075" w:rsidR="4C5F9134" w:rsidRDefault="4C5F9134" w:rsidP="4C5F9134">
            <w:r w:rsidRPr="4C5F9134">
              <w:rPr>
                <w:rFonts w:ascii="Verdana" w:eastAsia="Verdana" w:hAnsi="Verdana" w:cs="Verdana"/>
                <w:b/>
                <w:bCs/>
                <w:color w:val="000000" w:themeColor="text1"/>
                <w:sz w:val="20"/>
                <w:szCs w:val="20"/>
              </w:rPr>
              <w:t>120</w:t>
            </w:r>
            <w:r w:rsidRPr="4C5F9134">
              <w:rPr>
                <w:rFonts w:ascii="Verdana" w:eastAsia="Verdana" w:hAnsi="Verdana" w:cs="Verdana"/>
                <w:b/>
                <w:bCs/>
                <w:color w:val="000000" w:themeColor="text1"/>
                <w:sz w:val="20"/>
                <w:szCs w:val="20"/>
                <w:vertAlign w:val="superscript"/>
              </w:rPr>
              <w:t>+</w:t>
            </w:r>
            <w:r w:rsidRPr="4C5F9134">
              <w:rPr>
                <w:rFonts w:ascii="Verdana" w:eastAsia="Verdana" w:hAnsi="Verdana" w:cs="Verdana"/>
                <w:b/>
                <w:bCs/>
                <w:color w:val="000000" w:themeColor="text1"/>
                <w:sz w:val="20"/>
                <w:szCs w:val="20"/>
              </w:rPr>
              <w:t xml:space="preserve"> days</w:t>
            </w:r>
          </w:p>
        </w:tc>
      </w:tr>
      <w:tr w:rsidR="4C5F9134" w14:paraId="0C5173ED" w14:textId="77777777" w:rsidTr="4C5F9134">
        <w:trPr>
          <w:trHeight w:val="3045"/>
        </w:trPr>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DC0AEF" w14:textId="17258B71" w:rsidR="4C5F9134" w:rsidRDefault="4C5F9134" w:rsidP="4C5F9134">
            <w:r w:rsidRPr="4C5F9134">
              <w:rPr>
                <w:rFonts w:ascii="Verdana" w:eastAsia="Verdana" w:hAnsi="Verdana" w:cs="Verdana"/>
                <w:b/>
                <w:bCs/>
                <w:color w:val="000000" w:themeColor="text1"/>
                <w:sz w:val="20"/>
                <w:szCs w:val="20"/>
              </w:rPr>
              <w:t>Testing Protocol</w:t>
            </w:r>
          </w:p>
        </w:tc>
        <w:tc>
          <w:tcPr>
            <w:tcW w:w="1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109536" w14:textId="1100424C" w:rsidR="4C5F9134" w:rsidRDefault="4C5F9134" w:rsidP="4C5F9134">
            <w:r w:rsidRPr="4C5F9134">
              <w:rPr>
                <w:rFonts w:ascii="Verdana" w:eastAsia="Verdana" w:hAnsi="Verdana" w:cs="Verdana"/>
                <w:color w:val="000000" w:themeColor="text1"/>
                <w:sz w:val="20"/>
                <w:szCs w:val="20"/>
                <w:lang w:val="en-US"/>
              </w:rPr>
              <w:t>Programs may use previous tests</w:t>
            </w:r>
          </w:p>
        </w:tc>
        <w:tc>
          <w:tcPr>
            <w:tcW w:w="27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E51A56" w14:textId="1982078D" w:rsidR="4C5F9134" w:rsidRDefault="4C5F9134" w:rsidP="4C5F9134">
            <w:pPr>
              <w:spacing w:line="257" w:lineRule="auto"/>
              <w:ind w:right="289"/>
            </w:pPr>
            <w:r w:rsidRPr="4C5F9134">
              <w:rPr>
                <w:rFonts w:ascii="Verdana" w:eastAsia="Verdana" w:hAnsi="Verdana" w:cs="Verdana"/>
                <w:color w:val="000000" w:themeColor="text1"/>
                <w:sz w:val="20"/>
                <w:szCs w:val="20"/>
                <w:lang w:val="en-US"/>
              </w:rPr>
              <w:t xml:space="preserve">Programs may choose to retest the learner (if they have enough hours to test) or continue with the previous tests. </w:t>
            </w:r>
          </w:p>
          <w:p w14:paraId="526DE934" w14:textId="0D109EFD" w:rsidR="4C5F9134" w:rsidRDefault="4C5F9134" w:rsidP="4C5F9134">
            <w:pPr>
              <w:ind w:right="289"/>
            </w:pPr>
            <w:r w:rsidRPr="4C5F9134">
              <w:rPr>
                <w:rFonts w:ascii="Verdana" w:eastAsia="Verdana" w:hAnsi="Verdana" w:cs="Verdana"/>
                <w:sz w:val="20"/>
                <w:szCs w:val="20"/>
              </w:rPr>
              <w:t xml:space="preserve"> </w:t>
            </w:r>
          </w:p>
          <w:p w14:paraId="57FBF74E" w14:textId="6C456AD2" w:rsidR="4C5F9134" w:rsidRDefault="4C5F9134" w:rsidP="4C5F9134">
            <w:pPr>
              <w:spacing w:line="257" w:lineRule="auto"/>
              <w:ind w:right="264"/>
            </w:pPr>
            <w:r w:rsidRPr="4C5F9134">
              <w:rPr>
                <w:rFonts w:ascii="Verdana" w:eastAsia="Verdana" w:hAnsi="Verdana" w:cs="Verdana"/>
                <w:color w:val="000000" w:themeColor="text1"/>
                <w:sz w:val="20"/>
                <w:szCs w:val="20"/>
                <w:lang w:val="en-US"/>
              </w:rPr>
              <w:t>If a program retests a learner with fewer hours than the test publisher’s minimum, the program must submit a pedagogic justification to CCWD via secure file transfer.</w:t>
            </w:r>
          </w:p>
        </w:tc>
        <w:tc>
          <w:tcPr>
            <w:tcW w:w="37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4B8AB1" w14:textId="49CB72D3" w:rsidR="4C5F9134" w:rsidRDefault="4C5F9134" w:rsidP="4C5F9134">
            <w:pPr>
              <w:spacing w:line="257" w:lineRule="auto"/>
              <w:ind w:left="-16" w:right="394"/>
            </w:pPr>
            <w:r w:rsidRPr="4C5F9134">
              <w:rPr>
                <w:rFonts w:ascii="Verdana" w:eastAsia="Verdana" w:hAnsi="Verdana" w:cs="Verdana"/>
                <w:color w:val="000000" w:themeColor="text1"/>
                <w:sz w:val="20"/>
                <w:szCs w:val="20"/>
              </w:rPr>
              <w:t xml:space="preserve">Programs must retest the learner upon returning. </w:t>
            </w:r>
          </w:p>
          <w:p w14:paraId="26B9FE7B" w14:textId="0D69D491" w:rsidR="4C5F9134" w:rsidRDefault="4C5F9134" w:rsidP="4C5F9134">
            <w:pPr>
              <w:ind w:left="-16" w:right="394"/>
            </w:pPr>
            <w:r w:rsidRPr="4C5F9134">
              <w:rPr>
                <w:rFonts w:ascii="Verdana" w:eastAsia="Verdana" w:hAnsi="Verdana" w:cs="Verdana"/>
                <w:sz w:val="20"/>
                <w:szCs w:val="20"/>
              </w:rPr>
              <w:t xml:space="preserve"> </w:t>
            </w:r>
          </w:p>
          <w:p w14:paraId="2C92BB9F" w14:textId="1C5E99B7" w:rsidR="4C5F9134" w:rsidRDefault="4C5F9134" w:rsidP="4C5F9134">
            <w:pPr>
              <w:spacing w:line="257" w:lineRule="auto"/>
              <w:ind w:left="-16" w:right="90"/>
            </w:pPr>
            <w:r w:rsidRPr="4C5F9134">
              <w:rPr>
                <w:rFonts w:ascii="Verdana" w:eastAsia="Verdana" w:hAnsi="Verdana" w:cs="Verdana"/>
                <w:color w:val="000000" w:themeColor="text1"/>
                <w:sz w:val="20"/>
                <w:szCs w:val="20"/>
                <w:lang w:val="en-US"/>
              </w:rPr>
              <w:t xml:space="preserve">If </w:t>
            </w:r>
            <w:r w:rsidR="52416B36" w:rsidRPr="4C5F9134">
              <w:rPr>
                <w:rFonts w:ascii="Verdana" w:eastAsia="Verdana" w:hAnsi="Verdana" w:cs="Verdana"/>
                <w:color w:val="000000" w:themeColor="text1"/>
                <w:sz w:val="20"/>
                <w:szCs w:val="20"/>
                <w:lang w:val="en-US"/>
              </w:rPr>
              <w:t xml:space="preserve">the learner acquired fewer hours than the test publisher’s minimum, </w:t>
            </w:r>
            <w:r w:rsidR="287EEEA7" w:rsidRPr="4C5F9134">
              <w:rPr>
                <w:rFonts w:ascii="Verdana" w:eastAsia="Verdana" w:hAnsi="Verdana" w:cs="Verdana"/>
                <w:color w:val="000000" w:themeColor="text1"/>
                <w:sz w:val="20"/>
                <w:szCs w:val="20"/>
                <w:lang w:val="en-US"/>
              </w:rPr>
              <w:t>please</w:t>
            </w:r>
            <w:r w:rsidR="6B8BA7BA" w:rsidRPr="4C5F9134">
              <w:rPr>
                <w:rFonts w:ascii="Verdana" w:eastAsia="Verdana" w:hAnsi="Verdana" w:cs="Verdana"/>
                <w:color w:val="000000" w:themeColor="text1"/>
                <w:sz w:val="20"/>
                <w:szCs w:val="20"/>
                <w:lang w:val="en-US"/>
              </w:rPr>
              <w:t xml:space="preserve"> </w:t>
            </w:r>
            <w:r w:rsidR="287EEEA7" w:rsidRPr="4C5F9134">
              <w:rPr>
                <w:rFonts w:ascii="Verdana" w:eastAsia="Verdana" w:hAnsi="Verdana" w:cs="Verdana"/>
                <w:color w:val="000000" w:themeColor="text1"/>
                <w:sz w:val="20"/>
                <w:szCs w:val="20"/>
                <w:lang w:val="en-US"/>
              </w:rPr>
              <w:t xml:space="preserve">email </w:t>
            </w:r>
          </w:p>
          <w:p w14:paraId="1F5F2243" w14:textId="2D855609" w:rsidR="287EEEA7" w:rsidRDefault="287EEEA7" w:rsidP="4C5F9134">
            <w:pPr>
              <w:spacing w:line="257" w:lineRule="auto"/>
              <w:ind w:left="-16" w:right="90"/>
            </w:pPr>
            <w:r w:rsidRPr="4C5F9134">
              <w:rPr>
                <w:rFonts w:ascii="Verdana" w:eastAsia="Verdana" w:hAnsi="Verdana" w:cs="Verdana"/>
                <w:color w:val="000000" w:themeColor="text1"/>
                <w:sz w:val="20"/>
                <w:szCs w:val="20"/>
                <w:lang w:val="en-US"/>
              </w:rPr>
              <w:t xml:space="preserve">hecc.absteam@hecc.oregon.gov </w:t>
            </w:r>
          </w:p>
          <w:p w14:paraId="71F338A7" w14:textId="0030D1BB" w:rsidR="287EEEA7" w:rsidRDefault="287EEEA7" w:rsidP="4C5F9134">
            <w:pPr>
              <w:spacing w:line="257" w:lineRule="auto"/>
              <w:ind w:left="-16" w:right="90"/>
              <w:rPr>
                <w:rFonts w:ascii="Verdana" w:eastAsia="Verdana" w:hAnsi="Verdana" w:cs="Verdana"/>
                <w:color w:val="000000" w:themeColor="text1"/>
                <w:sz w:val="20"/>
                <w:szCs w:val="20"/>
                <w:lang w:val="en-US"/>
              </w:rPr>
            </w:pPr>
            <w:r w:rsidRPr="4C5F9134">
              <w:rPr>
                <w:rFonts w:ascii="Verdana" w:eastAsia="Verdana" w:hAnsi="Verdana" w:cs="Verdana"/>
                <w:color w:val="000000" w:themeColor="text1"/>
                <w:sz w:val="20"/>
                <w:szCs w:val="20"/>
                <w:lang w:val="en-US"/>
              </w:rPr>
              <w:t xml:space="preserve">requesting </w:t>
            </w:r>
            <w:r w:rsidR="4B252172" w:rsidRPr="4C5F9134">
              <w:rPr>
                <w:rFonts w:ascii="Verdana" w:eastAsia="Verdana" w:hAnsi="Verdana" w:cs="Verdana"/>
                <w:color w:val="000000" w:themeColor="text1"/>
                <w:sz w:val="20"/>
                <w:szCs w:val="20"/>
                <w:lang w:val="en-US"/>
              </w:rPr>
              <w:t xml:space="preserve">an </w:t>
            </w:r>
            <w:r w:rsidRPr="4C5F9134">
              <w:rPr>
                <w:rFonts w:ascii="Verdana" w:eastAsia="Verdana" w:hAnsi="Verdana" w:cs="Verdana"/>
                <w:color w:val="000000" w:themeColor="text1"/>
                <w:sz w:val="20"/>
                <w:szCs w:val="20"/>
                <w:lang w:val="en-US"/>
              </w:rPr>
              <w:t>exception before the posttest is given. Include a description of why the exception is in the learner’s best interest (e.g., the learner is leaving the program before 40 hours of instruction). Do not include any personally identifiable information. Keep the CCWD’s response on file.</w:t>
            </w:r>
          </w:p>
        </w:tc>
      </w:tr>
    </w:tbl>
    <w:p w14:paraId="3DA2792F" w14:textId="07AD14C2" w:rsidR="00F8503D" w:rsidRDefault="004C62B9" w:rsidP="4C5F9134">
      <w:pPr>
        <w:pBdr>
          <w:top w:val="nil"/>
          <w:left w:val="nil"/>
          <w:bottom w:val="nil"/>
          <w:right w:val="nil"/>
          <w:between w:val="nil"/>
        </w:pBdr>
        <w:spacing w:after="160" w:line="276" w:lineRule="auto"/>
        <w:rPr>
          <w:rFonts w:ascii="Verdana" w:eastAsia="Verdana" w:hAnsi="Verdana" w:cs="Verdana"/>
          <w:color w:val="000000"/>
          <w:sz w:val="23"/>
          <w:szCs w:val="23"/>
        </w:rPr>
      </w:pPr>
      <w:r w:rsidRPr="4C5F9134">
        <w:rPr>
          <w:rFonts w:ascii="Verdana" w:eastAsia="Verdana" w:hAnsi="Verdana" w:cs="Verdana"/>
          <w:color w:val="000000" w:themeColor="text1"/>
          <w:sz w:val="23"/>
          <w:szCs w:val="23"/>
        </w:rPr>
        <w:t xml:space="preserve">  </w:t>
      </w:r>
    </w:p>
    <w:p w14:paraId="1D0FC323" w14:textId="77777777" w:rsidR="00F8503D" w:rsidRDefault="0033067D">
      <w:pPr>
        <w:numPr>
          <w:ilvl w:val="0"/>
          <w:numId w:val="101"/>
        </w:numPr>
        <w:pBdr>
          <w:top w:val="nil"/>
          <w:left w:val="nil"/>
          <w:bottom w:val="nil"/>
          <w:right w:val="nil"/>
          <w:between w:val="nil"/>
        </w:pBdr>
        <w:spacing w:after="160" w:line="276" w:lineRule="auto"/>
        <w:ind w:left="360" w:hanging="371"/>
      </w:pPr>
      <w:r>
        <w:rPr>
          <w:rFonts w:ascii="Verdana" w:eastAsia="Verdana" w:hAnsi="Verdana" w:cs="Verdana"/>
          <w:color w:val="000000"/>
          <w:sz w:val="23"/>
          <w:szCs w:val="23"/>
        </w:rPr>
        <w:t>Required pre-/posttest match percentages:</w:t>
      </w:r>
    </w:p>
    <w:p w14:paraId="00BDDF00" w14:textId="77777777" w:rsidR="00F8503D" w:rsidRDefault="0033067D" w:rsidP="0E6AD713">
      <w:pPr>
        <w:pBdr>
          <w:top w:val="nil"/>
          <w:left w:val="nil"/>
          <w:bottom w:val="nil"/>
          <w:right w:val="nil"/>
          <w:between w:val="nil"/>
        </w:pBdr>
        <w:spacing w:after="160" w:line="276" w:lineRule="auto"/>
        <w:ind w:left="720"/>
        <w:rPr>
          <w:rFonts w:ascii="Verdana" w:eastAsia="Verdana" w:hAnsi="Verdana" w:cs="Verdana"/>
          <w:color w:val="000000"/>
          <w:sz w:val="23"/>
          <w:szCs w:val="23"/>
        </w:rPr>
      </w:pPr>
      <w:r w:rsidRPr="0E6AD713">
        <w:rPr>
          <w:rFonts w:ascii="Verdana" w:eastAsia="Verdana" w:hAnsi="Verdana" w:cs="Verdana"/>
          <w:color w:val="000000" w:themeColor="text1"/>
          <w:sz w:val="23"/>
          <w:szCs w:val="23"/>
        </w:rPr>
        <w:t>Programs must have a pre-/posttest match rate as prescribed in the table below. Percentages are based on the number of Title II Participants reported in the federal NRS tables.</w:t>
      </w:r>
    </w:p>
    <w:p w14:paraId="0DFD56A9" w14:textId="2E7EA3C6" w:rsidR="0E6AD713" w:rsidRDefault="0E6AD713">
      <w:r>
        <w:br w:type="page"/>
      </w:r>
    </w:p>
    <w:p w14:paraId="46316B90" w14:textId="27AEB8CD" w:rsidR="0E6AD713" w:rsidRDefault="0E6AD713" w:rsidP="0E6AD713">
      <w:pPr>
        <w:pBdr>
          <w:top w:val="nil"/>
          <w:left w:val="nil"/>
          <w:bottom w:val="nil"/>
          <w:right w:val="nil"/>
          <w:between w:val="nil"/>
        </w:pBdr>
        <w:spacing w:after="160" w:line="276" w:lineRule="auto"/>
        <w:ind w:left="720"/>
        <w:rPr>
          <w:rFonts w:ascii="Verdana" w:eastAsia="Verdana" w:hAnsi="Verdana" w:cs="Verdana"/>
          <w:color w:val="000000" w:themeColor="text1"/>
          <w:sz w:val="23"/>
          <w:szCs w:val="23"/>
        </w:rPr>
      </w:pPr>
    </w:p>
    <w:tbl>
      <w:tblPr>
        <w:tblW w:w="90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680"/>
        <w:gridCol w:w="945"/>
        <w:gridCol w:w="870"/>
        <w:gridCol w:w="915"/>
        <w:gridCol w:w="870"/>
        <w:gridCol w:w="970"/>
        <w:gridCol w:w="870"/>
        <w:gridCol w:w="975"/>
        <w:gridCol w:w="905"/>
      </w:tblGrid>
      <w:tr w:rsidR="00F8503D" w14:paraId="72FA0F87" w14:textId="77777777" w:rsidTr="00DE680A">
        <w:trPr>
          <w:trHeight w:val="440"/>
          <w:jc w:val="center"/>
        </w:trPr>
        <w:tc>
          <w:tcPr>
            <w:tcW w:w="9000" w:type="dxa"/>
            <w:gridSpan w:val="9"/>
            <w:shd w:val="clear" w:color="auto" w:fill="6D9E75"/>
            <w:vAlign w:val="center"/>
          </w:tcPr>
          <w:p w14:paraId="0F20A8D8" w14:textId="77777777" w:rsidR="00F8503D" w:rsidRDefault="0033067D">
            <w:pPr>
              <w:spacing w:before="84"/>
              <w:ind w:left="270"/>
              <w:jc w:val="center"/>
              <w:rPr>
                <w:rFonts w:ascii="Verdana" w:eastAsia="Verdana" w:hAnsi="Verdana" w:cs="Verdana"/>
                <w:b/>
                <w:bCs/>
                <w:sz w:val="20"/>
                <w:szCs w:val="20"/>
              </w:rPr>
            </w:pPr>
            <w:r>
              <w:rPr>
                <w:rFonts w:ascii="Verdana" w:eastAsia="Verdana" w:hAnsi="Verdana" w:cs="Verdana"/>
                <w:b/>
                <w:bCs/>
                <w:sz w:val="20"/>
                <w:szCs w:val="20"/>
              </w:rPr>
              <w:t>Pre-/Post-Test Match Rate</w:t>
            </w:r>
          </w:p>
        </w:tc>
      </w:tr>
      <w:tr w:rsidR="00F8503D" w14:paraId="7E9EF6B1" w14:textId="77777777" w:rsidTr="00DE680A">
        <w:trPr>
          <w:trHeight w:val="449"/>
          <w:jc w:val="center"/>
        </w:trPr>
        <w:tc>
          <w:tcPr>
            <w:tcW w:w="1680" w:type="dxa"/>
            <w:shd w:val="clear" w:color="auto" w:fill="4EA9AF"/>
          </w:tcPr>
          <w:p w14:paraId="7E32A80F" w14:textId="77777777" w:rsidR="00F8503D" w:rsidRDefault="00F8503D">
            <w:pPr>
              <w:rPr>
                <w:rFonts w:ascii="Verdana" w:eastAsia="Verdana" w:hAnsi="Verdana" w:cs="Verdana"/>
                <w:sz w:val="20"/>
                <w:szCs w:val="20"/>
              </w:rPr>
            </w:pPr>
          </w:p>
        </w:tc>
        <w:tc>
          <w:tcPr>
            <w:tcW w:w="1815" w:type="dxa"/>
            <w:gridSpan w:val="2"/>
            <w:shd w:val="clear" w:color="auto" w:fill="4EA9AF"/>
            <w:vAlign w:val="center"/>
          </w:tcPr>
          <w:p w14:paraId="78665356" w14:textId="2D4FE048" w:rsidR="00F8503D" w:rsidRDefault="3712C098">
            <w:pPr>
              <w:jc w:val="center"/>
              <w:rPr>
                <w:rFonts w:ascii="Verdana" w:eastAsia="Verdana" w:hAnsi="Verdana" w:cs="Verdana"/>
                <w:b/>
                <w:bCs/>
                <w:sz w:val="20"/>
                <w:szCs w:val="20"/>
              </w:rPr>
            </w:pPr>
            <w:r w:rsidRPr="0E6AD713">
              <w:rPr>
                <w:rFonts w:ascii="Verdana" w:eastAsia="Verdana" w:hAnsi="Verdana" w:cs="Verdana"/>
                <w:b/>
                <w:bCs/>
                <w:sz w:val="20"/>
                <w:szCs w:val="20"/>
              </w:rPr>
              <w:t>2023-24</w:t>
            </w:r>
          </w:p>
        </w:tc>
        <w:tc>
          <w:tcPr>
            <w:tcW w:w="1785" w:type="dxa"/>
            <w:gridSpan w:val="2"/>
            <w:shd w:val="clear" w:color="auto" w:fill="4EA9AF"/>
            <w:vAlign w:val="center"/>
          </w:tcPr>
          <w:p w14:paraId="08980F3E" w14:textId="51AB6997" w:rsidR="00F8503D" w:rsidRDefault="0033067D" w:rsidP="0E6AD713">
            <w:pPr>
              <w:spacing w:line="259" w:lineRule="auto"/>
              <w:jc w:val="center"/>
              <w:rPr>
                <w:rFonts w:ascii="Verdana" w:eastAsia="Verdana" w:hAnsi="Verdana" w:cs="Verdana"/>
                <w:sz w:val="20"/>
                <w:szCs w:val="20"/>
              </w:rPr>
            </w:pPr>
            <w:r w:rsidRPr="0E6AD713">
              <w:rPr>
                <w:rFonts w:ascii="Verdana" w:eastAsia="Verdana" w:hAnsi="Verdana" w:cs="Verdana"/>
                <w:b/>
                <w:bCs/>
                <w:sz w:val="20"/>
                <w:szCs w:val="20"/>
              </w:rPr>
              <w:t>202</w:t>
            </w:r>
            <w:r w:rsidR="6A91CC33" w:rsidRPr="0E6AD713">
              <w:rPr>
                <w:rFonts w:ascii="Verdana" w:eastAsia="Verdana" w:hAnsi="Verdana" w:cs="Verdana"/>
                <w:b/>
                <w:bCs/>
                <w:sz w:val="20"/>
                <w:szCs w:val="20"/>
              </w:rPr>
              <w:t>4</w:t>
            </w:r>
            <w:r w:rsidRPr="0E6AD713">
              <w:rPr>
                <w:rFonts w:ascii="Verdana" w:eastAsia="Verdana" w:hAnsi="Verdana" w:cs="Verdana"/>
                <w:b/>
                <w:bCs/>
                <w:sz w:val="20"/>
                <w:szCs w:val="20"/>
              </w:rPr>
              <w:t>-2</w:t>
            </w:r>
            <w:r w:rsidR="61408938" w:rsidRPr="0E6AD713">
              <w:rPr>
                <w:rFonts w:ascii="Verdana" w:eastAsia="Verdana" w:hAnsi="Verdana" w:cs="Verdana"/>
                <w:b/>
                <w:bCs/>
                <w:sz w:val="20"/>
                <w:szCs w:val="20"/>
              </w:rPr>
              <w:t>5</w:t>
            </w:r>
          </w:p>
        </w:tc>
        <w:tc>
          <w:tcPr>
            <w:tcW w:w="1840" w:type="dxa"/>
            <w:gridSpan w:val="2"/>
            <w:shd w:val="clear" w:color="auto" w:fill="4EA9AF"/>
            <w:vAlign w:val="center"/>
          </w:tcPr>
          <w:p w14:paraId="4C8D80E2" w14:textId="66E5CACC" w:rsidR="00F8503D" w:rsidRDefault="0033067D" w:rsidP="0E6AD713">
            <w:pPr>
              <w:spacing w:line="259" w:lineRule="auto"/>
              <w:jc w:val="center"/>
              <w:rPr>
                <w:rFonts w:ascii="Verdana" w:eastAsia="Verdana" w:hAnsi="Verdana" w:cs="Verdana"/>
                <w:sz w:val="20"/>
                <w:szCs w:val="20"/>
              </w:rPr>
            </w:pPr>
            <w:r w:rsidRPr="0E6AD713">
              <w:rPr>
                <w:rFonts w:ascii="Verdana" w:eastAsia="Verdana" w:hAnsi="Verdana" w:cs="Verdana"/>
                <w:b/>
                <w:bCs/>
                <w:sz w:val="20"/>
                <w:szCs w:val="20"/>
              </w:rPr>
              <w:t>202</w:t>
            </w:r>
            <w:r w:rsidR="26ABF5A7" w:rsidRPr="0E6AD713">
              <w:rPr>
                <w:rFonts w:ascii="Verdana" w:eastAsia="Verdana" w:hAnsi="Verdana" w:cs="Verdana"/>
                <w:b/>
                <w:bCs/>
                <w:sz w:val="20"/>
                <w:szCs w:val="20"/>
              </w:rPr>
              <w:t>5</w:t>
            </w:r>
            <w:r w:rsidRPr="0E6AD713">
              <w:rPr>
                <w:rFonts w:ascii="Verdana" w:eastAsia="Verdana" w:hAnsi="Verdana" w:cs="Verdana"/>
                <w:b/>
                <w:bCs/>
                <w:sz w:val="20"/>
                <w:szCs w:val="20"/>
              </w:rPr>
              <w:t>-2</w:t>
            </w:r>
            <w:r w:rsidR="221C0E22" w:rsidRPr="0E6AD713">
              <w:rPr>
                <w:rFonts w:ascii="Verdana" w:eastAsia="Verdana" w:hAnsi="Verdana" w:cs="Verdana"/>
                <w:b/>
                <w:bCs/>
                <w:sz w:val="20"/>
                <w:szCs w:val="20"/>
              </w:rPr>
              <w:t>6</w:t>
            </w:r>
          </w:p>
        </w:tc>
        <w:tc>
          <w:tcPr>
            <w:tcW w:w="1880" w:type="dxa"/>
            <w:gridSpan w:val="2"/>
            <w:shd w:val="clear" w:color="auto" w:fill="4EA9AF"/>
            <w:vAlign w:val="center"/>
          </w:tcPr>
          <w:p w14:paraId="6B964341" w14:textId="12B773B9" w:rsidR="00F8503D" w:rsidRDefault="0033067D" w:rsidP="0E6AD713">
            <w:pPr>
              <w:spacing w:line="259" w:lineRule="auto"/>
              <w:jc w:val="center"/>
              <w:rPr>
                <w:rFonts w:ascii="Verdana" w:eastAsia="Verdana" w:hAnsi="Verdana" w:cs="Verdana"/>
                <w:sz w:val="20"/>
                <w:szCs w:val="20"/>
              </w:rPr>
            </w:pPr>
            <w:r w:rsidRPr="0E6AD713">
              <w:rPr>
                <w:rFonts w:ascii="Verdana" w:eastAsia="Verdana" w:hAnsi="Verdana" w:cs="Verdana"/>
                <w:b/>
                <w:bCs/>
                <w:sz w:val="20"/>
                <w:szCs w:val="20"/>
              </w:rPr>
              <w:t>202</w:t>
            </w:r>
            <w:r w:rsidR="3BA10078" w:rsidRPr="0E6AD713">
              <w:rPr>
                <w:rFonts w:ascii="Verdana" w:eastAsia="Verdana" w:hAnsi="Verdana" w:cs="Verdana"/>
                <w:b/>
                <w:bCs/>
                <w:sz w:val="20"/>
                <w:szCs w:val="20"/>
              </w:rPr>
              <w:t>6</w:t>
            </w:r>
            <w:r w:rsidRPr="0E6AD713">
              <w:rPr>
                <w:rFonts w:ascii="Verdana" w:eastAsia="Verdana" w:hAnsi="Verdana" w:cs="Verdana"/>
                <w:b/>
                <w:bCs/>
                <w:sz w:val="20"/>
                <w:szCs w:val="20"/>
              </w:rPr>
              <w:t>-2</w:t>
            </w:r>
            <w:r w:rsidR="337C0485" w:rsidRPr="0E6AD713">
              <w:rPr>
                <w:rFonts w:ascii="Verdana" w:eastAsia="Verdana" w:hAnsi="Verdana" w:cs="Verdana"/>
                <w:b/>
                <w:bCs/>
                <w:sz w:val="20"/>
                <w:szCs w:val="20"/>
              </w:rPr>
              <w:t>7</w:t>
            </w:r>
          </w:p>
        </w:tc>
      </w:tr>
      <w:tr w:rsidR="00F8503D" w14:paraId="40A07591" w14:textId="77777777" w:rsidTr="00DE680A">
        <w:trPr>
          <w:trHeight w:val="705"/>
          <w:jc w:val="center"/>
        </w:trPr>
        <w:tc>
          <w:tcPr>
            <w:tcW w:w="1680" w:type="dxa"/>
            <w:vAlign w:val="center"/>
          </w:tcPr>
          <w:p w14:paraId="336ADBAA" w14:textId="77777777" w:rsidR="00F8503D" w:rsidRDefault="0033067D">
            <w:pPr>
              <w:spacing w:before="195"/>
              <w:rPr>
                <w:rFonts w:ascii="Verdana" w:eastAsia="Verdana" w:hAnsi="Verdana" w:cs="Verdana"/>
                <w:sz w:val="20"/>
                <w:szCs w:val="20"/>
              </w:rPr>
            </w:pPr>
            <w:r>
              <w:rPr>
                <w:rFonts w:ascii="Verdana" w:eastAsia="Verdana" w:hAnsi="Verdana" w:cs="Verdana"/>
                <w:sz w:val="20"/>
                <w:szCs w:val="20"/>
              </w:rPr>
              <w:t>Performance Measure</w:t>
            </w:r>
          </w:p>
        </w:tc>
        <w:tc>
          <w:tcPr>
            <w:tcW w:w="945" w:type="dxa"/>
          </w:tcPr>
          <w:p w14:paraId="2579C9DF" w14:textId="42898B78" w:rsidR="00F8503D" w:rsidRDefault="0033067D">
            <w:pPr>
              <w:jc w:val="center"/>
              <w:rPr>
                <w:rFonts w:ascii="Verdana" w:eastAsia="Verdana" w:hAnsi="Verdana" w:cs="Verdana"/>
                <w:sz w:val="20"/>
                <w:szCs w:val="20"/>
              </w:rPr>
            </w:pPr>
            <w:r w:rsidRPr="3E748BBB">
              <w:rPr>
                <w:rFonts w:ascii="Verdana" w:eastAsia="Verdana" w:hAnsi="Verdana" w:cs="Verdana"/>
                <w:sz w:val="20"/>
                <w:szCs w:val="20"/>
              </w:rPr>
              <w:t>Targe</w:t>
            </w:r>
            <w:r w:rsidR="71EB2827" w:rsidRPr="3E748BBB">
              <w:rPr>
                <w:rFonts w:ascii="Verdana" w:eastAsia="Verdana" w:hAnsi="Verdana" w:cs="Verdana"/>
                <w:sz w:val="20"/>
                <w:szCs w:val="20"/>
              </w:rPr>
              <w:t>t</w:t>
            </w:r>
          </w:p>
        </w:tc>
        <w:tc>
          <w:tcPr>
            <w:tcW w:w="870" w:type="dxa"/>
          </w:tcPr>
          <w:p w14:paraId="4C4243EE" w14:textId="77777777" w:rsidR="00F8503D" w:rsidRDefault="0033067D">
            <w:pPr>
              <w:jc w:val="center"/>
              <w:rPr>
                <w:rFonts w:ascii="Verdana" w:eastAsia="Verdana" w:hAnsi="Verdana" w:cs="Verdana"/>
                <w:sz w:val="20"/>
                <w:szCs w:val="20"/>
              </w:rPr>
            </w:pPr>
            <w:r>
              <w:rPr>
                <w:rFonts w:ascii="Verdana" w:eastAsia="Verdana" w:hAnsi="Verdana" w:cs="Verdana"/>
                <w:sz w:val="20"/>
                <w:szCs w:val="20"/>
              </w:rPr>
              <w:t>Actual</w:t>
            </w:r>
          </w:p>
        </w:tc>
        <w:tc>
          <w:tcPr>
            <w:tcW w:w="915" w:type="dxa"/>
          </w:tcPr>
          <w:p w14:paraId="2534EC16" w14:textId="77777777" w:rsidR="00F8503D" w:rsidRDefault="0033067D">
            <w:pPr>
              <w:jc w:val="center"/>
              <w:rPr>
                <w:rFonts w:ascii="Verdana" w:eastAsia="Verdana" w:hAnsi="Verdana" w:cs="Verdana"/>
                <w:sz w:val="20"/>
                <w:szCs w:val="20"/>
              </w:rPr>
            </w:pPr>
            <w:r>
              <w:rPr>
                <w:rFonts w:ascii="Verdana" w:eastAsia="Verdana" w:hAnsi="Verdana" w:cs="Verdana"/>
                <w:sz w:val="20"/>
                <w:szCs w:val="20"/>
              </w:rPr>
              <w:t>Target</w:t>
            </w:r>
          </w:p>
        </w:tc>
        <w:tc>
          <w:tcPr>
            <w:tcW w:w="870" w:type="dxa"/>
          </w:tcPr>
          <w:p w14:paraId="7A51CDAC" w14:textId="77777777" w:rsidR="00F8503D" w:rsidRDefault="0033067D">
            <w:pPr>
              <w:jc w:val="center"/>
              <w:rPr>
                <w:rFonts w:ascii="Verdana" w:eastAsia="Verdana" w:hAnsi="Verdana" w:cs="Verdana"/>
                <w:sz w:val="20"/>
                <w:szCs w:val="20"/>
              </w:rPr>
            </w:pPr>
            <w:r>
              <w:rPr>
                <w:rFonts w:ascii="Verdana" w:eastAsia="Verdana" w:hAnsi="Verdana" w:cs="Verdana"/>
                <w:sz w:val="20"/>
                <w:szCs w:val="20"/>
              </w:rPr>
              <w:t>Actual</w:t>
            </w:r>
          </w:p>
        </w:tc>
        <w:tc>
          <w:tcPr>
            <w:tcW w:w="970" w:type="dxa"/>
          </w:tcPr>
          <w:p w14:paraId="2F4C3CD7" w14:textId="77777777" w:rsidR="00F8503D" w:rsidRDefault="0033067D">
            <w:pPr>
              <w:spacing w:before="4"/>
              <w:jc w:val="center"/>
              <w:rPr>
                <w:rFonts w:ascii="Verdana" w:eastAsia="Verdana" w:hAnsi="Verdana" w:cs="Verdana"/>
                <w:sz w:val="20"/>
                <w:szCs w:val="20"/>
              </w:rPr>
            </w:pPr>
            <w:r>
              <w:rPr>
                <w:rFonts w:ascii="Verdana" w:eastAsia="Verdana" w:hAnsi="Verdana" w:cs="Verdana"/>
                <w:sz w:val="20"/>
                <w:szCs w:val="20"/>
              </w:rPr>
              <w:t>Target</w:t>
            </w:r>
          </w:p>
        </w:tc>
        <w:tc>
          <w:tcPr>
            <w:tcW w:w="870" w:type="dxa"/>
          </w:tcPr>
          <w:p w14:paraId="1AC6D99A" w14:textId="77777777" w:rsidR="00F8503D" w:rsidRDefault="0033067D">
            <w:pPr>
              <w:spacing w:before="4"/>
              <w:jc w:val="center"/>
              <w:rPr>
                <w:rFonts w:ascii="Verdana" w:eastAsia="Verdana" w:hAnsi="Verdana" w:cs="Verdana"/>
                <w:sz w:val="20"/>
                <w:szCs w:val="20"/>
              </w:rPr>
            </w:pPr>
            <w:r>
              <w:rPr>
                <w:rFonts w:ascii="Verdana" w:eastAsia="Verdana" w:hAnsi="Verdana" w:cs="Verdana"/>
                <w:sz w:val="20"/>
                <w:szCs w:val="20"/>
              </w:rPr>
              <w:t>Actual</w:t>
            </w:r>
          </w:p>
        </w:tc>
        <w:tc>
          <w:tcPr>
            <w:tcW w:w="975" w:type="dxa"/>
          </w:tcPr>
          <w:p w14:paraId="5996A616" w14:textId="77777777" w:rsidR="00F8503D" w:rsidRDefault="0033067D">
            <w:pPr>
              <w:spacing w:before="4"/>
              <w:ind w:right="30"/>
              <w:jc w:val="center"/>
              <w:rPr>
                <w:rFonts w:ascii="Verdana" w:eastAsia="Verdana" w:hAnsi="Verdana" w:cs="Verdana"/>
                <w:sz w:val="20"/>
                <w:szCs w:val="20"/>
              </w:rPr>
            </w:pPr>
            <w:r>
              <w:rPr>
                <w:rFonts w:ascii="Verdana" w:eastAsia="Verdana" w:hAnsi="Verdana" w:cs="Verdana"/>
                <w:sz w:val="20"/>
                <w:szCs w:val="20"/>
              </w:rPr>
              <w:t>Target</w:t>
            </w:r>
          </w:p>
        </w:tc>
        <w:tc>
          <w:tcPr>
            <w:tcW w:w="905" w:type="dxa"/>
          </w:tcPr>
          <w:p w14:paraId="036E7C3A" w14:textId="77777777" w:rsidR="00F8503D" w:rsidRDefault="0033067D">
            <w:pPr>
              <w:spacing w:before="4"/>
              <w:jc w:val="center"/>
              <w:rPr>
                <w:rFonts w:ascii="Verdana" w:eastAsia="Verdana" w:hAnsi="Verdana" w:cs="Verdana"/>
                <w:sz w:val="20"/>
                <w:szCs w:val="20"/>
              </w:rPr>
            </w:pPr>
            <w:r>
              <w:rPr>
                <w:rFonts w:ascii="Verdana" w:eastAsia="Verdana" w:hAnsi="Verdana" w:cs="Verdana"/>
                <w:sz w:val="20"/>
                <w:szCs w:val="20"/>
              </w:rPr>
              <w:t>Actual</w:t>
            </w:r>
          </w:p>
        </w:tc>
      </w:tr>
      <w:tr w:rsidR="00F8503D" w14:paraId="1147AB92" w14:textId="77777777" w:rsidTr="2BF15918">
        <w:trPr>
          <w:trHeight w:val="530"/>
          <w:jc w:val="center"/>
        </w:trPr>
        <w:tc>
          <w:tcPr>
            <w:tcW w:w="1680" w:type="dxa"/>
            <w:vAlign w:val="center"/>
          </w:tcPr>
          <w:p w14:paraId="66CB13DD" w14:textId="4022A2B1" w:rsidR="00F8503D" w:rsidRDefault="0033067D">
            <w:pPr>
              <w:spacing w:before="1"/>
              <w:rPr>
                <w:rFonts w:ascii="Verdana" w:eastAsia="Verdana" w:hAnsi="Verdana" w:cs="Verdana"/>
                <w:sz w:val="20"/>
                <w:szCs w:val="20"/>
              </w:rPr>
            </w:pPr>
            <w:r w:rsidRPr="3E748BBB">
              <w:rPr>
                <w:rFonts w:ascii="Verdana" w:eastAsia="Verdana" w:hAnsi="Verdana" w:cs="Verdana"/>
                <w:sz w:val="20"/>
                <w:szCs w:val="20"/>
              </w:rPr>
              <w:t>ABE</w:t>
            </w:r>
            <w:r w:rsidR="7E60E801" w:rsidRPr="3E748BBB">
              <w:rPr>
                <w:rFonts w:ascii="Verdana" w:eastAsia="Verdana" w:hAnsi="Verdana" w:cs="Verdana"/>
                <w:sz w:val="20"/>
                <w:szCs w:val="20"/>
              </w:rPr>
              <w:t xml:space="preserve"> (ABE Levels 1-4)</w:t>
            </w:r>
          </w:p>
        </w:tc>
        <w:tc>
          <w:tcPr>
            <w:tcW w:w="945" w:type="dxa"/>
            <w:vAlign w:val="center"/>
          </w:tcPr>
          <w:p w14:paraId="38D28566" w14:textId="77777777" w:rsidR="0E6AD713" w:rsidRDefault="0E6AD713" w:rsidP="0E6AD713">
            <w:pPr>
              <w:spacing w:before="2"/>
              <w:jc w:val="center"/>
              <w:rPr>
                <w:rFonts w:ascii="Verdana" w:eastAsia="Verdana" w:hAnsi="Verdana" w:cs="Verdana"/>
                <w:sz w:val="20"/>
                <w:szCs w:val="20"/>
              </w:rPr>
            </w:pPr>
            <w:r w:rsidRPr="0E6AD713">
              <w:rPr>
                <w:rFonts w:ascii="Verdana" w:eastAsia="Verdana" w:hAnsi="Verdana" w:cs="Verdana"/>
                <w:sz w:val="20"/>
                <w:szCs w:val="20"/>
              </w:rPr>
              <w:t>45%</w:t>
            </w:r>
          </w:p>
        </w:tc>
        <w:tc>
          <w:tcPr>
            <w:tcW w:w="870" w:type="dxa"/>
            <w:shd w:val="clear" w:color="auto" w:fill="DADADA"/>
            <w:vAlign w:val="center"/>
          </w:tcPr>
          <w:p w14:paraId="1141BDD4" w14:textId="77777777" w:rsidR="0E6AD713" w:rsidRDefault="0E6AD713" w:rsidP="0E6AD713">
            <w:pPr>
              <w:spacing w:before="11"/>
              <w:jc w:val="center"/>
              <w:rPr>
                <w:rFonts w:ascii="Verdana" w:eastAsia="Verdana" w:hAnsi="Verdana" w:cs="Verdana"/>
                <w:sz w:val="20"/>
                <w:szCs w:val="20"/>
              </w:rPr>
            </w:pPr>
            <w:r w:rsidRPr="0E6AD713">
              <w:rPr>
                <w:rFonts w:ascii="Verdana" w:eastAsia="Verdana" w:hAnsi="Verdana" w:cs="Verdana"/>
                <w:sz w:val="20"/>
                <w:szCs w:val="20"/>
              </w:rPr>
              <w:t>51%</w:t>
            </w:r>
          </w:p>
        </w:tc>
        <w:tc>
          <w:tcPr>
            <w:tcW w:w="915" w:type="dxa"/>
            <w:vAlign w:val="center"/>
          </w:tcPr>
          <w:p w14:paraId="3145FDCE" w14:textId="77777777" w:rsidR="0E6AD713" w:rsidRDefault="0E6AD713" w:rsidP="0E6AD713">
            <w:pPr>
              <w:spacing w:before="2"/>
              <w:jc w:val="center"/>
              <w:rPr>
                <w:rFonts w:ascii="Verdana" w:eastAsia="Verdana" w:hAnsi="Verdana" w:cs="Verdana"/>
                <w:sz w:val="20"/>
                <w:szCs w:val="20"/>
              </w:rPr>
            </w:pPr>
            <w:r w:rsidRPr="0E6AD713">
              <w:rPr>
                <w:rFonts w:ascii="Verdana" w:eastAsia="Verdana" w:hAnsi="Verdana" w:cs="Verdana"/>
                <w:sz w:val="20"/>
                <w:szCs w:val="20"/>
              </w:rPr>
              <w:t>47%</w:t>
            </w:r>
          </w:p>
        </w:tc>
        <w:tc>
          <w:tcPr>
            <w:tcW w:w="870" w:type="dxa"/>
            <w:shd w:val="clear" w:color="auto" w:fill="DADADA"/>
            <w:vAlign w:val="center"/>
          </w:tcPr>
          <w:p w14:paraId="7B5FC1DA" w14:textId="16212287" w:rsidR="0E6AD713" w:rsidRDefault="79E989FC" w:rsidP="0E6AD713">
            <w:pPr>
              <w:spacing w:before="11"/>
              <w:jc w:val="center"/>
              <w:rPr>
                <w:rFonts w:ascii="Verdana" w:eastAsia="Verdana" w:hAnsi="Verdana" w:cs="Verdana"/>
                <w:sz w:val="20"/>
                <w:szCs w:val="20"/>
              </w:rPr>
            </w:pPr>
            <w:r w:rsidRPr="3E748BBB">
              <w:rPr>
                <w:rFonts w:ascii="Verdana" w:eastAsia="Verdana" w:hAnsi="Verdana" w:cs="Verdana"/>
                <w:sz w:val="20"/>
                <w:szCs w:val="20"/>
              </w:rPr>
              <w:t>53%</w:t>
            </w:r>
          </w:p>
        </w:tc>
        <w:tc>
          <w:tcPr>
            <w:tcW w:w="970" w:type="dxa"/>
            <w:vAlign w:val="center"/>
          </w:tcPr>
          <w:p w14:paraId="4AC862B3" w14:textId="77777777" w:rsidR="0E6AD713" w:rsidRDefault="0E6AD713" w:rsidP="0E6AD713">
            <w:pPr>
              <w:spacing w:before="2"/>
              <w:jc w:val="center"/>
              <w:rPr>
                <w:rFonts w:ascii="Verdana" w:eastAsia="Verdana" w:hAnsi="Verdana" w:cs="Verdana"/>
                <w:sz w:val="20"/>
                <w:szCs w:val="20"/>
              </w:rPr>
            </w:pPr>
            <w:r w:rsidRPr="0E6AD713">
              <w:rPr>
                <w:rFonts w:ascii="Verdana" w:eastAsia="Verdana" w:hAnsi="Verdana" w:cs="Verdana"/>
                <w:sz w:val="20"/>
                <w:szCs w:val="20"/>
              </w:rPr>
              <w:t>50%</w:t>
            </w:r>
          </w:p>
        </w:tc>
        <w:tc>
          <w:tcPr>
            <w:tcW w:w="870" w:type="dxa"/>
            <w:shd w:val="clear" w:color="auto" w:fill="DADADA"/>
            <w:vAlign w:val="center"/>
          </w:tcPr>
          <w:p w14:paraId="6DC0AAF3" w14:textId="182A83C6" w:rsidR="0E6AD713" w:rsidRDefault="5E67EA9D" w:rsidP="0E6AD713">
            <w:pPr>
              <w:spacing w:before="11"/>
              <w:jc w:val="center"/>
              <w:rPr>
                <w:rFonts w:ascii="Verdana" w:eastAsia="Verdana" w:hAnsi="Verdana" w:cs="Verdana"/>
                <w:sz w:val="20"/>
                <w:szCs w:val="20"/>
              </w:rPr>
            </w:pPr>
            <w:r w:rsidRPr="099A0C61">
              <w:rPr>
                <w:rFonts w:ascii="Verdana" w:eastAsia="Verdana" w:hAnsi="Verdana" w:cs="Verdana"/>
                <w:sz w:val="20"/>
                <w:szCs w:val="20"/>
              </w:rPr>
              <w:t>TBD</w:t>
            </w:r>
          </w:p>
        </w:tc>
        <w:tc>
          <w:tcPr>
            <w:tcW w:w="975" w:type="dxa"/>
            <w:vAlign w:val="center"/>
          </w:tcPr>
          <w:p w14:paraId="66E3E7ED" w14:textId="05FFBB12" w:rsidR="00F8503D" w:rsidRDefault="291D449F">
            <w:pPr>
              <w:spacing w:before="2"/>
              <w:jc w:val="center"/>
              <w:rPr>
                <w:rFonts w:ascii="Verdana" w:eastAsia="Verdana" w:hAnsi="Verdana" w:cs="Verdana"/>
                <w:sz w:val="20"/>
                <w:szCs w:val="20"/>
              </w:rPr>
            </w:pPr>
            <w:r w:rsidRPr="5E20CD5A">
              <w:rPr>
                <w:rFonts w:ascii="Verdana" w:eastAsia="Verdana" w:hAnsi="Verdana" w:cs="Verdana"/>
                <w:sz w:val="20"/>
                <w:szCs w:val="20"/>
              </w:rPr>
              <w:t>55%</w:t>
            </w:r>
          </w:p>
        </w:tc>
        <w:tc>
          <w:tcPr>
            <w:tcW w:w="905" w:type="dxa"/>
            <w:shd w:val="clear" w:color="auto" w:fill="DADADA"/>
            <w:vAlign w:val="center"/>
          </w:tcPr>
          <w:p w14:paraId="0BCFD4F8" w14:textId="3E6FD38F" w:rsidR="2BF15918" w:rsidRPr="2BF15918" w:rsidRDefault="2BF15918" w:rsidP="2BF15918">
            <w:pPr>
              <w:spacing w:before="11"/>
              <w:jc w:val="center"/>
              <w:rPr>
                <w:rFonts w:ascii="Verdana" w:eastAsia="Verdana" w:hAnsi="Verdana" w:cs="Verdana"/>
                <w:sz w:val="20"/>
                <w:szCs w:val="20"/>
              </w:rPr>
            </w:pPr>
            <w:r w:rsidRPr="2BF15918">
              <w:rPr>
                <w:rFonts w:ascii="Verdana" w:eastAsia="Verdana" w:hAnsi="Verdana" w:cs="Verdana"/>
                <w:sz w:val="20"/>
                <w:szCs w:val="20"/>
              </w:rPr>
              <w:t>TBD</w:t>
            </w:r>
          </w:p>
        </w:tc>
      </w:tr>
      <w:tr w:rsidR="00F8503D" w14:paraId="76CD00FE" w14:textId="77777777" w:rsidTr="2BF15918">
        <w:trPr>
          <w:trHeight w:val="530"/>
          <w:jc w:val="center"/>
        </w:trPr>
        <w:tc>
          <w:tcPr>
            <w:tcW w:w="1680" w:type="dxa"/>
            <w:vAlign w:val="center"/>
          </w:tcPr>
          <w:p w14:paraId="058DBE4F" w14:textId="1614CDEE" w:rsidR="00F8503D" w:rsidRDefault="0033067D">
            <w:pPr>
              <w:spacing w:before="1"/>
              <w:rPr>
                <w:rFonts w:ascii="Verdana" w:eastAsia="Verdana" w:hAnsi="Verdana" w:cs="Verdana"/>
                <w:sz w:val="20"/>
                <w:szCs w:val="20"/>
              </w:rPr>
            </w:pPr>
            <w:r w:rsidRPr="3E748BBB">
              <w:rPr>
                <w:rFonts w:ascii="Verdana" w:eastAsia="Verdana" w:hAnsi="Verdana" w:cs="Verdana"/>
                <w:sz w:val="20"/>
                <w:szCs w:val="20"/>
              </w:rPr>
              <w:t>ASE</w:t>
            </w:r>
            <w:r w:rsidR="68936E6E" w:rsidRPr="3E748BBB">
              <w:rPr>
                <w:rFonts w:ascii="Verdana" w:eastAsia="Verdana" w:hAnsi="Verdana" w:cs="Verdana"/>
                <w:sz w:val="20"/>
                <w:szCs w:val="20"/>
              </w:rPr>
              <w:t xml:space="preserve"> (ABE Level 5)</w:t>
            </w:r>
          </w:p>
        </w:tc>
        <w:tc>
          <w:tcPr>
            <w:tcW w:w="945" w:type="dxa"/>
            <w:vAlign w:val="center"/>
          </w:tcPr>
          <w:p w14:paraId="3020DA7A" w14:textId="77777777" w:rsidR="0E6AD713" w:rsidRDefault="0E6AD713" w:rsidP="0E6AD713">
            <w:pPr>
              <w:spacing w:before="1"/>
              <w:jc w:val="center"/>
              <w:rPr>
                <w:rFonts w:ascii="Verdana" w:eastAsia="Verdana" w:hAnsi="Verdana" w:cs="Verdana"/>
                <w:sz w:val="20"/>
                <w:szCs w:val="20"/>
              </w:rPr>
            </w:pPr>
            <w:r w:rsidRPr="0E6AD713">
              <w:rPr>
                <w:rFonts w:ascii="Verdana" w:eastAsia="Verdana" w:hAnsi="Verdana" w:cs="Verdana"/>
                <w:sz w:val="20"/>
                <w:szCs w:val="20"/>
              </w:rPr>
              <w:t>26%</w:t>
            </w:r>
          </w:p>
        </w:tc>
        <w:tc>
          <w:tcPr>
            <w:tcW w:w="870" w:type="dxa"/>
            <w:shd w:val="clear" w:color="auto" w:fill="DADADA"/>
            <w:vAlign w:val="center"/>
          </w:tcPr>
          <w:p w14:paraId="702BB2FE" w14:textId="620EA013" w:rsidR="0E6AD713" w:rsidRDefault="31CA950B" w:rsidP="00DE680A">
            <w:pPr>
              <w:spacing w:before="11" w:line="259" w:lineRule="auto"/>
              <w:jc w:val="center"/>
              <w:rPr>
                <w:rFonts w:ascii="Verdana" w:eastAsia="Verdana" w:hAnsi="Verdana" w:cs="Verdana"/>
                <w:sz w:val="20"/>
                <w:szCs w:val="20"/>
              </w:rPr>
            </w:pPr>
            <w:r w:rsidRPr="3E748BBB">
              <w:rPr>
                <w:rFonts w:ascii="Verdana" w:eastAsia="Verdana" w:hAnsi="Verdana" w:cs="Verdana"/>
                <w:sz w:val="20"/>
                <w:szCs w:val="20"/>
              </w:rPr>
              <w:t>38</w:t>
            </w:r>
            <w:r w:rsidR="0E6AD713" w:rsidRPr="0E6AD713">
              <w:rPr>
                <w:rFonts w:ascii="Verdana" w:eastAsia="Verdana" w:hAnsi="Verdana" w:cs="Verdana"/>
                <w:sz w:val="20"/>
                <w:szCs w:val="20"/>
              </w:rPr>
              <w:t>%</w:t>
            </w:r>
          </w:p>
        </w:tc>
        <w:tc>
          <w:tcPr>
            <w:tcW w:w="915" w:type="dxa"/>
            <w:vAlign w:val="center"/>
          </w:tcPr>
          <w:p w14:paraId="550D70D1" w14:textId="77777777" w:rsidR="0E6AD713" w:rsidRDefault="0E6AD713" w:rsidP="0E6AD713">
            <w:pPr>
              <w:spacing w:before="1"/>
              <w:jc w:val="center"/>
              <w:rPr>
                <w:rFonts w:ascii="Verdana" w:eastAsia="Verdana" w:hAnsi="Verdana" w:cs="Verdana"/>
                <w:sz w:val="20"/>
                <w:szCs w:val="20"/>
              </w:rPr>
            </w:pPr>
            <w:r w:rsidRPr="0E6AD713">
              <w:rPr>
                <w:rFonts w:ascii="Verdana" w:eastAsia="Verdana" w:hAnsi="Verdana" w:cs="Verdana"/>
                <w:sz w:val="20"/>
                <w:szCs w:val="20"/>
              </w:rPr>
              <w:t>28%</w:t>
            </w:r>
          </w:p>
        </w:tc>
        <w:tc>
          <w:tcPr>
            <w:tcW w:w="870" w:type="dxa"/>
            <w:shd w:val="clear" w:color="auto" w:fill="DADADA"/>
            <w:vAlign w:val="center"/>
          </w:tcPr>
          <w:p w14:paraId="11148A0C" w14:textId="164FD97E" w:rsidR="0E6AD713" w:rsidRDefault="209154CA" w:rsidP="0E6AD713">
            <w:pPr>
              <w:spacing w:before="11"/>
              <w:jc w:val="center"/>
              <w:rPr>
                <w:rFonts w:ascii="Verdana" w:eastAsia="Verdana" w:hAnsi="Verdana" w:cs="Verdana"/>
                <w:sz w:val="20"/>
                <w:szCs w:val="20"/>
              </w:rPr>
            </w:pPr>
            <w:r w:rsidRPr="3E748BBB">
              <w:rPr>
                <w:rFonts w:ascii="Verdana" w:eastAsia="Verdana" w:hAnsi="Verdana" w:cs="Verdana"/>
                <w:sz w:val="20"/>
                <w:szCs w:val="20"/>
              </w:rPr>
              <w:t>38%</w:t>
            </w:r>
          </w:p>
        </w:tc>
        <w:tc>
          <w:tcPr>
            <w:tcW w:w="970" w:type="dxa"/>
            <w:vAlign w:val="center"/>
          </w:tcPr>
          <w:p w14:paraId="5DA7A829" w14:textId="77777777" w:rsidR="0E6AD713" w:rsidRDefault="0E6AD713" w:rsidP="0E6AD713">
            <w:pPr>
              <w:spacing w:before="1"/>
              <w:jc w:val="center"/>
              <w:rPr>
                <w:rFonts w:ascii="Verdana" w:eastAsia="Verdana" w:hAnsi="Verdana" w:cs="Verdana"/>
                <w:sz w:val="20"/>
                <w:szCs w:val="20"/>
              </w:rPr>
            </w:pPr>
            <w:r w:rsidRPr="0E6AD713">
              <w:rPr>
                <w:rFonts w:ascii="Verdana" w:eastAsia="Verdana" w:hAnsi="Verdana" w:cs="Verdana"/>
                <w:sz w:val="20"/>
                <w:szCs w:val="20"/>
              </w:rPr>
              <w:t>25%</w:t>
            </w:r>
          </w:p>
        </w:tc>
        <w:tc>
          <w:tcPr>
            <w:tcW w:w="870" w:type="dxa"/>
            <w:shd w:val="clear" w:color="auto" w:fill="DADADA"/>
            <w:vAlign w:val="center"/>
          </w:tcPr>
          <w:p w14:paraId="11AA6BB2" w14:textId="320E1414" w:rsidR="0E6AD713" w:rsidRDefault="09F132AE" w:rsidP="0E6AD713">
            <w:pPr>
              <w:spacing w:before="11"/>
              <w:jc w:val="center"/>
              <w:rPr>
                <w:rFonts w:ascii="Verdana" w:eastAsia="Verdana" w:hAnsi="Verdana" w:cs="Verdana"/>
                <w:sz w:val="20"/>
                <w:szCs w:val="20"/>
              </w:rPr>
            </w:pPr>
            <w:r w:rsidRPr="690907A2">
              <w:rPr>
                <w:rFonts w:ascii="Verdana" w:eastAsia="Verdana" w:hAnsi="Verdana" w:cs="Verdana"/>
                <w:sz w:val="20"/>
                <w:szCs w:val="20"/>
              </w:rPr>
              <w:t>TBD</w:t>
            </w:r>
          </w:p>
        </w:tc>
        <w:tc>
          <w:tcPr>
            <w:tcW w:w="975" w:type="dxa"/>
            <w:vAlign w:val="center"/>
          </w:tcPr>
          <w:p w14:paraId="27CCA7E7" w14:textId="7F8F12F3" w:rsidR="00F8503D" w:rsidRDefault="5110FE42">
            <w:pPr>
              <w:spacing w:before="1"/>
              <w:jc w:val="center"/>
              <w:rPr>
                <w:rFonts w:ascii="Verdana" w:eastAsia="Verdana" w:hAnsi="Verdana" w:cs="Verdana"/>
                <w:sz w:val="20"/>
                <w:szCs w:val="20"/>
              </w:rPr>
            </w:pPr>
            <w:r w:rsidRPr="5E20CD5A">
              <w:rPr>
                <w:rFonts w:ascii="Verdana" w:eastAsia="Verdana" w:hAnsi="Verdana" w:cs="Verdana"/>
                <w:sz w:val="20"/>
                <w:szCs w:val="20"/>
              </w:rPr>
              <w:t>27%</w:t>
            </w:r>
          </w:p>
        </w:tc>
        <w:tc>
          <w:tcPr>
            <w:tcW w:w="905" w:type="dxa"/>
            <w:shd w:val="clear" w:color="auto" w:fill="DADADA"/>
            <w:vAlign w:val="center"/>
          </w:tcPr>
          <w:p w14:paraId="44E85EC6" w14:textId="3C43B9AC" w:rsidR="2BF15918" w:rsidRPr="2BF15918" w:rsidRDefault="2BF15918" w:rsidP="2BF15918">
            <w:pPr>
              <w:spacing w:before="11"/>
              <w:jc w:val="center"/>
              <w:rPr>
                <w:rFonts w:ascii="Verdana" w:eastAsia="Verdana" w:hAnsi="Verdana" w:cs="Verdana"/>
                <w:sz w:val="20"/>
                <w:szCs w:val="20"/>
              </w:rPr>
            </w:pPr>
            <w:r w:rsidRPr="2BF15918">
              <w:rPr>
                <w:rFonts w:ascii="Verdana" w:eastAsia="Verdana" w:hAnsi="Verdana" w:cs="Verdana"/>
                <w:sz w:val="20"/>
                <w:szCs w:val="20"/>
              </w:rPr>
              <w:t>TBD</w:t>
            </w:r>
          </w:p>
        </w:tc>
      </w:tr>
      <w:tr w:rsidR="00F8503D" w14:paraId="6AF88835" w14:textId="77777777" w:rsidTr="2BF15918">
        <w:trPr>
          <w:trHeight w:val="530"/>
          <w:jc w:val="center"/>
        </w:trPr>
        <w:tc>
          <w:tcPr>
            <w:tcW w:w="1680" w:type="dxa"/>
            <w:tcBorders>
              <w:bottom w:val="single" w:sz="8" w:space="0" w:color="000000" w:themeColor="text1"/>
            </w:tcBorders>
            <w:vAlign w:val="center"/>
          </w:tcPr>
          <w:p w14:paraId="31ABF79A" w14:textId="268468D4" w:rsidR="00F8503D" w:rsidRDefault="0033067D">
            <w:pPr>
              <w:spacing w:line="241" w:lineRule="auto"/>
              <w:rPr>
                <w:rFonts w:ascii="Verdana" w:eastAsia="Verdana" w:hAnsi="Verdana" w:cs="Verdana"/>
                <w:sz w:val="20"/>
                <w:szCs w:val="20"/>
              </w:rPr>
            </w:pPr>
            <w:r w:rsidRPr="3E748BBB">
              <w:rPr>
                <w:rFonts w:ascii="Verdana" w:eastAsia="Verdana" w:hAnsi="Verdana" w:cs="Verdana"/>
                <w:sz w:val="20"/>
                <w:szCs w:val="20"/>
              </w:rPr>
              <w:t>ESL</w:t>
            </w:r>
            <w:r w:rsidR="07857E36" w:rsidRPr="3E748BBB">
              <w:rPr>
                <w:rFonts w:ascii="Verdana" w:eastAsia="Verdana" w:hAnsi="Verdana" w:cs="Verdana"/>
                <w:sz w:val="20"/>
                <w:szCs w:val="20"/>
              </w:rPr>
              <w:t xml:space="preserve"> (ESL Levels 1-6)</w:t>
            </w:r>
          </w:p>
        </w:tc>
        <w:tc>
          <w:tcPr>
            <w:tcW w:w="945" w:type="dxa"/>
            <w:tcBorders>
              <w:bottom w:val="single" w:sz="8" w:space="0" w:color="000000" w:themeColor="text1"/>
            </w:tcBorders>
            <w:vAlign w:val="center"/>
          </w:tcPr>
          <w:p w14:paraId="1F102E2E" w14:textId="77777777" w:rsidR="0E6AD713" w:rsidRDefault="0E6AD713" w:rsidP="0E6AD713">
            <w:pPr>
              <w:spacing w:before="11"/>
              <w:ind w:right="-15"/>
              <w:jc w:val="center"/>
              <w:rPr>
                <w:rFonts w:ascii="Verdana" w:eastAsia="Verdana" w:hAnsi="Verdana" w:cs="Verdana"/>
                <w:sz w:val="20"/>
                <w:szCs w:val="20"/>
              </w:rPr>
            </w:pPr>
            <w:r w:rsidRPr="0E6AD713">
              <w:rPr>
                <w:rFonts w:ascii="Verdana" w:eastAsia="Verdana" w:hAnsi="Verdana" w:cs="Verdana"/>
                <w:sz w:val="20"/>
                <w:szCs w:val="20"/>
              </w:rPr>
              <w:t>50%</w:t>
            </w:r>
          </w:p>
        </w:tc>
        <w:tc>
          <w:tcPr>
            <w:tcW w:w="870" w:type="dxa"/>
            <w:tcBorders>
              <w:bottom w:val="single" w:sz="8" w:space="0" w:color="000000" w:themeColor="text1"/>
            </w:tcBorders>
            <w:shd w:val="clear" w:color="auto" w:fill="DADADA"/>
            <w:vAlign w:val="center"/>
          </w:tcPr>
          <w:p w14:paraId="1FF95DA3" w14:textId="77777777" w:rsidR="0E6AD713" w:rsidRDefault="0E6AD713" w:rsidP="0E6AD713">
            <w:pPr>
              <w:spacing w:before="11"/>
              <w:jc w:val="center"/>
              <w:rPr>
                <w:rFonts w:ascii="Verdana" w:eastAsia="Verdana" w:hAnsi="Verdana" w:cs="Verdana"/>
                <w:sz w:val="20"/>
                <w:szCs w:val="20"/>
              </w:rPr>
            </w:pPr>
            <w:r w:rsidRPr="0E6AD713">
              <w:rPr>
                <w:rFonts w:ascii="Verdana" w:eastAsia="Verdana" w:hAnsi="Verdana" w:cs="Verdana"/>
                <w:sz w:val="20"/>
                <w:szCs w:val="20"/>
              </w:rPr>
              <w:t>67%</w:t>
            </w:r>
          </w:p>
        </w:tc>
        <w:tc>
          <w:tcPr>
            <w:tcW w:w="915" w:type="dxa"/>
            <w:tcBorders>
              <w:bottom w:val="single" w:sz="8" w:space="0" w:color="000000" w:themeColor="text1"/>
            </w:tcBorders>
            <w:vAlign w:val="center"/>
          </w:tcPr>
          <w:p w14:paraId="27B88FE4" w14:textId="77777777" w:rsidR="0E6AD713" w:rsidRDefault="0E6AD713" w:rsidP="0E6AD713">
            <w:pPr>
              <w:spacing w:before="11"/>
              <w:jc w:val="center"/>
              <w:rPr>
                <w:rFonts w:ascii="Verdana" w:eastAsia="Verdana" w:hAnsi="Verdana" w:cs="Verdana"/>
                <w:sz w:val="20"/>
                <w:szCs w:val="20"/>
              </w:rPr>
            </w:pPr>
            <w:r w:rsidRPr="0E6AD713">
              <w:rPr>
                <w:rFonts w:ascii="Verdana" w:eastAsia="Verdana" w:hAnsi="Verdana" w:cs="Verdana"/>
                <w:sz w:val="20"/>
                <w:szCs w:val="20"/>
              </w:rPr>
              <w:t>52%</w:t>
            </w:r>
          </w:p>
        </w:tc>
        <w:tc>
          <w:tcPr>
            <w:tcW w:w="870" w:type="dxa"/>
            <w:tcBorders>
              <w:bottom w:val="single" w:sz="8" w:space="0" w:color="000000" w:themeColor="text1"/>
            </w:tcBorders>
            <w:shd w:val="clear" w:color="auto" w:fill="DADADA"/>
            <w:vAlign w:val="center"/>
          </w:tcPr>
          <w:p w14:paraId="1761AD4F" w14:textId="221C59B7" w:rsidR="0E6AD713" w:rsidRDefault="7178BBF6" w:rsidP="0E6AD713">
            <w:pPr>
              <w:spacing w:before="11"/>
              <w:jc w:val="center"/>
              <w:rPr>
                <w:rFonts w:ascii="Verdana" w:eastAsia="Verdana" w:hAnsi="Verdana" w:cs="Verdana"/>
                <w:sz w:val="20"/>
                <w:szCs w:val="20"/>
              </w:rPr>
            </w:pPr>
            <w:r w:rsidRPr="3E748BBB">
              <w:rPr>
                <w:rFonts w:ascii="Verdana" w:eastAsia="Verdana" w:hAnsi="Verdana" w:cs="Verdana"/>
                <w:sz w:val="20"/>
                <w:szCs w:val="20"/>
              </w:rPr>
              <w:t>66%</w:t>
            </w:r>
          </w:p>
        </w:tc>
        <w:tc>
          <w:tcPr>
            <w:tcW w:w="970" w:type="dxa"/>
            <w:tcBorders>
              <w:bottom w:val="single" w:sz="8" w:space="0" w:color="000000" w:themeColor="text1"/>
            </w:tcBorders>
            <w:vAlign w:val="center"/>
          </w:tcPr>
          <w:p w14:paraId="4A30BD1E" w14:textId="77777777" w:rsidR="0E6AD713" w:rsidRDefault="0E6AD713" w:rsidP="0E6AD713">
            <w:pPr>
              <w:spacing w:before="11"/>
              <w:jc w:val="center"/>
              <w:rPr>
                <w:rFonts w:ascii="Verdana" w:eastAsia="Verdana" w:hAnsi="Verdana" w:cs="Verdana"/>
                <w:sz w:val="20"/>
                <w:szCs w:val="20"/>
              </w:rPr>
            </w:pPr>
            <w:r w:rsidRPr="0E6AD713">
              <w:rPr>
                <w:rFonts w:ascii="Verdana" w:eastAsia="Verdana" w:hAnsi="Verdana" w:cs="Verdana"/>
                <w:sz w:val="20"/>
                <w:szCs w:val="20"/>
              </w:rPr>
              <w:t>60%</w:t>
            </w:r>
          </w:p>
        </w:tc>
        <w:tc>
          <w:tcPr>
            <w:tcW w:w="870" w:type="dxa"/>
            <w:tcBorders>
              <w:bottom w:val="single" w:sz="8" w:space="0" w:color="000000" w:themeColor="text1"/>
            </w:tcBorders>
            <w:shd w:val="clear" w:color="auto" w:fill="DADADA"/>
            <w:vAlign w:val="center"/>
          </w:tcPr>
          <w:p w14:paraId="6836BF9B" w14:textId="6125123D" w:rsidR="0E6AD713" w:rsidRDefault="4F8CFB79" w:rsidP="0E6AD713">
            <w:pPr>
              <w:spacing w:before="11"/>
              <w:jc w:val="center"/>
              <w:rPr>
                <w:rFonts w:ascii="Verdana" w:eastAsia="Verdana" w:hAnsi="Verdana" w:cs="Verdana"/>
                <w:sz w:val="20"/>
                <w:szCs w:val="20"/>
              </w:rPr>
            </w:pPr>
            <w:r w:rsidRPr="690907A2">
              <w:rPr>
                <w:rFonts w:ascii="Verdana" w:eastAsia="Verdana" w:hAnsi="Verdana" w:cs="Verdana"/>
                <w:sz w:val="20"/>
                <w:szCs w:val="20"/>
              </w:rPr>
              <w:t>TBD</w:t>
            </w:r>
          </w:p>
        </w:tc>
        <w:tc>
          <w:tcPr>
            <w:tcW w:w="975" w:type="dxa"/>
            <w:tcBorders>
              <w:bottom w:val="single" w:sz="8" w:space="0" w:color="000000" w:themeColor="text1"/>
            </w:tcBorders>
            <w:vAlign w:val="center"/>
          </w:tcPr>
          <w:p w14:paraId="6FE3AB18" w14:textId="6F4B8A24" w:rsidR="00F8503D" w:rsidRDefault="056C476A">
            <w:pPr>
              <w:spacing w:before="11"/>
              <w:jc w:val="center"/>
              <w:rPr>
                <w:rFonts w:ascii="Verdana" w:eastAsia="Verdana" w:hAnsi="Verdana" w:cs="Verdana"/>
                <w:sz w:val="20"/>
                <w:szCs w:val="20"/>
              </w:rPr>
            </w:pPr>
            <w:r w:rsidRPr="5E20CD5A">
              <w:rPr>
                <w:rFonts w:ascii="Verdana" w:eastAsia="Verdana" w:hAnsi="Verdana" w:cs="Verdana"/>
                <w:sz w:val="20"/>
                <w:szCs w:val="20"/>
              </w:rPr>
              <w:t>65%</w:t>
            </w:r>
          </w:p>
        </w:tc>
        <w:tc>
          <w:tcPr>
            <w:tcW w:w="905" w:type="dxa"/>
            <w:tcBorders>
              <w:bottom w:val="single" w:sz="8" w:space="0" w:color="000000" w:themeColor="text1"/>
            </w:tcBorders>
            <w:shd w:val="clear" w:color="auto" w:fill="DADADA"/>
            <w:vAlign w:val="center"/>
          </w:tcPr>
          <w:p w14:paraId="7B341B32" w14:textId="6D46680A" w:rsidR="2BF15918" w:rsidRPr="2BF15918" w:rsidRDefault="2BF15918" w:rsidP="2BF15918">
            <w:pPr>
              <w:spacing w:before="11"/>
              <w:jc w:val="center"/>
              <w:rPr>
                <w:rFonts w:ascii="Verdana" w:eastAsia="Verdana" w:hAnsi="Verdana" w:cs="Verdana"/>
                <w:sz w:val="20"/>
                <w:szCs w:val="20"/>
              </w:rPr>
            </w:pPr>
            <w:r w:rsidRPr="2BF15918">
              <w:rPr>
                <w:rFonts w:ascii="Verdana" w:eastAsia="Verdana" w:hAnsi="Verdana" w:cs="Verdana"/>
                <w:sz w:val="20"/>
                <w:szCs w:val="20"/>
              </w:rPr>
              <w:t>TBD</w:t>
            </w:r>
          </w:p>
        </w:tc>
      </w:tr>
      <w:tr w:rsidR="00F8503D" w14:paraId="775E6F08" w14:textId="77777777" w:rsidTr="2BF15918">
        <w:trPr>
          <w:trHeight w:val="530"/>
          <w:jc w:val="center"/>
        </w:trPr>
        <w:tc>
          <w:tcPr>
            <w:tcW w:w="1680" w:type="dxa"/>
            <w:tcBorders>
              <w:top w:val="single" w:sz="8" w:space="0" w:color="000000" w:themeColor="text1"/>
            </w:tcBorders>
            <w:vAlign w:val="center"/>
          </w:tcPr>
          <w:p w14:paraId="5B8E3950" w14:textId="29592C70" w:rsidR="00F8503D" w:rsidRDefault="0033067D">
            <w:pPr>
              <w:spacing w:line="259" w:lineRule="auto"/>
              <w:rPr>
                <w:rFonts w:ascii="Verdana" w:eastAsia="Verdana" w:hAnsi="Verdana" w:cs="Verdana"/>
                <w:sz w:val="20"/>
                <w:szCs w:val="20"/>
              </w:rPr>
            </w:pPr>
            <w:r w:rsidRPr="3E748BBB">
              <w:rPr>
                <w:rFonts w:ascii="Verdana" w:eastAsia="Verdana" w:hAnsi="Verdana" w:cs="Verdana"/>
                <w:sz w:val="20"/>
                <w:szCs w:val="20"/>
              </w:rPr>
              <w:t>Overall</w:t>
            </w:r>
            <w:r w:rsidR="46F9EB77" w:rsidRPr="3E748BBB">
              <w:rPr>
                <w:rFonts w:ascii="Verdana" w:eastAsia="Verdana" w:hAnsi="Verdana" w:cs="Verdana"/>
                <w:sz w:val="20"/>
                <w:szCs w:val="20"/>
              </w:rPr>
              <w:t xml:space="preserve"> (All EFLs excluding ABE Level 6)</w:t>
            </w:r>
          </w:p>
        </w:tc>
        <w:tc>
          <w:tcPr>
            <w:tcW w:w="945" w:type="dxa"/>
            <w:tcBorders>
              <w:top w:val="single" w:sz="8" w:space="0" w:color="000000" w:themeColor="text1"/>
            </w:tcBorders>
            <w:vAlign w:val="center"/>
          </w:tcPr>
          <w:p w14:paraId="3F98F95B" w14:textId="77777777" w:rsidR="0E6AD713" w:rsidRDefault="0E6AD713" w:rsidP="0E6AD713">
            <w:pPr>
              <w:spacing w:before="11"/>
              <w:jc w:val="center"/>
              <w:rPr>
                <w:rFonts w:ascii="Verdana" w:eastAsia="Verdana" w:hAnsi="Verdana" w:cs="Verdana"/>
                <w:sz w:val="20"/>
                <w:szCs w:val="20"/>
              </w:rPr>
            </w:pPr>
            <w:r w:rsidRPr="0E6AD713">
              <w:rPr>
                <w:rFonts w:ascii="Verdana" w:eastAsia="Verdana" w:hAnsi="Verdana" w:cs="Verdana"/>
                <w:sz w:val="20"/>
                <w:szCs w:val="20"/>
              </w:rPr>
              <w:t>43%</w:t>
            </w:r>
          </w:p>
        </w:tc>
        <w:tc>
          <w:tcPr>
            <w:tcW w:w="870" w:type="dxa"/>
            <w:tcBorders>
              <w:top w:val="single" w:sz="8" w:space="0" w:color="000000" w:themeColor="text1"/>
            </w:tcBorders>
            <w:shd w:val="clear" w:color="auto" w:fill="DADADA"/>
            <w:vAlign w:val="center"/>
          </w:tcPr>
          <w:p w14:paraId="505D61B7" w14:textId="17B75690" w:rsidR="0E6AD713" w:rsidRDefault="0E6AD713" w:rsidP="0E6AD713">
            <w:pPr>
              <w:spacing w:before="11"/>
              <w:jc w:val="center"/>
              <w:rPr>
                <w:rFonts w:ascii="Verdana" w:eastAsia="Verdana" w:hAnsi="Verdana" w:cs="Verdana"/>
                <w:sz w:val="20"/>
                <w:szCs w:val="20"/>
              </w:rPr>
            </w:pPr>
            <w:r w:rsidRPr="3E748BBB">
              <w:rPr>
                <w:rFonts w:ascii="Verdana" w:eastAsia="Verdana" w:hAnsi="Verdana" w:cs="Verdana"/>
                <w:sz w:val="20"/>
                <w:szCs w:val="20"/>
              </w:rPr>
              <w:t>5</w:t>
            </w:r>
            <w:r w:rsidR="5E871DF5" w:rsidRPr="3E748BBB">
              <w:rPr>
                <w:rFonts w:ascii="Verdana" w:eastAsia="Verdana" w:hAnsi="Verdana" w:cs="Verdana"/>
                <w:sz w:val="20"/>
                <w:szCs w:val="20"/>
              </w:rPr>
              <w:t>9</w:t>
            </w:r>
            <w:r w:rsidRPr="0E6AD713">
              <w:rPr>
                <w:rFonts w:ascii="Verdana" w:eastAsia="Verdana" w:hAnsi="Verdana" w:cs="Verdana"/>
                <w:sz w:val="20"/>
                <w:szCs w:val="20"/>
              </w:rPr>
              <w:t>%</w:t>
            </w:r>
          </w:p>
        </w:tc>
        <w:tc>
          <w:tcPr>
            <w:tcW w:w="915" w:type="dxa"/>
            <w:tcBorders>
              <w:top w:val="single" w:sz="8" w:space="0" w:color="000000" w:themeColor="text1"/>
            </w:tcBorders>
            <w:vAlign w:val="center"/>
          </w:tcPr>
          <w:p w14:paraId="00DB39FC" w14:textId="77777777" w:rsidR="0E6AD713" w:rsidRDefault="0E6AD713" w:rsidP="0E6AD713">
            <w:pPr>
              <w:spacing w:before="11"/>
              <w:jc w:val="center"/>
              <w:rPr>
                <w:rFonts w:ascii="Verdana" w:eastAsia="Verdana" w:hAnsi="Verdana" w:cs="Verdana"/>
                <w:sz w:val="20"/>
                <w:szCs w:val="20"/>
              </w:rPr>
            </w:pPr>
            <w:r w:rsidRPr="0E6AD713">
              <w:rPr>
                <w:rFonts w:ascii="Verdana" w:eastAsia="Verdana" w:hAnsi="Verdana" w:cs="Verdana"/>
                <w:sz w:val="20"/>
                <w:szCs w:val="20"/>
              </w:rPr>
              <w:t>45%</w:t>
            </w:r>
          </w:p>
        </w:tc>
        <w:tc>
          <w:tcPr>
            <w:tcW w:w="870" w:type="dxa"/>
            <w:tcBorders>
              <w:top w:val="single" w:sz="8" w:space="0" w:color="000000" w:themeColor="text1"/>
            </w:tcBorders>
            <w:shd w:val="clear" w:color="auto" w:fill="DADADA"/>
            <w:vAlign w:val="center"/>
          </w:tcPr>
          <w:p w14:paraId="092499D2" w14:textId="1BB6C4D6" w:rsidR="0E6AD713" w:rsidRDefault="7BAE9589" w:rsidP="0E6AD713">
            <w:pPr>
              <w:spacing w:before="11"/>
              <w:jc w:val="center"/>
              <w:rPr>
                <w:rFonts w:ascii="Verdana" w:eastAsia="Verdana" w:hAnsi="Verdana" w:cs="Verdana"/>
                <w:sz w:val="20"/>
                <w:szCs w:val="20"/>
              </w:rPr>
            </w:pPr>
            <w:r w:rsidRPr="3E748BBB">
              <w:rPr>
                <w:rFonts w:ascii="Verdana" w:eastAsia="Verdana" w:hAnsi="Verdana" w:cs="Verdana"/>
                <w:sz w:val="20"/>
                <w:szCs w:val="20"/>
              </w:rPr>
              <w:t>59%</w:t>
            </w:r>
          </w:p>
        </w:tc>
        <w:tc>
          <w:tcPr>
            <w:tcW w:w="970" w:type="dxa"/>
            <w:tcBorders>
              <w:top w:val="single" w:sz="8" w:space="0" w:color="000000" w:themeColor="text1"/>
            </w:tcBorders>
            <w:vAlign w:val="center"/>
          </w:tcPr>
          <w:p w14:paraId="72808AE5" w14:textId="77777777" w:rsidR="0E6AD713" w:rsidRDefault="0E6AD713" w:rsidP="0E6AD713">
            <w:pPr>
              <w:spacing w:before="11"/>
              <w:jc w:val="center"/>
              <w:rPr>
                <w:rFonts w:ascii="Verdana" w:eastAsia="Verdana" w:hAnsi="Verdana" w:cs="Verdana"/>
                <w:sz w:val="20"/>
                <w:szCs w:val="20"/>
              </w:rPr>
            </w:pPr>
            <w:r w:rsidRPr="0E6AD713">
              <w:rPr>
                <w:rFonts w:ascii="Verdana" w:eastAsia="Verdana" w:hAnsi="Verdana" w:cs="Verdana"/>
                <w:sz w:val="20"/>
                <w:szCs w:val="20"/>
              </w:rPr>
              <w:t>51%</w:t>
            </w:r>
          </w:p>
        </w:tc>
        <w:tc>
          <w:tcPr>
            <w:tcW w:w="870" w:type="dxa"/>
            <w:tcBorders>
              <w:top w:val="single" w:sz="8" w:space="0" w:color="000000" w:themeColor="text1"/>
            </w:tcBorders>
            <w:shd w:val="clear" w:color="auto" w:fill="DADADA"/>
            <w:vAlign w:val="center"/>
          </w:tcPr>
          <w:p w14:paraId="0DE02407" w14:textId="6639993B" w:rsidR="0E6AD713" w:rsidRDefault="08EC5110" w:rsidP="0E6AD713">
            <w:pPr>
              <w:spacing w:before="11"/>
              <w:jc w:val="center"/>
              <w:rPr>
                <w:rFonts w:ascii="Verdana" w:eastAsia="Verdana" w:hAnsi="Verdana" w:cs="Verdana"/>
                <w:sz w:val="20"/>
                <w:szCs w:val="20"/>
              </w:rPr>
            </w:pPr>
            <w:r w:rsidRPr="2BF15918">
              <w:rPr>
                <w:rFonts w:ascii="Verdana" w:eastAsia="Verdana" w:hAnsi="Verdana" w:cs="Verdana"/>
                <w:sz w:val="20"/>
                <w:szCs w:val="20"/>
              </w:rPr>
              <w:t>TBD</w:t>
            </w:r>
          </w:p>
        </w:tc>
        <w:tc>
          <w:tcPr>
            <w:tcW w:w="975" w:type="dxa"/>
            <w:tcBorders>
              <w:top w:val="single" w:sz="8" w:space="0" w:color="000000" w:themeColor="text1"/>
            </w:tcBorders>
            <w:vAlign w:val="center"/>
          </w:tcPr>
          <w:p w14:paraId="7BE1E5E8" w14:textId="0111AE3F" w:rsidR="00F8503D" w:rsidRDefault="0ACED98A" w:rsidP="2A564819">
            <w:pPr>
              <w:spacing w:before="11" w:line="259" w:lineRule="auto"/>
              <w:jc w:val="center"/>
              <w:rPr>
                <w:rFonts w:ascii="Verdana" w:eastAsia="Verdana" w:hAnsi="Verdana" w:cs="Verdana"/>
                <w:sz w:val="20"/>
                <w:szCs w:val="20"/>
              </w:rPr>
            </w:pPr>
            <w:r w:rsidRPr="664DAEDD">
              <w:rPr>
                <w:rFonts w:ascii="Verdana" w:eastAsia="Verdana" w:hAnsi="Verdana" w:cs="Verdana"/>
                <w:sz w:val="20"/>
                <w:szCs w:val="20"/>
              </w:rPr>
              <w:t>55%</w:t>
            </w:r>
          </w:p>
        </w:tc>
        <w:tc>
          <w:tcPr>
            <w:tcW w:w="905" w:type="dxa"/>
            <w:tcBorders>
              <w:top w:val="single" w:sz="8" w:space="0" w:color="000000" w:themeColor="text1"/>
            </w:tcBorders>
            <w:shd w:val="clear" w:color="auto" w:fill="DADADA"/>
            <w:vAlign w:val="center"/>
          </w:tcPr>
          <w:p w14:paraId="11DE1CB1" w14:textId="20EC1CE0" w:rsidR="2BF15918" w:rsidRPr="2BF15918" w:rsidRDefault="2BF15918" w:rsidP="2BF15918">
            <w:pPr>
              <w:spacing w:before="11"/>
              <w:jc w:val="center"/>
              <w:rPr>
                <w:rFonts w:ascii="Verdana" w:eastAsia="Verdana" w:hAnsi="Verdana" w:cs="Verdana"/>
                <w:sz w:val="20"/>
                <w:szCs w:val="20"/>
              </w:rPr>
            </w:pPr>
            <w:r w:rsidRPr="2BF15918">
              <w:rPr>
                <w:rFonts w:ascii="Verdana" w:eastAsia="Verdana" w:hAnsi="Verdana" w:cs="Verdana"/>
                <w:sz w:val="20"/>
                <w:szCs w:val="20"/>
              </w:rPr>
              <w:t>TBD</w:t>
            </w:r>
          </w:p>
        </w:tc>
      </w:tr>
    </w:tbl>
    <w:p w14:paraId="7CD68D39"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DF4C5B5" w14:textId="3236D88C" w:rsidR="00F8503D" w:rsidRDefault="0033067D">
      <w:pPr>
        <w:keepNext/>
        <w:numPr>
          <w:ilvl w:val="2"/>
          <w:numId w:val="24"/>
        </w:numPr>
        <w:pBdr>
          <w:top w:val="nil"/>
          <w:left w:val="nil"/>
          <w:bottom w:val="nil"/>
          <w:right w:val="nil"/>
          <w:between w:val="nil"/>
        </w:pBdr>
        <w:spacing w:before="240" w:after="40" w:line="276" w:lineRule="auto"/>
      </w:pPr>
      <w:bookmarkStart w:id="29" w:name="_17zexj30ccsx" w:colFirst="0" w:colLast="0"/>
      <w:bookmarkEnd w:id="29"/>
      <w:r>
        <w:rPr>
          <w:rFonts w:ascii="Arial" w:eastAsia="Arial" w:hAnsi="Arial" w:cs="Arial"/>
          <w:smallCaps/>
          <w:color w:val="6A976C"/>
          <w:sz w:val="28"/>
          <w:szCs w:val="28"/>
        </w:rPr>
        <w:t xml:space="preserve">Assessment of Learners in Distance </w:t>
      </w:r>
      <w:r w:rsidR="00AD3B51">
        <w:rPr>
          <w:rFonts w:ascii="Arial" w:eastAsia="Arial" w:hAnsi="Arial" w:cs="Arial"/>
          <w:smallCaps/>
          <w:color w:val="6A976C"/>
          <w:sz w:val="28"/>
          <w:szCs w:val="28"/>
        </w:rPr>
        <w:t xml:space="preserve">Education </w:t>
      </w:r>
      <w:r>
        <w:rPr>
          <w:rFonts w:ascii="Arial" w:eastAsia="Arial" w:hAnsi="Arial" w:cs="Arial"/>
          <w:smallCaps/>
          <w:color w:val="6A976C"/>
          <w:sz w:val="28"/>
          <w:szCs w:val="28"/>
        </w:rPr>
        <w:t>Programs</w:t>
      </w:r>
    </w:p>
    <w:p w14:paraId="4251904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4E193110"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Oregon’s Assessment Policy applies to all Oregon ABS learners whether they are enrolled in face-to-face or distance education. Assessments are generally conducted through face-to-face interaction with a trained test administrator in a secure setting. However, assessments may be proctored remotely, provided they are conducted in accordance with the test publisher’s (OCTAE-approved) guidelines. Programs wishing to administer CASAS assessments remotely must complete an Agency Agreement with CASAS, and individual proctors must sign a Proctor Agreement. Please see Section 6.5 (below) for state training and certification requirements for remote proctors.</w:t>
      </w:r>
    </w:p>
    <w:p w14:paraId="377C05E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Those learners defined as distance learners with 12 or more hours of instruction will be reported on NRS Tables 4C and 5A.</w:t>
      </w:r>
    </w:p>
    <w:p w14:paraId="2BFB7FFB" w14:textId="77777777" w:rsidR="00F8503D" w:rsidRDefault="0033067D">
      <w:pPr>
        <w:keepNext/>
        <w:numPr>
          <w:ilvl w:val="2"/>
          <w:numId w:val="24"/>
        </w:numPr>
        <w:pBdr>
          <w:top w:val="nil"/>
          <w:left w:val="nil"/>
          <w:bottom w:val="nil"/>
          <w:right w:val="nil"/>
          <w:between w:val="nil"/>
        </w:pBdr>
        <w:spacing w:before="240" w:after="40" w:line="276" w:lineRule="auto"/>
      </w:pPr>
      <w:bookmarkStart w:id="30" w:name="_cmgtkn5g82qw" w:colFirst="0" w:colLast="0"/>
      <w:bookmarkEnd w:id="30"/>
      <w:r>
        <w:rPr>
          <w:rFonts w:ascii="Arial" w:eastAsia="Arial" w:hAnsi="Arial" w:cs="Arial"/>
          <w:smallCaps/>
          <w:color w:val="6A976C"/>
          <w:sz w:val="28"/>
          <w:szCs w:val="28"/>
        </w:rPr>
        <w:t>Accommodations Using CASAS Assessment for Learners with Disabilities</w:t>
      </w:r>
    </w:p>
    <w:p w14:paraId="6A698CD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6E4CC09C" w14:textId="364849D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The following policies address methods for administering CASAS assessments using accommodations for learners with documented disabilities. The suggested </w:t>
      </w:r>
      <w:r w:rsidR="006F7545" w:rsidRPr="7B188CE2">
        <w:rPr>
          <w:rFonts w:ascii="Verdana" w:eastAsia="Verdana" w:hAnsi="Verdana" w:cs="Verdana"/>
          <w:color w:val="000000" w:themeColor="text1"/>
          <w:sz w:val="23"/>
          <w:szCs w:val="23"/>
          <w:lang w:val="en-US"/>
        </w:rPr>
        <w:t>accommodation includes</w:t>
      </w:r>
      <w:r w:rsidRPr="7B188CE2">
        <w:rPr>
          <w:rFonts w:ascii="Verdana" w:eastAsia="Verdana" w:hAnsi="Verdana" w:cs="Verdana"/>
          <w:color w:val="000000" w:themeColor="text1"/>
          <w:sz w:val="23"/>
          <w:szCs w:val="23"/>
          <w:lang w:val="en-US"/>
        </w:rPr>
        <w:t xml:space="preserve"> accommodations in test administration procedures and use of appropriate CASAS test forms.</w:t>
      </w:r>
    </w:p>
    <w:p w14:paraId="11861CD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lastRenderedPageBreak/>
        <w:t>Policies</w:t>
      </w:r>
    </w:p>
    <w:p w14:paraId="610CCA1B" w14:textId="1B895872" w:rsidR="00F8503D" w:rsidRDefault="0033067D">
      <w:pPr>
        <w:numPr>
          <w:ilvl w:val="0"/>
          <w:numId w:val="102"/>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Program responsibility: Test administrators must consider the individual needs of the learner when they provide </w:t>
      </w:r>
      <w:r w:rsidR="006F7545">
        <w:rPr>
          <w:rFonts w:ascii="Verdana" w:eastAsia="Verdana" w:hAnsi="Verdana" w:cs="Verdana"/>
          <w:color w:val="000000"/>
          <w:sz w:val="23"/>
          <w:szCs w:val="23"/>
        </w:rPr>
        <w:t>accommodation</w:t>
      </w:r>
      <w:r>
        <w:rPr>
          <w:rFonts w:ascii="Verdana" w:eastAsia="Verdana" w:hAnsi="Verdana" w:cs="Verdana"/>
          <w:color w:val="000000"/>
          <w:sz w:val="23"/>
          <w:szCs w:val="23"/>
        </w:rPr>
        <w:t>. The responsibility of fulfilling learner requests for accommodations is that of the program, according to their organization’s policy.</w:t>
      </w:r>
    </w:p>
    <w:p w14:paraId="42B24686" w14:textId="77777777" w:rsidR="00F8503D" w:rsidRDefault="0033067D">
      <w:pPr>
        <w:numPr>
          <w:ilvl w:val="0"/>
          <w:numId w:val="102"/>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Use of appropriate CASAS test forms:</w:t>
      </w:r>
    </w:p>
    <w:p w14:paraId="4C485EEA" w14:textId="10F6F48B" w:rsidR="00F8503D" w:rsidRDefault="0033067D">
      <w:pPr>
        <w:numPr>
          <w:ilvl w:val="0"/>
          <w:numId w:val="103"/>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Test administrators must use an appropriate test form that best meets the learner’s goals and manner of receiving and reporting information. Most learners with a disability can take some form of a CASAS test. CASAS provides </w:t>
      </w:r>
      <w:r w:rsidR="006F7545" w:rsidRPr="7B188CE2">
        <w:rPr>
          <w:rFonts w:ascii="Verdana" w:eastAsia="Verdana" w:hAnsi="Verdana" w:cs="Verdana"/>
          <w:color w:val="000000" w:themeColor="text1"/>
          <w:sz w:val="23"/>
          <w:szCs w:val="23"/>
          <w:lang w:val="en-US"/>
        </w:rPr>
        <w:t>large print</w:t>
      </w:r>
      <w:r w:rsidRPr="7B188CE2">
        <w:rPr>
          <w:rFonts w:ascii="Verdana" w:eastAsia="Verdana" w:hAnsi="Verdana" w:cs="Verdana"/>
          <w:color w:val="000000" w:themeColor="text1"/>
          <w:sz w:val="23"/>
          <w:szCs w:val="23"/>
          <w:lang w:val="en-US"/>
        </w:rPr>
        <w:t xml:space="preserve"> versions of all tests. Large-print tests and CASAS eTests are examples of test forms often used for learners with documented disabilities based on need as well as for all learners.</w:t>
      </w:r>
    </w:p>
    <w:p w14:paraId="0F6E27DA" w14:textId="77777777" w:rsidR="00F8503D" w:rsidRDefault="0033067D">
      <w:pPr>
        <w:numPr>
          <w:ilvl w:val="0"/>
          <w:numId w:val="103"/>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Programs must contact CASAS to obtain permission before changing the test format locally if the test form is not currently available from CASAS. CASAS requires approval because changes in test format affect the standardization and statistical measures for the test. CASAS will provide advice regarding appropriate accommodations that are not currently available to test administrators.</w:t>
      </w:r>
    </w:p>
    <w:p w14:paraId="0FFB9EC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For more information, visit CASAS Testing Accommodations and Accessibility. </w:t>
      </w:r>
    </w:p>
    <w:p w14:paraId="4307F8B0" w14:textId="77777777" w:rsidR="00F8503D" w:rsidRDefault="0033067D">
      <w:pPr>
        <w:keepNext/>
        <w:numPr>
          <w:ilvl w:val="2"/>
          <w:numId w:val="24"/>
        </w:numPr>
        <w:pBdr>
          <w:top w:val="nil"/>
          <w:left w:val="nil"/>
          <w:bottom w:val="nil"/>
          <w:right w:val="nil"/>
          <w:between w:val="nil"/>
        </w:pBdr>
        <w:spacing w:before="240" w:after="40" w:line="276" w:lineRule="auto"/>
      </w:pPr>
      <w:bookmarkStart w:id="31" w:name="_e52n0fip8b3v" w:colFirst="0" w:colLast="0"/>
      <w:bookmarkEnd w:id="31"/>
      <w:r>
        <w:rPr>
          <w:rFonts w:ascii="Arial" w:eastAsia="Arial" w:hAnsi="Arial" w:cs="Arial"/>
          <w:smallCaps/>
          <w:color w:val="6A976C"/>
          <w:sz w:val="28"/>
          <w:szCs w:val="28"/>
        </w:rPr>
        <w:t>Certified Test Administration</w:t>
      </w:r>
    </w:p>
    <w:p w14:paraId="23DC461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5479A524" w14:textId="77777777" w:rsidR="00F8503D" w:rsidRDefault="0033067D">
      <w:pPr>
        <w:numPr>
          <w:ilvl w:val="0"/>
          <w:numId w:val="10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Test administrators must be certified by both the testing company and CCWD before administering or scoring any assessment instrument used for state and federal accountability reporting. Training for each state-approved assessment is required to ensure accurate use of tests and interpretation of learner results, and to maintain the integrity and quality of the assessment process. See the Assessment Certification Process chart below.</w:t>
      </w:r>
    </w:p>
    <w:p w14:paraId="59C1262D" w14:textId="479C3480" w:rsidR="00F8503D" w:rsidRDefault="0033067D">
      <w:pPr>
        <w:numPr>
          <w:ilvl w:val="0"/>
          <w:numId w:val="104"/>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CASAS test administrators, eTest site coordinators, and eTest proctors must complete applicable CASAS certification trainings and certification tests. </w:t>
      </w:r>
      <w:r w:rsidR="00CC51D6">
        <w:rPr>
          <w:rFonts w:ascii="Verdana" w:eastAsia="Verdana" w:hAnsi="Verdana" w:cs="Verdana"/>
          <w:color w:val="000000"/>
          <w:sz w:val="23"/>
          <w:szCs w:val="23"/>
        </w:rPr>
        <w:t>Since July 1, 2022</w:t>
      </w:r>
      <w:r w:rsidR="006A7EF3">
        <w:rPr>
          <w:rFonts w:ascii="Verdana" w:eastAsia="Verdana" w:hAnsi="Verdana" w:cs="Verdana"/>
          <w:color w:val="000000"/>
          <w:sz w:val="23"/>
          <w:szCs w:val="23"/>
        </w:rPr>
        <w:t>,</w:t>
      </w:r>
      <w:r>
        <w:rPr>
          <w:rFonts w:ascii="Verdana" w:eastAsia="Verdana" w:hAnsi="Verdana" w:cs="Verdana"/>
          <w:color w:val="000000"/>
          <w:sz w:val="23"/>
          <w:szCs w:val="23"/>
        </w:rPr>
        <w:t xml:space="preserve"> all new paper test proctors must also complete CASAS certification training. Test administrators conducting assessments via remote proctoring must complete trainings as recommended by test publishers.</w:t>
      </w:r>
    </w:p>
    <w:p w14:paraId="4676E599" w14:textId="77777777" w:rsidR="00F8503D" w:rsidRDefault="0033067D">
      <w:pPr>
        <w:numPr>
          <w:ilvl w:val="0"/>
          <w:numId w:val="104"/>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In addition to the instrument-specific trainings, test administrators, coordinators, and proctors must complete the Oregon Assessment </w:t>
      </w:r>
      <w:r>
        <w:rPr>
          <w:rFonts w:ascii="Verdana" w:eastAsia="Verdana" w:hAnsi="Verdana" w:cs="Verdana"/>
          <w:color w:val="000000"/>
          <w:sz w:val="23"/>
          <w:szCs w:val="23"/>
        </w:rPr>
        <w:lastRenderedPageBreak/>
        <w:t>Certification that includes NRS policy, Oregon assessment and accountability policy, and data collection processes and procedures.</w:t>
      </w:r>
    </w:p>
    <w:p w14:paraId="5A5308D4" w14:textId="77777777" w:rsidR="00F8503D" w:rsidRDefault="0033067D">
      <w:pPr>
        <w:numPr>
          <w:ilvl w:val="0"/>
          <w:numId w:val="104"/>
        </w:numPr>
        <w:pBdr>
          <w:top w:val="nil"/>
          <w:left w:val="nil"/>
          <w:bottom w:val="nil"/>
          <w:right w:val="nil"/>
          <w:between w:val="nil"/>
        </w:pBdr>
        <w:spacing w:after="160" w:line="276" w:lineRule="auto"/>
        <w:ind w:left="360"/>
      </w:pPr>
      <w:r>
        <w:rPr>
          <w:rFonts w:ascii="Verdana" w:eastAsia="Verdana" w:hAnsi="Verdana" w:cs="Verdana"/>
          <w:color w:val="000000"/>
          <w:sz w:val="23"/>
          <w:szCs w:val="23"/>
        </w:rPr>
        <w:t>Test administrators must review the Test Administration Manual prior to the start of a new academic year, or prior to administering an assessment if they do not administer the assessment regularly.</w:t>
      </w:r>
    </w:p>
    <w:p w14:paraId="3E869C96" w14:textId="77777777" w:rsidR="00F8503D" w:rsidRDefault="0033067D">
      <w:pPr>
        <w:numPr>
          <w:ilvl w:val="0"/>
          <w:numId w:val="10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 directors are responsible for determining and providing sufficient numbers of certified test administrators and eTest proctors to meet state assessment and accountability requirements and program assessment needs.</w:t>
      </w:r>
    </w:p>
    <w:p w14:paraId="4D31EBBA" w14:textId="77777777" w:rsidR="00F8503D" w:rsidRDefault="0033067D">
      <w:pPr>
        <w:numPr>
          <w:ilvl w:val="0"/>
          <w:numId w:val="10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submit an Online Site Agreement with CASAS at launch of eTest and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implementation, and a supplement to provide location and contact information if/when a program wishes to reconfigure and/or add testing sites.</w:t>
      </w:r>
    </w:p>
    <w:p w14:paraId="0F2D121E" w14:textId="77777777" w:rsidR="00F8503D" w:rsidRDefault="0033067D">
      <w:pPr>
        <w:numPr>
          <w:ilvl w:val="0"/>
          <w:numId w:val="10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identify one Point of Contact and one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(TE) Enhanced user (with full access to all TE functions) per program (see CASAS policy). This can be the same person or two different people.</w:t>
      </w:r>
    </w:p>
    <w:p w14:paraId="4F1CD0AE" w14:textId="77777777" w:rsidR="00F8503D" w:rsidRDefault="0033067D">
      <w:pPr>
        <w:numPr>
          <w:ilvl w:val="0"/>
          <w:numId w:val="10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The TE Enhanced user must manage other users’ access to the account. The TE Enhanced user must review the Users Lister at least annually and add to and/or disable or delete user accounts as staff change.</w:t>
      </w:r>
    </w:p>
    <w:tbl>
      <w:tblPr>
        <w:tblW w:w="9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245"/>
        <w:gridCol w:w="2340"/>
        <w:gridCol w:w="1800"/>
        <w:gridCol w:w="3490"/>
      </w:tblGrid>
      <w:tr w:rsidR="00F8503D" w14:paraId="52A16C9E" w14:textId="77777777" w:rsidTr="7B188CE2">
        <w:trPr>
          <w:trHeight w:val="530"/>
          <w:jc w:val="center"/>
        </w:trPr>
        <w:tc>
          <w:tcPr>
            <w:tcW w:w="9875" w:type="dxa"/>
            <w:gridSpan w:val="4"/>
            <w:shd w:val="clear" w:color="auto" w:fill="6D9E75"/>
            <w:vAlign w:val="center"/>
          </w:tcPr>
          <w:p w14:paraId="1F7E7D80" w14:textId="77777777" w:rsidR="00F8503D" w:rsidRDefault="0033067D">
            <w:pPr>
              <w:ind w:left="-23"/>
              <w:rPr>
                <w:rFonts w:ascii="Verdana" w:eastAsia="Verdana" w:hAnsi="Verdana" w:cs="Verdana"/>
                <w:b/>
                <w:bCs/>
                <w:sz w:val="18"/>
                <w:szCs w:val="18"/>
                <w:shd w:val="clear" w:color="auto" w:fill="6D9E75"/>
              </w:rPr>
            </w:pPr>
            <w:r>
              <w:rPr>
                <w:rFonts w:ascii="Verdana" w:eastAsia="Verdana" w:hAnsi="Verdana" w:cs="Verdana"/>
                <w:b/>
                <w:bCs/>
                <w:sz w:val="18"/>
                <w:szCs w:val="18"/>
                <w:shd w:val="clear" w:color="auto" w:fill="6D9E75"/>
              </w:rPr>
              <w:t>Assessment Certification Requirements</w:t>
            </w:r>
          </w:p>
        </w:tc>
      </w:tr>
      <w:tr w:rsidR="00F8503D" w14:paraId="3B054F71" w14:textId="77777777" w:rsidTr="7B188CE2">
        <w:trPr>
          <w:trHeight w:val="665"/>
          <w:jc w:val="center"/>
        </w:trPr>
        <w:tc>
          <w:tcPr>
            <w:tcW w:w="2245" w:type="dxa"/>
            <w:shd w:val="clear" w:color="auto" w:fill="4EA9AF"/>
            <w:vAlign w:val="center"/>
          </w:tcPr>
          <w:p w14:paraId="15D0D06E" w14:textId="77777777" w:rsidR="00F8503D" w:rsidRDefault="0033067D">
            <w:pPr>
              <w:rPr>
                <w:rFonts w:ascii="Verdana" w:eastAsia="Verdana" w:hAnsi="Verdana" w:cs="Verdana"/>
                <w:b/>
                <w:bCs/>
                <w:sz w:val="18"/>
                <w:szCs w:val="18"/>
              </w:rPr>
            </w:pPr>
            <w:r>
              <w:rPr>
                <w:rFonts w:ascii="Verdana" w:eastAsia="Verdana" w:hAnsi="Verdana" w:cs="Verdana"/>
                <w:b/>
                <w:bCs/>
                <w:sz w:val="18"/>
                <w:szCs w:val="18"/>
              </w:rPr>
              <w:t>Required Training</w:t>
            </w:r>
          </w:p>
        </w:tc>
        <w:tc>
          <w:tcPr>
            <w:tcW w:w="2340" w:type="dxa"/>
            <w:shd w:val="clear" w:color="auto" w:fill="4EA9AF"/>
            <w:vAlign w:val="center"/>
          </w:tcPr>
          <w:p w14:paraId="06D8B613" w14:textId="77777777" w:rsidR="00F8503D" w:rsidRDefault="0033067D">
            <w:pPr>
              <w:rPr>
                <w:rFonts w:ascii="Verdana" w:eastAsia="Verdana" w:hAnsi="Verdana" w:cs="Verdana"/>
                <w:b/>
                <w:bCs/>
                <w:sz w:val="18"/>
                <w:szCs w:val="18"/>
              </w:rPr>
            </w:pPr>
            <w:r>
              <w:rPr>
                <w:rFonts w:ascii="Verdana" w:eastAsia="Verdana" w:hAnsi="Verdana" w:cs="Verdana"/>
                <w:b/>
                <w:bCs/>
                <w:sz w:val="18"/>
                <w:szCs w:val="18"/>
              </w:rPr>
              <w:t>Who needs the training</w:t>
            </w:r>
          </w:p>
        </w:tc>
        <w:tc>
          <w:tcPr>
            <w:tcW w:w="1800" w:type="dxa"/>
            <w:shd w:val="clear" w:color="auto" w:fill="4EA9AF"/>
            <w:vAlign w:val="center"/>
          </w:tcPr>
          <w:p w14:paraId="42CDAD86" w14:textId="77777777" w:rsidR="00F8503D" w:rsidRDefault="0033067D">
            <w:pPr>
              <w:ind w:firstLine="7"/>
              <w:rPr>
                <w:rFonts w:ascii="Verdana" w:eastAsia="Verdana" w:hAnsi="Verdana" w:cs="Verdana"/>
                <w:b/>
                <w:bCs/>
                <w:sz w:val="18"/>
                <w:szCs w:val="18"/>
              </w:rPr>
            </w:pPr>
            <w:r>
              <w:rPr>
                <w:rFonts w:ascii="Verdana" w:eastAsia="Verdana" w:hAnsi="Verdana" w:cs="Verdana"/>
                <w:b/>
                <w:bCs/>
                <w:sz w:val="18"/>
                <w:szCs w:val="18"/>
              </w:rPr>
              <w:t>Certification frequency</w:t>
            </w:r>
          </w:p>
        </w:tc>
        <w:tc>
          <w:tcPr>
            <w:tcW w:w="3490" w:type="dxa"/>
            <w:shd w:val="clear" w:color="auto" w:fill="4EA9AF"/>
            <w:vAlign w:val="center"/>
          </w:tcPr>
          <w:p w14:paraId="6786D77A" w14:textId="77777777" w:rsidR="00F8503D" w:rsidRDefault="0033067D">
            <w:pPr>
              <w:rPr>
                <w:rFonts w:ascii="Verdana" w:eastAsia="Verdana" w:hAnsi="Verdana" w:cs="Verdana"/>
                <w:b/>
                <w:bCs/>
                <w:sz w:val="18"/>
                <w:szCs w:val="18"/>
              </w:rPr>
            </w:pPr>
            <w:r>
              <w:rPr>
                <w:rFonts w:ascii="Verdana" w:eastAsia="Verdana" w:hAnsi="Verdana" w:cs="Verdana"/>
                <w:b/>
                <w:bCs/>
                <w:sz w:val="18"/>
                <w:szCs w:val="18"/>
              </w:rPr>
              <w:t>Format</w:t>
            </w:r>
          </w:p>
        </w:tc>
      </w:tr>
      <w:tr w:rsidR="00F8503D" w14:paraId="006C1C2B" w14:textId="77777777" w:rsidTr="7B188CE2">
        <w:trPr>
          <w:trHeight w:val="935"/>
          <w:jc w:val="center"/>
        </w:trPr>
        <w:tc>
          <w:tcPr>
            <w:tcW w:w="2245" w:type="dxa"/>
            <w:vAlign w:val="center"/>
          </w:tcPr>
          <w:p w14:paraId="64EB1094" w14:textId="77777777" w:rsidR="00F8503D" w:rsidRDefault="0033067D">
            <w:pPr>
              <w:rPr>
                <w:rFonts w:ascii="Verdana" w:eastAsia="Verdana" w:hAnsi="Verdana" w:cs="Verdana"/>
                <w:sz w:val="18"/>
                <w:szCs w:val="18"/>
              </w:rPr>
            </w:pPr>
            <w:r>
              <w:rPr>
                <w:rFonts w:ascii="Verdana" w:eastAsia="Verdana" w:hAnsi="Verdana" w:cs="Verdana"/>
                <w:sz w:val="18"/>
                <w:szCs w:val="18"/>
              </w:rPr>
              <w:t>CASAS Paper Test Proctor Certification</w:t>
            </w:r>
          </w:p>
        </w:tc>
        <w:tc>
          <w:tcPr>
            <w:tcW w:w="2340" w:type="dxa"/>
            <w:vAlign w:val="center"/>
          </w:tcPr>
          <w:p w14:paraId="28E7EFF5" w14:textId="77777777" w:rsidR="00F8503D" w:rsidRDefault="0033067D">
            <w:pPr>
              <w:rPr>
                <w:rFonts w:ascii="Verdana" w:eastAsia="Verdana" w:hAnsi="Verdana" w:cs="Verdana"/>
                <w:sz w:val="18"/>
                <w:szCs w:val="18"/>
              </w:rPr>
            </w:pPr>
            <w:r>
              <w:rPr>
                <w:rFonts w:ascii="Verdana" w:eastAsia="Verdana" w:hAnsi="Verdana" w:cs="Verdana"/>
                <w:sz w:val="18"/>
                <w:szCs w:val="18"/>
              </w:rPr>
              <w:t>All who administer paper tests</w:t>
            </w:r>
          </w:p>
        </w:tc>
        <w:tc>
          <w:tcPr>
            <w:tcW w:w="1800" w:type="dxa"/>
            <w:vAlign w:val="center"/>
          </w:tcPr>
          <w:p w14:paraId="64ED5CF3" w14:textId="77777777" w:rsidR="00F8503D" w:rsidRDefault="0033067D">
            <w:pPr>
              <w:ind w:left="7"/>
              <w:rPr>
                <w:rFonts w:ascii="Verdana" w:eastAsia="Verdana" w:hAnsi="Verdana" w:cs="Verdana"/>
                <w:sz w:val="18"/>
                <w:szCs w:val="18"/>
              </w:rPr>
            </w:pPr>
            <w:r>
              <w:rPr>
                <w:rFonts w:ascii="Verdana" w:eastAsia="Verdana" w:hAnsi="Verdana" w:cs="Verdana"/>
                <w:sz w:val="18"/>
                <w:szCs w:val="18"/>
              </w:rPr>
              <w:t>Once</w:t>
            </w:r>
          </w:p>
        </w:tc>
        <w:tc>
          <w:tcPr>
            <w:tcW w:w="3490" w:type="dxa"/>
            <w:vAlign w:val="center"/>
          </w:tcPr>
          <w:p w14:paraId="0113B30B" w14:textId="77777777" w:rsidR="00F8503D" w:rsidRDefault="0033067D">
            <w:pPr>
              <w:ind w:hanging="24"/>
              <w:rPr>
                <w:rFonts w:ascii="Verdana" w:eastAsia="Verdana" w:hAnsi="Verdana" w:cs="Verdana"/>
                <w:sz w:val="18"/>
                <w:szCs w:val="18"/>
              </w:rPr>
            </w:pPr>
            <w:r>
              <w:rPr>
                <w:rFonts w:ascii="Verdana" w:eastAsia="Verdana" w:hAnsi="Verdana" w:cs="Verdana"/>
                <w:sz w:val="18"/>
                <w:szCs w:val="18"/>
              </w:rPr>
              <w:t>Paper Test Proctor Certification is available online from CASAS</w:t>
            </w:r>
          </w:p>
          <w:p w14:paraId="6BC85B86" w14:textId="77777777" w:rsidR="00F8503D" w:rsidRDefault="0033067D">
            <w:pPr>
              <w:ind w:hanging="24"/>
              <w:rPr>
                <w:rFonts w:ascii="Verdana" w:eastAsia="Verdana" w:hAnsi="Verdana" w:cs="Verdana"/>
                <w:sz w:val="18"/>
                <w:szCs w:val="18"/>
              </w:rPr>
            </w:pPr>
            <w:r>
              <w:rPr>
                <w:rFonts w:ascii="Verdana" w:eastAsia="Verdana" w:hAnsi="Verdana" w:cs="Verdana"/>
                <w:sz w:val="18"/>
                <w:szCs w:val="18"/>
              </w:rPr>
              <w:t>http</w:t>
            </w:r>
            <w:hyperlink r:id="rId57">
              <w:r>
                <w:rPr>
                  <w:rFonts w:ascii="Verdana" w:eastAsia="Verdana" w:hAnsi="Verdana" w:cs="Verdana"/>
                  <w:sz w:val="18"/>
                  <w:szCs w:val="18"/>
                </w:rPr>
                <w:t>s://training.casas.org</w:t>
              </w:r>
            </w:hyperlink>
          </w:p>
        </w:tc>
      </w:tr>
      <w:tr w:rsidR="00F8503D" w14:paraId="50BB1F19" w14:textId="77777777" w:rsidTr="7B188CE2">
        <w:trPr>
          <w:trHeight w:val="1295"/>
          <w:jc w:val="center"/>
        </w:trPr>
        <w:tc>
          <w:tcPr>
            <w:tcW w:w="2245" w:type="dxa"/>
            <w:vAlign w:val="center"/>
          </w:tcPr>
          <w:p w14:paraId="4E815FA2" w14:textId="77777777" w:rsidR="00F8503D" w:rsidRDefault="0033067D">
            <w:pPr>
              <w:rPr>
                <w:rFonts w:ascii="Verdana" w:eastAsia="Verdana" w:hAnsi="Verdana" w:cs="Verdana"/>
                <w:sz w:val="18"/>
                <w:szCs w:val="18"/>
              </w:rPr>
            </w:pPr>
            <w:r>
              <w:rPr>
                <w:rFonts w:ascii="Verdana" w:eastAsia="Verdana" w:hAnsi="Verdana" w:cs="Verdana"/>
                <w:sz w:val="18"/>
                <w:szCs w:val="18"/>
              </w:rPr>
              <w:t>CASAS eTest Coordinator Certification</w:t>
            </w:r>
          </w:p>
        </w:tc>
        <w:tc>
          <w:tcPr>
            <w:tcW w:w="2340" w:type="dxa"/>
            <w:vAlign w:val="center"/>
          </w:tcPr>
          <w:p w14:paraId="543EA4AA" w14:textId="77777777" w:rsidR="00F8503D" w:rsidRDefault="0033067D" w:rsidP="7B188CE2">
            <w:pPr>
              <w:ind w:left="-16"/>
              <w:rPr>
                <w:rFonts w:ascii="Verdana" w:eastAsia="Verdana" w:hAnsi="Verdana" w:cs="Verdana"/>
                <w:sz w:val="18"/>
                <w:szCs w:val="18"/>
                <w:lang w:val="en-US"/>
              </w:rPr>
            </w:pPr>
            <w:r w:rsidRPr="7B188CE2">
              <w:rPr>
                <w:rFonts w:ascii="Verdana" w:eastAsia="Verdana" w:hAnsi="Verdana" w:cs="Verdana"/>
                <w:sz w:val="18"/>
                <w:szCs w:val="18"/>
                <w:lang w:val="en-US"/>
              </w:rPr>
              <w:t>Each site must have at least one eTest coordinator; all eTest coordinators are required to be certified</w:t>
            </w:r>
          </w:p>
        </w:tc>
        <w:tc>
          <w:tcPr>
            <w:tcW w:w="1800" w:type="dxa"/>
            <w:vAlign w:val="center"/>
          </w:tcPr>
          <w:p w14:paraId="023FF8C2" w14:textId="77777777" w:rsidR="00F8503D" w:rsidRDefault="0033067D">
            <w:pPr>
              <w:ind w:left="7"/>
              <w:rPr>
                <w:rFonts w:ascii="Verdana" w:eastAsia="Verdana" w:hAnsi="Verdana" w:cs="Verdana"/>
                <w:sz w:val="18"/>
                <w:szCs w:val="18"/>
              </w:rPr>
            </w:pPr>
            <w:r>
              <w:rPr>
                <w:rFonts w:ascii="Verdana" w:eastAsia="Verdana" w:hAnsi="Verdana" w:cs="Verdana"/>
                <w:sz w:val="18"/>
                <w:szCs w:val="18"/>
              </w:rPr>
              <w:t>Once</w:t>
            </w:r>
          </w:p>
        </w:tc>
        <w:tc>
          <w:tcPr>
            <w:tcW w:w="3490" w:type="dxa"/>
            <w:vAlign w:val="center"/>
          </w:tcPr>
          <w:p w14:paraId="6B36ECA3" w14:textId="77777777" w:rsidR="00F8503D" w:rsidRDefault="0033067D">
            <w:pPr>
              <w:ind w:hanging="26"/>
              <w:rPr>
                <w:rFonts w:ascii="Verdana" w:eastAsia="Verdana" w:hAnsi="Verdana" w:cs="Verdana"/>
                <w:sz w:val="18"/>
                <w:szCs w:val="18"/>
              </w:rPr>
            </w:pPr>
            <w:r>
              <w:rPr>
                <w:rFonts w:ascii="Verdana" w:eastAsia="Verdana" w:hAnsi="Verdana" w:cs="Verdana"/>
                <w:sz w:val="18"/>
                <w:szCs w:val="18"/>
              </w:rPr>
              <w:t>eTest Coordinator Certification is available online from CASAS</w:t>
            </w:r>
          </w:p>
          <w:p w14:paraId="352111F8" w14:textId="77777777" w:rsidR="00F8503D" w:rsidRDefault="0033067D">
            <w:pPr>
              <w:ind w:hanging="26"/>
              <w:rPr>
                <w:rFonts w:ascii="Verdana" w:eastAsia="Verdana" w:hAnsi="Verdana" w:cs="Verdana"/>
                <w:sz w:val="18"/>
                <w:szCs w:val="18"/>
              </w:rPr>
            </w:pPr>
            <w:r>
              <w:rPr>
                <w:rFonts w:ascii="Verdana" w:eastAsia="Verdana" w:hAnsi="Verdana" w:cs="Verdana"/>
                <w:sz w:val="18"/>
                <w:szCs w:val="18"/>
              </w:rPr>
              <w:t>http</w:t>
            </w:r>
            <w:hyperlink r:id="rId58">
              <w:r>
                <w:rPr>
                  <w:rFonts w:ascii="Verdana" w:eastAsia="Verdana" w:hAnsi="Verdana" w:cs="Verdana"/>
                  <w:sz w:val="18"/>
                  <w:szCs w:val="18"/>
                </w:rPr>
                <w:t>s://training.casas.org</w:t>
              </w:r>
            </w:hyperlink>
          </w:p>
        </w:tc>
      </w:tr>
      <w:tr w:rsidR="00F8503D" w14:paraId="18BD5AD4" w14:textId="77777777" w:rsidTr="7B188CE2">
        <w:trPr>
          <w:trHeight w:val="1187"/>
          <w:jc w:val="center"/>
        </w:trPr>
        <w:tc>
          <w:tcPr>
            <w:tcW w:w="2245" w:type="dxa"/>
            <w:vAlign w:val="center"/>
          </w:tcPr>
          <w:p w14:paraId="35A4F147" w14:textId="77777777" w:rsidR="00F8503D" w:rsidRDefault="0033067D">
            <w:pPr>
              <w:rPr>
                <w:rFonts w:ascii="Verdana" w:eastAsia="Verdana" w:hAnsi="Verdana" w:cs="Verdana"/>
                <w:sz w:val="18"/>
                <w:szCs w:val="18"/>
              </w:rPr>
            </w:pPr>
            <w:r>
              <w:rPr>
                <w:rFonts w:ascii="Verdana" w:eastAsia="Verdana" w:hAnsi="Verdana" w:cs="Verdana"/>
                <w:sz w:val="18"/>
                <w:szCs w:val="18"/>
              </w:rPr>
              <w:t>CASAS eTest Proctor Certification</w:t>
            </w:r>
          </w:p>
        </w:tc>
        <w:tc>
          <w:tcPr>
            <w:tcW w:w="2340" w:type="dxa"/>
            <w:vAlign w:val="center"/>
          </w:tcPr>
          <w:p w14:paraId="13C8F98D" w14:textId="77777777" w:rsidR="00F8503D" w:rsidRDefault="0033067D" w:rsidP="7B188CE2">
            <w:pPr>
              <w:rPr>
                <w:rFonts w:ascii="Verdana" w:eastAsia="Verdana" w:hAnsi="Verdana" w:cs="Verdana"/>
                <w:sz w:val="18"/>
                <w:szCs w:val="18"/>
                <w:lang w:val="en-US"/>
              </w:rPr>
            </w:pPr>
            <w:r w:rsidRPr="7B188CE2">
              <w:rPr>
                <w:rFonts w:ascii="Verdana" w:eastAsia="Verdana" w:hAnsi="Verdana" w:cs="Verdana"/>
                <w:sz w:val="18"/>
                <w:szCs w:val="18"/>
                <w:lang w:val="en-US"/>
              </w:rPr>
              <w:t>All who administer eTests (eTest coordinators do not need Proctor Training)</w:t>
            </w:r>
          </w:p>
        </w:tc>
        <w:tc>
          <w:tcPr>
            <w:tcW w:w="1800" w:type="dxa"/>
            <w:vAlign w:val="center"/>
          </w:tcPr>
          <w:p w14:paraId="201A5803" w14:textId="77777777" w:rsidR="00F8503D" w:rsidRDefault="0033067D">
            <w:pPr>
              <w:rPr>
                <w:rFonts w:ascii="Verdana" w:eastAsia="Verdana" w:hAnsi="Verdana" w:cs="Verdana"/>
                <w:sz w:val="18"/>
                <w:szCs w:val="18"/>
              </w:rPr>
            </w:pPr>
            <w:r>
              <w:rPr>
                <w:rFonts w:ascii="Verdana" w:eastAsia="Verdana" w:hAnsi="Verdana" w:cs="Verdana"/>
                <w:sz w:val="18"/>
                <w:szCs w:val="18"/>
              </w:rPr>
              <w:t>Once</w:t>
            </w:r>
          </w:p>
        </w:tc>
        <w:tc>
          <w:tcPr>
            <w:tcW w:w="3490" w:type="dxa"/>
            <w:vAlign w:val="center"/>
          </w:tcPr>
          <w:p w14:paraId="2DAF3100" w14:textId="77777777" w:rsidR="00F8503D" w:rsidRDefault="0033067D">
            <w:pPr>
              <w:ind w:right="24" w:firstLine="13"/>
              <w:rPr>
                <w:rFonts w:ascii="Verdana" w:eastAsia="Verdana" w:hAnsi="Verdana" w:cs="Verdana"/>
                <w:sz w:val="18"/>
                <w:szCs w:val="18"/>
              </w:rPr>
            </w:pPr>
            <w:r>
              <w:rPr>
                <w:rFonts w:ascii="Verdana" w:eastAsia="Verdana" w:hAnsi="Verdana" w:cs="Verdana"/>
                <w:sz w:val="18"/>
                <w:szCs w:val="18"/>
              </w:rPr>
              <w:t>eTest Proctor Certification is available online from CASAS</w:t>
            </w:r>
          </w:p>
          <w:p w14:paraId="34F79289" w14:textId="77777777" w:rsidR="00F8503D" w:rsidRDefault="0033067D">
            <w:pPr>
              <w:ind w:firstLine="13"/>
              <w:rPr>
                <w:rFonts w:ascii="Verdana" w:eastAsia="Verdana" w:hAnsi="Verdana" w:cs="Verdana"/>
                <w:sz w:val="18"/>
                <w:szCs w:val="18"/>
              </w:rPr>
            </w:pPr>
            <w:r>
              <w:rPr>
                <w:rFonts w:ascii="Verdana" w:eastAsia="Verdana" w:hAnsi="Verdana" w:cs="Verdana"/>
                <w:sz w:val="18"/>
                <w:szCs w:val="18"/>
              </w:rPr>
              <w:t>http</w:t>
            </w:r>
            <w:hyperlink r:id="rId59">
              <w:r>
                <w:rPr>
                  <w:rFonts w:ascii="Verdana" w:eastAsia="Verdana" w:hAnsi="Verdana" w:cs="Verdana"/>
                  <w:sz w:val="18"/>
                  <w:szCs w:val="18"/>
                </w:rPr>
                <w:t>s://training.casas.org</w:t>
              </w:r>
            </w:hyperlink>
          </w:p>
        </w:tc>
      </w:tr>
      <w:tr w:rsidR="00F8503D" w14:paraId="603E4051" w14:textId="77777777" w:rsidTr="7B188CE2">
        <w:trPr>
          <w:trHeight w:val="1943"/>
          <w:jc w:val="center"/>
        </w:trPr>
        <w:tc>
          <w:tcPr>
            <w:tcW w:w="2245" w:type="dxa"/>
            <w:vAlign w:val="center"/>
          </w:tcPr>
          <w:p w14:paraId="33522E50" w14:textId="77777777" w:rsidR="00F8503D" w:rsidRDefault="0033067D">
            <w:pPr>
              <w:ind w:right="43"/>
              <w:rPr>
                <w:rFonts w:ascii="Verdana" w:eastAsia="Verdana" w:hAnsi="Verdana" w:cs="Verdana"/>
                <w:sz w:val="18"/>
                <w:szCs w:val="18"/>
              </w:rPr>
            </w:pPr>
            <w:r>
              <w:rPr>
                <w:rFonts w:ascii="Verdana" w:eastAsia="Verdana" w:hAnsi="Verdana" w:cs="Verdana"/>
                <w:sz w:val="18"/>
                <w:szCs w:val="18"/>
              </w:rPr>
              <w:lastRenderedPageBreak/>
              <w:t>CASAS Remote Proctor Certification</w:t>
            </w:r>
          </w:p>
        </w:tc>
        <w:tc>
          <w:tcPr>
            <w:tcW w:w="2340" w:type="dxa"/>
            <w:vAlign w:val="center"/>
          </w:tcPr>
          <w:p w14:paraId="72C78ED9" w14:textId="77777777" w:rsidR="00F8503D" w:rsidRDefault="0033067D">
            <w:pPr>
              <w:ind w:hanging="2"/>
              <w:rPr>
                <w:rFonts w:ascii="Verdana" w:eastAsia="Verdana" w:hAnsi="Verdana" w:cs="Verdana"/>
                <w:sz w:val="18"/>
                <w:szCs w:val="18"/>
              </w:rPr>
            </w:pPr>
            <w:r>
              <w:rPr>
                <w:rFonts w:ascii="Verdana" w:eastAsia="Verdana" w:hAnsi="Verdana" w:cs="Verdana"/>
                <w:sz w:val="18"/>
                <w:szCs w:val="18"/>
              </w:rPr>
              <w:t>All who administer CASAS tests remotely</w:t>
            </w:r>
          </w:p>
        </w:tc>
        <w:tc>
          <w:tcPr>
            <w:tcW w:w="1800" w:type="dxa"/>
            <w:vAlign w:val="center"/>
          </w:tcPr>
          <w:p w14:paraId="6CC0083A" w14:textId="77777777" w:rsidR="00F8503D" w:rsidRDefault="0033067D">
            <w:pPr>
              <w:ind w:left="7"/>
              <w:rPr>
                <w:rFonts w:ascii="Verdana" w:eastAsia="Verdana" w:hAnsi="Verdana" w:cs="Verdana"/>
                <w:sz w:val="18"/>
                <w:szCs w:val="18"/>
              </w:rPr>
            </w:pPr>
            <w:r>
              <w:rPr>
                <w:rFonts w:ascii="Verdana" w:eastAsia="Verdana" w:hAnsi="Verdana" w:cs="Verdana"/>
                <w:sz w:val="18"/>
                <w:szCs w:val="18"/>
              </w:rPr>
              <w:t>Once before administering any CASAS test remotely</w:t>
            </w:r>
          </w:p>
        </w:tc>
        <w:tc>
          <w:tcPr>
            <w:tcW w:w="3490" w:type="dxa"/>
            <w:vAlign w:val="center"/>
          </w:tcPr>
          <w:p w14:paraId="1E087A68" w14:textId="77777777" w:rsidR="00F8503D" w:rsidRDefault="0033067D">
            <w:pPr>
              <w:rPr>
                <w:rFonts w:ascii="Verdana" w:eastAsia="Verdana" w:hAnsi="Verdana" w:cs="Verdana"/>
                <w:sz w:val="18"/>
                <w:szCs w:val="18"/>
              </w:rPr>
            </w:pPr>
            <w:r>
              <w:rPr>
                <w:rFonts w:ascii="Verdana" w:eastAsia="Verdana" w:hAnsi="Verdana" w:cs="Verdana"/>
                <w:sz w:val="18"/>
                <w:szCs w:val="18"/>
              </w:rPr>
              <w:t>Remote Proctor Certification is available online from CASAS.</w:t>
            </w:r>
          </w:p>
          <w:p w14:paraId="464C9975" w14:textId="77777777" w:rsidR="00F8503D" w:rsidRDefault="0033067D">
            <w:pPr>
              <w:rPr>
                <w:rFonts w:ascii="Verdana" w:eastAsia="Verdana" w:hAnsi="Verdana" w:cs="Verdana"/>
                <w:sz w:val="18"/>
                <w:szCs w:val="18"/>
              </w:rPr>
            </w:pPr>
            <w:r>
              <w:rPr>
                <w:rFonts w:ascii="Verdana" w:eastAsia="Verdana" w:hAnsi="Verdana" w:cs="Verdana"/>
                <w:sz w:val="18"/>
                <w:szCs w:val="18"/>
              </w:rPr>
              <w:t>http</w:t>
            </w:r>
            <w:hyperlink r:id="rId60">
              <w:r>
                <w:rPr>
                  <w:rFonts w:ascii="Verdana" w:eastAsia="Verdana" w:hAnsi="Verdana" w:cs="Verdana"/>
                  <w:sz w:val="18"/>
                  <w:szCs w:val="18"/>
                </w:rPr>
                <w:t>s://training.casas.org</w:t>
              </w:r>
            </w:hyperlink>
            <w:r>
              <w:rPr>
                <w:rFonts w:ascii="Verdana" w:eastAsia="Verdana" w:hAnsi="Verdana" w:cs="Verdana"/>
                <w:sz w:val="18"/>
                <w:szCs w:val="18"/>
              </w:rPr>
              <w:br/>
              <w:t>Please note: all remote proctors must take eTest proctor training first and sign a proctor agreement with CASAS before remotely</w:t>
            </w:r>
          </w:p>
          <w:p w14:paraId="03A807C2" w14:textId="77777777" w:rsidR="00F8503D" w:rsidRDefault="0033067D">
            <w:pPr>
              <w:rPr>
                <w:rFonts w:ascii="Verdana" w:eastAsia="Verdana" w:hAnsi="Verdana" w:cs="Verdana"/>
                <w:sz w:val="18"/>
                <w:szCs w:val="18"/>
              </w:rPr>
            </w:pPr>
            <w:r>
              <w:rPr>
                <w:rFonts w:ascii="Verdana" w:eastAsia="Verdana" w:hAnsi="Verdana" w:cs="Verdana"/>
                <w:sz w:val="18"/>
                <w:szCs w:val="18"/>
              </w:rPr>
              <w:t>proctoring tests</w:t>
            </w:r>
          </w:p>
        </w:tc>
      </w:tr>
      <w:tr w:rsidR="00F8503D" w14:paraId="770E88B6" w14:textId="77777777" w:rsidTr="7B188CE2">
        <w:trPr>
          <w:trHeight w:val="1250"/>
          <w:jc w:val="center"/>
        </w:trPr>
        <w:tc>
          <w:tcPr>
            <w:tcW w:w="2245" w:type="dxa"/>
            <w:vAlign w:val="center"/>
          </w:tcPr>
          <w:p w14:paraId="4F364F06" w14:textId="77777777" w:rsidR="00F8503D" w:rsidRDefault="0033067D" w:rsidP="7B188CE2">
            <w:pPr>
              <w:ind w:right="45"/>
              <w:rPr>
                <w:rFonts w:ascii="Verdana" w:eastAsia="Verdana" w:hAnsi="Verdana" w:cs="Verdana"/>
                <w:sz w:val="18"/>
                <w:szCs w:val="18"/>
                <w:lang w:val="en-US"/>
              </w:rPr>
            </w:pPr>
            <w:r w:rsidRPr="7B188CE2">
              <w:rPr>
                <w:rFonts w:ascii="Verdana" w:eastAsia="Verdana" w:hAnsi="Verdana" w:cs="Verdana"/>
                <w:sz w:val="18"/>
                <w:szCs w:val="18"/>
                <w:lang w:val="en-US"/>
              </w:rPr>
              <w:t xml:space="preserve">CASAS Recertification </w:t>
            </w:r>
            <w:r>
              <w:br/>
            </w:r>
            <w:r w:rsidRPr="7B188CE2">
              <w:rPr>
                <w:rFonts w:ascii="Verdana" w:eastAsia="Verdana" w:hAnsi="Verdana" w:cs="Verdana"/>
                <w:sz w:val="18"/>
                <w:szCs w:val="18"/>
                <w:lang w:val="en-US"/>
              </w:rPr>
              <w:t>(eTests or Paper Tests)</w:t>
            </w:r>
          </w:p>
        </w:tc>
        <w:tc>
          <w:tcPr>
            <w:tcW w:w="2340" w:type="dxa"/>
            <w:vAlign w:val="center"/>
          </w:tcPr>
          <w:p w14:paraId="71826CB9" w14:textId="77777777" w:rsidR="00F8503D" w:rsidRDefault="0033067D">
            <w:pPr>
              <w:rPr>
                <w:rFonts w:ascii="Verdana" w:eastAsia="Verdana" w:hAnsi="Verdana" w:cs="Verdana"/>
                <w:sz w:val="18"/>
                <w:szCs w:val="18"/>
              </w:rPr>
            </w:pPr>
            <w:r>
              <w:rPr>
                <w:rFonts w:ascii="Verdana" w:eastAsia="Verdana" w:hAnsi="Verdana" w:cs="Verdana"/>
                <w:sz w:val="18"/>
                <w:szCs w:val="18"/>
              </w:rPr>
              <w:t>Anyone involved in administering CASAS tests</w:t>
            </w:r>
          </w:p>
        </w:tc>
        <w:tc>
          <w:tcPr>
            <w:tcW w:w="1800" w:type="dxa"/>
            <w:vAlign w:val="center"/>
          </w:tcPr>
          <w:p w14:paraId="3391E35A" w14:textId="77777777" w:rsidR="00F8503D" w:rsidRDefault="0033067D">
            <w:pPr>
              <w:rPr>
                <w:rFonts w:ascii="Verdana" w:eastAsia="Verdana" w:hAnsi="Verdana" w:cs="Verdana"/>
                <w:sz w:val="18"/>
                <w:szCs w:val="18"/>
              </w:rPr>
            </w:pPr>
            <w:r>
              <w:rPr>
                <w:rFonts w:ascii="Verdana" w:eastAsia="Verdana" w:hAnsi="Verdana" w:cs="Verdana"/>
                <w:sz w:val="18"/>
                <w:szCs w:val="18"/>
              </w:rPr>
              <w:t>Every 3 years</w:t>
            </w:r>
          </w:p>
        </w:tc>
        <w:tc>
          <w:tcPr>
            <w:tcW w:w="3490" w:type="dxa"/>
            <w:vAlign w:val="center"/>
          </w:tcPr>
          <w:p w14:paraId="7ECBCE21" w14:textId="77777777" w:rsidR="00F8503D" w:rsidRDefault="0033067D">
            <w:pPr>
              <w:rPr>
                <w:rFonts w:ascii="Verdana" w:eastAsia="Verdana" w:hAnsi="Verdana" w:cs="Verdana"/>
                <w:sz w:val="18"/>
                <w:szCs w:val="18"/>
              </w:rPr>
            </w:pPr>
            <w:r>
              <w:rPr>
                <w:rFonts w:ascii="Verdana" w:eastAsia="Verdana" w:hAnsi="Verdana" w:cs="Verdana"/>
                <w:sz w:val="18"/>
                <w:szCs w:val="18"/>
              </w:rPr>
              <w:t>Online from CASAS http</w:t>
            </w:r>
            <w:hyperlink r:id="rId61">
              <w:r>
                <w:rPr>
                  <w:rFonts w:ascii="Verdana" w:eastAsia="Verdana" w:hAnsi="Verdana" w:cs="Verdana"/>
                  <w:sz w:val="18"/>
                  <w:szCs w:val="18"/>
                </w:rPr>
                <w:t>s://training.casas.org</w:t>
              </w:r>
            </w:hyperlink>
          </w:p>
          <w:p w14:paraId="6BAFD168" w14:textId="77777777" w:rsidR="00F8503D" w:rsidRDefault="00F8503D">
            <w:pPr>
              <w:rPr>
                <w:rFonts w:ascii="Verdana" w:eastAsia="Verdana" w:hAnsi="Verdana" w:cs="Verdana"/>
                <w:sz w:val="18"/>
                <w:szCs w:val="18"/>
              </w:rPr>
            </w:pPr>
          </w:p>
          <w:p w14:paraId="530161B7" w14:textId="77777777" w:rsidR="00F8503D" w:rsidRDefault="0033067D" w:rsidP="7B188CE2">
            <w:pPr>
              <w:rPr>
                <w:rFonts w:ascii="Verdana" w:eastAsia="Verdana" w:hAnsi="Verdana" w:cs="Verdana"/>
                <w:sz w:val="18"/>
                <w:szCs w:val="18"/>
                <w:lang w:val="en-US"/>
              </w:rPr>
            </w:pPr>
            <w:r w:rsidRPr="7B188CE2">
              <w:rPr>
                <w:rFonts w:ascii="Verdana" w:eastAsia="Verdana" w:hAnsi="Verdana" w:cs="Verdana"/>
                <w:sz w:val="18"/>
                <w:szCs w:val="18"/>
                <w:lang w:val="en-US"/>
              </w:rPr>
              <w:t>Choose one option by role</w:t>
            </w:r>
            <w:r>
              <w:br/>
            </w:r>
            <w:r w:rsidRPr="7B188CE2">
              <w:rPr>
                <w:rFonts w:ascii="Verdana" w:eastAsia="Verdana" w:hAnsi="Verdana" w:cs="Verdana"/>
                <w:sz w:val="18"/>
                <w:szCs w:val="18"/>
                <w:lang w:val="en-US"/>
              </w:rPr>
              <w:t>per role fulfilled</w:t>
            </w:r>
          </w:p>
        </w:tc>
      </w:tr>
      <w:tr w:rsidR="00F8503D" w14:paraId="53A24C1D" w14:textId="77777777" w:rsidTr="7B188CE2">
        <w:trPr>
          <w:trHeight w:val="1086"/>
          <w:jc w:val="center"/>
        </w:trPr>
        <w:tc>
          <w:tcPr>
            <w:tcW w:w="2245" w:type="dxa"/>
            <w:vAlign w:val="center"/>
          </w:tcPr>
          <w:p w14:paraId="039FA927" w14:textId="77777777" w:rsidR="00F8503D" w:rsidRDefault="0033067D">
            <w:pPr>
              <w:ind w:left="-23" w:right="43"/>
              <w:rPr>
                <w:rFonts w:ascii="Verdana" w:eastAsia="Verdana" w:hAnsi="Verdana" w:cs="Verdana"/>
                <w:sz w:val="18"/>
                <w:szCs w:val="18"/>
              </w:rPr>
            </w:pPr>
            <w:r>
              <w:rPr>
                <w:rFonts w:ascii="Verdana" w:eastAsia="Verdana" w:hAnsi="Verdana" w:cs="Verdana"/>
                <w:sz w:val="18"/>
                <w:szCs w:val="18"/>
              </w:rPr>
              <w:t>Oregon Assessment Certification</w:t>
            </w:r>
          </w:p>
        </w:tc>
        <w:tc>
          <w:tcPr>
            <w:tcW w:w="2340" w:type="dxa"/>
            <w:vAlign w:val="center"/>
          </w:tcPr>
          <w:p w14:paraId="1F28FA89" w14:textId="77777777" w:rsidR="00F8503D" w:rsidRDefault="0033067D">
            <w:pPr>
              <w:rPr>
                <w:rFonts w:ascii="Verdana" w:eastAsia="Verdana" w:hAnsi="Verdana" w:cs="Verdana"/>
                <w:sz w:val="18"/>
                <w:szCs w:val="18"/>
              </w:rPr>
            </w:pPr>
            <w:r>
              <w:rPr>
                <w:rFonts w:ascii="Verdana" w:eastAsia="Verdana" w:hAnsi="Verdana" w:cs="Verdana"/>
                <w:sz w:val="18"/>
                <w:szCs w:val="18"/>
              </w:rPr>
              <w:t>All who administer tests</w:t>
            </w:r>
          </w:p>
        </w:tc>
        <w:tc>
          <w:tcPr>
            <w:tcW w:w="1800" w:type="dxa"/>
            <w:vAlign w:val="center"/>
          </w:tcPr>
          <w:p w14:paraId="02202A8C" w14:textId="77777777" w:rsidR="00F8503D" w:rsidRDefault="0033067D">
            <w:pPr>
              <w:rPr>
                <w:rFonts w:ascii="Verdana" w:eastAsia="Verdana" w:hAnsi="Verdana" w:cs="Verdana"/>
                <w:sz w:val="18"/>
                <w:szCs w:val="18"/>
              </w:rPr>
            </w:pPr>
            <w:r>
              <w:rPr>
                <w:rFonts w:ascii="Verdana" w:eastAsia="Verdana" w:hAnsi="Verdana" w:cs="Verdana"/>
                <w:sz w:val="18"/>
                <w:szCs w:val="18"/>
              </w:rPr>
              <w:t>Every 3 years</w:t>
            </w:r>
          </w:p>
        </w:tc>
        <w:tc>
          <w:tcPr>
            <w:tcW w:w="3490" w:type="dxa"/>
            <w:vAlign w:val="center"/>
          </w:tcPr>
          <w:p w14:paraId="270CE8FE" w14:textId="77777777" w:rsidR="00F8503D" w:rsidRDefault="0033067D">
            <w:pPr>
              <w:ind w:hanging="24"/>
              <w:rPr>
                <w:rFonts w:ascii="Verdana" w:eastAsia="Verdana" w:hAnsi="Verdana" w:cs="Verdana"/>
                <w:i/>
                <w:iCs/>
                <w:sz w:val="18"/>
                <w:szCs w:val="18"/>
              </w:rPr>
            </w:pPr>
            <w:r>
              <w:rPr>
                <w:rFonts w:ascii="Verdana" w:eastAsia="Verdana" w:hAnsi="Verdana" w:cs="Verdana"/>
                <w:sz w:val="18"/>
                <w:szCs w:val="18"/>
              </w:rPr>
              <w:t xml:space="preserve">Complete the Oregon Assessment signature page. </w:t>
            </w:r>
            <w:r>
              <w:rPr>
                <w:rFonts w:ascii="Verdana" w:eastAsia="Verdana" w:hAnsi="Verdana" w:cs="Verdana"/>
                <w:i/>
                <w:iCs/>
                <w:sz w:val="18"/>
                <w:szCs w:val="18"/>
              </w:rPr>
              <w:t>See Appendix</w:t>
            </w:r>
          </w:p>
          <w:p w14:paraId="35533197" w14:textId="77777777" w:rsidR="00F8503D" w:rsidRDefault="0033067D">
            <w:pPr>
              <w:ind w:hanging="24"/>
              <w:rPr>
                <w:rFonts w:ascii="Verdana" w:eastAsia="Verdana" w:hAnsi="Verdana" w:cs="Verdana"/>
                <w:i/>
                <w:iCs/>
                <w:sz w:val="18"/>
                <w:szCs w:val="18"/>
              </w:rPr>
            </w:pPr>
            <w:r>
              <w:rPr>
                <w:rFonts w:ascii="Verdana" w:eastAsia="Verdana" w:hAnsi="Verdana" w:cs="Verdana"/>
                <w:i/>
                <w:iCs/>
                <w:sz w:val="18"/>
                <w:szCs w:val="18"/>
              </w:rPr>
              <w:t>10.3 for Assessment Certification Procedures.</w:t>
            </w:r>
          </w:p>
        </w:tc>
      </w:tr>
    </w:tbl>
    <w:p w14:paraId="144EE1B5" w14:textId="77777777" w:rsidR="00F8503D" w:rsidRDefault="0033067D">
      <w:pPr>
        <w:keepNext/>
        <w:numPr>
          <w:ilvl w:val="2"/>
          <w:numId w:val="24"/>
        </w:numPr>
        <w:pBdr>
          <w:top w:val="nil"/>
          <w:left w:val="nil"/>
          <w:bottom w:val="nil"/>
          <w:right w:val="nil"/>
          <w:between w:val="nil"/>
        </w:pBdr>
        <w:spacing w:before="240" w:after="40" w:line="276" w:lineRule="auto"/>
      </w:pPr>
      <w:bookmarkStart w:id="32" w:name="_ukbr6ijmvuog" w:colFirst="0" w:colLast="0"/>
      <w:bookmarkEnd w:id="32"/>
      <w:r>
        <w:rPr>
          <w:rFonts w:ascii="Arial" w:eastAsia="Arial" w:hAnsi="Arial" w:cs="Arial"/>
          <w:smallCaps/>
          <w:color w:val="6A976C"/>
          <w:sz w:val="28"/>
          <w:szCs w:val="28"/>
        </w:rPr>
        <w:t>Assessment Integrity and Security</w:t>
      </w:r>
    </w:p>
    <w:p w14:paraId="3135A92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72A82E0A" w14:textId="6D43EB6F" w:rsidR="00F8503D" w:rsidRDefault="0033067D">
      <w:pPr>
        <w:numPr>
          <w:ilvl w:val="3"/>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follow the Test Administration Manual published by CASAS. Programs must maintain copies of the appropriate administration manuals for all assessments used at every testing site.</w:t>
      </w:r>
    </w:p>
    <w:p w14:paraId="38FB17CA" w14:textId="77777777" w:rsidR="00F8503D" w:rsidRDefault="0033067D">
      <w:pPr>
        <w:numPr>
          <w:ilvl w:val="3"/>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The program director must safeguard all standardized assessment materials, including testing booklets and answer sheets that contain marks or responses.</w:t>
      </w:r>
    </w:p>
    <w:p w14:paraId="13CC786D" w14:textId="77777777" w:rsidR="00F8503D" w:rsidRDefault="0033067D">
      <w:pPr>
        <w:numPr>
          <w:ilvl w:val="3"/>
          <w:numId w:val="24"/>
        </w:numPr>
        <w:pBdr>
          <w:top w:val="nil"/>
          <w:left w:val="nil"/>
          <w:bottom w:val="nil"/>
          <w:right w:val="nil"/>
          <w:between w:val="nil"/>
        </w:pBdr>
        <w:spacing w:after="160" w:line="276" w:lineRule="auto"/>
        <w:ind w:left="360"/>
      </w:pPr>
      <w:r>
        <w:rPr>
          <w:rFonts w:ascii="Verdana" w:eastAsia="Verdana" w:hAnsi="Verdana" w:cs="Verdana"/>
          <w:color w:val="000000"/>
          <w:sz w:val="23"/>
          <w:szCs w:val="23"/>
        </w:rPr>
        <w:t>Certified test administrators must sign a test security agreement.</w:t>
      </w:r>
    </w:p>
    <w:p w14:paraId="2634B17C" w14:textId="35B60F69" w:rsidR="00F8503D" w:rsidRDefault="0033067D">
      <w:pPr>
        <w:numPr>
          <w:ilvl w:val="3"/>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CASAS assessment data, along with registration and attendance data, must be entered into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within 30 days of collection.</w:t>
      </w:r>
    </w:p>
    <w:p w14:paraId="4E89AB40" w14:textId="77777777" w:rsidR="00F8503D" w:rsidRDefault="0033067D">
      <w:pPr>
        <w:numPr>
          <w:ilvl w:val="3"/>
          <w:numId w:val="24"/>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use the following quality control procedures to verify that appropriate assessment procedures have been followed:</w:t>
      </w:r>
    </w:p>
    <w:p w14:paraId="127BA1DA" w14:textId="77777777" w:rsidR="00F8503D" w:rsidRDefault="0033067D">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t>Data integrity checks;</w:t>
      </w:r>
    </w:p>
    <w:p w14:paraId="2BFCD561" w14:textId="77777777" w:rsidR="00F8503D" w:rsidRDefault="0033067D">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t>System logic to prevent inappropriate assessments from being entered;</w:t>
      </w:r>
    </w:p>
    <w:p w14:paraId="1D92B206" w14:textId="77777777" w:rsidR="00F8503D" w:rsidRDefault="0033067D">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t>Filtering of incorrect scale score gains;</w:t>
      </w:r>
    </w:p>
    <w:p w14:paraId="1FC4441B" w14:textId="77777777" w:rsidR="00F8503D" w:rsidRDefault="0033067D">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t>Data verification procedures;</w:t>
      </w:r>
    </w:p>
    <w:p w14:paraId="477594ED" w14:textId="77777777" w:rsidR="00F8503D" w:rsidRDefault="0033067D">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t>Validating and editing data policies and procedures;</w:t>
      </w:r>
    </w:p>
    <w:p w14:paraId="04DF2F21" w14:textId="77777777" w:rsidR="00F8503D" w:rsidRDefault="0033067D">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t>Record retention according to policy;</w:t>
      </w:r>
    </w:p>
    <w:p w14:paraId="011FAF1A" w14:textId="77777777" w:rsidR="00F8503D" w:rsidRDefault="0033067D">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lastRenderedPageBreak/>
        <w:t>Timely training for program administrators;</w:t>
      </w:r>
    </w:p>
    <w:p w14:paraId="378D2F12" w14:textId="4AB85BED" w:rsidR="00F8503D" w:rsidRDefault="00A36301">
      <w:pPr>
        <w:numPr>
          <w:ilvl w:val="0"/>
          <w:numId w:val="105"/>
        </w:numPr>
        <w:pBdr>
          <w:top w:val="nil"/>
          <w:left w:val="nil"/>
          <w:bottom w:val="nil"/>
          <w:right w:val="nil"/>
          <w:between w:val="nil"/>
        </w:pBdr>
        <w:spacing w:after="160" w:line="276" w:lineRule="auto"/>
        <w:ind w:left="1080"/>
      </w:pPr>
      <w:r>
        <w:rPr>
          <w:rFonts w:ascii="Verdana" w:eastAsia="Verdana" w:hAnsi="Verdana" w:cs="Verdana"/>
          <w:color w:val="000000"/>
          <w:sz w:val="23"/>
          <w:szCs w:val="23"/>
        </w:rPr>
        <w:t>R</w:t>
      </w:r>
      <w:r w:rsidR="0033067D">
        <w:rPr>
          <w:rFonts w:ascii="Verdana" w:eastAsia="Verdana" w:hAnsi="Verdana" w:cs="Verdana"/>
          <w:color w:val="000000"/>
          <w:sz w:val="23"/>
          <w:szCs w:val="23"/>
        </w:rPr>
        <w:t>ecertification requirements for test administrators</w:t>
      </w:r>
    </w:p>
    <w:p w14:paraId="3E5388FA" w14:textId="77777777" w:rsidR="00F8503D" w:rsidRDefault="0033067D">
      <w:pPr>
        <w:keepNext/>
        <w:numPr>
          <w:ilvl w:val="2"/>
          <w:numId w:val="24"/>
        </w:numPr>
        <w:pBdr>
          <w:top w:val="nil"/>
          <w:left w:val="nil"/>
          <w:bottom w:val="nil"/>
          <w:right w:val="nil"/>
          <w:between w:val="nil"/>
        </w:pBdr>
        <w:spacing w:before="240" w:after="40" w:line="276" w:lineRule="auto"/>
      </w:pPr>
      <w:bookmarkStart w:id="33" w:name="_1swvymvuofhx" w:colFirst="0" w:colLast="0"/>
      <w:bookmarkEnd w:id="33"/>
      <w:r>
        <w:rPr>
          <w:rFonts w:ascii="Arial" w:eastAsia="Arial" w:hAnsi="Arial" w:cs="Arial"/>
          <w:smallCaps/>
          <w:color w:val="6A976C"/>
          <w:sz w:val="28"/>
          <w:szCs w:val="28"/>
        </w:rPr>
        <w:t>Purchasing Procedures for Each Assessment</w:t>
      </w:r>
    </w:p>
    <w:p w14:paraId="25BAB00B"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06006BF1" w14:textId="3C5EF97D"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2FBE22C5">
        <w:rPr>
          <w:rFonts w:ascii="Verdana" w:eastAsia="Verdana" w:hAnsi="Verdana" w:cs="Verdana"/>
          <w:color w:val="000000" w:themeColor="text1"/>
          <w:sz w:val="23"/>
          <w:szCs w:val="23"/>
          <w:lang w:val="en-US"/>
        </w:rPr>
        <w:t xml:space="preserve">Only certified administrators may order CASAS assessments authorized for use in Oregon from CASAS for their programs. </w:t>
      </w:r>
    </w:p>
    <w:p w14:paraId="5939BD23"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34" w:name="_f6hl3deu0gkp" w:colFirst="0" w:colLast="0"/>
      <w:bookmarkEnd w:id="34"/>
      <w:r>
        <w:rPr>
          <w:rFonts w:ascii="Arial" w:eastAsia="Arial" w:hAnsi="Arial" w:cs="Arial"/>
          <w:b/>
          <w:bCs/>
          <w:smallCaps/>
          <w:color w:val="6A976C"/>
          <w:sz w:val="32"/>
          <w:szCs w:val="32"/>
        </w:rPr>
        <w:lastRenderedPageBreak/>
        <w:t>Data Collection and Management</w:t>
      </w:r>
    </w:p>
    <w:p w14:paraId="1719D796" w14:textId="77777777" w:rsidR="00F8503D" w:rsidRDefault="0033067D">
      <w:pPr>
        <w:keepNext/>
        <w:numPr>
          <w:ilvl w:val="2"/>
          <w:numId w:val="24"/>
        </w:numPr>
        <w:pBdr>
          <w:top w:val="nil"/>
          <w:left w:val="nil"/>
          <w:bottom w:val="nil"/>
          <w:right w:val="nil"/>
          <w:between w:val="nil"/>
        </w:pBdr>
        <w:spacing w:before="240" w:after="40" w:line="276" w:lineRule="auto"/>
      </w:pPr>
      <w:bookmarkStart w:id="35" w:name="_34dmi41ogqm8" w:colFirst="0" w:colLast="0"/>
      <w:bookmarkEnd w:id="35"/>
      <w:r>
        <w:rPr>
          <w:rFonts w:ascii="Arial" w:eastAsia="Arial" w:hAnsi="Arial" w:cs="Arial"/>
          <w:smallCaps/>
          <w:color w:val="6A976C"/>
          <w:sz w:val="28"/>
          <w:szCs w:val="28"/>
        </w:rPr>
        <w:t>Data Privacy and Sharing</w:t>
      </w:r>
    </w:p>
    <w:p w14:paraId="5570503C"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50C2F73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Personally Identifiable Information</w:t>
      </w:r>
    </w:p>
    <w:p w14:paraId="62930EFC"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Title II programs must comply with the Family Educational Rights and Privacy Act (FERPA) (20 U.S.C. 1232g), a federal privacy law administered by the U.S. Department of Education. FERPA and its implementing regulations (34 CFR part 99) aim to protect the privacy of individual education records and afford parents and eligible individuals certain rights to inspect and review education records, seek to amend these records, and consent to the disclosure of personally identifiable information (PII) from education records. The general rule under FERPA is that PII from education records cannot be disclosed or shared without written consent. For the full text of 20 U.S.C. 1232g, see the Office of the Law Revision Counsel’s United States Code web page.</w:t>
      </w:r>
    </w:p>
    <w:p w14:paraId="3EB2CC1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"Personally Identifiable Information," according to FERPA, includes, but is not limited to:</w:t>
      </w:r>
    </w:p>
    <w:p w14:paraId="6C4D43F5" w14:textId="77777777" w:rsidR="00F8503D" w:rsidRDefault="0033067D">
      <w:pPr>
        <w:numPr>
          <w:ilvl w:val="0"/>
          <w:numId w:val="106"/>
        </w:numPr>
        <w:pBdr>
          <w:top w:val="nil"/>
          <w:left w:val="nil"/>
          <w:bottom w:val="nil"/>
          <w:right w:val="nil"/>
          <w:between w:val="nil"/>
        </w:pBdr>
        <w:spacing w:after="160" w:line="276" w:lineRule="auto"/>
        <w:ind w:left="360"/>
      </w:pPr>
      <w:r>
        <w:rPr>
          <w:rFonts w:ascii="Verdana" w:eastAsia="Verdana" w:hAnsi="Verdana" w:cs="Verdana"/>
          <w:color w:val="000000"/>
          <w:sz w:val="23"/>
          <w:szCs w:val="23"/>
        </w:rPr>
        <w:t>The individual’s name;</w:t>
      </w:r>
    </w:p>
    <w:p w14:paraId="6B34FC85" w14:textId="77777777" w:rsidR="00F8503D" w:rsidRDefault="0033067D">
      <w:pPr>
        <w:numPr>
          <w:ilvl w:val="0"/>
          <w:numId w:val="106"/>
        </w:numPr>
        <w:pBdr>
          <w:top w:val="nil"/>
          <w:left w:val="nil"/>
          <w:bottom w:val="nil"/>
          <w:right w:val="nil"/>
          <w:between w:val="nil"/>
        </w:pBdr>
        <w:spacing w:after="160" w:line="276" w:lineRule="auto"/>
        <w:ind w:left="360"/>
      </w:pPr>
      <w:r>
        <w:rPr>
          <w:rFonts w:ascii="Verdana" w:eastAsia="Verdana" w:hAnsi="Verdana" w:cs="Verdana"/>
          <w:color w:val="000000"/>
          <w:sz w:val="23"/>
          <w:szCs w:val="23"/>
        </w:rPr>
        <w:t>The name of the individual’s parent or other family members;</w:t>
      </w:r>
    </w:p>
    <w:p w14:paraId="6AC87785" w14:textId="77777777" w:rsidR="00F8503D" w:rsidRDefault="0033067D">
      <w:pPr>
        <w:numPr>
          <w:ilvl w:val="0"/>
          <w:numId w:val="106"/>
        </w:numPr>
        <w:pBdr>
          <w:top w:val="nil"/>
          <w:left w:val="nil"/>
          <w:bottom w:val="nil"/>
          <w:right w:val="nil"/>
          <w:between w:val="nil"/>
        </w:pBdr>
        <w:spacing w:after="160" w:line="276" w:lineRule="auto"/>
        <w:ind w:left="360"/>
      </w:pPr>
      <w:r>
        <w:rPr>
          <w:rFonts w:ascii="Verdana" w:eastAsia="Verdana" w:hAnsi="Verdana" w:cs="Verdana"/>
          <w:color w:val="000000"/>
          <w:sz w:val="23"/>
          <w:szCs w:val="23"/>
        </w:rPr>
        <w:t>The address of the individual or the individual’s family;</w:t>
      </w:r>
    </w:p>
    <w:p w14:paraId="279E173D" w14:textId="2295F3C6" w:rsidR="00F8503D" w:rsidRDefault="0033067D">
      <w:pPr>
        <w:numPr>
          <w:ilvl w:val="0"/>
          <w:numId w:val="106"/>
        </w:numPr>
        <w:pBdr>
          <w:top w:val="nil"/>
          <w:left w:val="nil"/>
          <w:bottom w:val="nil"/>
          <w:right w:val="nil"/>
          <w:between w:val="nil"/>
        </w:pBdr>
        <w:spacing w:after="160" w:line="276" w:lineRule="auto"/>
        <w:ind w:left="360"/>
        <w:rPr>
          <w:rFonts w:ascii="Verdana" w:eastAsia="Verdana" w:hAnsi="Verdana" w:cs="Verdana"/>
          <w:color w:val="000000" w:themeColor="text1"/>
          <w:sz w:val="23"/>
          <w:szCs w:val="23"/>
        </w:rPr>
      </w:pPr>
      <w:r w:rsidRPr="0E6AD713">
        <w:rPr>
          <w:rFonts w:ascii="Verdana" w:eastAsia="Verdana" w:hAnsi="Verdana" w:cs="Verdana"/>
          <w:color w:val="000000" w:themeColor="text1"/>
          <w:sz w:val="23"/>
          <w:szCs w:val="23"/>
        </w:rPr>
        <w:t xml:space="preserve">A personal identifier, such as the individual’s social security number, </w:t>
      </w:r>
      <w:r w:rsidR="6AF5AD3B" w:rsidRPr="0E6AD713">
        <w:rPr>
          <w:rFonts w:ascii="Verdana" w:eastAsia="Verdana" w:hAnsi="Verdana" w:cs="Verdana"/>
          <w:color w:val="000000" w:themeColor="text1"/>
          <w:sz w:val="23"/>
          <w:szCs w:val="23"/>
        </w:rPr>
        <w:t xml:space="preserve">learner </w:t>
      </w:r>
      <w:r w:rsidRPr="0E6AD713">
        <w:rPr>
          <w:rFonts w:ascii="Verdana" w:eastAsia="Verdana" w:hAnsi="Verdana" w:cs="Verdana"/>
          <w:color w:val="000000" w:themeColor="text1"/>
          <w:sz w:val="23"/>
          <w:szCs w:val="23"/>
        </w:rPr>
        <w:t>number, or biometric record;</w:t>
      </w:r>
    </w:p>
    <w:p w14:paraId="76EE449E" w14:textId="77777777" w:rsidR="00F8503D" w:rsidRDefault="0033067D">
      <w:pPr>
        <w:numPr>
          <w:ilvl w:val="0"/>
          <w:numId w:val="106"/>
        </w:numPr>
        <w:pBdr>
          <w:top w:val="nil"/>
          <w:left w:val="nil"/>
          <w:bottom w:val="nil"/>
          <w:right w:val="nil"/>
          <w:between w:val="nil"/>
        </w:pBdr>
        <w:spacing w:after="160" w:line="276" w:lineRule="auto"/>
        <w:ind w:left="360"/>
      </w:pPr>
      <w:r>
        <w:rPr>
          <w:rFonts w:ascii="Verdana" w:eastAsia="Verdana" w:hAnsi="Verdana" w:cs="Verdana"/>
          <w:color w:val="000000"/>
          <w:sz w:val="23"/>
          <w:szCs w:val="23"/>
        </w:rPr>
        <w:t>Other indirect identifiers, such as the individual’s date of birth, place of birth, and mother’s maiden name;</w:t>
      </w:r>
    </w:p>
    <w:p w14:paraId="2DCB49DA" w14:textId="77777777" w:rsidR="00F8503D" w:rsidRDefault="0033067D">
      <w:pPr>
        <w:numPr>
          <w:ilvl w:val="0"/>
          <w:numId w:val="106"/>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Other information that, alone or in combination, is linked or linkable to a specific individual that would allow a reasonable person in the school community, who does not have personal knowledge of the relevant circumstances, to identify the individual with reasonable certainty; or</w:t>
      </w:r>
    </w:p>
    <w:p w14:paraId="6ADCEBC3" w14:textId="77777777" w:rsidR="00F8503D" w:rsidRDefault="0033067D">
      <w:pPr>
        <w:numPr>
          <w:ilvl w:val="0"/>
          <w:numId w:val="106"/>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Information requested by a person whom the educational agency or institution reasonably believes knows the identity of the individual to whom the education record relates.</w:t>
      </w:r>
    </w:p>
    <w:p w14:paraId="384D8131"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State-Level Data Matching</w:t>
      </w:r>
    </w:p>
    <w:p w14:paraId="1061F744"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Under the Audit or Evaluation Exception in FERPA, states are allowed to share data for data matching, to carry out an audit or evaluation of federally supported education programs, or to inform or comply with federal legal </w:t>
      </w:r>
      <w:r w:rsidRPr="7B188CE2">
        <w:rPr>
          <w:rFonts w:ascii="Verdana" w:eastAsia="Verdana" w:hAnsi="Verdana" w:cs="Verdana"/>
          <w:color w:val="000000" w:themeColor="text1"/>
          <w:sz w:val="23"/>
          <w:szCs w:val="23"/>
          <w:lang w:val="en-US"/>
        </w:rPr>
        <w:lastRenderedPageBreak/>
        <w:t>requirements that relate to those programs. To meet federal reporting requirements, CCWD shares (i.e., data matches) personally identifiable information from Title II individuals with outside organizations such as the Oregon Employment Department. This data matching allows the State of Oregon to report on Title II outcomes measures such as employment and entry into postsecondary education, a requirement of WIOA. PII sent to outside organizations is either returned to CCWD or destroyed upon completion of data matching.</w:t>
      </w:r>
    </w:p>
    <w:p w14:paraId="1957A39A"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Data Sharing Among Programs</w:t>
      </w:r>
    </w:p>
    <w:p w14:paraId="522C11C0"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includes a function that allows data sharing between programs to be used if an individual transfers programs. At such time, the new Title II provider can initiate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data sharing wizard and import the individual’s information, if the individual signed an Authorization for Release of Information form that included permission to share information among programs. See Appendix 10.1 for an example Authorization for Release of Information form.</w:t>
      </w:r>
    </w:p>
    <w:p w14:paraId="7FB1E589"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Prior Written Consent</w:t>
      </w:r>
    </w:p>
    <w:p w14:paraId="66BFC376"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Prior written consent is established when an eligible individual (or parent for individuals under age 18) signs and dates a statement that:</w:t>
      </w:r>
    </w:p>
    <w:p w14:paraId="65BA6819" w14:textId="77777777" w:rsidR="00F8503D" w:rsidRDefault="0033067D">
      <w:pPr>
        <w:numPr>
          <w:ilvl w:val="0"/>
          <w:numId w:val="10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Specifies the records that may be disclosed;</w:t>
      </w:r>
    </w:p>
    <w:p w14:paraId="3B3865F1" w14:textId="77777777" w:rsidR="00F8503D" w:rsidRDefault="0033067D">
      <w:pPr>
        <w:numPr>
          <w:ilvl w:val="0"/>
          <w:numId w:val="107"/>
        </w:numPr>
        <w:pBdr>
          <w:top w:val="nil"/>
          <w:left w:val="nil"/>
          <w:bottom w:val="nil"/>
          <w:right w:val="nil"/>
          <w:between w:val="nil"/>
        </w:pBdr>
        <w:spacing w:after="160" w:line="276" w:lineRule="auto"/>
      </w:pPr>
      <w:r>
        <w:rPr>
          <w:rFonts w:ascii="Verdana" w:eastAsia="Verdana" w:hAnsi="Verdana" w:cs="Verdana"/>
          <w:color w:val="000000"/>
          <w:sz w:val="23"/>
          <w:szCs w:val="23"/>
        </w:rPr>
        <w:t>States the purpose of the disclosure; and</w:t>
      </w:r>
    </w:p>
    <w:p w14:paraId="7DABA6BD" w14:textId="77777777" w:rsidR="00F8503D" w:rsidRDefault="0033067D">
      <w:pPr>
        <w:numPr>
          <w:ilvl w:val="0"/>
          <w:numId w:val="10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Identifies the party to whom the disclosure may be made.</w:t>
      </w:r>
    </w:p>
    <w:p w14:paraId="3D2898D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Social Security Numbers</w:t>
      </w:r>
    </w:p>
    <w:p w14:paraId="597C7DCB"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Neither WIOA nor the Joint WIOA Final Rule allows or requires states to request or require SSNs as a condition of program participation or for receipt of any form of financial assistance. As such, program eligibility under WIOA is not contingent on the provision of an SSN. Additionally, depriving such an individual of service would violate the Privacy Act of 1974, which establishes a code of fair information practices that govern the collection, use, dissemination, and maintenance of information about individuals contained in systems of federal records. Specifically, Sec. 7(a)(1) of the Privacy Act (5 U.S.C. 552a Note, Disclosure of Social Security Number) provides that unless the disclosure is required by federal statute, ‘‘It shall be unlawful for any Federal, State, or Local government agency to deny to any individual any right, benefit, or privilege provided by law because of such individual’s refusal to disclose his social security account number,’’ (55838 Federal Register/Vol. 81, No. 161/Friday, August 19, 2016/Rules and Regulations).</w:t>
      </w:r>
    </w:p>
    <w:p w14:paraId="17F2C11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lastRenderedPageBreak/>
        <w:t>Individual consent is voluntary and is not required for participation in any programs or services.</w:t>
      </w:r>
    </w:p>
    <w:p w14:paraId="56E6823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641E89A4" w14:textId="77777777" w:rsidR="00F8503D" w:rsidRDefault="0033067D">
      <w:pPr>
        <w:numPr>
          <w:ilvl w:val="0"/>
          <w:numId w:val="108"/>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provide an opportunity for individuals to consent or decline the release of their information by informing individuals, in writing, that their personal and confidential information will only be shared with their written consent. See Appendix 10.1 for an example of an Authorization for Release of Information form.</w:t>
      </w:r>
    </w:p>
    <w:p w14:paraId="0293369E" w14:textId="77777777" w:rsidR="00F8503D" w:rsidRDefault="0033067D">
      <w:pPr>
        <w:numPr>
          <w:ilvl w:val="0"/>
          <w:numId w:val="108"/>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only initiate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data sharing wizard and import the individual’s information if the individual signed an Authorization for Release of Information form that included permission to share information among programs.</w:t>
      </w:r>
    </w:p>
    <w:p w14:paraId="64A2FD4C" w14:textId="77777777" w:rsidR="00F8503D" w:rsidRDefault="0033067D">
      <w:pPr>
        <w:numPr>
          <w:ilvl w:val="0"/>
          <w:numId w:val="108"/>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inform individuals, in writing, of their ability to revoke consent to release information. See Appendix 10.2 for an example of a Revocation for Release of Information form.</w:t>
      </w:r>
    </w:p>
    <w:p w14:paraId="5BDC4BC3" w14:textId="77777777" w:rsidR="00F8503D" w:rsidRDefault="0033067D">
      <w:pPr>
        <w:numPr>
          <w:ilvl w:val="0"/>
          <w:numId w:val="108"/>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are prohibited from sharing personal confidential information or records if the individual declines to give or revokes prior written consent.</w:t>
      </w:r>
    </w:p>
    <w:p w14:paraId="2D53720D" w14:textId="77777777" w:rsidR="00F8503D" w:rsidRDefault="0033067D">
      <w:pPr>
        <w:numPr>
          <w:ilvl w:val="0"/>
          <w:numId w:val="108"/>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not deny services to individuals who do not authorize the release of information.</w:t>
      </w:r>
    </w:p>
    <w:p w14:paraId="754B1A03" w14:textId="77777777" w:rsidR="00F8503D" w:rsidRDefault="0033067D">
      <w:pPr>
        <w:numPr>
          <w:ilvl w:val="0"/>
          <w:numId w:val="108"/>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inform individuals that declining to share information will not affect their eligibility for services.</w:t>
      </w:r>
    </w:p>
    <w:p w14:paraId="5D31D542" w14:textId="77777777" w:rsidR="00F8503D" w:rsidRDefault="0033067D">
      <w:pPr>
        <w:numPr>
          <w:ilvl w:val="0"/>
          <w:numId w:val="108"/>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keep the signed and dated consent forms and revocation forms on file in accordance with record retention policies.</w:t>
      </w:r>
    </w:p>
    <w:p w14:paraId="5BCF1BAB" w14:textId="77777777" w:rsidR="00F8503D" w:rsidRDefault="0033067D">
      <w:pPr>
        <w:numPr>
          <w:ilvl w:val="0"/>
          <w:numId w:val="108"/>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indicate in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the consent status of all individuals.</w:t>
      </w:r>
    </w:p>
    <w:p w14:paraId="33654F08" w14:textId="77777777" w:rsidR="00F8503D" w:rsidRDefault="0033067D">
      <w:pPr>
        <w:keepNext/>
        <w:numPr>
          <w:ilvl w:val="2"/>
          <w:numId w:val="24"/>
        </w:numPr>
        <w:pBdr>
          <w:top w:val="nil"/>
          <w:left w:val="nil"/>
          <w:bottom w:val="nil"/>
          <w:right w:val="nil"/>
          <w:between w:val="nil"/>
        </w:pBdr>
        <w:spacing w:before="240" w:after="40" w:line="276" w:lineRule="auto"/>
      </w:pPr>
      <w:bookmarkStart w:id="36" w:name="_wc0zm5ona6wo" w:colFirst="0" w:colLast="0"/>
      <w:bookmarkEnd w:id="36"/>
      <w:r>
        <w:rPr>
          <w:rFonts w:ascii="Arial" w:eastAsia="Arial" w:hAnsi="Arial" w:cs="Arial"/>
          <w:smallCaps/>
          <w:color w:val="6A976C"/>
          <w:sz w:val="28"/>
          <w:szCs w:val="28"/>
        </w:rPr>
        <w:t>Data Collection</w:t>
      </w:r>
    </w:p>
    <w:p w14:paraId="5095AC9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1909F52B"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Basic information related to using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for data collection and management can be found on the CASAS website (</w:t>
      </w:r>
      <w:hyperlink r:id="rId62">
        <w:r w:rsidRPr="7B188CE2">
          <w:rPr>
            <w:rFonts w:ascii="Verdana" w:eastAsia="Verdana" w:hAnsi="Verdana" w:cs="Verdana"/>
            <w:color w:val="0000FF"/>
            <w:sz w:val="23"/>
            <w:szCs w:val="23"/>
            <w:lang w:val="en-US"/>
          </w:rPr>
          <w:t>www.casas.org</w:t>
        </w:r>
      </w:hyperlink>
      <w:r w:rsidRPr="7B188CE2">
        <w:rPr>
          <w:rFonts w:ascii="Verdana" w:eastAsia="Verdana" w:hAnsi="Verdana" w:cs="Verdana"/>
          <w:color w:val="000000" w:themeColor="text1"/>
          <w:sz w:val="23"/>
          <w:szCs w:val="23"/>
          <w:lang w:val="en-US"/>
        </w:rPr>
        <w:t xml:space="preserve">) under Training and Support &gt; TOPSpro Enterprise Help (including information in the TOPSpro Sample Reports section). Please note that some content and materials distributed by CASAS are specific to California; it may not always be applicable or relevant in Oregon and may not comply with Oregon-specific Title II policies. Information applicable to Oregon can be found in this Oregon ABS Policy Manual </w:t>
      </w:r>
      <w:r w:rsidRPr="7B188CE2">
        <w:rPr>
          <w:rFonts w:ascii="Verdana" w:eastAsia="Verdana" w:hAnsi="Verdana" w:cs="Verdana"/>
          <w:color w:val="000000" w:themeColor="text1"/>
          <w:sz w:val="23"/>
          <w:szCs w:val="23"/>
          <w:lang w:val="en-US"/>
        </w:rPr>
        <w:lastRenderedPageBreak/>
        <w:t>and the Oregon Data Manual for WIOA Title II Providers on the ABS Resources website. In the case of conflicting information between CASAS and Oregon policies or procedures, please contact the State ABS Team for clarification.</w:t>
      </w:r>
    </w:p>
    <w:p w14:paraId="2E0F38D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1903FE6D" w14:textId="77777777" w:rsidR="00F8503D" w:rsidRDefault="0033067D">
      <w:pPr>
        <w:numPr>
          <w:ilvl w:val="0"/>
          <w:numId w:val="109"/>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attempt to collect the following data elements when an individual enters the program:</w:t>
      </w:r>
    </w:p>
    <w:p w14:paraId="4944542B"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First and Last Name</w:t>
      </w:r>
      <w:r w:rsidRPr="7B188CE2">
        <w:rPr>
          <w:rFonts w:ascii="Verdana" w:eastAsia="Verdana" w:hAnsi="Verdana" w:cs="Verdana"/>
          <w:color w:val="000000" w:themeColor="text1"/>
          <w:sz w:val="23"/>
          <w:szCs w:val="23"/>
          <w:lang w:val="en-US"/>
        </w:rPr>
        <w:t>: (alphabetic characters only – please refer to the Oregon Data Manual for WIOA Title II Providers for details): required for data matching with the Oregon Employment Department (Method #2) and the National Student Clearinghouse</w:t>
      </w:r>
    </w:p>
    <w:p w14:paraId="5D5DD4C7"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Middle Initial or Name</w:t>
      </w:r>
      <w:r w:rsidRPr="7B188CE2">
        <w:rPr>
          <w:rFonts w:ascii="Verdana" w:eastAsia="Verdana" w:hAnsi="Verdana" w:cs="Verdana"/>
          <w:color w:val="000000" w:themeColor="text1"/>
          <w:sz w:val="23"/>
          <w:szCs w:val="23"/>
          <w:lang w:val="en-US"/>
        </w:rPr>
        <w:t>: (alphabetic characters only – please refer to the Oregon Data Manual for WIOA Title II Providers for details): required for data matching with the Oregon Employment Department and the National Student Clearinghouse</w:t>
      </w:r>
    </w:p>
    <w:p w14:paraId="73B8CA5B"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Email</w:t>
      </w:r>
      <w:r>
        <w:rPr>
          <w:rFonts w:ascii="Verdana" w:eastAsia="Verdana" w:hAnsi="Verdana" w:cs="Verdana"/>
          <w:color w:val="000000"/>
          <w:sz w:val="23"/>
          <w:szCs w:val="23"/>
        </w:rPr>
        <w:t>: not used for state purposes, but may be important if local programs wish to contact the learner</w:t>
      </w:r>
    </w:p>
    <w:p w14:paraId="1337ECC3"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Social Security Number</w:t>
      </w:r>
      <w:r w:rsidRPr="7B188CE2">
        <w:rPr>
          <w:rFonts w:ascii="Verdana" w:eastAsia="Verdana" w:hAnsi="Verdana" w:cs="Verdana"/>
          <w:color w:val="000000" w:themeColor="text1"/>
          <w:sz w:val="23"/>
          <w:szCs w:val="23"/>
          <w:lang w:val="en-US"/>
        </w:rPr>
        <w:t>: required for data matching with the Oregon Employment Department (Method #1)</w:t>
      </w:r>
    </w:p>
    <w:p w14:paraId="6382B74D"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Gender</w:t>
      </w:r>
      <w:r>
        <w:rPr>
          <w:rFonts w:ascii="Verdana" w:eastAsia="Verdana" w:hAnsi="Verdana" w:cs="Verdana"/>
          <w:color w:val="000000"/>
          <w:sz w:val="23"/>
          <w:szCs w:val="23"/>
        </w:rPr>
        <w:t>: required for learner to appear on NRS Federal Tables (e.g., Table 1)</w:t>
      </w:r>
    </w:p>
    <w:p w14:paraId="28BEE33C"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Date of Birth</w:t>
      </w:r>
      <w:r w:rsidRPr="7B188CE2">
        <w:rPr>
          <w:rFonts w:ascii="Verdana" w:eastAsia="Verdana" w:hAnsi="Verdana" w:cs="Verdana"/>
          <w:color w:val="000000" w:themeColor="text1"/>
          <w:sz w:val="23"/>
          <w:szCs w:val="23"/>
          <w:lang w:val="en-US"/>
        </w:rPr>
        <w:t>: required for learner to appear on NRS Federal Tables (e.g., Table 2); required for data matching with the Oregon Employment Department (Method #2) and the National Student Clearinghouse</w:t>
      </w:r>
    </w:p>
    <w:p w14:paraId="3E203B9B"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Highest Years of School</w:t>
      </w:r>
      <w:r>
        <w:rPr>
          <w:rFonts w:ascii="Verdana" w:eastAsia="Verdana" w:hAnsi="Verdana" w:cs="Verdana"/>
          <w:color w:val="000000"/>
          <w:sz w:val="23"/>
          <w:szCs w:val="23"/>
        </w:rPr>
        <w:t>: required for learner to appear on NRS Federal Tables (e.g., Table 6); used for state and national communications</w:t>
      </w:r>
    </w:p>
    <w:p w14:paraId="759B75BC"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Highest Diploma</w:t>
      </w:r>
      <w:r>
        <w:rPr>
          <w:rFonts w:ascii="Verdana" w:eastAsia="Verdana" w:hAnsi="Verdana" w:cs="Verdana"/>
          <w:color w:val="000000"/>
          <w:sz w:val="23"/>
          <w:szCs w:val="23"/>
        </w:rPr>
        <w:t>: required for the learner to appear on NRS Federal Tables (e.g., Table 6); used for state and national communications</w:t>
      </w:r>
    </w:p>
    <w:p w14:paraId="680091A0"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Ethnicity</w:t>
      </w:r>
      <w:r>
        <w:rPr>
          <w:rFonts w:ascii="Verdana" w:eastAsia="Verdana" w:hAnsi="Verdana" w:cs="Verdana"/>
          <w:color w:val="000000"/>
          <w:sz w:val="23"/>
          <w:szCs w:val="23"/>
        </w:rPr>
        <w:t>: required for learner to appear on NRS Federal Tables (e.g., Table 1)</w:t>
      </w:r>
    </w:p>
    <w:p w14:paraId="78DF895A"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Race</w:t>
      </w:r>
      <w:r>
        <w:rPr>
          <w:rFonts w:ascii="Verdana" w:eastAsia="Verdana" w:hAnsi="Verdana" w:cs="Verdana"/>
          <w:color w:val="000000"/>
          <w:sz w:val="23"/>
          <w:szCs w:val="23"/>
        </w:rPr>
        <w:t>: required for learner to appear on NRS Federal Tables (e.g., Table 1)</w:t>
      </w:r>
    </w:p>
    <w:p w14:paraId="32A546EB"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Native Language</w:t>
      </w:r>
      <w:r>
        <w:rPr>
          <w:rFonts w:ascii="Verdana" w:eastAsia="Verdana" w:hAnsi="Verdana" w:cs="Verdana"/>
          <w:color w:val="000000"/>
          <w:sz w:val="23"/>
          <w:szCs w:val="23"/>
        </w:rPr>
        <w:t>: used for state analyses and national communications, including creating profiles of Title II participants in Oregon to share with the state legislature</w:t>
      </w:r>
    </w:p>
    <w:p w14:paraId="099E7DB7"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lastRenderedPageBreak/>
        <w:t>Date of Entry into Program</w:t>
      </w:r>
      <w:r w:rsidRPr="7B188CE2">
        <w:rPr>
          <w:rFonts w:ascii="Verdana" w:eastAsia="Verdana" w:hAnsi="Verdana" w:cs="Verdana"/>
          <w:color w:val="000000" w:themeColor="text1"/>
          <w:sz w:val="23"/>
          <w:szCs w:val="23"/>
          <w:lang w:val="en-US"/>
        </w:rPr>
        <w:t>: required to calculate Periods of Participation (POPs) and Exit Populations</w:t>
      </w:r>
    </w:p>
    <w:p w14:paraId="20498EE1"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Instructional Program</w:t>
      </w:r>
      <w:r w:rsidRPr="7B188CE2">
        <w:rPr>
          <w:rFonts w:ascii="Verdana" w:eastAsia="Verdana" w:hAnsi="Verdana" w:cs="Verdana"/>
          <w:color w:val="000000" w:themeColor="text1"/>
          <w:sz w:val="23"/>
          <w:szCs w:val="23"/>
          <w:lang w:val="en-US"/>
        </w:rPr>
        <w:t>: used for state analyses and national communications; required for filtering records for data entry, clean-up, and analyses (e.g., “batch edit” in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to enter barrier(s) to employment)</w:t>
      </w:r>
    </w:p>
    <w:p w14:paraId="40FB0676"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Primary (short-term) Goal</w:t>
      </w:r>
      <w:r>
        <w:rPr>
          <w:rFonts w:ascii="Verdana" w:eastAsia="Verdana" w:hAnsi="Verdana" w:cs="Verdana"/>
          <w:color w:val="000000"/>
          <w:sz w:val="23"/>
          <w:szCs w:val="23"/>
        </w:rPr>
        <w:t>: research-based best practice for learner success; used for state analyses and national communications</w:t>
      </w:r>
    </w:p>
    <w:p w14:paraId="7933A399"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Secondary (long-term) Goal</w:t>
      </w:r>
      <w:r>
        <w:rPr>
          <w:rFonts w:ascii="Verdana" w:eastAsia="Verdana" w:hAnsi="Verdana" w:cs="Verdana"/>
          <w:color w:val="000000"/>
          <w:sz w:val="23"/>
          <w:szCs w:val="23"/>
        </w:rPr>
        <w:t>: research-based best practice for learner success; used for state analyses and national communications</w:t>
      </w:r>
    </w:p>
    <w:p w14:paraId="4D181067"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Special Program</w:t>
      </w:r>
      <w:r>
        <w:rPr>
          <w:rFonts w:ascii="Verdana" w:eastAsia="Verdana" w:hAnsi="Verdana" w:cs="Verdana"/>
          <w:color w:val="000000"/>
          <w:sz w:val="23"/>
          <w:szCs w:val="23"/>
        </w:rPr>
        <w:t xml:space="preserve"> (e.g., IET, IELCE, Distance Education): required for learner to appear on NRS Federal Tables (e.g., Tables 3, 4C, 5A, 9, and 11)</w:t>
      </w:r>
    </w:p>
    <w:p w14:paraId="2F3A27F2"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Employment Barriers</w:t>
      </w:r>
      <w:r w:rsidRPr="7B188CE2">
        <w:rPr>
          <w:rFonts w:ascii="Verdana" w:eastAsia="Verdana" w:hAnsi="Verdana" w:cs="Verdana"/>
          <w:color w:val="000000" w:themeColor="text1"/>
          <w:sz w:val="23"/>
          <w:szCs w:val="23"/>
          <w:lang w:val="en-US"/>
        </w:rPr>
        <w:t>: required for federal reporting (e.g., Statewide Performance Report (SPR); used for state analyses and national communications, including creating profiles of Title II participants in Oregon to share with state legislature</w:t>
      </w:r>
    </w:p>
    <w:p w14:paraId="651B314C"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Class Number</w:t>
      </w:r>
      <w:r>
        <w:rPr>
          <w:rFonts w:ascii="Verdana" w:eastAsia="Verdana" w:hAnsi="Verdana" w:cs="Verdana"/>
          <w:color w:val="000000"/>
          <w:sz w:val="23"/>
          <w:szCs w:val="23"/>
        </w:rPr>
        <w:t>: required for instructors to generate class-level data</w:t>
      </w:r>
    </w:p>
    <w:p w14:paraId="5F3F2E43"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Personal Status</w:t>
      </w:r>
      <w:r w:rsidRPr="7B188CE2">
        <w:rPr>
          <w:rFonts w:ascii="Verdana" w:eastAsia="Verdana" w:hAnsi="Verdana" w:cs="Verdana"/>
          <w:color w:val="000000" w:themeColor="text1"/>
          <w:sz w:val="23"/>
          <w:szCs w:val="23"/>
          <w:lang w:val="en-US"/>
        </w:rPr>
        <w:t>: required for accurate count of Title II participants for federal reporting purposes; used for state analyses and national communications</w:t>
      </w:r>
    </w:p>
    <w:p w14:paraId="15DEB1A2" w14:textId="77777777" w:rsidR="00F8503D" w:rsidRDefault="0033067D">
      <w:pPr>
        <w:numPr>
          <w:ilvl w:val="0"/>
          <w:numId w:val="11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u w:val="single"/>
          <w:lang w:val="en-US"/>
        </w:rPr>
        <w:t>Labor Force Status</w:t>
      </w:r>
      <w:r w:rsidRPr="7B188CE2">
        <w:rPr>
          <w:rFonts w:ascii="Verdana" w:eastAsia="Verdana" w:hAnsi="Verdana" w:cs="Verdana"/>
          <w:color w:val="000000" w:themeColor="text1"/>
          <w:sz w:val="23"/>
          <w:szCs w:val="23"/>
          <w:lang w:val="en-US"/>
        </w:rPr>
        <w:t>: required for learner to appear on NRS Federal Tables (e.g., Table 6); part of the federal government’s Statistical Adjustment Model (SAM) used to determine federal funding allocated to Oregon and as an evaluation of Oregon’s performance compared with federally negotiated targets</w:t>
      </w:r>
    </w:p>
    <w:p w14:paraId="1B515FE8" w14:textId="77777777" w:rsidR="00F8503D" w:rsidRDefault="0033067D">
      <w:pPr>
        <w:numPr>
          <w:ilvl w:val="0"/>
          <w:numId w:val="110"/>
        </w:numPr>
        <w:pBdr>
          <w:top w:val="nil"/>
          <w:left w:val="nil"/>
          <w:bottom w:val="nil"/>
          <w:right w:val="nil"/>
          <w:between w:val="nil"/>
        </w:pBdr>
        <w:spacing w:after="160" w:line="276" w:lineRule="auto"/>
      </w:pPr>
      <w:r>
        <w:rPr>
          <w:rFonts w:ascii="Verdana" w:eastAsia="Verdana" w:hAnsi="Verdana" w:cs="Verdana"/>
          <w:color w:val="000000"/>
          <w:sz w:val="23"/>
          <w:szCs w:val="23"/>
          <w:u w:val="single"/>
        </w:rPr>
        <w:t>GEDID (as available)</w:t>
      </w:r>
      <w:r>
        <w:rPr>
          <w:rFonts w:ascii="Verdana" w:eastAsia="Verdana" w:hAnsi="Verdana" w:cs="Verdana"/>
          <w:color w:val="000000"/>
          <w:sz w:val="23"/>
          <w:szCs w:val="23"/>
        </w:rPr>
        <w:t>: required for learner to appear on NRS Federal Tables (e.g., Tables 4, 4C, 5, 5A, 9, 10, and 11)</w:t>
      </w:r>
    </w:p>
    <w:p w14:paraId="1BD908C5"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Note: Definitions for each of these data elements can be found in the WIOA Data Dictionary created by CASAS. See section 12.4.</w:t>
      </w:r>
    </w:p>
    <w:p w14:paraId="70323DF6" w14:textId="77777777" w:rsidR="00F8503D" w:rsidRDefault="0033067D">
      <w:pPr>
        <w:numPr>
          <w:ilvl w:val="0"/>
          <w:numId w:val="109"/>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 xml:space="preserve">Programs must only use alphabetic characters for First Name, Middle Name, and Last Name. Special characters like quotations, parentheses, and hyphens are not permitted. Please refer to the Oregon Data Manual for WIOA Title II Providers on the ABS Resources website for additional details. </w:t>
      </w:r>
    </w:p>
    <w:p w14:paraId="528002BF" w14:textId="6DB5B1B8" w:rsidR="00F8503D" w:rsidRDefault="0033067D">
      <w:pPr>
        <w:numPr>
          <w:ilvl w:val="0"/>
          <w:numId w:val="109"/>
        </w:numPr>
        <w:pBdr>
          <w:top w:val="nil"/>
          <w:left w:val="nil"/>
          <w:bottom w:val="nil"/>
          <w:right w:val="nil"/>
          <w:between w:val="nil"/>
        </w:pBdr>
        <w:spacing w:after="160" w:line="276" w:lineRule="auto"/>
        <w:ind w:left="360"/>
        <w:rPr>
          <w:rFonts w:ascii="Verdana" w:eastAsia="Verdana" w:hAnsi="Verdana" w:cs="Verdana"/>
          <w:color w:val="000000" w:themeColor="text1"/>
          <w:sz w:val="23"/>
          <w:szCs w:val="23"/>
          <w:lang w:val="en-US"/>
        </w:rPr>
      </w:pPr>
      <w:r w:rsidRPr="0E6AD713">
        <w:rPr>
          <w:rFonts w:ascii="Verdana" w:eastAsia="Verdana" w:hAnsi="Verdana" w:cs="Verdana"/>
          <w:color w:val="000000" w:themeColor="text1"/>
          <w:sz w:val="23"/>
          <w:szCs w:val="23"/>
          <w:lang w:val="en-US"/>
        </w:rPr>
        <w:lastRenderedPageBreak/>
        <w:t xml:space="preserve">Programs must enter a unique identification number (i.e., </w:t>
      </w:r>
      <w:r w:rsidR="3A40FDD4" w:rsidRPr="0E6AD713">
        <w:rPr>
          <w:rFonts w:ascii="Verdana" w:eastAsia="Verdana" w:hAnsi="Verdana" w:cs="Verdana"/>
          <w:color w:val="000000" w:themeColor="text1"/>
          <w:sz w:val="23"/>
          <w:szCs w:val="23"/>
          <w:lang w:val="en-US"/>
        </w:rPr>
        <w:t xml:space="preserve">Learner </w:t>
      </w:r>
      <w:r w:rsidRPr="0E6AD713">
        <w:rPr>
          <w:rFonts w:ascii="Verdana" w:eastAsia="Verdana" w:hAnsi="Verdana" w:cs="Verdana"/>
          <w:color w:val="000000" w:themeColor="text1"/>
          <w:sz w:val="23"/>
          <w:szCs w:val="23"/>
          <w:lang w:val="en-US"/>
        </w:rPr>
        <w:t>ID) for each individual to be used consistently on all TOPSpro Enterprise</w:t>
      </w:r>
      <w:r w:rsidRPr="0E6AD713">
        <w:rPr>
          <w:rFonts w:ascii="Verdana" w:eastAsia="Verdana" w:hAnsi="Verdana" w:cs="Verdana"/>
          <w:color w:val="000000" w:themeColor="text1"/>
          <w:sz w:val="23"/>
          <w:szCs w:val="23"/>
          <w:vertAlign w:val="superscript"/>
          <w:lang w:val="en-US"/>
        </w:rPr>
        <w:t>®</w:t>
      </w:r>
      <w:r w:rsidRPr="0E6AD713">
        <w:rPr>
          <w:rFonts w:ascii="Verdana" w:eastAsia="Verdana" w:hAnsi="Verdana" w:cs="Verdana"/>
          <w:color w:val="000000" w:themeColor="text1"/>
          <w:sz w:val="23"/>
          <w:szCs w:val="23"/>
          <w:lang w:val="en-US"/>
        </w:rPr>
        <w:t xml:space="preserve"> forms. This may be the local agency-assigned number (e.g., college ID number).</w:t>
      </w:r>
    </w:p>
    <w:p w14:paraId="13F6474F" w14:textId="77777777" w:rsidR="00F8503D" w:rsidRDefault="0033067D">
      <w:pPr>
        <w:numPr>
          <w:ilvl w:val="0"/>
          <w:numId w:val="109"/>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input all data into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within 30 days of collection.</w:t>
      </w:r>
    </w:p>
    <w:p w14:paraId="6A1A6715" w14:textId="77777777" w:rsidR="00F8503D" w:rsidRDefault="0033067D">
      <w:pPr>
        <w:numPr>
          <w:ilvl w:val="0"/>
          <w:numId w:val="109"/>
        </w:numPr>
        <w:pBdr>
          <w:top w:val="nil"/>
          <w:left w:val="nil"/>
          <w:bottom w:val="nil"/>
          <w:right w:val="nil"/>
          <w:between w:val="nil"/>
        </w:pBdr>
        <w:spacing w:after="160" w:line="276" w:lineRule="auto"/>
        <w:ind w:left="360"/>
      </w:pPr>
      <w:r>
        <w:rPr>
          <w:rFonts w:ascii="Verdana" w:eastAsia="Verdana" w:hAnsi="Verdana" w:cs="Verdana"/>
          <w:color w:val="000000"/>
          <w:sz w:val="23"/>
          <w:szCs w:val="23"/>
        </w:rPr>
        <w:t>Social Security Numbers:</w:t>
      </w:r>
    </w:p>
    <w:p w14:paraId="11F1721D" w14:textId="77777777" w:rsidR="00F8503D" w:rsidRDefault="0033067D">
      <w:pPr>
        <w:numPr>
          <w:ilvl w:val="7"/>
          <w:numId w:val="111"/>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Programs must attempt to gather Social Security numbers from those eligible for Title II services.</w:t>
      </w:r>
    </w:p>
    <w:p w14:paraId="76B38212" w14:textId="77777777" w:rsidR="00F8503D" w:rsidRDefault="0033067D">
      <w:pPr>
        <w:numPr>
          <w:ilvl w:val="7"/>
          <w:numId w:val="111"/>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 xml:space="preserve">Eligible Title II individuals must be served even if they decline to disclose their Social Security number. </w:t>
      </w:r>
    </w:p>
    <w:p w14:paraId="5F91EDF0" w14:textId="6E6FC1EC" w:rsidR="00F8503D" w:rsidRDefault="0033067D">
      <w:pPr>
        <w:numPr>
          <w:ilvl w:val="7"/>
          <w:numId w:val="111"/>
        </w:numPr>
        <w:pBdr>
          <w:top w:val="nil"/>
          <w:left w:val="nil"/>
          <w:bottom w:val="nil"/>
          <w:right w:val="nil"/>
          <w:between w:val="nil"/>
        </w:pBdr>
        <w:spacing w:after="160" w:line="276" w:lineRule="auto"/>
        <w:ind w:left="1080"/>
        <w:rPr>
          <w:rFonts w:ascii="Verdana" w:eastAsia="Verdana" w:hAnsi="Verdana" w:cs="Verdana"/>
          <w:color w:val="000000" w:themeColor="text1"/>
          <w:sz w:val="23"/>
          <w:szCs w:val="23"/>
        </w:rPr>
      </w:pPr>
      <w:r w:rsidRPr="0E6AD713">
        <w:rPr>
          <w:rFonts w:ascii="Verdana" w:eastAsia="Verdana" w:hAnsi="Verdana" w:cs="Verdana"/>
          <w:color w:val="000000" w:themeColor="text1"/>
          <w:sz w:val="23"/>
          <w:szCs w:val="23"/>
        </w:rPr>
        <w:t xml:space="preserve">Programs must not use a Social Security number as the assigned identification number (i.e., </w:t>
      </w:r>
      <w:r w:rsidR="3479AF6C" w:rsidRPr="0E6AD713">
        <w:rPr>
          <w:rFonts w:ascii="Verdana" w:eastAsia="Verdana" w:hAnsi="Verdana" w:cs="Verdana"/>
          <w:color w:val="000000" w:themeColor="text1"/>
          <w:sz w:val="23"/>
          <w:szCs w:val="23"/>
        </w:rPr>
        <w:t xml:space="preserve">Learner </w:t>
      </w:r>
      <w:r w:rsidRPr="0E6AD713">
        <w:rPr>
          <w:rFonts w:ascii="Verdana" w:eastAsia="Verdana" w:hAnsi="Verdana" w:cs="Verdana"/>
          <w:color w:val="000000" w:themeColor="text1"/>
          <w:sz w:val="23"/>
          <w:szCs w:val="23"/>
        </w:rPr>
        <w:t>ID).</w:t>
      </w:r>
    </w:p>
    <w:p w14:paraId="7C6204B3"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Note: Title II participants will be included in the denominator for performance measures regardless of whether they have provided their SSN for data match. Incarcerated learners who remain incarcerated after exit are exempt from all indicators except for Measurable Skill Gains.</w:t>
      </w:r>
    </w:p>
    <w:p w14:paraId="575B322C" w14:textId="77777777" w:rsidR="00F8503D" w:rsidRDefault="0033067D">
      <w:pPr>
        <w:numPr>
          <w:ilvl w:val="0"/>
          <w:numId w:val="109"/>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Contact Hours: Programs must collect instructional time in accordance with the NRS definition of actual “contact hours.” The NRS defines contact hours as:</w:t>
      </w:r>
    </w:p>
    <w:p w14:paraId="60A0B898" w14:textId="77777777" w:rsidR="00F8503D" w:rsidRDefault="0033067D">
      <w:pPr>
        <w:numPr>
          <w:ilvl w:val="0"/>
          <w:numId w:val="112"/>
        </w:numPr>
        <w:pBdr>
          <w:top w:val="nil"/>
          <w:left w:val="nil"/>
          <w:bottom w:val="nil"/>
          <w:right w:val="nil"/>
          <w:between w:val="nil"/>
        </w:pBdr>
        <w:spacing w:after="160" w:line="276" w:lineRule="auto"/>
        <w:ind w:left="1080"/>
        <w:rPr>
          <w:rFonts w:ascii="Verdana" w:eastAsia="Verdana" w:hAnsi="Verdana" w:cs="Verdana"/>
          <w:i/>
          <w:iCs/>
          <w:color w:val="000000"/>
          <w:sz w:val="23"/>
          <w:szCs w:val="23"/>
        </w:rPr>
      </w:pPr>
      <w:r w:rsidRPr="0E6AD713">
        <w:rPr>
          <w:rFonts w:ascii="Verdana" w:eastAsia="Verdana" w:hAnsi="Verdana" w:cs="Verdana"/>
          <w:i/>
          <w:iCs/>
          <w:color w:val="000000" w:themeColor="text1"/>
          <w:sz w:val="23"/>
          <w:szCs w:val="23"/>
        </w:rPr>
        <w:t>Hours of instruction or instructional activity the learner receives from the program. Instructional activity includes any program-sponsored activity designed to promote student learning in the program curriculum, such as classroom instruction, assessment, tutoring, or participation in a learning lab.</w:t>
      </w:r>
    </w:p>
    <w:p w14:paraId="10D68DAB" w14:textId="77777777" w:rsidR="00F8503D" w:rsidRDefault="0033067D" w:rsidP="0E6AD713">
      <w:pPr>
        <w:pBdr>
          <w:top w:val="nil"/>
          <w:left w:val="nil"/>
          <w:bottom w:val="nil"/>
          <w:right w:val="nil"/>
          <w:between w:val="nil"/>
        </w:pBdr>
        <w:spacing w:after="160" w:line="276" w:lineRule="auto"/>
        <w:ind w:left="1080"/>
        <w:rPr>
          <w:rFonts w:ascii="Verdana" w:eastAsia="Verdana" w:hAnsi="Verdana" w:cs="Verdana"/>
          <w:i/>
          <w:iCs/>
          <w:color w:val="000000"/>
          <w:sz w:val="23"/>
          <w:szCs w:val="23"/>
        </w:rPr>
      </w:pPr>
      <w:r w:rsidRPr="0E6AD713">
        <w:rPr>
          <w:rFonts w:ascii="Verdana" w:eastAsia="Verdana" w:hAnsi="Verdana" w:cs="Verdana"/>
          <w:i/>
          <w:iCs/>
          <w:color w:val="000000" w:themeColor="text1"/>
          <w:sz w:val="23"/>
          <w:szCs w:val="23"/>
        </w:rPr>
        <w:t xml:space="preserve">Contact hours for distance learners can be a combination of actual contact and contact through telephone, video, teleconference, or online communication, where student and program staff can interact and through which learner identity is verifiable. </w:t>
      </w:r>
    </w:p>
    <w:p w14:paraId="1205828F"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(For additional information, refer to the Student Participation Measures: Contact Hours section of the NRS Technical Assistance Guide available on the ABS Resources website.)</w:t>
      </w:r>
    </w:p>
    <w:p w14:paraId="786E6C95" w14:textId="5FBD5415" w:rsidR="00F8503D" w:rsidRDefault="0033067D">
      <w:pPr>
        <w:numPr>
          <w:ilvl w:val="0"/>
          <w:numId w:val="112"/>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Distance </w:t>
      </w:r>
      <w:r w:rsidR="00673FCC">
        <w:rPr>
          <w:rFonts w:ascii="Verdana" w:eastAsia="Verdana" w:hAnsi="Verdana" w:cs="Verdana"/>
          <w:color w:val="000000"/>
          <w:sz w:val="23"/>
          <w:szCs w:val="23"/>
        </w:rPr>
        <w:t xml:space="preserve">Education </w:t>
      </w:r>
      <w:r>
        <w:rPr>
          <w:rFonts w:ascii="Verdana" w:eastAsia="Verdana" w:hAnsi="Verdana" w:cs="Verdana"/>
          <w:color w:val="000000"/>
          <w:sz w:val="23"/>
          <w:szCs w:val="23"/>
        </w:rPr>
        <w:t xml:space="preserve">contact hours must be associated with one of three distance </w:t>
      </w:r>
      <w:r w:rsidR="00EA70EF">
        <w:rPr>
          <w:rFonts w:ascii="Verdana" w:eastAsia="Verdana" w:hAnsi="Verdana" w:cs="Verdana"/>
          <w:color w:val="000000"/>
          <w:sz w:val="23"/>
          <w:szCs w:val="23"/>
        </w:rPr>
        <w:t xml:space="preserve">education </w:t>
      </w:r>
      <w:r>
        <w:rPr>
          <w:rFonts w:ascii="Verdana" w:eastAsia="Verdana" w:hAnsi="Verdana" w:cs="Verdana"/>
          <w:color w:val="000000"/>
          <w:sz w:val="23"/>
          <w:szCs w:val="23"/>
        </w:rPr>
        <w:t xml:space="preserve">models of instruction that are approved by OCTAE. For details, see Section 6.2, Assessment of Learners in Distance </w:t>
      </w:r>
      <w:r w:rsidR="00155ECB">
        <w:rPr>
          <w:rFonts w:ascii="Verdana" w:eastAsia="Verdana" w:hAnsi="Verdana" w:cs="Verdana"/>
          <w:color w:val="000000"/>
          <w:sz w:val="23"/>
          <w:szCs w:val="23"/>
        </w:rPr>
        <w:t xml:space="preserve">Education </w:t>
      </w:r>
      <w:r>
        <w:rPr>
          <w:rFonts w:ascii="Verdana" w:eastAsia="Verdana" w:hAnsi="Verdana" w:cs="Verdana"/>
          <w:color w:val="000000"/>
          <w:sz w:val="23"/>
          <w:szCs w:val="23"/>
        </w:rPr>
        <w:t xml:space="preserve"> Programs.</w:t>
      </w:r>
    </w:p>
    <w:p w14:paraId="3F4878A7" w14:textId="77777777" w:rsidR="00F8503D" w:rsidRDefault="0033067D">
      <w:pPr>
        <w:numPr>
          <w:ilvl w:val="0"/>
          <w:numId w:val="112"/>
        </w:numPr>
        <w:pBdr>
          <w:top w:val="nil"/>
          <w:left w:val="nil"/>
          <w:bottom w:val="nil"/>
          <w:right w:val="nil"/>
          <w:between w:val="nil"/>
        </w:pBdr>
        <w:spacing w:after="160" w:line="276" w:lineRule="auto"/>
        <w:ind w:left="1080"/>
      </w:pPr>
      <w:r>
        <w:rPr>
          <w:rFonts w:ascii="Verdana" w:eastAsia="Verdana" w:hAnsi="Verdana" w:cs="Verdana"/>
          <w:color w:val="000000"/>
          <w:sz w:val="23"/>
          <w:szCs w:val="23"/>
        </w:rPr>
        <w:lastRenderedPageBreak/>
        <w:t>The State of Oregon considers orientation, including online orientation, to be a program-sponsored activity designed to promote learning, thus qualifying for contact hours if it meets all the following criteria:</w:t>
      </w:r>
    </w:p>
    <w:p w14:paraId="5A49877E" w14:textId="77777777" w:rsidR="00F8503D" w:rsidRDefault="0033067D">
      <w:pPr>
        <w:numPr>
          <w:ilvl w:val="0"/>
          <w:numId w:val="113"/>
        </w:numPr>
        <w:pBdr>
          <w:top w:val="nil"/>
          <w:left w:val="nil"/>
          <w:bottom w:val="nil"/>
          <w:right w:val="nil"/>
          <w:between w:val="nil"/>
        </w:pBdr>
        <w:spacing w:after="160" w:line="276" w:lineRule="auto"/>
        <w:ind w:left="1800"/>
      </w:pPr>
      <w:r>
        <w:rPr>
          <w:rFonts w:ascii="Verdana" w:eastAsia="Verdana" w:hAnsi="Verdana" w:cs="Verdana"/>
          <w:color w:val="000000"/>
          <w:sz w:val="23"/>
          <w:szCs w:val="23"/>
        </w:rPr>
        <w:t>Has a curriculum;</w:t>
      </w:r>
    </w:p>
    <w:p w14:paraId="51DFCB08" w14:textId="77777777" w:rsidR="00F8503D" w:rsidRDefault="0033067D">
      <w:pPr>
        <w:numPr>
          <w:ilvl w:val="0"/>
          <w:numId w:val="113"/>
        </w:numPr>
        <w:pBdr>
          <w:top w:val="nil"/>
          <w:left w:val="nil"/>
          <w:bottom w:val="nil"/>
          <w:right w:val="nil"/>
          <w:between w:val="nil"/>
        </w:pBdr>
        <w:spacing w:after="160" w:line="276" w:lineRule="auto"/>
        <w:ind w:left="1800"/>
      </w:pPr>
      <w:r>
        <w:rPr>
          <w:rFonts w:ascii="Verdana" w:eastAsia="Verdana" w:hAnsi="Verdana" w:cs="Verdana"/>
          <w:color w:val="000000"/>
          <w:sz w:val="23"/>
          <w:szCs w:val="23"/>
        </w:rPr>
        <w:t>Lasts a minimum of two hours outside of testing; and</w:t>
      </w:r>
    </w:p>
    <w:p w14:paraId="117CDF14" w14:textId="77777777" w:rsidR="00F8503D" w:rsidRDefault="0033067D">
      <w:pPr>
        <w:numPr>
          <w:ilvl w:val="0"/>
          <w:numId w:val="113"/>
        </w:numPr>
        <w:pBdr>
          <w:top w:val="nil"/>
          <w:left w:val="nil"/>
          <w:bottom w:val="nil"/>
          <w:right w:val="nil"/>
          <w:between w:val="nil"/>
        </w:pBdr>
        <w:spacing w:after="160" w:line="276" w:lineRule="auto"/>
        <w:ind w:left="1800"/>
      </w:pPr>
      <w:r>
        <w:rPr>
          <w:rFonts w:ascii="Verdana" w:eastAsia="Verdana" w:hAnsi="Verdana" w:cs="Verdana"/>
          <w:color w:val="000000"/>
          <w:sz w:val="23"/>
          <w:szCs w:val="23"/>
        </w:rPr>
        <w:t>Includes more than one individual for an in-person orientation.</w:t>
      </w:r>
    </w:p>
    <w:p w14:paraId="7E86CEB0" w14:textId="77777777" w:rsidR="00F8503D" w:rsidRDefault="0033067D">
      <w:pPr>
        <w:numPr>
          <w:ilvl w:val="0"/>
          <w:numId w:val="109"/>
        </w:numPr>
        <w:pBdr>
          <w:top w:val="nil"/>
          <w:left w:val="nil"/>
          <w:bottom w:val="nil"/>
          <w:right w:val="nil"/>
          <w:between w:val="nil"/>
        </w:pBdr>
        <w:spacing w:after="160" w:line="276" w:lineRule="auto"/>
        <w:ind w:left="360"/>
      </w:pPr>
      <w:r>
        <w:rPr>
          <w:rFonts w:ascii="Verdana" w:eastAsia="Verdana" w:hAnsi="Verdana" w:cs="Verdana"/>
          <w:color w:val="000000"/>
          <w:sz w:val="23"/>
          <w:szCs w:val="23"/>
        </w:rPr>
        <w:t>Learner goals:</w:t>
      </w:r>
    </w:p>
    <w:p w14:paraId="14B440A2" w14:textId="77777777" w:rsidR="00F8503D" w:rsidRDefault="0033067D">
      <w:pPr>
        <w:numPr>
          <w:ilvl w:val="7"/>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Programs must record Primary (short-term) and Secondary (long-term) learner goals on the entry record.</w:t>
      </w:r>
    </w:p>
    <w:p w14:paraId="622042B8" w14:textId="77777777" w:rsidR="00F8503D" w:rsidRDefault="0033067D">
      <w:pPr>
        <w:numPr>
          <w:ilvl w:val="0"/>
          <w:numId w:val="114"/>
        </w:numPr>
        <w:pBdr>
          <w:top w:val="nil"/>
          <w:left w:val="nil"/>
          <w:bottom w:val="nil"/>
          <w:right w:val="nil"/>
          <w:between w:val="nil"/>
        </w:pBdr>
        <w:spacing w:after="160" w:line="276" w:lineRule="auto"/>
        <w:ind w:left="1800"/>
      </w:pPr>
      <w:r w:rsidRPr="7B188CE2">
        <w:rPr>
          <w:rFonts w:ascii="Verdana" w:eastAsia="Verdana" w:hAnsi="Verdana" w:cs="Verdana"/>
          <w:color w:val="000000" w:themeColor="text1"/>
          <w:sz w:val="23"/>
          <w:szCs w:val="23"/>
          <w:lang w:val="en-US"/>
        </w:rPr>
        <w:t>Primary goals are learner goals that can be accomplished in the short term (e.g., within 3 months and/or within the program year).</w:t>
      </w:r>
    </w:p>
    <w:p w14:paraId="0AAC6BB5" w14:textId="77777777" w:rsidR="00F8503D" w:rsidRDefault="0033067D">
      <w:pPr>
        <w:numPr>
          <w:ilvl w:val="0"/>
          <w:numId w:val="114"/>
        </w:numPr>
        <w:pBdr>
          <w:top w:val="nil"/>
          <w:left w:val="nil"/>
          <w:bottom w:val="nil"/>
          <w:right w:val="nil"/>
          <w:between w:val="nil"/>
        </w:pBdr>
        <w:spacing w:after="160" w:line="276" w:lineRule="auto"/>
        <w:ind w:left="1800"/>
      </w:pPr>
      <w:r w:rsidRPr="7B188CE2">
        <w:rPr>
          <w:rFonts w:ascii="Verdana" w:eastAsia="Verdana" w:hAnsi="Verdana" w:cs="Verdana"/>
          <w:color w:val="000000" w:themeColor="text1"/>
          <w:sz w:val="23"/>
          <w:szCs w:val="23"/>
          <w:lang w:val="en-US"/>
        </w:rPr>
        <w:t>Secondary goals are learner goals that can be accomplished in the long term (e.g., by the end of the program year or the end of participation in the Title II program).</w:t>
      </w:r>
    </w:p>
    <w:p w14:paraId="13ACB096" w14:textId="77777777" w:rsidR="00F8503D" w:rsidRDefault="0033067D">
      <w:pPr>
        <w:numPr>
          <w:ilvl w:val="0"/>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Goals must be chosen by the individual (e.g., the program may not automatically select “Improve English Skills” as the short-term goal for all ESL learners).</w:t>
      </w:r>
    </w:p>
    <w:p w14:paraId="62FF15F3" w14:textId="77777777" w:rsidR="00F8503D" w:rsidRDefault="0033067D">
      <w:pPr>
        <w:numPr>
          <w:ilvl w:val="0"/>
          <w:numId w:val="78"/>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Programs are not permitted to retroactively enter learner goals into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but are encouraged to create opportunities for learners to regularly review and update goals as part of regular program procedures.</w:t>
      </w:r>
    </w:p>
    <w:p w14:paraId="6EF9F29A" w14:textId="42D52863" w:rsidR="00F8503D" w:rsidRDefault="0033067D">
      <w:pPr>
        <w:numPr>
          <w:ilvl w:val="0"/>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Programs must not use “Improve </w:t>
      </w:r>
      <w:r w:rsidR="00FF4575">
        <w:rPr>
          <w:rFonts w:ascii="Verdana" w:eastAsia="Verdana" w:hAnsi="Verdana" w:cs="Verdana"/>
          <w:color w:val="000000"/>
          <w:sz w:val="23"/>
          <w:szCs w:val="23"/>
        </w:rPr>
        <w:t>Basic</w:t>
      </w:r>
      <w:r>
        <w:rPr>
          <w:rFonts w:ascii="Verdana" w:eastAsia="Verdana" w:hAnsi="Verdana" w:cs="Verdana"/>
          <w:color w:val="000000"/>
          <w:sz w:val="23"/>
          <w:szCs w:val="23"/>
        </w:rPr>
        <w:t xml:space="preserve"> Skills” for a primary/short-term goal. Programs may use “Improve English Skills” as a primary/short-term goal.</w:t>
      </w:r>
    </w:p>
    <w:p w14:paraId="05DCEA4C" w14:textId="3EBCDB28" w:rsidR="00F8503D" w:rsidRDefault="0033067D">
      <w:pPr>
        <w:numPr>
          <w:ilvl w:val="0"/>
          <w:numId w:val="78"/>
        </w:numPr>
        <w:pBdr>
          <w:top w:val="nil"/>
          <w:left w:val="nil"/>
          <w:bottom w:val="nil"/>
          <w:right w:val="nil"/>
          <w:between w:val="nil"/>
        </w:pBdr>
        <w:spacing w:after="160" w:line="276" w:lineRule="auto"/>
        <w:ind w:left="1080"/>
      </w:pPr>
      <w:r>
        <w:rPr>
          <w:rFonts w:ascii="Verdana" w:eastAsia="Verdana" w:hAnsi="Verdana" w:cs="Verdana"/>
          <w:color w:val="000000"/>
          <w:sz w:val="23"/>
          <w:szCs w:val="23"/>
        </w:rPr>
        <w:t xml:space="preserve">Programs must not use “Improve </w:t>
      </w:r>
      <w:r w:rsidR="00FF4575">
        <w:rPr>
          <w:rFonts w:ascii="Verdana" w:eastAsia="Verdana" w:hAnsi="Verdana" w:cs="Verdana"/>
          <w:color w:val="000000"/>
          <w:sz w:val="23"/>
          <w:szCs w:val="23"/>
        </w:rPr>
        <w:t>Basic</w:t>
      </w:r>
      <w:r>
        <w:rPr>
          <w:rFonts w:ascii="Verdana" w:eastAsia="Verdana" w:hAnsi="Verdana" w:cs="Verdana"/>
          <w:color w:val="000000"/>
          <w:sz w:val="23"/>
          <w:szCs w:val="23"/>
        </w:rPr>
        <w:t xml:space="preserve"> Skills” or “Improve English Skills” for secondary/long-term goals.</w:t>
      </w:r>
    </w:p>
    <w:p w14:paraId="07150BE7" w14:textId="77777777" w:rsidR="00F8503D" w:rsidRDefault="0033067D">
      <w:pPr>
        <w:numPr>
          <w:ilvl w:val="0"/>
          <w:numId w:val="109"/>
        </w:numPr>
        <w:pBdr>
          <w:top w:val="nil"/>
          <w:left w:val="nil"/>
          <w:bottom w:val="nil"/>
          <w:right w:val="nil"/>
          <w:between w:val="nil"/>
        </w:pBdr>
        <w:spacing w:after="160" w:line="276" w:lineRule="auto"/>
        <w:ind w:left="360"/>
      </w:pPr>
      <w:r>
        <w:rPr>
          <w:rFonts w:ascii="Verdana" w:eastAsia="Verdana" w:hAnsi="Verdana" w:cs="Verdana"/>
          <w:color w:val="000000"/>
          <w:sz w:val="23"/>
          <w:szCs w:val="23"/>
        </w:rPr>
        <w:t>Frequency: Programs must update or confirm all data elements collected when a learner returns after an absence of 90 or more days. The learner’s return is considered a new entry into the program.</w:t>
      </w:r>
    </w:p>
    <w:p w14:paraId="4D76496D"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Note: Programs are not required to retest a learner after an absence unless the absence is 120 days or more. For policies related to Periods of Participation, learner absence, and testing, see section 6.1.11 of this manual, Standardized Assessments for NRS Reporting.</w:t>
      </w:r>
    </w:p>
    <w:p w14:paraId="4DEBB064" w14:textId="77777777" w:rsidR="00F8503D" w:rsidRDefault="0033067D">
      <w:pPr>
        <w:keepNext/>
        <w:numPr>
          <w:ilvl w:val="2"/>
          <w:numId w:val="24"/>
        </w:numPr>
        <w:pBdr>
          <w:top w:val="nil"/>
          <w:left w:val="nil"/>
          <w:bottom w:val="nil"/>
          <w:right w:val="nil"/>
          <w:between w:val="nil"/>
        </w:pBdr>
        <w:spacing w:before="240" w:after="40" w:line="276" w:lineRule="auto"/>
      </w:pPr>
      <w:bookmarkStart w:id="37" w:name="_5l2mptzfkgqc" w:colFirst="0" w:colLast="0"/>
      <w:bookmarkEnd w:id="37"/>
      <w:r>
        <w:rPr>
          <w:rFonts w:ascii="Arial" w:eastAsia="Arial" w:hAnsi="Arial" w:cs="Arial"/>
          <w:smallCaps/>
          <w:color w:val="6A976C"/>
          <w:sz w:val="28"/>
          <w:szCs w:val="28"/>
        </w:rPr>
        <w:lastRenderedPageBreak/>
        <w:t>Data Entry and Updates</w:t>
      </w:r>
    </w:p>
    <w:p w14:paraId="65DAC55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14D192B8" w14:textId="77777777" w:rsidR="00F8503D" w:rsidRDefault="0033067D">
      <w:pPr>
        <w:numPr>
          <w:ilvl w:val="0"/>
          <w:numId w:val="115"/>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enter data into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within 30 days of collection. Programs are strongly encouraged to enter data more frequently.</w:t>
      </w:r>
    </w:p>
    <w:p w14:paraId="46F656D7" w14:textId="77777777" w:rsidR="00F8503D" w:rsidRDefault="0033067D">
      <w:pPr>
        <w:numPr>
          <w:ilvl w:val="0"/>
          <w:numId w:val="115"/>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enter Test Record information into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within 30 days to document educational gains.</w:t>
      </w:r>
    </w:p>
    <w:p w14:paraId="736E4035" w14:textId="77777777" w:rsidR="00F8503D" w:rsidRDefault="0033067D">
      <w:pPr>
        <w:numPr>
          <w:ilvl w:val="0"/>
          <w:numId w:val="115"/>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enter updates to learner records into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within 30 days.</w:t>
      </w:r>
    </w:p>
    <w:p w14:paraId="67A223BE" w14:textId="77777777" w:rsidR="00F8503D" w:rsidRDefault="0033067D">
      <w:pPr>
        <w:numPr>
          <w:ilvl w:val="0"/>
          <w:numId w:val="115"/>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enter Provider Information into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and identify the location as “Oregon” in order to activate appropriate programming for federal reporting.</w:t>
      </w:r>
    </w:p>
    <w:p w14:paraId="52421ED7" w14:textId="77777777" w:rsidR="00F8503D" w:rsidRDefault="0033067D">
      <w:pPr>
        <w:keepNext/>
        <w:numPr>
          <w:ilvl w:val="2"/>
          <w:numId w:val="24"/>
        </w:numPr>
        <w:pBdr>
          <w:top w:val="nil"/>
          <w:left w:val="nil"/>
          <w:bottom w:val="nil"/>
          <w:right w:val="nil"/>
          <w:between w:val="nil"/>
        </w:pBdr>
        <w:spacing w:before="240" w:after="40" w:line="276" w:lineRule="auto"/>
      </w:pPr>
      <w:bookmarkStart w:id="38" w:name="_yznq6bgo01fg" w:colFirst="0" w:colLast="0"/>
      <w:bookmarkEnd w:id="38"/>
      <w:r>
        <w:rPr>
          <w:rFonts w:ascii="Arial" w:eastAsia="Arial" w:hAnsi="Arial" w:cs="Arial"/>
          <w:smallCaps/>
          <w:color w:val="6A976C"/>
          <w:sz w:val="28"/>
          <w:szCs w:val="28"/>
        </w:rPr>
        <w:t>Proxy Records</w:t>
      </w:r>
    </w:p>
    <w:p w14:paraId="4DA610B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76DD45C7"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Learners are considered retained from one program year to the next if they enroll within 90 days of their last program attendance.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proxy function allows programs to “carry forward” learner records that meet specific criteria into the subsequent program year. When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proxy function is initiated by a user,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will look for an account activity in the current program year. An account activity could be an Entry, an Update, or a Test record in the new program year. When one or more activities are found,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will create proxies.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proxy function provides an auditable activity log that identifies records as proxies; these proxy records are differentiated from records created by manual entry or scanning.</w:t>
      </w:r>
    </w:p>
    <w:p w14:paraId="21CACDB1"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may use the proxy record function in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to carry forward records from the previous program year to the current program year. Please refer to the Oregon Data Manual for WIOA Title II Providers for instructions on how to proxy records.</w:t>
      </w:r>
    </w:p>
    <w:p w14:paraId="7C41D670" w14:textId="7D4F9440" w:rsidR="00F8503D" w:rsidRDefault="0033067D" w:rsidP="0E6AD713">
      <w:p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r w:rsidRPr="0E6AD713">
        <w:rPr>
          <w:rFonts w:ascii="Verdana" w:eastAsia="Verdana" w:hAnsi="Verdana" w:cs="Verdana"/>
          <w:color w:val="000000" w:themeColor="text1"/>
          <w:sz w:val="23"/>
          <w:szCs w:val="23"/>
          <w:lang w:val="en-US"/>
        </w:rPr>
        <w:t xml:space="preserve">Records between April 1 and June 30 may be proxied forward to the next program year as long as </w:t>
      </w:r>
      <w:r w:rsidR="61FB9EA5" w:rsidRPr="0E6AD713">
        <w:rPr>
          <w:rFonts w:ascii="Verdana" w:eastAsia="Verdana" w:hAnsi="Verdana" w:cs="Verdana"/>
          <w:color w:val="000000" w:themeColor="text1"/>
          <w:sz w:val="23"/>
          <w:szCs w:val="23"/>
          <w:lang w:val="en-US"/>
        </w:rPr>
        <w:t xml:space="preserve">learners </w:t>
      </w:r>
      <w:r w:rsidRPr="0E6AD713">
        <w:rPr>
          <w:rFonts w:ascii="Verdana" w:eastAsia="Verdana" w:hAnsi="Verdana" w:cs="Verdana"/>
          <w:color w:val="000000" w:themeColor="text1"/>
          <w:sz w:val="23"/>
          <w:szCs w:val="23"/>
          <w:lang w:val="en-US"/>
        </w:rPr>
        <w:t>have activity in TOPSpro Enterprise</w:t>
      </w:r>
      <w:r w:rsidRPr="0E6AD713">
        <w:rPr>
          <w:rFonts w:ascii="Verdana" w:eastAsia="Verdana" w:hAnsi="Verdana" w:cs="Verdana"/>
          <w:color w:val="000000" w:themeColor="text1"/>
          <w:sz w:val="23"/>
          <w:szCs w:val="23"/>
          <w:vertAlign w:val="superscript"/>
          <w:lang w:val="en-US"/>
        </w:rPr>
        <w:t>®</w:t>
      </w:r>
      <w:r w:rsidRPr="0E6AD713">
        <w:rPr>
          <w:rFonts w:ascii="Verdana" w:eastAsia="Verdana" w:hAnsi="Verdana" w:cs="Verdana"/>
          <w:color w:val="000000" w:themeColor="text1"/>
          <w:sz w:val="23"/>
          <w:szCs w:val="23"/>
          <w:lang w:val="en-US"/>
        </w:rPr>
        <w:t xml:space="preserve"> by October 15 of that calendar year.</w:t>
      </w:r>
    </w:p>
    <w:p w14:paraId="04CC906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36CCBA3A"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Programs are prohibited from manually creating any learner records for use as proxy records in a subsequent program year by erasing or otherwise altering </w:t>
      </w:r>
      <w:r w:rsidRPr="7B188CE2">
        <w:rPr>
          <w:rFonts w:ascii="Verdana" w:eastAsia="Verdana" w:hAnsi="Verdana" w:cs="Verdana"/>
          <w:color w:val="000000" w:themeColor="text1"/>
          <w:sz w:val="23"/>
          <w:szCs w:val="23"/>
          <w:lang w:val="en-US"/>
        </w:rPr>
        <w:lastRenderedPageBreak/>
        <w:t>any previously completed Scantron form or mimicking a similar process by manual data entry.</w:t>
      </w:r>
    </w:p>
    <w:p w14:paraId="671111BE" w14:textId="77777777" w:rsidR="00F8503D" w:rsidRDefault="0033067D">
      <w:pPr>
        <w:keepNext/>
        <w:numPr>
          <w:ilvl w:val="2"/>
          <w:numId w:val="24"/>
        </w:numPr>
        <w:pBdr>
          <w:top w:val="nil"/>
          <w:left w:val="nil"/>
          <w:bottom w:val="nil"/>
          <w:right w:val="nil"/>
          <w:between w:val="nil"/>
        </w:pBdr>
        <w:spacing w:before="240" w:after="40" w:line="276" w:lineRule="auto"/>
      </w:pPr>
      <w:bookmarkStart w:id="39" w:name="_woqh8hmh1c2f" w:colFirst="0" w:colLast="0"/>
      <w:bookmarkEnd w:id="39"/>
      <w:r>
        <w:rPr>
          <w:rFonts w:ascii="Arial" w:eastAsia="Arial" w:hAnsi="Arial" w:cs="Arial"/>
          <w:smallCaps/>
          <w:color w:val="6A976C"/>
          <w:sz w:val="28"/>
          <w:szCs w:val="28"/>
        </w:rPr>
        <w:t>Data Storage for Security</w:t>
      </w:r>
    </w:p>
    <w:p w14:paraId="14E29B9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5477A31B" w14:textId="77777777" w:rsidR="00F8503D" w:rsidRDefault="0033067D">
      <w:pPr>
        <w:numPr>
          <w:ilvl w:val="0"/>
          <w:numId w:val="116"/>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maintain a secure data system to protect the confidentiality and privacy of learners. Data (paper and electronic) must be housed in a secure location. Access to electronic data must be restricted with an individualized user password. Access to paper data must be physically locked.</w:t>
      </w:r>
    </w:p>
    <w:p w14:paraId="0CB925F1" w14:textId="77777777" w:rsidR="00F8503D" w:rsidRDefault="0033067D">
      <w:pPr>
        <w:numPr>
          <w:ilvl w:val="0"/>
          <w:numId w:val="116"/>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assign dedicated staff to be responsible for maintaining the records in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database.</w:t>
      </w:r>
    </w:p>
    <w:p w14:paraId="35F14DF1" w14:textId="77777777" w:rsidR="00F8503D" w:rsidRDefault="0033067D">
      <w:pPr>
        <w:numPr>
          <w:ilvl w:val="0"/>
          <w:numId w:val="116"/>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allow access to all Title II learner files by HECC CCWD and/or the U.S. Department of Education for audit purposes.</w:t>
      </w:r>
    </w:p>
    <w:p w14:paraId="0547E3A8" w14:textId="77777777" w:rsidR="00F8503D" w:rsidRDefault="0033067D">
      <w:pPr>
        <w:keepNext/>
        <w:numPr>
          <w:ilvl w:val="2"/>
          <w:numId w:val="24"/>
        </w:numPr>
        <w:pBdr>
          <w:top w:val="nil"/>
          <w:left w:val="nil"/>
          <w:bottom w:val="nil"/>
          <w:right w:val="nil"/>
          <w:between w:val="nil"/>
        </w:pBdr>
        <w:spacing w:before="240" w:after="40" w:line="276" w:lineRule="auto"/>
      </w:pPr>
      <w:bookmarkStart w:id="40" w:name="_560idokdbktz" w:colFirst="0" w:colLast="0"/>
      <w:bookmarkEnd w:id="40"/>
      <w:r>
        <w:rPr>
          <w:rFonts w:ascii="Arial" w:eastAsia="Arial" w:hAnsi="Arial" w:cs="Arial"/>
          <w:smallCaps/>
          <w:color w:val="6A976C"/>
          <w:sz w:val="28"/>
          <w:szCs w:val="28"/>
        </w:rPr>
        <w:t>Retention of Student Records</w:t>
      </w:r>
    </w:p>
    <w:p w14:paraId="31F553FD"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2BA3CDFA" w14:textId="77777777" w:rsidR="00F8503D" w:rsidRDefault="0033067D">
      <w:pPr>
        <w:numPr>
          <w:ilvl w:val="0"/>
          <w:numId w:val="117"/>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retain complete original learner records, both paper and electronic, for Title II program participants for three years from the end of the grant or the length of time required by their own record archiving policy, whichever is longer.</w:t>
      </w:r>
    </w:p>
    <w:p w14:paraId="4621CB15" w14:textId="77777777" w:rsidR="00F8503D" w:rsidRDefault="0033067D">
      <w:pPr>
        <w:numPr>
          <w:ilvl w:val="0"/>
          <w:numId w:val="117"/>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maintain electronic databases for 10 years or the length of time required by their own archiving policy, whichever is longer.</w:t>
      </w:r>
    </w:p>
    <w:p w14:paraId="1978C79D" w14:textId="77777777" w:rsidR="00F8503D" w:rsidRDefault="0033067D">
      <w:pPr>
        <w:keepNext/>
        <w:numPr>
          <w:ilvl w:val="2"/>
          <w:numId w:val="24"/>
        </w:numPr>
        <w:pBdr>
          <w:top w:val="nil"/>
          <w:left w:val="nil"/>
          <w:bottom w:val="nil"/>
          <w:right w:val="nil"/>
          <w:between w:val="nil"/>
        </w:pBdr>
        <w:spacing w:before="240" w:after="40" w:line="276" w:lineRule="auto"/>
      </w:pPr>
      <w:bookmarkStart w:id="41" w:name="_b57qcwe4y7ei" w:colFirst="0" w:colLast="0"/>
      <w:bookmarkEnd w:id="41"/>
      <w:r>
        <w:rPr>
          <w:rFonts w:ascii="Arial" w:eastAsia="Arial" w:hAnsi="Arial" w:cs="Arial"/>
          <w:smallCaps/>
          <w:color w:val="6A976C"/>
          <w:sz w:val="28"/>
          <w:szCs w:val="28"/>
        </w:rPr>
        <w:t>Data Quality Control</w:t>
      </w:r>
    </w:p>
    <w:p w14:paraId="498E837D"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7B5727C0" w14:textId="77777777" w:rsidR="00F8503D" w:rsidRDefault="0033067D">
      <w:pPr>
        <w:numPr>
          <w:ilvl w:val="0"/>
          <w:numId w:val="118"/>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monitor the quality of their data using the data validation features of the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software to check for missing or inaccurate data or to compare various data elements to each other to ensure they make sense. The Oregon Data Manual for WIOA Title II Providers resource outlines procedures for data clean-up, data integrity checks, and data validation. Programs must employ these data validation features at least once each quarter and are strongly encouraged to do so more frequently.</w:t>
      </w:r>
    </w:p>
    <w:p w14:paraId="599CECAE" w14:textId="77777777" w:rsidR="00F8503D" w:rsidRDefault="0033067D">
      <w:pPr>
        <w:numPr>
          <w:ilvl w:val="0"/>
          <w:numId w:val="118"/>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Programs must correct any incorrect data found during data validation and inspection within 30 days. Data errors found during the state data review </w:t>
      </w:r>
      <w:r>
        <w:rPr>
          <w:rFonts w:ascii="Verdana" w:eastAsia="Verdana" w:hAnsi="Verdana" w:cs="Verdana"/>
          <w:color w:val="000000"/>
          <w:sz w:val="23"/>
          <w:szCs w:val="23"/>
        </w:rPr>
        <w:lastRenderedPageBreak/>
        <w:t xml:space="preserve">process must also be corrected and, if requested by the State, a written confirmation of corrections sent to the ABS Team email address: </w:t>
      </w:r>
      <w:hyperlink r:id="rId63">
        <w:r>
          <w:rPr>
            <w:rFonts w:ascii="Verdana" w:eastAsia="Verdana" w:hAnsi="Verdana" w:cs="Verdana"/>
            <w:color w:val="0000FF"/>
            <w:sz w:val="23"/>
            <w:szCs w:val="23"/>
          </w:rPr>
          <w:t>hecc.absteam@hecc.oregon.gov</w:t>
        </w:r>
      </w:hyperlink>
      <w:r>
        <w:rPr>
          <w:rFonts w:ascii="Verdana" w:eastAsia="Verdana" w:hAnsi="Verdana" w:cs="Verdana"/>
          <w:color w:val="000000"/>
          <w:sz w:val="23"/>
          <w:szCs w:val="23"/>
        </w:rPr>
        <w:t xml:space="preserve"> within 30 days.</w:t>
      </w:r>
    </w:p>
    <w:p w14:paraId="7430B9D5" w14:textId="77777777" w:rsidR="00F8503D" w:rsidRDefault="0033067D">
      <w:pPr>
        <w:numPr>
          <w:ilvl w:val="0"/>
          <w:numId w:val="118"/>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must not alter data to falsify test scores, goals, or any other data. Changing data after the outcome is achieved is considered fraud.</w:t>
      </w:r>
    </w:p>
    <w:p w14:paraId="0C560C6E" w14:textId="77777777" w:rsidR="00F8503D" w:rsidRDefault="0033067D">
      <w:pPr>
        <w:numPr>
          <w:ilvl w:val="0"/>
          <w:numId w:val="118"/>
        </w:numPr>
        <w:pBdr>
          <w:top w:val="nil"/>
          <w:left w:val="nil"/>
          <w:bottom w:val="nil"/>
          <w:right w:val="nil"/>
          <w:between w:val="nil"/>
        </w:pBdr>
        <w:spacing w:after="160" w:line="276" w:lineRule="auto"/>
        <w:ind w:left="360"/>
      </w:pPr>
      <w:r>
        <w:rPr>
          <w:rFonts w:ascii="Verdana" w:eastAsia="Verdana" w:hAnsi="Verdana" w:cs="Verdana"/>
          <w:color w:val="000000"/>
          <w:sz w:val="23"/>
          <w:szCs w:val="23"/>
        </w:rPr>
        <w:t>Local data professionals and staff must update the data quality checklist annually to improve data processes and quality.</w:t>
      </w:r>
    </w:p>
    <w:p w14:paraId="5C2788BD" w14:textId="77777777" w:rsidR="00F8503D" w:rsidRDefault="0033067D">
      <w:pPr>
        <w:keepNext/>
        <w:numPr>
          <w:ilvl w:val="2"/>
          <w:numId w:val="24"/>
        </w:numPr>
        <w:pBdr>
          <w:top w:val="nil"/>
          <w:left w:val="nil"/>
          <w:bottom w:val="nil"/>
          <w:right w:val="nil"/>
          <w:between w:val="nil"/>
        </w:pBdr>
        <w:spacing w:before="240" w:after="40" w:line="276" w:lineRule="auto"/>
      </w:pPr>
      <w:bookmarkStart w:id="42" w:name="_fwu3j6mytioh" w:colFirst="0" w:colLast="0"/>
      <w:bookmarkEnd w:id="42"/>
      <w:r>
        <w:rPr>
          <w:rFonts w:ascii="Arial" w:eastAsia="Arial" w:hAnsi="Arial" w:cs="Arial"/>
          <w:smallCaps/>
          <w:color w:val="6A976C"/>
          <w:sz w:val="28"/>
          <w:szCs w:val="28"/>
        </w:rPr>
        <w:t>Data Quality Staff Training</w:t>
      </w:r>
    </w:p>
    <w:p w14:paraId="73B59E0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See Section 4.1, Professional Development.</w:t>
      </w:r>
    </w:p>
    <w:p w14:paraId="197BD3C0" w14:textId="73135904"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43" w:name="_h5l7iwpd8shf" w:colFirst="0" w:colLast="0"/>
      <w:bookmarkEnd w:id="43"/>
      <w:r>
        <w:rPr>
          <w:rFonts w:ascii="Arial" w:eastAsia="Arial" w:hAnsi="Arial" w:cs="Arial"/>
          <w:b/>
          <w:bCs/>
          <w:smallCaps/>
          <w:color w:val="6A976C"/>
          <w:sz w:val="32"/>
          <w:szCs w:val="32"/>
        </w:rPr>
        <w:lastRenderedPageBreak/>
        <w:t xml:space="preserve">Monitoring for Risk </w:t>
      </w:r>
      <w:r w:rsidR="00E963DB">
        <w:rPr>
          <w:rFonts w:ascii="Arial" w:eastAsia="Arial" w:hAnsi="Arial" w:cs="Arial"/>
          <w:b/>
          <w:bCs/>
          <w:smallCaps/>
          <w:color w:val="6A976C"/>
          <w:sz w:val="32"/>
          <w:szCs w:val="32"/>
        </w:rPr>
        <w:t>Assessment</w:t>
      </w:r>
      <w:r>
        <w:rPr>
          <w:rFonts w:ascii="Arial" w:eastAsia="Arial" w:hAnsi="Arial" w:cs="Arial"/>
          <w:b/>
          <w:bCs/>
          <w:smallCaps/>
          <w:color w:val="6A976C"/>
          <w:sz w:val="32"/>
          <w:szCs w:val="32"/>
        </w:rPr>
        <w:t xml:space="preserve"> and Program Improvement</w:t>
      </w:r>
    </w:p>
    <w:p w14:paraId="3E772D90" w14:textId="594CD06B" w:rsidR="00F8503D" w:rsidRDefault="0033067D">
      <w:pPr>
        <w:keepNext/>
        <w:numPr>
          <w:ilvl w:val="2"/>
          <w:numId w:val="24"/>
        </w:numPr>
        <w:pBdr>
          <w:top w:val="nil"/>
          <w:left w:val="nil"/>
          <w:bottom w:val="nil"/>
          <w:right w:val="nil"/>
          <w:between w:val="nil"/>
        </w:pBdr>
        <w:spacing w:before="240" w:after="40" w:line="276" w:lineRule="auto"/>
      </w:pPr>
      <w:bookmarkStart w:id="44" w:name="_u7vk3qlgj472" w:colFirst="0" w:colLast="0"/>
      <w:bookmarkEnd w:id="44"/>
      <w:r>
        <w:rPr>
          <w:rFonts w:ascii="Arial" w:eastAsia="Arial" w:hAnsi="Arial" w:cs="Arial"/>
          <w:smallCaps/>
          <w:color w:val="6A976C"/>
          <w:sz w:val="28"/>
          <w:szCs w:val="28"/>
        </w:rPr>
        <w:t xml:space="preserve">Risk </w:t>
      </w:r>
      <w:r w:rsidR="00E963DB">
        <w:rPr>
          <w:rFonts w:ascii="Arial" w:eastAsia="Arial" w:hAnsi="Arial" w:cs="Arial"/>
          <w:smallCaps/>
          <w:color w:val="6A976C"/>
          <w:sz w:val="28"/>
          <w:szCs w:val="28"/>
        </w:rPr>
        <w:t>Assessment</w:t>
      </w:r>
    </w:p>
    <w:p w14:paraId="7D1BCBB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E634CF4" w14:textId="597705C0"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 </w:t>
      </w:r>
    </w:p>
    <w:p w14:paraId="328BF0E7"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Under 2 CFR 200.332, Oregon must evaluate each subrecipient's risk of noncompliance annually to determine the appropriate monitoring. This involves a structured assessment that considers specific factors and results in a documented monitoring plan. </w:t>
      </w:r>
    </w:p>
    <w:p w14:paraId="3DA5939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Key Factors for Risk Assessment</w:t>
      </w:r>
    </w:p>
    <w:p w14:paraId="141C51F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Prior experience: The subrecipient's history with the same or similar subawards.</w:t>
      </w:r>
    </w:p>
    <w:p w14:paraId="1D80399C"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Audit results: Results of previous audits, including whether a Single Audit was performed and if the subaward was audited as a major program. Information is available on SAM.gov through the FAPIIS system.</w:t>
      </w:r>
    </w:p>
    <w:p w14:paraId="5B2ECBD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Personnel/Systems changes: Whether the subrecipient has new personnel or new or substantially changed systems (e.g., financial or accounting systems).</w:t>
      </w:r>
    </w:p>
    <w:p w14:paraId="2D4F03D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Federal agency monitoring: The extent and results of any direct Federal agency monitoring, if applicable. </w:t>
      </w:r>
    </w:p>
    <w:p w14:paraId="344A20A5" w14:textId="67EAA84D"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Additional considerations may include the subrecipient's financial stability, quality of management systems, the complexity of the program, and any prior monitoring </w:t>
      </w:r>
      <w:r w:rsidR="005F11E8" w:rsidRPr="7B188CE2">
        <w:rPr>
          <w:rFonts w:ascii="Verdana" w:eastAsia="Verdana" w:hAnsi="Verdana" w:cs="Verdana"/>
          <w:color w:val="000000" w:themeColor="text1"/>
          <w:sz w:val="23"/>
          <w:szCs w:val="23"/>
          <w:lang w:val="en-US"/>
        </w:rPr>
        <w:t>conclusions. HECC</w:t>
      </w:r>
      <w:r w:rsidRPr="7B188CE2">
        <w:rPr>
          <w:rFonts w:ascii="Verdana" w:eastAsia="Verdana" w:hAnsi="Verdana" w:cs="Verdana"/>
          <w:color w:val="000000" w:themeColor="text1"/>
          <w:sz w:val="23"/>
          <w:szCs w:val="23"/>
          <w:lang w:val="en-US"/>
        </w:rPr>
        <w:t xml:space="preserve"> will take the steps outlined below to monitor programs.</w:t>
      </w:r>
    </w:p>
    <w:p w14:paraId="1AD31A0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HECC will—</w:t>
      </w:r>
    </w:p>
    <w:p w14:paraId="2F997DD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STEP 1: Communicate to programs their responsibilities related to compliance with federal and state award terms and conditions.</w:t>
      </w:r>
    </w:p>
    <w:p w14:paraId="2E7C9285" w14:textId="77777777" w:rsidR="00F8503D" w:rsidRDefault="0033067D">
      <w:pPr>
        <w:numPr>
          <w:ilvl w:val="7"/>
          <w:numId w:val="78"/>
        </w:numPr>
        <w:pBdr>
          <w:top w:val="nil"/>
          <w:left w:val="nil"/>
          <w:bottom w:val="nil"/>
          <w:right w:val="nil"/>
          <w:between w:val="nil"/>
        </w:pBdr>
        <w:spacing w:after="160" w:line="276" w:lineRule="auto"/>
      </w:pPr>
      <w:r>
        <w:rPr>
          <w:rFonts w:ascii="Verdana" w:eastAsia="Verdana" w:hAnsi="Verdana" w:cs="Verdana"/>
          <w:color w:val="000000"/>
          <w:sz w:val="23"/>
          <w:szCs w:val="23"/>
        </w:rPr>
        <w:t>Provide grant requirements in Oregon’s Title II Request for Grant Applications;</w:t>
      </w:r>
    </w:p>
    <w:p w14:paraId="7C0DB8C0" w14:textId="77777777" w:rsidR="00F8503D" w:rsidRDefault="0033067D">
      <w:pPr>
        <w:numPr>
          <w:ilvl w:val="7"/>
          <w:numId w:val="78"/>
        </w:numPr>
        <w:pBdr>
          <w:top w:val="nil"/>
          <w:left w:val="nil"/>
          <w:bottom w:val="nil"/>
          <w:right w:val="nil"/>
          <w:between w:val="nil"/>
        </w:pBdr>
        <w:spacing w:after="160" w:line="276" w:lineRule="auto"/>
      </w:pPr>
      <w:r>
        <w:rPr>
          <w:rFonts w:ascii="Verdana" w:eastAsia="Verdana" w:hAnsi="Verdana" w:cs="Verdana"/>
          <w:color w:val="000000"/>
          <w:sz w:val="23"/>
          <w:szCs w:val="23"/>
        </w:rPr>
        <w:t>Conduct training for new and continuing programs; and</w:t>
      </w:r>
    </w:p>
    <w:p w14:paraId="3575A60C" w14:textId="77777777" w:rsidR="00F8503D" w:rsidRDefault="0033067D">
      <w:pPr>
        <w:numPr>
          <w:ilvl w:val="7"/>
          <w:numId w:val="78"/>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Describe responsibilities and compliance requirements in the Oregon ABS Policy Manual. </w:t>
      </w:r>
    </w:p>
    <w:p w14:paraId="7D6FDD6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STEP 2: Annually assess risk of programs. 2 CFR 200.331(b)</w:t>
      </w:r>
    </w:p>
    <w:p w14:paraId="478E4184"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88FD554">
        <w:rPr>
          <w:rFonts w:ascii="Verdana" w:eastAsia="Verdana" w:hAnsi="Verdana" w:cs="Verdana"/>
          <w:color w:val="000000" w:themeColor="text1"/>
          <w:sz w:val="23"/>
          <w:szCs w:val="23"/>
          <w:lang w:val="en-US"/>
        </w:rPr>
        <w:lastRenderedPageBreak/>
        <w:t>STEP 3: Monitor programs to ensure compliance with federal regulations and with award terms and conditions.</w:t>
      </w:r>
    </w:p>
    <w:p w14:paraId="3774314E"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STEP 4: Set a plan of corrective action and technical assistance for those areas out of compliance.</w:t>
      </w:r>
    </w:p>
    <w:p w14:paraId="7F945AB1" w14:textId="77777777" w:rsidR="00F8503D" w:rsidRDefault="0033067D">
      <w:pPr>
        <w:keepNext/>
        <w:numPr>
          <w:ilvl w:val="2"/>
          <w:numId w:val="24"/>
        </w:numPr>
        <w:pBdr>
          <w:top w:val="nil"/>
          <w:left w:val="nil"/>
          <w:bottom w:val="nil"/>
          <w:right w:val="nil"/>
          <w:between w:val="nil"/>
        </w:pBdr>
        <w:spacing w:before="240" w:after="40" w:line="276" w:lineRule="auto"/>
      </w:pPr>
      <w:bookmarkStart w:id="45" w:name="_mvdhwucyyfim" w:colFirst="0" w:colLast="0"/>
      <w:bookmarkEnd w:id="45"/>
      <w:r>
        <w:rPr>
          <w:rFonts w:ascii="Arial" w:eastAsia="Arial" w:hAnsi="Arial" w:cs="Arial"/>
          <w:smallCaps/>
          <w:color w:val="6A976C"/>
          <w:sz w:val="28"/>
          <w:szCs w:val="28"/>
        </w:rPr>
        <w:t>Risk Assessment</w:t>
      </w:r>
    </w:p>
    <w:p w14:paraId="796844F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3029A925" w14:textId="77777777" w:rsidR="00F8503D" w:rsidRDefault="0033067D" w:rsidP="7B188CE2">
      <w:pPr>
        <w:keepNext/>
        <w:pBdr>
          <w:top w:val="nil"/>
          <w:left w:val="nil"/>
          <w:bottom w:val="nil"/>
          <w:right w:val="nil"/>
          <w:between w:val="nil"/>
        </w:pBdr>
        <w:spacing w:before="40" w:after="40" w:line="276" w:lineRule="auto"/>
        <w:rPr>
          <w:rFonts w:ascii="Arial" w:eastAsia="Arial" w:hAnsi="Arial" w:cs="Arial"/>
          <w:b/>
          <w:bCs/>
          <w:i/>
          <w:iCs/>
          <w:color w:val="000000"/>
          <w:lang w:val="en-US"/>
        </w:rPr>
      </w:pPr>
      <w:r w:rsidRPr="7B188CE2">
        <w:rPr>
          <w:rFonts w:ascii="Arial" w:eastAsia="Arial" w:hAnsi="Arial" w:cs="Arial"/>
          <w:b/>
          <w:bCs/>
          <w:i/>
          <w:iCs/>
          <w:color w:val="000000" w:themeColor="text1"/>
          <w:lang w:val="en-US"/>
        </w:rPr>
        <w:t>Risk assessment is a process used to manage risk by evaluating the risk levels of grant-funded programs. To assess these risks annually, specific factors that may impact the risk level for each provider have been identified.</w:t>
      </w:r>
    </w:p>
    <w:p w14:paraId="494AB0F4"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5173698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Program improvement is a continuous process for the benefit of our learners. It is also a requirement under the Government Performance and Results Modernization Act of 2010, reflected in WIOA Section 116 (b)(3)(A)(v), which requires states to negotiate with the U.S. Department of Education to set performance targets annually for the WIOA primary measures of performance.</w:t>
      </w:r>
    </w:p>
    <w:p w14:paraId="53A4B85C"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principal factor for program improvement is performance accountability. Performance accountability includes the effectiveness of programs in achieving the WIOA targets as well as effectiveness in interim measures, e.g., posttest rates and data quality.</w:t>
      </w:r>
    </w:p>
    <w:p w14:paraId="71418A78"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7A6A10C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HECC will complete a program assessment for each local program. HECC will review each local program’s assessment and discuss any ratings with each program’s leadership. Based on HECC’s assessment of risk and performance, programs must follow the steps below:</w:t>
      </w:r>
    </w:p>
    <w:p w14:paraId="5211C35C"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In areas where factors indicate highest risk, programs will:</w:t>
      </w:r>
    </w:p>
    <w:p w14:paraId="0E807505" w14:textId="77777777" w:rsidR="00F8503D" w:rsidRDefault="0033067D">
      <w:pPr>
        <w:numPr>
          <w:ilvl w:val="0"/>
          <w:numId w:val="119"/>
        </w:numPr>
        <w:pBdr>
          <w:top w:val="nil"/>
          <w:left w:val="nil"/>
          <w:bottom w:val="nil"/>
          <w:right w:val="nil"/>
          <w:between w:val="nil"/>
        </w:pBdr>
        <w:spacing w:after="160" w:line="276" w:lineRule="auto"/>
      </w:pPr>
      <w:r>
        <w:rPr>
          <w:rFonts w:ascii="Verdana" w:eastAsia="Verdana" w:hAnsi="Verdana" w:cs="Verdana"/>
          <w:color w:val="000000"/>
          <w:sz w:val="23"/>
          <w:szCs w:val="23"/>
        </w:rPr>
        <w:t>Submit a program improvement plan with timelines for improving specific, agreed-upon risk and performance factors in the following year(s).</w:t>
      </w:r>
    </w:p>
    <w:p w14:paraId="7115F710" w14:textId="77777777" w:rsidR="00F8503D" w:rsidRDefault="0033067D">
      <w:pPr>
        <w:numPr>
          <w:ilvl w:val="0"/>
          <w:numId w:val="11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If appropriate, work with state staff to plan and implement technical assistance, including targeted professional development.</w:t>
      </w:r>
    </w:p>
    <w:p w14:paraId="72B40E21"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In areas where factors indicate moderate risk or moderate need for performance improvement, programs will:</w:t>
      </w:r>
    </w:p>
    <w:p w14:paraId="008F08CB" w14:textId="77777777" w:rsidR="00F8503D" w:rsidRDefault="0033067D">
      <w:pPr>
        <w:numPr>
          <w:ilvl w:val="1"/>
          <w:numId w:val="11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Submit a program improvement plan with timelines for reducing or eliminating specific, agreed-upon risk or performance factors in the following year(s).</w:t>
      </w:r>
    </w:p>
    <w:p w14:paraId="0A511084" w14:textId="77777777" w:rsidR="00F8503D" w:rsidRDefault="0033067D">
      <w:pPr>
        <w:numPr>
          <w:ilvl w:val="1"/>
          <w:numId w:val="11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lastRenderedPageBreak/>
        <w:t>If appropriate, work with state staff to plan and implement technical assistance, including targeted professional development.</w:t>
      </w:r>
    </w:p>
    <w:p w14:paraId="62F35758"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C6AA393"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In areas where factors indicate low risk or lowest need for performance improvement, programs will: </w:t>
      </w:r>
    </w:p>
    <w:p w14:paraId="1211FD0C" w14:textId="77777777" w:rsidR="00F8503D" w:rsidRDefault="0033067D">
      <w:pPr>
        <w:numPr>
          <w:ilvl w:val="0"/>
          <w:numId w:val="12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Submit a program improvement plan with timelines for reducing or eliminating specific, agreed-upon risk or performance factors in the following year(s).</w:t>
      </w:r>
    </w:p>
    <w:p w14:paraId="57256324" w14:textId="77777777" w:rsidR="00F8503D" w:rsidRDefault="0033067D">
      <w:pPr>
        <w:numPr>
          <w:ilvl w:val="0"/>
          <w:numId w:val="12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If appropriate, work with state staff to plan and implement technical assistance, including targeted professional development.</w:t>
      </w:r>
    </w:p>
    <w:p w14:paraId="5059353E" w14:textId="77777777" w:rsidR="00F8503D" w:rsidRDefault="0033067D">
      <w:pPr>
        <w:keepNext/>
        <w:numPr>
          <w:ilvl w:val="2"/>
          <w:numId w:val="24"/>
        </w:numPr>
        <w:pBdr>
          <w:top w:val="nil"/>
          <w:left w:val="nil"/>
          <w:bottom w:val="nil"/>
          <w:right w:val="nil"/>
          <w:between w:val="nil"/>
        </w:pBdr>
        <w:spacing w:before="240" w:after="40" w:line="276" w:lineRule="auto"/>
      </w:pPr>
      <w:bookmarkStart w:id="46" w:name="_s8axy7ld1rp5" w:colFirst="0" w:colLast="0"/>
      <w:bookmarkEnd w:id="46"/>
      <w:r>
        <w:rPr>
          <w:rFonts w:ascii="Arial" w:eastAsia="Arial" w:hAnsi="Arial" w:cs="Arial"/>
          <w:smallCaps/>
          <w:color w:val="6A976C"/>
          <w:sz w:val="28"/>
          <w:szCs w:val="28"/>
        </w:rPr>
        <w:t>State Monitoring Activities</w:t>
      </w:r>
    </w:p>
    <w:p w14:paraId="095C6B36"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3989A85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HECC performs regular monitoring of all programs as well as targeted monitoring based on risk assessment and program performance.</w:t>
      </w:r>
    </w:p>
    <w:p w14:paraId="710D0F5D"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1D134E3C"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HECC may use the following monitoring documents and tools to ensure proper compliance with grant requirements and promote achievement of performance goals and targets. Programs must provide required routine reports in a timely manner, respond to requests for specific information, and participate in other monitoring activities as required.</w:t>
      </w:r>
    </w:p>
    <w:p w14:paraId="08AD198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Programs must complete the following annually:</w:t>
      </w:r>
    </w:p>
    <w:p w14:paraId="73BA3A8B" w14:textId="77777777" w:rsidR="00F8503D" w:rsidRDefault="0033067D">
      <w:pPr>
        <w:numPr>
          <w:ilvl w:val="0"/>
          <w:numId w:val="121"/>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Final Financial Status Report (FFSR); </w:t>
      </w:r>
    </w:p>
    <w:p w14:paraId="4A64DE28" w14:textId="77777777" w:rsidR="00F8503D" w:rsidRDefault="0033067D">
      <w:pPr>
        <w:numPr>
          <w:ilvl w:val="0"/>
          <w:numId w:val="121"/>
        </w:numPr>
        <w:pBdr>
          <w:top w:val="nil"/>
          <w:left w:val="nil"/>
          <w:bottom w:val="nil"/>
          <w:right w:val="nil"/>
          <w:between w:val="nil"/>
        </w:pBdr>
        <w:spacing w:after="160" w:line="276" w:lineRule="auto"/>
      </w:pPr>
      <w:r>
        <w:rPr>
          <w:rFonts w:ascii="Verdana" w:eastAsia="Verdana" w:hAnsi="Verdana" w:cs="Verdana"/>
          <w:color w:val="000000"/>
          <w:sz w:val="23"/>
          <w:szCs w:val="23"/>
        </w:rPr>
        <w:t>Federal Table 7 – Adult Education Personnel by Function and Job Status;</w:t>
      </w:r>
    </w:p>
    <w:p w14:paraId="1AAB8185" w14:textId="77777777" w:rsidR="00F8503D" w:rsidRDefault="0033067D">
      <w:pPr>
        <w:numPr>
          <w:ilvl w:val="0"/>
          <w:numId w:val="121"/>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NRS Tables (through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reports as requested).</w:t>
      </w:r>
    </w:p>
    <w:p w14:paraId="40948EC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Programs must complete the following quarterly:</w:t>
      </w:r>
    </w:p>
    <w:p w14:paraId="1E3547E0" w14:textId="6B469332" w:rsidR="00F8503D" w:rsidRDefault="0033067D">
      <w:pPr>
        <w:numPr>
          <w:ilvl w:val="0"/>
          <w:numId w:val="14"/>
        </w:numPr>
        <w:pBdr>
          <w:top w:val="nil"/>
          <w:left w:val="nil"/>
          <w:bottom w:val="nil"/>
          <w:right w:val="nil"/>
          <w:between w:val="nil"/>
        </w:pBdr>
        <w:spacing w:after="160" w:line="276" w:lineRule="auto"/>
        <w:rPr>
          <w:rFonts w:ascii="Verdana" w:eastAsia="Verdana" w:hAnsi="Verdana" w:cs="Verdana"/>
          <w:color w:val="000000" w:themeColor="text1"/>
          <w:sz w:val="23"/>
          <w:szCs w:val="23"/>
          <w:lang w:val="en-US"/>
        </w:rPr>
      </w:pPr>
      <w:r w:rsidRPr="7B188CE2">
        <w:rPr>
          <w:rFonts w:ascii="Verdana" w:eastAsia="Verdana" w:hAnsi="Verdana" w:cs="Verdana"/>
          <w:color w:val="000000" w:themeColor="text1"/>
          <w:sz w:val="23"/>
          <w:szCs w:val="23"/>
          <w:lang w:val="en-US"/>
        </w:rPr>
        <w:t>Updated provider contact lists</w:t>
      </w:r>
      <w:r w:rsidR="1809A3E5" w:rsidRPr="7B188CE2">
        <w:rPr>
          <w:rFonts w:ascii="Verdana" w:eastAsia="Verdana" w:hAnsi="Verdana" w:cs="Verdana"/>
          <w:color w:val="000000" w:themeColor="text1"/>
          <w:sz w:val="23"/>
          <w:szCs w:val="23"/>
          <w:lang w:val="en-US"/>
        </w:rPr>
        <w:t xml:space="preserve"> as needed, but no more than 90 days after a change has taken place</w:t>
      </w:r>
      <w:r w:rsidR="711698AE" w:rsidRPr="7B188CE2">
        <w:rPr>
          <w:rFonts w:ascii="Verdana" w:eastAsia="Verdana" w:hAnsi="Verdana" w:cs="Verdana"/>
          <w:color w:val="000000" w:themeColor="text1"/>
          <w:sz w:val="23"/>
          <w:szCs w:val="23"/>
          <w:lang w:val="en-US"/>
        </w:rPr>
        <w:t xml:space="preserve">. </w:t>
      </w:r>
    </w:p>
    <w:p w14:paraId="7D1313F8" w14:textId="77777777" w:rsidR="00F8503D" w:rsidRDefault="0033067D">
      <w:pPr>
        <w:numPr>
          <w:ilvl w:val="0"/>
          <w:numId w:val="14"/>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Data Integrity Reports; and</w:t>
      </w:r>
    </w:p>
    <w:p w14:paraId="5FF208C1" w14:textId="77777777" w:rsidR="00F8503D" w:rsidRDefault="0033067D">
      <w:pPr>
        <w:numPr>
          <w:ilvl w:val="0"/>
          <w:numId w:val="14"/>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Other TOPSpro Enterprise</w:t>
      </w:r>
      <w:r w:rsidRPr="7B188CE2">
        <w:rPr>
          <w:rFonts w:ascii="Verdana" w:eastAsia="Verdana" w:hAnsi="Verdana" w:cs="Verdana"/>
          <w:color w:val="000000" w:themeColor="text1"/>
          <w:sz w:val="23"/>
          <w:szCs w:val="23"/>
          <w:vertAlign w:val="superscript"/>
          <w:lang w:val="en-US"/>
        </w:rPr>
        <w:t>®</w:t>
      </w:r>
      <w:r w:rsidRPr="7B188CE2">
        <w:rPr>
          <w:rFonts w:ascii="Verdana" w:eastAsia="Verdana" w:hAnsi="Verdana" w:cs="Verdana"/>
          <w:color w:val="000000" w:themeColor="text1"/>
          <w:sz w:val="23"/>
          <w:szCs w:val="23"/>
          <w:lang w:val="en-US"/>
        </w:rPr>
        <w:t xml:space="preserve"> reports as requested.</w:t>
      </w:r>
    </w:p>
    <w:p w14:paraId="6346B11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Programs must complete or respond to the following as appropriate: </w:t>
      </w:r>
    </w:p>
    <w:p w14:paraId="2A04F5E2" w14:textId="77777777" w:rsidR="00F8503D" w:rsidRDefault="0033067D">
      <w:pPr>
        <w:numPr>
          <w:ilvl w:val="0"/>
          <w:numId w:val="15"/>
        </w:numPr>
        <w:pBdr>
          <w:top w:val="nil"/>
          <w:left w:val="nil"/>
          <w:bottom w:val="nil"/>
          <w:right w:val="nil"/>
          <w:between w:val="nil"/>
        </w:pBdr>
        <w:spacing w:after="160" w:line="276" w:lineRule="auto"/>
      </w:pPr>
      <w:r>
        <w:rPr>
          <w:rFonts w:ascii="Verdana" w:eastAsia="Verdana" w:hAnsi="Verdana" w:cs="Verdana"/>
          <w:color w:val="000000"/>
          <w:sz w:val="23"/>
          <w:szCs w:val="23"/>
        </w:rPr>
        <w:t>Routine communication;</w:t>
      </w:r>
    </w:p>
    <w:p w14:paraId="1B59A4DD" w14:textId="77777777" w:rsidR="00F8503D" w:rsidRDefault="0033067D">
      <w:pPr>
        <w:numPr>
          <w:ilvl w:val="0"/>
          <w:numId w:val="15"/>
        </w:numPr>
        <w:pBdr>
          <w:top w:val="nil"/>
          <w:left w:val="nil"/>
          <w:bottom w:val="nil"/>
          <w:right w:val="nil"/>
          <w:between w:val="nil"/>
        </w:pBdr>
        <w:spacing w:after="160" w:line="276" w:lineRule="auto"/>
      </w:pPr>
      <w:r>
        <w:rPr>
          <w:rFonts w:ascii="Verdana" w:eastAsia="Verdana" w:hAnsi="Verdana" w:cs="Verdana"/>
          <w:color w:val="000000"/>
          <w:sz w:val="23"/>
          <w:szCs w:val="23"/>
        </w:rPr>
        <w:lastRenderedPageBreak/>
        <w:t xml:space="preserve">Records of professional development and meeting attendance; </w:t>
      </w:r>
    </w:p>
    <w:p w14:paraId="591669E1" w14:textId="77777777" w:rsidR="00F8503D" w:rsidRDefault="0033067D">
      <w:pPr>
        <w:numPr>
          <w:ilvl w:val="0"/>
          <w:numId w:val="1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 xml:space="preserve">Review of invoices from programs and questions regarding expenditures as submitted; </w:t>
      </w:r>
    </w:p>
    <w:p w14:paraId="4BE8D466" w14:textId="77777777" w:rsidR="00F8503D" w:rsidRDefault="0033067D">
      <w:pPr>
        <w:numPr>
          <w:ilvl w:val="0"/>
          <w:numId w:val="15"/>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On-site reviews of program operations; and </w:t>
      </w:r>
    </w:p>
    <w:p w14:paraId="3E2929F7" w14:textId="77777777" w:rsidR="00F8503D" w:rsidRDefault="0033067D">
      <w:pPr>
        <w:numPr>
          <w:ilvl w:val="0"/>
          <w:numId w:val="15"/>
        </w:numPr>
        <w:pBdr>
          <w:top w:val="nil"/>
          <w:left w:val="nil"/>
          <w:bottom w:val="nil"/>
          <w:right w:val="nil"/>
          <w:between w:val="nil"/>
        </w:pBdr>
        <w:spacing w:after="160" w:line="276" w:lineRule="auto"/>
      </w:pPr>
      <w:r>
        <w:rPr>
          <w:rFonts w:ascii="Verdana" w:eastAsia="Verdana" w:hAnsi="Verdana" w:cs="Verdana"/>
          <w:color w:val="000000"/>
          <w:sz w:val="23"/>
          <w:szCs w:val="23"/>
        </w:rPr>
        <w:t>Verification that program is audited as required by 2 CFR 200 Subpart F—Audit Requirements.</w:t>
      </w:r>
    </w:p>
    <w:p w14:paraId="4C3BCB8F"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After monitoring, HECC will do the following, as appropriate: </w:t>
      </w:r>
    </w:p>
    <w:p w14:paraId="2CFD1D31" w14:textId="77777777" w:rsidR="00F8503D" w:rsidRDefault="0033067D">
      <w:pPr>
        <w:numPr>
          <w:ilvl w:val="0"/>
          <w:numId w:val="16"/>
        </w:numPr>
        <w:pBdr>
          <w:top w:val="nil"/>
          <w:left w:val="nil"/>
          <w:bottom w:val="nil"/>
          <w:right w:val="nil"/>
          <w:between w:val="nil"/>
        </w:pBdr>
        <w:spacing w:after="160" w:line="276" w:lineRule="auto"/>
      </w:pPr>
      <w:r>
        <w:rPr>
          <w:rFonts w:ascii="Verdana" w:eastAsia="Verdana" w:hAnsi="Verdana" w:cs="Verdana"/>
          <w:color w:val="000000"/>
          <w:sz w:val="23"/>
          <w:szCs w:val="23"/>
        </w:rPr>
        <w:t>Maintain documentation of monitoring efforts;</w:t>
      </w:r>
    </w:p>
    <w:p w14:paraId="0555BE64" w14:textId="77777777" w:rsidR="00F8503D" w:rsidRDefault="0033067D">
      <w:pPr>
        <w:numPr>
          <w:ilvl w:val="0"/>
          <w:numId w:val="16"/>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Provide feedback to the program that cites strengths as well as areas for improvement; Provide training and/or technical assistance;</w:t>
      </w:r>
    </w:p>
    <w:p w14:paraId="4575B0C9" w14:textId="77777777" w:rsidR="00F8503D" w:rsidRDefault="0033067D">
      <w:pPr>
        <w:numPr>
          <w:ilvl w:val="0"/>
          <w:numId w:val="16"/>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Issue a management decision for audit findings pertaining to the federal award (2 CFR 200.521);</w:t>
      </w:r>
    </w:p>
    <w:p w14:paraId="4F0BDA2C" w14:textId="77777777" w:rsidR="00F8503D" w:rsidRDefault="0033067D">
      <w:pPr>
        <w:numPr>
          <w:ilvl w:val="0"/>
          <w:numId w:val="16"/>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Follow up and ensure that the program takes timely and appropriate action on all deficiencies pertaining to the Title II award detected through audits, monitoring, document submission, on-site reviews, and other means;</w:t>
      </w:r>
    </w:p>
    <w:p w14:paraId="14BDAAF2" w14:textId="77777777" w:rsidR="00F8503D" w:rsidRDefault="0033067D">
      <w:pPr>
        <w:numPr>
          <w:ilvl w:val="0"/>
          <w:numId w:val="16"/>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Consider whether the results of monitoring indicate conditions that necessitate adjustments to the program’s operations; and/or</w:t>
      </w:r>
    </w:p>
    <w:p w14:paraId="4B53BB0A" w14:textId="77777777" w:rsidR="00F8503D" w:rsidRDefault="0033067D">
      <w:pPr>
        <w:numPr>
          <w:ilvl w:val="0"/>
          <w:numId w:val="16"/>
        </w:numPr>
        <w:pBdr>
          <w:top w:val="nil"/>
          <w:left w:val="nil"/>
          <w:bottom w:val="nil"/>
          <w:right w:val="nil"/>
          <w:between w:val="nil"/>
        </w:pBdr>
        <w:spacing w:after="160" w:line="276" w:lineRule="auto"/>
      </w:pPr>
      <w:r>
        <w:rPr>
          <w:rFonts w:ascii="Verdana" w:eastAsia="Verdana" w:hAnsi="Verdana" w:cs="Verdana"/>
          <w:color w:val="000000"/>
          <w:sz w:val="23"/>
          <w:szCs w:val="23"/>
        </w:rPr>
        <w:t>Consider taking enforcement action against noncompliant programs (2 CFR 200.338).</w:t>
      </w:r>
    </w:p>
    <w:p w14:paraId="663B4027" w14:textId="77777777" w:rsidR="00F8503D" w:rsidRDefault="0033067D">
      <w:pPr>
        <w:keepNext/>
        <w:numPr>
          <w:ilvl w:val="2"/>
          <w:numId w:val="24"/>
        </w:numPr>
        <w:pBdr>
          <w:top w:val="nil"/>
          <w:left w:val="nil"/>
          <w:bottom w:val="nil"/>
          <w:right w:val="nil"/>
          <w:between w:val="nil"/>
        </w:pBdr>
        <w:spacing w:before="240" w:after="40" w:line="276" w:lineRule="auto"/>
      </w:pPr>
      <w:bookmarkStart w:id="47" w:name="_41b0891ucsa4" w:colFirst="0" w:colLast="0"/>
      <w:bookmarkEnd w:id="47"/>
      <w:r>
        <w:rPr>
          <w:rFonts w:ascii="Arial" w:eastAsia="Arial" w:hAnsi="Arial" w:cs="Arial"/>
          <w:smallCaps/>
          <w:color w:val="6A976C"/>
          <w:sz w:val="28"/>
          <w:szCs w:val="28"/>
        </w:rPr>
        <w:t>Plans of Corrective Action and Technical Assistance</w:t>
      </w:r>
    </w:p>
    <w:p w14:paraId="0A1909FD"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7DA0DF03"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During monitoring, items of non-compliance are identified as findings. Development and implementation of corrective action plans ensure the correction of findings, increase program quality, and minimize the potential for future findings. Corrective action plans should include further technical assistance or training to help programs achieve the stated objectives (2 CFR 200.331(g) (h), 2 CFR 200.338).</w:t>
      </w:r>
    </w:p>
    <w:p w14:paraId="1F98677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34C5C69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When findings arise, programs must develop corrective actions plan(s) that:</w:t>
      </w:r>
    </w:p>
    <w:p w14:paraId="2260C648" w14:textId="77777777" w:rsidR="00F8503D" w:rsidRDefault="0033067D">
      <w:pPr>
        <w:numPr>
          <w:ilvl w:val="0"/>
          <w:numId w:val="18"/>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Identify the findings to be corrected;</w:t>
      </w:r>
    </w:p>
    <w:p w14:paraId="75A384CE" w14:textId="77777777" w:rsidR="00F8503D" w:rsidRDefault="0033067D">
      <w:pPr>
        <w:numPr>
          <w:ilvl w:val="0"/>
          <w:numId w:val="1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Identify specific actions with timelines;</w:t>
      </w:r>
    </w:p>
    <w:p w14:paraId="1D2ACC13" w14:textId="77777777" w:rsidR="00F8503D" w:rsidRDefault="0033067D">
      <w:pPr>
        <w:numPr>
          <w:ilvl w:val="0"/>
          <w:numId w:val="17"/>
        </w:numPr>
        <w:pBdr>
          <w:top w:val="nil"/>
          <w:left w:val="nil"/>
          <w:bottom w:val="nil"/>
          <w:right w:val="nil"/>
          <w:between w:val="nil"/>
        </w:pBdr>
        <w:spacing w:after="160" w:line="276" w:lineRule="auto"/>
      </w:pPr>
      <w:r>
        <w:rPr>
          <w:rFonts w:ascii="Verdana" w:eastAsia="Verdana" w:hAnsi="Verdana" w:cs="Verdana"/>
          <w:color w:val="000000"/>
          <w:sz w:val="23"/>
          <w:szCs w:val="23"/>
        </w:rPr>
        <w:lastRenderedPageBreak/>
        <w:t>Obtain approval of the State ABS Director; and</w:t>
      </w:r>
    </w:p>
    <w:p w14:paraId="0DE3A47C" w14:textId="77777777" w:rsidR="00F8503D" w:rsidRDefault="0033067D">
      <w:pPr>
        <w:numPr>
          <w:ilvl w:val="0"/>
          <w:numId w:val="17"/>
        </w:numPr>
        <w:pBdr>
          <w:top w:val="nil"/>
          <w:left w:val="nil"/>
          <w:bottom w:val="nil"/>
          <w:right w:val="nil"/>
          <w:between w:val="nil"/>
        </w:pBdr>
        <w:spacing w:after="160" w:line="276" w:lineRule="auto"/>
      </w:pPr>
      <w:r>
        <w:rPr>
          <w:rFonts w:ascii="Verdana" w:eastAsia="Verdana" w:hAnsi="Verdana" w:cs="Verdana"/>
          <w:color w:val="000000"/>
          <w:sz w:val="23"/>
          <w:szCs w:val="23"/>
        </w:rPr>
        <w:t>Continue taking corrective action until the plan is completed and the State ABS Director releases the program from the plan.</w:t>
      </w:r>
    </w:p>
    <w:p w14:paraId="7129E9A2"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If the corrective actions do not result in program compliance, HECC may impose additional conditions, as described in 2 CFR 200.207 Specific conditions. </w:t>
      </w:r>
    </w:p>
    <w:p w14:paraId="6FF4DBB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If HECC determines that noncompliance cannot be remedied by imposing additional conditions, HECC may take one or more of the following actions, as appropriate:</w:t>
      </w:r>
    </w:p>
    <w:p w14:paraId="1F9E0307" w14:textId="77777777" w:rsidR="00F8503D" w:rsidRDefault="0033067D">
      <w:pPr>
        <w:numPr>
          <w:ilvl w:val="0"/>
          <w:numId w:val="19"/>
        </w:numPr>
        <w:pBdr>
          <w:top w:val="nil"/>
          <w:left w:val="nil"/>
          <w:bottom w:val="nil"/>
          <w:right w:val="nil"/>
          <w:between w:val="nil"/>
        </w:pBdr>
        <w:spacing w:after="160" w:line="276" w:lineRule="auto"/>
      </w:pPr>
      <w:r>
        <w:rPr>
          <w:rFonts w:ascii="Verdana" w:eastAsia="Verdana" w:hAnsi="Verdana" w:cs="Verdana"/>
          <w:color w:val="000000"/>
          <w:sz w:val="23"/>
          <w:szCs w:val="23"/>
        </w:rPr>
        <w:t>Temporarily withhold cash payments pending correction of the deficiency by the program or more severe enforcement action by HECC;</w:t>
      </w:r>
    </w:p>
    <w:p w14:paraId="0BE6EDA7" w14:textId="77777777" w:rsidR="00F8503D" w:rsidRDefault="0033067D">
      <w:pPr>
        <w:numPr>
          <w:ilvl w:val="0"/>
          <w:numId w:val="19"/>
        </w:numPr>
        <w:pBdr>
          <w:top w:val="nil"/>
          <w:left w:val="nil"/>
          <w:bottom w:val="nil"/>
          <w:right w:val="nil"/>
          <w:between w:val="nil"/>
        </w:pBdr>
        <w:spacing w:after="160" w:line="276" w:lineRule="auto"/>
      </w:pPr>
      <w:r>
        <w:rPr>
          <w:rFonts w:ascii="Verdana" w:eastAsia="Verdana" w:hAnsi="Verdana" w:cs="Verdana"/>
          <w:color w:val="000000"/>
          <w:sz w:val="23"/>
          <w:szCs w:val="23"/>
        </w:rPr>
        <w:t>Disallow (that is, deny both use of funds and any applicable matching credit for) all or part of the cost of the activity or action not in compliance;</w:t>
      </w:r>
    </w:p>
    <w:p w14:paraId="3537C56F" w14:textId="77777777" w:rsidR="00F8503D" w:rsidRDefault="0033067D">
      <w:pPr>
        <w:numPr>
          <w:ilvl w:val="0"/>
          <w:numId w:val="1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Wholly or partly suspend or terminate the federal award;</w:t>
      </w:r>
    </w:p>
    <w:p w14:paraId="379DFBC8" w14:textId="77777777" w:rsidR="00F8503D" w:rsidRDefault="0033067D">
      <w:pPr>
        <w:numPr>
          <w:ilvl w:val="0"/>
          <w:numId w:val="1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Initiate suspension or debarment proceedings as authorized under 2 CFR 180 and federal awarding agency regulations (or in the case of a pass-through entity, recommend such a proceeding be initiated by a federal awarding agency);</w:t>
      </w:r>
    </w:p>
    <w:p w14:paraId="42D0F3EF" w14:textId="77777777" w:rsidR="00F8503D" w:rsidRDefault="0033067D">
      <w:pPr>
        <w:numPr>
          <w:ilvl w:val="0"/>
          <w:numId w:val="19"/>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Withhold further federal awards for the project or program; </w:t>
      </w:r>
    </w:p>
    <w:p w14:paraId="652AEE37" w14:textId="77777777" w:rsidR="00F8503D" w:rsidRDefault="0033067D">
      <w:pPr>
        <w:numPr>
          <w:ilvl w:val="0"/>
          <w:numId w:val="19"/>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Take other remedies that may be legally available. </w:t>
      </w:r>
    </w:p>
    <w:p w14:paraId="3B019E61"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48" w:name="_6f9t7ejmb75z" w:colFirst="0" w:colLast="0"/>
      <w:bookmarkEnd w:id="48"/>
      <w:r>
        <w:rPr>
          <w:rFonts w:ascii="Arial" w:eastAsia="Arial" w:hAnsi="Arial" w:cs="Arial"/>
          <w:b/>
          <w:bCs/>
          <w:smallCaps/>
          <w:color w:val="6A976C"/>
          <w:sz w:val="32"/>
          <w:szCs w:val="32"/>
        </w:rPr>
        <w:lastRenderedPageBreak/>
        <w:t>Financial Information</w:t>
      </w:r>
    </w:p>
    <w:p w14:paraId="4825C661"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Laws and Regulations</w:t>
      </w:r>
    </w:p>
    <w:p w14:paraId="6C385A97"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Funds for Title II grants are provided from the U.S. Department of Education (ED) under CFDA 84.002.A, Adult Education – State Grant Program to the Higher Education Coordinating Commission (HECC) as the eligible agency.</w:t>
      </w:r>
    </w:p>
    <w:p w14:paraId="48F84D8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Title II programs are authorized by the Workforce Innovation and Opportunity Act (Public Law 113-128 (29 U.S.C. Sec. 3101, et. seq.)) (WIOA) of 2014, Adult Education and Family Literacy Act (Title II). Regulations and guidelines governing programs are codified in the Code of Federal Regulations (CFR), Title 34 CFR Parts 461, 462, 463 et al., and Title 2 CFR 200—Uniform Administrative Requirements, Cost Principles, and Audit Requirements for Federal Awards (Uniform Guidance).</w:t>
      </w:r>
    </w:p>
    <w:p w14:paraId="78C281C3"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It is the responsibility of all Title II-funded programs to ensure appropriate stewardship of federal funds entrusted to them. Under Title II and Uniform Guidance regulations, programs must maintain financial management systems that provide accurate, complete, and current disclosure of the revenues and expenditures supporting the WIOA Title II program. To meet this requirement, programs must have adequate accounting practices and procedures, internal controls, audit processes, and cost allocation procedures in place. Programs are responsible for managing the day-to-day operations of grant-supported activities to ensure that all funding requirements of this award are in compliance with applicable federal regulations.</w:t>
      </w:r>
    </w:p>
    <w:p w14:paraId="58F91A9D" w14:textId="77777777" w:rsidR="00F8503D" w:rsidRDefault="0033067D">
      <w:pPr>
        <w:keepNext/>
        <w:numPr>
          <w:ilvl w:val="2"/>
          <w:numId w:val="24"/>
        </w:numPr>
        <w:pBdr>
          <w:top w:val="nil"/>
          <w:left w:val="nil"/>
          <w:bottom w:val="nil"/>
          <w:right w:val="nil"/>
          <w:between w:val="nil"/>
        </w:pBdr>
        <w:spacing w:before="240" w:after="40" w:line="276" w:lineRule="auto"/>
      </w:pPr>
      <w:bookmarkStart w:id="49" w:name="_lzzv2sn4cyg" w:colFirst="0" w:colLast="0"/>
      <w:bookmarkEnd w:id="49"/>
      <w:r>
        <w:rPr>
          <w:rFonts w:ascii="Arial" w:eastAsia="Arial" w:hAnsi="Arial" w:cs="Arial"/>
          <w:smallCaps/>
          <w:color w:val="6A976C"/>
          <w:sz w:val="28"/>
          <w:szCs w:val="28"/>
        </w:rPr>
        <w:t>Allowable Activities</w:t>
      </w:r>
    </w:p>
    <w:p w14:paraId="677ECDC7" w14:textId="51E65A1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Federal regulation (34 CFR 463.20(b),(c3)) requires programs to use Title II funds to establish or operate programs that provide adult </w:t>
      </w:r>
      <w:r w:rsidR="00FF4575">
        <w:rPr>
          <w:rFonts w:ascii="Verdana" w:eastAsia="Verdana" w:hAnsi="Verdana" w:cs="Verdana"/>
          <w:color w:val="000000" w:themeColor="text1"/>
          <w:sz w:val="23"/>
          <w:szCs w:val="23"/>
          <w:lang w:val="en-US"/>
        </w:rPr>
        <w:t>Basic</w:t>
      </w:r>
      <w:r w:rsidRPr="7B188CE2">
        <w:rPr>
          <w:rFonts w:ascii="Verdana" w:eastAsia="Verdana" w:hAnsi="Verdana" w:cs="Verdana"/>
          <w:color w:val="000000" w:themeColor="text1"/>
          <w:sz w:val="23"/>
          <w:szCs w:val="23"/>
          <w:lang w:val="en-US"/>
        </w:rPr>
        <w:t xml:space="preserve"> skills (ABS) activities for eligible individuals only, unless a program is providing activities that are related to Family Literacy. Prior to providing Family Literacy activities for individuals who are not eligible individuals, a program must attempt to coordinate with programs and services that do not receive funding under Title II. </w:t>
      </w:r>
    </w:p>
    <w:p w14:paraId="06A935D8"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Allowable ABS activities include: </w:t>
      </w:r>
    </w:p>
    <w:p w14:paraId="24835E30" w14:textId="5E1B26E8" w:rsidR="00F8503D" w:rsidRDefault="0033067D" w:rsidP="7B188CE2">
      <w:pPr>
        <w:pBdr>
          <w:top w:val="nil"/>
          <w:left w:val="nil"/>
          <w:bottom w:val="nil"/>
          <w:right w:val="nil"/>
          <w:between w:val="nil"/>
        </w:pBdr>
        <w:spacing w:after="160"/>
        <w:rPr>
          <w:rFonts w:ascii="Verdana" w:eastAsia="Verdana" w:hAnsi="Verdana" w:cs="Verdana"/>
          <w:color w:val="000000"/>
          <w:sz w:val="23"/>
          <w:szCs w:val="23"/>
        </w:rPr>
      </w:pPr>
      <w:r w:rsidRPr="7B188CE2">
        <w:rPr>
          <w:rFonts w:ascii="Verdana" w:eastAsia="Verdana" w:hAnsi="Verdana" w:cs="Verdana"/>
          <w:color w:val="000000" w:themeColor="text1"/>
          <w:sz w:val="23"/>
          <w:szCs w:val="23"/>
        </w:rPr>
        <w:t xml:space="preserve">a) Adult </w:t>
      </w:r>
      <w:r w:rsidR="00FF4575">
        <w:rPr>
          <w:rFonts w:ascii="Verdana" w:eastAsia="Verdana" w:hAnsi="Verdana" w:cs="Verdana"/>
          <w:color w:val="000000" w:themeColor="text1"/>
          <w:sz w:val="23"/>
          <w:szCs w:val="23"/>
        </w:rPr>
        <w:t>Basic</w:t>
      </w:r>
      <w:r w:rsidRPr="7B188CE2">
        <w:rPr>
          <w:rFonts w:ascii="Verdana" w:eastAsia="Verdana" w:hAnsi="Verdana" w:cs="Verdana"/>
          <w:color w:val="000000" w:themeColor="text1"/>
          <w:sz w:val="23"/>
          <w:szCs w:val="23"/>
        </w:rPr>
        <w:t xml:space="preserve"> Education and Adult Secondary Education; </w:t>
      </w:r>
    </w:p>
    <w:p w14:paraId="5EC10C2F" w14:textId="77777777" w:rsidR="00F8503D" w:rsidRDefault="0033067D">
      <w:pPr>
        <w:pBdr>
          <w:top w:val="nil"/>
          <w:left w:val="nil"/>
          <w:bottom w:val="nil"/>
          <w:right w:val="nil"/>
          <w:between w:val="nil"/>
        </w:pBdr>
        <w:spacing w:after="160"/>
        <w:rPr>
          <w:rFonts w:ascii="Verdana" w:eastAsia="Verdana" w:hAnsi="Verdana" w:cs="Verdana"/>
          <w:color w:val="000000"/>
          <w:sz w:val="23"/>
          <w:szCs w:val="23"/>
        </w:rPr>
      </w:pPr>
      <w:r>
        <w:rPr>
          <w:rFonts w:ascii="Verdana" w:eastAsia="Verdana" w:hAnsi="Verdana" w:cs="Verdana"/>
          <w:color w:val="000000"/>
          <w:sz w:val="23"/>
          <w:szCs w:val="23"/>
        </w:rPr>
        <w:t xml:space="preserve">b) English as a Second Language (ESL); </w:t>
      </w:r>
    </w:p>
    <w:p w14:paraId="2EFD627C" w14:textId="77777777" w:rsidR="00F8503D" w:rsidRDefault="0033067D">
      <w:pPr>
        <w:pBdr>
          <w:top w:val="nil"/>
          <w:left w:val="nil"/>
          <w:bottom w:val="nil"/>
          <w:right w:val="nil"/>
          <w:between w:val="nil"/>
        </w:pBdr>
        <w:spacing w:after="160"/>
        <w:rPr>
          <w:rFonts w:ascii="Verdana" w:eastAsia="Verdana" w:hAnsi="Verdana" w:cs="Verdana"/>
          <w:color w:val="000000"/>
          <w:sz w:val="23"/>
          <w:szCs w:val="23"/>
        </w:rPr>
      </w:pPr>
      <w:r>
        <w:rPr>
          <w:rFonts w:ascii="Verdana" w:eastAsia="Verdana" w:hAnsi="Verdana" w:cs="Verdana"/>
          <w:color w:val="000000"/>
          <w:sz w:val="23"/>
          <w:szCs w:val="23"/>
        </w:rPr>
        <w:t xml:space="preserve">c) Family Literacy; </w:t>
      </w:r>
    </w:p>
    <w:p w14:paraId="49B7E8BE" w14:textId="77777777" w:rsidR="00F8503D" w:rsidRDefault="0033067D">
      <w:pPr>
        <w:pBdr>
          <w:top w:val="nil"/>
          <w:left w:val="nil"/>
          <w:bottom w:val="nil"/>
          <w:right w:val="nil"/>
          <w:between w:val="nil"/>
        </w:pBdr>
        <w:spacing w:after="160"/>
        <w:rPr>
          <w:rFonts w:ascii="Verdana" w:eastAsia="Verdana" w:hAnsi="Verdana" w:cs="Verdana"/>
          <w:color w:val="000000"/>
          <w:sz w:val="23"/>
          <w:szCs w:val="23"/>
        </w:rPr>
      </w:pPr>
      <w:r>
        <w:rPr>
          <w:rFonts w:ascii="Verdana" w:eastAsia="Verdana" w:hAnsi="Verdana" w:cs="Verdana"/>
          <w:color w:val="000000"/>
          <w:sz w:val="23"/>
          <w:szCs w:val="23"/>
        </w:rPr>
        <w:t xml:space="preserve">d) Workforce Preparation; </w:t>
      </w:r>
    </w:p>
    <w:p w14:paraId="2F68959E" w14:textId="77777777" w:rsidR="00F8503D" w:rsidRDefault="0033067D">
      <w:pPr>
        <w:pBdr>
          <w:top w:val="nil"/>
          <w:left w:val="nil"/>
          <w:bottom w:val="nil"/>
          <w:right w:val="nil"/>
          <w:between w:val="nil"/>
        </w:pBdr>
        <w:spacing w:after="160"/>
        <w:rPr>
          <w:rFonts w:ascii="Verdana" w:eastAsia="Verdana" w:hAnsi="Verdana" w:cs="Verdana"/>
          <w:color w:val="000000"/>
          <w:sz w:val="23"/>
          <w:szCs w:val="23"/>
        </w:rPr>
      </w:pPr>
      <w:r>
        <w:rPr>
          <w:rFonts w:ascii="Verdana" w:eastAsia="Verdana" w:hAnsi="Verdana" w:cs="Verdana"/>
          <w:color w:val="000000"/>
          <w:sz w:val="23"/>
          <w:szCs w:val="23"/>
        </w:rPr>
        <w:lastRenderedPageBreak/>
        <w:t xml:space="preserve">e) Workplace Adult Education; </w:t>
      </w:r>
    </w:p>
    <w:p w14:paraId="5A40AB02" w14:textId="77777777" w:rsidR="00F8503D" w:rsidRDefault="0033067D">
      <w:pPr>
        <w:pBdr>
          <w:top w:val="nil"/>
          <w:left w:val="nil"/>
          <w:bottom w:val="nil"/>
          <w:right w:val="nil"/>
          <w:between w:val="nil"/>
        </w:pBdr>
        <w:spacing w:after="160"/>
        <w:rPr>
          <w:rFonts w:ascii="Verdana" w:eastAsia="Verdana" w:hAnsi="Verdana" w:cs="Verdana"/>
          <w:color w:val="000000"/>
          <w:sz w:val="23"/>
          <w:szCs w:val="23"/>
        </w:rPr>
      </w:pPr>
      <w:r>
        <w:rPr>
          <w:rFonts w:ascii="Verdana" w:eastAsia="Verdana" w:hAnsi="Verdana" w:cs="Verdana"/>
          <w:color w:val="000000"/>
          <w:sz w:val="23"/>
          <w:szCs w:val="23"/>
        </w:rPr>
        <w:t xml:space="preserve">f) Integrated Education and Training (IET); and </w:t>
      </w:r>
    </w:p>
    <w:p w14:paraId="7DED590B" w14:textId="77777777" w:rsidR="00F8503D" w:rsidRDefault="0033067D">
      <w:pPr>
        <w:pBdr>
          <w:top w:val="nil"/>
          <w:left w:val="nil"/>
          <w:bottom w:val="nil"/>
          <w:right w:val="nil"/>
          <w:between w:val="nil"/>
        </w:pBdr>
        <w:spacing w:after="160"/>
        <w:rPr>
          <w:rFonts w:ascii="Verdana" w:eastAsia="Verdana" w:hAnsi="Verdana" w:cs="Verdana"/>
          <w:color w:val="000000"/>
          <w:sz w:val="23"/>
          <w:szCs w:val="23"/>
        </w:rPr>
      </w:pPr>
      <w:r>
        <w:rPr>
          <w:rFonts w:ascii="Verdana" w:eastAsia="Verdana" w:hAnsi="Verdana" w:cs="Verdana"/>
          <w:color w:val="000000"/>
          <w:sz w:val="23"/>
          <w:szCs w:val="23"/>
        </w:rPr>
        <w:t>g) Integrated English Literacy and Civics Education (IELCE).</w:t>
      </w:r>
    </w:p>
    <w:p w14:paraId="157DFBBA" w14:textId="77777777" w:rsidR="00F8503D" w:rsidRDefault="0033067D">
      <w:pPr>
        <w:keepNext/>
        <w:numPr>
          <w:ilvl w:val="2"/>
          <w:numId w:val="24"/>
        </w:numPr>
        <w:pBdr>
          <w:top w:val="nil"/>
          <w:left w:val="nil"/>
          <w:bottom w:val="nil"/>
          <w:right w:val="nil"/>
          <w:between w:val="nil"/>
        </w:pBdr>
        <w:spacing w:before="240" w:after="40" w:line="276" w:lineRule="auto"/>
      </w:pPr>
      <w:bookmarkStart w:id="50" w:name="_68lt9wokxxc1" w:colFirst="0" w:colLast="0"/>
      <w:bookmarkEnd w:id="50"/>
      <w:r>
        <w:rPr>
          <w:rFonts w:ascii="Arial" w:eastAsia="Arial" w:hAnsi="Arial" w:cs="Arial"/>
          <w:smallCaps/>
          <w:color w:val="6A976C"/>
          <w:sz w:val="28"/>
          <w:szCs w:val="28"/>
        </w:rPr>
        <w:t>Allowable Costs</w:t>
      </w:r>
    </w:p>
    <w:p w14:paraId="1D2EC472" w14:textId="33768081"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All expenditures submitted for reimbursement under this grant must be for proper and efficient administration of the </w:t>
      </w:r>
      <w:r w:rsidR="3129DC73" w:rsidRPr="7B188CE2">
        <w:rPr>
          <w:rFonts w:ascii="Verdana" w:eastAsia="Verdana" w:hAnsi="Verdana" w:cs="Verdana"/>
          <w:color w:val="000000" w:themeColor="text1"/>
          <w:sz w:val="23"/>
          <w:szCs w:val="23"/>
          <w:lang w:val="en-US"/>
        </w:rPr>
        <w:t xml:space="preserve">WIOA Title II </w:t>
      </w:r>
      <w:r w:rsidRPr="7B188CE2">
        <w:rPr>
          <w:rFonts w:ascii="Verdana" w:eastAsia="Verdana" w:hAnsi="Verdana" w:cs="Verdana"/>
          <w:color w:val="000000" w:themeColor="text1"/>
          <w:sz w:val="23"/>
          <w:szCs w:val="23"/>
          <w:lang w:val="en-US"/>
        </w:rPr>
        <w:t xml:space="preserve">program. An allowable cost must be reasonable (2 CFR 200.404) and allocable (2 CFR 200.405) to the Title II program and not shifted from another program or project. Allowable costs are determined by federal regulations. </w:t>
      </w:r>
    </w:p>
    <w:p w14:paraId="263313E5" w14:textId="77777777"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color w:val="000000" w:themeColor="text1"/>
          <w:sz w:val="23"/>
          <w:szCs w:val="23"/>
          <w:lang w:val="en-US"/>
        </w:rPr>
        <w:t xml:space="preserve">Pursuant to Uniform Guidance, </w:t>
      </w:r>
      <w:r w:rsidRPr="7B188CE2">
        <w:rPr>
          <w:rFonts w:ascii="Verdana" w:eastAsia="Verdana" w:hAnsi="Verdana" w:cs="Verdana"/>
          <w:i/>
          <w:iCs/>
          <w:color w:val="000000" w:themeColor="text1"/>
          <w:sz w:val="23"/>
          <w:szCs w:val="23"/>
          <w:lang w:val="en-US"/>
        </w:rPr>
        <w:t>except where otherwise authorized by statute, costs must meet the following general criteria in order to be allowable under federal awards:</w:t>
      </w:r>
    </w:p>
    <w:p w14:paraId="108F00CD" w14:textId="77777777" w:rsidR="00F8503D" w:rsidRDefault="0033067D">
      <w:pPr>
        <w:numPr>
          <w:ilvl w:val="3"/>
          <w:numId w:val="24"/>
        </w:numPr>
        <w:pBdr>
          <w:top w:val="nil"/>
          <w:left w:val="nil"/>
          <w:bottom w:val="nil"/>
          <w:right w:val="nil"/>
          <w:between w:val="nil"/>
        </w:pBdr>
        <w:spacing w:after="160" w:line="276" w:lineRule="auto"/>
        <w:ind w:left="720"/>
        <w:rPr>
          <w:rFonts w:ascii="Verdana" w:eastAsia="Verdana" w:hAnsi="Verdana" w:cs="Verdana"/>
          <w:i/>
          <w:iCs/>
          <w:color w:val="000000"/>
          <w:sz w:val="23"/>
          <w:szCs w:val="23"/>
        </w:rPr>
      </w:pPr>
      <w:r>
        <w:rPr>
          <w:rFonts w:ascii="Verdana" w:eastAsia="Verdana" w:hAnsi="Verdana" w:cs="Verdana"/>
          <w:i/>
          <w:iCs/>
          <w:color w:val="000000"/>
          <w:sz w:val="23"/>
          <w:szCs w:val="23"/>
        </w:rPr>
        <w:t>Be necessary and reasonable for the performance of the federal award and be allocable thereto under these principles;</w:t>
      </w:r>
    </w:p>
    <w:p w14:paraId="591E6C52" w14:textId="77777777" w:rsidR="00F8503D" w:rsidRDefault="0033067D">
      <w:pPr>
        <w:numPr>
          <w:ilvl w:val="3"/>
          <w:numId w:val="24"/>
        </w:numPr>
        <w:pBdr>
          <w:top w:val="nil"/>
          <w:left w:val="nil"/>
          <w:bottom w:val="nil"/>
          <w:right w:val="nil"/>
          <w:between w:val="nil"/>
        </w:pBdr>
        <w:spacing w:after="160" w:line="276" w:lineRule="auto"/>
        <w:ind w:left="720"/>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Conform to any limitations or exclusions set forth in these principles or in the federal award as to types or amount of cost items;</w:t>
      </w:r>
    </w:p>
    <w:p w14:paraId="7F2E7A4D" w14:textId="77777777" w:rsidR="00F8503D" w:rsidRDefault="0033067D">
      <w:pPr>
        <w:numPr>
          <w:ilvl w:val="3"/>
          <w:numId w:val="24"/>
        </w:numPr>
        <w:pBdr>
          <w:top w:val="nil"/>
          <w:left w:val="nil"/>
          <w:bottom w:val="nil"/>
          <w:right w:val="nil"/>
          <w:between w:val="nil"/>
        </w:pBdr>
        <w:spacing w:after="160" w:line="276" w:lineRule="auto"/>
        <w:ind w:left="720"/>
        <w:rPr>
          <w:rFonts w:ascii="Verdana" w:eastAsia="Verdana" w:hAnsi="Verdana" w:cs="Verdana"/>
          <w:i/>
          <w:iCs/>
          <w:color w:val="000000"/>
          <w:sz w:val="23"/>
          <w:szCs w:val="23"/>
        </w:rPr>
      </w:pPr>
      <w:r>
        <w:rPr>
          <w:rFonts w:ascii="Verdana" w:eastAsia="Verdana" w:hAnsi="Verdana" w:cs="Verdana"/>
          <w:i/>
          <w:iCs/>
          <w:color w:val="000000"/>
          <w:sz w:val="23"/>
          <w:szCs w:val="23"/>
        </w:rPr>
        <w:t>Be consistent with policies and procedures that apply uniformly to both federally financed and other activities of the non-federal entity;</w:t>
      </w:r>
    </w:p>
    <w:p w14:paraId="3516C71F" w14:textId="77777777" w:rsidR="00F8503D" w:rsidRDefault="0033067D">
      <w:pPr>
        <w:numPr>
          <w:ilvl w:val="3"/>
          <w:numId w:val="24"/>
        </w:numPr>
        <w:pBdr>
          <w:top w:val="nil"/>
          <w:left w:val="nil"/>
          <w:bottom w:val="nil"/>
          <w:right w:val="nil"/>
          <w:between w:val="nil"/>
        </w:pBdr>
        <w:spacing w:after="160" w:line="276" w:lineRule="auto"/>
        <w:ind w:left="720"/>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Be accorded consistent treatment. A cost may not be assigned to a federal award as a direct cost if any other cost incurred for the same purpose in like circumstances has been allocated to the federal award as an indirect cost;</w:t>
      </w:r>
    </w:p>
    <w:p w14:paraId="45E1C083" w14:textId="77777777" w:rsidR="00F8503D" w:rsidRDefault="0033067D">
      <w:pPr>
        <w:numPr>
          <w:ilvl w:val="3"/>
          <w:numId w:val="24"/>
        </w:numPr>
        <w:pBdr>
          <w:top w:val="nil"/>
          <w:left w:val="nil"/>
          <w:bottom w:val="nil"/>
          <w:right w:val="nil"/>
          <w:between w:val="nil"/>
        </w:pBdr>
        <w:spacing w:after="160" w:line="276" w:lineRule="auto"/>
        <w:ind w:left="720"/>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Be determined in accordance with generally accepted accounting principles (GAAP), except, for state and local governments and Indian tribes only, as otherwise provided for in this part;</w:t>
      </w:r>
    </w:p>
    <w:p w14:paraId="00A329AD" w14:textId="77777777" w:rsidR="00F8503D" w:rsidRDefault="0033067D">
      <w:pPr>
        <w:numPr>
          <w:ilvl w:val="3"/>
          <w:numId w:val="24"/>
        </w:numPr>
        <w:pBdr>
          <w:top w:val="nil"/>
          <w:left w:val="nil"/>
          <w:bottom w:val="nil"/>
          <w:right w:val="nil"/>
          <w:between w:val="nil"/>
        </w:pBdr>
        <w:spacing w:after="160" w:line="276" w:lineRule="auto"/>
        <w:ind w:left="720"/>
        <w:rPr>
          <w:rFonts w:ascii="Verdana" w:eastAsia="Verdana" w:hAnsi="Verdana" w:cs="Verdana"/>
          <w:i/>
          <w:iCs/>
          <w:color w:val="000000"/>
          <w:sz w:val="23"/>
          <w:szCs w:val="23"/>
        </w:rPr>
      </w:pPr>
      <w:r>
        <w:rPr>
          <w:rFonts w:ascii="Verdana" w:eastAsia="Verdana" w:hAnsi="Verdana" w:cs="Verdana"/>
          <w:i/>
          <w:iCs/>
          <w:color w:val="000000"/>
          <w:sz w:val="23"/>
          <w:szCs w:val="23"/>
        </w:rPr>
        <w:t>Not be included as a cost or used to meet cost-sharing or matching requirements of any other federally financed program in either the current or a prior period. See also 2 CFR 200.306 Cost sharing or matching paragraph (b); and</w:t>
      </w:r>
    </w:p>
    <w:p w14:paraId="0E827B49" w14:textId="77777777" w:rsidR="00F8503D" w:rsidRDefault="0033067D">
      <w:pPr>
        <w:numPr>
          <w:ilvl w:val="3"/>
          <w:numId w:val="24"/>
        </w:numPr>
        <w:pBdr>
          <w:top w:val="nil"/>
          <w:left w:val="nil"/>
          <w:bottom w:val="nil"/>
          <w:right w:val="nil"/>
          <w:between w:val="nil"/>
        </w:pBdr>
        <w:spacing w:after="160" w:line="276" w:lineRule="auto"/>
        <w:ind w:left="720"/>
        <w:rPr>
          <w:rFonts w:ascii="Verdana" w:eastAsia="Verdana" w:hAnsi="Verdana" w:cs="Verdana"/>
          <w:i/>
          <w:iCs/>
          <w:color w:val="000000"/>
          <w:sz w:val="23"/>
          <w:szCs w:val="23"/>
        </w:rPr>
      </w:pPr>
      <w:r>
        <w:rPr>
          <w:rFonts w:ascii="Verdana" w:eastAsia="Verdana" w:hAnsi="Verdana" w:cs="Verdana"/>
          <w:i/>
          <w:iCs/>
          <w:color w:val="000000"/>
          <w:sz w:val="23"/>
          <w:szCs w:val="23"/>
        </w:rPr>
        <w:t>Be adequately documented (2 CFR 200.403).</w:t>
      </w:r>
    </w:p>
    <w:p w14:paraId="3EC06428" w14:textId="77777777" w:rsidR="00F8503D" w:rsidRDefault="0033067D">
      <w:pPr>
        <w:keepNext/>
        <w:numPr>
          <w:ilvl w:val="2"/>
          <w:numId w:val="24"/>
        </w:numPr>
        <w:pBdr>
          <w:top w:val="nil"/>
          <w:left w:val="nil"/>
          <w:bottom w:val="nil"/>
          <w:right w:val="nil"/>
          <w:between w:val="nil"/>
        </w:pBdr>
        <w:spacing w:before="240" w:after="40" w:line="276" w:lineRule="auto"/>
      </w:pPr>
      <w:bookmarkStart w:id="51" w:name="_ptqsjs7x1093" w:colFirst="0" w:colLast="0"/>
      <w:bookmarkEnd w:id="51"/>
      <w:r>
        <w:rPr>
          <w:rFonts w:ascii="Arial" w:eastAsia="Arial" w:hAnsi="Arial" w:cs="Arial"/>
          <w:smallCaps/>
          <w:color w:val="6A976C"/>
          <w:sz w:val="28"/>
          <w:szCs w:val="28"/>
        </w:rPr>
        <w:t>Unallowable Costs</w:t>
      </w:r>
    </w:p>
    <w:p w14:paraId="75CF2031"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Unallowable costs are strictly prohibited under Title II. </w:t>
      </w:r>
      <w:r w:rsidRPr="7B188CE2">
        <w:rPr>
          <w:rFonts w:ascii="Verdana" w:eastAsia="Verdana" w:hAnsi="Verdana" w:cs="Verdana"/>
          <w:i/>
          <w:iCs/>
          <w:color w:val="000000" w:themeColor="text1"/>
          <w:sz w:val="23"/>
          <w:szCs w:val="23"/>
          <w:lang w:val="en-US"/>
        </w:rPr>
        <w:t xml:space="preserve">Payments made for costs determined to be unallowable by either the federal awarding agency, cognizant agency for indirect costs, or pass-through entity, either as direct or indirect </w:t>
      </w:r>
      <w:r w:rsidRPr="7B188CE2">
        <w:rPr>
          <w:rFonts w:ascii="Verdana" w:eastAsia="Verdana" w:hAnsi="Verdana" w:cs="Verdana"/>
          <w:i/>
          <w:iCs/>
          <w:color w:val="000000" w:themeColor="text1"/>
          <w:sz w:val="23"/>
          <w:szCs w:val="23"/>
          <w:lang w:val="en-US"/>
        </w:rPr>
        <w:lastRenderedPageBreak/>
        <w:t xml:space="preserve">costs, must be refunded (including interest) to the Federal Government in accordance with instructions from the federal agency that determined the costs are unallowable unless federal statute or regulation directs otherwise (2 CFR 200.410). </w:t>
      </w:r>
      <w:r w:rsidRPr="7B188CE2">
        <w:rPr>
          <w:rFonts w:ascii="Verdana" w:eastAsia="Verdana" w:hAnsi="Verdana" w:cs="Verdana"/>
          <w:color w:val="000000" w:themeColor="text1"/>
          <w:sz w:val="23"/>
          <w:szCs w:val="23"/>
          <w:lang w:val="en-US"/>
        </w:rPr>
        <w:t>Explicitly disallowed costs (2 CFR 420-475) include:</w:t>
      </w:r>
    </w:p>
    <w:p w14:paraId="2612EF3D" w14:textId="77777777" w:rsidR="00F8503D" w:rsidRDefault="0033067D">
      <w:pPr>
        <w:numPr>
          <w:ilvl w:val="0"/>
          <w:numId w:val="20"/>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Bad debt;</w:t>
      </w:r>
    </w:p>
    <w:p w14:paraId="3F70BF51"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Cost of construction or purchase of facilities or buildings;</w:t>
      </w:r>
    </w:p>
    <w:p w14:paraId="63685D31"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Lobbying;</w:t>
      </w:r>
    </w:p>
    <w:p w14:paraId="35CC07AE"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Sectarian worship, instruction, or proselytization;</w:t>
      </w:r>
    </w:p>
    <w:p w14:paraId="6F4F60BF"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Light refreshments;</w:t>
      </w:r>
    </w:p>
    <w:p w14:paraId="533F649D"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Promotional items and memorabilia</w:t>
      </w:r>
    </w:p>
    <w:p w14:paraId="4203C429"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Advertising costs that are not specifically related to the grant program;</w:t>
      </w:r>
    </w:p>
    <w:p w14:paraId="25892CAB"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Commencement and convocation costs;</w:t>
      </w:r>
    </w:p>
    <w:p w14:paraId="1A835272"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Contributions and donations;</w:t>
      </w:r>
    </w:p>
    <w:p w14:paraId="3AFEAD57" w14:textId="77777777" w:rsidR="00F8503D" w:rsidRDefault="0033067D">
      <w:pPr>
        <w:numPr>
          <w:ilvl w:val="0"/>
          <w:numId w:val="20"/>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Learner activity costs unless specifically provided for in the grant award. </w:t>
      </w:r>
    </w:p>
    <w:p w14:paraId="574CB8D9" w14:textId="77777777" w:rsidR="00F8503D" w:rsidRDefault="0033067D">
      <w:pPr>
        <w:keepNext/>
        <w:numPr>
          <w:ilvl w:val="2"/>
          <w:numId w:val="24"/>
        </w:numPr>
        <w:pBdr>
          <w:top w:val="nil"/>
          <w:left w:val="nil"/>
          <w:bottom w:val="nil"/>
          <w:right w:val="nil"/>
          <w:between w:val="nil"/>
        </w:pBdr>
        <w:spacing w:before="240" w:after="40" w:line="276" w:lineRule="auto"/>
      </w:pPr>
      <w:bookmarkStart w:id="52" w:name="_c8p04tgkslbz" w:colFirst="0" w:colLast="0"/>
      <w:bookmarkEnd w:id="52"/>
      <w:r>
        <w:rPr>
          <w:rFonts w:ascii="Arial" w:eastAsia="Arial" w:hAnsi="Arial" w:cs="Arial"/>
          <w:smallCaps/>
          <w:color w:val="6A976C"/>
          <w:sz w:val="28"/>
          <w:szCs w:val="28"/>
        </w:rPr>
        <w:t>Capital Outlays</w:t>
      </w:r>
    </w:p>
    <w:p w14:paraId="355C394B"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Capital outlays are defined as any item with a useful life in excess of one year and a per-unit cost of $10,000 or more. (This is the federal definition of “equipment.”)</w:t>
      </w:r>
    </w:p>
    <w:p w14:paraId="2E0ED1A2"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All capital outlays purchased with Title II funds must be approved by HECC prior to purchase. If specific capital outlays are not included on the original grant budget, programs must submit a Budget Amendment Request for HECC approval prior to purchase.</w:t>
      </w:r>
    </w:p>
    <w:p w14:paraId="098CF01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Costs for capital outlays that will be used by programs other than ABS must be split based upon the percentage of use by the ABS program and other program(s).</w:t>
      </w:r>
    </w:p>
    <w:p w14:paraId="7EE3A40E"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Purchased Items – Tracking</w:t>
      </w:r>
    </w:p>
    <w:p w14:paraId="7E19970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All non-consumable items purchased with grant funds shall remain the property of the program. Items with a per-unit acquisition of $10,000 or more and a useful life in excess of one year must be under inventory control.</w:t>
      </w:r>
    </w:p>
    <w:p w14:paraId="36C4081D"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bookmarkStart w:id="53" w:name="_wn4hrb8c2omc" w:colFirst="0" w:colLast="0"/>
      <w:bookmarkEnd w:id="53"/>
      <w:r>
        <w:rPr>
          <w:rFonts w:ascii="Arial" w:eastAsia="Arial" w:hAnsi="Arial" w:cs="Arial"/>
          <w:b/>
          <w:bCs/>
          <w:i/>
          <w:iCs/>
          <w:color w:val="000000"/>
        </w:rPr>
        <w:t>Purchased Items – Disposal of Items</w:t>
      </w:r>
    </w:p>
    <w:p w14:paraId="19782444"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price initially paid for an item determines into which of the following categories it falls.</w:t>
      </w:r>
    </w:p>
    <w:p w14:paraId="3114157A"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Equipment (Capital Outlays)</w:t>
      </w:r>
    </w:p>
    <w:p w14:paraId="6A88BBD0"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When an ABS program no longer has a use for equipment that had an original per unit acquisition cost of $10,000 or more and a useful life in excess of one year, the program must contact HECC before disposing of the equipment. Programs must not sell or surplus the equipment before consulting with HECC. Federal regulation requires the program to contact the federal agency where funding originates to request disposition instructions. CCWD will assist with this.</w:t>
      </w:r>
    </w:p>
    <w:p w14:paraId="1A9A1A3E" w14:textId="77777777"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Disposition of the equipment will be made as follows, in accordance with Federal awarding agency disposition instructions:</w:t>
      </w:r>
    </w:p>
    <w:p w14:paraId="24ED83C8" w14:textId="77777777" w:rsidR="00F8503D" w:rsidRDefault="0033067D">
      <w:pPr>
        <w:numPr>
          <w:ilvl w:val="0"/>
          <w:numId w:val="21"/>
        </w:num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Items of equipment with a current per unit fair market value of $10,000 or less may be retained, sold or otherwise disposed of with no further obligation to the Federal awarding agency;</w:t>
      </w:r>
    </w:p>
    <w:p w14:paraId="46E55F88" w14:textId="77777777" w:rsidR="00F8503D" w:rsidRDefault="0033067D">
      <w:pPr>
        <w:numPr>
          <w:ilvl w:val="0"/>
          <w:numId w:val="21"/>
        </w:num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Except as provided in 2 CFR 200.312 Federally owned and exempt property, paragraph (b), or if the Federal awarding agency fails to provide requested disposition instructions within 120 days, items of equipment with a current per-unit fair-market value in excess of $10,000 may be retained by the non-Federal entity or sold. The Federal awarding agency is entitled to an amount calculated by multiplying the current market value or proceeds from sale by the Federal awarding agency's percentage of participation in the cost of the original purchase. If the equipment is sold, the Federal awarding agency may permit the non-Federal entity to deduct and retain from the Federal share $1,000 or ten percent of the proceeds, whichever is less, for its selling and handling expenses;</w:t>
      </w:r>
    </w:p>
    <w:p w14:paraId="688EB002" w14:textId="77777777" w:rsidR="00F8503D" w:rsidRDefault="0033067D">
      <w:pPr>
        <w:numPr>
          <w:ilvl w:val="0"/>
          <w:numId w:val="21"/>
        </w:num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 xml:space="preserve">The non-Federal entity may transfer title to the property to the Federal Government or to an eligible third-party, provided that, in such cases, the non-Federal entity must be entitled to compensation for its attributable percentage of the current fair market value of the property; and </w:t>
      </w:r>
    </w:p>
    <w:p w14:paraId="45032121" w14:textId="77777777" w:rsidR="00F8503D" w:rsidRDefault="0033067D">
      <w:pPr>
        <w:numPr>
          <w:ilvl w:val="0"/>
          <w:numId w:val="21"/>
        </w:num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In cases where a non-Federal entity fails to take appropriate disposition actions, the Federal awarding agency may direct the non-Federal entity to take disposition actions (see 2 CFR 200.313).</w:t>
      </w:r>
    </w:p>
    <w:p w14:paraId="241AD81D" w14:textId="77777777" w:rsidR="00F8503D" w:rsidRDefault="0033067D">
      <w:pPr>
        <w:keepNext/>
        <w:numPr>
          <w:ilvl w:val="2"/>
          <w:numId w:val="24"/>
        </w:numPr>
        <w:pBdr>
          <w:top w:val="nil"/>
          <w:left w:val="nil"/>
          <w:bottom w:val="nil"/>
          <w:right w:val="nil"/>
          <w:between w:val="nil"/>
        </w:pBdr>
        <w:spacing w:before="240" w:after="40" w:line="276" w:lineRule="auto"/>
      </w:pPr>
      <w:bookmarkStart w:id="54" w:name="_g3ezgzqewjuw" w:colFirst="0" w:colLast="0"/>
      <w:bookmarkEnd w:id="54"/>
      <w:r>
        <w:rPr>
          <w:rFonts w:ascii="Arial" w:eastAsia="Arial" w:hAnsi="Arial" w:cs="Arial"/>
          <w:smallCaps/>
          <w:color w:val="6A976C"/>
          <w:sz w:val="28"/>
          <w:szCs w:val="28"/>
        </w:rPr>
        <w:t>Supplies</w:t>
      </w:r>
    </w:p>
    <w:p w14:paraId="34E1A44E"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When an ABS program no longer has a need for supplies with an aggregate value of more than $5,000, the non-Federal entity must retain the supplies for use on other activities or sell them, but must, in either case, compensate the Federal Government for its share. The amount of compensation must be computed in the same manner as for equipment (2 CFR 200.314).</w:t>
      </w:r>
    </w:p>
    <w:p w14:paraId="4F692106" w14:textId="77777777" w:rsidR="00F8503D" w:rsidRDefault="0033067D">
      <w:pPr>
        <w:keepNext/>
        <w:numPr>
          <w:ilvl w:val="2"/>
          <w:numId w:val="24"/>
        </w:numPr>
        <w:pBdr>
          <w:top w:val="nil"/>
          <w:left w:val="nil"/>
          <w:bottom w:val="nil"/>
          <w:right w:val="nil"/>
          <w:between w:val="nil"/>
        </w:pBdr>
        <w:spacing w:before="240" w:after="40" w:line="276" w:lineRule="auto"/>
      </w:pPr>
      <w:bookmarkStart w:id="55" w:name="_8h3n3six91gz" w:colFirst="0" w:colLast="0"/>
      <w:bookmarkEnd w:id="55"/>
      <w:r>
        <w:rPr>
          <w:rFonts w:ascii="Arial" w:eastAsia="Arial" w:hAnsi="Arial" w:cs="Arial"/>
          <w:smallCaps/>
          <w:color w:val="6A976C"/>
          <w:sz w:val="28"/>
          <w:szCs w:val="28"/>
        </w:rPr>
        <w:lastRenderedPageBreak/>
        <w:t>Supplement Not Supplant</w:t>
      </w:r>
    </w:p>
    <w:p w14:paraId="0F24B11C"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Funds made available for adult education and literacy activities under this title shall supplement and not supplant other state or local public funds expended for adult education and literacy activities (section 241(a) of WIOA). “Supplement, not supplant” means the federal funds are intended to augment or increase, not replace, monies that would have been used if the federal funds had not been available. In other words, federal funds may not free up state or local dollars for other purposes but should create or augment programs to an extent not possible without federal funds.</w:t>
      </w:r>
    </w:p>
    <w:p w14:paraId="0DAB2F0E" w14:textId="77777777" w:rsidR="00F8503D" w:rsidRDefault="0033067D">
      <w:pPr>
        <w:keepNext/>
        <w:numPr>
          <w:ilvl w:val="2"/>
          <w:numId w:val="24"/>
        </w:numPr>
        <w:pBdr>
          <w:top w:val="nil"/>
          <w:left w:val="nil"/>
          <w:bottom w:val="nil"/>
          <w:right w:val="nil"/>
          <w:between w:val="nil"/>
        </w:pBdr>
        <w:spacing w:before="240" w:after="40" w:line="276" w:lineRule="auto"/>
      </w:pPr>
      <w:bookmarkStart w:id="56" w:name="_w3w12hih5aum" w:colFirst="0" w:colLast="0"/>
      <w:bookmarkEnd w:id="56"/>
      <w:r>
        <w:rPr>
          <w:rFonts w:ascii="Arial" w:eastAsia="Arial" w:hAnsi="Arial" w:cs="Arial"/>
          <w:smallCaps/>
          <w:color w:val="6A976C"/>
          <w:sz w:val="28"/>
          <w:szCs w:val="28"/>
        </w:rPr>
        <w:t>Match</w:t>
      </w:r>
    </w:p>
    <w:p w14:paraId="7B38E22E"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504A0475"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Oregon must provide, to the federal government, a non-federal contribution </w:t>
      </w:r>
      <w:r w:rsidRPr="7B188CE2">
        <w:rPr>
          <w:rFonts w:ascii="Verdana" w:eastAsia="Verdana" w:hAnsi="Verdana" w:cs="Verdana"/>
          <w:i/>
          <w:iCs/>
          <w:color w:val="000000" w:themeColor="text1"/>
          <w:sz w:val="23"/>
          <w:szCs w:val="23"/>
          <w:lang w:val="en-US"/>
        </w:rPr>
        <w:t>in the amount that is not less than 25 percent of the total amount of funds expended for adult education and literacy activities in the State (section 222(b) (1) (b) of WIOA). Non-federal contributions may be provided in-cash or in-kind, fairly evaluated, and must include only non-federal funds that are used for adult education and literacy activities in a manner that is consistent with the purpose of this title (section 222(b)(1),(b)(2) of WIOA).</w:t>
      </w:r>
    </w:p>
    <w:p w14:paraId="4299DF2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2413F062" w14:textId="77777777" w:rsidR="00F8503D" w:rsidRDefault="0033067D">
      <w:pPr>
        <w:numPr>
          <w:ilvl w:val="0"/>
          <w:numId w:val="22"/>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In Oregon, there are no state-allocated funds designated as a match to Title II; therefore, programs must provide a non-federal contribution in an amount equal to or greater than 25 percent of the total amount of funds expended for ABS activities. This non-federal contribution is reported on the annual proposed budget at the beginning of the year and again on the Final Financial Status Report at the end of the fiscal year.</w:t>
      </w:r>
    </w:p>
    <w:p w14:paraId="2BF99F11" w14:textId="77777777" w:rsidR="00F8503D" w:rsidRDefault="0033067D">
      <w:pPr>
        <w:numPr>
          <w:ilvl w:val="0"/>
          <w:numId w:val="22"/>
        </w:numPr>
        <w:pBdr>
          <w:top w:val="nil"/>
          <w:left w:val="nil"/>
          <w:bottom w:val="nil"/>
          <w:right w:val="nil"/>
          <w:between w:val="nil"/>
        </w:pBdr>
        <w:spacing w:after="160" w:line="276" w:lineRule="auto"/>
        <w:ind w:left="360"/>
      </w:pPr>
      <w:r>
        <w:rPr>
          <w:rFonts w:ascii="Verdana" w:eastAsia="Verdana" w:hAnsi="Verdana" w:cs="Verdana"/>
          <w:color w:val="000000"/>
          <w:sz w:val="23"/>
          <w:szCs w:val="23"/>
        </w:rPr>
        <w:t xml:space="preserve">Programs must include non-federal funds at the required percentage on the annual proposed grant budgets. </w:t>
      </w:r>
    </w:p>
    <w:p w14:paraId="2258233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Guidance</w:t>
      </w:r>
    </w:p>
    <w:p w14:paraId="2A4CFA16"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Below is an example for calculating minimum match for a program with a $75,000 Title II grant award.</w:t>
      </w:r>
    </w:p>
    <w:p w14:paraId="6622DB6E" w14:textId="77777777" w:rsidR="00F8503D" w:rsidRDefault="0033067D">
      <w:pPr>
        <w:numPr>
          <w:ilvl w:val="0"/>
          <w:numId w:val="23"/>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$75,000 grant award amount ÷ 3 = $25,000 </w:t>
      </w:r>
    </w:p>
    <w:p w14:paraId="6249091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 program with a $75,000 grant award (federal funds) must spend at least $25,000 from non- federal funds on ABS activities. This means a total of $100,000 must be spent: 75 percent or less from the grant and 25 percent or more from non-federal funds.</w:t>
      </w:r>
    </w:p>
    <w:p w14:paraId="26ED9F8D" w14:textId="77777777" w:rsidR="00F8503D" w:rsidRDefault="0033067D">
      <w:pPr>
        <w:keepNext/>
        <w:numPr>
          <w:ilvl w:val="2"/>
          <w:numId w:val="24"/>
        </w:numPr>
        <w:pBdr>
          <w:top w:val="nil"/>
          <w:left w:val="nil"/>
          <w:bottom w:val="nil"/>
          <w:right w:val="nil"/>
          <w:between w:val="nil"/>
        </w:pBdr>
        <w:spacing w:before="240" w:after="40" w:line="276" w:lineRule="auto"/>
      </w:pPr>
      <w:bookmarkStart w:id="57" w:name="_ybwtbxrzmib5" w:colFirst="0" w:colLast="0"/>
      <w:bookmarkEnd w:id="57"/>
      <w:r>
        <w:rPr>
          <w:rFonts w:ascii="Arial" w:eastAsia="Arial" w:hAnsi="Arial" w:cs="Arial"/>
          <w:smallCaps/>
          <w:color w:val="6A976C"/>
          <w:sz w:val="28"/>
          <w:szCs w:val="28"/>
        </w:rPr>
        <w:lastRenderedPageBreak/>
        <w:t>Maintenance of Effort</w:t>
      </w:r>
    </w:p>
    <w:p w14:paraId="050EBDEA"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1987DBF"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WIOA (section 241(b)) requires that Oregon demonstrate to the federal government that the total statewide fiscal effort for ABS programming is not less than 90 percent of the fiscal effort of prior years. In other words, Maintenance of Effort demonstrates how well the state maintains its commitment to provide resources for ABS from year to year, rather than relying exclusively on federal funds. If HECC were not able to demonstrate that Oregon maintained the same fiscal effort as before, the state would lose a proportionate part of its federal Title II funding. That loss of federal funds would reduce the grant awards to programs.</w:t>
      </w:r>
    </w:p>
    <w:p w14:paraId="721CC3A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548AD182" w14:textId="2242550A"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rPr>
      </w:pPr>
      <w:r w:rsidRPr="7B188CE2">
        <w:rPr>
          <w:rFonts w:ascii="Verdana" w:eastAsia="Verdana" w:hAnsi="Verdana" w:cs="Verdana"/>
          <w:color w:val="000000" w:themeColor="text1"/>
          <w:sz w:val="23"/>
          <w:szCs w:val="23"/>
        </w:rPr>
        <w:t>programs must use local funds (e.g., local and/or state funds) to meet an annual maintenance of effort.</w:t>
      </w:r>
    </w:p>
    <w:p w14:paraId="6C943B2B" w14:textId="77777777" w:rsidR="00F8503D" w:rsidRDefault="0033067D">
      <w:pPr>
        <w:keepNext/>
        <w:numPr>
          <w:ilvl w:val="2"/>
          <w:numId w:val="24"/>
        </w:numPr>
        <w:pBdr>
          <w:top w:val="nil"/>
          <w:left w:val="nil"/>
          <w:bottom w:val="nil"/>
          <w:right w:val="nil"/>
          <w:between w:val="nil"/>
        </w:pBdr>
        <w:spacing w:before="240" w:after="40" w:line="276" w:lineRule="auto"/>
      </w:pPr>
      <w:bookmarkStart w:id="58" w:name="_6nra8es6igoi" w:colFirst="0" w:colLast="0"/>
      <w:bookmarkEnd w:id="58"/>
      <w:r>
        <w:rPr>
          <w:rFonts w:ascii="Arial" w:eastAsia="Arial" w:hAnsi="Arial" w:cs="Arial"/>
          <w:smallCaps/>
          <w:color w:val="6A976C"/>
          <w:sz w:val="28"/>
          <w:szCs w:val="28"/>
        </w:rPr>
        <w:t>Program Income: Fees, Tuition, and Other Program Income</w:t>
      </w:r>
    </w:p>
    <w:p w14:paraId="0DAEE3C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0963EB6F"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Program income is defined as </w:t>
      </w:r>
      <w:r w:rsidRPr="7B188CE2">
        <w:rPr>
          <w:rFonts w:ascii="Verdana" w:eastAsia="Verdana" w:hAnsi="Verdana" w:cs="Verdana"/>
          <w:i/>
          <w:iCs/>
          <w:color w:val="000000" w:themeColor="text1"/>
          <w:sz w:val="23"/>
          <w:szCs w:val="23"/>
          <w:lang w:val="en-US"/>
        </w:rPr>
        <w:t>gross income earned by the non-federal entity that is directly generated by a supported activity or earned as a result of the federal award during the period of performance except as provided in 2 CFR 200.307</w:t>
      </w:r>
      <w:r w:rsidRPr="7B188CE2">
        <w:rPr>
          <w:rFonts w:ascii="Verdana" w:eastAsia="Verdana" w:hAnsi="Verdana" w:cs="Verdana"/>
          <w:color w:val="000000" w:themeColor="text1"/>
          <w:sz w:val="23"/>
          <w:szCs w:val="23"/>
          <w:lang w:val="en-US"/>
        </w:rPr>
        <w:t>. Program income revenues for Title II-funded programs include learner fees, fees for services (tuition), and user or rental fees. OCTAE requires that all tuition and/or fees established by programs be necessary and reasonable, and not impose a barrier to the participation of disadvantaged persons that the program is designed to serve.</w:t>
      </w:r>
    </w:p>
    <w:p w14:paraId="594BBB05" w14:textId="549E67F9"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color w:val="000000" w:themeColor="text1"/>
          <w:sz w:val="23"/>
          <w:szCs w:val="23"/>
          <w:lang w:val="en-US"/>
        </w:rPr>
        <w:t xml:space="preserve">Further guidance from OCTAE </w:t>
      </w:r>
      <w:r w:rsidRPr="7B188CE2">
        <w:rPr>
          <w:rFonts w:ascii="Verdana" w:eastAsia="Verdana" w:hAnsi="Verdana" w:cs="Verdana"/>
          <w:i/>
          <w:iCs/>
          <w:color w:val="000000" w:themeColor="text1"/>
          <w:sz w:val="23"/>
          <w:szCs w:val="23"/>
          <w:lang w:val="en-US"/>
        </w:rPr>
        <w:t xml:space="preserve">allows states to add the funds earned to the grant and "used for the purposes and under the conditions of the grant agreement." Under this language, local providers charging fees must use the program income generated by federal adult education funds for: allowable costs to the federal adult education program; expanding available resources for adult education; workplace literacy, English language acquisition; and, adult secondary education. Federal regulations also prohibit state or local programs from counting "tuition and fees collected from students toward meeting matching, cost sharing or maintenance of effort requirements of a program” </w:t>
      </w:r>
    </w:p>
    <w:p w14:paraId="7D882FC1"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6C9CEC6E" w14:textId="77777777" w:rsidR="00F8503D" w:rsidRDefault="0033067D">
      <w:pPr>
        <w:numPr>
          <w:ilvl w:val="0"/>
          <w:numId w:val="25"/>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 income from tuition and fees must:</w:t>
      </w:r>
    </w:p>
    <w:p w14:paraId="5B2738C3" w14:textId="77777777" w:rsidR="00F8503D" w:rsidRDefault="0033067D">
      <w:pPr>
        <w:numPr>
          <w:ilvl w:val="1"/>
          <w:numId w:val="26"/>
        </w:numPr>
        <w:pBdr>
          <w:top w:val="nil"/>
          <w:left w:val="nil"/>
          <w:bottom w:val="nil"/>
          <w:right w:val="nil"/>
          <w:between w:val="nil"/>
        </w:pBdr>
        <w:spacing w:after="160" w:line="276" w:lineRule="auto"/>
        <w:ind w:left="1080"/>
      </w:pPr>
      <w:r>
        <w:rPr>
          <w:rFonts w:ascii="Verdana" w:eastAsia="Verdana" w:hAnsi="Verdana" w:cs="Verdana"/>
          <w:color w:val="000000"/>
          <w:sz w:val="23"/>
          <w:szCs w:val="23"/>
        </w:rPr>
        <w:lastRenderedPageBreak/>
        <w:t>Be governed by the terms of the agreement between HECC and programs of WIOA Title II funds;</w:t>
      </w:r>
    </w:p>
    <w:p w14:paraId="0AB973F9" w14:textId="77777777" w:rsidR="00F8503D" w:rsidRDefault="0033067D">
      <w:pPr>
        <w:numPr>
          <w:ilvl w:val="1"/>
          <w:numId w:val="26"/>
        </w:numPr>
        <w:pBdr>
          <w:top w:val="nil"/>
          <w:left w:val="nil"/>
          <w:bottom w:val="nil"/>
          <w:right w:val="nil"/>
          <w:between w:val="nil"/>
        </w:pBdr>
        <w:spacing w:after="160" w:line="276" w:lineRule="auto"/>
        <w:ind w:left="1080"/>
      </w:pPr>
      <w:r>
        <w:rPr>
          <w:rFonts w:ascii="Verdana" w:eastAsia="Verdana" w:hAnsi="Verdana" w:cs="Verdana"/>
          <w:color w:val="000000"/>
          <w:sz w:val="23"/>
          <w:szCs w:val="23"/>
        </w:rPr>
        <w:t>Be applied and used to pay for expenditures as soon as possible after the income is received and prior to the expenditure of the grant funds; and</w:t>
      </w:r>
    </w:p>
    <w:p w14:paraId="07A2D6DA" w14:textId="77777777" w:rsidR="00F8503D" w:rsidRDefault="0033067D">
      <w:pPr>
        <w:numPr>
          <w:ilvl w:val="1"/>
          <w:numId w:val="26"/>
        </w:numPr>
        <w:pBdr>
          <w:top w:val="nil"/>
          <w:left w:val="nil"/>
          <w:bottom w:val="nil"/>
          <w:right w:val="nil"/>
          <w:between w:val="nil"/>
        </w:pBdr>
        <w:spacing w:after="160" w:line="276" w:lineRule="auto"/>
        <w:ind w:left="1080"/>
      </w:pPr>
      <w:r>
        <w:rPr>
          <w:rFonts w:ascii="Verdana" w:eastAsia="Verdana" w:hAnsi="Verdana" w:cs="Verdana"/>
          <w:color w:val="000000"/>
          <w:sz w:val="23"/>
          <w:szCs w:val="23"/>
        </w:rPr>
        <w:t>Be accounted for in program records using a separate account and using approved methods of calculating, using, reporting, and applying program income as defined in 2 CFR 200.307.</w:t>
      </w:r>
    </w:p>
    <w:p w14:paraId="0D190FF0" w14:textId="77777777" w:rsidR="00F8503D" w:rsidRDefault="0033067D">
      <w:pPr>
        <w:numPr>
          <w:ilvl w:val="0"/>
          <w:numId w:val="25"/>
        </w:numPr>
        <w:pBdr>
          <w:top w:val="nil"/>
          <w:left w:val="nil"/>
          <w:bottom w:val="nil"/>
          <w:right w:val="nil"/>
          <w:between w:val="nil"/>
        </w:pBdr>
        <w:spacing w:after="160" w:line="276" w:lineRule="auto"/>
        <w:ind w:left="360"/>
      </w:pPr>
      <w:r>
        <w:rPr>
          <w:rFonts w:ascii="Verdana" w:eastAsia="Verdana" w:hAnsi="Verdana" w:cs="Verdana"/>
          <w:color w:val="000000"/>
          <w:sz w:val="23"/>
          <w:szCs w:val="23"/>
        </w:rPr>
        <w:t>Programs or their sponsoring organization must have a policy that allows for the collection of fees, tuition, or other program income. The program policy must address:</w:t>
      </w:r>
    </w:p>
    <w:p w14:paraId="15851A25" w14:textId="77777777" w:rsidR="00F8503D" w:rsidRDefault="0033067D">
      <w:pPr>
        <w:numPr>
          <w:ilvl w:val="1"/>
          <w:numId w:val="27"/>
        </w:numPr>
        <w:pBdr>
          <w:top w:val="nil"/>
          <w:left w:val="nil"/>
          <w:bottom w:val="nil"/>
          <w:right w:val="nil"/>
          <w:between w:val="nil"/>
        </w:pBdr>
        <w:spacing w:after="160" w:line="276" w:lineRule="auto"/>
        <w:ind w:left="1080"/>
      </w:pPr>
      <w:r>
        <w:rPr>
          <w:rFonts w:ascii="Verdana" w:eastAsia="Verdana" w:hAnsi="Verdana" w:cs="Verdana"/>
          <w:color w:val="000000"/>
          <w:sz w:val="23"/>
          <w:szCs w:val="23"/>
        </w:rPr>
        <w:t>Why the tuition, fees, or other charges will be implemented, including necessity and reasonableness;</w:t>
      </w:r>
    </w:p>
    <w:p w14:paraId="2E48BA82" w14:textId="77777777" w:rsidR="00F8503D" w:rsidRDefault="0033067D">
      <w:pPr>
        <w:numPr>
          <w:ilvl w:val="1"/>
          <w:numId w:val="27"/>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How adverse effects on economically disadvantaged learners will be avoided, including a waiver policy;</w:t>
      </w:r>
    </w:p>
    <w:p w14:paraId="3727E87D" w14:textId="77777777" w:rsidR="00F8503D" w:rsidRDefault="0033067D">
      <w:pPr>
        <w:numPr>
          <w:ilvl w:val="1"/>
          <w:numId w:val="27"/>
        </w:numPr>
        <w:pBdr>
          <w:top w:val="nil"/>
          <w:left w:val="nil"/>
          <w:bottom w:val="nil"/>
          <w:right w:val="nil"/>
          <w:between w:val="nil"/>
        </w:pBdr>
        <w:spacing w:after="160" w:line="276" w:lineRule="auto"/>
        <w:ind w:left="1080"/>
      </w:pPr>
      <w:r>
        <w:rPr>
          <w:rFonts w:ascii="Verdana" w:eastAsia="Verdana" w:hAnsi="Verdana" w:cs="Verdana"/>
          <w:color w:val="000000"/>
          <w:sz w:val="23"/>
          <w:szCs w:val="23"/>
        </w:rPr>
        <w:t>Who will be charged tuition and/or fees and the process the applicant will follow to assure that the provisions of the fee structure are applied to all learners equitably;</w:t>
      </w:r>
    </w:p>
    <w:p w14:paraId="110EE665" w14:textId="77777777" w:rsidR="00F8503D" w:rsidRDefault="0033067D">
      <w:pPr>
        <w:numPr>
          <w:ilvl w:val="1"/>
          <w:numId w:val="27"/>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 sources for other program income, if applicable;</w:t>
      </w:r>
    </w:p>
    <w:p w14:paraId="03A96226" w14:textId="77777777" w:rsidR="00F8503D" w:rsidRDefault="0033067D">
      <w:pPr>
        <w:numPr>
          <w:ilvl w:val="1"/>
          <w:numId w:val="27"/>
        </w:numPr>
        <w:pBdr>
          <w:top w:val="nil"/>
          <w:left w:val="nil"/>
          <w:bottom w:val="nil"/>
          <w:right w:val="nil"/>
          <w:between w:val="nil"/>
        </w:pBdr>
        <w:spacing w:after="160" w:line="276" w:lineRule="auto"/>
        <w:ind w:left="1080"/>
      </w:pPr>
      <w:r w:rsidRPr="7B188CE2">
        <w:rPr>
          <w:rFonts w:ascii="Verdana" w:eastAsia="Verdana" w:hAnsi="Verdana" w:cs="Verdana"/>
          <w:color w:val="000000" w:themeColor="text1"/>
          <w:sz w:val="23"/>
          <w:szCs w:val="23"/>
          <w:lang w:val="en-US"/>
        </w:rPr>
        <w:t>How the program income will be spent to support the ABS program and how it will be expended equitably among program activities; and</w:t>
      </w:r>
    </w:p>
    <w:p w14:paraId="1426FACA" w14:textId="77777777" w:rsidR="00F8503D" w:rsidRDefault="0033067D">
      <w:pPr>
        <w:numPr>
          <w:ilvl w:val="1"/>
          <w:numId w:val="27"/>
        </w:numPr>
        <w:pBdr>
          <w:top w:val="nil"/>
          <w:left w:val="nil"/>
          <w:bottom w:val="nil"/>
          <w:right w:val="nil"/>
          <w:between w:val="nil"/>
        </w:pBdr>
        <w:spacing w:after="160" w:line="276" w:lineRule="auto"/>
        <w:ind w:left="1080"/>
      </w:pPr>
      <w:r>
        <w:rPr>
          <w:rFonts w:ascii="Verdana" w:eastAsia="Verdana" w:hAnsi="Verdana" w:cs="Verdana"/>
          <w:color w:val="000000"/>
          <w:sz w:val="23"/>
          <w:szCs w:val="23"/>
        </w:rPr>
        <w:t>How the program will follow organizational processes for the accounting and reporting of program income.</w:t>
      </w:r>
    </w:p>
    <w:p w14:paraId="366FC697" w14:textId="77777777" w:rsidR="00F8503D" w:rsidRDefault="0033067D">
      <w:pPr>
        <w:numPr>
          <w:ilvl w:val="0"/>
          <w:numId w:val="25"/>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complete and submit a Program Fees Plan as part of the HECC annual reporting requirements (see the annual ABS Master Calendar), which includes:</w:t>
      </w:r>
    </w:p>
    <w:p w14:paraId="792252F6"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Program areas for which the fee is charged (ABE/ASE, ESL, etc.);</w:t>
      </w:r>
    </w:p>
    <w:p w14:paraId="34D5ABD7"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 amount of the fee and what it pays for;</w:t>
      </w:r>
    </w:p>
    <w:p w14:paraId="042E3658"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 amount of the fee that can be waived;</w:t>
      </w:r>
    </w:p>
    <w:p w14:paraId="7BE77C45"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 eligibility criteria for waivers;</w:t>
      </w:r>
    </w:p>
    <w:p w14:paraId="7A976D02"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 process for obtaining waivers, including who decides or grants the waiver and the deadline for applying for waivers;</w:t>
      </w:r>
    </w:p>
    <w:p w14:paraId="1E3DCF01"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 source of funding for waivers;</w:t>
      </w:r>
    </w:p>
    <w:p w14:paraId="443B14C8"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lastRenderedPageBreak/>
        <w:t>The number of waivers available annually;</w:t>
      </w:r>
    </w:p>
    <w:p w14:paraId="29991812"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The number of waivers used in the past year; and</w:t>
      </w:r>
    </w:p>
    <w:p w14:paraId="713D3517" w14:textId="77777777" w:rsidR="00F8503D" w:rsidRDefault="0033067D">
      <w:pPr>
        <w:numPr>
          <w:ilvl w:val="1"/>
          <w:numId w:val="28"/>
        </w:numPr>
        <w:pBdr>
          <w:top w:val="nil"/>
          <w:left w:val="nil"/>
          <w:bottom w:val="nil"/>
          <w:right w:val="nil"/>
          <w:between w:val="nil"/>
        </w:pBdr>
        <w:spacing w:after="160" w:line="276" w:lineRule="auto"/>
        <w:ind w:left="1080"/>
      </w:pPr>
      <w:r>
        <w:rPr>
          <w:rFonts w:ascii="Verdana" w:eastAsia="Verdana" w:hAnsi="Verdana" w:cs="Verdana"/>
          <w:color w:val="000000"/>
          <w:sz w:val="23"/>
          <w:szCs w:val="23"/>
        </w:rPr>
        <w:t>Program policy that allows for the collection of fees, tuition, or other program income.</w:t>
      </w:r>
    </w:p>
    <w:p w14:paraId="542AA94B" w14:textId="77777777" w:rsidR="00F8503D" w:rsidRDefault="0033067D">
      <w:pPr>
        <w:numPr>
          <w:ilvl w:val="0"/>
          <w:numId w:val="25"/>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 xml:space="preserve">Programs must report all program income on the Quarterly invoices and the Final Financial Status Report. The report must include the total amount of program income collected and spent and must show that program income earned was entirely expended during the program year with no balance remaining. Program income may not be carried over into future grant years. </w:t>
      </w:r>
    </w:p>
    <w:p w14:paraId="03AD787E" w14:textId="77777777" w:rsidR="00F8503D" w:rsidRDefault="0033067D">
      <w:pPr>
        <w:keepNext/>
        <w:numPr>
          <w:ilvl w:val="2"/>
          <w:numId w:val="24"/>
        </w:numPr>
        <w:pBdr>
          <w:top w:val="nil"/>
          <w:left w:val="nil"/>
          <w:bottom w:val="nil"/>
          <w:right w:val="nil"/>
          <w:between w:val="nil"/>
        </w:pBdr>
        <w:spacing w:before="240" w:after="40" w:line="276" w:lineRule="auto"/>
      </w:pPr>
      <w:bookmarkStart w:id="59" w:name="_qc8ym5frq5ox" w:colFirst="0" w:colLast="0"/>
      <w:bookmarkEnd w:id="59"/>
      <w:r>
        <w:rPr>
          <w:rFonts w:ascii="Arial" w:eastAsia="Arial" w:hAnsi="Arial" w:cs="Arial"/>
          <w:smallCaps/>
          <w:color w:val="6A976C"/>
          <w:sz w:val="28"/>
          <w:szCs w:val="28"/>
        </w:rPr>
        <w:t>Cost Sharing</w:t>
      </w:r>
    </w:p>
    <w:p w14:paraId="30F42FD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2DD5D6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Infrastructure Costs</w:t>
      </w:r>
    </w:p>
    <w:p w14:paraId="2154CE4D" w14:textId="6821C6A9"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 xml:space="preserve">All one-stop partners, whether they are required partners or additional partners, must contribute to infrastructure costs of the </w:t>
      </w:r>
      <w:r w:rsidR="6DB111CA" w:rsidRPr="7B188CE2">
        <w:rPr>
          <w:rFonts w:ascii="Verdana" w:eastAsia="Verdana" w:hAnsi="Verdana" w:cs="Verdana"/>
          <w:i/>
          <w:iCs/>
          <w:color w:val="000000" w:themeColor="text1"/>
          <w:sz w:val="23"/>
          <w:szCs w:val="23"/>
          <w:lang w:val="en-US"/>
        </w:rPr>
        <w:t xml:space="preserve">comprehensive </w:t>
      </w:r>
      <w:r w:rsidRPr="7B188CE2">
        <w:rPr>
          <w:rFonts w:ascii="Verdana" w:eastAsia="Verdana" w:hAnsi="Verdana" w:cs="Verdana"/>
          <w:i/>
          <w:iCs/>
          <w:color w:val="000000" w:themeColor="text1"/>
          <w:sz w:val="23"/>
          <w:szCs w:val="23"/>
          <w:lang w:val="en-US"/>
        </w:rPr>
        <w:t>one-stop centers based on proportionate use and relative benefits received. A partner’s contribution must be an allowable, reasonable, necessary, and allocable cost to the program, consistent with the Federal Cost Principles set forth in the Uniform Guidance. The required one-stop partners must provide access to their programs through the comprehensive centers and contribute to the infrastructure costs of those centers. Infrastructure costs under the Local funding mechanism and State funding mechanism are to be paid from Federal funds made available for local administration (WIOA sec. 233(a) (2) and 34 CFR 463.25 and 463.26(e)). Non-Federal resources that are cash, non-cash, or third-party in-kind contributions may also be used. The Federal funds available for activities other than local administration may not be used for such costs. For the State funding mechanism, other funds made available by the State may be used.</w:t>
      </w:r>
    </w:p>
    <w:p w14:paraId="4D7B14F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Additional Costs</w:t>
      </w:r>
    </w:p>
    <w:p w14:paraId="05DF71DE" w14:textId="77777777"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One-stop partners must share in additional costs, which must include applicable career services, and may include shared operating costs and shared services that are necessary for the general operation of the one-stop center.</w:t>
      </w:r>
    </w:p>
    <w:p w14:paraId="681FFEFA"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Career Services</w:t>
      </w:r>
    </w:p>
    <w:p w14:paraId="2E85B8E7" w14:textId="77777777"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 xml:space="preserve">One-stop partners must ensure that at least some career services, described in WIOA sec. 134(c) (2), are provided at the one-stop center. Additional requirements regarding career services may be found at WIOA sec. </w:t>
      </w:r>
      <w:r w:rsidRPr="7B188CE2">
        <w:rPr>
          <w:rFonts w:ascii="Verdana" w:eastAsia="Verdana" w:hAnsi="Verdana" w:cs="Verdana"/>
          <w:i/>
          <w:iCs/>
          <w:color w:val="000000" w:themeColor="text1"/>
          <w:sz w:val="23"/>
          <w:szCs w:val="23"/>
          <w:lang w:val="en-US"/>
        </w:rPr>
        <w:lastRenderedPageBreak/>
        <w:t>121(b)(1)(A)(i),(c)(2)(A)(ii),(e)(1)(A), and (i)(1), 20 CFR 678.760, 34 CFR 361.760, and 34 CFR 463.760.</w:t>
      </w:r>
    </w:p>
    <w:p w14:paraId="5B1347F7" w14:textId="77777777" w:rsidR="00F8503D" w:rsidRDefault="0033067D">
      <w:pPr>
        <w:pBdr>
          <w:top w:val="nil"/>
          <w:left w:val="nil"/>
          <w:bottom w:val="nil"/>
          <w:right w:val="nil"/>
          <w:between w:val="nil"/>
        </w:pBdr>
        <w:spacing w:after="160" w:line="276" w:lineRule="auto"/>
        <w:rPr>
          <w:rFonts w:ascii="Verdana" w:eastAsia="Verdana" w:hAnsi="Verdana" w:cs="Verdana"/>
          <w:i/>
          <w:iCs/>
          <w:color w:val="000000"/>
          <w:sz w:val="23"/>
          <w:szCs w:val="23"/>
        </w:rPr>
      </w:pPr>
      <w:r>
        <w:rPr>
          <w:rFonts w:ascii="Verdana" w:eastAsia="Verdana" w:hAnsi="Verdana" w:cs="Verdana"/>
          <w:i/>
          <w:iCs/>
          <w:color w:val="000000"/>
          <w:sz w:val="23"/>
          <w:szCs w:val="23"/>
        </w:rPr>
        <w:t>Please also see a detailed discussion about the provision of career services at the one-stop centers in the General Guidance for the American Job Center Network in the Operation of One-Stop Centers, issued jointly by DOL and ED, via DOL’s TEGL, ED’s OCTAE Program Memorandum, and ED’s Rehabilitation Services Administration’s Technical Assistance Circular.</w:t>
      </w:r>
    </w:p>
    <w:p w14:paraId="0DBCA49A"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Shared Operating Costs and Shared Services</w:t>
      </w:r>
    </w:p>
    <w:p w14:paraId="19036191" w14:textId="03DFFED4"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i/>
          <w:iCs/>
          <w:color w:val="000000" w:themeColor="text1"/>
          <w:sz w:val="23"/>
          <w:szCs w:val="23"/>
          <w:lang w:val="en-US"/>
        </w:rPr>
        <w:t>One-stop partners also may share other costs that support the operations of the one-stop centers, The costs of shared services may include initial intake, assessment of needs, appraisal of basic skills, identification of appropriate services to meet such needs, referrals to other one-stop partners, and business services (WIOA sec. 121(i)(2), 20 CFR 678.760, 34 CFR 361.760, and 34 CFR 463.760). As discussed in more detail in the section pertaining to personnel costs above, such costs also may include personnel expenses associated with a shared welcome desk or greeter directing employers and customers to the services or staff that are available in that one-stop center.</w:t>
      </w:r>
    </w:p>
    <w:p w14:paraId="31C2C54D" w14:textId="77777777" w:rsidR="00F8503D" w:rsidRDefault="0033067D">
      <w:pPr>
        <w:pBdr>
          <w:top w:val="nil"/>
          <w:left w:val="nil"/>
          <w:bottom w:val="nil"/>
          <w:right w:val="nil"/>
          <w:between w:val="nil"/>
        </w:pBdr>
        <w:spacing w:after="160" w:line="276" w:lineRule="auto"/>
        <w:rPr>
          <w:rFonts w:ascii="Verdana" w:eastAsia="Verdana" w:hAnsi="Verdana" w:cs="Verdana"/>
          <w:i/>
          <w:iCs/>
          <w:color w:val="000000"/>
          <w:sz w:val="23"/>
          <w:szCs w:val="23"/>
        </w:rPr>
      </w:pPr>
      <w:r>
        <w:rPr>
          <w:rFonts w:ascii="Verdana" w:eastAsia="Verdana" w:hAnsi="Verdana" w:cs="Verdana"/>
          <w:i/>
          <w:iCs/>
          <w:color w:val="000000"/>
          <w:sz w:val="23"/>
          <w:szCs w:val="23"/>
        </w:rPr>
        <w:t>(OCTAE Program Memorandum 17-3: Infrastructure Funding of the One-Stop Delivery System)</w:t>
      </w:r>
    </w:p>
    <w:p w14:paraId="1817FBB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6B201556"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Title II-funded programs are required partners of the one-stop delivery system in Oregon. As such, they must pay a proportionate share of the infrastructure and additional costs of the local workforce centers. For 2026-2027, HECC will negotiate shared costs on behalf of local providers.</w:t>
      </w:r>
    </w:p>
    <w:p w14:paraId="48DF6221" w14:textId="77777777" w:rsidR="00F8503D" w:rsidRDefault="0033067D">
      <w:pPr>
        <w:keepNext/>
        <w:numPr>
          <w:ilvl w:val="2"/>
          <w:numId w:val="24"/>
        </w:numPr>
        <w:pBdr>
          <w:top w:val="nil"/>
          <w:left w:val="nil"/>
          <w:bottom w:val="nil"/>
          <w:right w:val="nil"/>
          <w:between w:val="nil"/>
        </w:pBdr>
        <w:spacing w:before="240" w:after="40" w:line="276" w:lineRule="auto"/>
      </w:pPr>
      <w:bookmarkStart w:id="60" w:name="_w6wpc4e42be0" w:colFirst="0" w:colLast="0"/>
      <w:bookmarkEnd w:id="60"/>
      <w:r>
        <w:rPr>
          <w:rFonts w:ascii="Arial" w:eastAsia="Arial" w:hAnsi="Arial" w:cs="Arial"/>
          <w:smallCaps/>
          <w:color w:val="6A976C"/>
          <w:sz w:val="28"/>
          <w:szCs w:val="28"/>
        </w:rPr>
        <w:t>Time and Effort Reporting</w:t>
      </w:r>
    </w:p>
    <w:p w14:paraId="3CC45665"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Federal regulation (CFR 200.430) requires employees whose salaries are charged to a federal grant to keep time and/or effort reports to substantiate the charges. Time and effort documentation demonstrates that charges for salaries and wages reflect the actual work effort expended, not proposed or budgeted efforts.</w:t>
      </w:r>
    </w:p>
    <w:p w14:paraId="53332254" w14:textId="77777777" w:rsidR="00F8503D" w:rsidRDefault="0033067D">
      <w:pPr>
        <w:keepNext/>
        <w:numPr>
          <w:ilvl w:val="2"/>
          <w:numId w:val="24"/>
        </w:numPr>
        <w:pBdr>
          <w:top w:val="nil"/>
          <w:left w:val="nil"/>
          <w:bottom w:val="nil"/>
          <w:right w:val="nil"/>
          <w:between w:val="nil"/>
        </w:pBdr>
        <w:spacing w:before="240" w:after="40" w:line="276" w:lineRule="auto"/>
      </w:pPr>
      <w:bookmarkStart w:id="61" w:name="_cj9m01ehohut" w:colFirst="0" w:colLast="0"/>
      <w:bookmarkEnd w:id="61"/>
      <w:r>
        <w:rPr>
          <w:rFonts w:ascii="Arial" w:eastAsia="Arial" w:hAnsi="Arial" w:cs="Arial"/>
          <w:smallCaps/>
          <w:color w:val="6A976C"/>
          <w:sz w:val="28"/>
          <w:szCs w:val="28"/>
        </w:rPr>
        <w:t>Oregon ABS Assurances</w:t>
      </w:r>
    </w:p>
    <w:p w14:paraId="6BB8CED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2BE44EF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annually submit signed Oregon ABS Assurances. The assurances reflect the program’s understanding of, and agreement to comply with, all terms and conditions of WIOA, Title II, and state ABS program rules and regulations.</w:t>
      </w:r>
    </w:p>
    <w:p w14:paraId="70B66EE9" w14:textId="77777777" w:rsidR="00F8503D" w:rsidRDefault="0033067D">
      <w:pPr>
        <w:keepNext/>
        <w:numPr>
          <w:ilvl w:val="2"/>
          <w:numId w:val="24"/>
        </w:numPr>
        <w:pBdr>
          <w:top w:val="nil"/>
          <w:left w:val="nil"/>
          <w:bottom w:val="nil"/>
          <w:right w:val="nil"/>
          <w:between w:val="nil"/>
        </w:pBdr>
        <w:spacing w:before="240" w:after="40" w:line="276" w:lineRule="auto"/>
      </w:pPr>
      <w:bookmarkStart w:id="62" w:name="_wcd033mh1qbh" w:colFirst="0" w:colLast="0"/>
      <w:bookmarkEnd w:id="62"/>
      <w:r>
        <w:rPr>
          <w:rFonts w:ascii="Arial" w:eastAsia="Arial" w:hAnsi="Arial" w:cs="Arial"/>
          <w:smallCaps/>
          <w:color w:val="6A976C"/>
          <w:sz w:val="28"/>
          <w:szCs w:val="28"/>
        </w:rPr>
        <w:lastRenderedPageBreak/>
        <w:t>Federal Certifications</w:t>
      </w:r>
    </w:p>
    <w:p w14:paraId="21C9D349"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56BB6E10"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submit an annual Certification Regarding Debarment, Suspension, Ineligibility and Voluntary Exclusion— Lower-Tier Covered Transactions and Certification Regarding Lobbying. These documents reflect the program’s understanding of, and agreement to comply with, all terms and conditions of the federal assurances. By signing the form, a program agrees that it is not debarred or suspended or otherwise excluded from or ineligible for participation in federal assistance programs under Executive Order 12549, “Debarment and Suspension” and that the program will not contract with a subcontractor that is debarred or suspended. The program also agrees that no federally appropriated funds have been paid or will be paid, by or on behalf of the program, to any person for lobbying.</w:t>
      </w:r>
    </w:p>
    <w:p w14:paraId="6F7A2DC8" w14:textId="77777777" w:rsidR="00F8503D" w:rsidRDefault="0033067D">
      <w:pPr>
        <w:keepNext/>
        <w:numPr>
          <w:ilvl w:val="2"/>
          <w:numId w:val="24"/>
        </w:numPr>
        <w:pBdr>
          <w:top w:val="nil"/>
          <w:left w:val="nil"/>
          <w:bottom w:val="nil"/>
          <w:right w:val="nil"/>
          <w:between w:val="nil"/>
        </w:pBdr>
        <w:spacing w:before="240" w:after="40" w:line="276" w:lineRule="auto"/>
      </w:pPr>
      <w:bookmarkStart w:id="63" w:name="_ub2gu95fwkci" w:colFirst="0" w:colLast="0"/>
      <w:bookmarkEnd w:id="63"/>
      <w:r>
        <w:rPr>
          <w:rFonts w:ascii="Arial" w:eastAsia="Arial" w:hAnsi="Arial" w:cs="Arial"/>
          <w:smallCaps/>
          <w:color w:val="6A976C"/>
          <w:sz w:val="28"/>
          <w:szCs w:val="28"/>
        </w:rPr>
        <w:t>Records Retention</w:t>
      </w:r>
    </w:p>
    <w:p w14:paraId="3D3B46EB"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261C898D"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maintain all financial records relating to the Title II program in accordance with GAAP. In addition, programs must maintain any other records, books, documents, papers, plans, records of shipments and payments, and writings of the program, whether in paper, electronic or other form, that are pertinent to Title II, in such a manner as to clearly document the program’s performance. All financial records, other records, books, documents, papers, plans, records of shipments and payments, and writings of programs whether in paper, electronic or other form, that are pertinent to Title II, are collectively referred to as “Records.” HECC, the Oregon Secretary of State’s Office and the federal government will have access to all Records to perform examinations and audits and make excerpts and transcripts. Programs will retain and keep accessible all Records for the longest of:</w:t>
      </w:r>
    </w:p>
    <w:p w14:paraId="2FD5BA72" w14:textId="77777777" w:rsidR="00F8503D" w:rsidRDefault="0033067D">
      <w:pPr>
        <w:numPr>
          <w:ilvl w:val="1"/>
          <w:numId w:val="29"/>
        </w:numPr>
        <w:pBdr>
          <w:top w:val="nil"/>
          <w:left w:val="nil"/>
          <w:bottom w:val="nil"/>
          <w:right w:val="nil"/>
          <w:between w:val="nil"/>
        </w:pBdr>
        <w:spacing w:after="160" w:line="276" w:lineRule="auto"/>
      </w:pPr>
      <w:r>
        <w:rPr>
          <w:rFonts w:ascii="Verdana" w:eastAsia="Verdana" w:hAnsi="Verdana" w:cs="Verdana"/>
          <w:color w:val="000000"/>
          <w:sz w:val="23"/>
          <w:szCs w:val="23"/>
        </w:rPr>
        <w:t>Six years following final payment and termination of the Title II grant;</w:t>
      </w:r>
    </w:p>
    <w:p w14:paraId="355E612F" w14:textId="77777777" w:rsidR="00F8503D" w:rsidRDefault="0033067D">
      <w:pPr>
        <w:numPr>
          <w:ilvl w:val="1"/>
          <w:numId w:val="2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The period as may be required by applicable law, including the records retention schedules set forth in OAR Chapter 166; or</w:t>
      </w:r>
    </w:p>
    <w:p w14:paraId="00C323A4" w14:textId="77777777" w:rsidR="00F8503D" w:rsidRDefault="0033067D">
      <w:pPr>
        <w:numPr>
          <w:ilvl w:val="1"/>
          <w:numId w:val="29"/>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Until the conclusion of any audit, controversy or litigation arising out of or related to this Agreement. </w:t>
      </w:r>
    </w:p>
    <w:p w14:paraId="593AFCB4" w14:textId="77777777" w:rsidR="00F8503D" w:rsidRDefault="0033067D">
      <w:pPr>
        <w:keepNext/>
        <w:numPr>
          <w:ilvl w:val="2"/>
          <w:numId w:val="24"/>
        </w:numPr>
        <w:pBdr>
          <w:top w:val="nil"/>
          <w:left w:val="nil"/>
          <w:bottom w:val="nil"/>
          <w:right w:val="nil"/>
          <w:between w:val="nil"/>
        </w:pBdr>
        <w:spacing w:before="240" w:after="40" w:line="276" w:lineRule="auto"/>
      </w:pPr>
      <w:bookmarkStart w:id="64" w:name="_tb9bt354kzch" w:colFirst="0" w:colLast="0"/>
      <w:bookmarkEnd w:id="64"/>
      <w:r>
        <w:rPr>
          <w:rFonts w:ascii="Arial" w:eastAsia="Arial" w:hAnsi="Arial" w:cs="Arial"/>
          <w:smallCaps/>
          <w:color w:val="6A976C"/>
          <w:sz w:val="28"/>
          <w:szCs w:val="28"/>
        </w:rPr>
        <w:t>Insurance</w:t>
      </w:r>
    </w:p>
    <w:p w14:paraId="46FD7316"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Federal regulation requires that programs must, at a minimum, provide the equivalent insurance coverage for real property and equipment acquired or </w:t>
      </w:r>
      <w:r w:rsidRPr="7B188CE2">
        <w:rPr>
          <w:rFonts w:ascii="Verdana" w:eastAsia="Verdana" w:hAnsi="Verdana" w:cs="Verdana"/>
          <w:color w:val="000000" w:themeColor="text1"/>
          <w:sz w:val="23"/>
          <w:szCs w:val="23"/>
          <w:lang w:val="en-US"/>
        </w:rPr>
        <w:lastRenderedPageBreak/>
        <w:t>improved with federal funds as provided to property owned by the non-Federal entity (2 CFR 200.310). Programs must ensure that all sub-contractors maintain the minimum levels of insurance.</w:t>
      </w:r>
    </w:p>
    <w:p w14:paraId="0434F54D" w14:textId="77777777" w:rsidR="00F8503D" w:rsidRDefault="0033067D">
      <w:pPr>
        <w:keepNext/>
        <w:numPr>
          <w:ilvl w:val="2"/>
          <w:numId w:val="24"/>
        </w:numPr>
        <w:pBdr>
          <w:top w:val="nil"/>
          <w:left w:val="nil"/>
          <w:bottom w:val="nil"/>
          <w:right w:val="nil"/>
          <w:between w:val="nil"/>
        </w:pBdr>
        <w:spacing w:before="240" w:after="40" w:line="276" w:lineRule="auto"/>
      </w:pPr>
      <w:bookmarkStart w:id="65" w:name="_qvv16nkvhrq1" w:colFirst="0" w:colLast="0"/>
      <w:bookmarkEnd w:id="65"/>
      <w:r>
        <w:rPr>
          <w:rFonts w:ascii="Arial" w:eastAsia="Arial" w:hAnsi="Arial" w:cs="Arial"/>
          <w:smallCaps/>
          <w:color w:val="6A976C"/>
          <w:sz w:val="28"/>
          <w:szCs w:val="28"/>
        </w:rPr>
        <w:t>Rights to Materials</w:t>
      </w:r>
    </w:p>
    <w:p w14:paraId="7EB34A6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Materials that originate from WIOA funds shall be “works for hire” as defined by the U.S. Copyright Act of 1976 and shall be owned by ED. Materials shall include, but are not limited to, reports, documents, pamphlets, advertisements, books, magazines, surveys, studies, computer programs, films, tapes, and/or sound reproductions. Ownership includes the right to reproduce, publish, use, and copyright these materials (34 CFR 80.34).</w:t>
      </w:r>
    </w:p>
    <w:p w14:paraId="3F3B7EC2" w14:textId="77777777" w:rsidR="00F8503D" w:rsidRDefault="0033067D">
      <w:pPr>
        <w:keepNext/>
        <w:numPr>
          <w:ilvl w:val="2"/>
          <w:numId w:val="24"/>
        </w:numPr>
        <w:pBdr>
          <w:top w:val="nil"/>
          <w:left w:val="nil"/>
          <w:bottom w:val="nil"/>
          <w:right w:val="nil"/>
          <w:between w:val="nil"/>
        </w:pBdr>
        <w:spacing w:before="240" w:after="40" w:line="276" w:lineRule="auto"/>
      </w:pPr>
      <w:bookmarkStart w:id="66" w:name="_s0k46b1dhd9g" w:colFirst="0" w:colLast="0"/>
      <w:bookmarkEnd w:id="66"/>
      <w:r>
        <w:rPr>
          <w:rFonts w:ascii="Arial" w:eastAsia="Arial" w:hAnsi="Arial" w:cs="Arial"/>
          <w:smallCaps/>
          <w:color w:val="6A976C"/>
          <w:sz w:val="28"/>
          <w:szCs w:val="28"/>
        </w:rPr>
        <w:t>Public Announcements, Disclosure of Federal Funding</w:t>
      </w:r>
    </w:p>
    <w:p w14:paraId="687AAAD2" w14:textId="77777777" w:rsidR="00F8503D" w:rsidRDefault="0033067D" w:rsidP="7B188CE2">
      <w:pPr>
        <w:pBdr>
          <w:top w:val="nil"/>
          <w:left w:val="nil"/>
          <w:bottom w:val="nil"/>
          <w:right w:val="nil"/>
          <w:between w:val="nil"/>
        </w:pBdr>
        <w:spacing w:after="160" w:line="276" w:lineRule="auto"/>
        <w:rPr>
          <w:rFonts w:ascii="Verdana" w:eastAsia="Verdana" w:hAnsi="Verdana" w:cs="Verdana"/>
          <w:i/>
          <w:iCs/>
          <w:color w:val="000000"/>
          <w:sz w:val="23"/>
          <w:szCs w:val="23"/>
          <w:lang w:val="en-US"/>
        </w:rPr>
      </w:pPr>
      <w:r w:rsidRPr="7B188CE2">
        <w:rPr>
          <w:rFonts w:ascii="Verdana" w:eastAsia="Verdana" w:hAnsi="Verdana" w:cs="Verdana"/>
          <w:color w:val="000000" w:themeColor="text1"/>
          <w:sz w:val="23"/>
          <w:szCs w:val="23"/>
          <w:lang w:val="en-US"/>
        </w:rPr>
        <w:t xml:space="preserve">Programs funded in whole or in part with federal grant money must credit the federal government for the federal government's portion of the financial support. </w:t>
      </w:r>
      <w:r w:rsidRPr="7B188CE2">
        <w:rPr>
          <w:rFonts w:ascii="Verdana" w:eastAsia="Verdana" w:hAnsi="Verdana" w:cs="Verdana"/>
          <w:i/>
          <w:iCs/>
          <w:color w:val="000000" w:themeColor="text1"/>
          <w:sz w:val="23"/>
          <w:szCs w:val="23"/>
          <w:lang w:val="en-US"/>
        </w:rPr>
        <w:t>When issuing statements, press releases, or other documents describing this project, the program shall clearly state:</w:t>
      </w:r>
    </w:p>
    <w:p w14:paraId="44F82C08" w14:textId="77777777" w:rsidR="00F8503D" w:rsidRDefault="0033067D">
      <w:pPr>
        <w:numPr>
          <w:ilvl w:val="0"/>
          <w:numId w:val="30"/>
        </w:numPr>
        <w:pBdr>
          <w:top w:val="nil"/>
          <w:left w:val="nil"/>
          <w:bottom w:val="nil"/>
          <w:right w:val="nil"/>
          <w:between w:val="nil"/>
        </w:pBdr>
        <w:spacing w:after="160" w:line="276" w:lineRule="auto"/>
        <w:rPr>
          <w:rFonts w:ascii="Verdana" w:eastAsia="Verdana" w:hAnsi="Verdana" w:cs="Verdana"/>
          <w:i/>
          <w:iCs/>
          <w:color w:val="000000"/>
          <w:sz w:val="23"/>
          <w:szCs w:val="23"/>
        </w:rPr>
      </w:pPr>
      <w:r>
        <w:rPr>
          <w:rFonts w:ascii="Verdana" w:eastAsia="Verdana" w:hAnsi="Verdana" w:cs="Verdana"/>
          <w:i/>
          <w:iCs/>
          <w:color w:val="000000"/>
          <w:sz w:val="23"/>
          <w:szCs w:val="23"/>
        </w:rPr>
        <w:t>The dollar amount of federal funds for the project;</w:t>
      </w:r>
    </w:p>
    <w:p w14:paraId="7FBDFE67" w14:textId="77777777" w:rsidR="00F8503D" w:rsidRDefault="0033067D">
      <w:pPr>
        <w:numPr>
          <w:ilvl w:val="0"/>
          <w:numId w:val="30"/>
        </w:numPr>
        <w:pBdr>
          <w:top w:val="nil"/>
          <w:left w:val="nil"/>
          <w:bottom w:val="nil"/>
          <w:right w:val="nil"/>
          <w:between w:val="nil"/>
        </w:pBdr>
        <w:spacing w:after="160" w:line="276" w:lineRule="auto"/>
        <w:rPr>
          <w:rFonts w:ascii="Verdana" w:eastAsia="Verdana" w:hAnsi="Verdana" w:cs="Verdana"/>
          <w:i/>
          <w:iCs/>
          <w:color w:val="000000"/>
          <w:sz w:val="23"/>
          <w:szCs w:val="23"/>
        </w:rPr>
      </w:pPr>
      <w:r>
        <w:rPr>
          <w:rFonts w:ascii="Verdana" w:eastAsia="Verdana" w:hAnsi="Verdana" w:cs="Verdana"/>
          <w:i/>
          <w:iCs/>
          <w:color w:val="000000"/>
          <w:sz w:val="23"/>
          <w:szCs w:val="23"/>
        </w:rPr>
        <w:t>The percentage of the total cost of the project financed with federal funds; and</w:t>
      </w:r>
    </w:p>
    <w:p w14:paraId="36D5AAE8" w14:textId="77777777" w:rsidR="00F8503D" w:rsidRDefault="0033067D">
      <w:pPr>
        <w:numPr>
          <w:ilvl w:val="0"/>
          <w:numId w:val="30"/>
        </w:numPr>
        <w:pBdr>
          <w:top w:val="nil"/>
          <w:left w:val="nil"/>
          <w:bottom w:val="nil"/>
          <w:right w:val="nil"/>
          <w:between w:val="nil"/>
        </w:pBdr>
        <w:spacing w:after="160" w:line="276" w:lineRule="auto"/>
        <w:rPr>
          <w:rFonts w:ascii="Verdana" w:eastAsia="Verdana" w:hAnsi="Verdana" w:cs="Verdana"/>
          <w:i/>
          <w:iCs/>
          <w:color w:val="000000"/>
          <w:sz w:val="23"/>
          <w:szCs w:val="23"/>
        </w:rPr>
      </w:pPr>
      <w:r>
        <w:rPr>
          <w:rFonts w:ascii="Verdana" w:eastAsia="Verdana" w:hAnsi="Verdana" w:cs="Verdana"/>
          <w:i/>
          <w:iCs/>
          <w:color w:val="000000"/>
          <w:sz w:val="23"/>
          <w:szCs w:val="23"/>
        </w:rPr>
        <w:t>The percentage and dollar amount of the total costs of the project financed by non-governmental sources (Stevens Amendment).</w:t>
      </w:r>
    </w:p>
    <w:p w14:paraId="3E0A58ED"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comply with these conditions under Division H, Title V, Section 505 of Public Law 113-76, Consolidated Appropriations Act, 2014.</w:t>
      </w:r>
    </w:p>
    <w:p w14:paraId="2E02635A" w14:textId="77777777" w:rsidR="00F8503D" w:rsidRDefault="0033067D">
      <w:pPr>
        <w:keepNext/>
        <w:numPr>
          <w:ilvl w:val="2"/>
          <w:numId w:val="24"/>
        </w:numPr>
        <w:pBdr>
          <w:top w:val="nil"/>
          <w:left w:val="nil"/>
          <w:bottom w:val="nil"/>
          <w:right w:val="nil"/>
          <w:between w:val="nil"/>
        </w:pBdr>
        <w:spacing w:before="240" w:after="40" w:line="276" w:lineRule="auto"/>
      </w:pPr>
      <w:bookmarkStart w:id="67" w:name="_vfuc7obrxrri" w:colFirst="0" w:colLast="0"/>
      <w:bookmarkEnd w:id="67"/>
      <w:r>
        <w:rPr>
          <w:rFonts w:ascii="Arial" w:eastAsia="Arial" w:hAnsi="Arial" w:cs="Arial"/>
          <w:smallCaps/>
          <w:color w:val="6A976C"/>
          <w:sz w:val="28"/>
          <w:szCs w:val="28"/>
        </w:rPr>
        <w:t>Nondiscrimination</w:t>
      </w:r>
    </w:p>
    <w:p w14:paraId="2CAA32B6"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Programs must adhere to federal and state nondiscrimination laws. Pursuant to Oregon Revised Statutes Chapter 659a, no individual shall be excluded from participation, denied the benefits of, subjected to discrimination under, or denied employment in the administration of or in connection with any such program because of </w:t>
      </w:r>
      <w:r>
        <w:rPr>
          <w:rFonts w:ascii="Verdana" w:eastAsia="Verdana" w:hAnsi="Verdana" w:cs="Verdana"/>
          <w:i/>
          <w:iCs/>
          <w:color w:val="000000"/>
          <w:sz w:val="23"/>
          <w:szCs w:val="23"/>
        </w:rPr>
        <w:t>race, color, national origin, sex (includes gender, pregnancy and sexual harassment), sexual orientation, religion, age (18 or older), marital status, physical/mental disability, injury, family relationship, and retaliation on the basis of having opposed an unlawful employment practice</w:t>
      </w:r>
      <w:r>
        <w:rPr>
          <w:rFonts w:ascii="Verdana" w:eastAsia="Verdana" w:hAnsi="Verdana" w:cs="Verdana"/>
          <w:color w:val="000000"/>
          <w:sz w:val="23"/>
          <w:szCs w:val="23"/>
        </w:rPr>
        <w:t>.</w:t>
      </w:r>
    </w:p>
    <w:p w14:paraId="186840BE" w14:textId="77777777" w:rsidR="00F8503D" w:rsidRDefault="0033067D">
      <w:pPr>
        <w:keepNext/>
        <w:numPr>
          <w:ilvl w:val="2"/>
          <w:numId w:val="24"/>
        </w:numPr>
        <w:pBdr>
          <w:top w:val="nil"/>
          <w:left w:val="nil"/>
          <w:bottom w:val="nil"/>
          <w:right w:val="nil"/>
          <w:between w:val="nil"/>
        </w:pBdr>
        <w:spacing w:before="240" w:after="40" w:line="276" w:lineRule="auto"/>
      </w:pPr>
      <w:bookmarkStart w:id="68" w:name="_ivme0wej28mi" w:colFirst="0" w:colLast="0"/>
      <w:bookmarkEnd w:id="68"/>
      <w:r>
        <w:rPr>
          <w:rFonts w:ascii="Arial" w:eastAsia="Arial" w:hAnsi="Arial" w:cs="Arial"/>
          <w:smallCaps/>
          <w:color w:val="6A976C"/>
          <w:sz w:val="28"/>
          <w:szCs w:val="28"/>
        </w:rPr>
        <w:t>Transparency Act</w:t>
      </w:r>
    </w:p>
    <w:p w14:paraId="72887D94"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Federal Funding Accountability and Transparency Act (FFATA) exists to increase transparency and improve the public’s access to federal government </w:t>
      </w:r>
      <w:r>
        <w:rPr>
          <w:rFonts w:ascii="Verdana" w:eastAsia="Verdana" w:hAnsi="Verdana" w:cs="Verdana"/>
          <w:color w:val="000000"/>
          <w:sz w:val="23"/>
          <w:szCs w:val="23"/>
        </w:rPr>
        <w:lastRenderedPageBreak/>
        <w:t>information. As a result, FFATA requires that subaward data be reported for all new federal grants and:</w:t>
      </w:r>
    </w:p>
    <w:p w14:paraId="79469EAF" w14:textId="77777777" w:rsidR="00F8503D" w:rsidRDefault="0033067D">
      <w:pPr>
        <w:numPr>
          <w:ilvl w:val="0"/>
          <w:numId w:val="31"/>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HECC must report federal grants of $25,000 or more; </w:t>
      </w:r>
    </w:p>
    <w:p w14:paraId="25428C99" w14:textId="77777777" w:rsidR="00F8503D" w:rsidRDefault="0033067D">
      <w:pPr>
        <w:numPr>
          <w:ilvl w:val="0"/>
          <w:numId w:val="31"/>
        </w:numPr>
        <w:pBdr>
          <w:top w:val="nil"/>
          <w:left w:val="nil"/>
          <w:bottom w:val="nil"/>
          <w:right w:val="nil"/>
          <w:between w:val="nil"/>
        </w:pBdr>
        <w:spacing w:after="160" w:line="276" w:lineRule="auto"/>
      </w:pPr>
      <w:r>
        <w:rPr>
          <w:rFonts w:ascii="Verdana" w:eastAsia="Verdana" w:hAnsi="Verdana" w:cs="Verdana"/>
          <w:color w:val="000000"/>
          <w:sz w:val="23"/>
          <w:szCs w:val="23"/>
        </w:rPr>
        <w:t>Colleges, consortia, and CBOs must be registered in the federal government’s System for Award Management (SAM); and</w:t>
      </w:r>
    </w:p>
    <w:p w14:paraId="05188827" w14:textId="77777777" w:rsidR="00F8503D" w:rsidRDefault="0033067D">
      <w:pPr>
        <w:numPr>
          <w:ilvl w:val="0"/>
          <w:numId w:val="31"/>
        </w:numPr>
        <w:pBdr>
          <w:top w:val="nil"/>
          <w:left w:val="nil"/>
          <w:bottom w:val="nil"/>
          <w:right w:val="nil"/>
          <w:between w:val="nil"/>
        </w:pBdr>
        <w:spacing w:after="160" w:line="276" w:lineRule="auto"/>
      </w:pPr>
      <w:r>
        <w:rPr>
          <w:rFonts w:ascii="Verdana" w:eastAsia="Verdana" w:hAnsi="Verdana" w:cs="Verdana"/>
          <w:color w:val="000000"/>
          <w:sz w:val="23"/>
          <w:szCs w:val="23"/>
        </w:rPr>
        <w:t>Programs must have an UEI (Unique Entity Identifier) number as a universal identifier;</w:t>
      </w:r>
    </w:p>
    <w:p w14:paraId="192BE6FC" w14:textId="77777777" w:rsidR="00F8503D" w:rsidRDefault="0033067D">
      <w:pPr>
        <w:numPr>
          <w:ilvl w:val="0"/>
          <w:numId w:val="31"/>
        </w:numPr>
        <w:pBdr>
          <w:top w:val="nil"/>
          <w:left w:val="nil"/>
          <w:bottom w:val="nil"/>
          <w:right w:val="nil"/>
          <w:between w:val="nil"/>
        </w:pBdr>
        <w:spacing w:after="160" w:line="276" w:lineRule="auto"/>
      </w:pPr>
      <w:r>
        <w:rPr>
          <w:rFonts w:ascii="Verdana" w:eastAsia="Verdana" w:hAnsi="Verdana" w:cs="Verdana"/>
          <w:color w:val="000000"/>
          <w:sz w:val="23"/>
          <w:szCs w:val="23"/>
        </w:rPr>
        <w:t>Colleges, consortia, and CBOs must report the names and total compensation of each of its most highly compensated executive if, in the subgrantee’s preceding fiscal year, the subgrantee received:</w:t>
      </w:r>
    </w:p>
    <w:p w14:paraId="44490878" w14:textId="77777777" w:rsidR="00F8503D" w:rsidRDefault="0033067D">
      <w:pPr>
        <w:numPr>
          <w:ilvl w:val="0"/>
          <w:numId w:val="32"/>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80 percent or more of its annual gross revenues from Federal procurement contracts (and subcontracts) and Federal financial assistance subject to the Transparency Act, as defined at 2 CFR 170.320 (and subawards); and</w:t>
      </w:r>
    </w:p>
    <w:p w14:paraId="40D6C2E7" w14:textId="77777777" w:rsidR="00F8503D" w:rsidRDefault="0033067D">
      <w:pPr>
        <w:numPr>
          <w:ilvl w:val="0"/>
          <w:numId w:val="32"/>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$25,000,000 or more in annual gross revenues from Federal procurement contracts (and subcontracts), and Federal financial assistance subject to the Transparency Act (and subgrantees); and</w:t>
      </w:r>
    </w:p>
    <w:p w14:paraId="09FFF38F" w14:textId="77777777" w:rsidR="00F8503D" w:rsidRDefault="0033067D">
      <w:pPr>
        <w:numPr>
          <w:ilvl w:val="0"/>
          <w:numId w:val="32"/>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 xml:space="preserve">The public does not have access to information about the compensation of the executives through periodic reports filed under section 13(a) or 15(d) of the Securities Exchange Act of 1934 (15 U.S.C. 78m(a), 78o(d)) or section 6104 of the Internal Revenue Code of 1986. (To determine if the public has access to the compensation information, see the U.S. Security and Exchange Commission total compensation filings </w:t>
      </w:r>
      <w:hyperlink r:id="rId64">
        <w:r w:rsidRPr="7B188CE2">
          <w:rPr>
            <w:rFonts w:ascii="Verdana" w:eastAsia="Verdana" w:hAnsi="Verdana" w:cs="Verdana"/>
            <w:color w:val="0000FF"/>
            <w:sz w:val="23"/>
            <w:szCs w:val="23"/>
            <w:lang w:val="en-US"/>
          </w:rPr>
          <w:t>www.sec.gov/answers/execomp.htm</w:t>
        </w:r>
      </w:hyperlink>
      <w:r w:rsidRPr="7B188CE2">
        <w:rPr>
          <w:rFonts w:ascii="Verdana" w:eastAsia="Verdana" w:hAnsi="Verdana" w:cs="Verdana"/>
          <w:color w:val="000000" w:themeColor="text1"/>
          <w:sz w:val="23"/>
          <w:szCs w:val="23"/>
          <w:lang w:val="en-US"/>
        </w:rPr>
        <w:t>.) (Public Law 110—252 FFATA Legislation)</w:t>
      </w:r>
    </w:p>
    <w:p w14:paraId="3B2F6E0C" w14:textId="77777777" w:rsidR="00F8503D" w:rsidRDefault="0033067D">
      <w:pPr>
        <w:keepNext/>
        <w:numPr>
          <w:ilvl w:val="2"/>
          <w:numId w:val="24"/>
        </w:numPr>
        <w:pBdr>
          <w:top w:val="nil"/>
          <w:left w:val="nil"/>
          <w:bottom w:val="nil"/>
          <w:right w:val="nil"/>
          <w:between w:val="nil"/>
        </w:pBdr>
        <w:spacing w:before="240" w:after="40" w:line="276" w:lineRule="auto"/>
      </w:pPr>
      <w:bookmarkStart w:id="69" w:name="_hvn3hghczq8m" w:colFirst="0" w:colLast="0"/>
      <w:bookmarkEnd w:id="69"/>
      <w:r>
        <w:rPr>
          <w:rFonts w:ascii="Arial" w:eastAsia="Arial" w:hAnsi="Arial" w:cs="Arial"/>
          <w:smallCaps/>
          <w:color w:val="6A976C"/>
          <w:sz w:val="28"/>
          <w:szCs w:val="28"/>
        </w:rPr>
        <w:t>Fiscal Monitoring</w:t>
      </w:r>
    </w:p>
    <w:p w14:paraId="259D8592"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271A094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purpose of fiscal monitoring is to ensure that programs use federal awards for authorized purposes in compliance with the laws, regulations, and provisions of the grant agreement.</w:t>
      </w:r>
    </w:p>
    <w:p w14:paraId="2CE1ECF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724B835C" w14:textId="77777777" w:rsidR="00F8503D" w:rsidRDefault="0033067D">
      <w:pPr>
        <w:numPr>
          <w:ilvl w:val="0"/>
          <w:numId w:val="33"/>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HECC will regularly monitor fiscal records to ensure that programs have complied with the following federal and state requirements:</w:t>
      </w:r>
    </w:p>
    <w:p w14:paraId="55FB47E6"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lastRenderedPageBreak/>
        <w:t>Financial accounting system is adequate and uses GAAP;</w:t>
      </w:r>
    </w:p>
    <w:p w14:paraId="2402168D"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Policies, procedures, and internal controls are written, adequate, and followed;</w:t>
      </w:r>
    </w:p>
    <w:p w14:paraId="7F27EA72" w14:textId="77777777" w:rsidR="00F8503D" w:rsidRDefault="0033067D">
      <w:pPr>
        <w:numPr>
          <w:ilvl w:val="1"/>
          <w:numId w:val="34"/>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Expenditures are appropriately documented, recorded, allocated, and allowable;</w:t>
      </w:r>
    </w:p>
    <w:p w14:paraId="395A25B4" w14:textId="77777777" w:rsidR="00F8503D" w:rsidRDefault="0033067D">
      <w:pPr>
        <w:numPr>
          <w:ilvl w:val="1"/>
          <w:numId w:val="34"/>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Program adheres to policies regarding the allowable and unallowable costs associated with federal funds;</w:t>
      </w:r>
    </w:p>
    <w:p w14:paraId="526541D5" w14:textId="77777777" w:rsidR="00F8503D" w:rsidRDefault="0033067D">
      <w:pPr>
        <w:numPr>
          <w:ilvl w:val="1"/>
          <w:numId w:val="34"/>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Personnel time and activities are appropriately documented and allocated;</w:t>
      </w:r>
    </w:p>
    <w:p w14:paraId="119B613F" w14:textId="77777777" w:rsidR="00F8503D" w:rsidRDefault="0033067D">
      <w:pPr>
        <w:numPr>
          <w:ilvl w:val="1"/>
          <w:numId w:val="34"/>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Quarterly reimbursement requests are submitted on time;</w:t>
      </w:r>
    </w:p>
    <w:p w14:paraId="10EE71B3" w14:textId="77777777" w:rsidR="00F8503D" w:rsidRDefault="0033067D">
      <w:pPr>
        <w:numPr>
          <w:ilvl w:val="1"/>
          <w:numId w:val="34"/>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 xml:space="preserve">Financial reports are on time, accurate, and supported by accounting records; </w:t>
      </w:r>
    </w:p>
    <w:p w14:paraId="268CA244"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Match (cash and in-kind) is appropriately documented, recorded, and is at least 25 percent of the Title II grant allocation;</w:t>
      </w:r>
    </w:p>
    <w:p w14:paraId="7C39D40E"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Maintenance of effort is appropriately documented, recorded, and is not less than 90 percent of the fiscal effort of prior years;</w:t>
      </w:r>
    </w:p>
    <w:p w14:paraId="5189169E" w14:textId="77777777" w:rsidR="00F8503D" w:rsidRDefault="0033067D">
      <w:pPr>
        <w:numPr>
          <w:ilvl w:val="1"/>
          <w:numId w:val="34"/>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Title II funds are not used to supplant other state or local public funds expended for ABS activities;</w:t>
      </w:r>
    </w:p>
    <w:p w14:paraId="13359D38"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Unless negotiated with and approved by HECC, administrative expenses are no more than five (5) percent of the total Title II grant allocation or the state-negotiated rate;</w:t>
      </w:r>
    </w:p>
    <w:p w14:paraId="0ADD1D74"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Indirect charges are at or below the restricted indirect rate;</w:t>
      </w:r>
    </w:p>
    <w:p w14:paraId="5FBF8FC7"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Program income is reported and documented as required by state policy;</w:t>
      </w:r>
    </w:p>
    <w:p w14:paraId="52FBBEAD" w14:textId="77777777" w:rsidR="00F8503D" w:rsidRDefault="0033067D">
      <w:pPr>
        <w:numPr>
          <w:ilvl w:val="1"/>
          <w:numId w:val="34"/>
        </w:numPr>
        <w:pBdr>
          <w:top w:val="nil"/>
          <w:left w:val="nil"/>
          <w:bottom w:val="nil"/>
          <w:right w:val="nil"/>
          <w:between w:val="nil"/>
        </w:pBdr>
        <w:spacing w:after="160" w:line="276" w:lineRule="auto"/>
        <w:ind w:left="1440"/>
      </w:pPr>
      <w:r w:rsidRPr="7B188CE2">
        <w:rPr>
          <w:rFonts w:ascii="Verdana" w:eastAsia="Verdana" w:hAnsi="Verdana" w:cs="Verdana"/>
          <w:color w:val="000000" w:themeColor="text1"/>
          <w:sz w:val="23"/>
          <w:szCs w:val="23"/>
          <w:lang w:val="en-US"/>
        </w:rPr>
        <w:t>Federal funds are expended by June 30 of the grant award year;</w:t>
      </w:r>
    </w:p>
    <w:p w14:paraId="1ECED694"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Title II section 243, Integrated English Literacy and Civics Education, funds are only used for that purpose; and</w:t>
      </w:r>
    </w:p>
    <w:p w14:paraId="000ABC8B" w14:textId="77777777" w:rsidR="00F8503D" w:rsidRDefault="0033067D">
      <w:pPr>
        <w:numPr>
          <w:ilvl w:val="1"/>
          <w:numId w:val="34"/>
        </w:numPr>
        <w:pBdr>
          <w:top w:val="nil"/>
          <w:left w:val="nil"/>
          <w:bottom w:val="nil"/>
          <w:right w:val="nil"/>
          <w:between w:val="nil"/>
        </w:pBdr>
        <w:spacing w:after="160" w:line="276" w:lineRule="auto"/>
        <w:ind w:left="1440"/>
      </w:pPr>
      <w:r>
        <w:rPr>
          <w:rFonts w:ascii="Verdana" w:eastAsia="Verdana" w:hAnsi="Verdana" w:cs="Verdana"/>
          <w:color w:val="000000"/>
          <w:sz w:val="23"/>
          <w:szCs w:val="23"/>
        </w:rPr>
        <w:t>Title II section 225, Corrections Education, funds are only used for that purpose.</w:t>
      </w:r>
    </w:p>
    <w:p w14:paraId="36EFCCA1" w14:textId="77777777" w:rsidR="00F8503D" w:rsidRDefault="0033067D">
      <w:pPr>
        <w:keepNext/>
        <w:numPr>
          <w:ilvl w:val="2"/>
          <w:numId w:val="24"/>
        </w:numPr>
        <w:pBdr>
          <w:top w:val="nil"/>
          <w:left w:val="nil"/>
          <w:bottom w:val="nil"/>
          <w:right w:val="nil"/>
          <w:between w:val="nil"/>
        </w:pBdr>
        <w:spacing w:before="240" w:after="40" w:line="276" w:lineRule="auto"/>
      </w:pPr>
      <w:bookmarkStart w:id="70" w:name="_pkedjiifnmy" w:colFirst="0" w:colLast="0"/>
      <w:bookmarkEnd w:id="70"/>
      <w:r>
        <w:rPr>
          <w:rFonts w:ascii="Arial" w:eastAsia="Arial" w:hAnsi="Arial" w:cs="Arial"/>
          <w:smallCaps/>
          <w:color w:val="6A976C"/>
          <w:sz w:val="28"/>
          <w:szCs w:val="28"/>
        </w:rPr>
        <w:lastRenderedPageBreak/>
        <w:t>Audits</w:t>
      </w:r>
    </w:p>
    <w:p w14:paraId="288A15C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Auditing is a management tool for evaluating whether program operations are executed economically, efficiently, and effectively. Audits of grant programs should be conducted on a regular basis. Federal regulation requires that:</w:t>
      </w:r>
    </w:p>
    <w:p w14:paraId="547354BB" w14:textId="77777777" w:rsidR="00F8503D" w:rsidRDefault="0033067D">
      <w:pPr>
        <w:numPr>
          <w:ilvl w:val="0"/>
          <w:numId w:val="3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A non-federal entity that expends $1,000,000 or more in federal awards during the fiscal year must have an independent single or program-specific audit conducted for that year; and</w:t>
      </w:r>
    </w:p>
    <w:p w14:paraId="67865C0E" w14:textId="77777777" w:rsidR="00F8503D" w:rsidRDefault="0033067D">
      <w:pPr>
        <w:numPr>
          <w:ilvl w:val="0"/>
          <w:numId w:val="35"/>
        </w:numPr>
        <w:pBdr>
          <w:top w:val="nil"/>
          <w:left w:val="nil"/>
          <w:bottom w:val="nil"/>
          <w:right w:val="nil"/>
          <w:between w:val="nil"/>
        </w:pBdr>
        <w:spacing w:after="160" w:line="276" w:lineRule="auto"/>
      </w:pPr>
      <w:r>
        <w:rPr>
          <w:rFonts w:ascii="Verdana" w:eastAsia="Verdana" w:hAnsi="Verdana" w:cs="Verdana"/>
          <w:color w:val="000000"/>
          <w:sz w:val="23"/>
          <w:szCs w:val="23"/>
        </w:rPr>
        <w:t>A non-federal entity that expends less than $1,000,000 during the non-federal entity’s fiscal year in federal awards is exempt from federal audit requirements for that year, except as noted in Uniform Guidance, 2 CFR 200.503, but records must be available for review or audit by appropriate officials of the federal agency, pass-through entity, and Government Accountability Office (2 CFR 200 Subpart F).</w:t>
      </w:r>
    </w:p>
    <w:p w14:paraId="288661ED" w14:textId="433FCAC8"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4667769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submit a copy of the audit report to HECC within the earlier of 30 calendar days after receipt of the auditor's report(s), or nine months after the end of the audit period (2 CFR 200.512(a)).</w:t>
      </w:r>
    </w:p>
    <w:p w14:paraId="0A3D9996" w14:textId="77777777" w:rsidR="00F8503D" w:rsidRDefault="0033067D">
      <w:pPr>
        <w:keepNext/>
        <w:numPr>
          <w:ilvl w:val="2"/>
          <w:numId w:val="24"/>
        </w:numPr>
        <w:pBdr>
          <w:top w:val="nil"/>
          <w:left w:val="nil"/>
          <w:bottom w:val="nil"/>
          <w:right w:val="nil"/>
          <w:between w:val="nil"/>
        </w:pBdr>
        <w:spacing w:before="240" w:after="40" w:line="276" w:lineRule="auto"/>
      </w:pPr>
      <w:bookmarkStart w:id="71" w:name="_qnpp8f4xxewj" w:colFirst="0" w:colLast="0"/>
      <w:bookmarkEnd w:id="71"/>
      <w:r>
        <w:rPr>
          <w:rFonts w:ascii="Arial" w:eastAsia="Arial" w:hAnsi="Arial" w:cs="Arial"/>
          <w:smallCaps/>
          <w:color w:val="6A976C"/>
          <w:sz w:val="28"/>
          <w:szCs w:val="28"/>
        </w:rPr>
        <w:t>Termination</w:t>
      </w:r>
    </w:p>
    <w:p w14:paraId="7839C656"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A Title II grant award may be terminated by HECC upon giving notice in writing to the program at least thirty (30) days in advance of the date of termination. If the grant is terminated for any reason, all reports and data gathered by the program prior to termination will, at the option of HECC, become the property of HECC. If termination occurs, reimbursement to the program will be made based upon the work performed prior to the effective date of termination as mutually agreed upon by both parties. Final adjustments, either payments or refunds, will also be mutually agreed upon by both parties. </w:t>
      </w:r>
    </w:p>
    <w:p w14:paraId="5B7ACFF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In the event funding from State, federal, or other sources is withdrawn, reduced, or limited in any way after the effective date of the grant award and prior to normal completion, HECC may terminate the grant without the thirty-day notice requirement, subject to renegotiation at HECC’s discretion under those new funding limitations and conditions.</w:t>
      </w:r>
    </w:p>
    <w:p w14:paraId="118856C0" w14:textId="77777777" w:rsidR="00F8503D" w:rsidRDefault="0033067D">
      <w:pPr>
        <w:keepNext/>
        <w:numPr>
          <w:ilvl w:val="2"/>
          <w:numId w:val="24"/>
        </w:numPr>
        <w:pBdr>
          <w:top w:val="nil"/>
          <w:left w:val="nil"/>
          <w:bottom w:val="nil"/>
          <w:right w:val="nil"/>
          <w:between w:val="nil"/>
        </w:pBdr>
        <w:spacing w:before="240" w:after="40" w:line="276" w:lineRule="auto"/>
      </w:pPr>
      <w:bookmarkStart w:id="72" w:name="_r8c0d919u669" w:colFirst="0" w:colLast="0"/>
      <w:bookmarkEnd w:id="72"/>
      <w:r>
        <w:rPr>
          <w:rFonts w:ascii="Arial" w:eastAsia="Arial" w:hAnsi="Arial" w:cs="Arial"/>
          <w:smallCaps/>
          <w:color w:val="6A976C"/>
          <w:sz w:val="28"/>
          <w:szCs w:val="28"/>
        </w:rPr>
        <w:t>Budget Activities</w:t>
      </w:r>
    </w:p>
    <w:p w14:paraId="3674C371"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387A88AA"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Programs must submit an annual budget to HECC for each year of the Title II grant award. The budget must detail proposed expenditures for federal and </w:t>
      </w:r>
      <w:r w:rsidRPr="7B188CE2">
        <w:rPr>
          <w:rFonts w:ascii="Verdana" w:eastAsia="Verdana" w:hAnsi="Verdana" w:cs="Verdana"/>
          <w:color w:val="000000" w:themeColor="text1"/>
          <w:sz w:val="23"/>
          <w:szCs w:val="23"/>
          <w:lang w:val="en-US"/>
        </w:rPr>
        <w:lastRenderedPageBreak/>
        <w:t>non-federal funding. The two primary budget categories are instruction and administration. Each primary budget category has several individual cost categories.</w:t>
      </w:r>
    </w:p>
    <w:p w14:paraId="4FD9A797"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Instructional</w:t>
      </w:r>
    </w:p>
    <w:p w14:paraId="6BFF30C8"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Instructional costs are activities and costs associated with, and that directly benefit, instruction and/or when there is direct contact with learners. A program may consider costs incurred in connection with the following activities to be instructional costs:</w:t>
      </w:r>
    </w:p>
    <w:p w14:paraId="37FF5C32" w14:textId="77777777" w:rsidR="00F8503D" w:rsidRDefault="0033067D">
      <w:pPr>
        <w:numPr>
          <w:ilvl w:val="1"/>
          <w:numId w:val="36"/>
        </w:numPr>
        <w:pBdr>
          <w:top w:val="nil"/>
          <w:left w:val="nil"/>
          <w:bottom w:val="nil"/>
          <w:right w:val="nil"/>
          <w:between w:val="nil"/>
        </w:pBdr>
        <w:spacing w:after="160" w:line="276" w:lineRule="auto"/>
      </w:pPr>
      <w:r>
        <w:rPr>
          <w:rFonts w:ascii="Verdana" w:eastAsia="Verdana" w:hAnsi="Verdana" w:cs="Verdana"/>
          <w:color w:val="000000"/>
          <w:sz w:val="23"/>
          <w:szCs w:val="23"/>
        </w:rPr>
        <w:t>Salaries and benefits for teachers and instructional assistants directly involved in instructional delivery of education activities;</w:t>
      </w:r>
    </w:p>
    <w:p w14:paraId="5A80C799" w14:textId="77777777" w:rsidR="00F8503D" w:rsidRDefault="0033067D">
      <w:pPr>
        <w:numPr>
          <w:ilvl w:val="1"/>
          <w:numId w:val="36"/>
        </w:numPr>
        <w:pBdr>
          <w:top w:val="nil"/>
          <w:left w:val="nil"/>
          <w:bottom w:val="nil"/>
          <w:right w:val="nil"/>
          <w:between w:val="nil"/>
        </w:pBdr>
        <w:spacing w:after="160" w:line="276" w:lineRule="auto"/>
      </w:pPr>
      <w:r>
        <w:rPr>
          <w:rFonts w:ascii="Verdana" w:eastAsia="Verdana" w:hAnsi="Verdana" w:cs="Verdana"/>
          <w:color w:val="000000"/>
          <w:sz w:val="23"/>
          <w:szCs w:val="23"/>
        </w:rPr>
        <w:t>Textbooks and technology used for instruction;</w:t>
      </w:r>
    </w:p>
    <w:p w14:paraId="197625D5" w14:textId="77777777" w:rsidR="00F8503D" w:rsidRDefault="0033067D">
      <w:pPr>
        <w:numPr>
          <w:ilvl w:val="1"/>
          <w:numId w:val="36"/>
        </w:numPr>
        <w:pBdr>
          <w:top w:val="nil"/>
          <w:left w:val="nil"/>
          <w:bottom w:val="nil"/>
          <w:right w:val="nil"/>
          <w:between w:val="nil"/>
        </w:pBdr>
        <w:spacing w:after="160" w:line="276" w:lineRule="auto"/>
      </w:pPr>
      <w:r>
        <w:rPr>
          <w:rFonts w:ascii="Verdana" w:eastAsia="Verdana" w:hAnsi="Verdana" w:cs="Verdana"/>
          <w:color w:val="000000"/>
          <w:sz w:val="23"/>
          <w:szCs w:val="23"/>
        </w:rPr>
        <w:t>Repair, maintenance, and replacement of instructional supplies used in the program;</w:t>
      </w:r>
    </w:p>
    <w:p w14:paraId="64960969" w14:textId="77777777" w:rsidR="00F8503D" w:rsidRDefault="0033067D">
      <w:pPr>
        <w:numPr>
          <w:ilvl w:val="1"/>
          <w:numId w:val="36"/>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Other direct learner support costs which may include at the same percentage (that the grant represents) of the entire ABS budget:</w:t>
      </w:r>
    </w:p>
    <w:p w14:paraId="6AF3E15A"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Maintenance and operational expenses;</w:t>
      </w:r>
    </w:p>
    <w:p w14:paraId="29191C3A"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Rents or leases of non-agency owned facilities;</w:t>
      </w:r>
    </w:p>
    <w:p w14:paraId="435CB184"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Childcare support services while adult learners are attending classes;</w:t>
      </w:r>
    </w:p>
    <w:p w14:paraId="5612E3A0"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Transportation to/from classes for ABS learners;</w:t>
      </w:r>
    </w:p>
    <w:p w14:paraId="2DB366B0"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Resources for instructional activities;</w:t>
      </w:r>
    </w:p>
    <w:p w14:paraId="5677478D"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Recruiting and assigning teachers and learners;</w:t>
      </w:r>
    </w:p>
    <w:p w14:paraId="3900CF5B"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Assessing learners’ skills;</w:t>
      </w:r>
    </w:p>
    <w:p w14:paraId="6F1F9572"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Curriculum development; and</w:t>
      </w:r>
    </w:p>
    <w:p w14:paraId="29B529E1" w14:textId="77777777" w:rsidR="00F8503D" w:rsidRDefault="0033067D">
      <w:pPr>
        <w:numPr>
          <w:ilvl w:val="0"/>
          <w:numId w:val="23"/>
        </w:numPr>
        <w:pBdr>
          <w:top w:val="nil"/>
          <w:left w:val="nil"/>
          <w:bottom w:val="nil"/>
          <w:right w:val="nil"/>
          <w:between w:val="nil"/>
        </w:pBdr>
        <w:spacing w:after="160" w:line="276" w:lineRule="auto"/>
        <w:ind w:left="1800"/>
      </w:pPr>
      <w:r>
        <w:rPr>
          <w:rFonts w:ascii="Verdana" w:eastAsia="Verdana" w:hAnsi="Verdana" w:cs="Verdana"/>
          <w:color w:val="000000"/>
          <w:sz w:val="23"/>
          <w:szCs w:val="23"/>
        </w:rPr>
        <w:t>Incorporating Oregon Adult and Career Readiness Standards into ABS curriculum and delivery.</w:t>
      </w:r>
    </w:p>
    <w:p w14:paraId="2614732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Administration</w:t>
      </w:r>
    </w:p>
    <w:p w14:paraId="7991A36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Administrative costs are those non-instructional costs that are considered reasonable, necessary, and allowable, and are costs associated with overall project management. A program may consider costs incurred in connection with the following activities to be administrative costs:</w:t>
      </w:r>
    </w:p>
    <w:p w14:paraId="6335E41B" w14:textId="695443A6" w:rsidR="00F8503D" w:rsidRDefault="0033067D">
      <w:pPr>
        <w:numPr>
          <w:ilvl w:val="1"/>
          <w:numId w:val="37"/>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Planning, and working with workforce partners; </w:t>
      </w:r>
    </w:p>
    <w:p w14:paraId="257CC33E" w14:textId="77777777" w:rsidR="00F8503D" w:rsidRDefault="0033067D">
      <w:pPr>
        <w:numPr>
          <w:ilvl w:val="1"/>
          <w:numId w:val="37"/>
        </w:numPr>
        <w:pBdr>
          <w:top w:val="nil"/>
          <w:left w:val="nil"/>
          <w:bottom w:val="nil"/>
          <w:right w:val="nil"/>
          <w:between w:val="nil"/>
        </w:pBdr>
        <w:spacing w:after="160" w:line="276" w:lineRule="auto"/>
      </w:pPr>
      <w:r>
        <w:rPr>
          <w:rFonts w:ascii="Verdana" w:eastAsia="Verdana" w:hAnsi="Verdana" w:cs="Verdana"/>
          <w:color w:val="000000"/>
          <w:sz w:val="23"/>
          <w:szCs w:val="23"/>
        </w:rPr>
        <w:lastRenderedPageBreak/>
        <w:t>Administration, including carrying out performance accountability requirements;</w:t>
      </w:r>
    </w:p>
    <w:p w14:paraId="3E5AD66C" w14:textId="77777777" w:rsidR="00F8503D" w:rsidRDefault="0033067D">
      <w:pPr>
        <w:numPr>
          <w:ilvl w:val="1"/>
          <w:numId w:val="37"/>
        </w:numPr>
        <w:pBdr>
          <w:top w:val="nil"/>
          <w:left w:val="nil"/>
          <w:bottom w:val="nil"/>
          <w:right w:val="nil"/>
          <w:between w:val="nil"/>
        </w:pBdr>
        <w:spacing w:after="160" w:line="276" w:lineRule="auto"/>
      </w:pPr>
      <w:r>
        <w:rPr>
          <w:rFonts w:ascii="Verdana" w:eastAsia="Verdana" w:hAnsi="Verdana" w:cs="Verdana"/>
          <w:color w:val="000000"/>
          <w:sz w:val="23"/>
          <w:szCs w:val="23"/>
        </w:rPr>
        <w:t>Professional development;</w:t>
      </w:r>
    </w:p>
    <w:p w14:paraId="3DE0D037" w14:textId="77777777" w:rsidR="00F8503D" w:rsidRDefault="0033067D">
      <w:pPr>
        <w:numPr>
          <w:ilvl w:val="1"/>
          <w:numId w:val="3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Coordination regarding administrative record keeping;</w:t>
      </w:r>
    </w:p>
    <w:p w14:paraId="74A0A5CB" w14:textId="77777777" w:rsidR="00F8503D" w:rsidRDefault="0033067D">
      <w:pPr>
        <w:numPr>
          <w:ilvl w:val="1"/>
          <w:numId w:val="37"/>
        </w:numPr>
        <w:pBdr>
          <w:top w:val="nil"/>
          <w:left w:val="nil"/>
          <w:bottom w:val="nil"/>
          <w:right w:val="nil"/>
          <w:between w:val="nil"/>
        </w:pBdr>
        <w:spacing w:after="160" w:line="276" w:lineRule="auto"/>
      </w:pPr>
      <w:r>
        <w:rPr>
          <w:rFonts w:ascii="Verdana" w:eastAsia="Verdana" w:hAnsi="Verdana" w:cs="Verdana"/>
          <w:color w:val="000000"/>
          <w:sz w:val="23"/>
          <w:szCs w:val="23"/>
        </w:rPr>
        <w:t>Developing policies for support services among different departments/agencies;</w:t>
      </w:r>
    </w:p>
    <w:p w14:paraId="52055874" w14:textId="77777777" w:rsidR="00F8503D" w:rsidRDefault="0033067D">
      <w:pPr>
        <w:numPr>
          <w:ilvl w:val="1"/>
          <w:numId w:val="37"/>
        </w:numPr>
        <w:pBdr>
          <w:top w:val="nil"/>
          <w:left w:val="nil"/>
          <w:bottom w:val="nil"/>
          <w:right w:val="nil"/>
          <w:between w:val="nil"/>
        </w:pBdr>
        <w:spacing w:after="160" w:line="276" w:lineRule="auto"/>
      </w:pPr>
      <w:r>
        <w:rPr>
          <w:rFonts w:ascii="Verdana" w:eastAsia="Verdana" w:hAnsi="Verdana" w:cs="Verdana"/>
          <w:color w:val="000000"/>
          <w:sz w:val="23"/>
          <w:szCs w:val="23"/>
        </w:rPr>
        <w:t>Recruiting and supervising staff and volunteers other than teachers and learners;</w:t>
      </w:r>
    </w:p>
    <w:p w14:paraId="321F2FC9" w14:textId="77777777" w:rsidR="00F8503D" w:rsidRDefault="0033067D">
      <w:pPr>
        <w:numPr>
          <w:ilvl w:val="1"/>
          <w:numId w:val="37"/>
        </w:numPr>
        <w:pBdr>
          <w:top w:val="nil"/>
          <w:left w:val="nil"/>
          <w:bottom w:val="nil"/>
          <w:right w:val="nil"/>
          <w:between w:val="nil"/>
        </w:pBdr>
        <w:spacing w:after="160" w:line="276" w:lineRule="auto"/>
      </w:pPr>
      <w:r>
        <w:rPr>
          <w:rFonts w:ascii="Verdana" w:eastAsia="Verdana" w:hAnsi="Verdana" w:cs="Verdana"/>
          <w:color w:val="000000"/>
          <w:sz w:val="23"/>
          <w:szCs w:val="23"/>
        </w:rPr>
        <w:t>System-wide assessment activities (not individual learner assessment):</w:t>
      </w:r>
    </w:p>
    <w:p w14:paraId="7178FD18" w14:textId="77777777" w:rsidR="00F8503D" w:rsidRDefault="0033067D">
      <w:pPr>
        <w:numPr>
          <w:ilvl w:val="1"/>
          <w:numId w:val="37"/>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Providing ABS services in alignment with local workforce plans, including promoting co- enrollment in programs and activities under Title I, as appropriate; and;</w:t>
      </w:r>
    </w:p>
    <w:p w14:paraId="49928212" w14:textId="77777777" w:rsidR="00F8503D" w:rsidRDefault="0033067D">
      <w:pPr>
        <w:numPr>
          <w:ilvl w:val="1"/>
          <w:numId w:val="37"/>
        </w:numPr>
        <w:pBdr>
          <w:top w:val="nil"/>
          <w:left w:val="nil"/>
          <w:bottom w:val="nil"/>
          <w:right w:val="nil"/>
          <w:between w:val="nil"/>
        </w:pBdr>
        <w:spacing w:after="160" w:line="276" w:lineRule="auto"/>
      </w:pPr>
      <w:r>
        <w:rPr>
          <w:rFonts w:ascii="Verdana" w:eastAsia="Verdana" w:hAnsi="Verdana" w:cs="Verdana"/>
          <w:color w:val="000000"/>
          <w:sz w:val="23"/>
          <w:szCs w:val="23"/>
        </w:rPr>
        <w:t>Carrying out the one-stop partner responsibilities described in 34 CFR 678.420, including contributing to the infrastructure costs of the one-stop delivery system.</w:t>
      </w:r>
    </w:p>
    <w:p w14:paraId="1494CC3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If expenses are for administrative activities, as defined above, they must be budgeted as administration even if the expenses are for personnel coded to the instructional budget.</w:t>
      </w:r>
    </w:p>
    <w:p w14:paraId="2B6B7ED3" w14:textId="77777777" w:rsidR="00F8503D" w:rsidRDefault="0033067D">
      <w:pPr>
        <w:keepNext/>
        <w:numPr>
          <w:ilvl w:val="2"/>
          <w:numId w:val="24"/>
        </w:numPr>
        <w:pBdr>
          <w:top w:val="nil"/>
          <w:left w:val="nil"/>
          <w:bottom w:val="nil"/>
          <w:right w:val="nil"/>
          <w:between w:val="nil"/>
        </w:pBdr>
        <w:spacing w:before="240" w:after="40" w:line="276" w:lineRule="auto"/>
        <w:rPr>
          <w:rFonts w:ascii="Arial" w:eastAsia="Arial" w:hAnsi="Arial" w:cs="Arial"/>
          <w:smallCaps/>
          <w:color w:val="6A976C"/>
          <w:sz w:val="28"/>
          <w:szCs w:val="28"/>
        </w:rPr>
      </w:pPr>
      <w:bookmarkStart w:id="73" w:name="_9kc3edp6kas"/>
      <w:bookmarkEnd w:id="73"/>
      <w:r w:rsidRPr="7B188CE2">
        <w:rPr>
          <w:rFonts w:ascii="Arial" w:eastAsia="Arial" w:hAnsi="Arial" w:cs="Arial"/>
          <w:smallCaps/>
          <w:color w:val="6A976C"/>
          <w:sz w:val="28"/>
          <w:szCs w:val="28"/>
        </w:rPr>
        <w:t>Cost Categories</w:t>
      </w:r>
    </w:p>
    <w:p w14:paraId="55ED2F81"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07445350"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Based on the budget activities above, programs must determine how much of each activity’s expenses will be budgeted in each cost category (also known as a “budget category”). The following provides an overview of each cost category.</w:t>
      </w:r>
    </w:p>
    <w:p w14:paraId="633CE9AB"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Salaries, Wages, and Benefits</w:t>
      </w:r>
    </w:p>
    <w:p w14:paraId="32DD3B8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Salaries, wages, and benefits associated with grant activities.</w:t>
      </w:r>
    </w:p>
    <w:p w14:paraId="6C40C3C3"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Books and Supplies</w:t>
      </w:r>
    </w:p>
    <w:p w14:paraId="0BA3125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Books and supplies to be used by personnel budgeted to the instructional category and other necessary goods and services needed for instruction.</w:t>
      </w:r>
    </w:p>
    <w:p w14:paraId="0A0463D0"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Goods and Services</w:t>
      </w:r>
    </w:p>
    <w:p w14:paraId="6575D6DC"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Goods and services to be used by personnel budgeted to the instructional category and other necessary goods and services needed for instruction. Typical items would include supplies and materials, assessment materials, printing, </w:t>
      </w:r>
      <w:r>
        <w:rPr>
          <w:rFonts w:ascii="Verdana" w:eastAsia="Verdana" w:hAnsi="Verdana" w:cs="Verdana"/>
          <w:color w:val="000000"/>
          <w:sz w:val="23"/>
          <w:szCs w:val="23"/>
        </w:rPr>
        <w:lastRenderedPageBreak/>
        <w:t>telephone, copying and fax, equipment (less than $5,000 per unit cost), utilities, rentals and leases of copy machines, and interagency agreements (contracts between two or more public entities).</w:t>
      </w:r>
    </w:p>
    <w:p w14:paraId="74C0ADE1"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Instructional</w:t>
      </w:r>
    </w:p>
    <w:p w14:paraId="1EDB8986"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Classroom supplies, paper, printing</w:t>
      </w:r>
    </w:p>
    <w:p w14:paraId="6737AC0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Administration</w:t>
      </w:r>
    </w:p>
    <w:p w14:paraId="5DCF53E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Office supplies, postage</w:t>
      </w:r>
    </w:p>
    <w:p w14:paraId="75D3543B"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cost of any items purchased that will not be used exclusively for Title II activities must be split among all the activities’ funding sources.</w:t>
      </w:r>
    </w:p>
    <w:p w14:paraId="475350EC"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Travel</w:t>
      </w:r>
    </w:p>
    <w:p w14:paraId="6254406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Travel costs include expenditures related to allowable grant activities such as transportation, meals, hotel, and other expenses associated with traveling. Reimbursement for travel costs must be within State of Oregon travel rates and regulations which can be found in the </w:t>
      </w:r>
      <w:r>
        <w:rPr>
          <w:rFonts w:ascii="Verdana" w:eastAsia="Verdana" w:hAnsi="Verdana" w:cs="Verdana"/>
          <w:i/>
          <w:iCs/>
          <w:color w:val="000000"/>
          <w:sz w:val="23"/>
          <w:szCs w:val="23"/>
        </w:rPr>
        <w:t>Oregon Accounting Manual’s Statewide Travel Policy</w:t>
      </w:r>
      <w:r>
        <w:rPr>
          <w:rFonts w:ascii="Verdana" w:eastAsia="Verdana" w:hAnsi="Verdana" w:cs="Verdana"/>
          <w:color w:val="000000"/>
          <w:sz w:val="23"/>
          <w:szCs w:val="23"/>
        </w:rPr>
        <w:t>.</w:t>
      </w:r>
    </w:p>
    <w:p w14:paraId="5536B07D" w14:textId="77777777" w:rsidR="00F8503D" w:rsidRDefault="0033067D">
      <w:pPr>
        <w:numPr>
          <w:ilvl w:val="0"/>
          <w:numId w:val="38"/>
        </w:numPr>
        <w:pBdr>
          <w:top w:val="nil"/>
          <w:left w:val="nil"/>
          <w:bottom w:val="nil"/>
          <w:right w:val="nil"/>
          <w:between w:val="nil"/>
        </w:pBdr>
        <w:spacing w:after="160" w:line="276" w:lineRule="auto"/>
      </w:pPr>
      <w:r>
        <w:rPr>
          <w:rFonts w:ascii="Verdana" w:eastAsia="Verdana" w:hAnsi="Verdana" w:cs="Verdana"/>
          <w:b/>
          <w:bCs/>
          <w:color w:val="000000"/>
          <w:sz w:val="23"/>
          <w:szCs w:val="23"/>
        </w:rPr>
        <w:t>Instructional Travel</w:t>
      </w:r>
      <w:r>
        <w:rPr>
          <w:rFonts w:ascii="Verdana" w:eastAsia="Verdana" w:hAnsi="Verdana" w:cs="Verdana"/>
          <w:color w:val="000000"/>
          <w:sz w:val="23"/>
          <w:szCs w:val="23"/>
        </w:rPr>
        <w:t>: Instructional staff travel to off-campus class locations</w:t>
      </w:r>
    </w:p>
    <w:p w14:paraId="2E1D90CA" w14:textId="77777777" w:rsidR="00F8503D" w:rsidRDefault="0033067D">
      <w:pPr>
        <w:numPr>
          <w:ilvl w:val="0"/>
          <w:numId w:val="38"/>
        </w:numPr>
        <w:pBdr>
          <w:top w:val="nil"/>
          <w:left w:val="nil"/>
          <w:bottom w:val="nil"/>
          <w:right w:val="nil"/>
          <w:between w:val="nil"/>
        </w:pBdr>
        <w:spacing w:after="160" w:line="276" w:lineRule="auto"/>
      </w:pPr>
      <w:r>
        <w:rPr>
          <w:rFonts w:ascii="Verdana" w:eastAsia="Verdana" w:hAnsi="Verdana" w:cs="Verdana"/>
          <w:b/>
          <w:bCs/>
          <w:color w:val="000000"/>
          <w:sz w:val="23"/>
          <w:szCs w:val="23"/>
        </w:rPr>
        <w:t>Administrative Travel</w:t>
      </w:r>
      <w:r>
        <w:rPr>
          <w:rFonts w:ascii="Verdana" w:eastAsia="Verdana" w:hAnsi="Verdana" w:cs="Verdana"/>
          <w:color w:val="000000"/>
          <w:sz w:val="23"/>
          <w:szCs w:val="23"/>
        </w:rPr>
        <w:t>: Instructional staff travel to meetings or professional development trainings</w:t>
      </w:r>
    </w:p>
    <w:p w14:paraId="3F48660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Equipment (Capital Outlays) and Building Rental/Utilization</w:t>
      </w:r>
    </w:p>
    <w:p w14:paraId="577E1F4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Capital outlays are those items with a useful life in excess of one year and a per-unit cost of $10,000 or more. (This is the federal definition of “equipment.”) All capital outlays purchased with funds from this grant must be approved by HECC prior to purchase. If specific capital outlays are not included on the original grant budget, programs must submit a Budget Amendment Request for approval prior to purchase.</w:t>
      </w:r>
    </w:p>
    <w:p w14:paraId="1C831514"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Building rental or utilization of space costs in support of Title II instructional activities must be calculated at or below fair market value (FMV). Programs must verify that costs are at or below FMV in the budget narrative.</w:t>
      </w:r>
    </w:p>
    <w:p w14:paraId="6BCC66C5"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Indirect Costs and Restricted Indirect Cost Rate</w:t>
      </w:r>
    </w:p>
    <w:p w14:paraId="1B8F90D9"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Indirect costs are expenses that can be attributed to the running of an organization and the activities it performs, but are not readily identified with a particular grant, contract, project function, or activity. Examples of indirect costs include light, maintenance, library, heating, accounting, and other administration expenses that cannot be clearly allocated to an individual </w:t>
      </w:r>
      <w:r w:rsidRPr="7B188CE2">
        <w:rPr>
          <w:rFonts w:ascii="Verdana" w:eastAsia="Verdana" w:hAnsi="Verdana" w:cs="Verdana"/>
          <w:color w:val="000000" w:themeColor="text1"/>
          <w:sz w:val="23"/>
          <w:szCs w:val="23"/>
          <w:lang w:val="en-US"/>
        </w:rPr>
        <w:lastRenderedPageBreak/>
        <w:t>program. Therefore, indirect cost rates are used to proportionately distribute those costs to each benefiting program and activity.</w:t>
      </w:r>
    </w:p>
    <w:p w14:paraId="6DB4A34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“Restricted Indirect Cost Rate” is required for federal grant programs, such as Title II, with a statutory requirement prohibiting the use of federal funds to supplant non-federal funds (34 CFR 76.563). Federal regulations 34 CFR 76.564 through 76.569 apply to these programs.</w:t>
      </w:r>
    </w:p>
    <w:p w14:paraId="45E8E1D0" w14:textId="6DA1F9DF" w:rsidR="00F8503D" w:rsidRDefault="0033067D" w:rsidP="0E6AD713">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0E6AD713">
        <w:rPr>
          <w:rFonts w:ascii="Verdana" w:eastAsia="Verdana" w:hAnsi="Verdana" w:cs="Verdana"/>
          <w:color w:val="000000" w:themeColor="text1"/>
          <w:sz w:val="23"/>
          <w:szCs w:val="23"/>
          <w:lang w:val="en-US"/>
        </w:rPr>
        <w:t xml:space="preserve">If a local provider wants to include indirect costs and they have a negotiated restricted indirect costs rate agreement, they can use the restricted rate. Or the provider can use 8% if the provisional or final rate is over 8%. The rate is applied as instructed in the agreement.  If they have no negotiated restricted indirect cost rate agreement, they can request up to 8%, calculated on modified total direct costs (MTDC).  However, the budgeted amount for administrative costs, which includes both the direct costs outlined in 34 CFR 463.26 and the indirect costs, cannot exceed 5% unless the local provider negotiates that cap with the State. </w:t>
      </w:r>
    </w:p>
    <w:p w14:paraId="122BCEB1" w14:textId="77777777" w:rsidR="00F8503D" w:rsidRDefault="0033067D">
      <w:pPr>
        <w:pBdr>
          <w:top w:val="nil"/>
          <w:left w:val="nil"/>
          <w:bottom w:val="nil"/>
          <w:right w:val="nil"/>
          <w:between w:val="nil"/>
        </w:pBdr>
        <w:spacing w:after="160" w:line="276" w:lineRule="auto"/>
        <w:ind w:left="360"/>
        <w:rPr>
          <w:rFonts w:ascii="Verdana" w:eastAsia="Verdana" w:hAnsi="Verdana" w:cs="Verdana"/>
          <w:b/>
          <w:bCs/>
          <w:color w:val="000000"/>
          <w:sz w:val="23"/>
          <w:szCs w:val="23"/>
        </w:rPr>
      </w:pPr>
      <w:r>
        <w:rPr>
          <w:rFonts w:ascii="Verdana" w:eastAsia="Verdana" w:hAnsi="Verdana" w:cs="Verdana"/>
          <w:b/>
          <w:bCs/>
          <w:color w:val="000000"/>
          <w:sz w:val="23"/>
          <w:szCs w:val="23"/>
        </w:rPr>
        <w:t>Example 1: Local Provider with Negotiated Restricted Indirect Cost Rate Agreement</w:t>
      </w:r>
    </w:p>
    <w:p w14:paraId="35A525E2" w14:textId="77777777" w:rsidR="00F8503D" w:rsidRDefault="0033067D">
      <w:pPr>
        <w:pBdr>
          <w:top w:val="nil"/>
          <w:left w:val="nil"/>
          <w:bottom w:val="nil"/>
          <w:right w:val="nil"/>
          <w:between w:val="nil"/>
        </w:pBdr>
        <w:spacing w:after="160" w:line="276" w:lineRule="auto"/>
        <w:ind w:left="1080"/>
        <w:rPr>
          <w:rFonts w:ascii="Verdana" w:eastAsia="Verdana" w:hAnsi="Verdana" w:cs="Verdana"/>
          <w:color w:val="000000"/>
          <w:sz w:val="23"/>
          <w:szCs w:val="23"/>
        </w:rPr>
      </w:pPr>
      <w:r>
        <w:rPr>
          <w:rFonts w:ascii="Verdana" w:eastAsia="Verdana" w:hAnsi="Verdana" w:cs="Verdana"/>
          <w:b/>
          <w:bCs/>
          <w:color w:val="000000"/>
          <w:sz w:val="23"/>
          <w:szCs w:val="23"/>
        </w:rPr>
        <w:t>Scenario</w:t>
      </w:r>
      <w:r>
        <w:rPr>
          <w:rFonts w:ascii="Verdana" w:eastAsia="Verdana" w:hAnsi="Verdana" w:cs="Verdana"/>
          <w:color w:val="000000"/>
          <w:sz w:val="23"/>
          <w:szCs w:val="23"/>
        </w:rPr>
        <w:t>: A local community college (Local Provider A) has a negotiated restricted indirect cost rate agreement of 10%.</w:t>
      </w:r>
    </w:p>
    <w:p w14:paraId="1BAB10D1" w14:textId="77777777" w:rsidR="00F8503D" w:rsidRDefault="0033067D">
      <w:pPr>
        <w:pBdr>
          <w:top w:val="nil"/>
          <w:left w:val="nil"/>
          <w:bottom w:val="nil"/>
          <w:right w:val="nil"/>
          <w:between w:val="nil"/>
        </w:pBdr>
        <w:spacing w:after="160" w:line="276" w:lineRule="auto"/>
        <w:ind w:left="1080"/>
        <w:rPr>
          <w:rFonts w:ascii="Verdana" w:eastAsia="Verdana" w:hAnsi="Verdana" w:cs="Verdana"/>
          <w:color w:val="000000"/>
          <w:sz w:val="23"/>
          <w:szCs w:val="23"/>
        </w:rPr>
      </w:pPr>
      <w:r>
        <w:rPr>
          <w:rFonts w:ascii="Verdana" w:eastAsia="Verdana" w:hAnsi="Verdana" w:cs="Verdana"/>
          <w:b/>
          <w:bCs/>
          <w:color w:val="000000"/>
          <w:sz w:val="23"/>
          <w:szCs w:val="23"/>
        </w:rPr>
        <w:t>Application</w:t>
      </w:r>
      <w:r>
        <w:rPr>
          <w:rFonts w:ascii="Verdana" w:eastAsia="Verdana" w:hAnsi="Verdana" w:cs="Verdana"/>
          <w:color w:val="000000"/>
          <w:sz w:val="23"/>
          <w:szCs w:val="23"/>
        </w:rPr>
        <w:t>: Since the negotiated restricted indirect cost rate is 10%, Local Provider A can use 10%.</w:t>
      </w:r>
    </w:p>
    <w:p w14:paraId="0CB0E0DE" w14:textId="77777777" w:rsidR="00F8503D" w:rsidRDefault="0033067D" w:rsidP="7B188CE2">
      <w:pPr>
        <w:pBdr>
          <w:top w:val="nil"/>
          <w:left w:val="nil"/>
          <w:bottom w:val="nil"/>
          <w:right w:val="nil"/>
          <w:between w:val="nil"/>
        </w:pBdr>
        <w:spacing w:after="160" w:line="276" w:lineRule="auto"/>
        <w:ind w:left="1080"/>
        <w:rPr>
          <w:rFonts w:ascii="Verdana" w:eastAsia="Verdana" w:hAnsi="Verdana" w:cs="Verdana"/>
          <w:color w:val="000000"/>
          <w:sz w:val="23"/>
          <w:szCs w:val="23"/>
          <w:lang w:val="en-US"/>
        </w:rPr>
      </w:pPr>
      <w:r w:rsidRPr="7B188CE2">
        <w:rPr>
          <w:rFonts w:ascii="Verdana" w:eastAsia="Verdana" w:hAnsi="Verdana" w:cs="Verdana"/>
          <w:b/>
          <w:bCs/>
          <w:color w:val="000000" w:themeColor="text1"/>
          <w:sz w:val="23"/>
          <w:szCs w:val="23"/>
          <w:lang w:val="en-US"/>
        </w:rPr>
        <w:t>Calculation</w:t>
      </w:r>
      <w:r w:rsidRPr="7B188CE2">
        <w:rPr>
          <w:rFonts w:ascii="Verdana" w:eastAsia="Verdana" w:hAnsi="Verdana" w:cs="Verdana"/>
          <w:color w:val="000000" w:themeColor="text1"/>
          <w:sz w:val="23"/>
          <w:szCs w:val="23"/>
          <w:lang w:val="en-US"/>
        </w:rPr>
        <w:t>: If Local Provider A has modified total direct costs of $100,000, the indirect cost applied will be 10% of $100,000, which equals $10,000.</w:t>
      </w:r>
    </w:p>
    <w:p w14:paraId="78AF6E4D" w14:textId="77777777" w:rsidR="00F8503D" w:rsidRDefault="0033067D">
      <w:pPr>
        <w:pBdr>
          <w:top w:val="nil"/>
          <w:left w:val="nil"/>
          <w:bottom w:val="nil"/>
          <w:right w:val="nil"/>
          <w:between w:val="nil"/>
        </w:pBdr>
        <w:spacing w:after="160" w:line="276" w:lineRule="auto"/>
        <w:ind w:left="360"/>
        <w:rPr>
          <w:rFonts w:ascii="Verdana" w:eastAsia="Verdana" w:hAnsi="Verdana" w:cs="Verdana"/>
          <w:b/>
          <w:bCs/>
          <w:color w:val="000000"/>
          <w:sz w:val="23"/>
          <w:szCs w:val="23"/>
        </w:rPr>
      </w:pPr>
      <w:r>
        <w:rPr>
          <w:rFonts w:ascii="Verdana" w:eastAsia="Verdana" w:hAnsi="Verdana" w:cs="Verdana"/>
          <w:b/>
          <w:bCs/>
          <w:color w:val="000000"/>
          <w:sz w:val="23"/>
          <w:szCs w:val="23"/>
        </w:rPr>
        <w:t>Example 2: Local Provider without a Negotiated Rate</w:t>
      </w:r>
    </w:p>
    <w:p w14:paraId="7D276F03" w14:textId="79FBC550" w:rsidR="00F8503D" w:rsidRDefault="0033067D" w:rsidP="0E6AD713">
      <w:pPr>
        <w:pBdr>
          <w:top w:val="nil"/>
          <w:left w:val="nil"/>
          <w:bottom w:val="nil"/>
          <w:right w:val="nil"/>
          <w:between w:val="nil"/>
        </w:pBdr>
        <w:spacing w:after="160" w:line="276" w:lineRule="auto"/>
        <w:ind w:left="1080"/>
        <w:rPr>
          <w:rFonts w:ascii="Verdana" w:eastAsia="Verdana" w:hAnsi="Verdana" w:cs="Verdana"/>
          <w:color w:val="000000"/>
          <w:sz w:val="23"/>
          <w:szCs w:val="23"/>
          <w:lang w:val="en-US"/>
        </w:rPr>
      </w:pPr>
      <w:r w:rsidRPr="0E6AD713">
        <w:rPr>
          <w:rFonts w:ascii="Verdana" w:eastAsia="Verdana" w:hAnsi="Verdana" w:cs="Verdana"/>
          <w:b/>
          <w:bCs/>
          <w:color w:val="000000" w:themeColor="text1"/>
          <w:sz w:val="23"/>
          <w:szCs w:val="23"/>
          <w:lang w:val="en-US"/>
        </w:rPr>
        <w:t>Scenario</w:t>
      </w:r>
      <w:r w:rsidRPr="0E6AD713">
        <w:rPr>
          <w:rFonts w:ascii="Verdana" w:eastAsia="Verdana" w:hAnsi="Verdana" w:cs="Verdana"/>
          <w:color w:val="000000" w:themeColor="text1"/>
          <w:sz w:val="23"/>
          <w:szCs w:val="23"/>
          <w:lang w:val="en-US"/>
        </w:rPr>
        <w:t>: Another community college (Local Provider B) does not have a negotiated restricted indirect cost rate.</w:t>
      </w:r>
    </w:p>
    <w:p w14:paraId="6CDACDC8" w14:textId="77777777" w:rsidR="00F8503D" w:rsidRDefault="0033067D">
      <w:pPr>
        <w:pBdr>
          <w:top w:val="nil"/>
          <w:left w:val="nil"/>
          <w:bottom w:val="nil"/>
          <w:right w:val="nil"/>
          <w:between w:val="nil"/>
        </w:pBdr>
        <w:spacing w:after="160" w:line="276" w:lineRule="auto"/>
        <w:ind w:left="1080"/>
        <w:rPr>
          <w:rFonts w:ascii="Verdana" w:eastAsia="Verdana" w:hAnsi="Verdana" w:cs="Verdana"/>
          <w:color w:val="000000"/>
          <w:sz w:val="23"/>
          <w:szCs w:val="23"/>
        </w:rPr>
      </w:pPr>
      <w:r>
        <w:rPr>
          <w:rFonts w:ascii="Verdana" w:eastAsia="Verdana" w:hAnsi="Verdana" w:cs="Verdana"/>
          <w:b/>
          <w:bCs/>
          <w:color w:val="000000"/>
          <w:sz w:val="23"/>
          <w:szCs w:val="23"/>
        </w:rPr>
        <w:t>Application</w:t>
      </w:r>
      <w:r>
        <w:rPr>
          <w:rFonts w:ascii="Verdana" w:eastAsia="Verdana" w:hAnsi="Verdana" w:cs="Verdana"/>
          <w:color w:val="000000"/>
          <w:sz w:val="23"/>
          <w:szCs w:val="23"/>
        </w:rPr>
        <w:t>: Local Provider B can request an indirect cost rate up to 8%, calculated based on the Modified Total Direct Costs (MTDC).</w:t>
      </w:r>
    </w:p>
    <w:p w14:paraId="21157010" w14:textId="77777777" w:rsidR="00F8503D" w:rsidRDefault="0033067D">
      <w:pPr>
        <w:pBdr>
          <w:top w:val="nil"/>
          <w:left w:val="nil"/>
          <w:bottom w:val="nil"/>
          <w:right w:val="nil"/>
          <w:between w:val="nil"/>
        </w:pBdr>
        <w:spacing w:after="160" w:line="276" w:lineRule="auto"/>
        <w:ind w:left="1080"/>
        <w:rPr>
          <w:rFonts w:ascii="Verdana" w:eastAsia="Verdana" w:hAnsi="Verdana" w:cs="Verdana"/>
          <w:color w:val="000000"/>
          <w:sz w:val="23"/>
          <w:szCs w:val="23"/>
        </w:rPr>
      </w:pPr>
      <w:r>
        <w:rPr>
          <w:rFonts w:ascii="Verdana" w:eastAsia="Verdana" w:hAnsi="Verdana" w:cs="Verdana"/>
          <w:b/>
          <w:bCs/>
          <w:color w:val="000000"/>
          <w:sz w:val="23"/>
          <w:szCs w:val="23"/>
        </w:rPr>
        <w:t>Calculation</w:t>
      </w:r>
      <w:r>
        <w:rPr>
          <w:rFonts w:ascii="Verdana" w:eastAsia="Verdana" w:hAnsi="Verdana" w:cs="Verdana"/>
          <w:color w:val="000000"/>
          <w:sz w:val="23"/>
          <w:szCs w:val="23"/>
        </w:rPr>
        <w:t>: If the MTDC for Local Provider B is $150,000, the allowable indirect cost at 8% would be $12,000.</w:t>
      </w:r>
    </w:p>
    <w:p w14:paraId="4E78D9C6" w14:textId="77777777" w:rsidR="00F8503D" w:rsidRDefault="0033067D">
      <w:pPr>
        <w:keepNext/>
        <w:numPr>
          <w:ilvl w:val="2"/>
          <w:numId w:val="24"/>
        </w:numPr>
        <w:pBdr>
          <w:top w:val="nil"/>
          <w:left w:val="nil"/>
          <w:bottom w:val="nil"/>
          <w:right w:val="nil"/>
          <w:between w:val="nil"/>
        </w:pBdr>
        <w:spacing w:before="240" w:after="40" w:line="276" w:lineRule="auto"/>
      </w:pPr>
      <w:bookmarkStart w:id="74" w:name="_k29vhhtza5rm" w:colFirst="0" w:colLast="0"/>
      <w:bookmarkEnd w:id="74"/>
      <w:r>
        <w:rPr>
          <w:rFonts w:ascii="Arial" w:eastAsia="Arial" w:hAnsi="Arial" w:cs="Arial"/>
          <w:smallCaps/>
          <w:color w:val="6A976C"/>
          <w:sz w:val="28"/>
          <w:szCs w:val="28"/>
        </w:rPr>
        <w:lastRenderedPageBreak/>
        <w:t>Administrative Cap and Set-Asides</w:t>
      </w:r>
    </w:p>
    <w:p w14:paraId="0D47511B"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03FF39ED" w14:textId="466DFACF"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Federal regulation (34 CFR 463.25) requires that not more than five (5) percent of a local grant award can be expended for administrative activities.  In cases where five (5) percent is too restrictive to allow for administrative activities, HECC, as the eligible agency may increase the amount that can be spent on administration. In such cases, the program must negotiate with HECC to determine an adequate level of funds to be used for non-instructional purposes.</w:t>
      </w:r>
    </w:p>
    <w:p w14:paraId="715DE6A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3A667F4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Programs may petition HECC and negotiate a waiver to increase the amount that can be spent on administration to carry out any of the necessary and reasonable tasks associated with Accountability (i.e., implementing, maintaining, operating and/or reporting learner demographic and performance data); Program Improvement (i.e., professional development); and one-stop partner cost sharing responsibilities.</w:t>
      </w:r>
    </w:p>
    <w:p w14:paraId="092E260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Requests for an increase in the administrative cap must:</w:t>
      </w:r>
    </w:p>
    <w:p w14:paraId="4A74D253" w14:textId="77777777" w:rsidR="00F8503D" w:rsidRDefault="0033067D">
      <w:pPr>
        <w:numPr>
          <w:ilvl w:val="0"/>
          <w:numId w:val="39"/>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Be submitted with the program’s annual proposed budget as an Accountability Set-Aside and/or Program Improvement Set-Aside (includes professional development), or one-stop partner cost sharing. If applying for multiple grants, the Set-Asides may only be requested for one grant (e.g., Comprehensive Grant, Corrections Grant, or IELCE Grant); and</w:t>
      </w:r>
    </w:p>
    <w:p w14:paraId="7EB58B72" w14:textId="77777777" w:rsidR="00F8503D" w:rsidRDefault="0033067D">
      <w:pPr>
        <w:numPr>
          <w:ilvl w:val="0"/>
          <w:numId w:val="39"/>
        </w:numPr>
        <w:pBdr>
          <w:top w:val="nil"/>
          <w:left w:val="nil"/>
          <w:bottom w:val="nil"/>
          <w:right w:val="nil"/>
          <w:between w:val="nil"/>
        </w:pBdr>
        <w:spacing w:after="160" w:line="276" w:lineRule="auto"/>
      </w:pPr>
      <w:r>
        <w:rPr>
          <w:rFonts w:ascii="Verdana" w:eastAsia="Verdana" w:hAnsi="Verdana" w:cs="Verdana"/>
          <w:color w:val="000000"/>
          <w:sz w:val="23"/>
          <w:szCs w:val="23"/>
        </w:rPr>
        <w:t>Describe the unique and specific activities for the proposed increase.</w:t>
      </w:r>
    </w:p>
    <w:p w14:paraId="15B397B1" w14:textId="77777777" w:rsidR="00F8503D" w:rsidRDefault="0033067D">
      <w:pPr>
        <w:keepNext/>
        <w:numPr>
          <w:ilvl w:val="2"/>
          <w:numId w:val="24"/>
        </w:numPr>
        <w:pBdr>
          <w:top w:val="nil"/>
          <w:left w:val="nil"/>
          <w:bottom w:val="nil"/>
          <w:right w:val="nil"/>
          <w:between w:val="nil"/>
        </w:pBdr>
        <w:spacing w:before="240" w:after="40" w:line="276" w:lineRule="auto"/>
      </w:pPr>
      <w:bookmarkStart w:id="75" w:name="_rajdntfx61xl" w:colFirst="0" w:colLast="0"/>
      <w:bookmarkEnd w:id="75"/>
      <w:r>
        <w:rPr>
          <w:rFonts w:ascii="Arial" w:eastAsia="Arial" w:hAnsi="Arial" w:cs="Arial"/>
          <w:smallCaps/>
          <w:color w:val="6A976C"/>
          <w:sz w:val="28"/>
          <w:szCs w:val="28"/>
        </w:rPr>
        <w:t>Budget Amendments</w:t>
      </w:r>
    </w:p>
    <w:p w14:paraId="25CF1DC5"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Background</w:t>
      </w:r>
    </w:p>
    <w:p w14:paraId="15B5D873"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submit an annual budget to HECC for each year of the Title II grant award. During the course of a year, a budget amendment may be required.</w:t>
      </w:r>
    </w:p>
    <w:p w14:paraId="7C3D6AFF"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5B3EB3D1" w14:textId="4A256078"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HECC approval of a revised budget is required if there is more than a ten (10) percent variation in expenditure levels for any individual budget cost category. To request changes to the grant budget, programs must submit a Budget Amendment Request and have the request approved by HECC before funds can </w:t>
      </w:r>
      <w:r w:rsidRPr="7B188CE2">
        <w:rPr>
          <w:rFonts w:ascii="Verdana" w:eastAsia="Verdana" w:hAnsi="Verdana" w:cs="Verdana"/>
          <w:color w:val="000000" w:themeColor="text1"/>
          <w:sz w:val="23"/>
          <w:szCs w:val="23"/>
          <w:lang w:val="en-US"/>
        </w:rPr>
        <w:lastRenderedPageBreak/>
        <w:t>be expended for new projects or activities. Such requests may require an amendment to the contract</w:t>
      </w:r>
    </w:p>
    <w:p w14:paraId="0F854A72" w14:textId="77777777" w:rsidR="00F8503D" w:rsidRDefault="0033067D">
      <w:pPr>
        <w:keepNext/>
        <w:numPr>
          <w:ilvl w:val="2"/>
          <w:numId w:val="24"/>
        </w:numPr>
        <w:pBdr>
          <w:top w:val="nil"/>
          <w:left w:val="nil"/>
          <w:bottom w:val="nil"/>
          <w:right w:val="nil"/>
          <w:between w:val="nil"/>
        </w:pBdr>
        <w:spacing w:before="240" w:after="40" w:line="276" w:lineRule="auto"/>
      </w:pPr>
      <w:bookmarkStart w:id="76" w:name="_ty5d4as9zqex" w:colFirst="0" w:colLast="0"/>
      <w:bookmarkEnd w:id="76"/>
      <w:r>
        <w:rPr>
          <w:rFonts w:ascii="Arial" w:eastAsia="Arial" w:hAnsi="Arial" w:cs="Arial"/>
          <w:smallCaps/>
          <w:color w:val="6A976C"/>
          <w:sz w:val="28"/>
          <w:szCs w:val="28"/>
        </w:rPr>
        <w:t>Accounting and Invoicing</w:t>
      </w:r>
    </w:p>
    <w:p w14:paraId="0785B203"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Policies</w:t>
      </w:r>
    </w:p>
    <w:p w14:paraId="2F0AD237" w14:textId="77777777" w:rsidR="00F8503D" w:rsidRDefault="0033067D">
      <w:pPr>
        <w:numPr>
          <w:ilvl w:val="0"/>
          <w:numId w:val="40"/>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use generally accepted accounting principles.</w:t>
      </w:r>
    </w:p>
    <w:p w14:paraId="4D2F5981" w14:textId="77777777" w:rsidR="00F8503D" w:rsidRDefault="0033067D">
      <w:pPr>
        <w:numPr>
          <w:ilvl w:val="0"/>
          <w:numId w:val="40"/>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Federal and non-federal funds must be maintained in separate accounts in order to maintain separate identities for reporting and auditing purposes. Programs must not commingle these separate sources of funding.</w:t>
      </w:r>
    </w:p>
    <w:p w14:paraId="2C897551" w14:textId="77777777" w:rsidR="00F8503D" w:rsidRDefault="0033067D">
      <w:pPr>
        <w:numPr>
          <w:ilvl w:val="0"/>
          <w:numId w:val="40"/>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Programs must maintain books, records, documents, and other evidence pertaining to the costs and expenses of implementing the Title II grant to the extent and in such detail as will accurately reflect all gross costs, direct and indirect, of labor materials, equipment, supplies, services, and other expenses. These records and financial statements are subject to inspection, review, reproduction, and/or audit by HECC.</w:t>
      </w:r>
    </w:p>
    <w:p w14:paraId="30667AE5" w14:textId="77777777" w:rsidR="00F8503D" w:rsidRDefault="0033067D">
      <w:pPr>
        <w:numPr>
          <w:ilvl w:val="0"/>
          <w:numId w:val="40"/>
        </w:numPr>
        <w:pBdr>
          <w:top w:val="nil"/>
          <w:left w:val="nil"/>
          <w:bottom w:val="nil"/>
          <w:right w:val="nil"/>
          <w:between w:val="nil"/>
        </w:pBdr>
        <w:spacing w:after="160" w:line="276" w:lineRule="auto"/>
        <w:ind w:left="360"/>
      </w:pPr>
      <w:r>
        <w:rPr>
          <w:rFonts w:ascii="Verdana" w:eastAsia="Verdana" w:hAnsi="Verdana" w:cs="Verdana"/>
          <w:color w:val="000000"/>
          <w:sz w:val="23"/>
          <w:szCs w:val="23"/>
        </w:rPr>
        <w:t>Funds for the Title II grant can only be claimed on a reimbursement basis. No payments in advance of or in anticipation of goods or services provided under this grant can be requested or paid. Programs must report all charges for the current period.</w:t>
      </w:r>
    </w:p>
    <w:p w14:paraId="66856E31" w14:textId="77777777" w:rsidR="00F8503D" w:rsidRDefault="0033067D">
      <w:pPr>
        <w:numPr>
          <w:ilvl w:val="0"/>
          <w:numId w:val="40"/>
        </w:numPr>
        <w:pBdr>
          <w:top w:val="nil"/>
          <w:left w:val="nil"/>
          <w:bottom w:val="nil"/>
          <w:right w:val="nil"/>
          <w:between w:val="nil"/>
        </w:pBdr>
        <w:spacing w:after="160" w:line="276" w:lineRule="auto"/>
        <w:ind w:left="360"/>
      </w:pPr>
      <w:r w:rsidRPr="7B188CE2">
        <w:rPr>
          <w:rFonts w:ascii="Verdana" w:eastAsia="Verdana" w:hAnsi="Verdana" w:cs="Verdana"/>
          <w:color w:val="000000" w:themeColor="text1"/>
          <w:sz w:val="23"/>
          <w:szCs w:val="23"/>
          <w:lang w:val="en-US"/>
        </w:rPr>
        <w:t>Grant reimbursements are contingent upon satisfactory completion and submission of all program requirements. Grant payments to providers will be delayed until all required submissions are up to date. If required submissions are persistently delinquent, HECC reserves the right to terminate the provider’s grant.</w:t>
      </w:r>
    </w:p>
    <w:p w14:paraId="27E14730" w14:textId="77777777" w:rsidR="00F8503D" w:rsidRDefault="0033067D">
      <w:pPr>
        <w:numPr>
          <w:ilvl w:val="0"/>
          <w:numId w:val="40"/>
        </w:numPr>
        <w:pBdr>
          <w:top w:val="nil"/>
          <w:left w:val="nil"/>
          <w:bottom w:val="nil"/>
          <w:right w:val="nil"/>
          <w:between w:val="nil"/>
        </w:pBdr>
        <w:spacing w:after="160" w:line="276" w:lineRule="auto"/>
        <w:ind w:left="360"/>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Programs must submit reimbursement requests quarterly using the HECC Reimbursement Request form and in accordance with the schedule shown below. Submit reimbursement requests to </w:t>
      </w:r>
      <w:hyperlink r:id="rId65" w:history="1">
        <w:r w:rsidRPr="7B188CE2">
          <w:rPr>
            <w:rFonts w:ascii="Verdana" w:eastAsia="Verdana" w:hAnsi="Verdana" w:cs="Verdana"/>
            <w:color w:val="0000FF"/>
            <w:sz w:val="23"/>
            <w:szCs w:val="23"/>
            <w:u w:val="single"/>
            <w:lang w:val="en-US"/>
          </w:rPr>
          <w:t>hecc.absteam@hecc.oregon.gov</w:t>
        </w:r>
      </w:hyperlink>
    </w:p>
    <w:p w14:paraId="0874B9CF"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108E49D" w14:textId="77777777" w:rsidR="00F8503D" w:rsidRDefault="00F8503D" w:rsidP="008F1F89">
      <w:pPr>
        <w:pBdr>
          <w:top w:val="nil"/>
          <w:left w:val="nil"/>
          <w:bottom w:val="nil"/>
          <w:right w:val="nil"/>
          <w:between w:val="nil"/>
        </w:pBdr>
        <w:spacing w:after="160" w:line="276" w:lineRule="auto"/>
      </w:pPr>
    </w:p>
    <w:tbl>
      <w:tblPr>
        <w:tblStyle w:val="ab"/>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F8503D" w14:paraId="478E2AE8" w14:textId="77777777" w:rsidTr="005B788B">
        <w:tc>
          <w:tcPr>
            <w:tcW w:w="4680" w:type="dxa"/>
          </w:tcPr>
          <w:p w14:paraId="4D37072B" w14:textId="77777777" w:rsidR="00F8503D" w:rsidRDefault="0033067D">
            <w:pPr>
              <w:rPr>
                <w:rFonts w:ascii="Verdana" w:eastAsia="Verdana" w:hAnsi="Verdana" w:cs="Verdana"/>
                <w:b/>
                <w:bCs/>
                <w:color w:val="000000"/>
                <w:sz w:val="20"/>
                <w:szCs w:val="20"/>
              </w:rPr>
            </w:pPr>
            <w:r>
              <w:rPr>
                <w:rFonts w:ascii="Verdana" w:eastAsia="Verdana" w:hAnsi="Verdana" w:cs="Verdana"/>
                <w:b/>
                <w:bCs/>
                <w:color w:val="000000"/>
                <w:sz w:val="20"/>
                <w:szCs w:val="20"/>
              </w:rPr>
              <w:t>Expenses Incurred</w:t>
            </w:r>
          </w:p>
        </w:tc>
        <w:tc>
          <w:tcPr>
            <w:tcW w:w="4680" w:type="dxa"/>
          </w:tcPr>
          <w:p w14:paraId="531AD5F0" w14:textId="77777777" w:rsidR="00F8503D" w:rsidRDefault="0033067D">
            <w:pPr>
              <w:ind w:right="22"/>
              <w:rPr>
                <w:rFonts w:ascii="Verdana" w:eastAsia="Verdana" w:hAnsi="Verdana" w:cs="Verdana"/>
                <w:b/>
                <w:bCs/>
                <w:color w:val="000000"/>
                <w:sz w:val="20"/>
                <w:szCs w:val="20"/>
              </w:rPr>
            </w:pPr>
            <w:r>
              <w:rPr>
                <w:rFonts w:ascii="Verdana" w:eastAsia="Verdana" w:hAnsi="Verdana" w:cs="Verdana"/>
                <w:b/>
                <w:bCs/>
                <w:color w:val="000000"/>
                <w:sz w:val="20"/>
                <w:szCs w:val="20"/>
              </w:rPr>
              <w:t>Invoice no later than</w:t>
            </w:r>
          </w:p>
        </w:tc>
      </w:tr>
      <w:tr w:rsidR="00F8503D" w14:paraId="383C0B5C" w14:textId="77777777" w:rsidTr="005B788B">
        <w:tc>
          <w:tcPr>
            <w:tcW w:w="4680" w:type="dxa"/>
          </w:tcPr>
          <w:p w14:paraId="3410F480"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 xml:space="preserve">Q1: </w:t>
            </w:r>
          </w:p>
          <w:p w14:paraId="0980B3C3"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July 2026 – September 2026</w:t>
            </w:r>
          </w:p>
        </w:tc>
        <w:tc>
          <w:tcPr>
            <w:tcW w:w="4680" w:type="dxa"/>
          </w:tcPr>
          <w:p w14:paraId="297CEA7A"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October 31, 2026</w:t>
            </w:r>
          </w:p>
        </w:tc>
      </w:tr>
      <w:tr w:rsidR="00F8503D" w14:paraId="1BA99BC7" w14:textId="77777777" w:rsidTr="005B788B">
        <w:tc>
          <w:tcPr>
            <w:tcW w:w="4680" w:type="dxa"/>
          </w:tcPr>
          <w:p w14:paraId="728C955F"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Q2:</w:t>
            </w:r>
          </w:p>
          <w:p w14:paraId="164B4C42"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October 2026 – December 2026</w:t>
            </w:r>
          </w:p>
        </w:tc>
        <w:tc>
          <w:tcPr>
            <w:tcW w:w="4680" w:type="dxa"/>
          </w:tcPr>
          <w:p w14:paraId="61B9456F"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January 31, 2027</w:t>
            </w:r>
          </w:p>
        </w:tc>
      </w:tr>
      <w:tr w:rsidR="00F8503D" w14:paraId="245080F1" w14:textId="77777777" w:rsidTr="005B788B">
        <w:tc>
          <w:tcPr>
            <w:tcW w:w="4680" w:type="dxa"/>
          </w:tcPr>
          <w:p w14:paraId="54C9DCB6"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Q3:</w:t>
            </w:r>
          </w:p>
          <w:p w14:paraId="5F250D87" w14:textId="6FED4F44"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January 202</w:t>
            </w:r>
            <w:r w:rsidR="00A129BF">
              <w:rPr>
                <w:rFonts w:ascii="Verdana" w:eastAsia="Verdana" w:hAnsi="Verdana" w:cs="Verdana"/>
                <w:color w:val="000000"/>
                <w:sz w:val="20"/>
                <w:szCs w:val="20"/>
              </w:rPr>
              <w:t>7</w:t>
            </w:r>
            <w:r>
              <w:rPr>
                <w:rFonts w:ascii="Verdana" w:eastAsia="Verdana" w:hAnsi="Verdana" w:cs="Verdana"/>
                <w:color w:val="000000"/>
                <w:sz w:val="20"/>
                <w:szCs w:val="20"/>
              </w:rPr>
              <w:t xml:space="preserve"> – March 2027</w:t>
            </w:r>
          </w:p>
        </w:tc>
        <w:tc>
          <w:tcPr>
            <w:tcW w:w="4680" w:type="dxa"/>
          </w:tcPr>
          <w:p w14:paraId="2B84E4F6"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April 30, 2027</w:t>
            </w:r>
          </w:p>
        </w:tc>
      </w:tr>
      <w:tr w:rsidR="00F8503D" w14:paraId="6D596FDB" w14:textId="77777777" w:rsidTr="005B788B">
        <w:tc>
          <w:tcPr>
            <w:tcW w:w="4680" w:type="dxa"/>
          </w:tcPr>
          <w:p w14:paraId="3F6F73A5" w14:textId="22A7BA62"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Q4:</w:t>
            </w:r>
            <w:r>
              <w:rPr>
                <w:rFonts w:ascii="Verdana" w:eastAsia="Verdana" w:hAnsi="Verdana" w:cs="Verdana"/>
                <w:color w:val="000000"/>
                <w:sz w:val="20"/>
                <w:szCs w:val="20"/>
              </w:rPr>
              <w:br/>
              <w:t>April 202</w:t>
            </w:r>
            <w:r w:rsidR="00A129BF">
              <w:rPr>
                <w:rFonts w:ascii="Verdana" w:eastAsia="Verdana" w:hAnsi="Verdana" w:cs="Verdana"/>
                <w:color w:val="000000"/>
                <w:sz w:val="20"/>
                <w:szCs w:val="20"/>
              </w:rPr>
              <w:t>7</w:t>
            </w:r>
            <w:r>
              <w:rPr>
                <w:rFonts w:ascii="Verdana" w:eastAsia="Verdana" w:hAnsi="Verdana" w:cs="Verdana"/>
                <w:color w:val="000000"/>
                <w:sz w:val="20"/>
                <w:szCs w:val="20"/>
              </w:rPr>
              <w:t xml:space="preserve"> – June 2027</w:t>
            </w:r>
          </w:p>
        </w:tc>
        <w:tc>
          <w:tcPr>
            <w:tcW w:w="4680" w:type="dxa"/>
          </w:tcPr>
          <w:p w14:paraId="31B44F78"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August 15, 2027</w:t>
            </w:r>
          </w:p>
        </w:tc>
      </w:tr>
    </w:tbl>
    <w:p w14:paraId="1B25066B"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673F309" w14:textId="016F5E41" w:rsidR="00F8503D" w:rsidRDefault="00644085">
      <w:pPr>
        <w:keepNext/>
        <w:numPr>
          <w:ilvl w:val="2"/>
          <w:numId w:val="24"/>
        </w:numPr>
        <w:pBdr>
          <w:top w:val="nil"/>
          <w:left w:val="nil"/>
          <w:bottom w:val="nil"/>
          <w:right w:val="nil"/>
          <w:between w:val="nil"/>
        </w:pBdr>
        <w:spacing w:before="240" w:after="40" w:line="276" w:lineRule="auto"/>
      </w:pPr>
      <w:bookmarkStart w:id="77" w:name="_s2pem495n2vv"/>
      <w:bookmarkEnd w:id="77"/>
      <w:r w:rsidRPr="7B188CE2">
        <w:rPr>
          <w:rFonts w:ascii="Arial" w:eastAsia="Arial" w:hAnsi="Arial" w:cs="Arial"/>
          <w:smallCaps/>
          <w:color w:val="6A976C"/>
          <w:sz w:val="28"/>
          <w:szCs w:val="28"/>
          <w:lang w:val="en-US"/>
        </w:rPr>
        <w:t>Annual Final</w:t>
      </w:r>
      <w:r w:rsidR="0033067D" w:rsidRPr="7B188CE2">
        <w:rPr>
          <w:rFonts w:ascii="Arial" w:eastAsia="Arial" w:hAnsi="Arial" w:cs="Arial"/>
          <w:smallCaps/>
          <w:color w:val="6A976C"/>
          <w:sz w:val="28"/>
          <w:szCs w:val="28"/>
          <w:lang w:val="en-US"/>
        </w:rPr>
        <w:t xml:space="preserve"> Financial Status  </w:t>
      </w:r>
      <w:r w:rsidRPr="7B188CE2">
        <w:rPr>
          <w:rFonts w:ascii="Arial" w:eastAsia="Arial" w:hAnsi="Arial" w:cs="Arial"/>
          <w:smallCaps/>
          <w:color w:val="6A976C"/>
          <w:sz w:val="28"/>
          <w:szCs w:val="28"/>
          <w:lang w:val="en-US"/>
        </w:rPr>
        <w:t>Report</w:t>
      </w:r>
      <w:r w:rsidR="0033067D" w:rsidRPr="7B188CE2">
        <w:rPr>
          <w:rFonts w:ascii="Arial" w:eastAsia="Arial" w:hAnsi="Arial" w:cs="Arial"/>
          <w:smallCaps/>
          <w:color w:val="6A976C"/>
          <w:sz w:val="28"/>
          <w:szCs w:val="28"/>
          <w:lang w:val="en-US"/>
        </w:rPr>
        <w:t xml:space="preserve"> (FFSR) </w:t>
      </w:r>
    </w:p>
    <w:p w14:paraId="593F9B0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Policy</w:t>
      </w:r>
    </w:p>
    <w:p w14:paraId="782A3D37" w14:textId="531827EE"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Programs must complete an annual  Final Financial Status Report that identify all federal Title II funds as well as allowable non-federal resources, in-kind contributions, and program income used to support ABS activities. Programs must not count tuition and fees collected from learners toward meeting Title II matching, one-stop cost sharing, or maintenance of effort requirements related to the Title II grant award.</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45"/>
        <w:gridCol w:w="1710"/>
        <w:gridCol w:w="3780"/>
      </w:tblGrid>
      <w:tr w:rsidR="00F8503D" w14:paraId="46FFCF60" w14:textId="77777777">
        <w:trPr>
          <w:trHeight w:val="350"/>
        </w:trPr>
        <w:tc>
          <w:tcPr>
            <w:tcW w:w="4045" w:type="dxa"/>
            <w:shd w:val="clear" w:color="auto" w:fill="6D9E75"/>
            <w:vAlign w:val="center"/>
          </w:tcPr>
          <w:p w14:paraId="077B6E9B" w14:textId="77777777" w:rsidR="00F8503D" w:rsidRDefault="0033067D">
            <w:pPr>
              <w:rPr>
                <w:rFonts w:ascii="Verdana" w:eastAsia="Verdana" w:hAnsi="Verdana" w:cs="Verdana"/>
                <w:b/>
                <w:bCs/>
                <w:color w:val="000000"/>
                <w:sz w:val="20"/>
                <w:szCs w:val="20"/>
              </w:rPr>
            </w:pPr>
            <w:r>
              <w:rPr>
                <w:rFonts w:ascii="Verdana" w:eastAsia="Verdana" w:hAnsi="Verdana" w:cs="Verdana"/>
                <w:b/>
                <w:bCs/>
                <w:color w:val="000000"/>
                <w:sz w:val="20"/>
                <w:szCs w:val="20"/>
              </w:rPr>
              <w:t>Financial Report</w:t>
            </w:r>
          </w:p>
        </w:tc>
        <w:tc>
          <w:tcPr>
            <w:tcW w:w="1710" w:type="dxa"/>
            <w:shd w:val="clear" w:color="auto" w:fill="6D9E75"/>
            <w:vAlign w:val="center"/>
          </w:tcPr>
          <w:p w14:paraId="254EDB18" w14:textId="77777777" w:rsidR="00F8503D" w:rsidRDefault="0033067D">
            <w:pPr>
              <w:rPr>
                <w:rFonts w:ascii="Verdana" w:eastAsia="Verdana" w:hAnsi="Verdana" w:cs="Verdana"/>
                <w:b/>
                <w:bCs/>
                <w:color w:val="000000"/>
                <w:sz w:val="20"/>
                <w:szCs w:val="20"/>
              </w:rPr>
            </w:pPr>
            <w:r>
              <w:rPr>
                <w:rFonts w:ascii="Verdana" w:eastAsia="Verdana" w:hAnsi="Verdana" w:cs="Verdana"/>
                <w:b/>
                <w:bCs/>
                <w:color w:val="000000"/>
                <w:sz w:val="20"/>
                <w:szCs w:val="20"/>
              </w:rPr>
              <w:t>Due Date</w:t>
            </w:r>
          </w:p>
        </w:tc>
        <w:tc>
          <w:tcPr>
            <w:tcW w:w="3780" w:type="dxa"/>
            <w:shd w:val="clear" w:color="auto" w:fill="6D9E75"/>
            <w:vAlign w:val="center"/>
          </w:tcPr>
          <w:p w14:paraId="5D37F6B1" w14:textId="77777777" w:rsidR="00F8503D" w:rsidRDefault="0033067D">
            <w:pPr>
              <w:rPr>
                <w:rFonts w:ascii="Verdana" w:eastAsia="Verdana" w:hAnsi="Verdana" w:cs="Verdana"/>
                <w:b/>
                <w:bCs/>
                <w:color w:val="000000"/>
                <w:sz w:val="20"/>
                <w:szCs w:val="20"/>
              </w:rPr>
            </w:pPr>
            <w:r>
              <w:rPr>
                <w:rFonts w:ascii="Verdana" w:eastAsia="Verdana" w:hAnsi="Verdana" w:cs="Verdana"/>
                <w:b/>
                <w:bCs/>
                <w:color w:val="000000"/>
                <w:sz w:val="20"/>
                <w:szCs w:val="20"/>
              </w:rPr>
              <w:t>Submission</w:t>
            </w:r>
          </w:p>
        </w:tc>
      </w:tr>
      <w:tr w:rsidR="00F8503D" w14:paraId="374A2EB7" w14:textId="77777777">
        <w:trPr>
          <w:trHeight w:val="710"/>
        </w:trPr>
        <w:tc>
          <w:tcPr>
            <w:tcW w:w="4045" w:type="dxa"/>
            <w:vAlign w:val="center"/>
          </w:tcPr>
          <w:p w14:paraId="541988D0" w14:textId="27B68CAC" w:rsidR="00F8503D" w:rsidRDefault="0033067D">
            <w:pPr>
              <w:ind w:right="15"/>
              <w:rPr>
                <w:rFonts w:ascii="Verdana" w:eastAsia="Verdana" w:hAnsi="Verdana" w:cs="Verdana"/>
                <w:color w:val="000000"/>
                <w:sz w:val="20"/>
                <w:szCs w:val="20"/>
              </w:rPr>
            </w:pPr>
            <w:r>
              <w:rPr>
                <w:rFonts w:ascii="Verdana" w:eastAsia="Verdana" w:hAnsi="Verdana" w:cs="Verdana"/>
                <w:color w:val="000000"/>
                <w:sz w:val="20"/>
                <w:szCs w:val="20"/>
              </w:rPr>
              <w:t>Final Financial Status Report for program year 202</w:t>
            </w:r>
            <w:r w:rsidR="00FD4C98">
              <w:rPr>
                <w:rFonts w:ascii="Verdana" w:eastAsia="Verdana" w:hAnsi="Verdana" w:cs="Verdana"/>
                <w:color w:val="000000"/>
                <w:sz w:val="20"/>
                <w:szCs w:val="20"/>
              </w:rPr>
              <w:t>5</w:t>
            </w:r>
            <w:r>
              <w:rPr>
                <w:rFonts w:ascii="Verdana" w:eastAsia="Verdana" w:hAnsi="Verdana" w:cs="Verdana"/>
                <w:color w:val="000000"/>
                <w:sz w:val="20"/>
                <w:szCs w:val="20"/>
              </w:rPr>
              <w:t>-2</w:t>
            </w:r>
            <w:r w:rsidR="00FD4C98">
              <w:rPr>
                <w:rFonts w:ascii="Verdana" w:eastAsia="Verdana" w:hAnsi="Verdana" w:cs="Verdana"/>
                <w:color w:val="000000"/>
                <w:sz w:val="20"/>
                <w:szCs w:val="20"/>
              </w:rPr>
              <w:t>6</w:t>
            </w:r>
          </w:p>
        </w:tc>
        <w:tc>
          <w:tcPr>
            <w:tcW w:w="1710" w:type="dxa"/>
            <w:vAlign w:val="center"/>
          </w:tcPr>
          <w:p w14:paraId="72A27D49"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July 31, 2026</w:t>
            </w:r>
          </w:p>
        </w:tc>
        <w:tc>
          <w:tcPr>
            <w:tcW w:w="3780" w:type="dxa"/>
            <w:vAlign w:val="center"/>
          </w:tcPr>
          <w:p w14:paraId="5EAD3EAC" w14:textId="77777777" w:rsidR="00F8503D" w:rsidRDefault="0033067D">
            <w:pPr>
              <w:rPr>
                <w:rFonts w:ascii="Verdana" w:eastAsia="Verdana" w:hAnsi="Verdana" w:cs="Verdana"/>
                <w:color w:val="000000"/>
                <w:sz w:val="20"/>
                <w:szCs w:val="20"/>
              </w:rPr>
            </w:pPr>
            <w:r>
              <w:rPr>
                <w:rFonts w:ascii="Verdana" w:eastAsia="Verdana" w:hAnsi="Verdana" w:cs="Verdana"/>
                <w:color w:val="000000"/>
                <w:sz w:val="20"/>
                <w:szCs w:val="20"/>
              </w:rPr>
              <w:t xml:space="preserve">Email completed and signed report to </w:t>
            </w:r>
            <w:hyperlink r:id="rId66">
              <w:r>
                <w:rPr>
                  <w:rFonts w:ascii="Verdana" w:eastAsia="Verdana" w:hAnsi="Verdana" w:cs="Verdana"/>
                  <w:color w:val="0000FF"/>
                  <w:sz w:val="20"/>
                  <w:szCs w:val="20"/>
                  <w:u w:val="single"/>
                </w:rPr>
                <w:t>hecc.absteam@hecc.oregon.gov</w:t>
              </w:r>
            </w:hyperlink>
          </w:p>
        </w:tc>
      </w:tr>
    </w:tbl>
    <w:p w14:paraId="33EF0157"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AE9A6F4"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78" w:name="_22rikpq5uf2i" w:colFirst="0" w:colLast="0"/>
      <w:bookmarkStart w:id="79" w:name="_j8rq7v9kz6hv" w:colFirst="0" w:colLast="0"/>
      <w:bookmarkEnd w:id="78"/>
      <w:bookmarkEnd w:id="79"/>
      <w:r>
        <w:rPr>
          <w:rFonts w:ascii="Arial" w:eastAsia="Arial" w:hAnsi="Arial" w:cs="Arial"/>
          <w:b/>
          <w:bCs/>
          <w:smallCaps/>
          <w:color w:val="6A976C"/>
          <w:sz w:val="32"/>
          <w:szCs w:val="32"/>
        </w:rPr>
        <w:lastRenderedPageBreak/>
        <w:t>Appendix</w:t>
      </w:r>
    </w:p>
    <w:p w14:paraId="70B6E895" w14:textId="77777777" w:rsidR="00F8503D" w:rsidRDefault="0033067D">
      <w:pPr>
        <w:keepNext/>
        <w:numPr>
          <w:ilvl w:val="2"/>
          <w:numId w:val="24"/>
        </w:numPr>
        <w:pBdr>
          <w:top w:val="nil"/>
          <w:left w:val="nil"/>
          <w:bottom w:val="nil"/>
          <w:right w:val="nil"/>
          <w:between w:val="nil"/>
        </w:pBdr>
        <w:spacing w:before="240" w:after="40" w:line="276" w:lineRule="auto"/>
      </w:pPr>
      <w:bookmarkStart w:id="80" w:name="_lc1xbldvwfj7" w:colFirst="0" w:colLast="0"/>
      <w:bookmarkEnd w:id="80"/>
      <w:r>
        <w:rPr>
          <w:rFonts w:ascii="Arial" w:eastAsia="Arial" w:hAnsi="Arial" w:cs="Arial"/>
          <w:smallCaps/>
          <w:color w:val="6A976C"/>
          <w:sz w:val="28"/>
          <w:szCs w:val="28"/>
        </w:rPr>
        <w:t>Sample Form: Authorization for Release of Information</w:t>
      </w:r>
    </w:p>
    <w:p w14:paraId="34058567"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noProof/>
          <w:color w:val="669966"/>
          <w:sz w:val="28"/>
          <w:szCs w:val="28"/>
        </w:rPr>
        <w:drawing>
          <wp:inline distT="0" distB="0" distL="114300" distR="114300" wp14:anchorId="5C0CB49F" wp14:editId="6E7A1A11">
            <wp:extent cx="5648325" cy="73056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5648325" cy="7305675"/>
                    </a:xfrm>
                    <a:prstGeom prst="rect">
                      <a:avLst/>
                    </a:prstGeom>
                    <a:ln/>
                  </pic:spPr>
                </pic:pic>
              </a:graphicData>
            </a:graphic>
          </wp:inline>
        </w:drawing>
      </w:r>
    </w:p>
    <w:p w14:paraId="52DBA233" w14:textId="77777777" w:rsidR="00F8503D" w:rsidRDefault="0033067D">
      <w:pPr>
        <w:pBdr>
          <w:top w:val="nil"/>
          <w:left w:val="nil"/>
          <w:bottom w:val="nil"/>
          <w:right w:val="nil"/>
          <w:between w:val="nil"/>
        </w:pBdr>
        <w:spacing w:after="160" w:line="276" w:lineRule="auto"/>
        <w:jc w:val="center"/>
        <w:rPr>
          <w:rFonts w:ascii="Garamond" w:eastAsia="Garamond" w:hAnsi="Garamond" w:cs="Garamond"/>
          <w:color w:val="000000"/>
        </w:rPr>
      </w:pPr>
      <w:r>
        <w:rPr>
          <w:rFonts w:ascii="Garamond" w:eastAsia="Garamond" w:hAnsi="Garamond" w:cs="Garamond"/>
          <w:noProof/>
          <w:color w:val="000000"/>
        </w:rPr>
        <w:lastRenderedPageBreak/>
        <w:drawing>
          <wp:inline distT="0" distB="0" distL="114300" distR="114300" wp14:anchorId="5D46E400" wp14:editId="03A5CE83">
            <wp:extent cx="5743575" cy="74485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5743575" cy="7448550"/>
                    </a:xfrm>
                    <a:prstGeom prst="rect">
                      <a:avLst/>
                    </a:prstGeom>
                    <a:ln/>
                  </pic:spPr>
                </pic:pic>
              </a:graphicData>
            </a:graphic>
          </wp:inline>
        </w:drawing>
      </w:r>
    </w:p>
    <w:p w14:paraId="4EEA59F0"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Arial" w:eastAsia="Arial" w:hAnsi="Arial" w:cs="Arial"/>
          <w:smallCaps/>
          <w:color w:val="6A976C"/>
          <w:sz w:val="28"/>
          <w:szCs w:val="28"/>
        </w:rPr>
      </w:pPr>
      <w:r>
        <w:br w:type="page"/>
      </w:r>
    </w:p>
    <w:p w14:paraId="0F893D1C" w14:textId="77777777" w:rsidR="00F8503D" w:rsidRDefault="0033067D">
      <w:pPr>
        <w:keepNext/>
        <w:numPr>
          <w:ilvl w:val="2"/>
          <w:numId w:val="24"/>
        </w:numPr>
        <w:pBdr>
          <w:top w:val="nil"/>
          <w:left w:val="nil"/>
          <w:bottom w:val="nil"/>
          <w:right w:val="nil"/>
          <w:between w:val="nil"/>
        </w:pBdr>
        <w:spacing w:before="240" w:after="40" w:line="276" w:lineRule="auto"/>
      </w:pPr>
      <w:bookmarkStart w:id="81" w:name="_zi3plyt6pmk7" w:colFirst="0" w:colLast="0"/>
      <w:bookmarkEnd w:id="81"/>
      <w:r>
        <w:rPr>
          <w:rFonts w:ascii="Arial" w:eastAsia="Arial" w:hAnsi="Arial" w:cs="Arial"/>
          <w:smallCaps/>
          <w:color w:val="6A976C"/>
          <w:sz w:val="28"/>
          <w:szCs w:val="28"/>
        </w:rPr>
        <w:lastRenderedPageBreak/>
        <w:t>Sample Form: revocation for Release of Learner Information</w:t>
      </w:r>
    </w:p>
    <w:p w14:paraId="1EFA0463"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noProof/>
          <w:color w:val="669966"/>
          <w:sz w:val="28"/>
          <w:szCs w:val="28"/>
        </w:rPr>
        <w:drawing>
          <wp:inline distT="0" distB="0" distL="114300" distR="114300" wp14:anchorId="0AF02A65" wp14:editId="3A971E03">
            <wp:extent cx="5648325" cy="7315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a:stretch>
                      <a:fillRect/>
                    </a:stretch>
                  </pic:blipFill>
                  <pic:spPr>
                    <a:xfrm>
                      <a:off x="0" y="0"/>
                      <a:ext cx="5648325" cy="7315200"/>
                    </a:xfrm>
                    <a:prstGeom prst="rect">
                      <a:avLst/>
                    </a:prstGeom>
                    <a:ln/>
                  </pic:spPr>
                </pic:pic>
              </a:graphicData>
            </a:graphic>
          </wp:inline>
        </w:drawing>
      </w:r>
    </w:p>
    <w:p w14:paraId="7886F9B1"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Garamond" w:eastAsia="Garamond" w:hAnsi="Garamond" w:cs="Garamond"/>
          <w:color w:val="000000"/>
        </w:rPr>
      </w:pPr>
      <w:r>
        <w:br w:type="page"/>
      </w:r>
    </w:p>
    <w:p w14:paraId="6D25F030" w14:textId="77777777" w:rsidR="00F8503D" w:rsidRPr="00B402F6"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82" w:name="_6zhi3j87x17s" w:colFirst="0" w:colLast="0"/>
      <w:bookmarkEnd w:id="82"/>
      <w:r w:rsidRPr="00B402F6">
        <w:rPr>
          <w:rFonts w:ascii="Arial" w:eastAsia="Arial" w:hAnsi="Arial" w:cs="Arial"/>
          <w:smallCaps/>
          <w:color w:val="6A976C"/>
          <w:sz w:val="32"/>
          <w:szCs w:val="32"/>
        </w:rPr>
        <w:lastRenderedPageBreak/>
        <w:t>State</w:t>
      </w:r>
      <w:r w:rsidRPr="00B402F6">
        <w:rPr>
          <w:rFonts w:ascii="Arial" w:eastAsia="Arial" w:hAnsi="Arial" w:cs="Arial"/>
          <w:smallCaps/>
          <w:color w:val="6A976C"/>
          <w:sz w:val="28"/>
          <w:szCs w:val="28"/>
        </w:rPr>
        <w:t xml:space="preserve"> Assessment Certification Procedures</w:t>
      </w:r>
    </w:p>
    <w:p w14:paraId="637C4910" w14:textId="68F137FD"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 xml:space="preserve">CASAS-Comprehensive Adult Student Assessment System </w:t>
      </w:r>
    </w:p>
    <w:p w14:paraId="320BCCBF" w14:textId="772D203F"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Oregon policy requires staff and faculty to be certified before administering assessments for NRS Reporting (see Section 6.5 of this manual). State Assessment Certification comprises the completion of the required CASAS training and familiarization with Oregon assessment policies and procedures. Test administrators proctoring assessments virtually must also complete required remote proctor/virtual administrator training.</w:t>
      </w:r>
    </w:p>
    <w:p w14:paraId="09BA7E60"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CASAS Training</w:t>
      </w:r>
    </w:p>
    <w:p w14:paraId="528EEB3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Provides participants with a basic understanding of the CASAS System. Participants learn how to administer CASAS appraisals and pre-and post-tests, interpret test results, and use curriculum support materials to enhance instruction and workforce readiness.</w:t>
      </w:r>
    </w:p>
    <w:p w14:paraId="4FE160C3"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Part 1: CASAS Training by Role is available Online at: </w:t>
      </w:r>
      <w:hyperlink r:id="rId70">
        <w:r>
          <w:rPr>
            <w:rFonts w:ascii="Arial" w:eastAsia="Arial" w:hAnsi="Arial" w:cs="Arial"/>
            <w:i/>
            <w:iCs/>
            <w:color w:val="0000FF"/>
          </w:rPr>
          <w:t>http://training.casas.org</w:t>
        </w:r>
      </w:hyperlink>
      <w:r>
        <w:rPr>
          <w:rFonts w:ascii="Arial" w:eastAsia="Arial" w:hAnsi="Arial" w:cs="Arial"/>
          <w:b/>
          <w:bCs/>
          <w:i/>
          <w:iCs/>
          <w:color w:val="000000"/>
        </w:rPr>
        <w:t xml:space="preserve"> </w:t>
      </w:r>
    </w:p>
    <w:p w14:paraId="1449E7E4" w14:textId="77777777" w:rsidR="00F8503D" w:rsidRDefault="0033067D">
      <w:pPr>
        <w:numPr>
          <w:ilvl w:val="0"/>
          <w:numId w:val="41"/>
        </w:numPr>
        <w:pBdr>
          <w:top w:val="nil"/>
          <w:left w:val="nil"/>
          <w:bottom w:val="nil"/>
          <w:right w:val="nil"/>
          <w:between w:val="nil"/>
        </w:pBdr>
        <w:spacing w:after="160" w:line="276" w:lineRule="auto"/>
      </w:pPr>
      <w:r>
        <w:rPr>
          <w:rFonts w:ascii="Verdana" w:eastAsia="Verdana" w:hAnsi="Verdana" w:cs="Verdana"/>
          <w:color w:val="000000"/>
          <w:sz w:val="23"/>
          <w:szCs w:val="23"/>
        </w:rPr>
        <w:t>Complete the required training based on your role and generate your Certificate of Completion. (Please note: CCWD does NOT need a copy of your certificate. This is for your records only.)</w:t>
      </w:r>
    </w:p>
    <w:p w14:paraId="7251E181"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Part 2. After you have received your Certificate of Completion from CASAS:</w:t>
      </w:r>
    </w:p>
    <w:p w14:paraId="4A44FD3C" w14:textId="77777777" w:rsidR="00F8503D" w:rsidRDefault="0033067D">
      <w:pPr>
        <w:numPr>
          <w:ilvl w:val="0"/>
          <w:numId w:val="42"/>
        </w:numPr>
        <w:pBdr>
          <w:top w:val="nil"/>
          <w:left w:val="nil"/>
          <w:bottom w:val="nil"/>
          <w:right w:val="nil"/>
          <w:between w:val="nil"/>
        </w:pBdr>
        <w:spacing w:after="160" w:line="276" w:lineRule="auto"/>
      </w:pPr>
      <w:r>
        <w:rPr>
          <w:rFonts w:ascii="Verdana" w:eastAsia="Verdana" w:hAnsi="Verdana" w:cs="Verdana"/>
          <w:color w:val="000000"/>
          <w:sz w:val="23"/>
          <w:szCs w:val="23"/>
        </w:rPr>
        <w:t>Read the following material from the HECC ABS Policy Manual:</w:t>
      </w:r>
    </w:p>
    <w:p w14:paraId="53B3CBE0" w14:textId="77777777" w:rsidR="00F8503D" w:rsidRDefault="0033067D">
      <w:pPr>
        <w:numPr>
          <w:ilvl w:val="0"/>
          <w:numId w:val="43"/>
        </w:numPr>
        <w:pBdr>
          <w:top w:val="nil"/>
          <w:left w:val="nil"/>
          <w:bottom w:val="nil"/>
          <w:right w:val="nil"/>
          <w:between w:val="nil"/>
        </w:pBdr>
        <w:spacing w:after="160" w:line="276" w:lineRule="auto"/>
        <w:ind w:left="1800"/>
      </w:pPr>
      <w:r>
        <w:rPr>
          <w:rFonts w:ascii="Verdana" w:eastAsia="Verdana" w:hAnsi="Verdana" w:cs="Verdana"/>
          <w:color w:val="000000"/>
          <w:sz w:val="23"/>
          <w:szCs w:val="23"/>
        </w:rPr>
        <w:t>Section 6.1, Standardized Assessment for NRS Reporting</w:t>
      </w:r>
    </w:p>
    <w:p w14:paraId="33A12B7D" w14:textId="77777777" w:rsidR="00F8503D" w:rsidRDefault="0033067D">
      <w:pPr>
        <w:numPr>
          <w:ilvl w:val="3"/>
          <w:numId w:val="44"/>
        </w:numPr>
        <w:pBdr>
          <w:top w:val="nil"/>
          <w:left w:val="nil"/>
          <w:bottom w:val="nil"/>
          <w:right w:val="nil"/>
          <w:between w:val="nil"/>
        </w:pBdr>
        <w:spacing w:after="160" w:line="276" w:lineRule="auto"/>
        <w:ind w:left="2520"/>
      </w:pPr>
      <w:r>
        <w:rPr>
          <w:rFonts w:ascii="Verdana" w:eastAsia="Verdana" w:hAnsi="Verdana" w:cs="Verdana"/>
          <w:color w:val="000000"/>
          <w:sz w:val="23"/>
          <w:szCs w:val="23"/>
        </w:rPr>
        <w:t>Oregon Assessment Chart</w:t>
      </w:r>
    </w:p>
    <w:p w14:paraId="490E2F74" w14:textId="77777777" w:rsidR="00F8503D" w:rsidRDefault="0033067D">
      <w:pPr>
        <w:numPr>
          <w:ilvl w:val="3"/>
          <w:numId w:val="44"/>
        </w:numPr>
        <w:pBdr>
          <w:top w:val="nil"/>
          <w:left w:val="nil"/>
          <w:bottom w:val="nil"/>
          <w:right w:val="nil"/>
          <w:between w:val="nil"/>
        </w:pBdr>
        <w:spacing w:after="160" w:line="276" w:lineRule="auto"/>
        <w:ind w:left="2520"/>
      </w:pPr>
      <w:r>
        <w:rPr>
          <w:rFonts w:ascii="Verdana" w:eastAsia="Verdana" w:hAnsi="Verdana" w:cs="Verdana"/>
          <w:color w:val="000000"/>
          <w:sz w:val="23"/>
          <w:szCs w:val="23"/>
        </w:rPr>
        <w:t>Required assessments and hours of instruction</w:t>
      </w:r>
    </w:p>
    <w:p w14:paraId="403F5533" w14:textId="77777777" w:rsidR="00F8503D" w:rsidRDefault="0033067D">
      <w:pPr>
        <w:numPr>
          <w:ilvl w:val="1"/>
          <w:numId w:val="44"/>
        </w:numPr>
        <w:pBdr>
          <w:top w:val="nil"/>
          <w:left w:val="nil"/>
          <w:bottom w:val="nil"/>
          <w:right w:val="nil"/>
          <w:between w:val="nil"/>
        </w:pBdr>
        <w:spacing w:after="160" w:line="276" w:lineRule="auto"/>
        <w:ind w:left="1800"/>
      </w:pPr>
      <w:r>
        <w:rPr>
          <w:rFonts w:ascii="Verdana" w:eastAsia="Verdana" w:hAnsi="Verdana" w:cs="Verdana"/>
          <w:color w:val="000000"/>
          <w:sz w:val="23"/>
          <w:szCs w:val="23"/>
        </w:rPr>
        <w:t>Section 6.5, Certified Test Administration</w:t>
      </w:r>
    </w:p>
    <w:p w14:paraId="58B45A1F" w14:textId="77777777" w:rsidR="00F8503D" w:rsidRDefault="0033067D">
      <w:pPr>
        <w:numPr>
          <w:ilvl w:val="0"/>
          <w:numId w:val="42"/>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Complete the Oregon Assessment Certification Signature Page (included at the end of this section) and send to </w:t>
      </w:r>
      <w:hyperlink r:id="rId71">
        <w:r>
          <w:rPr>
            <w:rFonts w:ascii="Verdana" w:eastAsia="Verdana" w:hAnsi="Verdana" w:cs="Verdana"/>
            <w:color w:val="0000FF"/>
            <w:sz w:val="23"/>
            <w:szCs w:val="23"/>
          </w:rPr>
          <w:t>hecc.absteam@hecc.oregon.gov</w:t>
        </w:r>
      </w:hyperlink>
      <w:r>
        <w:rPr>
          <w:rFonts w:ascii="Verdana" w:eastAsia="Verdana" w:hAnsi="Verdana" w:cs="Verdana"/>
          <w:color w:val="000000"/>
          <w:sz w:val="23"/>
          <w:szCs w:val="23"/>
        </w:rPr>
        <w:t>.</w:t>
      </w:r>
    </w:p>
    <w:p w14:paraId="19F233E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Once the CASAS training and the signature form is completed, your certification is good for 3 years from the date on your CASAS certificate. </w:t>
      </w:r>
    </w:p>
    <w:p w14:paraId="7BBCDF54"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CASAS Refresher</w:t>
      </w:r>
    </w:p>
    <w:p w14:paraId="17D09A3F"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Individuals must renew their training certification every 3 years by registering and completing the role-appropriate refresher training from </w:t>
      </w:r>
      <w:hyperlink r:id="rId72">
        <w:r w:rsidRPr="7B188CE2">
          <w:rPr>
            <w:rFonts w:ascii="Verdana" w:eastAsia="Verdana" w:hAnsi="Verdana" w:cs="Verdana"/>
            <w:color w:val="0000FF"/>
            <w:sz w:val="23"/>
            <w:szCs w:val="23"/>
            <w:lang w:val="en-US"/>
          </w:rPr>
          <w:t>http://training.casas.org</w:t>
        </w:r>
      </w:hyperlink>
      <w:r w:rsidRPr="7B188CE2">
        <w:rPr>
          <w:rFonts w:ascii="Verdana" w:eastAsia="Verdana" w:hAnsi="Verdana" w:cs="Verdana"/>
          <w:color w:val="000000" w:themeColor="text1"/>
          <w:sz w:val="23"/>
          <w:szCs w:val="23"/>
          <w:lang w:val="en-US"/>
        </w:rPr>
        <w:t xml:space="preserve">, and again complete the Oregon Assessment Signature page and submit to </w:t>
      </w:r>
      <w:hyperlink r:id="rId73">
        <w:r w:rsidRPr="7B188CE2">
          <w:rPr>
            <w:rFonts w:ascii="Verdana" w:eastAsia="Verdana" w:hAnsi="Verdana" w:cs="Verdana"/>
            <w:color w:val="0000FF"/>
            <w:sz w:val="23"/>
            <w:szCs w:val="23"/>
            <w:lang w:val="en-US"/>
          </w:rPr>
          <w:t>hecc.absteam@hecc.oregon.gov</w:t>
        </w:r>
      </w:hyperlink>
      <w:r w:rsidRPr="7B188CE2">
        <w:rPr>
          <w:rFonts w:ascii="Verdana" w:eastAsia="Verdana" w:hAnsi="Verdana" w:cs="Verdana"/>
          <w:color w:val="000000" w:themeColor="text1"/>
          <w:sz w:val="23"/>
          <w:szCs w:val="23"/>
          <w:lang w:val="en-US"/>
        </w:rPr>
        <w:t>.</w:t>
      </w:r>
    </w:p>
    <w:p w14:paraId="40F53298" w14:textId="3DC95522" w:rsidR="00F8503D" w:rsidRDefault="0033067D">
      <w:pPr>
        <w:numPr>
          <w:ilvl w:val="0"/>
          <w:numId w:val="4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lastRenderedPageBreak/>
        <w:t xml:space="preserve">Regarding process, please contact Tamy Freeman at </w:t>
      </w:r>
      <w:hyperlink r:id="rId74">
        <w:r w:rsidRPr="7B188CE2">
          <w:rPr>
            <w:rFonts w:ascii="Verdana" w:eastAsia="Verdana" w:hAnsi="Verdana" w:cs="Verdana"/>
            <w:color w:val="0000FF"/>
            <w:sz w:val="23"/>
            <w:szCs w:val="23"/>
            <w:lang w:val="en-US"/>
          </w:rPr>
          <w:t>hecc.absteam@hecc.oregon.gov</w:t>
        </w:r>
      </w:hyperlink>
      <w:r w:rsidRPr="7B188CE2">
        <w:rPr>
          <w:rFonts w:ascii="Verdana" w:eastAsia="Verdana" w:hAnsi="Verdana" w:cs="Verdana"/>
          <w:color w:val="000000" w:themeColor="text1"/>
          <w:sz w:val="23"/>
          <w:szCs w:val="23"/>
          <w:lang w:val="en-US"/>
        </w:rPr>
        <w:t xml:space="preserve"> or 503-</w:t>
      </w:r>
      <w:r w:rsidR="00E43C52">
        <w:rPr>
          <w:rFonts w:ascii="Verdana" w:eastAsia="Verdana" w:hAnsi="Verdana" w:cs="Verdana"/>
          <w:color w:val="000000" w:themeColor="text1"/>
          <w:sz w:val="23"/>
          <w:szCs w:val="23"/>
          <w:lang w:val="en-US"/>
        </w:rPr>
        <w:t>979-5760</w:t>
      </w:r>
      <w:r w:rsidR="00F35971">
        <w:rPr>
          <w:rFonts w:ascii="Verdana" w:eastAsia="Verdana" w:hAnsi="Verdana" w:cs="Verdana"/>
          <w:color w:val="000000" w:themeColor="text1"/>
          <w:sz w:val="23"/>
          <w:szCs w:val="23"/>
          <w:lang w:val="en-US"/>
        </w:rPr>
        <w:t>579-9750</w:t>
      </w:r>
    </w:p>
    <w:p w14:paraId="19A2C657" w14:textId="77777777" w:rsidR="00F8503D" w:rsidRDefault="0033067D">
      <w:pPr>
        <w:numPr>
          <w:ilvl w:val="0"/>
          <w:numId w:val="45"/>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 xml:space="preserve">Regarding policy, please contact Ashley Garrigan at </w:t>
      </w:r>
      <w:hyperlink r:id="rId75">
        <w:r w:rsidRPr="7B188CE2">
          <w:rPr>
            <w:rFonts w:ascii="Verdana" w:eastAsia="Verdana" w:hAnsi="Verdana" w:cs="Verdana"/>
            <w:color w:val="0000FF"/>
            <w:sz w:val="23"/>
            <w:szCs w:val="23"/>
            <w:lang w:val="en-US"/>
          </w:rPr>
          <w:t>ashley.garrigan@hecc.oregon.gov</w:t>
        </w:r>
      </w:hyperlink>
      <w:r w:rsidRPr="7B188CE2">
        <w:rPr>
          <w:rFonts w:ascii="Verdana" w:eastAsia="Verdana" w:hAnsi="Verdana" w:cs="Verdana"/>
          <w:color w:val="000000" w:themeColor="text1"/>
          <w:sz w:val="23"/>
          <w:szCs w:val="23"/>
          <w:lang w:val="en-US"/>
        </w:rPr>
        <w:t xml:space="preserve"> or 503-979-5453. </w:t>
      </w:r>
    </w:p>
    <w:p w14:paraId="149FB846" w14:textId="77777777" w:rsidR="00F8503D" w:rsidRDefault="0033067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Verdana" w:eastAsia="Verdana" w:hAnsi="Verdana" w:cs="Verdana"/>
          <w:sz w:val="23"/>
          <w:szCs w:val="23"/>
        </w:rPr>
      </w:pPr>
      <w:r>
        <w:br w:type="page"/>
      </w:r>
    </w:p>
    <w:p w14:paraId="4E6CFF8A" w14:textId="397DEA45" w:rsidR="00F8503D" w:rsidRDefault="00FD4C98">
      <w:pPr>
        <w:pBdr>
          <w:top w:val="nil"/>
          <w:left w:val="nil"/>
          <w:bottom w:val="nil"/>
          <w:right w:val="nil"/>
          <w:between w:val="nil"/>
        </w:pBdr>
        <w:spacing w:after="160" w:line="276" w:lineRule="auto"/>
        <w:jc w:val="center"/>
        <w:rPr>
          <w:rFonts w:ascii="Verdana" w:eastAsia="Verdana" w:hAnsi="Verdana" w:cs="Verdana"/>
          <w:color w:val="000000"/>
          <w:sz w:val="23"/>
          <w:szCs w:val="23"/>
        </w:rPr>
      </w:pPr>
      <w:r w:rsidRPr="00FD4C98">
        <w:lastRenderedPageBreak/>
        <w:drawing>
          <wp:inline distT="0" distB="0" distL="0" distR="0" wp14:anchorId="529F66AF" wp14:editId="092D7210">
            <wp:extent cx="5943600" cy="7485380"/>
            <wp:effectExtent l="0" t="0" r="0" b="0"/>
            <wp:docPr id="86620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7485380"/>
                    </a:xfrm>
                    <a:prstGeom prst="rect">
                      <a:avLst/>
                    </a:prstGeom>
                    <a:noFill/>
                    <a:ln>
                      <a:noFill/>
                    </a:ln>
                  </pic:spPr>
                </pic:pic>
              </a:graphicData>
            </a:graphic>
          </wp:inline>
        </w:drawing>
      </w:r>
    </w:p>
    <w:p w14:paraId="46942E1E"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83" w:name="_fahe1v76k0lr" w:colFirst="0" w:colLast="0"/>
      <w:bookmarkEnd w:id="83"/>
      <w:r>
        <w:rPr>
          <w:rFonts w:ascii="Arial" w:eastAsia="Arial" w:hAnsi="Arial" w:cs="Arial"/>
          <w:b/>
          <w:bCs/>
          <w:smallCaps/>
          <w:color w:val="6A976C"/>
          <w:sz w:val="32"/>
          <w:szCs w:val="32"/>
        </w:rPr>
        <w:lastRenderedPageBreak/>
        <w:t>Definitions</w:t>
      </w:r>
    </w:p>
    <w:tbl>
      <w:tblPr>
        <w:tblStyle w:val="ae"/>
        <w:tblW w:w="71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54"/>
        <w:gridCol w:w="6541"/>
      </w:tblGrid>
      <w:tr w:rsidR="00F8503D" w14:paraId="1A64C2FB" w14:textId="77777777" w:rsidTr="7B188CE2">
        <w:trPr>
          <w:trHeight w:val="324"/>
        </w:trPr>
        <w:tc>
          <w:tcPr>
            <w:tcW w:w="654" w:type="dxa"/>
            <w:vAlign w:val="center"/>
          </w:tcPr>
          <w:p w14:paraId="3DBA1EB3" w14:textId="77777777" w:rsidR="00F8503D" w:rsidRDefault="0033067D">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w:t>
            </w:r>
          </w:p>
        </w:tc>
        <w:tc>
          <w:tcPr>
            <w:tcW w:w="6541" w:type="dxa"/>
            <w:vAlign w:val="center"/>
          </w:tcPr>
          <w:p w14:paraId="28387ECA" w14:textId="77777777" w:rsidR="00F8503D" w:rsidRDefault="0033067D" w:rsidP="7B188CE2">
            <w:pPr>
              <w:pBdr>
                <w:top w:val="nil"/>
                <w:left w:val="nil"/>
                <w:bottom w:val="nil"/>
                <w:right w:val="nil"/>
                <w:between w:val="nil"/>
              </w:pBdr>
              <w:spacing w:line="276" w:lineRule="auto"/>
              <w:rPr>
                <w:rFonts w:ascii="Verdana" w:eastAsia="Verdana" w:hAnsi="Verdana" w:cs="Verdana"/>
                <w:color w:val="000000"/>
                <w:sz w:val="20"/>
                <w:szCs w:val="20"/>
                <w:lang w:val="en-US"/>
              </w:rPr>
            </w:pPr>
            <w:r w:rsidRPr="7B188CE2">
              <w:rPr>
                <w:rFonts w:ascii="Verdana" w:eastAsia="Verdana" w:hAnsi="Verdana" w:cs="Verdana"/>
                <w:color w:val="000000" w:themeColor="text1"/>
                <w:sz w:val="20"/>
                <w:szCs w:val="20"/>
                <w:lang w:val="en-US"/>
              </w:rPr>
              <w:t>represents WIOA</w:t>
            </w:r>
          </w:p>
        </w:tc>
      </w:tr>
      <w:tr w:rsidR="00F8503D" w14:paraId="63FA110C" w14:textId="77777777" w:rsidTr="7B188CE2">
        <w:trPr>
          <w:trHeight w:val="360"/>
        </w:trPr>
        <w:tc>
          <w:tcPr>
            <w:tcW w:w="654" w:type="dxa"/>
            <w:vAlign w:val="center"/>
          </w:tcPr>
          <w:p w14:paraId="2698E87C" w14:textId="77777777" w:rsidR="00F8503D" w:rsidRDefault="0033067D">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w:t>
            </w:r>
          </w:p>
        </w:tc>
        <w:tc>
          <w:tcPr>
            <w:tcW w:w="6541" w:type="dxa"/>
            <w:vAlign w:val="center"/>
          </w:tcPr>
          <w:p w14:paraId="531B9398" w14:textId="77777777" w:rsidR="00F8503D" w:rsidRDefault="0033067D" w:rsidP="7B188CE2">
            <w:pPr>
              <w:pBdr>
                <w:top w:val="nil"/>
                <w:left w:val="nil"/>
                <w:bottom w:val="nil"/>
                <w:right w:val="nil"/>
                <w:between w:val="nil"/>
              </w:pBdr>
              <w:spacing w:line="276" w:lineRule="auto"/>
              <w:rPr>
                <w:rFonts w:ascii="Verdana" w:eastAsia="Verdana" w:hAnsi="Verdana" w:cs="Verdana"/>
                <w:color w:val="000000"/>
                <w:sz w:val="20"/>
                <w:szCs w:val="20"/>
                <w:lang w:val="en-US"/>
              </w:rPr>
            </w:pPr>
            <w:r w:rsidRPr="7B188CE2">
              <w:rPr>
                <w:rFonts w:ascii="Verdana" w:eastAsia="Verdana" w:hAnsi="Verdana" w:cs="Verdana"/>
                <w:color w:val="000000" w:themeColor="text1"/>
                <w:sz w:val="20"/>
                <w:szCs w:val="20"/>
                <w:lang w:val="en-US"/>
              </w:rPr>
              <w:t>represents 34 CFR 462, 463</w:t>
            </w:r>
          </w:p>
        </w:tc>
      </w:tr>
      <w:tr w:rsidR="00F8503D" w14:paraId="047DB43B" w14:textId="77777777" w:rsidTr="7B188CE2">
        <w:trPr>
          <w:trHeight w:val="360"/>
        </w:trPr>
        <w:tc>
          <w:tcPr>
            <w:tcW w:w="654" w:type="dxa"/>
            <w:vAlign w:val="center"/>
          </w:tcPr>
          <w:p w14:paraId="0B6CE99B" w14:textId="77777777" w:rsidR="00F8503D" w:rsidRDefault="0033067D">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w:t>
            </w:r>
          </w:p>
        </w:tc>
        <w:tc>
          <w:tcPr>
            <w:tcW w:w="6541" w:type="dxa"/>
            <w:vAlign w:val="center"/>
          </w:tcPr>
          <w:p w14:paraId="6C4A9687" w14:textId="77777777" w:rsidR="00F8503D" w:rsidRDefault="0033067D" w:rsidP="7B188CE2">
            <w:pPr>
              <w:pBdr>
                <w:top w:val="nil"/>
                <w:left w:val="nil"/>
                <w:bottom w:val="nil"/>
                <w:right w:val="nil"/>
                <w:between w:val="nil"/>
              </w:pBdr>
              <w:spacing w:line="276" w:lineRule="auto"/>
              <w:rPr>
                <w:rFonts w:ascii="Verdana" w:eastAsia="Verdana" w:hAnsi="Verdana" w:cs="Verdana"/>
                <w:color w:val="000000"/>
                <w:sz w:val="20"/>
                <w:szCs w:val="20"/>
                <w:lang w:val="en-US"/>
              </w:rPr>
            </w:pPr>
            <w:r w:rsidRPr="7B188CE2">
              <w:rPr>
                <w:rFonts w:ascii="Verdana" w:eastAsia="Verdana" w:hAnsi="Verdana" w:cs="Verdana"/>
                <w:color w:val="000000" w:themeColor="text1"/>
                <w:sz w:val="20"/>
                <w:szCs w:val="20"/>
                <w:lang w:val="en-US"/>
              </w:rPr>
              <w:t>represents the National Reporting System for Adult Education</w:t>
            </w:r>
          </w:p>
        </w:tc>
      </w:tr>
    </w:tbl>
    <w:p w14:paraId="6577E039"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2E1CBAA" w14:textId="5627E7CF"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Adult Education* or Adult </w:t>
      </w:r>
      <w:r w:rsidR="00FF4575">
        <w:rPr>
          <w:rFonts w:ascii="Arial" w:eastAsia="Arial" w:hAnsi="Arial" w:cs="Arial"/>
          <w:b/>
          <w:bCs/>
          <w:i/>
          <w:iCs/>
          <w:color w:val="000000"/>
        </w:rPr>
        <w:t>Basic</w:t>
      </w:r>
      <w:r>
        <w:rPr>
          <w:rFonts w:ascii="Arial" w:eastAsia="Arial" w:hAnsi="Arial" w:cs="Arial"/>
          <w:b/>
          <w:bCs/>
          <w:i/>
          <w:iCs/>
          <w:color w:val="000000"/>
        </w:rPr>
        <w:t xml:space="preserve"> Skills</w:t>
      </w:r>
    </w:p>
    <w:p w14:paraId="6B4F143E" w14:textId="754781A4"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term “adult education” or “adult </w:t>
      </w:r>
      <w:r w:rsidR="00FF4575">
        <w:rPr>
          <w:rFonts w:ascii="Verdana" w:eastAsia="Verdana" w:hAnsi="Verdana" w:cs="Verdana"/>
          <w:color w:val="000000"/>
          <w:sz w:val="23"/>
          <w:szCs w:val="23"/>
        </w:rPr>
        <w:t>Basic</w:t>
      </w:r>
      <w:r>
        <w:rPr>
          <w:rFonts w:ascii="Verdana" w:eastAsia="Verdana" w:hAnsi="Verdana" w:cs="Verdana"/>
          <w:color w:val="000000"/>
          <w:sz w:val="23"/>
          <w:szCs w:val="23"/>
        </w:rPr>
        <w:t xml:space="preserve"> skills” (in Oregon) means academic instruction and education services below the postsecondary level that increase an individual’s ability to: </w:t>
      </w:r>
    </w:p>
    <w:p w14:paraId="53C88668" w14:textId="77777777" w:rsidR="00F8503D" w:rsidRDefault="0033067D">
      <w:pPr>
        <w:numPr>
          <w:ilvl w:val="0"/>
          <w:numId w:val="46"/>
        </w:numPr>
        <w:pBdr>
          <w:top w:val="nil"/>
          <w:left w:val="nil"/>
          <w:bottom w:val="nil"/>
          <w:right w:val="nil"/>
          <w:between w:val="nil"/>
        </w:pBdr>
        <w:spacing w:after="160" w:line="276" w:lineRule="auto"/>
      </w:pPr>
      <w:r>
        <w:rPr>
          <w:rFonts w:ascii="Verdana" w:eastAsia="Verdana" w:hAnsi="Verdana" w:cs="Verdana"/>
          <w:color w:val="000000"/>
          <w:sz w:val="23"/>
          <w:szCs w:val="23"/>
        </w:rPr>
        <w:t>Read, write, and speak in English and perform mathematics or other activities necessary for the attainment of a secondary school diploma or its recognized equivalent;</w:t>
      </w:r>
    </w:p>
    <w:p w14:paraId="4ED93599" w14:textId="77777777" w:rsidR="00F8503D" w:rsidRDefault="0033067D">
      <w:pPr>
        <w:numPr>
          <w:ilvl w:val="0"/>
          <w:numId w:val="46"/>
        </w:numPr>
        <w:pBdr>
          <w:top w:val="nil"/>
          <w:left w:val="nil"/>
          <w:bottom w:val="nil"/>
          <w:right w:val="nil"/>
          <w:between w:val="nil"/>
        </w:pBdr>
        <w:spacing w:after="160" w:line="276" w:lineRule="auto"/>
      </w:pPr>
      <w:r>
        <w:rPr>
          <w:rFonts w:ascii="Verdana" w:eastAsia="Verdana" w:hAnsi="Verdana" w:cs="Verdana"/>
          <w:color w:val="000000"/>
          <w:sz w:val="23"/>
          <w:szCs w:val="23"/>
        </w:rPr>
        <w:t>Transition to postsecondary education and training; and Obtain employment.</w:t>
      </w:r>
    </w:p>
    <w:p w14:paraId="7DEA050C"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Adult Education and Literacy Activities*</w:t>
      </w:r>
    </w:p>
    <w:p w14:paraId="15D08EB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“adult education and literacy activities” means programs, activities and services that include adult education, literacy, workplace adult education and literacy activities, family literacy activities, English language acquisition activities, integrated English literacy and civics education, workforce preparation activities, or integrated education and training.</w:t>
      </w:r>
    </w:p>
    <w:p w14:paraId="7D0048AA" w14:textId="28834BBC"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Adult </w:t>
      </w:r>
      <w:r w:rsidR="00FF4575">
        <w:rPr>
          <w:rFonts w:ascii="Arial" w:eastAsia="Arial" w:hAnsi="Arial" w:cs="Arial"/>
          <w:b/>
          <w:bCs/>
          <w:i/>
          <w:iCs/>
          <w:color w:val="000000"/>
        </w:rPr>
        <w:t>Basic</w:t>
      </w:r>
      <w:r>
        <w:rPr>
          <w:rFonts w:ascii="Arial" w:eastAsia="Arial" w:hAnsi="Arial" w:cs="Arial"/>
          <w:b/>
          <w:bCs/>
          <w:i/>
          <w:iCs/>
          <w:color w:val="000000"/>
        </w:rPr>
        <w:t xml:space="preserve"> Education (ABE)**</w:t>
      </w:r>
    </w:p>
    <w:p w14:paraId="0EF08C76" w14:textId="3FD11E3A"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term “Adult </w:t>
      </w:r>
      <w:r w:rsidR="00FF4575">
        <w:rPr>
          <w:rFonts w:ascii="Verdana" w:eastAsia="Verdana" w:hAnsi="Verdana" w:cs="Verdana"/>
          <w:color w:val="000000"/>
          <w:sz w:val="23"/>
          <w:szCs w:val="23"/>
        </w:rPr>
        <w:t>Basic</w:t>
      </w:r>
      <w:r>
        <w:rPr>
          <w:rFonts w:ascii="Verdana" w:eastAsia="Verdana" w:hAnsi="Verdana" w:cs="Verdana"/>
          <w:color w:val="000000"/>
          <w:sz w:val="23"/>
          <w:szCs w:val="23"/>
        </w:rPr>
        <w:t xml:space="preserve"> Education” means instruction designed for an adult whose educational functioning level is equivalent to a particular ABE level described in the National Reporting System educational functioning level table in the Implementation Guidelines.</w:t>
      </w:r>
    </w:p>
    <w:p w14:paraId="3D49312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Adult Secondary Education (ASE)**</w:t>
      </w:r>
    </w:p>
    <w:p w14:paraId="3BEF9E67"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“Adult Secondary Education” means instruction designed for an adult whose educational functioning level is equivalent to a particular ASE level described in the National Reporting System educational functioning level table in the Implementation Guidelines.</w:t>
      </w:r>
    </w:p>
    <w:p w14:paraId="729CAB35"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Community-Based Organization*</w:t>
      </w:r>
    </w:p>
    <w:p w14:paraId="7F610FA1"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The term “community-based organization” means a private nonprofit organization (which may include a faith-based organization), that is representative of a community or a significant segment of a community and </w:t>
      </w:r>
      <w:r w:rsidRPr="7B188CE2">
        <w:rPr>
          <w:rFonts w:ascii="Verdana" w:eastAsia="Verdana" w:hAnsi="Verdana" w:cs="Verdana"/>
          <w:color w:val="000000" w:themeColor="text1"/>
          <w:sz w:val="23"/>
          <w:szCs w:val="23"/>
          <w:lang w:val="en-US"/>
        </w:rPr>
        <w:lastRenderedPageBreak/>
        <w:t>that has demonstrated expertise and effectiveness in the field of workforce development.</w:t>
      </w:r>
    </w:p>
    <w:p w14:paraId="49A18B99"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Concurrent Enrollment or Co-Enrollment**</w:t>
      </w:r>
    </w:p>
    <w:p w14:paraId="55754D04"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terms “concurrent enrollment or co-enrollment” refer to enrollment by an eligible individual in two or more of the six core programs administered under WIOA.</w:t>
      </w:r>
    </w:p>
    <w:p w14:paraId="10186387"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Content Domains, Content Specifications, or NRS Skill Areas**</w:t>
      </w:r>
    </w:p>
    <w:p w14:paraId="12AEFA0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terms “content domains, content specifications, or NRS skill areas” mean, for the purpose of the National Reporting System, reading, writing, and speaking the English language, mathematics, problem solving, English language acquisition, and other literacy skills as defined by the Secretary.</w:t>
      </w:r>
    </w:p>
    <w:p w14:paraId="5DBB8D8D"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Core Programs</w:t>
      </w:r>
    </w:p>
    <w:p w14:paraId="7F324956"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Core Programs under WIOA are Adult and Dislocated Worker Employment and Training (Title I), Youth (Title I), Adult Education and Literacy (Title II), Wagner-Peyser (Title III), and Vocational Rehabilitation (Title IV). </w:t>
      </w:r>
    </w:p>
    <w:p w14:paraId="473476C1"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Correctional Institution*</w:t>
      </w:r>
    </w:p>
    <w:p w14:paraId="42BCB68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term “correctional institution” means any: </w:t>
      </w:r>
    </w:p>
    <w:p w14:paraId="5CB3793D" w14:textId="77777777" w:rsidR="00F8503D" w:rsidRDefault="0033067D">
      <w:pPr>
        <w:numPr>
          <w:ilvl w:val="0"/>
          <w:numId w:val="47"/>
        </w:numPr>
        <w:pBdr>
          <w:top w:val="nil"/>
          <w:left w:val="nil"/>
          <w:bottom w:val="nil"/>
          <w:right w:val="nil"/>
          <w:between w:val="nil"/>
        </w:pBdr>
        <w:spacing w:after="160" w:line="276" w:lineRule="auto"/>
      </w:pPr>
      <w:r>
        <w:rPr>
          <w:rFonts w:ascii="Verdana" w:eastAsia="Verdana" w:hAnsi="Verdana" w:cs="Verdana"/>
          <w:color w:val="000000"/>
          <w:sz w:val="23"/>
          <w:szCs w:val="23"/>
        </w:rPr>
        <w:t>Prison Jail</w:t>
      </w:r>
    </w:p>
    <w:p w14:paraId="6C3F0056" w14:textId="77777777" w:rsidR="00F8503D" w:rsidRDefault="0033067D">
      <w:pPr>
        <w:numPr>
          <w:ilvl w:val="0"/>
          <w:numId w:val="47"/>
        </w:numPr>
        <w:pBdr>
          <w:top w:val="nil"/>
          <w:left w:val="nil"/>
          <w:bottom w:val="nil"/>
          <w:right w:val="nil"/>
          <w:between w:val="nil"/>
        </w:pBdr>
        <w:spacing w:after="160" w:line="276" w:lineRule="auto"/>
      </w:pPr>
      <w:r>
        <w:rPr>
          <w:rFonts w:ascii="Verdana" w:eastAsia="Verdana" w:hAnsi="Verdana" w:cs="Verdana"/>
          <w:color w:val="000000"/>
          <w:sz w:val="23"/>
          <w:szCs w:val="23"/>
        </w:rPr>
        <w:t>Reformatory Work farm Detention center Halfway house</w:t>
      </w:r>
    </w:p>
    <w:p w14:paraId="47FCC1A7" w14:textId="77777777" w:rsidR="00F8503D" w:rsidRDefault="0033067D">
      <w:pPr>
        <w:numPr>
          <w:ilvl w:val="0"/>
          <w:numId w:val="47"/>
        </w:numPr>
        <w:pBdr>
          <w:top w:val="nil"/>
          <w:left w:val="nil"/>
          <w:bottom w:val="nil"/>
          <w:right w:val="nil"/>
          <w:between w:val="nil"/>
        </w:pBdr>
        <w:spacing w:after="160" w:line="276" w:lineRule="auto"/>
      </w:pPr>
      <w:r>
        <w:rPr>
          <w:rFonts w:ascii="Verdana" w:eastAsia="Verdana" w:hAnsi="Verdana" w:cs="Verdana"/>
          <w:color w:val="000000"/>
          <w:sz w:val="23"/>
          <w:szCs w:val="23"/>
        </w:rPr>
        <w:t>Community-based rehabilitation center</w:t>
      </w:r>
    </w:p>
    <w:p w14:paraId="469DF869" w14:textId="77777777" w:rsidR="00F8503D" w:rsidRDefault="0033067D">
      <w:pPr>
        <w:numPr>
          <w:ilvl w:val="0"/>
          <w:numId w:val="47"/>
        </w:numPr>
        <w:pBdr>
          <w:top w:val="nil"/>
          <w:left w:val="nil"/>
          <w:bottom w:val="nil"/>
          <w:right w:val="nil"/>
          <w:between w:val="nil"/>
        </w:pBdr>
        <w:spacing w:after="160" w:line="276" w:lineRule="auto"/>
      </w:pPr>
      <w:r>
        <w:rPr>
          <w:rFonts w:ascii="Verdana" w:eastAsia="Verdana" w:hAnsi="Verdana" w:cs="Verdana"/>
          <w:color w:val="000000"/>
          <w:sz w:val="23"/>
          <w:szCs w:val="23"/>
        </w:rPr>
        <w:t>Any other similar institution designed for the confinement or rehabilitation of criminal offenders</w:t>
      </w:r>
    </w:p>
    <w:p w14:paraId="354FBEB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Digital Literacy**</w:t>
      </w:r>
    </w:p>
    <w:p w14:paraId="4F53716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“digital literacy” means the skills associated with using technology to enable users to find, evaluate, organize, create, and communicate information.</w:t>
      </w:r>
    </w:p>
    <w:p w14:paraId="4F31715A"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Educational Functioning Levels (EFLs)**</w:t>
      </w:r>
    </w:p>
    <w:p w14:paraId="36D65EB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“educational functioning levels” means the six ABE/ASE levels and six ESL levels, as provided in the NRS Guidelines.</w:t>
      </w:r>
    </w:p>
    <w:p w14:paraId="58FD58B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EFL Descriptors***</w:t>
      </w:r>
    </w:p>
    <w:p w14:paraId="0A415F7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EFL descriptors are entry-level descriptors and are illustrative of what a typical student functioning at that level should be able to do. They are not a full description of skills for a particular level.</w:t>
      </w:r>
    </w:p>
    <w:p w14:paraId="08F7284D"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Eligible Agency*</w:t>
      </w:r>
    </w:p>
    <w:p w14:paraId="0CD1D8E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“eligible agency” means the sole entity or agency in a State or an outlying area responsible for administering or supervising policy for adult education and literacy activities in the State or outlying area, respectively, consistent with the law of the State or outlying area, respectively.</w:t>
      </w:r>
    </w:p>
    <w:p w14:paraId="697BFCD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Individuals with Barriers to Employment*</w:t>
      </w:r>
    </w:p>
    <w:p w14:paraId="549F06B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‘‘individuals with barriers to employment’’ means members of one or more of the following populations:</w:t>
      </w:r>
    </w:p>
    <w:p w14:paraId="73D26390"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Displaced homemakers; </w:t>
      </w:r>
    </w:p>
    <w:p w14:paraId="69428285"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Low-income individuals;</w:t>
      </w:r>
    </w:p>
    <w:p w14:paraId="37962838" w14:textId="77777777" w:rsidR="00F8503D" w:rsidRDefault="0033067D">
      <w:pPr>
        <w:numPr>
          <w:ilvl w:val="0"/>
          <w:numId w:val="48"/>
        </w:numPr>
        <w:pBdr>
          <w:top w:val="nil"/>
          <w:left w:val="nil"/>
          <w:bottom w:val="nil"/>
          <w:right w:val="nil"/>
          <w:between w:val="nil"/>
        </w:pBdr>
        <w:spacing w:after="160" w:line="276" w:lineRule="auto"/>
        <w:rPr>
          <w:rFonts w:ascii="Verdana" w:eastAsia="Verdana" w:hAnsi="Verdana" w:cs="Verdana"/>
          <w:color w:val="000000" w:themeColor="text1"/>
          <w:sz w:val="23"/>
          <w:szCs w:val="23"/>
        </w:rPr>
      </w:pPr>
      <w:r w:rsidRPr="0E6AD713">
        <w:rPr>
          <w:rFonts w:ascii="Verdana" w:eastAsia="Verdana" w:hAnsi="Verdana" w:cs="Verdana"/>
          <w:color w:val="000000" w:themeColor="text1"/>
          <w:sz w:val="23"/>
          <w:szCs w:val="23"/>
        </w:rPr>
        <w:t xml:space="preserve">Indians, Alaska Natives, and Native Hawaiians, as such terms are defined in section 166; </w:t>
      </w:r>
    </w:p>
    <w:p w14:paraId="1691C882"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Individuals with disabilities, including youth who are individuals with disabilities; </w:t>
      </w:r>
    </w:p>
    <w:p w14:paraId="71C5E6BC"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Older individuals; </w:t>
      </w:r>
    </w:p>
    <w:p w14:paraId="5031AD63"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Ex-offenders;</w:t>
      </w:r>
    </w:p>
    <w:p w14:paraId="1CD588CE" w14:textId="77777777" w:rsidR="00F8503D" w:rsidRDefault="0033067D">
      <w:pPr>
        <w:numPr>
          <w:ilvl w:val="0"/>
          <w:numId w:val="48"/>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 xml:space="preserve">Homeless individuals (as defined in section 41403(6) of the Violence Against Women Act of 1994 (42 U.S.C. 14043e–2(6))), or homeless children and youths (as H. R. 803—10 defined in section 725(2) of the McKinney-Vento Homeless Assistance Act (42 U.S.C. 11434a(2))); </w:t>
      </w:r>
    </w:p>
    <w:p w14:paraId="46EE1882"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Youth who are in or have aged out of the foster care system;</w:t>
      </w:r>
    </w:p>
    <w:p w14:paraId="372F0C9E" w14:textId="77777777" w:rsidR="00F8503D" w:rsidRDefault="0033067D">
      <w:pPr>
        <w:numPr>
          <w:ilvl w:val="0"/>
          <w:numId w:val="48"/>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Individuals who are English language learners, individuals who have low levels of literacy, and individuals facing substantial cultural barriers;</w:t>
      </w:r>
    </w:p>
    <w:p w14:paraId="2303D7A0" w14:textId="77777777" w:rsidR="00F8503D" w:rsidRDefault="0033067D">
      <w:pPr>
        <w:numPr>
          <w:ilvl w:val="0"/>
          <w:numId w:val="48"/>
        </w:numPr>
        <w:pBdr>
          <w:top w:val="nil"/>
          <w:left w:val="nil"/>
          <w:bottom w:val="nil"/>
          <w:right w:val="nil"/>
          <w:between w:val="nil"/>
        </w:pBdr>
        <w:spacing w:after="160" w:line="276" w:lineRule="auto"/>
      </w:pPr>
      <w:r w:rsidRPr="26274FD9">
        <w:rPr>
          <w:rFonts w:ascii="Verdana" w:eastAsia="Verdana" w:hAnsi="Verdana" w:cs="Verdana"/>
          <w:color w:val="000000" w:themeColor="text1"/>
          <w:sz w:val="23"/>
          <w:szCs w:val="23"/>
          <w:lang w:val="en-US"/>
        </w:rPr>
        <w:t>Eligible migrant and seasonal farmworkers, as defined in section 167(i);</w:t>
      </w:r>
    </w:p>
    <w:p w14:paraId="6573E0E0"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Individuals within 2 years of exhausting lifetime eligibility under part A of title IV of the Social Security Act (42 U.S.C. 601 et seq.);</w:t>
      </w:r>
    </w:p>
    <w:p w14:paraId="2986E3B8" w14:textId="77777777" w:rsidR="00F8503D" w:rsidRDefault="0033067D">
      <w:pPr>
        <w:numPr>
          <w:ilvl w:val="0"/>
          <w:numId w:val="48"/>
        </w:numPr>
        <w:pBdr>
          <w:top w:val="nil"/>
          <w:left w:val="nil"/>
          <w:bottom w:val="nil"/>
          <w:right w:val="nil"/>
          <w:between w:val="nil"/>
        </w:pBdr>
        <w:spacing w:after="160" w:line="276" w:lineRule="auto"/>
      </w:pPr>
      <w:r>
        <w:rPr>
          <w:rFonts w:ascii="Verdana" w:eastAsia="Verdana" w:hAnsi="Verdana" w:cs="Verdana"/>
          <w:color w:val="000000"/>
          <w:sz w:val="23"/>
          <w:szCs w:val="23"/>
        </w:rPr>
        <w:t>Single parents (including single pregnant women); Long-term unemployed individuals; and</w:t>
      </w:r>
    </w:p>
    <w:p w14:paraId="36DAC45D" w14:textId="77777777" w:rsidR="00F8503D" w:rsidRDefault="0033067D">
      <w:pPr>
        <w:numPr>
          <w:ilvl w:val="0"/>
          <w:numId w:val="48"/>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Such other groups as the Governor involved determines to have barriers to employment.</w:t>
      </w:r>
    </w:p>
    <w:p w14:paraId="01ABF84F"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Implementation Guidelines: Measures and Methods for the National Reporting System (NRS) for Adult Education**</w:t>
      </w:r>
    </w:p>
    <w:p w14:paraId="3D619DF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(OMB Control Number: 1830–0027) Also known as the NRS Implementation Guidelines, posted on the NRS website at </w:t>
      </w:r>
      <w:hyperlink r:id="rId77">
        <w:r>
          <w:rPr>
            <w:rFonts w:ascii="Verdana" w:eastAsia="Verdana" w:hAnsi="Verdana" w:cs="Verdana"/>
            <w:color w:val="0000FF"/>
            <w:sz w:val="23"/>
            <w:szCs w:val="23"/>
          </w:rPr>
          <w:t>www.nrsweb.org</w:t>
        </w:r>
      </w:hyperlink>
      <w:r>
        <w:rPr>
          <w:rFonts w:ascii="Verdana" w:eastAsia="Verdana" w:hAnsi="Verdana" w:cs="Verdana"/>
          <w:color w:val="000000"/>
          <w:sz w:val="23"/>
          <w:szCs w:val="23"/>
        </w:rPr>
        <w:t xml:space="preserve">. </w:t>
      </w:r>
    </w:p>
    <w:p w14:paraId="64F67143"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Institution of Higher Education</w:t>
      </w:r>
    </w:p>
    <w:p w14:paraId="5D640855"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term “institution of higher education,” as referenced in section 101 of the Higher Education Act of 1965 (20 U.S.C. 1001), means an educational institution in any State that: </w:t>
      </w:r>
    </w:p>
    <w:p w14:paraId="61A07B6B" w14:textId="77777777" w:rsidR="00F8503D" w:rsidRDefault="0033067D">
      <w:pPr>
        <w:numPr>
          <w:ilvl w:val="0"/>
          <w:numId w:val="49"/>
        </w:numPr>
        <w:pBdr>
          <w:top w:val="nil"/>
          <w:left w:val="nil"/>
          <w:bottom w:val="nil"/>
          <w:right w:val="nil"/>
          <w:between w:val="nil"/>
        </w:pBdr>
        <w:spacing w:after="160" w:line="276" w:lineRule="auto"/>
      </w:pPr>
      <w:r>
        <w:rPr>
          <w:rFonts w:ascii="Verdana" w:eastAsia="Verdana" w:hAnsi="Verdana" w:cs="Verdana"/>
          <w:color w:val="000000"/>
          <w:sz w:val="23"/>
          <w:szCs w:val="23"/>
        </w:rPr>
        <w:t>Admits as regular students only persons having a certificate of graduation from a school providing secondary education, or the recognized equivalent of such a certificate;</w:t>
      </w:r>
    </w:p>
    <w:p w14:paraId="64ABB034" w14:textId="77777777" w:rsidR="00F8503D" w:rsidRDefault="0033067D">
      <w:pPr>
        <w:numPr>
          <w:ilvl w:val="0"/>
          <w:numId w:val="49"/>
        </w:numPr>
        <w:pBdr>
          <w:top w:val="nil"/>
          <w:left w:val="nil"/>
          <w:bottom w:val="nil"/>
          <w:right w:val="nil"/>
          <w:between w:val="nil"/>
        </w:pBdr>
        <w:spacing w:after="160" w:line="276" w:lineRule="auto"/>
      </w:pPr>
      <w:r>
        <w:rPr>
          <w:rFonts w:ascii="Verdana" w:eastAsia="Verdana" w:hAnsi="Verdana" w:cs="Verdana"/>
          <w:color w:val="000000"/>
          <w:sz w:val="23"/>
          <w:szCs w:val="23"/>
        </w:rPr>
        <w:t>Is legally authorized within such State to provide a program of education beyond secondary education;</w:t>
      </w:r>
    </w:p>
    <w:p w14:paraId="2993B028" w14:textId="77777777" w:rsidR="00F8503D" w:rsidRDefault="0033067D">
      <w:pPr>
        <w:numPr>
          <w:ilvl w:val="0"/>
          <w:numId w:val="49"/>
        </w:numPr>
        <w:pBdr>
          <w:top w:val="nil"/>
          <w:left w:val="nil"/>
          <w:bottom w:val="nil"/>
          <w:right w:val="nil"/>
          <w:between w:val="nil"/>
        </w:pBdr>
        <w:spacing w:after="160" w:line="276" w:lineRule="auto"/>
      </w:pPr>
      <w:r>
        <w:rPr>
          <w:rFonts w:ascii="Verdana" w:eastAsia="Verdana" w:hAnsi="Verdana" w:cs="Verdana"/>
          <w:color w:val="000000"/>
          <w:sz w:val="23"/>
          <w:szCs w:val="23"/>
        </w:rPr>
        <w:t>Provides an educational program for which the institution awards a bachelor's degree or provides not less than a two-year program that is acceptable for full credit toward such a degree;</w:t>
      </w:r>
    </w:p>
    <w:p w14:paraId="21D9AC46" w14:textId="77777777" w:rsidR="00F8503D" w:rsidRDefault="0033067D">
      <w:pPr>
        <w:numPr>
          <w:ilvl w:val="0"/>
          <w:numId w:val="49"/>
        </w:numPr>
        <w:pBdr>
          <w:top w:val="nil"/>
          <w:left w:val="nil"/>
          <w:bottom w:val="nil"/>
          <w:right w:val="nil"/>
          <w:between w:val="nil"/>
        </w:pBdr>
        <w:spacing w:after="160" w:line="276" w:lineRule="auto"/>
      </w:pPr>
      <w:r>
        <w:rPr>
          <w:rFonts w:ascii="Verdana" w:eastAsia="Verdana" w:hAnsi="Verdana" w:cs="Verdana"/>
          <w:color w:val="000000"/>
          <w:sz w:val="23"/>
          <w:szCs w:val="23"/>
        </w:rPr>
        <w:t>Is a public or other nonprofit institution; and</w:t>
      </w:r>
    </w:p>
    <w:p w14:paraId="36B2C6AF" w14:textId="77777777" w:rsidR="00F8503D" w:rsidRDefault="0033067D">
      <w:pPr>
        <w:numPr>
          <w:ilvl w:val="0"/>
          <w:numId w:val="49"/>
        </w:numPr>
        <w:pBdr>
          <w:top w:val="nil"/>
          <w:left w:val="nil"/>
          <w:bottom w:val="nil"/>
          <w:right w:val="nil"/>
          <w:between w:val="nil"/>
        </w:pBdr>
        <w:spacing w:after="160" w:line="276" w:lineRule="auto"/>
      </w:pPr>
      <w:r>
        <w:rPr>
          <w:rFonts w:ascii="Verdana" w:eastAsia="Verdana" w:hAnsi="Verdana" w:cs="Verdana"/>
          <w:color w:val="000000"/>
          <w:sz w:val="23"/>
          <w:szCs w:val="23"/>
        </w:rPr>
        <w:t>Is accredited by a nationally recognized accrediting agency or association, or if not so accredited, is an institution that has been granted pre-accreditation status by such an agency or association that has been recognized by the Secretary for the granting of pre-accreditation status, and the Secretary has determined that there is satisfactory assurance that the institution will meet the accreditation standards of such an agency or association within a reasonable time.</w:t>
      </w:r>
    </w:p>
    <w:p w14:paraId="037CE57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Literacy*</w:t>
      </w:r>
    </w:p>
    <w:p w14:paraId="697BE16A"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 xml:space="preserve">The term “literacy” means an individual’s ability to read, write, and speak in English, compute, and solve problems, at levels of proficiency necessary to function on the job, in the family of the individual, and in society. </w:t>
      </w:r>
    </w:p>
    <w:p w14:paraId="5083A1E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National Reporting System (NRS)**</w:t>
      </w:r>
    </w:p>
    <w:p w14:paraId="64E6370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The National Reporting System (NRS) is the accountability system for the federally funded, State-administered adult education program. It addresses the accountability requirements of the Adult Education and Family Literacy Act, Title II of WIOA. The NRS Implementation Guidelines: Measures and Methods for the National Reporting System (NRS) for Adult Education are posted at </w:t>
      </w:r>
      <w:hyperlink r:id="rId78">
        <w:r>
          <w:rPr>
            <w:rFonts w:ascii="Verdana" w:eastAsia="Verdana" w:hAnsi="Verdana" w:cs="Verdana"/>
            <w:color w:val="0000FF"/>
            <w:sz w:val="23"/>
            <w:szCs w:val="23"/>
          </w:rPr>
          <w:t>www.nrsweb.org</w:t>
        </w:r>
      </w:hyperlink>
      <w:r>
        <w:rPr>
          <w:rFonts w:ascii="Verdana" w:eastAsia="Verdana" w:hAnsi="Verdana" w:cs="Verdana"/>
          <w:color w:val="000000"/>
          <w:sz w:val="23"/>
          <w:szCs w:val="23"/>
        </w:rPr>
        <w:t>.</w:t>
      </w:r>
    </w:p>
    <w:p w14:paraId="6EDA4F99"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 xml:space="preserve">Oregon Assessment Certification </w:t>
      </w:r>
    </w:p>
    <w:p w14:paraId="482CA009" w14:textId="1AA8EBE9"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To be certified to administer CASAS tests in Oregon, test administrators must complete the trainings for those instruments. In addition, they must read assigned sections of the Oregon Policy Manual, sign a form that verifies that they have read the passages, and return the signature page to CCWD. See instructions in Section 10, Appendix.</w:t>
      </w:r>
    </w:p>
    <w:p w14:paraId="7304520F"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Peer Tutoring**</w:t>
      </w:r>
    </w:p>
    <w:p w14:paraId="07CCECA8" w14:textId="77777777" w:rsidR="00F8503D" w:rsidRDefault="0033067D" w:rsidP="7B188CE2">
      <w:pPr>
        <w:pBdr>
          <w:top w:val="nil"/>
          <w:left w:val="nil"/>
          <w:bottom w:val="nil"/>
          <w:right w:val="nil"/>
          <w:between w:val="nil"/>
        </w:pBdr>
        <w:spacing w:after="160" w:line="276" w:lineRule="auto"/>
        <w:rPr>
          <w:rFonts w:ascii="Verdana" w:eastAsia="Verdana" w:hAnsi="Verdana" w:cs="Verdana"/>
          <w:color w:val="000000"/>
          <w:sz w:val="23"/>
          <w:szCs w:val="23"/>
          <w:lang w:val="en-US"/>
        </w:rPr>
      </w:pPr>
      <w:r w:rsidRPr="7B188CE2">
        <w:rPr>
          <w:rFonts w:ascii="Verdana" w:eastAsia="Verdana" w:hAnsi="Verdana" w:cs="Verdana"/>
          <w:color w:val="000000" w:themeColor="text1"/>
          <w:sz w:val="23"/>
          <w:szCs w:val="23"/>
          <w:lang w:val="en-US"/>
        </w:rPr>
        <w:t>The term “peer tutoring” means an instructional model that utilizes one institutionalized individual to assist in providing or enhancing learning opportunities for other institutionalized individuals. A peer tutoring program must be structured and overseen by educators who assist with training and supervising tutors, setting educational goals, establishing an individualized plan of instruction, and monitoring progress.</w:t>
      </w:r>
    </w:p>
    <w:p w14:paraId="5B9FAF63"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Postsecondary Educational Institution*</w:t>
      </w:r>
    </w:p>
    <w:p w14:paraId="1818585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“postsecondary educational institution,” means:</w:t>
      </w:r>
    </w:p>
    <w:p w14:paraId="7900A563" w14:textId="77777777" w:rsidR="00F8503D" w:rsidRDefault="0033067D">
      <w:pPr>
        <w:numPr>
          <w:ilvl w:val="0"/>
          <w:numId w:val="50"/>
        </w:numPr>
        <w:pBdr>
          <w:top w:val="nil"/>
          <w:left w:val="nil"/>
          <w:bottom w:val="nil"/>
          <w:right w:val="nil"/>
          <w:between w:val="nil"/>
        </w:pBdr>
        <w:spacing w:after="160" w:line="276" w:lineRule="auto"/>
      </w:pPr>
      <w:r>
        <w:rPr>
          <w:rFonts w:ascii="Verdana" w:eastAsia="Verdana" w:hAnsi="Verdana" w:cs="Verdana"/>
          <w:color w:val="000000"/>
          <w:sz w:val="23"/>
          <w:szCs w:val="23"/>
        </w:rPr>
        <w:t>An institution of higher education that provides not less than a 2-year program of instruction that is acceptable for credit toward a bachelor’s degree;</w:t>
      </w:r>
    </w:p>
    <w:p w14:paraId="28D5CD3D" w14:textId="77777777" w:rsidR="00F8503D" w:rsidRDefault="0033067D">
      <w:pPr>
        <w:numPr>
          <w:ilvl w:val="0"/>
          <w:numId w:val="50"/>
        </w:numPr>
        <w:pBdr>
          <w:top w:val="nil"/>
          <w:left w:val="nil"/>
          <w:bottom w:val="nil"/>
          <w:right w:val="nil"/>
          <w:between w:val="nil"/>
        </w:pBdr>
        <w:spacing w:after="160" w:line="276" w:lineRule="auto"/>
      </w:pPr>
      <w:r>
        <w:rPr>
          <w:rFonts w:ascii="Verdana" w:eastAsia="Verdana" w:hAnsi="Verdana" w:cs="Verdana"/>
          <w:color w:val="000000"/>
          <w:sz w:val="23"/>
          <w:szCs w:val="23"/>
        </w:rPr>
        <w:t>A tribally controlled college or university; or</w:t>
      </w:r>
    </w:p>
    <w:p w14:paraId="2D2F63D2" w14:textId="77777777" w:rsidR="00F8503D" w:rsidRDefault="0033067D">
      <w:pPr>
        <w:numPr>
          <w:ilvl w:val="0"/>
          <w:numId w:val="50"/>
        </w:numPr>
        <w:pBdr>
          <w:top w:val="nil"/>
          <w:left w:val="nil"/>
          <w:bottom w:val="nil"/>
          <w:right w:val="nil"/>
          <w:between w:val="nil"/>
        </w:pBdr>
        <w:spacing w:after="160" w:line="276" w:lineRule="auto"/>
      </w:pPr>
      <w:r>
        <w:rPr>
          <w:rFonts w:ascii="Verdana" w:eastAsia="Verdana" w:hAnsi="Verdana" w:cs="Verdana"/>
          <w:color w:val="000000"/>
          <w:sz w:val="23"/>
          <w:szCs w:val="23"/>
        </w:rPr>
        <w:t>A nonprofit educational institution offering certificate or apprenticeship programs at the postsecondary level.</w:t>
      </w:r>
    </w:p>
    <w:p w14:paraId="0E152DC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Re-Entry and Post-Release Services**</w:t>
      </w:r>
    </w:p>
    <w:p w14:paraId="5D8A17D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terms “re-entry and post-release services” mean services provided to a formerly incarcerated individual upon or shortly after release from a correctional institution that are designed to promote successful adjustment to the community and prevent recidivism. Examples include education, employment services, substance abuse treatment, housing support, mental and physical health care, and family reunification services.</w:t>
      </w:r>
    </w:p>
    <w:p w14:paraId="15C25AB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Secretary*</w:t>
      </w:r>
    </w:p>
    <w:p w14:paraId="5C1E173C"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“Secretary,” means the Secretary of Education.</w:t>
      </w:r>
    </w:p>
    <w:p w14:paraId="096E37F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Training Services*</w:t>
      </w:r>
    </w:p>
    <w:p w14:paraId="64657FB4"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The term “training services,” as referenced in section 134(c) (3) of WIOA, may include:</w:t>
      </w:r>
    </w:p>
    <w:p w14:paraId="24E10418"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Occupational skills training, including training for nontraditional employment; </w:t>
      </w:r>
    </w:p>
    <w:p w14:paraId="6766CF2E"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lastRenderedPageBreak/>
        <w:t>On-the-job training;</w:t>
      </w:r>
    </w:p>
    <w:p w14:paraId="6E26F5F8"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Incumbent worker training;</w:t>
      </w:r>
    </w:p>
    <w:p w14:paraId="67B71843"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Programs that combine workplace training with related instruction, which may include cooperative education programs;</w:t>
      </w:r>
    </w:p>
    <w:p w14:paraId="762AB534" w14:textId="77777777" w:rsidR="00F8503D" w:rsidRDefault="0033067D">
      <w:pPr>
        <w:numPr>
          <w:ilvl w:val="0"/>
          <w:numId w:val="51"/>
        </w:numPr>
        <w:pBdr>
          <w:top w:val="nil"/>
          <w:left w:val="nil"/>
          <w:bottom w:val="nil"/>
          <w:right w:val="nil"/>
          <w:between w:val="nil"/>
        </w:pBdr>
        <w:spacing w:after="160" w:line="276" w:lineRule="auto"/>
      </w:pPr>
      <w:r w:rsidRPr="7B188CE2">
        <w:rPr>
          <w:rFonts w:ascii="Verdana" w:eastAsia="Verdana" w:hAnsi="Verdana" w:cs="Verdana"/>
          <w:color w:val="000000" w:themeColor="text1"/>
          <w:sz w:val="23"/>
          <w:szCs w:val="23"/>
          <w:lang w:val="en-US"/>
        </w:rPr>
        <w:t>Training programs operated by the private sector; Skill upgrading and retraining;</w:t>
      </w:r>
    </w:p>
    <w:p w14:paraId="5F767730"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 xml:space="preserve">Entrepreneurial training; </w:t>
      </w:r>
    </w:p>
    <w:p w14:paraId="5EC74A79"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Transitional jobs;</w:t>
      </w:r>
    </w:p>
    <w:p w14:paraId="1E80DC3A"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Job readiness training provided in combination with the services above;</w:t>
      </w:r>
    </w:p>
    <w:p w14:paraId="508D4F7F"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Adult education and literacy activities, including activities of English language acquisition and integrated education and training programs, provided concurrently or in combination with the services above; and</w:t>
      </w:r>
    </w:p>
    <w:p w14:paraId="582F9E57" w14:textId="77777777" w:rsidR="00F8503D" w:rsidRDefault="0033067D">
      <w:pPr>
        <w:numPr>
          <w:ilvl w:val="0"/>
          <w:numId w:val="51"/>
        </w:numPr>
        <w:pBdr>
          <w:top w:val="nil"/>
          <w:left w:val="nil"/>
          <w:bottom w:val="nil"/>
          <w:right w:val="nil"/>
          <w:between w:val="nil"/>
        </w:pBdr>
        <w:spacing w:after="160" w:line="276" w:lineRule="auto"/>
      </w:pPr>
      <w:r>
        <w:rPr>
          <w:rFonts w:ascii="Verdana" w:eastAsia="Verdana" w:hAnsi="Verdana" w:cs="Verdana"/>
          <w:color w:val="000000"/>
          <w:sz w:val="23"/>
          <w:szCs w:val="23"/>
        </w:rPr>
        <w:t>Customized training conducted with a commitment by an employer or group of employers to employ an individual upon successful completion of the training.</w:t>
      </w:r>
    </w:p>
    <w:p w14:paraId="35DA5C54"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tbl>
      <w:tblPr>
        <w:tblStyle w:val="af"/>
        <w:tblW w:w="71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54"/>
        <w:gridCol w:w="6541"/>
      </w:tblGrid>
      <w:tr w:rsidR="00F8503D" w14:paraId="0CE6ADED" w14:textId="77777777" w:rsidTr="7B188CE2">
        <w:trPr>
          <w:trHeight w:val="324"/>
        </w:trPr>
        <w:tc>
          <w:tcPr>
            <w:tcW w:w="654" w:type="dxa"/>
            <w:vAlign w:val="center"/>
          </w:tcPr>
          <w:p w14:paraId="1514CB80" w14:textId="77777777" w:rsidR="00F8503D" w:rsidRDefault="0033067D">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w:t>
            </w:r>
          </w:p>
        </w:tc>
        <w:tc>
          <w:tcPr>
            <w:tcW w:w="6541" w:type="dxa"/>
            <w:vAlign w:val="center"/>
          </w:tcPr>
          <w:p w14:paraId="59CF9DD4" w14:textId="77777777" w:rsidR="00F8503D" w:rsidRDefault="0033067D" w:rsidP="7B188CE2">
            <w:pPr>
              <w:pBdr>
                <w:top w:val="nil"/>
                <w:left w:val="nil"/>
                <w:bottom w:val="nil"/>
                <w:right w:val="nil"/>
                <w:between w:val="nil"/>
              </w:pBdr>
              <w:spacing w:line="276" w:lineRule="auto"/>
              <w:rPr>
                <w:rFonts w:ascii="Verdana" w:eastAsia="Verdana" w:hAnsi="Verdana" w:cs="Verdana"/>
                <w:color w:val="000000"/>
                <w:sz w:val="20"/>
                <w:szCs w:val="20"/>
                <w:lang w:val="en-US"/>
              </w:rPr>
            </w:pPr>
            <w:r w:rsidRPr="7B188CE2">
              <w:rPr>
                <w:rFonts w:ascii="Verdana" w:eastAsia="Verdana" w:hAnsi="Verdana" w:cs="Verdana"/>
                <w:color w:val="000000" w:themeColor="text1"/>
                <w:sz w:val="20"/>
                <w:szCs w:val="20"/>
                <w:lang w:val="en-US"/>
              </w:rPr>
              <w:t>represents WIOA</w:t>
            </w:r>
          </w:p>
        </w:tc>
      </w:tr>
      <w:tr w:rsidR="00F8503D" w14:paraId="7277FB4C" w14:textId="77777777" w:rsidTr="7B188CE2">
        <w:trPr>
          <w:trHeight w:val="360"/>
        </w:trPr>
        <w:tc>
          <w:tcPr>
            <w:tcW w:w="654" w:type="dxa"/>
            <w:vAlign w:val="center"/>
          </w:tcPr>
          <w:p w14:paraId="08AB23C2" w14:textId="77777777" w:rsidR="00F8503D" w:rsidRDefault="0033067D">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w:t>
            </w:r>
          </w:p>
        </w:tc>
        <w:tc>
          <w:tcPr>
            <w:tcW w:w="6541" w:type="dxa"/>
            <w:vAlign w:val="center"/>
          </w:tcPr>
          <w:p w14:paraId="288787F8" w14:textId="77777777" w:rsidR="00F8503D" w:rsidRDefault="0033067D" w:rsidP="7B188CE2">
            <w:pPr>
              <w:pBdr>
                <w:top w:val="nil"/>
                <w:left w:val="nil"/>
                <w:bottom w:val="nil"/>
                <w:right w:val="nil"/>
                <w:between w:val="nil"/>
              </w:pBdr>
              <w:spacing w:line="276" w:lineRule="auto"/>
              <w:rPr>
                <w:rFonts w:ascii="Verdana" w:eastAsia="Verdana" w:hAnsi="Verdana" w:cs="Verdana"/>
                <w:color w:val="000000"/>
                <w:sz w:val="20"/>
                <w:szCs w:val="20"/>
                <w:lang w:val="en-US"/>
              </w:rPr>
            </w:pPr>
            <w:r w:rsidRPr="7B188CE2">
              <w:rPr>
                <w:rFonts w:ascii="Verdana" w:eastAsia="Verdana" w:hAnsi="Verdana" w:cs="Verdana"/>
                <w:color w:val="000000" w:themeColor="text1"/>
                <w:sz w:val="20"/>
                <w:szCs w:val="20"/>
                <w:lang w:val="en-US"/>
              </w:rPr>
              <w:t>represents 34 CFR 462, 463</w:t>
            </w:r>
          </w:p>
        </w:tc>
      </w:tr>
      <w:tr w:rsidR="00F8503D" w14:paraId="01132939" w14:textId="77777777" w:rsidTr="7B188CE2">
        <w:trPr>
          <w:trHeight w:val="360"/>
        </w:trPr>
        <w:tc>
          <w:tcPr>
            <w:tcW w:w="654" w:type="dxa"/>
            <w:vAlign w:val="center"/>
          </w:tcPr>
          <w:p w14:paraId="7FF09A60" w14:textId="77777777" w:rsidR="00F8503D" w:rsidRDefault="0033067D">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w:t>
            </w:r>
          </w:p>
        </w:tc>
        <w:tc>
          <w:tcPr>
            <w:tcW w:w="6541" w:type="dxa"/>
            <w:vAlign w:val="center"/>
          </w:tcPr>
          <w:p w14:paraId="4C5F5A2C" w14:textId="77777777" w:rsidR="00F8503D" w:rsidRDefault="0033067D" w:rsidP="7B188CE2">
            <w:pPr>
              <w:pBdr>
                <w:top w:val="nil"/>
                <w:left w:val="nil"/>
                <w:bottom w:val="nil"/>
                <w:right w:val="nil"/>
                <w:between w:val="nil"/>
              </w:pBdr>
              <w:spacing w:line="276" w:lineRule="auto"/>
              <w:rPr>
                <w:rFonts w:ascii="Verdana" w:eastAsia="Verdana" w:hAnsi="Verdana" w:cs="Verdana"/>
                <w:color w:val="000000"/>
                <w:sz w:val="20"/>
                <w:szCs w:val="20"/>
                <w:lang w:val="en-US"/>
              </w:rPr>
            </w:pPr>
            <w:r w:rsidRPr="7B188CE2">
              <w:rPr>
                <w:rFonts w:ascii="Verdana" w:eastAsia="Verdana" w:hAnsi="Verdana" w:cs="Verdana"/>
                <w:color w:val="000000" w:themeColor="text1"/>
                <w:sz w:val="20"/>
                <w:szCs w:val="20"/>
                <w:lang w:val="en-US"/>
              </w:rPr>
              <w:t>represents the National Reporting System for Adult Education</w:t>
            </w:r>
          </w:p>
        </w:tc>
      </w:tr>
    </w:tbl>
    <w:p w14:paraId="57211E03"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C893CAC" w14:textId="77777777" w:rsidR="00F8503D" w:rsidRDefault="0033067D">
      <w:pPr>
        <w:keepNext/>
        <w:pageBreakBefore/>
        <w:numPr>
          <w:ilvl w:val="0"/>
          <w:numId w:val="24"/>
        </w:numPr>
        <w:pBdr>
          <w:top w:val="nil"/>
          <w:left w:val="nil"/>
          <w:bottom w:val="single" w:sz="18" w:space="0" w:color="669966"/>
          <w:right w:val="nil"/>
          <w:between w:val="nil"/>
        </w:pBdr>
        <w:spacing w:after="200" w:line="276" w:lineRule="auto"/>
        <w:jc w:val="right"/>
      </w:pPr>
      <w:bookmarkStart w:id="84" w:name="_f384rcsk7vt" w:colFirst="0" w:colLast="0"/>
      <w:bookmarkEnd w:id="84"/>
      <w:r>
        <w:rPr>
          <w:rFonts w:ascii="Arial" w:eastAsia="Arial" w:hAnsi="Arial" w:cs="Arial"/>
          <w:b/>
          <w:bCs/>
          <w:smallCaps/>
          <w:color w:val="6A976C"/>
          <w:sz w:val="32"/>
          <w:szCs w:val="32"/>
        </w:rPr>
        <w:lastRenderedPageBreak/>
        <w:t>Resources</w:t>
      </w:r>
    </w:p>
    <w:p w14:paraId="27E960C9" w14:textId="77777777" w:rsidR="00F8503D" w:rsidRDefault="0033067D">
      <w:pPr>
        <w:keepNext/>
        <w:numPr>
          <w:ilvl w:val="2"/>
          <w:numId w:val="24"/>
        </w:numPr>
        <w:pBdr>
          <w:top w:val="nil"/>
          <w:left w:val="nil"/>
          <w:bottom w:val="nil"/>
          <w:right w:val="nil"/>
          <w:between w:val="nil"/>
        </w:pBdr>
        <w:spacing w:before="240" w:after="40" w:line="276" w:lineRule="auto"/>
      </w:pPr>
      <w:bookmarkStart w:id="85" w:name="_k5fg8ygblej4" w:colFirst="0" w:colLast="0"/>
      <w:bookmarkEnd w:id="85"/>
      <w:r>
        <w:rPr>
          <w:rFonts w:ascii="Arial" w:eastAsia="Arial" w:hAnsi="Arial" w:cs="Arial"/>
          <w:smallCaps/>
          <w:color w:val="6A976C"/>
          <w:sz w:val="28"/>
          <w:szCs w:val="28"/>
        </w:rPr>
        <w:t>Policy Resources</w:t>
      </w:r>
    </w:p>
    <w:p w14:paraId="3F32D1BE"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Oregon</w:t>
      </w:r>
    </w:p>
    <w:p w14:paraId="1BA52DE2" w14:textId="04821012"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Oregon Adult </w:t>
      </w:r>
      <w:r w:rsidR="00FF4575">
        <w:rPr>
          <w:rFonts w:ascii="Arial" w:eastAsia="Arial" w:hAnsi="Arial" w:cs="Arial"/>
          <w:b/>
          <w:bCs/>
          <w:i/>
          <w:iCs/>
          <w:color w:val="000000"/>
        </w:rPr>
        <w:t>Basic</w:t>
      </w:r>
      <w:r>
        <w:rPr>
          <w:rFonts w:ascii="Arial" w:eastAsia="Arial" w:hAnsi="Arial" w:cs="Arial"/>
          <w:b/>
          <w:bCs/>
          <w:i/>
          <w:iCs/>
          <w:color w:val="000000"/>
        </w:rPr>
        <w:t xml:space="preserve"> Skills Oregon Data Manual for WIOA Title II Providers</w:t>
      </w:r>
    </w:p>
    <w:p w14:paraId="2ADDF1F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79">
        <w:r>
          <w:rPr>
            <w:rFonts w:ascii="Verdana" w:eastAsia="Verdana" w:hAnsi="Verdana" w:cs="Verdana"/>
            <w:color w:val="0000FF"/>
            <w:sz w:val="23"/>
            <w:szCs w:val="23"/>
          </w:rPr>
          <w:t>https://www.oregon.gov/highered/about/community-colleges-workforce-development/pages/abs-resources.aspx</w:t>
        </w:r>
      </w:hyperlink>
      <w:r>
        <w:rPr>
          <w:rFonts w:ascii="Verdana" w:eastAsia="Verdana" w:hAnsi="Verdana" w:cs="Verdana"/>
          <w:color w:val="000000"/>
          <w:sz w:val="23"/>
          <w:szCs w:val="23"/>
        </w:rPr>
        <w:t xml:space="preserve"> </w:t>
      </w:r>
    </w:p>
    <w:p w14:paraId="1F9994A3"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61E7F240"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Oregon Administrative Rules</w:t>
      </w:r>
    </w:p>
    <w:p w14:paraId="1A45749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0">
        <w:r>
          <w:rPr>
            <w:rFonts w:ascii="Verdana" w:eastAsia="Verdana" w:hAnsi="Verdana" w:cs="Verdana"/>
            <w:color w:val="0000FF"/>
            <w:sz w:val="23"/>
            <w:szCs w:val="23"/>
          </w:rPr>
          <w:t>https://secure.sos.state.or.us/oard/ruleSearch.action</w:t>
        </w:r>
      </w:hyperlink>
      <w:r>
        <w:rPr>
          <w:rFonts w:ascii="Verdana" w:eastAsia="Verdana" w:hAnsi="Verdana" w:cs="Verdana"/>
          <w:color w:val="000000"/>
          <w:sz w:val="23"/>
          <w:szCs w:val="23"/>
        </w:rPr>
        <w:t xml:space="preserve"> </w:t>
      </w:r>
    </w:p>
    <w:p w14:paraId="7595A70E"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936AFC3" w14:textId="2963C4A0" w:rsidR="00F8503D" w:rsidRDefault="00475A9B" w:rsidP="005A7CED">
      <w:pPr>
        <w:keepNext/>
        <w:pBdr>
          <w:top w:val="nil"/>
          <w:left w:val="nil"/>
          <w:bottom w:val="nil"/>
          <w:right w:val="nil"/>
          <w:between w:val="nil"/>
        </w:pBdr>
        <w:tabs>
          <w:tab w:val="left" w:pos="3870"/>
        </w:tabs>
        <w:spacing w:before="40" w:after="40" w:line="276" w:lineRule="auto"/>
        <w:rPr>
          <w:rFonts w:ascii="Arial" w:eastAsia="Arial" w:hAnsi="Arial" w:cs="Arial"/>
          <w:b/>
          <w:bCs/>
          <w:i/>
          <w:iCs/>
          <w:color w:val="000000"/>
        </w:rPr>
      </w:pPr>
      <w:r>
        <w:rPr>
          <w:rFonts w:ascii="Arial" w:eastAsia="Arial" w:hAnsi="Arial" w:cs="Arial"/>
          <w:b/>
          <w:bCs/>
          <w:i/>
          <w:iCs/>
          <w:color w:val="000000"/>
        </w:rPr>
        <w:t xml:space="preserve">WIOA </w:t>
      </w:r>
      <w:r w:rsidR="0033067D">
        <w:rPr>
          <w:rFonts w:ascii="Arial" w:eastAsia="Arial" w:hAnsi="Arial" w:cs="Arial"/>
          <w:b/>
          <w:bCs/>
          <w:i/>
          <w:iCs/>
          <w:color w:val="000000"/>
        </w:rPr>
        <w:t>Unified State Plan for Oregon</w:t>
      </w:r>
      <w:r w:rsidR="005A7CED">
        <w:rPr>
          <w:rFonts w:ascii="Arial" w:eastAsia="Arial" w:hAnsi="Arial" w:cs="Arial"/>
          <w:b/>
          <w:bCs/>
          <w:i/>
          <w:iCs/>
          <w:color w:val="000000"/>
        </w:rPr>
        <w:tab/>
        <w:t xml:space="preserve"> </w:t>
      </w:r>
    </w:p>
    <w:p w14:paraId="5E9AD6CE" w14:textId="22D06362" w:rsidR="00F8503D" w:rsidRDefault="00E75C25">
      <w:pPr>
        <w:pBdr>
          <w:top w:val="nil"/>
          <w:left w:val="nil"/>
          <w:bottom w:val="nil"/>
          <w:right w:val="nil"/>
          <w:between w:val="nil"/>
        </w:pBdr>
        <w:spacing w:after="160" w:line="276" w:lineRule="auto"/>
        <w:rPr>
          <w:rFonts w:ascii="Verdana" w:eastAsia="Verdana" w:hAnsi="Verdana" w:cs="Verdana"/>
          <w:color w:val="000000"/>
          <w:sz w:val="23"/>
          <w:szCs w:val="23"/>
        </w:rPr>
      </w:pPr>
      <w:hyperlink r:id="rId81" w:history="1">
        <w:r w:rsidRPr="006079DB">
          <w:rPr>
            <w:rStyle w:val="Hyperlink"/>
            <w:rFonts w:ascii="Verdana" w:eastAsia="Verdana" w:hAnsi="Verdana" w:cs="Verdana"/>
            <w:sz w:val="23"/>
            <w:szCs w:val="23"/>
          </w:rPr>
          <w:t>https://www.oregon.gov/workforceboard/about/Documents/Meeting%20Materials/2026%20Meetings/01.%20January/2024-2028%20WIOA%20State%20Combined%20Plan.pdf</w:t>
        </w:r>
      </w:hyperlink>
    </w:p>
    <w:p w14:paraId="4C2A5A66" w14:textId="77777777" w:rsidR="00E75C25" w:rsidRDefault="00E75C25">
      <w:pPr>
        <w:pBdr>
          <w:top w:val="nil"/>
          <w:left w:val="nil"/>
          <w:bottom w:val="nil"/>
          <w:right w:val="nil"/>
          <w:between w:val="nil"/>
        </w:pBdr>
        <w:spacing w:after="160" w:line="276" w:lineRule="auto"/>
        <w:rPr>
          <w:rFonts w:ascii="Verdana" w:eastAsia="Verdana" w:hAnsi="Verdana" w:cs="Verdana"/>
          <w:color w:val="000000"/>
          <w:sz w:val="23"/>
          <w:szCs w:val="23"/>
        </w:rPr>
      </w:pPr>
    </w:p>
    <w:p w14:paraId="752F7360"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Local Workforce Development Area Plans </w:t>
      </w:r>
    </w:p>
    <w:p w14:paraId="386A2236"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(Select the Planning Regions heading, then select the individual local workforce areas for local documents.) </w:t>
      </w:r>
      <w:hyperlink r:id="rId82">
        <w:r>
          <w:rPr>
            <w:rFonts w:ascii="Verdana" w:eastAsia="Verdana" w:hAnsi="Verdana" w:cs="Verdana"/>
            <w:color w:val="0000FF"/>
            <w:sz w:val="23"/>
            <w:szCs w:val="23"/>
          </w:rPr>
          <w:t>https://www.oregon.gov/workforceboard/workforcesystem/Pages/Local%20Workforce%20Development%20Boards.aspx</w:t>
        </w:r>
      </w:hyperlink>
      <w:r>
        <w:rPr>
          <w:rFonts w:ascii="Verdana" w:eastAsia="Verdana" w:hAnsi="Verdana" w:cs="Verdana"/>
          <w:color w:val="000000"/>
          <w:sz w:val="23"/>
          <w:szCs w:val="23"/>
        </w:rPr>
        <w:t xml:space="preserve"> </w:t>
      </w:r>
    </w:p>
    <w:p w14:paraId="5AAF40AA"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050ABCD"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Oregon Accounting Statewide Travel Policy</w:t>
      </w:r>
    </w:p>
    <w:p w14:paraId="01DB9C7C"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3">
        <w:r>
          <w:rPr>
            <w:rFonts w:ascii="Verdana" w:eastAsia="Verdana" w:hAnsi="Verdana" w:cs="Verdana"/>
            <w:color w:val="0000FF"/>
            <w:sz w:val="23"/>
            <w:szCs w:val="23"/>
          </w:rPr>
          <w:t>https://www.oregon.gov/das/Financial/Acctng/Pages/Travel.aspx</w:t>
        </w:r>
      </w:hyperlink>
      <w:r>
        <w:rPr>
          <w:rFonts w:ascii="Verdana" w:eastAsia="Verdana" w:hAnsi="Verdana" w:cs="Verdana"/>
          <w:color w:val="000000"/>
          <w:sz w:val="23"/>
          <w:szCs w:val="23"/>
        </w:rPr>
        <w:t xml:space="preserve"> </w:t>
      </w:r>
    </w:p>
    <w:p w14:paraId="610EFFAF"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773D716" w14:textId="77777777" w:rsidR="00F8503D" w:rsidRDefault="0033067D">
      <w:pPr>
        <w:keepNext/>
        <w:pBdr>
          <w:top w:val="nil"/>
          <w:left w:val="nil"/>
          <w:bottom w:val="nil"/>
          <w:right w:val="nil"/>
          <w:between w:val="nil"/>
        </w:pBdr>
        <w:spacing w:before="40" w:after="160" w:line="276" w:lineRule="auto"/>
        <w:rPr>
          <w:rFonts w:ascii="Arial" w:eastAsia="Arial" w:hAnsi="Arial" w:cs="Arial"/>
          <w:color w:val="669966"/>
          <w:sz w:val="28"/>
          <w:szCs w:val="28"/>
        </w:rPr>
      </w:pPr>
      <w:r>
        <w:rPr>
          <w:rFonts w:ascii="Arial" w:eastAsia="Arial" w:hAnsi="Arial" w:cs="Arial"/>
          <w:color w:val="669966"/>
          <w:sz w:val="28"/>
          <w:szCs w:val="28"/>
        </w:rPr>
        <w:t>Federal</w:t>
      </w:r>
    </w:p>
    <w:p w14:paraId="520F30CC"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Division of Adult Education and Literacy (DAEL)</w:t>
      </w:r>
    </w:p>
    <w:p w14:paraId="2BCFD8B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4">
        <w:r>
          <w:rPr>
            <w:rFonts w:ascii="Verdana" w:eastAsia="Verdana" w:hAnsi="Verdana" w:cs="Verdana"/>
            <w:color w:val="0000FF"/>
            <w:sz w:val="23"/>
            <w:szCs w:val="23"/>
          </w:rPr>
          <w:t>https://www2.ed.gov/about/offices/list/ovae/pi/AdultEd/index.html</w:t>
        </w:r>
      </w:hyperlink>
      <w:r>
        <w:rPr>
          <w:rFonts w:ascii="Verdana" w:eastAsia="Verdana" w:hAnsi="Verdana" w:cs="Verdana"/>
          <w:color w:val="000000"/>
          <w:sz w:val="23"/>
          <w:szCs w:val="23"/>
        </w:rPr>
        <w:t xml:space="preserve"> </w:t>
      </w:r>
    </w:p>
    <w:p w14:paraId="5FBA3082"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4E3DC5F"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Office of Career, Technical, and Adult Education (OCTAE)</w:t>
      </w:r>
    </w:p>
    <w:p w14:paraId="3489E6A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5">
        <w:r>
          <w:rPr>
            <w:rFonts w:ascii="Verdana" w:eastAsia="Verdana" w:hAnsi="Verdana" w:cs="Verdana"/>
            <w:color w:val="0000FF"/>
            <w:sz w:val="23"/>
            <w:szCs w:val="23"/>
          </w:rPr>
          <w:t>https://www2.ed.gov/about/offices/list/ovae/index.html</w:t>
        </w:r>
      </w:hyperlink>
      <w:r w:rsidRPr="71F5842A">
        <w:rPr>
          <w:rFonts w:ascii="Verdana" w:eastAsia="Verdana" w:hAnsi="Verdana" w:cs="Verdana"/>
          <w:color w:val="000000" w:themeColor="text1"/>
          <w:sz w:val="23"/>
          <w:szCs w:val="23"/>
        </w:rPr>
        <w:t xml:space="preserve"> </w:t>
      </w:r>
    </w:p>
    <w:p w14:paraId="2961783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Federal Register 34 CFR Parts 461, 462, 463 et al. Programs and Activities Authorized by the Adult Education and Family Literacy Act (Title II of the Workforce Innovation and Opportunity Act); Final Rule</w:t>
      </w:r>
    </w:p>
    <w:p w14:paraId="1B4DCBF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6">
        <w:r>
          <w:rPr>
            <w:rFonts w:ascii="Verdana" w:eastAsia="Verdana" w:hAnsi="Verdana" w:cs="Verdana"/>
            <w:color w:val="0000FF"/>
            <w:sz w:val="23"/>
            <w:szCs w:val="23"/>
          </w:rPr>
          <w:t>https://ecfr.federalregister.gov</w:t>
        </w:r>
      </w:hyperlink>
      <w:r>
        <w:rPr>
          <w:rFonts w:ascii="Verdana" w:eastAsia="Verdana" w:hAnsi="Verdana" w:cs="Verdana"/>
          <w:color w:val="000000"/>
          <w:sz w:val="23"/>
          <w:szCs w:val="23"/>
        </w:rPr>
        <w:t xml:space="preserve"> </w:t>
      </w:r>
    </w:p>
    <w:p w14:paraId="1297AC56"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5FBB29A5"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Uniform Guidance</w:t>
      </w:r>
    </w:p>
    <w:p w14:paraId="2A3986F2"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7">
        <w:r>
          <w:rPr>
            <w:rFonts w:ascii="Verdana" w:eastAsia="Verdana" w:hAnsi="Verdana" w:cs="Verdana"/>
            <w:color w:val="0000FF"/>
            <w:sz w:val="23"/>
            <w:szCs w:val="23"/>
          </w:rPr>
          <w:t>https://www2.ed.gov/policy/fund/guid/uniform-guidance/index.html</w:t>
        </w:r>
      </w:hyperlink>
      <w:r>
        <w:rPr>
          <w:rFonts w:ascii="Verdana" w:eastAsia="Verdana" w:hAnsi="Verdana" w:cs="Verdana"/>
          <w:color w:val="000000"/>
          <w:sz w:val="23"/>
          <w:szCs w:val="23"/>
        </w:rPr>
        <w:t xml:space="preserve"> </w:t>
      </w:r>
    </w:p>
    <w:p w14:paraId="7BFAA9E2"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5A54373D"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Workforce Innovation and Opportunity Act</w:t>
      </w:r>
    </w:p>
    <w:p w14:paraId="6BD80DF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8">
        <w:r>
          <w:rPr>
            <w:rFonts w:ascii="Verdana" w:eastAsia="Verdana" w:hAnsi="Verdana" w:cs="Verdana"/>
            <w:color w:val="0000FF"/>
            <w:sz w:val="23"/>
            <w:szCs w:val="23"/>
          </w:rPr>
          <w:t>https://www.doleta.gov/wioa/eta_default.cfm</w:t>
        </w:r>
      </w:hyperlink>
      <w:r>
        <w:rPr>
          <w:rFonts w:ascii="Verdana" w:eastAsia="Verdana" w:hAnsi="Verdana" w:cs="Verdana"/>
          <w:color w:val="000000"/>
          <w:sz w:val="23"/>
          <w:szCs w:val="23"/>
        </w:rPr>
        <w:t xml:space="preserve"> </w:t>
      </w:r>
    </w:p>
    <w:p w14:paraId="5A9D2276"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593FDF6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Family Educational Rights and Privacy Act (FERPA)</w:t>
      </w:r>
    </w:p>
    <w:p w14:paraId="026A911F"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89">
        <w:r>
          <w:rPr>
            <w:rFonts w:ascii="Verdana" w:eastAsia="Verdana" w:hAnsi="Verdana" w:cs="Verdana"/>
            <w:color w:val="0000FF"/>
            <w:sz w:val="23"/>
            <w:szCs w:val="23"/>
          </w:rPr>
          <w:t>https://studentprivacy.ed.gov/ferpa</w:t>
        </w:r>
      </w:hyperlink>
      <w:r>
        <w:rPr>
          <w:rFonts w:ascii="Verdana" w:eastAsia="Verdana" w:hAnsi="Verdana" w:cs="Verdana"/>
          <w:color w:val="000000"/>
          <w:sz w:val="23"/>
          <w:szCs w:val="23"/>
        </w:rPr>
        <w:t xml:space="preserve"> </w:t>
      </w:r>
    </w:p>
    <w:p w14:paraId="4D4DFACC"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39B4837" w14:textId="77777777" w:rsidR="00F8503D" w:rsidRDefault="0033067D">
      <w:pPr>
        <w:keepNext/>
        <w:numPr>
          <w:ilvl w:val="2"/>
          <w:numId w:val="24"/>
        </w:numPr>
        <w:pBdr>
          <w:top w:val="nil"/>
          <w:left w:val="nil"/>
          <w:bottom w:val="nil"/>
          <w:right w:val="nil"/>
          <w:between w:val="nil"/>
        </w:pBdr>
        <w:spacing w:before="240" w:after="40" w:line="276" w:lineRule="auto"/>
      </w:pPr>
      <w:bookmarkStart w:id="86" w:name="_hdrkahrsltf" w:colFirst="0" w:colLast="0"/>
      <w:bookmarkEnd w:id="86"/>
      <w:r>
        <w:rPr>
          <w:rFonts w:ascii="Arial" w:eastAsia="Arial" w:hAnsi="Arial" w:cs="Arial"/>
          <w:smallCaps/>
          <w:color w:val="6A976C"/>
          <w:sz w:val="28"/>
          <w:szCs w:val="28"/>
        </w:rPr>
        <w:t>Assessment</w:t>
      </w:r>
    </w:p>
    <w:p w14:paraId="487616E3"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Comprehensive Adult Student Assessment Systems (CASAS)</w:t>
      </w:r>
    </w:p>
    <w:p w14:paraId="7558D76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0">
        <w:r>
          <w:rPr>
            <w:rFonts w:ascii="Verdana" w:eastAsia="Verdana" w:hAnsi="Verdana" w:cs="Verdana"/>
            <w:color w:val="0000FF"/>
            <w:sz w:val="23"/>
            <w:szCs w:val="23"/>
          </w:rPr>
          <w:t>https://www.casas.org</w:t>
        </w:r>
      </w:hyperlink>
      <w:r>
        <w:rPr>
          <w:rFonts w:ascii="Verdana" w:eastAsia="Verdana" w:hAnsi="Verdana" w:cs="Verdana"/>
          <w:color w:val="000000"/>
          <w:sz w:val="23"/>
          <w:szCs w:val="23"/>
        </w:rPr>
        <w:t xml:space="preserve"> </w:t>
      </w:r>
    </w:p>
    <w:p w14:paraId="6C4D9669"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790394B" w14:textId="77777777" w:rsidR="00F8503D" w:rsidRDefault="0033067D">
      <w:pPr>
        <w:keepNext/>
        <w:numPr>
          <w:ilvl w:val="2"/>
          <w:numId w:val="24"/>
        </w:numPr>
        <w:pBdr>
          <w:top w:val="nil"/>
          <w:left w:val="nil"/>
          <w:bottom w:val="nil"/>
          <w:right w:val="nil"/>
          <w:between w:val="nil"/>
        </w:pBdr>
        <w:spacing w:before="240" w:after="40" w:line="276" w:lineRule="auto"/>
      </w:pPr>
      <w:bookmarkStart w:id="87" w:name="_2qnv2eesvxv4"/>
      <w:bookmarkEnd w:id="87"/>
      <w:r w:rsidRPr="7B188CE2">
        <w:rPr>
          <w:rFonts w:ascii="Arial" w:eastAsia="Arial" w:hAnsi="Arial" w:cs="Arial"/>
          <w:smallCaps/>
          <w:color w:val="6A976C"/>
          <w:sz w:val="28"/>
          <w:szCs w:val="28"/>
          <w:lang w:val="en-US"/>
        </w:rPr>
        <w:t>CASAS TOPSpro Enterprise</w:t>
      </w:r>
      <w:r w:rsidRPr="7B188CE2">
        <w:rPr>
          <w:rFonts w:ascii="Arial" w:eastAsia="Arial" w:hAnsi="Arial" w:cs="Arial"/>
          <w:smallCaps/>
          <w:color w:val="6A976C"/>
          <w:sz w:val="28"/>
          <w:szCs w:val="28"/>
          <w:vertAlign w:val="superscript"/>
          <w:lang w:val="en-US"/>
        </w:rPr>
        <w:t>®</w:t>
      </w:r>
    </w:p>
    <w:p w14:paraId="72F2FBE3" w14:textId="77777777" w:rsidR="00F8503D" w:rsidRDefault="0033067D" w:rsidP="7B188CE2">
      <w:pPr>
        <w:keepNext/>
        <w:pBdr>
          <w:top w:val="nil"/>
          <w:left w:val="nil"/>
          <w:bottom w:val="nil"/>
          <w:right w:val="nil"/>
          <w:between w:val="nil"/>
        </w:pBdr>
        <w:spacing w:before="40" w:after="40" w:line="276" w:lineRule="auto"/>
        <w:rPr>
          <w:rFonts w:ascii="Arial" w:eastAsia="Arial" w:hAnsi="Arial" w:cs="Arial"/>
          <w:b/>
          <w:bCs/>
          <w:i/>
          <w:iCs/>
          <w:color w:val="000000"/>
          <w:lang w:val="en-US"/>
        </w:rPr>
      </w:pPr>
      <w:r w:rsidRPr="7B188CE2">
        <w:rPr>
          <w:rFonts w:ascii="Arial" w:eastAsia="Arial" w:hAnsi="Arial" w:cs="Arial"/>
          <w:b/>
          <w:bCs/>
          <w:i/>
          <w:iCs/>
          <w:color w:val="000000" w:themeColor="text1"/>
          <w:lang w:val="en-US"/>
        </w:rPr>
        <w:t>TOPSpro Enterprise</w:t>
      </w:r>
      <w:r w:rsidRPr="7B188CE2">
        <w:rPr>
          <w:rFonts w:ascii="Arial" w:eastAsia="Arial" w:hAnsi="Arial" w:cs="Arial"/>
          <w:b/>
          <w:bCs/>
          <w:i/>
          <w:iCs/>
          <w:color w:val="000000" w:themeColor="text1"/>
          <w:vertAlign w:val="superscript"/>
          <w:lang w:val="en-US"/>
        </w:rPr>
        <w:t>®</w:t>
      </w:r>
      <w:r w:rsidRPr="7B188CE2">
        <w:rPr>
          <w:rFonts w:ascii="Arial" w:eastAsia="Arial" w:hAnsi="Arial" w:cs="Arial"/>
          <w:b/>
          <w:bCs/>
          <w:i/>
          <w:iCs/>
          <w:color w:val="000000" w:themeColor="text1"/>
          <w:lang w:val="en-US"/>
        </w:rPr>
        <w:t xml:space="preserve"> Basics Online Training </w:t>
      </w:r>
    </w:p>
    <w:p w14:paraId="6EB6273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1">
        <w:r>
          <w:rPr>
            <w:rFonts w:ascii="Verdana" w:eastAsia="Verdana" w:hAnsi="Verdana" w:cs="Verdana"/>
            <w:color w:val="0000FF"/>
            <w:sz w:val="23"/>
            <w:szCs w:val="23"/>
          </w:rPr>
          <w:t>http://training.casas.org</w:t>
        </w:r>
      </w:hyperlink>
      <w:r>
        <w:rPr>
          <w:rFonts w:ascii="Verdana" w:eastAsia="Verdana" w:hAnsi="Verdana" w:cs="Verdana"/>
          <w:color w:val="000000"/>
          <w:sz w:val="23"/>
          <w:szCs w:val="23"/>
        </w:rPr>
        <w:t xml:space="preserve"> </w:t>
      </w:r>
    </w:p>
    <w:p w14:paraId="5D0BCE56"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8F7933C" w14:textId="77777777" w:rsidR="00F8503D" w:rsidRDefault="0033067D" w:rsidP="7B188CE2">
      <w:pPr>
        <w:keepNext/>
        <w:pBdr>
          <w:top w:val="nil"/>
          <w:left w:val="nil"/>
          <w:bottom w:val="nil"/>
          <w:right w:val="nil"/>
          <w:between w:val="nil"/>
        </w:pBdr>
        <w:spacing w:before="40" w:after="40" w:line="276" w:lineRule="auto"/>
        <w:rPr>
          <w:rFonts w:ascii="Arial" w:eastAsia="Arial" w:hAnsi="Arial" w:cs="Arial"/>
          <w:b/>
          <w:bCs/>
          <w:i/>
          <w:iCs/>
          <w:color w:val="000000"/>
          <w:lang w:val="en-US"/>
        </w:rPr>
      </w:pPr>
      <w:r w:rsidRPr="7B188CE2">
        <w:rPr>
          <w:rFonts w:ascii="Arial" w:eastAsia="Arial" w:hAnsi="Arial" w:cs="Arial"/>
          <w:b/>
          <w:bCs/>
          <w:i/>
          <w:iCs/>
          <w:color w:val="000000" w:themeColor="text1"/>
          <w:lang w:val="en-US"/>
        </w:rPr>
        <w:t>TOPSpro Enterprise</w:t>
      </w:r>
      <w:r w:rsidRPr="7B188CE2">
        <w:rPr>
          <w:rFonts w:ascii="Arial" w:eastAsia="Arial" w:hAnsi="Arial" w:cs="Arial"/>
          <w:b/>
          <w:bCs/>
          <w:i/>
          <w:iCs/>
          <w:color w:val="000000" w:themeColor="text1"/>
          <w:vertAlign w:val="superscript"/>
          <w:lang w:val="en-US"/>
        </w:rPr>
        <w:t>®</w:t>
      </w:r>
      <w:r w:rsidRPr="7B188CE2">
        <w:rPr>
          <w:rFonts w:ascii="Arial" w:eastAsia="Arial" w:hAnsi="Arial" w:cs="Arial"/>
          <w:b/>
          <w:bCs/>
          <w:i/>
          <w:iCs/>
          <w:color w:val="000000" w:themeColor="text1"/>
          <w:lang w:val="en-US"/>
        </w:rPr>
        <w:t xml:space="preserve"> WIOA Data Dictionary </w:t>
      </w:r>
    </w:p>
    <w:p w14:paraId="3CD81E0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2">
        <w:r>
          <w:rPr>
            <w:rFonts w:ascii="Verdana" w:eastAsia="Verdana" w:hAnsi="Verdana" w:cs="Verdana"/>
            <w:color w:val="0000FF"/>
            <w:sz w:val="23"/>
            <w:szCs w:val="23"/>
          </w:rPr>
          <w:t>https://www.casas.org/training-and-support/casas-peer-communities/california-adult-education-accountability-and-assessment</w:t>
        </w:r>
      </w:hyperlink>
      <w:r>
        <w:rPr>
          <w:rFonts w:ascii="Verdana" w:eastAsia="Verdana" w:hAnsi="Verdana" w:cs="Verdana"/>
          <w:color w:val="000000"/>
          <w:sz w:val="23"/>
          <w:szCs w:val="23"/>
        </w:rPr>
        <w:t xml:space="preserve"> </w:t>
      </w:r>
    </w:p>
    <w:p w14:paraId="4A055D25"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AD3236A" w14:textId="77777777" w:rsidR="00F8503D" w:rsidRDefault="0033067D">
      <w:pPr>
        <w:keepNext/>
        <w:numPr>
          <w:ilvl w:val="2"/>
          <w:numId w:val="24"/>
        </w:numPr>
        <w:pBdr>
          <w:top w:val="nil"/>
          <w:left w:val="nil"/>
          <w:bottom w:val="nil"/>
          <w:right w:val="nil"/>
          <w:between w:val="nil"/>
        </w:pBdr>
        <w:spacing w:before="240" w:after="40" w:line="276" w:lineRule="auto"/>
      </w:pPr>
      <w:bookmarkStart w:id="88" w:name="_f48wg7wjsuxn" w:colFirst="0" w:colLast="0"/>
      <w:bookmarkEnd w:id="88"/>
      <w:r>
        <w:rPr>
          <w:rFonts w:ascii="Arial" w:eastAsia="Arial" w:hAnsi="Arial" w:cs="Arial"/>
          <w:smallCaps/>
          <w:color w:val="6A976C"/>
          <w:sz w:val="28"/>
          <w:szCs w:val="28"/>
        </w:rPr>
        <w:t>National Reporting System</w:t>
      </w:r>
    </w:p>
    <w:p w14:paraId="21028495"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NRS Implementation Guidelines </w:t>
      </w:r>
    </w:p>
    <w:p w14:paraId="78A5114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3">
        <w:r>
          <w:rPr>
            <w:rFonts w:ascii="Verdana" w:eastAsia="Verdana" w:hAnsi="Verdana" w:cs="Verdana"/>
            <w:color w:val="0000FF"/>
            <w:sz w:val="23"/>
            <w:szCs w:val="23"/>
          </w:rPr>
          <w:t>https://nrsweb.org/resource/nrs-guidelines</w:t>
        </w:r>
      </w:hyperlink>
      <w:r>
        <w:rPr>
          <w:rFonts w:ascii="Verdana" w:eastAsia="Verdana" w:hAnsi="Verdana" w:cs="Verdana"/>
          <w:color w:val="000000"/>
          <w:sz w:val="23"/>
          <w:szCs w:val="23"/>
        </w:rPr>
        <w:t xml:space="preserve"> </w:t>
      </w:r>
    </w:p>
    <w:p w14:paraId="6F93F59A"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A42130D"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NRS Training Courses</w:t>
      </w:r>
    </w:p>
    <w:p w14:paraId="73E1A82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4">
        <w:r>
          <w:rPr>
            <w:rFonts w:ascii="Verdana" w:eastAsia="Verdana" w:hAnsi="Verdana" w:cs="Verdana"/>
            <w:color w:val="0000FF"/>
            <w:sz w:val="23"/>
            <w:szCs w:val="23"/>
          </w:rPr>
          <w:t>https://nrsweb.org/training-ta</w:t>
        </w:r>
      </w:hyperlink>
      <w:r>
        <w:rPr>
          <w:rFonts w:ascii="Verdana" w:eastAsia="Verdana" w:hAnsi="Verdana" w:cs="Verdana"/>
          <w:color w:val="000000"/>
          <w:sz w:val="23"/>
          <w:szCs w:val="23"/>
        </w:rPr>
        <w:t xml:space="preserve"> </w:t>
      </w:r>
    </w:p>
    <w:p w14:paraId="32FD80A5"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23CF9B5"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NRS Educational Functioning Level Descriptors</w:t>
      </w:r>
    </w:p>
    <w:p w14:paraId="38445E56"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5">
        <w:r>
          <w:rPr>
            <w:rFonts w:ascii="Verdana" w:eastAsia="Verdana" w:hAnsi="Verdana" w:cs="Verdana"/>
            <w:color w:val="0000FF"/>
            <w:sz w:val="23"/>
            <w:szCs w:val="23"/>
          </w:rPr>
          <w:t>https://nrsweb.org/policy-data</w:t>
        </w:r>
      </w:hyperlink>
      <w:r>
        <w:rPr>
          <w:rFonts w:ascii="Verdana" w:eastAsia="Verdana" w:hAnsi="Verdana" w:cs="Verdana"/>
          <w:color w:val="000000"/>
          <w:sz w:val="23"/>
          <w:szCs w:val="23"/>
        </w:rPr>
        <w:t xml:space="preserve"> </w:t>
      </w:r>
    </w:p>
    <w:p w14:paraId="31E3CAF5"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AEDD7F2"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College and Career Readiness Standards for Adult Education</w:t>
      </w:r>
    </w:p>
    <w:p w14:paraId="6182289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6">
        <w:r>
          <w:rPr>
            <w:rFonts w:ascii="Verdana" w:eastAsia="Verdana" w:hAnsi="Verdana" w:cs="Verdana"/>
            <w:color w:val="0000FF"/>
            <w:sz w:val="23"/>
            <w:szCs w:val="23"/>
          </w:rPr>
          <w:t>https://lincs.ed.gov/professional-development/resource-collections</w:t>
        </w:r>
      </w:hyperlink>
      <w:r>
        <w:rPr>
          <w:rFonts w:ascii="Verdana" w:eastAsia="Verdana" w:hAnsi="Verdana" w:cs="Verdana"/>
          <w:color w:val="000000"/>
          <w:sz w:val="23"/>
          <w:szCs w:val="23"/>
        </w:rPr>
        <w:t xml:space="preserve"> </w:t>
      </w:r>
    </w:p>
    <w:p w14:paraId="595B31B8"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A8F4107"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English Language Proficiency Standards for Adult Education</w:t>
      </w:r>
    </w:p>
    <w:p w14:paraId="04BE739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7">
        <w:r>
          <w:rPr>
            <w:rFonts w:ascii="Verdana" w:eastAsia="Verdana" w:hAnsi="Verdana" w:cs="Verdana"/>
            <w:color w:val="0000FF"/>
            <w:sz w:val="23"/>
            <w:szCs w:val="23"/>
          </w:rPr>
          <w:t>https://lincs.ed.gov/professional-development/resource-collections</w:t>
        </w:r>
      </w:hyperlink>
      <w:r>
        <w:rPr>
          <w:rFonts w:ascii="Verdana" w:eastAsia="Verdana" w:hAnsi="Verdana" w:cs="Verdana"/>
          <w:color w:val="000000"/>
          <w:sz w:val="23"/>
          <w:szCs w:val="23"/>
        </w:rPr>
        <w:t xml:space="preserve"> </w:t>
      </w:r>
    </w:p>
    <w:p w14:paraId="19649390"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27DC7E4"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sidRPr="5AEA40EB">
        <w:rPr>
          <w:rFonts w:ascii="Arial" w:eastAsia="Arial" w:hAnsi="Arial" w:cs="Arial"/>
          <w:b/>
          <w:i/>
          <w:color w:val="000000" w:themeColor="text1"/>
        </w:rPr>
        <w:t>Standards in Action</w:t>
      </w:r>
    </w:p>
    <w:p w14:paraId="5A760635" w14:textId="77777777" w:rsidR="00A33F57" w:rsidRPr="00A843B6" w:rsidRDefault="00A33F57" w:rsidP="006C6F18">
      <w:pPr>
        <w:pBdr>
          <w:top w:val="nil"/>
          <w:left w:val="nil"/>
          <w:bottom w:val="nil"/>
          <w:right w:val="nil"/>
          <w:between w:val="nil"/>
        </w:pBdr>
        <w:spacing w:after="160" w:line="276" w:lineRule="auto"/>
        <w:rPr>
          <w:rFonts w:ascii="Verdana" w:eastAsia="Verdana" w:hAnsi="Verdana" w:cs="Verdana"/>
          <w:color w:val="95B3D7" w:themeColor="accent1" w:themeTint="99"/>
          <w:sz w:val="23"/>
          <w:szCs w:val="23"/>
        </w:rPr>
      </w:pPr>
      <w:hyperlink r:id="rId98" w:tgtFrame="_blank" w:tooltip="https://lincs.ed.gov/federal-initiatives/sia" w:history="1">
        <w:r w:rsidRPr="00A843B6">
          <w:rPr>
            <w:rFonts w:ascii="Verdana" w:eastAsia="Verdana" w:hAnsi="Verdana" w:cs="Verdana"/>
            <w:color w:val="95B3D7" w:themeColor="accent1" w:themeTint="99"/>
            <w:sz w:val="23"/>
            <w:szCs w:val="23"/>
          </w:rPr>
          <w:t>https://lincs.ed.gov/federal-initiatives/sia</w:t>
        </w:r>
      </w:hyperlink>
    </w:p>
    <w:p w14:paraId="7D687CD8" w14:textId="77777777" w:rsidR="00F8503D" w:rsidRPr="00A843B6" w:rsidRDefault="00F8503D">
      <w:pPr>
        <w:pBdr>
          <w:top w:val="nil"/>
          <w:left w:val="nil"/>
          <w:bottom w:val="nil"/>
          <w:right w:val="nil"/>
          <w:between w:val="nil"/>
        </w:pBdr>
        <w:spacing w:after="160" w:line="276" w:lineRule="auto"/>
        <w:rPr>
          <w:rFonts w:ascii="Verdana" w:eastAsia="Verdana" w:hAnsi="Verdana" w:cs="Verdana"/>
          <w:color w:val="95B3D7" w:themeColor="accent1" w:themeTint="99"/>
          <w:sz w:val="23"/>
          <w:szCs w:val="23"/>
        </w:rPr>
      </w:pPr>
    </w:p>
    <w:p w14:paraId="2C8A6979" w14:textId="39506245" w:rsidR="00F8503D" w:rsidRDefault="0033067D">
      <w:pPr>
        <w:keepNext/>
        <w:numPr>
          <w:ilvl w:val="2"/>
          <w:numId w:val="24"/>
        </w:numPr>
        <w:pBdr>
          <w:top w:val="nil"/>
          <w:left w:val="nil"/>
          <w:bottom w:val="nil"/>
          <w:right w:val="nil"/>
          <w:between w:val="nil"/>
        </w:pBdr>
        <w:spacing w:before="240" w:after="40" w:line="276" w:lineRule="auto"/>
      </w:pPr>
      <w:bookmarkStart w:id="89" w:name="_ng68z85ig4uf" w:colFirst="0" w:colLast="0"/>
      <w:bookmarkEnd w:id="89"/>
      <w:r>
        <w:rPr>
          <w:rFonts w:ascii="Arial" w:eastAsia="Arial" w:hAnsi="Arial" w:cs="Arial"/>
          <w:smallCaps/>
          <w:color w:val="6A976C"/>
          <w:sz w:val="28"/>
          <w:szCs w:val="28"/>
        </w:rPr>
        <w:t xml:space="preserve">Adult </w:t>
      </w:r>
      <w:r w:rsidR="00FF4575">
        <w:rPr>
          <w:rFonts w:ascii="Arial" w:eastAsia="Arial" w:hAnsi="Arial" w:cs="Arial"/>
          <w:smallCaps/>
          <w:color w:val="6A976C"/>
          <w:sz w:val="28"/>
          <w:szCs w:val="28"/>
        </w:rPr>
        <w:t>Basic</w:t>
      </w:r>
      <w:r>
        <w:rPr>
          <w:rFonts w:ascii="Arial" w:eastAsia="Arial" w:hAnsi="Arial" w:cs="Arial"/>
          <w:smallCaps/>
          <w:color w:val="6A976C"/>
          <w:sz w:val="28"/>
          <w:szCs w:val="28"/>
        </w:rPr>
        <w:t xml:space="preserve"> Skills</w:t>
      </w:r>
    </w:p>
    <w:p w14:paraId="4869D908" w14:textId="53472BB6" w:rsidR="00C6035C" w:rsidRDefault="00C6035C">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American Association </w:t>
      </w:r>
      <w:r w:rsidR="00AF3F56">
        <w:rPr>
          <w:rFonts w:ascii="Arial" w:eastAsia="Arial" w:hAnsi="Arial" w:cs="Arial"/>
          <w:b/>
          <w:bCs/>
          <w:i/>
          <w:iCs/>
          <w:color w:val="000000"/>
        </w:rPr>
        <w:t>for Adult and Continui</w:t>
      </w:r>
      <w:r w:rsidR="00A9606D">
        <w:rPr>
          <w:rFonts w:ascii="Arial" w:eastAsia="Arial" w:hAnsi="Arial" w:cs="Arial"/>
          <w:b/>
          <w:bCs/>
          <w:i/>
          <w:iCs/>
          <w:color w:val="000000"/>
        </w:rPr>
        <w:t>ng Education</w:t>
      </w:r>
    </w:p>
    <w:p w14:paraId="74248298" w14:textId="14E1747F" w:rsidR="00B65B37" w:rsidRDefault="00B65B37">
      <w:pPr>
        <w:keepNext/>
        <w:pBdr>
          <w:top w:val="nil"/>
          <w:left w:val="nil"/>
          <w:bottom w:val="nil"/>
          <w:right w:val="nil"/>
          <w:between w:val="nil"/>
        </w:pBdr>
        <w:spacing w:before="40" w:after="40" w:line="276" w:lineRule="auto"/>
        <w:rPr>
          <w:rFonts w:ascii="Arial" w:eastAsia="Arial" w:hAnsi="Arial" w:cs="Arial"/>
          <w:b/>
          <w:bCs/>
          <w:i/>
          <w:iCs/>
          <w:color w:val="000000"/>
        </w:rPr>
      </w:pPr>
      <w:r w:rsidRPr="00B65B37">
        <w:rPr>
          <w:rFonts w:ascii="Arial" w:eastAsia="Arial" w:hAnsi="Arial" w:cs="Arial"/>
          <w:b/>
          <w:bCs/>
          <w:i/>
          <w:iCs/>
          <w:color w:val="000000"/>
        </w:rPr>
        <w:t>https://www.aaace.org/page/ValueUSA?</w:t>
      </w:r>
    </w:p>
    <w:p w14:paraId="1C9B0067" w14:textId="77777777" w:rsidR="00C6035C" w:rsidRDefault="00C6035C">
      <w:pPr>
        <w:keepNext/>
        <w:pBdr>
          <w:top w:val="nil"/>
          <w:left w:val="nil"/>
          <w:bottom w:val="nil"/>
          <w:right w:val="nil"/>
          <w:between w:val="nil"/>
        </w:pBdr>
        <w:spacing w:before="40" w:after="40" w:line="276" w:lineRule="auto"/>
        <w:rPr>
          <w:rFonts w:ascii="Arial" w:eastAsia="Arial" w:hAnsi="Arial" w:cs="Arial"/>
          <w:b/>
          <w:bCs/>
          <w:i/>
          <w:iCs/>
          <w:color w:val="000000"/>
        </w:rPr>
      </w:pPr>
    </w:p>
    <w:p w14:paraId="54FD1C4D" w14:textId="504FB336"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Adult Numeracy Initiative (ANI)</w:t>
      </w:r>
    </w:p>
    <w:p w14:paraId="0D338B8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99">
        <w:r>
          <w:rPr>
            <w:rFonts w:ascii="Verdana" w:eastAsia="Verdana" w:hAnsi="Verdana" w:cs="Verdana"/>
            <w:color w:val="0000FF"/>
            <w:sz w:val="23"/>
            <w:szCs w:val="23"/>
          </w:rPr>
          <w:t>https://lincs.ed.gov/resource-collection</w:t>
        </w:r>
      </w:hyperlink>
      <w:r>
        <w:rPr>
          <w:rFonts w:ascii="Verdana" w:eastAsia="Verdana" w:hAnsi="Verdana" w:cs="Verdana"/>
          <w:color w:val="000000"/>
          <w:sz w:val="23"/>
          <w:szCs w:val="23"/>
        </w:rPr>
        <w:t xml:space="preserve"> </w:t>
      </w:r>
    </w:p>
    <w:p w14:paraId="0D7D179C"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2FF736C"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Career Pathways Training and Support Center</w:t>
      </w:r>
    </w:p>
    <w:p w14:paraId="6CFBAF1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0">
        <w:r>
          <w:rPr>
            <w:rFonts w:ascii="Verdana" w:eastAsia="Verdana" w:hAnsi="Verdana" w:cs="Verdana"/>
            <w:color w:val="0000FF"/>
            <w:sz w:val="23"/>
            <w:szCs w:val="23"/>
          </w:rPr>
          <w:t>https://lincs.ed.gov/programs/acp</w:t>
        </w:r>
      </w:hyperlink>
      <w:r>
        <w:rPr>
          <w:rFonts w:ascii="Verdana" w:eastAsia="Verdana" w:hAnsi="Verdana" w:cs="Verdana"/>
          <w:color w:val="000000"/>
          <w:sz w:val="23"/>
          <w:szCs w:val="23"/>
        </w:rPr>
        <w:t xml:space="preserve"> </w:t>
      </w:r>
    </w:p>
    <w:p w14:paraId="0E79737B"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644FF30C"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Career Pathways – Workforce GPS</w:t>
      </w:r>
    </w:p>
    <w:p w14:paraId="6A2C0A7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1">
        <w:r>
          <w:rPr>
            <w:rFonts w:ascii="Verdana" w:eastAsia="Verdana" w:hAnsi="Verdana" w:cs="Verdana"/>
            <w:color w:val="0000FF"/>
            <w:sz w:val="23"/>
            <w:szCs w:val="23"/>
          </w:rPr>
          <w:t>https://careerpathways.workforcegps.org</w:t>
        </w:r>
      </w:hyperlink>
      <w:r>
        <w:rPr>
          <w:rFonts w:ascii="Verdana" w:eastAsia="Verdana" w:hAnsi="Verdana" w:cs="Verdana"/>
          <w:color w:val="000000"/>
          <w:sz w:val="23"/>
          <w:szCs w:val="23"/>
        </w:rPr>
        <w:t xml:space="preserve"> </w:t>
      </w:r>
    </w:p>
    <w:p w14:paraId="369B7CA2"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6092C2C"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Career Pathways – Perkins Collaborative Resource Network</w:t>
      </w:r>
    </w:p>
    <w:p w14:paraId="28F034E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2">
        <w:r>
          <w:rPr>
            <w:rFonts w:ascii="Verdana" w:eastAsia="Verdana" w:hAnsi="Verdana" w:cs="Verdana"/>
            <w:color w:val="0000FF"/>
            <w:sz w:val="23"/>
            <w:szCs w:val="23"/>
          </w:rPr>
          <w:t>https://cte.ed.gov</w:t>
        </w:r>
      </w:hyperlink>
      <w:r>
        <w:rPr>
          <w:rFonts w:ascii="Verdana" w:eastAsia="Verdana" w:hAnsi="Verdana" w:cs="Verdana"/>
          <w:color w:val="000000"/>
          <w:sz w:val="23"/>
          <w:szCs w:val="23"/>
        </w:rPr>
        <w:t xml:space="preserve"> </w:t>
      </w:r>
    </w:p>
    <w:p w14:paraId="22296B9D"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A1231A4"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Center for Adult English Language Acquisition</w:t>
      </w:r>
    </w:p>
    <w:p w14:paraId="072E7C87" w14:textId="580C4212" w:rsidR="00F8503D" w:rsidRDefault="001E7013">
      <w:pPr>
        <w:pBdr>
          <w:top w:val="nil"/>
          <w:left w:val="nil"/>
          <w:bottom w:val="nil"/>
          <w:right w:val="nil"/>
          <w:between w:val="nil"/>
        </w:pBdr>
        <w:spacing w:after="160" w:line="276" w:lineRule="auto"/>
        <w:rPr>
          <w:rFonts w:ascii="Verdana" w:eastAsia="Verdana" w:hAnsi="Verdana" w:cs="Verdana"/>
          <w:color w:val="000000"/>
          <w:sz w:val="23"/>
          <w:szCs w:val="23"/>
        </w:rPr>
      </w:pPr>
      <w:r w:rsidRPr="001E7013">
        <w:rPr>
          <w:rFonts w:ascii="Verdana" w:eastAsia="Verdana" w:hAnsi="Verdana" w:cs="Verdana"/>
          <w:color w:val="000000"/>
          <w:sz w:val="23"/>
          <w:szCs w:val="23"/>
        </w:rPr>
        <w:t>https://cal.org/caela/about_caela/</w:t>
      </w:r>
    </w:p>
    <w:p w14:paraId="1D6BF474"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Coalition on Adult Basic Education</w:t>
      </w:r>
    </w:p>
    <w:p w14:paraId="518DBC77"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3">
        <w:r>
          <w:rPr>
            <w:rFonts w:ascii="Verdana" w:eastAsia="Verdana" w:hAnsi="Verdana" w:cs="Verdana"/>
            <w:color w:val="0000FF"/>
            <w:sz w:val="23"/>
            <w:szCs w:val="23"/>
          </w:rPr>
          <w:t>https://coabe.org</w:t>
        </w:r>
      </w:hyperlink>
      <w:r>
        <w:rPr>
          <w:rFonts w:ascii="Verdana" w:eastAsia="Verdana" w:hAnsi="Verdana" w:cs="Verdana"/>
          <w:color w:val="000000"/>
          <w:sz w:val="23"/>
          <w:szCs w:val="23"/>
        </w:rPr>
        <w:t xml:space="preserve"> </w:t>
      </w:r>
    </w:p>
    <w:p w14:paraId="4583EF28"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17AA7C5"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Council for Advancement of Adult Literacy</w:t>
      </w:r>
    </w:p>
    <w:p w14:paraId="09833365"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4">
        <w:r>
          <w:rPr>
            <w:rFonts w:ascii="Verdana" w:eastAsia="Verdana" w:hAnsi="Verdana" w:cs="Verdana"/>
            <w:color w:val="0000FF"/>
            <w:sz w:val="23"/>
            <w:szCs w:val="23"/>
          </w:rPr>
          <w:t>https://caalusa.com</w:t>
        </w:r>
      </w:hyperlink>
      <w:r>
        <w:rPr>
          <w:rFonts w:ascii="Verdana" w:eastAsia="Verdana" w:hAnsi="Verdana" w:cs="Verdana"/>
          <w:color w:val="000000"/>
          <w:sz w:val="23"/>
          <w:szCs w:val="23"/>
        </w:rPr>
        <w:t xml:space="preserve"> </w:t>
      </w:r>
    </w:p>
    <w:p w14:paraId="095762DE"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878827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Digital Literacy</w:t>
      </w:r>
    </w:p>
    <w:p w14:paraId="4231E25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5">
        <w:r>
          <w:rPr>
            <w:rFonts w:ascii="Verdana" w:eastAsia="Verdana" w:hAnsi="Verdana" w:cs="Verdana"/>
            <w:color w:val="0000FF"/>
            <w:sz w:val="23"/>
            <w:szCs w:val="23"/>
          </w:rPr>
          <w:t>https://lincs.ed.gov</w:t>
        </w:r>
      </w:hyperlink>
      <w:r>
        <w:rPr>
          <w:rFonts w:ascii="Verdana" w:eastAsia="Verdana" w:hAnsi="Verdana" w:cs="Verdana"/>
          <w:color w:val="000000"/>
          <w:sz w:val="23"/>
          <w:szCs w:val="23"/>
        </w:rPr>
        <w:t xml:space="preserve"> </w:t>
      </w:r>
    </w:p>
    <w:p w14:paraId="0EC474EE"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1C67BB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English Language Learners University (ELL-U)</w:t>
      </w:r>
    </w:p>
    <w:p w14:paraId="56851098"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6">
        <w:r>
          <w:rPr>
            <w:rFonts w:ascii="Verdana" w:eastAsia="Verdana" w:hAnsi="Verdana" w:cs="Verdana"/>
            <w:color w:val="0000FF"/>
            <w:sz w:val="23"/>
            <w:szCs w:val="23"/>
          </w:rPr>
          <w:t>https://lincs.ed.gov/state-resources/federal-initiatives/ell-u</w:t>
        </w:r>
      </w:hyperlink>
      <w:r>
        <w:rPr>
          <w:rFonts w:ascii="Verdana" w:eastAsia="Verdana" w:hAnsi="Verdana" w:cs="Verdana"/>
          <w:color w:val="000000"/>
          <w:sz w:val="23"/>
          <w:szCs w:val="23"/>
        </w:rPr>
        <w:t xml:space="preserve"> </w:t>
      </w:r>
    </w:p>
    <w:p w14:paraId="49DA6D63"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5BA34475" w14:textId="77777777" w:rsidR="00F8503D" w:rsidRDefault="0033067D" w:rsidP="7B188CE2">
      <w:pPr>
        <w:keepNext/>
        <w:pBdr>
          <w:top w:val="nil"/>
          <w:left w:val="nil"/>
          <w:bottom w:val="nil"/>
          <w:right w:val="nil"/>
          <w:between w:val="nil"/>
        </w:pBdr>
        <w:spacing w:before="40" w:after="40" w:line="276" w:lineRule="auto"/>
        <w:rPr>
          <w:rFonts w:ascii="Arial" w:eastAsia="Arial" w:hAnsi="Arial" w:cs="Arial"/>
          <w:b/>
          <w:bCs/>
          <w:i/>
          <w:iCs/>
          <w:color w:val="000000"/>
          <w:lang w:val="en-US"/>
        </w:rPr>
      </w:pPr>
      <w:r w:rsidRPr="7B188CE2">
        <w:rPr>
          <w:rFonts w:ascii="Arial" w:eastAsia="Arial" w:hAnsi="Arial" w:cs="Arial"/>
          <w:b/>
          <w:bCs/>
          <w:i/>
          <w:iCs/>
          <w:color w:val="000000" w:themeColor="text1"/>
          <w:lang w:val="en-US"/>
        </w:rPr>
        <w:t>EDTech World Remote ESOL Project</w:t>
      </w:r>
    </w:p>
    <w:p w14:paraId="2186200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r>
        <w:rPr>
          <w:rFonts w:ascii="Verdana" w:eastAsia="Verdana" w:hAnsi="Verdana" w:cs="Verdana"/>
          <w:color w:val="000000"/>
          <w:sz w:val="23"/>
          <w:szCs w:val="23"/>
        </w:rPr>
        <w:t xml:space="preserve"> </w:t>
      </w:r>
      <w:hyperlink r:id="rId107">
        <w:r>
          <w:rPr>
            <w:rFonts w:ascii="Verdana" w:eastAsia="Verdana" w:hAnsi="Verdana" w:cs="Verdana"/>
            <w:color w:val="0000FF"/>
            <w:sz w:val="23"/>
            <w:szCs w:val="23"/>
          </w:rPr>
          <w:t>https://edtechhub.org</w:t>
        </w:r>
      </w:hyperlink>
      <w:r>
        <w:rPr>
          <w:rFonts w:ascii="Verdana" w:eastAsia="Verdana" w:hAnsi="Verdana" w:cs="Verdana"/>
          <w:color w:val="000000"/>
          <w:sz w:val="23"/>
          <w:szCs w:val="23"/>
        </w:rPr>
        <w:t xml:space="preserve"> </w:t>
      </w:r>
    </w:p>
    <w:p w14:paraId="3186CEF5"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BBE6BDE"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IELCE</w:t>
      </w:r>
    </w:p>
    <w:p w14:paraId="733CD57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8">
        <w:r>
          <w:rPr>
            <w:rFonts w:ascii="Verdana" w:eastAsia="Verdana" w:hAnsi="Verdana" w:cs="Verdana"/>
            <w:color w:val="0000FF"/>
            <w:sz w:val="23"/>
            <w:szCs w:val="23"/>
          </w:rPr>
          <w:t>https://lincs.ed.gov/program/building-opportunities-ielce</w:t>
        </w:r>
      </w:hyperlink>
      <w:r>
        <w:rPr>
          <w:rFonts w:ascii="Verdana" w:eastAsia="Verdana" w:hAnsi="Verdana" w:cs="Verdana"/>
          <w:color w:val="000000"/>
          <w:sz w:val="23"/>
          <w:szCs w:val="23"/>
        </w:rPr>
        <w:t xml:space="preserve"> </w:t>
      </w:r>
    </w:p>
    <w:p w14:paraId="7FD67B23"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623EFB67"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Institute of Education Sciences</w:t>
      </w:r>
    </w:p>
    <w:p w14:paraId="253F8AD7"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09">
        <w:r>
          <w:rPr>
            <w:rFonts w:ascii="Verdana" w:eastAsia="Verdana" w:hAnsi="Verdana" w:cs="Verdana"/>
            <w:color w:val="0000FF"/>
            <w:sz w:val="23"/>
            <w:szCs w:val="23"/>
          </w:rPr>
          <w:t>https://ies.ed.gov</w:t>
        </w:r>
      </w:hyperlink>
      <w:r>
        <w:rPr>
          <w:rFonts w:ascii="Verdana" w:eastAsia="Verdana" w:hAnsi="Verdana" w:cs="Verdana"/>
          <w:color w:val="000000"/>
          <w:sz w:val="23"/>
          <w:szCs w:val="23"/>
        </w:rPr>
        <w:t xml:space="preserve">  </w:t>
      </w:r>
    </w:p>
    <w:p w14:paraId="11BE2D94"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7E74794"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Integrated Basic Education and Skills Training Programs (I-BEST)</w:t>
      </w:r>
    </w:p>
    <w:p w14:paraId="0EB1D72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0">
        <w:r>
          <w:rPr>
            <w:rFonts w:ascii="Verdana" w:eastAsia="Verdana" w:hAnsi="Verdana" w:cs="Verdana"/>
            <w:color w:val="0000FF"/>
            <w:sz w:val="23"/>
            <w:szCs w:val="23"/>
          </w:rPr>
          <w:t>http://www.cal.org/aea/bp</w:t>
        </w:r>
      </w:hyperlink>
      <w:r w:rsidRPr="60E28E47">
        <w:rPr>
          <w:rFonts w:ascii="Verdana" w:eastAsia="Verdana" w:hAnsi="Verdana" w:cs="Verdana"/>
          <w:color w:val="000000" w:themeColor="text1"/>
          <w:sz w:val="23"/>
          <w:szCs w:val="23"/>
        </w:rPr>
        <w:t xml:space="preserve"> </w:t>
      </w:r>
    </w:p>
    <w:p w14:paraId="5798AE17"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75B92E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Integrated Education and Training (IET)</w:t>
      </w:r>
    </w:p>
    <w:p w14:paraId="5E83DC95" w14:textId="154FE69C" w:rsidR="002B6DF1" w:rsidRPr="00C100AB" w:rsidRDefault="008823A8" w:rsidP="002B6DF1">
      <w:r w:rsidRPr="008823A8">
        <w:t>https://www.sbctc.edu/colleges-staff/programs-services/i-best/default.aspx</w:t>
      </w:r>
    </w:p>
    <w:p w14:paraId="6870EDBF"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F5DB3CB"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Integrated Education and Training – CLASP</w:t>
      </w:r>
    </w:p>
    <w:p w14:paraId="58C752C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1">
        <w:r>
          <w:rPr>
            <w:rFonts w:ascii="Verdana" w:eastAsia="Verdana" w:hAnsi="Verdana" w:cs="Verdana"/>
            <w:color w:val="0000FF"/>
            <w:sz w:val="23"/>
            <w:szCs w:val="23"/>
          </w:rPr>
          <w:t>https://www.clasp.org/publications/report/brief/integrated-education-training-iet-defined</w:t>
        </w:r>
      </w:hyperlink>
      <w:r>
        <w:rPr>
          <w:rFonts w:ascii="Verdana" w:eastAsia="Verdana" w:hAnsi="Verdana" w:cs="Verdana"/>
          <w:color w:val="000000"/>
          <w:sz w:val="23"/>
          <w:szCs w:val="23"/>
        </w:rPr>
        <w:t xml:space="preserve"> </w:t>
      </w:r>
    </w:p>
    <w:p w14:paraId="71C07D6D"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098C194"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Learning to Achieve</w:t>
      </w:r>
    </w:p>
    <w:p w14:paraId="7F46EB5B"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2">
        <w:r>
          <w:rPr>
            <w:rFonts w:ascii="Verdana" w:eastAsia="Verdana" w:hAnsi="Verdana" w:cs="Verdana"/>
            <w:color w:val="0000FF"/>
            <w:sz w:val="23"/>
            <w:szCs w:val="23"/>
          </w:rPr>
          <w:t>https://lincs.ed.gov/programs/learningtoachieve/materials.html</w:t>
        </w:r>
      </w:hyperlink>
      <w:r>
        <w:rPr>
          <w:rFonts w:ascii="Verdana" w:eastAsia="Verdana" w:hAnsi="Verdana" w:cs="Verdana"/>
          <w:color w:val="000000"/>
          <w:sz w:val="23"/>
          <w:szCs w:val="23"/>
        </w:rPr>
        <w:t xml:space="preserve"> </w:t>
      </w:r>
    </w:p>
    <w:p w14:paraId="5EC002C9"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737C0A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Literacy Information and Communication System (LINCS)</w:t>
      </w:r>
    </w:p>
    <w:p w14:paraId="00E65BC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3">
        <w:r>
          <w:rPr>
            <w:rFonts w:ascii="Verdana" w:eastAsia="Verdana" w:hAnsi="Verdana" w:cs="Verdana"/>
            <w:color w:val="0000FF"/>
            <w:sz w:val="23"/>
            <w:szCs w:val="23"/>
          </w:rPr>
          <w:t>http://www.literacy.org</w:t>
        </w:r>
      </w:hyperlink>
      <w:r>
        <w:rPr>
          <w:rFonts w:ascii="Verdana" w:eastAsia="Verdana" w:hAnsi="Verdana" w:cs="Verdana"/>
          <w:color w:val="000000"/>
          <w:sz w:val="23"/>
          <w:szCs w:val="23"/>
        </w:rPr>
        <w:t xml:space="preserve"> </w:t>
      </w:r>
    </w:p>
    <w:p w14:paraId="205C837E"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82D3F3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National Association for Adults with Special Learning Needs (NAASLN)</w:t>
      </w:r>
    </w:p>
    <w:p w14:paraId="1ADEAFB5"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4">
        <w:r>
          <w:rPr>
            <w:rFonts w:ascii="Verdana" w:eastAsia="Verdana" w:hAnsi="Verdana" w:cs="Verdana"/>
            <w:color w:val="0000FF"/>
            <w:sz w:val="23"/>
            <w:szCs w:val="23"/>
          </w:rPr>
          <w:t>http://naasln.org</w:t>
        </w:r>
      </w:hyperlink>
      <w:r>
        <w:rPr>
          <w:rFonts w:ascii="Verdana" w:eastAsia="Verdana" w:hAnsi="Verdana" w:cs="Verdana"/>
          <w:color w:val="000000"/>
          <w:sz w:val="23"/>
          <w:szCs w:val="23"/>
        </w:rPr>
        <w:t xml:space="preserve"> </w:t>
      </w:r>
    </w:p>
    <w:p w14:paraId="6C076D9C"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404DA5D"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National Center for Families Learning</w:t>
      </w:r>
    </w:p>
    <w:p w14:paraId="793A1E8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5">
        <w:r>
          <w:rPr>
            <w:rFonts w:ascii="Verdana" w:eastAsia="Verdana" w:hAnsi="Verdana" w:cs="Verdana"/>
            <w:color w:val="0000FF"/>
            <w:sz w:val="23"/>
            <w:szCs w:val="23"/>
          </w:rPr>
          <w:t>http://www.familieslearning.org</w:t>
        </w:r>
      </w:hyperlink>
      <w:r>
        <w:rPr>
          <w:rFonts w:ascii="Verdana" w:eastAsia="Verdana" w:hAnsi="Verdana" w:cs="Verdana"/>
          <w:color w:val="000000"/>
          <w:sz w:val="23"/>
          <w:szCs w:val="23"/>
        </w:rPr>
        <w:t xml:space="preserve"> </w:t>
      </w:r>
    </w:p>
    <w:p w14:paraId="45B27E9B"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6BAFDE7E"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National College Transition Network</w:t>
      </w:r>
    </w:p>
    <w:p w14:paraId="54F76DF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6">
        <w:r>
          <w:rPr>
            <w:rFonts w:ascii="Verdana" w:eastAsia="Verdana" w:hAnsi="Verdana" w:cs="Verdana"/>
            <w:color w:val="0000FF"/>
            <w:sz w:val="23"/>
            <w:szCs w:val="23"/>
          </w:rPr>
          <w:t>http://www.collegetransition.org/home</w:t>
        </w:r>
      </w:hyperlink>
      <w:r>
        <w:rPr>
          <w:rFonts w:ascii="Verdana" w:eastAsia="Verdana" w:hAnsi="Verdana" w:cs="Verdana"/>
          <w:color w:val="000000"/>
          <w:sz w:val="23"/>
          <w:szCs w:val="23"/>
        </w:rPr>
        <w:t xml:space="preserve"> </w:t>
      </w:r>
    </w:p>
    <w:p w14:paraId="3342E05F"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7A65A1B"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National Coalition for Literacy</w:t>
      </w:r>
    </w:p>
    <w:p w14:paraId="33DB7D2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7">
        <w:r>
          <w:rPr>
            <w:rFonts w:ascii="Verdana" w:eastAsia="Verdana" w:hAnsi="Verdana" w:cs="Verdana"/>
            <w:color w:val="0000FF"/>
            <w:sz w:val="23"/>
            <w:szCs w:val="23"/>
          </w:rPr>
          <w:t>https://nationalcoalitionforliteracy.org</w:t>
        </w:r>
      </w:hyperlink>
      <w:r>
        <w:rPr>
          <w:rFonts w:ascii="Verdana" w:eastAsia="Verdana" w:hAnsi="Verdana" w:cs="Verdana"/>
          <w:color w:val="000000"/>
          <w:sz w:val="23"/>
          <w:szCs w:val="23"/>
        </w:rPr>
        <w:t xml:space="preserve"> </w:t>
      </w:r>
    </w:p>
    <w:p w14:paraId="065BFAC3"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1AFBEEB"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National Skills Coalition</w:t>
      </w:r>
    </w:p>
    <w:p w14:paraId="1E3BFA1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8">
        <w:r>
          <w:rPr>
            <w:rFonts w:ascii="Verdana" w:eastAsia="Verdana" w:hAnsi="Verdana" w:cs="Verdana"/>
            <w:color w:val="0000FF"/>
            <w:sz w:val="23"/>
            <w:szCs w:val="23"/>
          </w:rPr>
          <w:t>http://www.nationalskillscoalition.org</w:t>
        </w:r>
      </w:hyperlink>
      <w:r>
        <w:rPr>
          <w:rFonts w:ascii="Verdana" w:eastAsia="Verdana" w:hAnsi="Verdana" w:cs="Verdana"/>
          <w:color w:val="000000"/>
          <w:sz w:val="23"/>
          <w:szCs w:val="23"/>
        </w:rPr>
        <w:t xml:space="preserve"> </w:t>
      </w:r>
    </w:p>
    <w:p w14:paraId="7DF51698"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3E70BCCE"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Northstar Digital Literacy Project</w:t>
      </w:r>
    </w:p>
    <w:p w14:paraId="060800C8"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19">
        <w:r>
          <w:rPr>
            <w:rFonts w:ascii="Verdana" w:eastAsia="Verdana" w:hAnsi="Verdana" w:cs="Verdana"/>
            <w:color w:val="0000FF"/>
            <w:sz w:val="23"/>
            <w:szCs w:val="23"/>
          </w:rPr>
          <w:t>http://digitalliteracyassessment.org/index.php</w:t>
        </w:r>
      </w:hyperlink>
      <w:r>
        <w:rPr>
          <w:rFonts w:ascii="Verdana" w:eastAsia="Verdana" w:hAnsi="Verdana" w:cs="Verdana"/>
          <w:color w:val="000000"/>
          <w:sz w:val="23"/>
          <w:szCs w:val="23"/>
        </w:rPr>
        <w:t xml:space="preserve"> </w:t>
      </w:r>
    </w:p>
    <w:p w14:paraId="7C12B93E"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Oregon Teachers of English to Speakers of Other Languages (ORTESOL)</w:t>
      </w:r>
    </w:p>
    <w:p w14:paraId="75596F6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0">
        <w:r>
          <w:rPr>
            <w:rFonts w:ascii="Verdana" w:eastAsia="Verdana" w:hAnsi="Verdana" w:cs="Verdana"/>
            <w:color w:val="0000FF"/>
            <w:sz w:val="23"/>
            <w:szCs w:val="23"/>
          </w:rPr>
          <w:t>http://www.ortesol.org</w:t>
        </w:r>
      </w:hyperlink>
      <w:r>
        <w:rPr>
          <w:rFonts w:ascii="Verdana" w:eastAsia="Verdana" w:hAnsi="Verdana" w:cs="Verdana"/>
          <w:color w:val="000000"/>
          <w:sz w:val="23"/>
          <w:szCs w:val="23"/>
        </w:rPr>
        <w:t xml:space="preserve"> </w:t>
      </w:r>
    </w:p>
    <w:p w14:paraId="03133084"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1238DBB2" w14:textId="77777777" w:rsidR="00F8503D" w:rsidRDefault="0033067D" w:rsidP="7B188CE2">
      <w:pPr>
        <w:keepNext/>
        <w:pBdr>
          <w:top w:val="nil"/>
          <w:left w:val="nil"/>
          <w:bottom w:val="nil"/>
          <w:right w:val="nil"/>
          <w:between w:val="nil"/>
        </w:pBdr>
        <w:spacing w:before="40" w:after="40" w:line="276" w:lineRule="auto"/>
        <w:rPr>
          <w:rFonts w:ascii="Arial" w:eastAsia="Arial" w:hAnsi="Arial" w:cs="Arial"/>
          <w:b/>
          <w:bCs/>
          <w:i/>
          <w:iCs/>
          <w:color w:val="000000"/>
          <w:lang w:val="en-US"/>
        </w:rPr>
      </w:pPr>
      <w:r w:rsidRPr="7B188CE2">
        <w:rPr>
          <w:rFonts w:ascii="Arial" w:eastAsia="Arial" w:hAnsi="Arial" w:cs="Arial"/>
          <w:b/>
          <w:bCs/>
          <w:i/>
          <w:iCs/>
          <w:color w:val="000000" w:themeColor="text1"/>
          <w:lang w:val="en-US"/>
        </w:rPr>
        <w:lastRenderedPageBreak/>
        <w:t>ProLiteracy</w:t>
      </w:r>
    </w:p>
    <w:p w14:paraId="2A5107CC"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1">
        <w:r>
          <w:rPr>
            <w:rFonts w:ascii="Verdana" w:eastAsia="Verdana" w:hAnsi="Verdana" w:cs="Verdana"/>
            <w:color w:val="0000FF"/>
            <w:sz w:val="23"/>
            <w:szCs w:val="23"/>
          </w:rPr>
          <w:t>http://www.proliteracy.org</w:t>
        </w:r>
      </w:hyperlink>
      <w:r>
        <w:rPr>
          <w:rFonts w:ascii="Verdana" w:eastAsia="Verdana" w:hAnsi="Verdana" w:cs="Verdana"/>
          <w:color w:val="000000"/>
          <w:sz w:val="23"/>
          <w:szCs w:val="23"/>
        </w:rPr>
        <w:t xml:space="preserve"> </w:t>
      </w:r>
    </w:p>
    <w:p w14:paraId="286747FC"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Reentry Resource Center</w:t>
      </w:r>
    </w:p>
    <w:p w14:paraId="1D41501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2">
        <w:r>
          <w:rPr>
            <w:rFonts w:ascii="Verdana" w:eastAsia="Verdana" w:hAnsi="Verdana" w:cs="Verdana"/>
            <w:color w:val="0000FF"/>
            <w:sz w:val="23"/>
            <w:szCs w:val="23"/>
          </w:rPr>
          <w:t>https://nationalreentryresourcecenter.org</w:t>
        </w:r>
      </w:hyperlink>
      <w:r>
        <w:rPr>
          <w:rFonts w:ascii="Verdana" w:eastAsia="Verdana" w:hAnsi="Verdana" w:cs="Verdana"/>
          <w:color w:val="000000"/>
          <w:sz w:val="23"/>
          <w:szCs w:val="23"/>
        </w:rPr>
        <w:t xml:space="preserve"> </w:t>
      </w:r>
    </w:p>
    <w:p w14:paraId="6DA9A99A"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0DC601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Student Achievement in Reading (STAR)</w:t>
      </w:r>
    </w:p>
    <w:p w14:paraId="415EF3D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3">
        <w:r>
          <w:rPr>
            <w:rFonts w:ascii="Verdana" w:eastAsia="Verdana" w:hAnsi="Verdana" w:cs="Verdana"/>
            <w:color w:val="0000FF"/>
            <w:sz w:val="23"/>
            <w:szCs w:val="23"/>
          </w:rPr>
          <w:t>https://lincs.ed.gov/state-resources/federal-initiatives/student-achievement-reading</w:t>
        </w:r>
      </w:hyperlink>
      <w:r>
        <w:rPr>
          <w:rFonts w:ascii="Verdana" w:eastAsia="Verdana" w:hAnsi="Verdana" w:cs="Verdana"/>
          <w:color w:val="000000"/>
          <w:sz w:val="23"/>
          <w:szCs w:val="23"/>
        </w:rPr>
        <w:t xml:space="preserve"> </w:t>
      </w:r>
    </w:p>
    <w:p w14:paraId="72BDAD16"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1A61C5A"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Teaching Excellence in Adult Literacy (TEAL – Math and Writing)</w:t>
      </w:r>
    </w:p>
    <w:p w14:paraId="0C9A902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4">
        <w:r>
          <w:rPr>
            <w:rFonts w:ascii="Verdana" w:eastAsia="Verdana" w:hAnsi="Verdana" w:cs="Verdana"/>
            <w:color w:val="0000FF"/>
            <w:sz w:val="23"/>
            <w:szCs w:val="23"/>
          </w:rPr>
          <w:t>https://nrsweb.org/policy-data/nrs-ta-guide</w:t>
        </w:r>
      </w:hyperlink>
      <w:r>
        <w:rPr>
          <w:rFonts w:ascii="Verdana" w:eastAsia="Verdana" w:hAnsi="Verdana" w:cs="Verdana"/>
          <w:color w:val="000000"/>
          <w:sz w:val="23"/>
          <w:szCs w:val="23"/>
        </w:rPr>
        <w:t xml:space="preserve"> </w:t>
      </w:r>
    </w:p>
    <w:p w14:paraId="2099BBFB"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44CD5769"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Teacher Effectiveness</w:t>
      </w:r>
    </w:p>
    <w:p w14:paraId="149F3F1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5">
        <w:r>
          <w:rPr>
            <w:rFonts w:ascii="Verdana" w:eastAsia="Verdana" w:hAnsi="Verdana" w:cs="Verdana"/>
            <w:color w:val="0000FF"/>
            <w:sz w:val="23"/>
            <w:szCs w:val="23"/>
          </w:rPr>
          <w:t>https://lincs.ed.gov/state-resources/federal-initiatives/teacher-effectiveness</w:t>
        </w:r>
      </w:hyperlink>
      <w:r>
        <w:rPr>
          <w:rFonts w:ascii="Verdana" w:eastAsia="Verdana" w:hAnsi="Verdana" w:cs="Verdana"/>
          <w:color w:val="000000"/>
          <w:sz w:val="23"/>
          <w:szCs w:val="23"/>
        </w:rPr>
        <w:t xml:space="preserve"> </w:t>
      </w:r>
    </w:p>
    <w:p w14:paraId="3C436CE8"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1B5D22F"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United States Citizenship and Immigration Services (USCIS)</w:t>
      </w:r>
    </w:p>
    <w:p w14:paraId="374CF6A5"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6">
        <w:r>
          <w:rPr>
            <w:rFonts w:ascii="Verdana" w:eastAsia="Verdana" w:hAnsi="Verdana" w:cs="Verdana"/>
            <w:color w:val="0000FF"/>
            <w:sz w:val="23"/>
            <w:szCs w:val="23"/>
          </w:rPr>
          <w:t>https://www.uscis.gov/citizenship</w:t>
        </w:r>
      </w:hyperlink>
      <w:r>
        <w:rPr>
          <w:rFonts w:ascii="Verdana" w:eastAsia="Verdana" w:hAnsi="Verdana" w:cs="Verdana"/>
          <w:color w:val="000000"/>
          <w:sz w:val="23"/>
          <w:szCs w:val="23"/>
        </w:rPr>
        <w:t xml:space="preserve"> </w:t>
      </w:r>
    </w:p>
    <w:p w14:paraId="6310F00E" w14:textId="0D48B6D9" w:rsidR="00F8503D" w:rsidRDefault="00BF100F" w:rsidP="00C72437">
      <w:pPr>
        <w:shd w:val="clear" w:color="auto" w:fill="FFFFFF"/>
        <w:rPr>
          <w:rFonts w:ascii="Verdana" w:eastAsia="Verdana" w:hAnsi="Verdana" w:cs="Verdana"/>
          <w:color w:val="000000"/>
          <w:sz w:val="23"/>
          <w:szCs w:val="23"/>
        </w:rPr>
      </w:pPr>
      <w:r w:rsidRPr="00BF100F">
        <w:rPr>
          <w:rFonts w:ascii="Lato" w:hAnsi="Lato" w:cs="Georgia"/>
          <w:color w:val="181818"/>
          <w:sz w:val="29"/>
          <w:szCs w:val="29"/>
          <w:lang w:val="en-US"/>
        </w:rPr>
        <w:t> </w:t>
      </w:r>
    </w:p>
    <w:p w14:paraId="1BD62327"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WeLearn</w:t>
      </w:r>
    </w:p>
    <w:p w14:paraId="010F4F63"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7">
        <w:r>
          <w:rPr>
            <w:rFonts w:ascii="Verdana" w:eastAsia="Verdana" w:hAnsi="Verdana" w:cs="Verdana"/>
            <w:color w:val="0000FF"/>
            <w:sz w:val="23"/>
            <w:szCs w:val="23"/>
          </w:rPr>
          <w:t>https://welearn.org</w:t>
        </w:r>
      </w:hyperlink>
    </w:p>
    <w:p w14:paraId="134B8280" w14:textId="77777777" w:rsidR="00C72437" w:rsidRDefault="00C72437">
      <w:pPr>
        <w:keepNext/>
        <w:pBdr>
          <w:top w:val="nil"/>
          <w:left w:val="nil"/>
          <w:bottom w:val="nil"/>
          <w:right w:val="nil"/>
          <w:between w:val="nil"/>
        </w:pBdr>
        <w:spacing w:before="40" w:after="40" w:line="276" w:lineRule="auto"/>
        <w:rPr>
          <w:rFonts w:ascii="Arial" w:eastAsia="Arial" w:hAnsi="Arial" w:cs="Arial"/>
          <w:b/>
          <w:bCs/>
          <w:i/>
          <w:iCs/>
          <w:color w:val="000000"/>
        </w:rPr>
      </w:pPr>
    </w:p>
    <w:p w14:paraId="43652FA1" w14:textId="799CE6B4"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Workplace Education Program in the Quick Guide to the NRS</w:t>
      </w:r>
    </w:p>
    <w:p w14:paraId="1BE102D7"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8">
        <w:r>
          <w:rPr>
            <w:rFonts w:ascii="Verdana" w:eastAsia="Verdana" w:hAnsi="Verdana" w:cs="Verdana"/>
            <w:color w:val="0000FF"/>
            <w:sz w:val="23"/>
            <w:szCs w:val="23"/>
          </w:rPr>
          <w:t>https://nrsweb.org/policy-data/nrs-ta-guide</w:t>
        </w:r>
      </w:hyperlink>
      <w:r>
        <w:rPr>
          <w:rFonts w:ascii="Verdana" w:eastAsia="Verdana" w:hAnsi="Verdana" w:cs="Verdana"/>
          <w:color w:val="000000"/>
          <w:sz w:val="23"/>
          <w:szCs w:val="23"/>
        </w:rPr>
        <w:t xml:space="preserve"> </w:t>
      </w:r>
    </w:p>
    <w:p w14:paraId="2236BEC2"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940EB59"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World Education</w:t>
      </w:r>
    </w:p>
    <w:p w14:paraId="3A918B20"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29">
        <w:r>
          <w:rPr>
            <w:rFonts w:ascii="Verdana" w:eastAsia="Verdana" w:hAnsi="Verdana" w:cs="Verdana"/>
            <w:color w:val="0000FF"/>
            <w:sz w:val="23"/>
            <w:szCs w:val="23"/>
          </w:rPr>
          <w:t>www.worlded.org</w:t>
        </w:r>
      </w:hyperlink>
      <w:r>
        <w:rPr>
          <w:rFonts w:ascii="Verdana" w:eastAsia="Verdana" w:hAnsi="Verdana" w:cs="Verdana"/>
          <w:color w:val="000000"/>
          <w:sz w:val="23"/>
          <w:szCs w:val="23"/>
        </w:rPr>
        <w:t xml:space="preserve"> </w:t>
      </w:r>
    </w:p>
    <w:p w14:paraId="7C9323A3"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33CB1C53" w14:textId="77777777" w:rsidR="00F8503D" w:rsidRDefault="0033067D">
      <w:pPr>
        <w:keepNext/>
        <w:numPr>
          <w:ilvl w:val="2"/>
          <w:numId w:val="24"/>
        </w:numPr>
        <w:pBdr>
          <w:top w:val="nil"/>
          <w:left w:val="nil"/>
          <w:bottom w:val="nil"/>
          <w:right w:val="nil"/>
          <w:between w:val="nil"/>
        </w:pBdr>
        <w:spacing w:before="240" w:after="40" w:line="276" w:lineRule="auto"/>
      </w:pPr>
      <w:bookmarkStart w:id="90" w:name="_qcxjmho7uajr" w:colFirst="0" w:colLast="0"/>
      <w:bookmarkEnd w:id="90"/>
      <w:r>
        <w:rPr>
          <w:rFonts w:ascii="Arial" w:eastAsia="Arial" w:hAnsi="Arial" w:cs="Arial"/>
          <w:smallCaps/>
          <w:color w:val="6A976C"/>
          <w:sz w:val="28"/>
          <w:szCs w:val="28"/>
        </w:rPr>
        <w:t>Workforce Development System</w:t>
      </w:r>
    </w:p>
    <w:p w14:paraId="120A7C97"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 xml:space="preserve">National Skills Coalition </w:t>
      </w:r>
    </w:p>
    <w:p w14:paraId="375A5791"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30">
        <w:r>
          <w:rPr>
            <w:rFonts w:ascii="Verdana" w:eastAsia="Verdana" w:hAnsi="Verdana" w:cs="Verdana"/>
            <w:color w:val="0000FF"/>
            <w:sz w:val="23"/>
            <w:szCs w:val="23"/>
          </w:rPr>
          <w:t>https://www.nationalskillscoalition.org</w:t>
        </w:r>
      </w:hyperlink>
      <w:r>
        <w:rPr>
          <w:rFonts w:ascii="Verdana" w:eastAsia="Verdana" w:hAnsi="Verdana" w:cs="Verdana"/>
          <w:color w:val="000000"/>
          <w:sz w:val="23"/>
          <w:szCs w:val="23"/>
        </w:rPr>
        <w:t xml:space="preserve"> </w:t>
      </w:r>
    </w:p>
    <w:p w14:paraId="1FDE1DAF" w14:textId="408AC11B" w:rsidR="00F8503D" w:rsidRDefault="00F8503D" w:rsidP="7B188CE2">
      <w:pPr>
        <w:pBdr>
          <w:top w:val="nil"/>
          <w:left w:val="nil"/>
          <w:bottom w:val="nil"/>
          <w:right w:val="nil"/>
          <w:between w:val="nil"/>
        </w:pBdr>
        <w:spacing w:after="160" w:line="276" w:lineRule="auto"/>
        <w:rPr>
          <w:rFonts w:ascii="Verdana" w:eastAsia="Verdana" w:hAnsi="Verdana" w:cs="Verdana"/>
          <w:sz w:val="23"/>
          <w:szCs w:val="23"/>
          <w:lang w:val="en-US"/>
        </w:rPr>
      </w:pPr>
    </w:p>
    <w:p w14:paraId="27258B68"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lastRenderedPageBreak/>
        <w:t>Oregon Workforce and Talent Development Board</w:t>
      </w:r>
    </w:p>
    <w:p w14:paraId="6661DD89"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31">
        <w:r>
          <w:rPr>
            <w:rFonts w:ascii="Verdana" w:eastAsia="Verdana" w:hAnsi="Verdana" w:cs="Verdana"/>
            <w:color w:val="0000FF"/>
            <w:sz w:val="23"/>
            <w:szCs w:val="23"/>
          </w:rPr>
          <w:t>https://www.oregon.gov/WorkforceBoard/Pages/Home.aspx</w:t>
        </w:r>
      </w:hyperlink>
      <w:r>
        <w:rPr>
          <w:rFonts w:ascii="Verdana" w:eastAsia="Verdana" w:hAnsi="Verdana" w:cs="Verdana"/>
          <w:color w:val="000000"/>
          <w:sz w:val="23"/>
          <w:szCs w:val="23"/>
        </w:rPr>
        <w:t xml:space="preserve"> </w:t>
      </w:r>
    </w:p>
    <w:p w14:paraId="537CB8EB"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2CEFBA4"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Oregon Workforce Partnership</w:t>
      </w:r>
    </w:p>
    <w:p w14:paraId="0998AE7A"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32">
        <w:r>
          <w:rPr>
            <w:rFonts w:ascii="Verdana" w:eastAsia="Verdana" w:hAnsi="Verdana" w:cs="Verdana"/>
            <w:color w:val="0000FF"/>
            <w:sz w:val="23"/>
            <w:szCs w:val="23"/>
          </w:rPr>
          <w:t>https://oregonworkforcepartnership.org</w:t>
        </w:r>
      </w:hyperlink>
      <w:r>
        <w:rPr>
          <w:rFonts w:ascii="Verdana" w:eastAsia="Verdana" w:hAnsi="Verdana" w:cs="Verdana"/>
          <w:color w:val="000000"/>
          <w:sz w:val="23"/>
          <w:szCs w:val="23"/>
        </w:rPr>
        <w:t xml:space="preserve"> </w:t>
      </w:r>
    </w:p>
    <w:p w14:paraId="416A4760"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25410B8A"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Oregon Employment Department's Workforce and Economic Research Division</w:t>
      </w:r>
    </w:p>
    <w:p w14:paraId="4B64628E"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33">
        <w:r>
          <w:rPr>
            <w:rFonts w:ascii="Verdana" w:eastAsia="Verdana" w:hAnsi="Verdana" w:cs="Verdana"/>
            <w:color w:val="0000FF"/>
            <w:sz w:val="23"/>
            <w:szCs w:val="23"/>
          </w:rPr>
          <w:t>https://www.qualityinfo.org</w:t>
        </w:r>
      </w:hyperlink>
      <w:r>
        <w:rPr>
          <w:rFonts w:ascii="Verdana" w:eastAsia="Verdana" w:hAnsi="Verdana" w:cs="Verdana"/>
          <w:color w:val="000000"/>
          <w:sz w:val="23"/>
          <w:szCs w:val="23"/>
        </w:rPr>
        <w:t xml:space="preserve"> </w:t>
      </w:r>
    </w:p>
    <w:p w14:paraId="6525CEFB"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6825483"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U.S. Department of Labor Employment and Training Administration (DOLETA), WIOA Resources</w:t>
      </w:r>
    </w:p>
    <w:p w14:paraId="00F123EC"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34">
        <w:r>
          <w:rPr>
            <w:rFonts w:ascii="Verdana" w:eastAsia="Verdana" w:hAnsi="Verdana" w:cs="Verdana"/>
            <w:color w:val="0000FF"/>
            <w:sz w:val="23"/>
            <w:szCs w:val="23"/>
          </w:rPr>
          <w:t>https://www.dol.gov/agencies/eta/wioa</w:t>
        </w:r>
      </w:hyperlink>
      <w:r>
        <w:rPr>
          <w:rFonts w:ascii="Verdana" w:eastAsia="Verdana" w:hAnsi="Verdana" w:cs="Verdana"/>
          <w:color w:val="000000"/>
          <w:sz w:val="23"/>
          <w:szCs w:val="23"/>
        </w:rPr>
        <w:t xml:space="preserve"> </w:t>
      </w:r>
    </w:p>
    <w:p w14:paraId="3DFBD1CD"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00AC80BE"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WIOA in Oregon</w:t>
      </w:r>
    </w:p>
    <w:p w14:paraId="74D39ABD"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35">
        <w:r>
          <w:rPr>
            <w:rFonts w:ascii="Verdana" w:eastAsia="Verdana" w:hAnsi="Verdana" w:cs="Verdana"/>
            <w:color w:val="0000FF"/>
            <w:sz w:val="23"/>
            <w:szCs w:val="23"/>
          </w:rPr>
          <w:t>https://www.wioainoregon.org</w:t>
        </w:r>
      </w:hyperlink>
      <w:r>
        <w:rPr>
          <w:rFonts w:ascii="Verdana" w:eastAsia="Verdana" w:hAnsi="Verdana" w:cs="Verdana"/>
          <w:color w:val="000000"/>
          <w:sz w:val="23"/>
          <w:szCs w:val="23"/>
        </w:rPr>
        <w:t xml:space="preserve"> </w:t>
      </w:r>
    </w:p>
    <w:p w14:paraId="74E43AD2" w14:textId="77777777" w:rsidR="00F8503D" w:rsidRDefault="00F8503D">
      <w:pPr>
        <w:pBdr>
          <w:top w:val="nil"/>
          <w:left w:val="nil"/>
          <w:bottom w:val="nil"/>
          <w:right w:val="nil"/>
          <w:between w:val="nil"/>
        </w:pBdr>
        <w:spacing w:after="160" w:line="276" w:lineRule="auto"/>
        <w:rPr>
          <w:rFonts w:ascii="Verdana" w:eastAsia="Verdana" w:hAnsi="Verdana" w:cs="Verdana"/>
          <w:color w:val="000000"/>
          <w:sz w:val="23"/>
          <w:szCs w:val="23"/>
        </w:rPr>
      </w:pPr>
    </w:p>
    <w:p w14:paraId="72B180E6" w14:textId="77777777" w:rsidR="00F8503D" w:rsidRDefault="0033067D">
      <w:pPr>
        <w:keepNext/>
        <w:pBdr>
          <w:top w:val="nil"/>
          <w:left w:val="nil"/>
          <w:bottom w:val="nil"/>
          <w:right w:val="nil"/>
          <w:between w:val="nil"/>
        </w:pBdr>
        <w:spacing w:before="40" w:after="40" w:line="276" w:lineRule="auto"/>
        <w:rPr>
          <w:rFonts w:ascii="Arial" w:eastAsia="Arial" w:hAnsi="Arial" w:cs="Arial"/>
          <w:b/>
          <w:bCs/>
          <w:i/>
          <w:iCs/>
          <w:color w:val="000000"/>
        </w:rPr>
      </w:pPr>
      <w:r>
        <w:rPr>
          <w:rFonts w:ascii="Arial" w:eastAsia="Arial" w:hAnsi="Arial" w:cs="Arial"/>
          <w:b/>
          <w:bCs/>
          <w:i/>
          <w:iCs/>
          <w:color w:val="000000"/>
        </w:rPr>
        <w:t>Workforce GPS</w:t>
      </w:r>
    </w:p>
    <w:p w14:paraId="1EAAE614" w14:textId="77777777" w:rsidR="00F8503D" w:rsidRDefault="0033067D">
      <w:pPr>
        <w:pBdr>
          <w:top w:val="nil"/>
          <w:left w:val="nil"/>
          <w:bottom w:val="nil"/>
          <w:right w:val="nil"/>
          <w:between w:val="nil"/>
        </w:pBdr>
        <w:spacing w:after="160" w:line="276" w:lineRule="auto"/>
        <w:rPr>
          <w:rFonts w:ascii="Verdana" w:eastAsia="Verdana" w:hAnsi="Verdana" w:cs="Verdana"/>
          <w:color w:val="000000"/>
          <w:sz w:val="23"/>
          <w:szCs w:val="23"/>
        </w:rPr>
      </w:pPr>
      <w:hyperlink r:id="rId136">
        <w:r>
          <w:rPr>
            <w:rFonts w:ascii="Verdana" w:eastAsia="Verdana" w:hAnsi="Verdana" w:cs="Verdana"/>
            <w:color w:val="0000FF"/>
            <w:sz w:val="23"/>
            <w:szCs w:val="23"/>
          </w:rPr>
          <w:t>https://www.workforcegps.org</w:t>
        </w:r>
      </w:hyperlink>
      <w:r>
        <w:rPr>
          <w:rFonts w:ascii="Verdana" w:eastAsia="Verdana" w:hAnsi="Verdana" w:cs="Verdana"/>
          <w:color w:val="000000"/>
          <w:sz w:val="23"/>
          <w:szCs w:val="23"/>
        </w:rPr>
        <w:t xml:space="preserve"> </w:t>
      </w:r>
    </w:p>
    <w:sectPr w:rsidR="00F8503D">
      <w:footerReference w:type="default" r:id="rId137"/>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5A359" w14:textId="77777777" w:rsidR="00E10820" w:rsidRDefault="00E10820">
      <w:r>
        <w:separator/>
      </w:r>
    </w:p>
  </w:endnote>
  <w:endnote w:type="continuationSeparator" w:id="0">
    <w:p w14:paraId="3ACBD9B8" w14:textId="77777777" w:rsidR="00E10820" w:rsidRDefault="00E10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12AF3BCF-E4C6-42E1-AF9B-1FCF2435D414}"/>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4A2EFA74-B66E-4AB4-895D-5679B4F82293}"/>
    <w:embedBold r:id="rId3" w:fontKey="{9ECD989A-66A2-4CC8-B908-177182C9D44A}"/>
    <w:embedItalic r:id="rId4" w:fontKey="{F24FCEA3-9320-4025-9057-643B022ACC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7722ADB-6138-4045-9D17-ACDDCB0B2FB7}"/>
    <w:embedBold r:id="rId6" w:fontKey="{60DF5D67-E3D6-4EF8-ACAA-6224308847F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B9F15078-611E-41A4-9D24-483F6353D720}"/>
    <w:embedBold r:id="rId8" w:fontKey="{A76AA19C-36EE-47B7-8BF6-DDC949C62256}"/>
  </w:font>
  <w:font w:name="Verdana">
    <w:panose1 w:val="020B0604030504040204"/>
    <w:charset w:val="00"/>
    <w:family w:val="swiss"/>
    <w:pitch w:val="variable"/>
    <w:sig w:usb0="A00006FF" w:usb1="4000205B" w:usb2="00000010" w:usb3="00000000" w:csb0="0000019F" w:csb1="00000000"/>
    <w:embedRegular r:id="rId9" w:fontKey="{4128B01B-44F7-49C5-B304-95D2723E4452}"/>
    <w:embedBold r:id="rId10" w:fontKey="{E4146071-F661-420D-B0B8-9ECC5BABA20F}"/>
    <w:embedItalic r:id="rId11" w:fontKey="{638C65E8-AAF4-4A73-B81F-4A402ECB2CD6}"/>
    <w:embedBoldItalic r:id="rId12" w:fontKey="{B962E1F4-9ED3-450A-96A7-A3BE8E483E42}"/>
  </w:font>
  <w:font w:name="Segoe UI Symbol">
    <w:panose1 w:val="020B0502040204020203"/>
    <w:charset w:val="00"/>
    <w:family w:val="swiss"/>
    <w:pitch w:val="variable"/>
    <w:sig w:usb0="800001E3" w:usb1="1200FFEF" w:usb2="00040000" w:usb3="00000000" w:csb0="00000001" w:csb1="00000000"/>
    <w:embedRegular r:id="rId13" w:fontKey="{EEE65876-42CC-4F00-A24D-3E432FE97D0C}"/>
  </w:font>
  <w:font w:name="Lato">
    <w:charset w:val="00"/>
    <w:family w:val="swiss"/>
    <w:pitch w:val="variable"/>
    <w:sig w:usb0="E10002FF" w:usb1="5000ECFF" w:usb2="00000021" w:usb3="00000000" w:csb0="0000019F" w:csb1="00000000"/>
    <w:embedRegular r:id="rId14" w:fontKey="{245CEC9D-4133-470E-B412-69F12731C986}"/>
  </w:font>
  <w:font w:name="Georgia">
    <w:panose1 w:val="02040502050405020303"/>
    <w:charset w:val="00"/>
    <w:family w:val="roman"/>
    <w:pitch w:val="variable"/>
    <w:sig w:usb0="00000287" w:usb1="00000000" w:usb2="00000000" w:usb3="00000000" w:csb0="0000009F" w:csb1="00000000"/>
    <w:embedRegular r:id="rId15" w:fontKey="{0D069CB1-041F-45F8-8F94-DDA4694DBB31}"/>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BC78" w14:textId="77777777" w:rsidR="00700D3F" w:rsidRDefault="00700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0133" w14:textId="77777777" w:rsidR="00700D3F" w:rsidRDefault="00700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3968" w14:textId="77777777" w:rsidR="00F8503D" w:rsidRDefault="0033067D">
    <w:pPr>
      <w:pBdr>
        <w:top w:val="single" w:sz="4" w:space="1" w:color="D9D9D9"/>
        <w:left w:val="nil"/>
        <w:bottom w:val="nil"/>
        <w:right w:val="nil"/>
        <w:between w:val="nil"/>
      </w:pBdr>
      <w:tabs>
        <w:tab w:val="center" w:pos="4680"/>
        <w:tab w:val="right" w:pos="9360"/>
      </w:tabs>
      <w:jc w:val="right"/>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Pr>
        <w:rFonts w:ascii="Verdana" w:eastAsia="Verdana" w:hAnsi="Verdana" w:cs="Verdana"/>
        <w:color w:val="000000"/>
        <w:sz w:val="20"/>
        <w:szCs w:val="20"/>
      </w:rPr>
      <w:fldChar w:fldCharType="end"/>
    </w:r>
    <w:r>
      <w:rPr>
        <w:rFonts w:ascii="Verdana" w:eastAsia="Verdana" w:hAnsi="Verdana" w:cs="Verdana"/>
        <w:color w:val="000000"/>
        <w:sz w:val="20"/>
        <w:szCs w:val="20"/>
      </w:rPr>
      <w:t xml:space="preserve"> | </w:t>
    </w:r>
    <w:r>
      <w:rPr>
        <w:rFonts w:ascii="Verdana" w:eastAsia="Verdana" w:hAnsi="Verdana" w:cs="Verdana"/>
        <w:color w:val="7F7F7F"/>
        <w:sz w:val="20"/>
        <w:szCs w:val="20"/>
      </w:rPr>
      <w:t>Page</w:t>
    </w:r>
  </w:p>
  <w:p w14:paraId="678F2C1C" w14:textId="77777777" w:rsidR="00F8503D" w:rsidRDefault="00F8503D">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40DC7" w14:textId="7C8B8CD3" w:rsidR="00F8503D" w:rsidRDefault="0033067D">
    <w:pPr>
      <w:pBdr>
        <w:top w:val="single" w:sz="4" w:space="1" w:color="D9D9D9"/>
        <w:left w:val="nil"/>
        <w:bottom w:val="nil"/>
        <w:right w:val="nil"/>
        <w:between w:val="nil"/>
      </w:pBdr>
      <w:tabs>
        <w:tab w:val="center" w:pos="4680"/>
        <w:tab w:val="right" w:pos="9360"/>
      </w:tabs>
      <w:jc w:val="right"/>
      <w:rPr>
        <w:color w:val="00000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117569">
      <w:rPr>
        <w:rFonts w:ascii="Verdana" w:eastAsia="Verdana" w:hAnsi="Verdana" w:cs="Verdana"/>
        <w:noProof/>
        <w:color w:val="000000"/>
        <w:sz w:val="20"/>
        <w:szCs w:val="20"/>
      </w:rPr>
      <w:t>1</w:t>
    </w:r>
    <w:r>
      <w:rPr>
        <w:rFonts w:ascii="Verdana" w:eastAsia="Verdana" w:hAnsi="Verdana" w:cs="Verdana"/>
        <w:color w:val="000000"/>
        <w:sz w:val="20"/>
        <w:szCs w:val="20"/>
      </w:rPr>
      <w:fldChar w:fldCharType="end"/>
    </w:r>
    <w:r>
      <w:rPr>
        <w:rFonts w:ascii="Verdana" w:eastAsia="Verdana" w:hAnsi="Verdana" w:cs="Verdana"/>
        <w:color w:val="000000"/>
        <w:sz w:val="20"/>
        <w:szCs w:val="20"/>
      </w:rPr>
      <w:t xml:space="preserve"> | </w:t>
    </w:r>
    <w:r>
      <w:rPr>
        <w:rFonts w:ascii="Verdana" w:eastAsia="Verdana" w:hAnsi="Verdana" w:cs="Verdana"/>
        <w:color w:val="7F7F7F"/>
        <w:sz w:val="20"/>
        <w:szCs w:val="20"/>
      </w:rPr>
      <w:t>Page</w:t>
    </w:r>
  </w:p>
  <w:p w14:paraId="1D717F0F" w14:textId="77777777" w:rsidR="00F8503D" w:rsidRDefault="00F8503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AF6ED" w14:textId="77777777" w:rsidR="00E10820" w:rsidRDefault="00E10820">
      <w:r>
        <w:separator/>
      </w:r>
    </w:p>
  </w:footnote>
  <w:footnote w:type="continuationSeparator" w:id="0">
    <w:p w14:paraId="3C22BD25" w14:textId="77777777" w:rsidR="00E10820" w:rsidRDefault="00E10820">
      <w:r>
        <w:continuationSeparator/>
      </w:r>
    </w:p>
  </w:footnote>
  <w:footnote w:id="1">
    <w:p w14:paraId="68912B6B" w14:textId="77777777" w:rsidR="00F8503D" w:rsidRDefault="0033067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rPr>
        <w:t>Enrollment is the number of Participants with 12+ contact hours and an assigned EFL (e.g. via pre-test), as shown on NRS Table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889E2" w14:textId="77777777" w:rsidR="00700D3F" w:rsidRDefault="00700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3767" w14:textId="4AA4B89E" w:rsidR="00700D3F" w:rsidRDefault="00700D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4E807" w14:textId="77777777" w:rsidR="00700D3F" w:rsidRDefault="00700D3F">
    <w:pPr>
      <w:pStyle w:val="Header"/>
    </w:pPr>
  </w:p>
</w:hdr>
</file>

<file path=word/intelligence2.xml><?xml version="1.0" encoding="utf-8"?>
<int2:intelligence xmlns:int2="http://schemas.microsoft.com/office/intelligence/2020/intelligence" xmlns:oel="http://schemas.microsoft.com/office/2019/extlst">
  <int2:observations>
    <int2:textHash int2:hashCode="nF+PsQvBvzqOOD" int2:id="Ppr0Kjru">
      <int2:state int2:value="Rejected" int2:type="spell"/>
    </int2:textHash>
    <int2:textHash int2:hashCode="K95hoJrWelPbSL" int2:id="Vj4DEUgo">
      <int2:state int2:value="Rejected" int2:type="spell"/>
    </int2:textHash>
    <int2:textHash int2:hashCode="Txl8maeLhBHxz0" int2:id="fHLzvTdQ">
      <int2:state int2:value="Rejected" int2:type="spell"/>
    </int2:textHash>
    <int2:textHash int2:hashCode="ORbSTv+xVQajnu" int2:id="ozBqWsbK">
      <int2:state int2:value="Rejected" int2:type="spell"/>
    </int2:textHash>
    <int2:textHash int2:hashCode="RxFst7K4uDv3e/" int2:id="z6WoE9j8">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B90"/>
    <w:multiLevelType w:val="multilevel"/>
    <w:tmpl w:val="4B14B70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3."/>
      <w:lvlJc w:val="left"/>
      <w:pPr>
        <w:ind w:left="720" w:hanging="720"/>
      </w:pPr>
      <w:rPr>
        <w:b w:val="0"/>
        <w:bCs w:val="0"/>
        <w:i w:val="0"/>
        <w:iCs w:val="0"/>
        <w:smallCaps w:val="0"/>
        <w:strike w:val="0"/>
        <w:color w:val="6A976C"/>
        <w:u w:val="none"/>
        <w:vertAlign w:val="baseline"/>
      </w:r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632871"/>
    <w:multiLevelType w:val="hybridMultilevel"/>
    <w:tmpl w:val="FFFFFFFF"/>
    <w:lvl w:ilvl="0" w:tplc="E6BA17A0">
      <w:start w:val="1"/>
      <w:numFmt w:val="upperLetter"/>
      <w:lvlText w:val="%1."/>
      <w:lvlJc w:val="left"/>
      <w:pPr>
        <w:ind w:left="720" w:hanging="360"/>
      </w:pPr>
    </w:lvl>
    <w:lvl w:ilvl="1" w:tplc="D9EA7212">
      <w:start w:val="1"/>
      <w:numFmt w:val="lowerLetter"/>
      <w:lvlText w:val="%2."/>
      <w:lvlJc w:val="left"/>
      <w:pPr>
        <w:ind w:left="1440" w:hanging="360"/>
      </w:pPr>
    </w:lvl>
    <w:lvl w:ilvl="2" w:tplc="757CB208">
      <w:start w:val="1"/>
      <w:numFmt w:val="lowerRoman"/>
      <w:lvlText w:val="%3."/>
      <w:lvlJc w:val="right"/>
      <w:pPr>
        <w:ind w:left="2160" w:hanging="180"/>
      </w:pPr>
    </w:lvl>
    <w:lvl w:ilvl="3" w:tplc="56A8C856">
      <w:start w:val="1"/>
      <w:numFmt w:val="decimal"/>
      <w:lvlText w:val="%4."/>
      <w:lvlJc w:val="left"/>
      <w:pPr>
        <w:ind w:left="2880" w:hanging="360"/>
      </w:pPr>
    </w:lvl>
    <w:lvl w:ilvl="4" w:tplc="3B20A6B6">
      <w:start w:val="1"/>
      <w:numFmt w:val="lowerLetter"/>
      <w:lvlText w:val="%5."/>
      <w:lvlJc w:val="left"/>
      <w:pPr>
        <w:ind w:left="3600" w:hanging="360"/>
      </w:pPr>
    </w:lvl>
    <w:lvl w:ilvl="5" w:tplc="43B0305E">
      <w:start w:val="1"/>
      <w:numFmt w:val="lowerRoman"/>
      <w:lvlText w:val="%6."/>
      <w:lvlJc w:val="right"/>
      <w:pPr>
        <w:ind w:left="4320" w:hanging="180"/>
      </w:pPr>
    </w:lvl>
    <w:lvl w:ilvl="6" w:tplc="0E925424">
      <w:start w:val="1"/>
      <w:numFmt w:val="decimal"/>
      <w:lvlText w:val="%7."/>
      <w:lvlJc w:val="left"/>
      <w:pPr>
        <w:ind w:left="5040" w:hanging="360"/>
      </w:pPr>
    </w:lvl>
    <w:lvl w:ilvl="7" w:tplc="3F9E06E8">
      <w:start w:val="1"/>
      <w:numFmt w:val="lowerLetter"/>
      <w:lvlText w:val="%8."/>
      <w:lvlJc w:val="left"/>
      <w:pPr>
        <w:ind w:left="5760" w:hanging="360"/>
      </w:pPr>
    </w:lvl>
    <w:lvl w:ilvl="8" w:tplc="2EA24582">
      <w:start w:val="1"/>
      <w:numFmt w:val="lowerRoman"/>
      <w:lvlText w:val="%9."/>
      <w:lvlJc w:val="right"/>
      <w:pPr>
        <w:ind w:left="6480" w:hanging="180"/>
      </w:pPr>
    </w:lvl>
  </w:abstractNum>
  <w:abstractNum w:abstractNumId="2" w15:restartNumberingAfterBreak="0">
    <w:nsid w:val="03091454"/>
    <w:multiLevelType w:val="multilevel"/>
    <w:tmpl w:val="19DEB9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BA2237"/>
    <w:multiLevelType w:val="multilevel"/>
    <w:tmpl w:val="7ACA2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580C26"/>
    <w:multiLevelType w:val="multilevel"/>
    <w:tmpl w:val="73C4A1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86D6DE8"/>
    <w:multiLevelType w:val="multilevel"/>
    <w:tmpl w:val="69DE0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325B3"/>
    <w:multiLevelType w:val="multilevel"/>
    <w:tmpl w:val="FC2CD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9D43C4"/>
    <w:multiLevelType w:val="multilevel"/>
    <w:tmpl w:val="15F84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FF5CCA"/>
    <w:multiLevelType w:val="multilevel"/>
    <w:tmpl w:val="FEDA8BCC"/>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9" w15:restartNumberingAfterBreak="0">
    <w:nsid w:val="0C665E03"/>
    <w:multiLevelType w:val="multilevel"/>
    <w:tmpl w:val="BE8A3C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776D62"/>
    <w:multiLevelType w:val="multilevel"/>
    <w:tmpl w:val="2E802A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D7593F"/>
    <w:multiLevelType w:val="multilevel"/>
    <w:tmpl w:val="10B2C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2A4342"/>
    <w:multiLevelType w:val="multilevel"/>
    <w:tmpl w:val="131EE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E5D3B5B"/>
    <w:multiLevelType w:val="multilevel"/>
    <w:tmpl w:val="9FC836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EC19E9"/>
    <w:multiLevelType w:val="multilevel"/>
    <w:tmpl w:val="5E86A4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15" w15:restartNumberingAfterBreak="0">
    <w:nsid w:val="0FE921A7"/>
    <w:multiLevelType w:val="multilevel"/>
    <w:tmpl w:val="9418CAA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C20EF8"/>
    <w:multiLevelType w:val="multilevel"/>
    <w:tmpl w:val="D756AB46"/>
    <w:lvl w:ilvl="0">
      <w:start w:val="1"/>
      <w:numFmt w:val="lowerLetter"/>
      <w:lvlText w:val="%1)"/>
      <w:lvlJc w:val="left"/>
      <w:pPr>
        <w:ind w:left="720" w:hanging="360"/>
      </w:pPr>
    </w:lvl>
    <w:lvl w:ilvl="1">
      <w:start w:val="9"/>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17" w15:restartNumberingAfterBreak="0">
    <w:nsid w:val="10FE0D19"/>
    <w:multiLevelType w:val="multilevel"/>
    <w:tmpl w:val="76E8004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63940"/>
    <w:multiLevelType w:val="multilevel"/>
    <w:tmpl w:val="F9249E40"/>
    <w:lvl w:ilvl="0">
      <w:start w:val="12"/>
      <w:numFmt w:val="decimal"/>
      <w:lvlText w:val="%1."/>
      <w:lvlJc w:val="left"/>
      <w:pPr>
        <w:ind w:left="3612" w:hanging="37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1A6403F"/>
    <w:multiLevelType w:val="multilevel"/>
    <w:tmpl w:val="085616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4F1493"/>
    <w:multiLevelType w:val="multilevel"/>
    <w:tmpl w:val="250817C6"/>
    <w:lvl w:ilvl="0">
      <w:start w:val="1"/>
      <w:numFmt w:val="decimal"/>
      <w:lvlText w:val="%1."/>
      <w:lvlJc w:val="left"/>
      <w:pPr>
        <w:ind w:left="1212" w:hanging="400"/>
      </w:pPr>
    </w:lvl>
    <w:lvl w:ilvl="1">
      <w:start w:val="1"/>
      <w:numFmt w:val="lowerLetter"/>
      <w:lvlText w:val="%2."/>
      <w:lvlJc w:val="left"/>
      <w:pPr>
        <w:ind w:left="1500" w:hanging="360"/>
      </w:pPr>
      <w:rPr>
        <w:rFonts w:ascii="Garamond" w:eastAsia="Garamond" w:hAnsi="Garamond" w:cs="Garamond"/>
        <w:sz w:val="24"/>
        <w:szCs w:val="24"/>
      </w:rPr>
    </w:lvl>
    <w:lvl w:ilvl="2">
      <w:start w:val="1"/>
      <w:numFmt w:val="lowerRoman"/>
      <w:lvlText w:val="%3."/>
      <w:lvlJc w:val="left"/>
      <w:pPr>
        <w:ind w:left="2760" w:hanging="360"/>
      </w:pPr>
      <w:rPr>
        <w:rFonts w:ascii="Garamond" w:eastAsia="Garamond" w:hAnsi="Garamond" w:cs="Garamond"/>
        <w:sz w:val="24"/>
        <w:szCs w:val="24"/>
      </w:rPr>
    </w:lvl>
    <w:lvl w:ilvl="3">
      <w:numFmt w:val="bullet"/>
      <w:lvlText w:val="•"/>
      <w:lvlJc w:val="left"/>
      <w:pPr>
        <w:ind w:left="2340" w:hanging="360"/>
      </w:pPr>
    </w:lvl>
    <w:lvl w:ilvl="4">
      <w:numFmt w:val="bullet"/>
      <w:lvlText w:val="•"/>
      <w:lvlJc w:val="left"/>
      <w:pPr>
        <w:ind w:left="2760" w:hanging="360"/>
      </w:pPr>
    </w:lvl>
    <w:lvl w:ilvl="5">
      <w:numFmt w:val="bullet"/>
      <w:lvlText w:val="•"/>
      <w:lvlJc w:val="left"/>
      <w:pPr>
        <w:ind w:left="4190" w:hanging="360"/>
      </w:pPr>
    </w:lvl>
    <w:lvl w:ilvl="6">
      <w:numFmt w:val="bullet"/>
      <w:lvlText w:val="•"/>
      <w:lvlJc w:val="left"/>
      <w:pPr>
        <w:ind w:left="5620" w:hanging="360"/>
      </w:pPr>
    </w:lvl>
    <w:lvl w:ilvl="7">
      <w:numFmt w:val="bullet"/>
      <w:lvlText w:val="•"/>
      <w:lvlJc w:val="left"/>
      <w:pPr>
        <w:ind w:left="7050" w:hanging="360"/>
      </w:pPr>
    </w:lvl>
    <w:lvl w:ilvl="8">
      <w:numFmt w:val="bullet"/>
      <w:lvlText w:val="•"/>
      <w:lvlJc w:val="left"/>
      <w:pPr>
        <w:ind w:left="8480" w:hanging="360"/>
      </w:pPr>
    </w:lvl>
  </w:abstractNum>
  <w:abstractNum w:abstractNumId="21" w15:restartNumberingAfterBreak="0">
    <w:nsid w:val="137E78BD"/>
    <w:multiLevelType w:val="multilevel"/>
    <w:tmpl w:val="690690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AC07E7"/>
    <w:multiLevelType w:val="multilevel"/>
    <w:tmpl w:val="ABDA3C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8A2E33"/>
    <w:multiLevelType w:val="multilevel"/>
    <w:tmpl w:val="1610C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FD90D83"/>
    <w:multiLevelType w:val="multilevel"/>
    <w:tmpl w:val="10223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2913FAC"/>
    <w:multiLevelType w:val="multilevel"/>
    <w:tmpl w:val="F8940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2961CE6"/>
    <w:multiLevelType w:val="multilevel"/>
    <w:tmpl w:val="AEEC26E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41460"/>
    <w:multiLevelType w:val="multilevel"/>
    <w:tmpl w:val="B8063DD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5CF2E68"/>
    <w:multiLevelType w:val="multilevel"/>
    <w:tmpl w:val="F5DED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B06A13"/>
    <w:multiLevelType w:val="multilevel"/>
    <w:tmpl w:val="564C0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7B637A7"/>
    <w:multiLevelType w:val="multilevel"/>
    <w:tmpl w:val="8F123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AAD6B1C"/>
    <w:multiLevelType w:val="hybridMultilevel"/>
    <w:tmpl w:val="FFFFFFFF"/>
    <w:lvl w:ilvl="0" w:tplc="CE9CD024">
      <w:start w:val="1"/>
      <w:numFmt w:val="decimal"/>
      <w:lvlText w:val="●"/>
      <w:lvlJc w:val="left"/>
      <w:pPr>
        <w:ind w:left="720" w:hanging="360"/>
      </w:pPr>
    </w:lvl>
    <w:lvl w:ilvl="1" w:tplc="8DD820B8">
      <w:start w:val="1"/>
      <w:numFmt w:val="lowerLetter"/>
      <w:lvlText w:val="%2."/>
      <w:lvlJc w:val="left"/>
      <w:pPr>
        <w:ind w:left="1440" w:hanging="360"/>
      </w:pPr>
    </w:lvl>
    <w:lvl w:ilvl="2" w:tplc="ADCAD4AA">
      <w:start w:val="1"/>
      <w:numFmt w:val="lowerRoman"/>
      <w:lvlText w:val="%3."/>
      <w:lvlJc w:val="right"/>
      <w:pPr>
        <w:ind w:left="2160" w:hanging="180"/>
      </w:pPr>
    </w:lvl>
    <w:lvl w:ilvl="3" w:tplc="3AC60AE0">
      <w:start w:val="1"/>
      <w:numFmt w:val="decimal"/>
      <w:lvlText w:val="%4."/>
      <w:lvlJc w:val="left"/>
      <w:pPr>
        <w:ind w:left="2880" w:hanging="360"/>
      </w:pPr>
    </w:lvl>
    <w:lvl w:ilvl="4" w:tplc="73E496A4">
      <w:start w:val="1"/>
      <w:numFmt w:val="lowerLetter"/>
      <w:lvlText w:val="%5."/>
      <w:lvlJc w:val="left"/>
      <w:pPr>
        <w:ind w:left="3600" w:hanging="360"/>
      </w:pPr>
    </w:lvl>
    <w:lvl w:ilvl="5" w:tplc="B0D2DB38">
      <w:start w:val="1"/>
      <w:numFmt w:val="lowerRoman"/>
      <w:lvlText w:val="%6."/>
      <w:lvlJc w:val="right"/>
      <w:pPr>
        <w:ind w:left="4320" w:hanging="180"/>
      </w:pPr>
    </w:lvl>
    <w:lvl w:ilvl="6" w:tplc="A05089F6">
      <w:start w:val="1"/>
      <w:numFmt w:val="decimal"/>
      <w:lvlText w:val="%7."/>
      <w:lvlJc w:val="left"/>
      <w:pPr>
        <w:ind w:left="5040" w:hanging="360"/>
      </w:pPr>
    </w:lvl>
    <w:lvl w:ilvl="7" w:tplc="1A92D572">
      <w:start w:val="1"/>
      <w:numFmt w:val="lowerLetter"/>
      <w:lvlText w:val="%8."/>
      <w:lvlJc w:val="left"/>
      <w:pPr>
        <w:ind w:left="5760" w:hanging="360"/>
      </w:pPr>
    </w:lvl>
    <w:lvl w:ilvl="8" w:tplc="EFA2A104">
      <w:start w:val="1"/>
      <w:numFmt w:val="lowerRoman"/>
      <w:lvlText w:val="%9."/>
      <w:lvlJc w:val="right"/>
      <w:pPr>
        <w:ind w:left="6480" w:hanging="180"/>
      </w:pPr>
    </w:lvl>
  </w:abstractNum>
  <w:abstractNum w:abstractNumId="32" w15:restartNumberingAfterBreak="0">
    <w:nsid w:val="2ADD59DC"/>
    <w:multiLevelType w:val="hybridMultilevel"/>
    <w:tmpl w:val="FFFFFFFF"/>
    <w:lvl w:ilvl="0" w:tplc="796201F4">
      <w:start w:val="2"/>
      <w:numFmt w:val="upperLetter"/>
      <w:lvlText w:val="%1."/>
      <w:lvlJc w:val="left"/>
      <w:pPr>
        <w:ind w:left="720" w:hanging="360"/>
      </w:pPr>
    </w:lvl>
    <w:lvl w:ilvl="1" w:tplc="51EC2154">
      <w:start w:val="1"/>
      <w:numFmt w:val="lowerLetter"/>
      <w:lvlText w:val="%2."/>
      <w:lvlJc w:val="left"/>
      <w:pPr>
        <w:ind w:left="1440" w:hanging="360"/>
      </w:pPr>
    </w:lvl>
    <w:lvl w:ilvl="2" w:tplc="E83026DE">
      <w:start w:val="1"/>
      <w:numFmt w:val="lowerRoman"/>
      <w:lvlText w:val="%3."/>
      <w:lvlJc w:val="right"/>
      <w:pPr>
        <w:ind w:left="2160" w:hanging="180"/>
      </w:pPr>
    </w:lvl>
    <w:lvl w:ilvl="3" w:tplc="99049F72">
      <w:start w:val="1"/>
      <w:numFmt w:val="decimal"/>
      <w:lvlText w:val="%4."/>
      <w:lvlJc w:val="left"/>
      <w:pPr>
        <w:ind w:left="2880" w:hanging="360"/>
      </w:pPr>
    </w:lvl>
    <w:lvl w:ilvl="4" w:tplc="547ECABE">
      <w:start w:val="1"/>
      <w:numFmt w:val="lowerLetter"/>
      <w:lvlText w:val="%5."/>
      <w:lvlJc w:val="left"/>
      <w:pPr>
        <w:ind w:left="3600" w:hanging="360"/>
      </w:pPr>
    </w:lvl>
    <w:lvl w:ilvl="5" w:tplc="6318E458">
      <w:start w:val="1"/>
      <w:numFmt w:val="lowerRoman"/>
      <w:lvlText w:val="%6."/>
      <w:lvlJc w:val="right"/>
      <w:pPr>
        <w:ind w:left="4320" w:hanging="180"/>
      </w:pPr>
    </w:lvl>
    <w:lvl w:ilvl="6" w:tplc="C2DE76EA">
      <w:start w:val="1"/>
      <w:numFmt w:val="decimal"/>
      <w:lvlText w:val="%7."/>
      <w:lvlJc w:val="left"/>
      <w:pPr>
        <w:ind w:left="5040" w:hanging="360"/>
      </w:pPr>
    </w:lvl>
    <w:lvl w:ilvl="7" w:tplc="858A792C">
      <w:start w:val="1"/>
      <w:numFmt w:val="lowerLetter"/>
      <w:lvlText w:val="%8."/>
      <w:lvlJc w:val="left"/>
      <w:pPr>
        <w:ind w:left="5760" w:hanging="360"/>
      </w:pPr>
    </w:lvl>
    <w:lvl w:ilvl="8" w:tplc="0FC09F68">
      <w:start w:val="1"/>
      <w:numFmt w:val="lowerRoman"/>
      <w:lvlText w:val="%9."/>
      <w:lvlJc w:val="right"/>
      <w:pPr>
        <w:ind w:left="6480" w:hanging="180"/>
      </w:pPr>
    </w:lvl>
  </w:abstractNum>
  <w:abstractNum w:abstractNumId="33" w15:restartNumberingAfterBreak="0">
    <w:nsid w:val="2C9D36D1"/>
    <w:multiLevelType w:val="multilevel"/>
    <w:tmpl w:val="6714F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E1054DC"/>
    <w:multiLevelType w:val="multilevel"/>
    <w:tmpl w:val="95127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E121229"/>
    <w:multiLevelType w:val="multilevel"/>
    <w:tmpl w:val="E05A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F4F374C"/>
    <w:multiLevelType w:val="multilevel"/>
    <w:tmpl w:val="2DF45C4E"/>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FAF1B05"/>
    <w:multiLevelType w:val="multilevel"/>
    <w:tmpl w:val="A0F439A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02D5EFF"/>
    <w:multiLevelType w:val="multilevel"/>
    <w:tmpl w:val="44C23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12811AA"/>
    <w:multiLevelType w:val="multilevel"/>
    <w:tmpl w:val="A7D87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1BAE87F"/>
    <w:multiLevelType w:val="hybridMultilevel"/>
    <w:tmpl w:val="FFFFFFFF"/>
    <w:lvl w:ilvl="0" w:tplc="3F6C6E3A">
      <w:start w:val="2"/>
      <w:numFmt w:val="upperLetter"/>
      <w:lvlText w:val="%1."/>
      <w:lvlJc w:val="left"/>
      <w:pPr>
        <w:ind w:left="720" w:hanging="360"/>
      </w:pPr>
    </w:lvl>
    <w:lvl w:ilvl="1" w:tplc="2DDA84C0">
      <w:start w:val="1"/>
      <w:numFmt w:val="lowerLetter"/>
      <w:lvlText w:val="%2."/>
      <w:lvlJc w:val="left"/>
      <w:pPr>
        <w:ind w:left="1440" w:hanging="360"/>
      </w:pPr>
    </w:lvl>
    <w:lvl w:ilvl="2" w:tplc="5FCCB37A">
      <w:start w:val="1"/>
      <w:numFmt w:val="lowerRoman"/>
      <w:lvlText w:val="%3."/>
      <w:lvlJc w:val="right"/>
      <w:pPr>
        <w:ind w:left="2160" w:hanging="180"/>
      </w:pPr>
    </w:lvl>
    <w:lvl w:ilvl="3" w:tplc="DA3831D8">
      <w:start w:val="1"/>
      <w:numFmt w:val="decimal"/>
      <w:lvlText w:val="%4."/>
      <w:lvlJc w:val="left"/>
      <w:pPr>
        <w:ind w:left="2880" w:hanging="360"/>
      </w:pPr>
    </w:lvl>
    <w:lvl w:ilvl="4" w:tplc="9B628A92">
      <w:start w:val="1"/>
      <w:numFmt w:val="lowerLetter"/>
      <w:lvlText w:val="%5."/>
      <w:lvlJc w:val="left"/>
      <w:pPr>
        <w:ind w:left="3600" w:hanging="360"/>
      </w:pPr>
    </w:lvl>
    <w:lvl w:ilvl="5" w:tplc="9E14127A">
      <w:start w:val="1"/>
      <w:numFmt w:val="lowerRoman"/>
      <w:lvlText w:val="%6."/>
      <w:lvlJc w:val="right"/>
      <w:pPr>
        <w:ind w:left="4320" w:hanging="180"/>
      </w:pPr>
    </w:lvl>
    <w:lvl w:ilvl="6" w:tplc="47A04B1E">
      <w:start w:val="1"/>
      <w:numFmt w:val="decimal"/>
      <w:lvlText w:val="%7."/>
      <w:lvlJc w:val="left"/>
      <w:pPr>
        <w:ind w:left="5040" w:hanging="360"/>
      </w:pPr>
    </w:lvl>
    <w:lvl w:ilvl="7" w:tplc="41C0E28C">
      <w:start w:val="1"/>
      <w:numFmt w:val="lowerLetter"/>
      <w:lvlText w:val="%8."/>
      <w:lvlJc w:val="left"/>
      <w:pPr>
        <w:ind w:left="5760" w:hanging="360"/>
      </w:pPr>
    </w:lvl>
    <w:lvl w:ilvl="8" w:tplc="9F505816">
      <w:start w:val="1"/>
      <w:numFmt w:val="lowerRoman"/>
      <w:lvlText w:val="%9."/>
      <w:lvlJc w:val="right"/>
      <w:pPr>
        <w:ind w:left="6480" w:hanging="180"/>
      </w:pPr>
    </w:lvl>
  </w:abstractNum>
  <w:abstractNum w:abstractNumId="41" w15:restartNumberingAfterBreak="0">
    <w:nsid w:val="32C87337"/>
    <w:multiLevelType w:val="multilevel"/>
    <w:tmpl w:val="CED0A8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42" w15:restartNumberingAfterBreak="0">
    <w:nsid w:val="34AD0BD8"/>
    <w:multiLevelType w:val="multilevel"/>
    <w:tmpl w:val="2E12E5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43" w15:restartNumberingAfterBreak="0">
    <w:nsid w:val="354A5A0B"/>
    <w:multiLevelType w:val="hybridMultilevel"/>
    <w:tmpl w:val="FFFFFFFF"/>
    <w:lvl w:ilvl="0" w:tplc="7FF66ADE">
      <w:start w:val="1"/>
      <w:numFmt w:val="bullet"/>
      <w:lvlText w:val=""/>
      <w:lvlJc w:val="left"/>
      <w:pPr>
        <w:ind w:left="720" w:hanging="360"/>
      </w:pPr>
      <w:rPr>
        <w:rFonts w:ascii="Symbol" w:hAnsi="Symbol" w:hint="default"/>
      </w:rPr>
    </w:lvl>
    <w:lvl w:ilvl="1" w:tplc="5C767432">
      <w:start w:val="1"/>
      <w:numFmt w:val="bullet"/>
      <w:lvlText w:val="o"/>
      <w:lvlJc w:val="left"/>
      <w:pPr>
        <w:ind w:left="1440" w:hanging="360"/>
      </w:pPr>
      <w:rPr>
        <w:rFonts w:ascii="&quot;Courier New&quot;" w:hAnsi="&quot;Courier New&quot;" w:hint="default"/>
      </w:rPr>
    </w:lvl>
    <w:lvl w:ilvl="2" w:tplc="00AE57F2">
      <w:start w:val="1"/>
      <w:numFmt w:val="bullet"/>
      <w:lvlText w:val=""/>
      <w:lvlJc w:val="left"/>
      <w:pPr>
        <w:ind w:left="2160" w:hanging="360"/>
      </w:pPr>
      <w:rPr>
        <w:rFonts w:ascii="Wingdings" w:hAnsi="Wingdings" w:hint="default"/>
      </w:rPr>
    </w:lvl>
    <w:lvl w:ilvl="3" w:tplc="7B6A290C">
      <w:start w:val="1"/>
      <w:numFmt w:val="bullet"/>
      <w:lvlText w:val=""/>
      <w:lvlJc w:val="left"/>
      <w:pPr>
        <w:ind w:left="2880" w:hanging="360"/>
      </w:pPr>
      <w:rPr>
        <w:rFonts w:ascii="Symbol" w:hAnsi="Symbol" w:hint="default"/>
      </w:rPr>
    </w:lvl>
    <w:lvl w:ilvl="4" w:tplc="F93863D0">
      <w:start w:val="1"/>
      <w:numFmt w:val="bullet"/>
      <w:lvlText w:val="o"/>
      <w:lvlJc w:val="left"/>
      <w:pPr>
        <w:ind w:left="3600" w:hanging="360"/>
      </w:pPr>
      <w:rPr>
        <w:rFonts w:ascii="Courier New" w:hAnsi="Courier New" w:hint="default"/>
      </w:rPr>
    </w:lvl>
    <w:lvl w:ilvl="5" w:tplc="8ABA6E68">
      <w:start w:val="1"/>
      <w:numFmt w:val="bullet"/>
      <w:lvlText w:val=""/>
      <w:lvlJc w:val="left"/>
      <w:pPr>
        <w:ind w:left="4320" w:hanging="360"/>
      </w:pPr>
      <w:rPr>
        <w:rFonts w:ascii="Wingdings" w:hAnsi="Wingdings" w:hint="default"/>
      </w:rPr>
    </w:lvl>
    <w:lvl w:ilvl="6" w:tplc="0B08B630">
      <w:start w:val="1"/>
      <w:numFmt w:val="bullet"/>
      <w:lvlText w:val=""/>
      <w:lvlJc w:val="left"/>
      <w:pPr>
        <w:ind w:left="5040" w:hanging="360"/>
      </w:pPr>
      <w:rPr>
        <w:rFonts w:ascii="Symbol" w:hAnsi="Symbol" w:hint="default"/>
      </w:rPr>
    </w:lvl>
    <w:lvl w:ilvl="7" w:tplc="C78259D2">
      <w:start w:val="1"/>
      <w:numFmt w:val="bullet"/>
      <w:lvlText w:val="o"/>
      <w:lvlJc w:val="left"/>
      <w:pPr>
        <w:ind w:left="5760" w:hanging="360"/>
      </w:pPr>
      <w:rPr>
        <w:rFonts w:ascii="Courier New" w:hAnsi="Courier New" w:hint="default"/>
      </w:rPr>
    </w:lvl>
    <w:lvl w:ilvl="8" w:tplc="2650381C">
      <w:start w:val="1"/>
      <w:numFmt w:val="bullet"/>
      <w:lvlText w:val=""/>
      <w:lvlJc w:val="left"/>
      <w:pPr>
        <w:ind w:left="6480" w:hanging="360"/>
      </w:pPr>
      <w:rPr>
        <w:rFonts w:ascii="Wingdings" w:hAnsi="Wingdings" w:hint="default"/>
      </w:rPr>
    </w:lvl>
  </w:abstractNum>
  <w:abstractNum w:abstractNumId="44" w15:restartNumberingAfterBreak="0">
    <w:nsid w:val="36A6441A"/>
    <w:multiLevelType w:val="multilevel"/>
    <w:tmpl w:val="D0889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87E7381"/>
    <w:multiLevelType w:val="multilevel"/>
    <w:tmpl w:val="FAE24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89A3197"/>
    <w:multiLevelType w:val="multilevel"/>
    <w:tmpl w:val="77186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A8326F7"/>
    <w:multiLevelType w:val="hybridMultilevel"/>
    <w:tmpl w:val="FFFFFFFF"/>
    <w:lvl w:ilvl="0" w:tplc="68CCEE8E">
      <w:start w:val="1"/>
      <w:numFmt w:val="decimal"/>
      <w:lvlText w:val="●"/>
      <w:lvlJc w:val="left"/>
      <w:pPr>
        <w:ind w:left="720" w:hanging="360"/>
      </w:pPr>
    </w:lvl>
    <w:lvl w:ilvl="1" w:tplc="64429172">
      <w:start w:val="1"/>
      <w:numFmt w:val="bullet"/>
      <w:lvlText w:val="o"/>
      <w:lvlJc w:val="left"/>
      <w:pPr>
        <w:ind w:left="1440" w:hanging="360"/>
      </w:pPr>
      <w:rPr>
        <w:rFonts w:ascii="Symbol" w:hAnsi="Symbol" w:hint="default"/>
      </w:rPr>
    </w:lvl>
    <w:lvl w:ilvl="2" w:tplc="4B14CE7C">
      <w:start w:val="1"/>
      <w:numFmt w:val="lowerRoman"/>
      <w:lvlText w:val="%3."/>
      <w:lvlJc w:val="right"/>
      <w:pPr>
        <w:ind w:left="2160" w:hanging="180"/>
      </w:pPr>
    </w:lvl>
    <w:lvl w:ilvl="3" w:tplc="E5940572">
      <w:start w:val="1"/>
      <w:numFmt w:val="decimal"/>
      <w:lvlText w:val="%4."/>
      <w:lvlJc w:val="left"/>
      <w:pPr>
        <w:ind w:left="2880" w:hanging="360"/>
      </w:pPr>
    </w:lvl>
    <w:lvl w:ilvl="4" w:tplc="3FFC1418">
      <w:start w:val="1"/>
      <w:numFmt w:val="lowerLetter"/>
      <w:lvlText w:val="%5."/>
      <w:lvlJc w:val="left"/>
      <w:pPr>
        <w:ind w:left="3600" w:hanging="360"/>
      </w:pPr>
    </w:lvl>
    <w:lvl w:ilvl="5" w:tplc="2D6E252C">
      <w:start w:val="1"/>
      <w:numFmt w:val="lowerRoman"/>
      <w:lvlText w:val="%6."/>
      <w:lvlJc w:val="right"/>
      <w:pPr>
        <w:ind w:left="4320" w:hanging="180"/>
      </w:pPr>
    </w:lvl>
    <w:lvl w:ilvl="6" w:tplc="71C03E4E">
      <w:start w:val="1"/>
      <w:numFmt w:val="decimal"/>
      <w:lvlText w:val="%7."/>
      <w:lvlJc w:val="left"/>
      <w:pPr>
        <w:ind w:left="5040" w:hanging="360"/>
      </w:pPr>
    </w:lvl>
    <w:lvl w:ilvl="7" w:tplc="8F66B0C8">
      <w:start w:val="1"/>
      <w:numFmt w:val="lowerLetter"/>
      <w:lvlText w:val="%8."/>
      <w:lvlJc w:val="left"/>
      <w:pPr>
        <w:ind w:left="5760" w:hanging="360"/>
      </w:pPr>
    </w:lvl>
    <w:lvl w:ilvl="8" w:tplc="7EA61FB4">
      <w:start w:val="1"/>
      <w:numFmt w:val="lowerRoman"/>
      <w:lvlText w:val="%9."/>
      <w:lvlJc w:val="right"/>
      <w:pPr>
        <w:ind w:left="6480" w:hanging="180"/>
      </w:pPr>
    </w:lvl>
  </w:abstractNum>
  <w:abstractNum w:abstractNumId="48" w15:restartNumberingAfterBreak="0">
    <w:nsid w:val="3AAA3C29"/>
    <w:multiLevelType w:val="multilevel"/>
    <w:tmpl w:val="7A127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ADA7E15"/>
    <w:multiLevelType w:val="multilevel"/>
    <w:tmpl w:val="8BF4B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5F7925"/>
    <w:multiLevelType w:val="multilevel"/>
    <w:tmpl w:val="BC466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B5D88"/>
    <w:multiLevelType w:val="multilevel"/>
    <w:tmpl w:val="D9E00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C0E143E"/>
    <w:multiLevelType w:val="multilevel"/>
    <w:tmpl w:val="68E69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D5703FE"/>
    <w:multiLevelType w:val="multilevel"/>
    <w:tmpl w:val="D15400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40181FF7"/>
    <w:multiLevelType w:val="multilevel"/>
    <w:tmpl w:val="E23CC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14416E6"/>
    <w:multiLevelType w:val="multilevel"/>
    <w:tmpl w:val="413E7A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2DA001B"/>
    <w:multiLevelType w:val="hybridMultilevel"/>
    <w:tmpl w:val="FFFFFFFF"/>
    <w:lvl w:ilvl="0" w:tplc="4FF495A4">
      <w:start w:val="1"/>
      <w:numFmt w:val="decimal"/>
      <w:lvlText w:val="%1."/>
      <w:lvlJc w:val="left"/>
      <w:pPr>
        <w:ind w:left="720" w:hanging="360"/>
      </w:pPr>
    </w:lvl>
    <w:lvl w:ilvl="1" w:tplc="36DE484A">
      <w:start w:val="1"/>
      <w:numFmt w:val="upperLetter"/>
      <w:lvlText w:val="%2."/>
      <w:lvlJc w:val="left"/>
      <w:pPr>
        <w:ind w:left="1440" w:hanging="360"/>
      </w:pPr>
    </w:lvl>
    <w:lvl w:ilvl="2" w:tplc="9C44632C">
      <w:start w:val="1"/>
      <w:numFmt w:val="decimal"/>
      <w:lvlText w:val="▪"/>
      <w:lvlJc w:val="left"/>
      <w:pPr>
        <w:ind w:left="2160" w:hanging="180"/>
      </w:pPr>
    </w:lvl>
    <w:lvl w:ilvl="3" w:tplc="1B6C893E">
      <w:start w:val="1"/>
      <w:numFmt w:val="decimal"/>
      <w:lvlText w:val="%4."/>
      <w:lvlJc w:val="left"/>
      <w:pPr>
        <w:ind w:left="2880" w:hanging="360"/>
      </w:pPr>
    </w:lvl>
    <w:lvl w:ilvl="4" w:tplc="9A4845FA">
      <w:start w:val="1"/>
      <w:numFmt w:val="lowerLetter"/>
      <w:lvlText w:val="%5."/>
      <w:lvlJc w:val="left"/>
      <w:pPr>
        <w:ind w:left="3600" w:hanging="360"/>
      </w:pPr>
    </w:lvl>
    <w:lvl w:ilvl="5" w:tplc="084808CE">
      <w:start w:val="1"/>
      <w:numFmt w:val="lowerRoman"/>
      <w:lvlText w:val="%6."/>
      <w:lvlJc w:val="right"/>
      <w:pPr>
        <w:ind w:left="4320" w:hanging="180"/>
      </w:pPr>
    </w:lvl>
    <w:lvl w:ilvl="6" w:tplc="351CEAAE">
      <w:start w:val="1"/>
      <w:numFmt w:val="decimal"/>
      <w:lvlText w:val="%7."/>
      <w:lvlJc w:val="left"/>
      <w:pPr>
        <w:ind w:left="5040" w:hanging="360"/>
      </w:pPr>
    </w:lvl>
    <w:lvl w:ilvl="7" w:tplc="DA020AC0">
      <w:start w:val="1"/>
      <w:numFmt w:val="lowerLetter"/>
      <w:lvlText w:val="%8."/>
      <w:lvlJc w:val="left"/>
      <w:pPr>
        <w:ind w:left="5760" w:hanging="360"/>
      </w:pPr>
    </w:lvl>
    <w:lvl w:ilvl="8" w:tplc="D76CE5B6">
      <w:start w:val="1"/>
      <w:numFmt w:val="lowerRoman"/>
      <w:lvlText w:val="%9."/>
      <w:lvlJc w:val="right"/>
      <w:pPr>
        <w:ind w:left="6480" w:hanging="180"/>
      </w:pPr>
    </w:lvl>
  </w:abstractNum>
  <w:abstractNum w:abstractNumId="57" w15:restartNumberingAfterBreak="0">
    <w:nsid w:val="430422CA"/>
    <w:multiLevelType w:val="multilevel"/>
    <w:tmpl w:val="9D6A8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4FA6E3B"/>
    <w:multiLevelType w:val="multilevel"/>
    <w:tmpl w:val="317CA8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5081421"/>
    <w:multiLevelType w:val="multilevel"/>
    <w:tmpl w:val="CD12A6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50F1555"/>
    <w:multiLevelType w:val="multilevel"/>
    <w:tmpl w:val="42F04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5C718D7"/>
    <w:multiLevelType w:val="multilevel"/>
    <w:tmpl w:val="405C652A"/>
    <w:lvl w:ilvl="0">
      <w:start w:val="1"/>
      <w:numFmt w:val="lowerLetter"/>
      <w:lvlText w:val="%1."/>
      <w:lvlJc w:val="left"/>
      <w:pPr>
        <w:ind w:left="1440" w:hanging="360"/>
      </w:pPr>
    </w:lvl>
    <w:lvl w:ilvl="1">
      <w:start w:val="1"/>
      <w:numFmt w:val="upp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2" w15:restartNumberingAfterBreak="0">
    <w:nsid w:val="45EA5D95"/>
    <w:multiLevelType w:val="multilevel"/>
    <w:tmpl w:val="D4FC5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o"/>
      <w:lvlJc w:val="left"/>
      <w:pPr>
        <w:ind w:left="1440" w:hanging="360"/>
      </w:pPr>
      <w:rPr>
        <w:rFonts w:ascii="Courier New" w:eastAsia="Courier New" w:hAnsi="Courier New" w:cs="Courier New"/>
      </w:rPr>
    </w:lvl>
    <w:lvl w:ilvl="3">
      <w:start w:val="1"/>
      <w:numFmt w:val="bullet"/>
      <w:lvlText w:val="o"/>
      <w:lvlJc w:val="left"/>
      <w:pPr>
        <w:ind w:left="144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E85084"/>
    <w:multiLevelType w:val="multilevel"/>
    <w:tmpl w:val="19AEA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7F55876"/>
    <w:multiLevelType w:val="multilevel"/>
    <w:tmpl w:val="C952E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9377CD2"/>
    <w:multiLevelType w:val="multilevel"/>
    <w:tmpl w:val="9EF6C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A9616BE"/>
    <w:multiLevelType w:val="multilevel"/>
    <w:tmpl w:val="514C3C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C6D38DE"/>
    <w:multiLevelType w:val="multilevel"/>
    <w:tmpl w:val="C450D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E4A2E4D"/>
    <w:multiLevelType w:val="multilevel"/>
    <w:tmpl w:val="009A6D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69" w15:restartNumberingAfterBreak="0">
    <w:nsid w:val="4E61203F"/>
    <w:multiLevelType w:val="multilevel"/>
    <w:tmpl w:val="B4247560"/>
    <w:lvl w:ilvl="0">
      <w:start w:val="9"/>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0" w15:restartNumberingAfterBreak="0">
    <w:nsid w:val="50137AB5"/>
    <w:multiLevelType w:val="hybridMultilevel"/>
    <w:tmpl w:val="FFFFFFFF"/>
    <w:lvl w:ilvl="0" w:tplc="CCA8C004">
      <w:start w:val="1"/>
      <w:numFmt w:val="decimal"/>
      <w:lvlText w:val="●"/>
      <w:lvlJc w:val="left"/>
      <w:pPr>
        <w:ind w:left="720" w:hanging="360"/>
      </w:pPr>
    </w:lvl>
    <w:lvl w:ilvl="1" w:tplc="D93EC404">
      <w:start w:val="1"/>
      <w:numFmt w:val="lowerLetter"/>
      <w:lvlText w:val="%2."/>
      <w:lvlJc w:val="left"/>
      <w:pPr>
        <w:ind w:left="1440" w:hanging="360"/>
      </w:pPr>
    </w:lvl>
    <w:lvl w:ilvl="2" w:tplc="79D2045E">
      <w:start w:val="1"/>
      <w:numFmt w:val="lowerRoman"/>
      <w:lvlText w:val="%3."/>
      <w:lvlJc w:val="right"/>
      <w:pPr>
        <w:ind w:left="2160" w:hanging="180"/>
      </w:pPr>
    </w:lvl>
    <w:lvl w:ilvl="3" w:tplc="FEB4ECA0">
      <w:start w:val="1"/>
      <w:numFmt w:val="decimal"/>
      <w:lvlText w:val="%4."/>
      <w:lvlJc w:val="left"/>
      <w:pPr>
        <w:ind w:left="2880" w:hanging="360"/>
      </w:pPr>
    </w:lvl>
    <w:lvl w:ilvl="4" w:tplc="6526F186">
      <w:start w:val="1"/>
      <w:numFmt w:val="lowerLetter"/>
      <w:lvlText w:val="%5."/>
      <w:lvlJc w:val="left"/>
      <w:pPr>
        <w:ind w:left="3600" w:hanging="360"/>
      </w:pPr>
    </w:lvl>
    <w:lvl w:ilvl="5" w:tplc="3116801C">
      <w:start w:val="1"/>
      <w:numFmt w:val="lowerRoman"/>
      <w:lvlText w:val="%6."/>
      <w:lvlJc w:val="right"/>
      <w:pPr>
        <w:ind w:left="4320" w:hanging="180"/>
      </w:pPr>
    </w:lvl>
    <w:lvl w:ilvl="6" w:tplc="4AB8F7EE">
      <w:start w:val="1"/>
      <w:numFmt w:val="decimal"/>
      <w:lvlText w:val="%7."/>
      <w:lvlJc w:val="left"/>
      <w:pPr>
        <w:ind w:left="5040" w:hanging="360"/>
      </w:pPr>
    </w:lvl>
    <w:lvl w:ilvl="7" w:tplc="20F8458A">
      <w:start w:val="1"/>
      <w:numFmt w:val="lowerLetter"/>
      <w:lvlText w:val="%8."/>
      <w:lvlJc w:val="left"/>
      <w:pPr>
        <w:ind w:left="5760" w:hanging="360"/>
      </w:pPr>
    </w:lvl>
    <w:lvl w:ilvl="8" w:tplc="350EA2CE">
      <w:start w:val="1"/>
      <w:numFmt w:val="lowerRoman"/>
      <w:lvlText w:val="%9."/>
      <w:lvlJc w:val="right"/>
      <w:pPr>
        <w:ind w:left="6480" w:hanging="180"/>
      </w:pPr>
    </w:lvl>
  </w:abstractNum>
  <w:abstractNum w:abstractNumId="71" w15:restartNumberingAfterBreak="0">
    <w:nsid w:val="511D822B"/>
    <w:multiLevelType w:val="hybridMultilevel"/>
    <w:tmpl w:val="FFFFFFFF"/>
    <w:lvl w:ilvl="0" w:tplc="DD326AEE">
      <w:start w:val="1"/>
      <w:numFmt w:val="upperLetter"/>
      <w:lvlText w:val="%1."/>
      <w:lvlJc w:val="left"/>
      <w:pPr>
        <w:ind w:left="720" w:hanging="360"/>
      </w:pPr>
    </w:lvl>
    <w:lvl w:ilvl="1" w:tplc="BECC2D7E">
      <w:start w:val="1"/>
      <w:numFmt w:val="lowerLetter"/>
      <w:lvlText w:val="%2."/>
      <w:lvlJc w:val="left"/>
      <w:pPr>
        <w:ind w:left="1440" w:hanging="360"/>
      </w:pPr>
    </w:lvl>
    <w:lvl w:ilvl="2" w:tplc="8D28D62C">
      <w:start w:val="1"/>
      <w:numFmt w:val="lowerRoman"/>
      <w:lvlText w:val="%3."/>
      <w:lvlJc w:val="right"/>
      <w:pPr>
        <w:ind w:left="2160" w:hanging="180"/>
      </w:pPr>
    </w:lvl>
    <w:lvl w:ilvl="3" w:tplc="D1C02C28">
      <w:start w:val="1"/>
      <w:numFmt w:val="decimal"/>
      <w:lvlText w:val="%4."/>
      <w:lvlJc w:val="left"/>
      <w:pPr>
        <w:ind w:left="2880" w:hanging="360"/>
      </w:pPr>
    </w:lvl>
    <w:lvl w:ilvl="4" w:tplc="7596608C">
      <w:start w:val="1"/>
      <w:numFmt w:val="lowerLetter"/>
      <w:lvlText w:val="%5."/>
      <w:lvlJc w:val="left"/>
      <w:pPr>
        <w:ind w:left="3600" w:hanging="360"/>
      </w:pPr>
    </w:lvl>
    <w:lvl w:ilvl="5" w:tplc="3AEAB42E">
      <w:start w:val="1"/>
      <w:numFmt w:val="lowerRoman"/>
      <w:lvlText w:val="%6."/>
      <w:lvlJc w:val="right"/>
      <w:pPr>
        <w:ind w:left="4320" w:hanging="180"/>
      </w:pPr>
    </w:lvl>
    <w:lvl w:ilvl="6" w:tplc="E5EEA0B0">
      <w:start w:val="1"/>
      <w:numFmt w:val="decimal"/>
      <w:lvlText w:val="%7."/>
      <w:lvlJc w:val="left"/>
      <w:pPr>
        <w:ind w:left="5040" w:hanging="360"/>
      </w:pPr>
    </w:lvl>
    <w:lvl w:ilvl="7" w:tplc="0AE2ED74">
      <w:start w:val="1"/>
      <w:numFmt w:val="lowerLetter"/>
      <w:lvlText w:val="%8."/>
      <w:lvlJc w:val="left"/>
      <w:pPr>
        <w:ind w:left="5760" w:hanging="360"/>
      </w:pPr>
    </w:lvl>
    <w:lvl w:ilvl="8" w:tplc="3C283080">
      <w:start w:val="1"/>
      <w:numFmt w:val="lowerRoman"/>
      <w:lvlText w:val="%9."/>
      <w:lvlJc w:val="right"/>
      <w:pPr>
        <w:ind w:left="6480" w:hanging="180"/>
      </w:pPr>
    </w:lvl>
  </w:abstractNum>
  <w:abstractNum w:abstractNumId="72" w15:restartNumberingAfterBreak="0">
    <w:nsid w:val="53E36EBF"/>
    <w:multiLevelType w:val="multilevel"/>
    <w:tmpl w:val="C532A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53D4B32"/>
    <w:multiLevelType w:val="multilevel"/>
    <w:tmpl w:val="F2809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5514D15"/>
    <w:multiLevelType w:val="multilevel"/>
    <w:tmpl w:val="CC28C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5E043A9"/>
    <w:multiLevelType w:val="multilevel"/>
    <w:tmpl w:val="D16813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6400AA2"/>
    <w:multiLevelType w:val="multilevel"/>
    <w:tmpl w:val="32AA0710"/>
    <w:lvl w:ilvl="0">
      <w:start w:val="1"/>
      <w:numFmt w:val="lowerLetter"/>
      <w:lvlText w:val="%1)"/>
      <w:lvlJc w:val="left"/>
      <w:pPr>
        <w:ind w:left="704" w:hanging="359"/>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77" w15:restartNumberingAfterBreak="0">
    <w:nsid w:val="57005E15"/>
    <w:multiLevelType w:val="multilevel"/>
    <w:tmpl w:val="26E69F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76B6328"/>
    <w:multiLevelType w:val="multilevel"/>
    <w:tmpl w:val="81786DB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7C018ED"/>
    <w:multiLevelType w:val="multilevel"/>
    <w:tmpl w:val="E174C3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58BB3AF3"/>
    <w:multiLevelType w:val="multilevel"/>
    <w:tmpl w:val="543CF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95A16E5"/>
    <w:multiLevelType w:val="multilevel"/>
    <w:tmpl w:val="104ED552"/>
    <w:lvl w:ilvl="0">
      <w:start w:val="1"/>
      <w:numFmt w:val="lowerLetter"/>
      <w:lvlText w:val="%1)"/>
      <w:lvlJc w:val="left"/>
      <w:pPr>
        <w:ind w:left="720" w:hanging="360"/>
      </w:pPr>
    </w:lvl>
    <w:lvl w:ilvl="1">
      <w:start w:val="10"/>
      <w:numFmt w:val="decimal"/>
      <w:lvlText w:val="%2."/>
      <w:lvlJc w:val="left"/>
      <w:pPr>
        <w:ind w:left="1452" w:hanging="37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82" w15:restartNumberingAfterBreak="0">
    <w:nsid w:val="5AFB6E38"/>
    <w:multiLevelType w:val="hybridMultilevel"/>
    <w:tmpl w:val="FFFFFFFF"/>
    <w:lvl w:ilvl="0" w:tplc="EC8C4436">
      <w:start w:val="1"/>
      <w:numFmt w:val="upperLetter"/>
      <w:lvlText w:val="%1."/>
      <w:lvlJc w:val="left"/>
      <w:pPr>
        <w:ind w:left="720" w:hanging="360"/>
      </w:pPr>
    </w:lvl>
    <w:lvl w:ilvl="1" w:tplc="1B747056">
      <w:start w:val="1"/>
      <w:numFmt w:val="lowerLetter"/>
      <w:lvlText w:val="%2."/>
      <w:lvlJc w:val="left"/>
      <w:pPr>
        <w:ind w:left="1440" w:hanging="360"/>
      </w:pPr>
    </w:lvl>
    <w:lvl w:ilvl="2" w:tplc="EE225280">
      <w:start w:val="1"/>
      <w:numFmt w:val="lowerRoman"/>
      <w:lvlText w:val="%3."/>
      <w:lvlJc w:val="right"/>
      <w:pPr>
        <w:ind w:left="2160" w:hanging="180"/>
      </w:pPr>
    </w:lvl>
    <w:lvl w:ilvl="3" w:tplc="77E6256C">
      <w:start w:val="1"/>
      <w:numFmt w:val="decimal"/>
      <w:lvlText w:val="%4."/>
      <w:lvlJc w:val="left"/>
      <w:pPr>
        <w:ind w:left="2880" w:hanging="360"/>
      </w:pPr>
    </w:lvl>
    <w:lvl w:ilvl="4" w:tplc="1FD0E186">
      <w:start w:val="1"/>
      <w:numFmt w:val="lowerLetter"/>
      <w:lvlText w:val="%5."/>
      <w:lvlJc w:val="left"/>
      <w:pPr>
        <w:ind w:left="3600" w:hanging="360"/>
      </w:pPr>
    </w:lvl>
    <w:lvl w:ilvl="5" w:tplc="5518E8FA">
      <w:start w:val="1"/>
      <w:numFmt w:val="lowerRoman"/>
      <w:lvlText w:val="%6."/>
      <w:lvlJc w:val="right"/>
      <w:pPr>
        <w:ind w:left="4320" w:hanging="180"/>
      </w:pPr>
    </w:lvl>
    <w:lvl w:ilvl="6" w:tplc="5E9CFE40">
      <w:start w:val="1"/>
      <w:numFmt w:val="decimal"/>
      <w:lvlText w:val="%7."/>
      <w:lvlJc w:val="left"/>
      <w:pPr>
        <w:ind w:left="5040" w:hanging="360"/>
      </w:pPr>
    </w:lvl>
    <w:lvl w:ilvl="7" w:tplc="867CC27E">
      <w:start w:val="1"/>
      <w:numFmt w:val="lowerLetter"/>
      <w:lvlText w:val="%8."/>
      <w:lvlJc w:val="left"/>
      <w:pPr>
        <w:ind w:left="5760" w:hanging="360"/>
      </w:pPr>
    </w:lvl>
    <w:lvl w:ilvl="8" w:tplc="E5EACAD4">
      <w:start w:val="1"/>
      <w:numFmt w:val="lowerRoman"/>
      <w:lvlText w:val="%9."/>
      <w:lvlJc w:val="right"/>
      <w:pPr>
        <w:ind w:left="6480" w:hanging="180"/>
      </w:pPr>
    </w:lvl>
  </w:abstractNum>
  <w:abstractNum w:abstractNumId="83" w15:restartNumberingAfterBreak="0">
    <w:nsid w:val="5DA139A8"/>
    <w:multiLevelType w:val="multilevel"/>
    <w:tmpl w:val="49FE29F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F9F2029"/>
    <w:multiLevelType w:val="multilevel"/>
    <w:tmpl w:val="05F252E0"/>
    <w:lvl w:ilvl="0">
      <w:start w:val="1"/>
      <w:numFmt w:val="decimal"/>
      <w:lvlText w:val="%1."/>
      <w:lvlJc w:val="left"/>
      <w:pPr>
        <w:ind w:left="704" w:hanging="359"/>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85" w15:restartNumberingAfterBreak="0">
    <w:nsid w:val="60B98814"/>
    <w:multiLevelType w:val="hybridMultilevel"/>
    <w:tmpl w:val="FFFFFFFF"/>
    <w:lvl w:ilvl="0" w:tplc="C9B02286">
      <w:start w:val="1"/>
      <w:numFmt w:val="upperLetter"/>
      <w:lvlText w:val="%1."/>
      <w:lvlJc w:val="left"/>
      <w:pPr>
        <w:ind w:left="720" w:hanging="360"/>
      </w:pPr>
    </w:lvl>
    <w:lvl w:ilvl="1" w:tplc="DE68D04A">
      <w:start w:val="1"/>
      <w:numFmt w:val="lowerLetter"/>
      <w:lvlText w:val="%2."/>
      <w:lvlJc w:val="left"/>
      <w:pPr>
        <w:ind w:left="1440" w:hanging="360"/>
      </w:pPr>
    </w:lvl>
    <w:lvl w:ilvl="2" w:tplc="66E49212">
      <w:start w:val="1"/>
      <w:numFmt w:val="lowerRoman"/>
      <w:lvlText w:val="%3."/>
      <w:lvlJc w:val="right"/>
      <w:pPr>
        <w:ind w:left="2160" w:hanging="180"/>
      </w:pPr>
    </w:lvl>
    <w:lvl w:ilvl="3" w:tplc="69C6561E">
      <w:start w:val="1"/>
      <w:numFmt w:val="decimal"/>
      <w:lvlText w:val="%4."/>
      <w:lvlJc w:val="left"/>
      <w:pPr>
        <w:ind w:left="2880" w:hanging="360"/>
      </w:pPr>
    </w:lvl>
    <w:lvl w:ilvl="4" w:tplc="369AF8A6">
      <w:start w:val="1"/>
      <w:numFmt w:val="lowerLetter"/>
      <w:lvlText w:val="%5."/>
      <w:lvlJc w:val="left"/>
      <w:pPr>
        <w:ind w:left="3600" w:hanging="360"/>
      </w:pPr>
    </w:lvl>
    <w:lvl w:ilvl="5" w:tplc="B0F654DA">
      <w:start w:val="1"/>
      <w:numFmt w:val="lowerRoman"/>
      <w:lvlText w:val="%6."/>
      <w:lvlJc w:val="right"/>
      <w:pPr>
        <w:ind w:left="4320" w:hanging="180"/>
      </w:pPr>
    </w:lvl>
    <w:lvl w:ilvl="6" w:tplc="AC3AB590">
      <w:start w:val="1"/>
      <w:numFmt w:val="decimal"/>
      <w:lvlText w:val="%7."/>
      <w:lvlJc w:val="left"/>
      <w:pPr>
        <w:ind w:left="5040" w:hanging="360"/>
      </w:pPr>
    </w:lvl>
    <w:lvl w:ilvl="7" w:tplc="CA8AAD80">
      <w:start w:val="1"/>
      <w:numFmt w:val="lowerLetter"/>
      <w:lvlText w:val="%8."/>
      <w:lvlJc w:val="left"/>
      <w:pPr>
        <w:ind w:left="5760" w:hanging="360"/>
      </w:pPr>
    </w:lvl>
    <w:lvl w:ilvl="8" w:tplc="A6E65E76">
      <w:start w:val="1"/>
      <w:numFmt w:val="lowerRoman"/>
      <w:lvlText w:val="%9."/>
      <w:lvlJc w:val="right"/>
      <w:pPr>
        <w:ind w:left="6480" w:hanging="180"/>
      </w:pPr>
    </w:lvl>
  </w:abstractNum>
  <w:abstractNum w:abstractNumId="86" w15:restartNumberingAfterBreak="0">
    <w:nsid w:val="6103045D"/>
    <w:multiLevelType w:val="multilevel"/>
    <w:tmpl w:val="1D1C2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2E94E4A"/>
    <w:multiLevelType w:val="multilevel"/>
    <w:tmpl w:val="6AEA2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4462A49"/>
    <w:multiLevelType w:val="multilevel"/>
    <w:tmpl w:val="D3AE3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45BFEF4"/>
    <w:multiLevelType w:val="hybridMultilevel"/>
    <w:tmpl w:val="FFFFFFFF"/>
    <w:lvl w:ilvl="0" w:tplc="4EEE6E26">
      <w:start w:val="1"/>
      <w:numFmt w:val="upperLetter"/>
      <w:lvlText w:val="%1."/>
      <w:lvlJc w:val="left"/>
      <w:pPr>
        <w:ind w:left="720" w:hanging="360"/>
      </w:pPr>
    </w:lvl>
    <w:lvl w:ilvl="1" w:tplc="36F839DA">
      <w:start w:val="1"/>
      <w:numFmt w:val="lowerLetter"/>
      <w:lvlText w:val="%2."/>
      <w:lvlJc w:val="left"/>
      <w:pPr>
        <w:ind w:left="1440" w:hanging="360"/>
      </w:pPr>
    </w:lvl>
    <w:lvl w:ilvl="2" w:tplc="CA0487CA">
      <w:start w:val="1"/>
      <w:numFmt w:val="lowerRoman"/>
      <w:lvlText w:val="%3."/>
      <w:lvlJc w:val="right"/>
      <w:pPr>
        <w:ind w:left="2160" w:hanging="180"/>
      </w:pPr>
    </w:lvl>
    <w:lvl w:ilvl="3" w:tplc="D9A2B810">
      <w:start w:val="1"/>
      <w:numFmt w:val="decimal"/>
      <w:lvlText w:val="%4."/>
      <w:lvlJc w:val="left"/>
      <w:pPr>
        <w:ind w:left="2880" w:hanging="360"/>
      </w:pPr>
    </w:lvl>
    <w:lvl w:ilvl="4" w:tplc="B11AD04E">
      <w:start w:val="1"/>
      <w:numFmt w:val="lowerLetter"/>
      <w:lvlText w:val="%5."/>
      <w:lvlJc w:val="left"/>
      <w:pPr>
        <w:ind w:left="3600" w:hanging="360"/>
      </w:pPr>
    </w:lvl>
    <w:lvl w:ilvl="5" w:tplc="D8E42BBA">
      <w:start w:val="1"/>
      <w:numFmt w:val="lowerRoman"/>
      <w:lvlText w:val="%6."/>
      <w:lvlJc w:val="right"/>
      <w:pPr>
        <w:ind w:left="4320" w:hanging="180"/>
      </w:pPr>
    </w:lvl>
    <w:lvl w:ilvl="6" w:tplc="DB968D62">
      <w:start w:val="1"/>
      <w:numFmt w:val="decimal"/>
      <w:lvlText w:val="%7."/>
      <w:lvlJc w:val="left"/>
      <w:pPr>
        <w:ind w:left="5040" w:hanging="360"/>
      </w:pPr>
    </w:lvl>
    <w:lvl w:ilvl="7" w:tplc="793EBFC0">
      <w:start w:val="1"/>
      <w:numFmt w:val="lowerLetter"/>
      <w:lvlText w:val="%8."/>
      <w:lvlJc w:val="left"/>
      <w:pPr>
        <w:ind w:left="5760" w:hanging="360"/>
      </w:pPr>
    </w:lvl>
    <w:lvl w:ilvl="8" w:tplc="C9241B2C">
      <w:start w:val="1"/>
      <w:numFmt w:val="lowerRoman"/>
      <w:lvlText w:val="%9."/>
      <w:lvlJc w:val="right"/>
      <w:pPr>
        <w:ind w:left="6480" w:hanging="180"/>
      </w:pPr>
    </w:lvl>
  </w:abstractNum>
  <w:abstractNum w:abstractNumId="90" w15:restartNumberingAfterBreak="0">
    <w:nsid w:val="65677A60"/>
    <w:multiLevelType w:val="multilevel"/>
    <w:tmpl w:val="FD9C1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6191FDA"/>
    <w:multiLevelType w:val="multilevel"/>
    <w:tmpl w:val="449ED20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67316D3"/>
    <w:multiLevelType w:val="multilevel"/>
    <w:tmpl w:val="82D80A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72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8037947"/>
    <w:multiLevelType w:val="multilevel"/>
    <w:tmpl w:val="C5B2CD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94" w15:restartNumberingAfterBreak="0">
    <w:nsid w:val="684C7E5D"/>
    <w:multiLevelType w:val="multilevel"/>
    <w:tmpl w:val="192288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9355D5D"/>
    <w:multiLevelType w:val="multilevel"/>
    <w:tmpl w:val="FB86E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9AC2675"/>
    <w:multiLevelType w:val="multilevel"/>
    <w:tmpl w:val="01580432"/>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AC562F2"/>
    <w:multiLevelType w:val="multilevel"/>
    <w:tmpl w:val="77DCAE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B5D1D7F"/>
    <w:multiLevelType w:val="multilevel"/>
    <w:tmpl w:val="9E28C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BAF564A"/>
    <w:multiLevelType w:val="multilevel"/>
    <w:tmpl w:val="14041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100" w15:restartNumberingAfterBreak="0">
    <w:nsid w:val="6D8A0706"/>
    <w:multiLevelType w:val="multilevel"/>
    <w:tmpl w:val="3E6866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DD427F1"/>
    <w:multiLevelType w:val="multilevel"/>
    <w:tmpl w:val="041273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102" w15:restartNumberingAfterBreak="0">
    <w:nsid w:val="6E126EE6"/>
    <w:multiLevelType w:val="multilevel"/>
    <w:tmpl w:val="9D540D4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E8A7F91"/>
    <w:multiLevelType w:val="multilevel"/>
    <w:tmpl w:val="70864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F0141E2"/>
    <w:multiLevelType w:val="multilevel"/>
    <w:tmpl w:val="7A5459E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F7641F8"/>
    <w:multiLevelType w:val="multilevel"/>
    <w:tmpl w:val="12546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0F12B54"/>
    <w:multiLevelType w:val="multilevel"/>
    <w:tmpl w:val="DAC2E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2434472"/>
    <w:multiLevelType w:val="multilevel"/>
    <w:tmpl w:val="3364C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34D1E85"/>
    <w:multiLevelType w:val="multilevel"/>
    <w:tmpl w:val="3AEA9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50E76EB"/>
    <w:multiLevelType w:val="multilevel"/>
    <w:tmpl w:val="EDE287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5905ACE"/>
    <w:multiLevelType w:val="multilevel"/>
    <w:tmpl w:val="9FD405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60A3017"/>
    <w:multiLevelType w:val="multilevel"/>
    <w:tmpl w:val="1B7E02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634126D"/>
    <w:multiLevelType w:val="hybridMultilevel"/>
    <w:tmpl w:val="FFFFFFFF"/>
    <w:lvl w:ilvl="0" w:tplc="8C96F764">
      <w:start w:val="3"/>
      <w:numFmt w:val="upperLetter"/>
      <w:lvlText w:val="%1."/>
      <w:lvlJc w:val="left"/>
      <w:pPr>
        <w:ind w:left="720" w:hanging="360"/>
      </w:pPr>
    </w:lvl>
    <w:lvl w:ilvl="1" w:tplc="7A741714">
      <w:start w:val="1"/>
      <w:numFmt w:val="lowerLetter"/>
      <w:lvlText w:val="%2."/>
      <w:lvlJc w:val="left"/>
      <w:pPr>
        <w:ind w:left="1440" w:hanging="360"/>
      </w:pPr>
    </w:lvl>
    <w:lvl w:ilvl="2" w:tplc="CCD6EB46">
      <w:start w:val="1"/>
      <w:numFmt w:val="lowerRoman"/>
      <w:lvlText w:val="%3."/>
      <w:lvlJc w:val="right"/>
      <w:pPr>
        <w:ind w:left="2160" w:hanging="180"/>
      </w:pPr>
    </w:lvl>
    <w:lvl w:ilvl="3" w:tplc="5E4A9BA0">
      <w:start w:val="1"/>
      <w:numFmt w:val="decimal"/>
      <w:lvlText w:val="%4."/>
      <w:lvlJc w:val="left"/>
      <w:pPr>
        <w:ind w:left="2880" w:hanging="360"/>
      </w:pPr>
    </w:lvl>
    <w:lvl w:ilvl="4" w:tplc="D360BA1E">
      <w:start w:val="1"/>
      <w:numFmt w:val="lowerLetter"/>
      <w:lvlText w:val="%5."/>
      <w:lvlJc w:val="left"/>
      <w:pPr>
        <w:ind w:left="3600" w:hanging="360"/>
      </w:pPr>
    </w:lvl>
    <w:lvl w:ilvl="5" w:tplc="AA5061F0">
      <w:start w:val="1"/>
      <w:numFmt w:val="lowerRoman"/>
      <w:lvlText w:val="%6."/>
      <w:lvlJc w:val="right"/>
      <w:pPr>
        <w:ind w:left="4320" w:hanging="180"/>
      </w:pPr>
    </w:lvl>
    <w:lvl w:ilvl="6" w:tplc="C5749E8E">
      <w:start w:val="1"/>
      <w:numFmt w:val="decimal"/>
      <w:lvlText w:val="%7."/>
      <w:lvlJc w:val="left"/>
      <w:pPr>
        <w:ind w:left="5040" w:hanging="360"/>
      </w:pPr>
    </w:lvl>
    <w:lvl w:ilvl="7" w:tplc="2D4AFF14">
      <w:start w:val="1"/>
      <w:numFmt w:val="lowerLetter"/>
      <w:lvlText w:val="%8."/>
      <w:lvlJc w:val="left"/>
      <w:pPr>
        <w:ind w:left="5760" w:hanging="360"/>
      </w:pPr>
    </w:lvl>
    <w:lvl w:ilvl="8" w:tplc="425E6AE6">
      <w:start w:val="1"/>
      <w:numFmt w:val="lowerRoman"/>
      <w:lvlText w:val="%9."/>
      <w:lvlJc w:val="right"/>
      <w:pPr>
        <w:ind w:left="6480" w:hanging="180"/>
      </w:pPr>
    </w:lvl>
  </w:abstractNum>
  <w:abstractNum w:abstractNumId="113" w15:restartNumberingAfterBreak="0">
    <w:nsid w:val="766D00E8"/>
    <w:multiLevelType w:val="multilevel"/>
    <w:tmpl w:val="EC588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7EC6372"/>
    <w:multiLevelType w:val="multilevel"/>
    <w:tmpl w:val="AA7A7E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720" w:hanging="360"/>
      </w:pPr>
    </w:lvl>
    <w:lvl w:ilvl="8">
      <w:start w:val="1"/>
      <w:numFmt w:val="lowerRoman"/>
      <w:lvlText w:val="%9."/>
      <w:lvlJc w:val="right"/>
      <w:pPr>
        <w:ind w:left="6480" w:hanging="180"/>
      </w:pPr>
    </w:lvl>
  </w:abstractNum>
  <w:abstractNum w:abstractNumId="115" w15:restartNumberingAfterBreak="0">
    <w:nsid w:val="77F65B80"/>
    <w:multiLevelType w:val="multilevel"/>
    <w:tmpl w:val="32427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A5850D3"/>
    <w:multiLevelType w:val="multilevel"/>
    <w:tmpl w:val="C6426D48"/>
    <w:lvl w:ilvl="0">
      <w:start w:val="10"/>
      <w:numFmt w:val="decimal"/>
      <w:lvlText w:val="%1."/>
      <w:lvlJc w:val="left"/>
      <w:pPr>
        <w:ind w:left="732" w:hanging="372"/>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7" w15:restartNumberingAfterBreak="0">
    <w:nsid w:val="7B2C1784"/>
    <w:multiLevelType w:val="multilevel"/>
    <w:tmpl w:val="AFD6387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BB8071E"/>
    <w:multiLevelType w:val="multilevel"/>
    <w:tmpl w:val="84DA2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CD261AB"/>
    <w:multiLevelType w:val="multilevel"/>
    <w:tmpl w:val="6874A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F676596"/>
    <w:multiLevelType w:val="multilevel"/>
    <w:tmpl w:val="D9401580"/>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6687281">
    <w:abstractNumId w:val="47"/>
  </w:num>
  <w:num w:numId="2" w16cid:durableId="2041126467">
    <w:abstractNumId w:val="40"/>
  </w:num>
  <w:num w:numId="3" w16cid:durableId="1064372529">
    <w:abstractNumId w:val="82"/>
  </w:num>
  <w:num w:numId="4" w16cid:durableId="1079060374">
    <w:abstractNumId w:val="31"/>
  </w:num>
  <w:num w:numId="5" w16cid:durableId="1901746399">
    <w:abstractNumId w:val="32"/>
  </w:num>
  <w:num w:numId="6" w16cid:durableId="1541701062">
    <w:abstractNumId w:val="89"/>
  </w:num>
  <w:num w:numId="7" w16cid:durableId="323050537">
    <w:abstractNumId w:val="70"/>
  </w:num>
  <w:num w:numId="8" w16cid:durableId="359553738">
    <w:abstractNumId w:val="56"/>
  </w:num>
  <w:num w:numId="9" w16cid:durableId="1435906867">
    <w:abstractNumId w:val="43"/>
  </w:num>
  <w:num w:numId="10" w16cid:durableId="11415489">
    <w:abstractNumId w:val="85"/>
  </w:num>
  <w:num w:numId="11" w16cid:durableId="561598293">
    <w:abstractNumId w:val="71"/>
  </w:num>
  <w:num w:numId="12" w16cid:durableId="952789144">
    <w:abstractNumId w:val="112"/>
  </w:num>
  <w:num w:numId="13" w16cid:durableId="1649892652">
    <w:abstractNumId w:val="1"/>
  </w:num>
  <w:num w:numId="14" w16cid:durableId="864248962">
    <w:abstractNumId w:val="60"/>
  </w:num>
  <w:num w:numId="15" w16cid:durableId="927545900">
    <w:abstractNumId w:val="106"/>
  </w:num>
  <w:num w:numId="16" w16cid:durableId="286668967">
    <w:abstractNumId w:val="24"/>
  </w:num>
  <w:num w:numId="17" w16cid:durableId="1138182118">
    <w:abstractNumId w:val="109"/>
  </w:num>
  <w:num w:numId="18" w16cid:durableId="824129055">
    <w:abstractNumId w:val="19"/>
  </w:num>
  <w:num w:numId="19" w16cid:durableId="195779912">
    <w:abstractNumId w:val="66"/>
  </w:num>
  <w:num w:numId="20" w16cid:durableId="1679845107">
    <w:abstractNumId w:val="13"/>
  </w:num>
  <w:num w:numId="21" w16cid:durableId="621612004">
    <w:abstractNumId w:val="58"/>
  </w:num>
  <w:num w:numId="22" w16cid:durableId="1074938791">
    <w:abstractNumId w:val="118"/>
  </w:num>
  <w:num w:numId="23" w16cid:durableId="1630089236">
    <w:abstractNumId w:val="6"/>
  </w:num>
  <w:num w:numId="24" w16cid:durableId="1921132618">
    <w:abstractNumId w:val="0"/>
  </w:num>
  <w:num w:numId="25" w16cid:durableId="1229145417">
    <w:abstractNumId w:val="57"/>
  </w:num>
  <w:num w:numId="26" w16cid:durableId="143082984">
    <w:abstractNumId w:val="36"/>
  </w:num>
  <w:num w:numId="27" w16cid:durableId="977219678">
    <w:abstractNumId w:val="15"/>
  </w:num>
  <w:num w:numId="28" w16cid:durableId="1118598670">
    <w:abstractNumId w:val="26"/>
  </w:num>
  <w:num w:numId="29" w16cid:durableId="468674010">
    <w:abstractNumId w:val="83"/>
  </w:num>
  <w:num w:numId="30" w16cid:durableId="1957560837">
    <w:abstractNumId w:val="44"/>
  </w:num>
  <w:num w:numId="31" w16cid:durableId="2109235490">
    <w:abstractNumId w:val="39"/>
  </w:num>
  <w:num w:numId="32" w16cid:durableId="1017461680">
    <w:abstractNumId w:val="4"/>
  </w:num>
  <w:num w:numId="33" w16cid:durableId="40516728">
    <w:abstractNumId w:val="29"/>
  </w:num>
  <w:num w:numId="34" w16cid:durableId="203371007">
    <w:abstractNumId w:val="37"/>
  </w:num>
  <w:num w:numId="35" w16cid:durableId="387193836">
    <w:abstractNumId w:val="108"/>
  </w:num>
  <w:num w:numId="36" w16cid:durableId="45954235">
    <w:abstractNumId w:val="78"/>
  </w:num>
  <w:num w:numId="37" w16cid:durableId="255288223">
    <w:abstractNumId w:val="117"/>
  </w:num>
  <w:num w:numId="38" w16cid:durableId="1583100650">
    <w:abstractNumId w:val="33"/>
  </w:num>
  <w:num w:numId="39" w16cid:durableId="278688038">
    <w:abstractNumId w:val="73"/>
  </w:num>
  <w:num w:numId="40" w16cid:durableId="2146311065">
    <w:abstractNumId w:val="28"/>
  </w:num>
  <w:num w:numId="41" w16cid:durableId="1212428227">
    <w:abstractNumId w:val="25"/>
  </w:num>
  <w:num w:numId="42" w16cid:durableId="1690793685">
    <w:abstractNumId w:val="80"/>
  </w:num>
  <w:num w:numId="43" w16cid:durableId="1039282260">
    <w:abstractNumId w:val="45"/>
  </w:num>
  <w:num w:numId="44" w16cid:durableId="739523187">
    <w:abstractNumId w:val="62"/>
  </w:num>
  <w:num w:numId="45" w16cid:durableId="2109541181">
    <w:abstractNumId w:val="90"/>
  </w:num>
  <w:num w:numId="46" w16cid:durableId="1384063330">
    <w:abstractNumId w:val="100"/>
  </w:num>
  <w:num w:numId="47" w16cid:durableId="1874422771">
    <w:abstractNumId w:val="9"/>
  </w:num>
  <w:num w:numId="48" w16cid:durableId="1657798843">
    <w:abstractNumId w:val="110"/>
  </w:num>
  <w:num w:numId="49" w16cid:durableId="255329665">
    <w:abstractNumId w:val="94"/>
  </w:num>
  <w:num w:numId="50" w16cid:durableId="1124230428">
    <w:abstractNumId w:val="59"/>
  </w:num>
  <w:num w:numId="51" w16cid:durableId="530412847">
    <w:abstractNumId w:val="21"/>
  </w:num>
  <w:num w:numId="52" w16cid:durableId="1058479712">
    <w:abstractNumId w:val="38"/>
  </w:num>
  <w:num w:numId="53" w16cid:durableId="1340962740">
    <w:abstractNumId w:val="46"/>
  </w:num>
  <w:num w:numId="54" w16cid:durableId="653603278">
    <w:abstractNumId w:val="104"/>
  </w:num>
  <w:num w:numId="55" w16cid:durableId="283117483">
    <w:abstractNumId w:val="12"/>
  </w:num>
  <w:num w:numId="56" w16cid:durableId="107435339">
    <w:abstractNumId w:val="53"/>
  </w:num>
  <w:num w:numId="57" w16cid:durableId="1735742043">
    <w:abstractNumId w:val="61"/>
  </w:num>
  <w:num w:numId="58" w16cid:durableId="171335217">
    <w:abstractNumId w:val="54"/>
  </w:num>
  <w:num w:numId="59" w16cid:durableId="1337612449">
    <w:abstractNumId w:val="67"/>
  </w:num>
  <w:num w:numId="60" w16cid:durableId="769273222">
    <w:abstractNumId w:val="52"/>
  </w:num>
  <w:num w:numId="61" w16cid:durableId="1162506593">
    <w:abstractNumId w:val="64"/>
  </w:num>
  <w:num w:numId="62" w16cid:durableId="698702378">
    <w:abstractNumId w:val="76"/>
  </w:num>
  <w:num w:numId="63" w16cid:durableId="818691110">
    <w:abstractNumId w:val="95"/>
  </w:num>
  <w:num w:numId="64" w16cid:durableId="1253663200">
    <w:abstractNumId w:val="88"/>
  </w:num>
  <w:num w:numId="65" w16cid:durableId="868223056">
    <w:abstractNumId w:val="49"/>
  </w:num>
  <w:num w:numId="66" w16cid:durableId="1864053572">
    <w:abstractNumId w:val="84"/>
  </w:num>
  <w:num w:numId="67" w16cid:durableId="413085234">
    <w:abstractNumId w:val="55"/>
  </w:num>
  <w:num w:numId="68" w16cid:durableId="659625021">
    <w:abstractNumId w:val="22"/>
  </w:num>
  <w:num w:numId="69" w16cid:durableId="1857422790">
    <w:abstractNumId w:val="97"/>
  </w:num>
  <w:num w:numId="70" w16cid:durableId="542987481">
    <w:abstractNumId w:val="48"/>
  </w:num>
  <w:num w:numId="71" w16cid:durableId="663164890">
    <w:abstractNumId w:val="42"/>
  </w:num>
  <w:num w:numId="72" w16cid:durableId="279187550">
    <w:abstractNumId w:val="93"/>
  </w:num>
  <w:num w:numId="73" w16cid:durableId="1503621174">
    <w:abstractNumId w:val="101"/>
  </w:num>
  <w:num w:numId="74" w16cid:durableId="1036856367">
    <w:abstractNumId w:val="68"/>
  </w:num>
  <w:num w:numId="75" w16cid:durableId="800270255">
    <w:abstractNumId w:val="74"/>
  </w:num>
  <w:num w:numId="76" w16cid:durableId="1924102690">
    <w:abstractNumId w:val="3"/>
  </w:num>
  <w:num w:numId="77" w16cid:durableId="1631940174">
    <w:abstractNumId w:val="99"/>
  </w:num>
  <w:num w:numId="78" w16cid:durableId="964651762">
    <w:abstractNumId w:val="8"/>
  </w:num>
  <w:num w:numId="79" w16cid:durableId="1099763902">
    <w:abstractNumId w:val="7"/>
  </w:num>
  <w:num w:numId="80" w16cid:durableId="4983838">
    <w:abstractNumId w:val="92"/>
  </w:num>
  <w:num w:numId="81" w16cid:durableId="1836335301">
    <w:abstractNumId w:val="75"/>
  </w:num>
  <w:num w:numId="82" w16cid:durableId="1158037605">
    <w:abstractNumId w:val="86"/>
  </w:num>
  <w:num w:numId="83" w16cid:durableId="738287137">
    <w:abstractNumId w:val="5"/>
  </w:num>
  <w:num w:numId="84" w16cid:durableId="190730081">
    <w:abstractNumId w:val="50"/>
  </w:num>
  <w:num w:numId="85" w16cid:durableId="315495391">
    <w:abstractNumId w:val="51"/>
  </w:num>
  <w:num w:numId="86" w16cid:durableId="1809591732">
    <w:abstractNumId w:val="41"/>
  </w:num>
  <w:num w:numId="87" w16cid:durableId="1857966341">
    <w:abstractNumId w:val="27"/>
  </w:num>
  <w:num w:numId="88" w16cid:durableId="1380009482">
    <w:abstractNumId w:val="16"/>
  </w:num>
  <w:num w:numId="89" w16cid:durableId="429856612">
    <w:abstractNumId w:val="20"/>
  </w:num>
  <w:num w:numId="90" w16cid:durableId="1388607820">
    <w:abstractNumId w:val="2"/>
  </w:num>
  <w:num w:numId="91" w16cid:durableId="997802818">
    <w:abstractNumId w:val="79"/>
  </w:num>
  <w:num w:numId="92" w16cid:durableId="890117391">
    <w:abstractNumId w:val="81"/>
  </w:num>
  <w:num w:numId="93" w16cid:durableId="2080711876">
    <w:abstractNumId w:val="91"/>
  </w:num>
  <w:num w:numId="94" w16cid:durableId="1999068028">
    <w:abstractNumId w:val="114"/>
  </w:num>
  <w:num w:numId="95" w16cid:durableId="920797851">
    <w:abstractNumId w:val="116"/>
  </w:num>
  <w:num w:numId="96" w16cid:durableId="1926112568">
    <w:abstractNumId w:val="69"/>
  </w:num>
  <w:num w:numId="97" w16cid:durableId="1810703977">
    <w:abstractNumId w:val="96"/>
  </w:num>
  <w:num w:numId="98" w16cid:durableId="2126194850">
    <w:abstractNumId w:val="102"/>
  </w:num>
  <w:num w:numId="99" w16cid:durableId="1470241454">
    <w:abstractNumId w:val="107"/>
  </w:num>
  <w:num w:numId="100" w16cid:durableId="587082486">
    <w:abstractNumId w:val="34"/>
  </w:num>
  <w:num w:numId="101" w16cid:durableId="1283347535">
    <w:abstractNumId w:val="18"/>
  </w:num>
  <w:num w:numId="102" w16cid:durableId="657658098">
    <w:abstractNumId w:val="65"/>
  </w:num>
  <w:num w:numId="103" w16cid:durableId="588856870">
    <w:abstractNumId w:val="111"/>
  </w:num>
  <w:num w:numId="104" w16cid:durableId="1184519521">
    <w:abstractNumId w:val="23"/>
  </w:num>
  <w:num w:numId="105" w16cid:durableId="2049992">
    <w:abstractNumId w:val="30"/>
  </w:num>
  <w:num w:numId="106" w16cid:durableId="1659067802">
    <w:abstractNumId w:val="113"/>
  </w:num>
  <w:num w:numId="107" w16cid:durableId="2078479763">
    <w:abstractNumId w:val="35"/>
  </w:num>
  <w:num w:numId="108" w16cid:durableId="1004624755">
    <w:abstractNumId w:val="87"/>
  </w:num>
  <w:num w:numId="109" w16cid:durableId="2139376829">
    <w:abstractNumId w:val="98"/>
  </w:num>
  <w:num w:numId="110" w16cid:durableId="2115437846">
    <w:abstractNumId w:val="115"/>
  </w:num>
  <w:num w:numId="111" w16cid:durableId="1207377708">
    <w:abstractNumId w:val="14"/>
  </w:num>
  <w:num w:numId="112" w16cid:durableId="334455436">
    <w:abstractNumId w:val="119"/>
  </w:num>
  <w:num w:numId="113" w16cid:durableId="359936195">
    <w:abstractNumId w:val="10"/>
  </w:num>
  <w:num w:numId="114" w16cid:durableId="1548764180">
    <w:abstractNumId w:val="17"/>
  </w:num>
  <w:num w:numId="115" w16cid:durableId="1741440641">
    <w:abstractNumId w:val="105"/>
  </w:num>
  <w:num w:numId="116" w16cid:durableId="895892999">
    <w:abstractNumId w:val="103"/>
  </w:num>
  <w:num w:numId="117" w16cid:durableId="1286540714">
    <w:abstractNumId w:val="72"/>
  </w:num>
  <w:num w:numId="118" w16cid:durableId="2053653695">
    <w:abstractNumId w:val="11"/>
  </w:num>
  <w:num w:numId="119" w16cid:durableId="159006372">
    <w:abstractNumId w:val="120"/>
  </w:num>
  <w:num w:numId="120" w16cid:durableId="1965111273">
    <w:abstractNumId w:val="77"/>
  </w:num>
  <w:num w:numId="121" w16cid:durableId="1950626655">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03D"/>
    <w:rsid w:val="0000102E"/>
    <w:rsid w:val="000021F5"/>
    <w:rsid w:val="00002ACE"/>
    <w:rsid w:val="00002CB2"/>
    <w:rsid w:val="000046C7"/>
    <w:rsid w:val="0000507D"/>
    <w:rsid w:val="00005D0C"/>
    <w:rsid w:val="000067B7"/>
    <w:rsid w:val="0001126E"/>
    <w:rsid w:val="00012413"/>
    <w:rsid w:val="00012EB9"/>
    <w:rsid w:val="00012F89"/>
    <w:rsid w:val="0001358C"/>
    <w:rsid w:val="00014E3D"/>
    <w:rsid w:val="00015B92"/>
    <w:rsid w:val="00022BC6"/>
    <w:rsid w:val="00026BD7"/>
    <w:rsid w:val="00030948"/>
    <w:rsid w:val="0003106A"/>
    <w:rsid w:val="000323D3"/>
    <w:rsid w:val="00034ABE"/>
    <w:rsid w:val="000352A2"/>
    <w:rsid w:val="000355BC"/>
    <w:rsid w:val="00035B3D"/>
    <w:rsid w:val="00036902"/>
    <w:rsid w:val="00041F7B"/>
    <w:rsid w:val="0004507B"/>
    <w:rsid w:val="00045373"/>
    <w:rsid w:val="000462EB"/>
    <w:rsid w:val="00047BB8"/>
    <w:rsid w:val="00050950"/>
    <w:rsid w:val="00054072"/>
    <w:rsid w:val="00057E74"/>
    <w:rsid w:val="00062662"/>
    <w:rsid w:val="00065955"/>
    <w:rsid w:val="00066A5A"/>
    <w:rsid w:val="00072EE5"/>
    <w:rsid w:val="00074635"/>
    <w:rsid w:val="00076BB0"/>
    <w:rsid w:val="00081610"/>
    <w:rsid w:val="0008161B"/>
    <w:rsid w:val="0008789E"/>
    <w:rsid w:val="000904C6"/>
    <w:rsid w:val="00091257"/>
    <w:rsid w:val="00091F75"/>
    <w:rsid w:val="000949A2"/>
    <w:rsid w:val="000973F5"/>
    <w:rsid w:val="000A4839"/>
    <w:rsid w:val="000A485A"/>
    <w:rsid w:val="000B01DF"/>
    <w:rsid w:val="000B1166"/>
    <w:rsid w:val="000B1BAD"/>
    <w:rsid w:val="000B3246"/>
    <w:rsid w:val="000B55B5"/>
    <w:rsid w:val="000B5795"/>
    <w:rsid w:val="000B6105"/>
    <w:rsid w:val="000B7227"/>
    <w:rsid w:val="000B729D"/>
    <w:rsid w:val="000B7BEF"/>
    <w:rsid w:val="000C0D00"/>
    <w:rsid w:val="000C0FB3"/>
    <w:rsid w:val="000C2C80"/>
    <w:rsid w:val="000C3F71"/>
    <w:rsid w:val="000C490E"/>
    <w:rsid w:val="000C6C33"/>
    <w:rsid w:val="000D3F9C"/>
    <w:rsid w:val="000D5152"/>
    <w:rsid w:val="000E0EC6"/>
    <w:rsid w:val="000E59DF"/>
    <w:rsid w:val="000E59E1"/>
    <w:rsid w:val="000F474D"/>
    <w:rsid w:val="000F5902"/>
    <w:rsid w:val="000F7477"/>
    <w:rsid w:val="0010079A"/>
    <w:rsid w:val="00101AB9"/>
    <w:rsid w:val="001025D8"/>
    <w:rsid w:val="00102D5C"/>
    <w:rsid w:val="00103485"/>
    <w:rsid w:val="0010381C"/>
    <w:rsid w:val="00103DA3"/>
    <w:rsid w:val="00103E74"/>
    <w:rsid w:val="00104372"/>
    <w:rsid w:val="00106CD1"/>
    <w:rsid w:val="00106FAE"/>
    <w:rsid w:val="00113835"/>
    <w:rsid w:val="0011468A"/>
    <w:rsid w:val="00117569"/>
    <w:rsid w:val="001303EE"/>
    <w:rsid w:val="00131760"/>
    <w:rsid w:val="00132C64"/>
    <w:rsid w:val="001334C9"/>
    <w:rsid w:val="00136850"/>
    <w:rsid w:val="00137ADC"/>
    <w:rsid w:val="00145068"/>
    <w:rsid w:val="00145177"/>
    <w:rsid w:val="001453A7"/>
    <w:rsid w:val="0015022B"/>
    <w:rsid w:val="00150985"/>
    <w:rsid w:val="00152B54"/>
    <w:rsid w:val="001530FF"/>
    <w:rsid w:val="001536A8"/>
    <w:rsid w:val="00153CB3"/>
    <w:rsid w:val="001548E3"/>
    <w:rsid w:val="00155ECB"/>
    <w:rsid w:val="00160D1C"/>
    <w:rsid w:val="00161023"/>
    <w:rsid w:val="00164F9B"/>
    <w:rsid w:val="00167D30"/>
    <w:rsid w:val="00171102"/>
    <w:rsid w:val="00176A3E"/>
    <w:rsid w:val="00177B55"/>
    <w:rsid w:val="00180F38"/>
    <w:rsid w:val="00185570"/>
    <w:rsid w:val="00187236"/>
    <w:rsid w:val="00190398"/>
    <w:rsid w:val="0019155F"/>
    <w:rsid w:val="00191594"/>
    <w:rsid w:val="00196A50"/>
    <w:rsid w:val="00197061"/>
    <w:rsid w:val="00197390"/>
    <w:rsid w:val="001A189C"/>
    <w:rsid w:val="001A1AFB"/>
    <w:rsid w:val="001A2CCC"/>
    <w:rsid w:val="001A30EA"/>
    <w:rsid w:val="001A3E07"/>
    <w:rsid w:val="001A5CAF"/>
    <w:rsid w:val="001B0066"/>
    <w:rsid w:val="001B233B"/>
    <w:rsid w:val="001B3549"/>
    <w:rsid w:val="001B38C4"/>
    <w:rsid w:val="001B5E21"/>
    <w:rsid w:val="001B709E"/>
    <w:rsid w:val="001B7FD1"/>
    <w:rsid w:val="001C06ED"/>
    <w:rsid w:val="001C2D92"/>
    <w:rsid w:val="001CC850"/>
    <w:rsid w:val="001D0D79"/>
    <w:rsid w:val="001D6782"/>
    <w:rsid w:val="001D7DB2"/>
    <w:rsid w:val="001E0E4F"/>
    <w:rsid w:val="001E7013"/>
    <w:rsid w:val="001F03AF"/>
    <w:rsid w:val="001F2BA3"/>
    <w:rsid w:val="001F3238"/>
    <w:rsid w:val="001F3431"/>
    <w:rsid w:val="002041FB"/>
    <w:rsid w:val="0020459E"/>
    <w:rsid w:val="002114E4"/>
    <w:rsid w:val="0021224A"/>
    <w:rsid w:val="00221751"/>
    <w:rsid w:val="002226A6"/>
    <w:rsid w:val="00222CC4"/>
    <w:rsid w:val="00224631"/>
    <w:rsid w:val="00231F14"/>
    <w:rsid w:val="00235DA3"/>
    <w:rsid w:val="002374DD"/>
    <w:rsid w:val="00240A56"/>
    <w:rsid w:val="00240E12"/>
    <w:rsid w:val="0024158B"/>
    <w:rsid w:val="002419F4"/>
    <w:rsid w:val="002426F7"/>
    <w:rsid w:val="00244B52"/>
    <w:rsid w:val="00245348"/>
    <w:rsid w:val="00245AAB"/>
    <w:rsid w:val="002563F5"/>
    <w:rsid w:val="00261F41"/>
    <w:rsid w:val="00266DBB"/>
    <w:rsid w:val="00272C3C"/>
    <w:rsid w:val="002751DE"/>
    <w:rsid w:val="002760A1"/>
    <w:rsid w:val="0027640C"/>
    <w:rsid w:val="00282333"/>
    <w:rsid w:val="00285A67"/>
    <w:rsid w:val="00285D2A"/>
    <w:rsid w:val="00285EAE"/>
    <w:rsid w:val="0028714D"/>
    <w:rsid w:val="0028729B"/>
    <w:rsid w:val="00287901"/>
    <w:rsid w:val="002915CC"/>
    <w:rsid w:val="002919C5"/>
    <w:rsid w:val="00292EEF"/>
    <w:rsid w:val="002947BF"/>
    <w:rsid w:val="00296868"/>
    <w:rsid w:val="00297D7A"/>
    <w:rsid w:val="002A3F0C"/>
    <w:rsid w:val="002A45D4"/>
    <w:rsid w:val="002A66C4"/>
    <w:rsid w:val="002B1F19"/>
    <w:rsid w:val="002B2BF6"/>
    <w:rsid w:val="002B6D53"/>
    <w:rsid w:val="002B6DF1"/>
    <w:rsid w:val="002C2B94"/>
    <w:rsid w:val="002C42B9"/>
    <w:rsid w:val="002D2691"/>
    <w:rsid w:val="002D2778"/>
    <w:rsid w:val="002D284B"/>
    <w:rsid w:val="002D2B15"/>
    <w:rsid w:val="002D2F5E"/>
    <w:rsid w:val="002E084E"/>
    <w:rsid w:val="002E1B15"/>
    <w:rsid w:val="002E1ED6"/>
    <w:rsid w:val="002E21CB"/>
    <w:rsid w:val="002E2D09"/>
    <w:rsid w:val="002E3E79"/>
    <w:rsid w:val="002E6748"/>
    <w:rsid w:val="002F372D"/>
    <w:rsid w:val="003005E1"/>
    <w:rsid w:val="0030242A"/>
    <w:rsid w:val="0030451E"/>
    <w:rsid w:val="00306BCB"/>
    <w:rsid w:val="00310FA4"/>
    <w:rsid w:val="00313A59"/>
    <w:rsid w:val="00313ECB"/>
    <w:rsid w:val="0033067D"/>
    <w:rsid w:val="00332488"/>
    <w:rsid w:val="003330B6"/>
    <w:rsid w:val="003344AB"/>
    <w:rsid w:val="00335D8F"/>
    <w:rsid w:val="003363A5"/>
    <w:rsid w:val="003368E3"/>
    <w:rsid w:val="003419CF"/>
    <w:rsid w:val="003423DB"/>
    <w:rsid w:val="003427E8"/>
    <w:rsid w:val="003429F5"/>
    <w:rsid w:val="00347531"/>
    <w:rsid w:val="00350085"/>
    <w:rsid w:val="00352151"/>
    <w:rsid w:val="0035374B"/>
    <w:rsid w:val="00356C57"/>
    <w:rsid w:val="00361596"/>
    <w:rsid w:val="00361C96"/>
    <w:rsid w:val="003624A4"/>
    <w:rsid w:val="003637DD"/>
    <w:rsid w:val="0036401B"/>
    <w:rsid w:val="00364D76"/>
    <w:rsid w:val="00374E09"/>
    <w:rsid w:val="00375951"/>
    <w:rsid w:val="003767AE"/>
    <w:rsid w:val="00380E33"/>
    <w:rsid w:val="0038112A"/>
    <w:rsid w:val="00382B4C"/>
    <w:rsid w:val="00384662"/>
    <w:rsid w:val="00386233"/>
    <w:rsid w:val="00392FAA"/>
    <w:rsid w:val="0039529A"/>
    <w:rsid w:val="00396245"/>
    <w:rsid w:val="0039635F"/>
    <w:rsid w:val="00396950"/>
    <w:rsid w:val="003A0043"/>
    <w:rsid w:val="003A1629"/>
    <w:rsid w:val="003A4EBF"/>
    <w:rsid w:val="003A599E"/>
    <w:rsid w:val="003A7458"/>
    <w:rsid w:val="003B0E90"/>
    <w:rsid w:val="003B102F"/>
    <w:rsid w:val="003B1A18"/>
    <w:rsid w:val="003B1C69"/>
    <w:rsid w:val="003B2693"/>
    <w:rsid w:val="003B5DB1"/>
    <w:rsid w:val="003C2EB1"/>
    <w:rsid w:val="003C501A"/>
    <w:rsid w:val="003C5886"/>
    <w:rsid w:val="003C5908"/>
    <w:rsid w:val="003C7D2C"/>
    <w:rsid w:val="003D3D63"/>
    <w:rsid w:val="003D4E2E"/>
    <w:rsid w:val="003D5C77"/>
    <w:rsid w:val="003D6659"/>
    <w:rsid w:val="003D7416"/>
    <w:rsid w:val="003D7E74"/>
    <w:rsid w:val="003E1AC0"/>
    <w:rsid w:val="003F5E06"/>
    <w:rsid w:val="003F6C92"/>
    <w:rsid w:val="00400EAF"/>
    <w:rsid w:val="004010D2"/>
    <w:rsid w:val="00401265"/>
    <w:rsid w:val="004019EF"/>
    <w:rsid w:val="00401B5E"/>
    <w:rsid w:val="0040447C"/>
    <w:rsid w:val="00405520"/>
    <w:rsid w:val="00406027"/>
    <w:rsid w:val="00406DE7"/>
    <w:rsid w:val="00413DE0"/>
    <w:rsid w:val="00414A7C"/>
    <w:rsid w:val="00416162"/>
    <w:rsid w:val="00416338"/>
    <w:rsid w:val="004174CF"/>
    <w:rsid w:val="00431946"/>
    <w:rsid w:val="00433514"/>
    <w:rsid w:val="004352CD"/>
    <w:rsid w:val="00435914"/>
    <w:rsid w:val="00435C77"/>
    <w:rsid w:val="0043629D"/>
    <w:rsid w:val="0043641F"/>
    <w:rsid w:val="00443D75"/>
    <w:rsid w:val="004440B8"/>
    <w:rsid w:val="0044796B"/>
    <w:rsid w:val="004514B5"/>
    <w:rsid w:val="00451640"/>
    <w:rsid w:val="00452E94"/>
    <w:rsid w:val="0045575A"/>
    <w:rsid w:val="00455E4A"/>
    <w:rsid w:val="00455F14"/>
    <w:rsid w:val="004562F0"/>
    <w:rsid w:val="0046356B"/>
    <w:rsid w:val="0046412E"/>
    <w:rsid w:val="0046493D"/>
    <w:rsid w:val="00465312"/>
    <w:rsid w:val="00467067"/>
    <w:rsid w:val="00470854"/>
    <w:rsid w:val="00472EBA"/>
    <w:rsid w:val="00474BC5"/>
    <w:rsid w:val="00475A9B"/>
    <w:rsid w:val="004779D9"/>
    <w:rsid w:val="00480F80"/>
    <w:rsid w:val="00483E87"/>
    <w:rsid w:val="00486F94"/>
    <w:rsid w:val="00492DFA"/>
    <w:rsid w:val="00493D7B"/>
    <w:rsid w:val="00495CE4"/>
    <w:rsid w:val="00495F45"/>
    <w:rsid w:val="00497634"/>
    <w:rsid w:val="00497A6D"/>
    <w:rsid w:val="004A1A78"/>
    <w:rsid w:val="004A1A7C"/>
    <w:rsid w:val="004A3579"/>
    <w:rsid w:val="004A450D"/>
    <w:rsid w:val="004A64ED"/>
    <w:rsid w:val="004A65F7"/>
    <w:rsid w:val="004A7903"/>
    <w:rsid w:val="004A7B0F"/>
    <w:rsid w:val="004A7FD5"/>
    <w:rsid w:val="004B0168"/>
    <w:rsid w:val="004B0241"/>
    <w:rsid w:val="004B687B"/>
    <w:rsid w:val="004C1B61"/>
    <w:rsid w:val="004C26A1"/>
    <w:rsid w:val="004C6109"/>
    <w:rsid w:val="004C62B9"/>
    <w:rsid w:val="004C70A5"/>
    <w:rsid w:val="004C789F"/>
    <w:rsid w:val="004C7C97"/>
    <w:rsid w:val="004D1BEC"/>
    <w:rsid w:val="004D3145"/>
    <w:rsid w:val="004E0084"/>
    <w:rsid w:val="004E027D"/>
    <w:rsid w:val="004E057D"/>
    <w:rsid w:val="004E07E3"/>
    <w:rsid w:val="004E0FC6"/>
    <w:rsid w:val="004E1F18"/>
    <w:rsid w:val="004E2818"/>
    <w:rsid w:val="004E2D13"/>
    <w:rsid w:val="004E2E45"/>
    <w:rsid w:val="004E5C17"/>
    <w:rsid w:val="004E61A9"/>
    <w:rsid w:val="004F2B13"/>
    <w:rsid w:val="004F38FE"/>
    <w:rsid w:val="004F51DE"/>
    <w:rsid w:val="004F5DC9"/>
    <w:rsid w:val="004F62FE"/>
    <w:rsid w:val="004F706F"/>
    <w:rsid w:val="00500E34"/>
    <w:rsid w:val="00502283"/>
    <w:rsid w:val="0050319F"/>
    <w:rsid w:val="00505BC6"/>
    <w:rsid w:val="00507EA7"/>
    <w:rsid w:val="005109FC"/>
    <w:rsid w:val="005112A8"/>
    <w:rsid w:val="00511EB2"/>
    <w:rsid w:val="005164EB"/>
    <w:rsid w:val="005171ED"/>
    <w:rsid w:val="0052065B"/>
    <w:rsid w:val="0052204A"/>
    <w:rsid w:val="00526AF8"/>
    <w:rsid w:val="00526EC1"/>
    <w:rsid w:val="00536054"/>
    <w:rsid w:val="00537AEE"/>
    <w:rsid w:val="005412C4"/>
    <w:rsid w:val="005439E5"/>
    <w:rsid w:val="00544ED0"/>
    <w:rsid w:val="005506FC"/>
    <w:rsid w:val="00550CF1"/>
    <w:rsid w:val="00550D79"/>
    <w:rsid w:val="00553082"/>
    <w:rsid w:val="00553426"/>
    <w:rsid w:val="00554525"/>
    <w:rsid w:val="0055519A"/>
    <w:rsid w:val="00557C2A"/>
    <w:rsid w:val="00557CFE"/>
    <w:rsid w:val="00557FDF"/>
    <w:rsid w:val="00560457"/>
    <w:rsid w:val="0056289A"/>
    <w:rsid w:val="00562D6B"/>
    <w:rsid w:val="0056378C"/>
    <w:rsid w:val="00566187"/>
    <w:rsid w:val="00570B27"/>
    <w:rsid w:val="00571AC8"/>
    <w:rsid w:val="0057253D"/>
    <w:rsid w:val="00574625"/>
    <w:rsid w:val="00574A66"/>
    <w:rsid w:val="00581881"/>
    <w:rsid w:val="005834D8"/>
    <w:rsid w:val="0058423D"/>
    <w:rsid w:val="00584255"/>
    <w:rsid w:val="00585BE0"/>
    <w:rsid w:val="00591624"/>
    <w:rsid w:val="0059298A"/>
    <w:rsid w:val="00595AE1"/>
    <w:rsid w:val="00595D97"/>
    <w:rsid w:val="00596CB8"/>
    <w:rsid w:val="00596D50"/>
    <w:rsid w:val="00597548"/>
    <w:rsid w:val="005A055A"/>
    <w:rsid w:val="005A05B0"/>
    <w:rsid w:val="005A3F26"/>
    <w:rsid w:val="005A5A56"/>
    <w:rsid w:val="005A7CED"/>
    <w:rsid w:val="005B0EA9"/>
    <w:rsid w:val="005B1175"/>
    <w:rsid w:val="005B392A"/>
    <w:rsid w:val="005B528F"/>
    <w:rsid w:val="005B788B"/>
    <w:rsid w:val="005B7AD3"/>
    <w:rsid w:val="005C01CC"/>
    <w:rsid w:val="005C082F"/>
    <w:rsid w:val="005C45BA"/>
    <w:rsid w:val="005C48C7"/>
    <w:rsid w:val="005D1A2C"/>
    <w:rsid w:val="005D2936"/>
    <w:rsid w:val="005D5FE1"/>
    <w:rsid w:val="005E3D8D"/>
    <w:rsid w:val="005E76BC"/>
    <w:rsid w:val="005E7A47"/>
    <w:rsid w:val="005F11E8"/>
    <w:rsid w:val="005F211D"/>
    <w:rsid w:val="005F34F8"/>
    <w:rsid w:val="005F39C8"/>
    <w:rsid w:val="005F3E50"/>
    <w:rsid w:val="005F4178"/>
    <w:rsid w:val="005F4FFE"/>
    <w:rsid w:val="00601CB7"/>
    <w:rsid w:val="00602640"/>
    <w:rsid w:val="00603173"/>
    <w:rsid w:val="0061027B"/>
    <w:rsid w:val="006102A3"/>
    <w:rsid w:val="0061119D"/>
    <w:rsid w:val="00612A46"/>
    <w:rsid w:val="00612E50"/>
    <w:rsid w:val="00612EED"/>
    <w:rsid w:val="006169F1"/>
    <w:rsid w:val="0061758B"/>
    <w:rsid w:val="00622835"/>
    <w:rsid w:val="00627132"/>
    <w:rsid w:val="00627867"/>
    <w:rsid w:val="00627FCE"/>
    <w:rsid w:val="006301A9"/>
    <w:rsid w:val="006337A8"/>
    <w:rsid w:val="00633C23"/>
    <w:rsid w:val="006359C9"/>
    <w:rsid w:val="00637AA9"/>
    <w:rsid w:val="00643793"/>
    <w:rsid w:val="00644085"/>
    <w:rsid w:val="0064470A"/>
    <w:rsid w:val="006462D1"/>
    <w:rsid w:val="0065374D"/>
    <w:rsid w:val="006544EC"/>
    <w:rsid w:val="00654FDE"/>
    <w:rsid w:val="0065573F"/>
    <w:rsid w:val="00656C7F"/>
    <w:rsid w:val="0065788C"/>
    <w:rsid w:val="00660901"/>
    <w:rsid w:val="0066417C"/>
    <w:rsid w:val="00664AE8"/>
    <w:rsid w:val="00664BC4"/>
    <w:rsid w:val="00670329"/>
    <w:rsid w:val="00671990"/>
    <w:rsid w:val="006721EF"/>
    <w:rsid w:val="006722C5"/>
    <w:rsid w:val="0067336F"/>
    <w:rsid w:val="00673FCC"/>
    <w:rsid w:val="00675193"/>
    <w:rsid w:val="00675FBE"/>
    <w:rsid w:val="00677E7D"/>
    <w:rsid w:val="00684770"/>
    <w:rsid w:val="0068724E"/>
    <w:rsid w:val="0068779F"/>
    <w:rsid w:val="00696208"/>
    <w:rsid w:val="006A0B3B"/>
    <w:rsid w:val="006A0F5F"/>
    <w:rsid w:val="006A1376"/>
    <w:rsid w:val="006A2619"/>
    <w:rsid w:val="006A294A"/>
    <w:rsid w:val="006A3CE6"/>
    <w:rsid w:val="006A5735"/>
    <w:rsid w:val="006A58FD"/>
    <w:rsid w:val="006A5C7B"/>
    <w:rsid w:val="006A6AB6"/>
    <w:rsid w:val="006A7454"/>
    <w:rsid w:val="006A7EF3"/>
    <w:rsid w:val="006B185B"/>
    <w:rsid w:val="006B42E0"/>
    <w:rsid w:val="006B43FF"/>
    <w:rsid w:val="006B4E05"/>
    <w:rsid w:val="006B511E"/>
    <w:rsid w:val="006B7B4A"/>
    <w:rsid w:val="006C5AAF"/>
    <w:rsid w:val="006C6F18"/>
    <w:rsid w:val="006C77DF"/>
    <w:rsid w:val="006C7FC6"/>
    <w:rsid w:val="006D0283"/>
    <w:rsid w:val="006D3742"/>
    <w:rsid w:val="006E0E1F"/>
    <w:rsid w:val="006E1C97"/>
    <w:rsid w:val="006E64FE"/>
    <w:rsid w:val="006F0E13"/>
    <w:rsid w:val="006F5941"/>
    <w:rsid w:val="006F59A8"/>
    <w:rsid w:val="006F7545"/>
    <w:rsid w:val="007000D2"/>
    <w:rsid w:val="00700D3F"/>
    <w:rsid w:val="007026A0"/>
    <w:rsid w:val="00703F19"/>
    <w:rsid w:val="0070718F"/>
    <w:rsid w:val="00707279"/>
    <w:rsid w:val="00713F87"/>
    <w:rsid w:val="00717BF1"/>
    <w:rsid w:val="00721CEC"/>
    <w:rsid w:val="0072581E"/>
    <w:rsid w:val="0073170F"/>
    <w:rsid w:val="0073265B"/>
    <w:rsid w:val="00734115"/>
    <w:rsid w:val="007346CE"/>
    <w:rsid w:val="007350BD"/>
    <w:rsid w:val="007360D9"/>
    <w:rsid w:val="00736406"/>
    <w:rsid w:val="00736569"/>
    <w:rsid w:val="00737D4F"/>
    <w:rsid w:val="0073DF8C"/>
    <w:rsid w:val="00741448"/>
    <w:rsid w:val="00741468"/>
    <w:rsid w:val="00743460"/>
    <w:rsid w:val="00744569"/>
    <w:rsid w:val="00746067"/>
    <w:rsid w:val="00747A13"/>
    <w:rsid w:val="0075085E"/>
    <w:rsid w:val="007550C0"/>
    <w:rsid w:val="00756AF2"/>
    <w:rsid w:val="00756C47"/>
    <w:rsid w:val="00757384"/>
    <w:rsid w:val="00760725"/>
    <w:rsid w:val="0076095A"/>
    <w:rsid w:val="00761605"/>
    <w:rsid w:val="00761DF4"/>
    <w:rsid w:val="007628CA"/>
    <w:rsid w:val="007647FB"/>
    <w:rsid w:val="00770957"/>
    <w:rsid w:val="00771279"/>
    <w:rsid w:val="00771588"/>
    <w:rsid w:val="0077209D"/>
    <w:rsid w:val="007734DC"/>
    <w:rsid w:val="007806E7"/>
    <w:rsid w:val="0078155D"/>
    <w:rsid w:val="00781F0C"/>
    <w:rsid w:val="00782B28"/>
    <w:rsid w:val="00782FB8"/>
    <w:rsid w:val="00783AFE"/>
    <w:rsid w:val="00783B29"/>
    <w:rsid w:val="00787871"/>
    <w:rsid w:val="00790EDC"/>
    <w:rsid w:val="00791211"/>
    <w:rsid w:val="00791EE1"/>
    <w:rsid w:val="00792098"/>
    <w:rsid w:val="0079363D"/>
    <w:rsid w:val="00793EFD"/>
    <w:rsid w:val="007943CD"/>
    <w:rsid w:val="00794C86"/>
    <w:rsid w:val="00795E30"/>
    <w:rsid w:val="00796063"/>
    <w:rsid w:val="007A327E"/>
    <w:rsid w:val="007A4AC4"/>
    <w:rsid w:val="007A6B9C"/>
    <w:rsid w:val="007B2673"/>
    <w:rsid w:val="007B4B58"/>
    <w:rsid w:val="007B704B"/>
    <w:rsid w:val="007B74B3"/>
    <w:rsid w:val="007C115D"/>
    <w:rsid w:val="007C1916"/>
    <w:rsid w:val="007C55D9"/>
    <w:rsid w:val="007C72F9"/>
    <w:rsid w:val="007D041F"/>
    <w:rsid w:val="007D1F2B"/>
    <w:rsid w:val="007D6BEF"/>
    <w:rsid w:val="007E33E8"/>
    <w:rsid w:val="007E3569"/>
    <w:rsid w:val="007E57B3"/>
    <w:rsid w:val="007E7B91"/>
    <w:rsid w:val="00801E06"/>
    <w:rsid w:val="00802183"/>
    <w:rsid w:val="00802755"/>
    <w:rsid w:val="00803776"/>
    <w:rsid w:val="00805165"/>
    <w:rsid w:val="00805689"/>
    <w:rsid w:val="00806C68"/>
    <w:rsid w:val="00807DA5"/>
    <w:rsid w:val="00811898"/>
    <w:rsid w:val="00811C81"/>
    <w:rsid w:val="008222E8"/>
    <w:rsid w:val="008241E3"/>
    <w:rsid w:val="00824B83"/>
    <w:rsid w:val="0082540B"/>
    <w:rsid w:val="0082645A"/>
    <w:rsid w:val="008279CA"/>
    <w:rsid w:val="00831B8E"/>
    <w:rsid w:val="00834EA0"/>
    <w:rsid w:val="008355F3"/>
    <w:rsid w:val="008422BE"/>
    <w:rsid w:val="00844C60"/>
    <w:rsid w:val="00845F50"/>
    <w:rsid w:val="00850652"/>
    <w:rsid w:val="0085300A"/>
    <w:rsid w:val="008573FE"/>
    <w:rsid w:val="0086096A"/>
    <w:rsid w:val="008624EA"/>
    <w:rsid w:val="008627B2"/>
    <w:rsid w:val="0086281B"/>
    <w:rsid w:val="00865F5F"/>
    <w:rsid w:val="00865F9E"/>
    <w:rsid w:val="0087014A"/>
    <w:rsid w:val="00870CA8"/>
    <w:rsid w:val="0087143D"/>
    <w:rsid w:val="00872B62"/>
    <w:rsid w:val="00877042"/>
    <w:rsid w:val="008808DD"/>
    <w:rsid w:val="00880AC7"/>
    <w:rsid w:val="008823A8"/>
    <w:rsid w:val="00884CFB"/>
    <w:rsid w:val="00886AE8"/>
    <w:rsid w:val="0089075D"/>
    <w:rsid w:val="008907EC"/>
    <w:rsid w:val="00891727"/>
    <w:rsid w:val="00891D1B"/>
    <w:rsid w:val="00894C38"/>
    <w:rsid w:val="00896B3A"/>
    <w:rsid w:val="008A38CE"/>
    <w:rsid w:val="008A4826"/>
    <w:rsid w:val="008A4C0B"/>
    <w:rsid w:val="008A6D36"/>
    <w:rsid w:val="008B0E54"/>
    <w:rsid w:val="008B3027"/>
    <w:rsid w:val="008B3C04"/>
    <w:rsid w:val="008B3DE3"/>
    <w:rsid w:val="008C6917"/>
    <w:rsid w:val="008C7B37"/>
    <w:rsid w:val="008D07F9"/>
    <w:rsid w:val="008D2544"/>
    <w:rsid w:val="008D2D00"/>
    <w:rsid w:val="008D3663"/>
    <w:rsid w:val="008D42A3"/>
    <w:rsid w:val="008D6DC8"/>
    <w:rsid w:val="008E045A"/>
    <w:rsid w:val="008E41FD"/>
    <w:rsid w:val="008E6761"/>
    <w:rsid w:val="008E7B1C"/>
    <w:rsid w:val="008E7CCC"/>
    <w:rsid w:val="008E7DD5"/>
    <w:rsid w:val="008F1534"/>
    <w:rsid w:val="008F1F89"/>
    <w:rsid w:val="008F2424"/>
    <w:rsid w:val="008F2E1F"/>
    <w:rsid w:val="008F3879"/>
    <w:rsid w:val="00901575"/>
    <w:rsid w:val="00903F56"/>
    <w:rsid w:val="009129F0"/>
    <w:rsid w:val="00914D21"/>
    <w:rsid w:val="00914FBF"/>
    <w:rsid w:val="009162AF"/>
    <w:rsid w:val="0092078F"/>
    <w:rsid w:val="00920B36"/>
    <w:rsid w:val="00920EE4"/>
    <w:rsid w:val="009225E3"/>
    <w:rsid w:val="0092469E"/>
    <w:rsid w:val="00924774"/>
    <w:rsid w:val="0092493C"/>
    <w:rsid w:val="00926314"/>
    <w:rsid w:val="00927360"/>
    <w:rsid w:val="009366E4"/>
    <w:rsid w:val="00940DD5"/>
    <w:rsid w:val="009440C5"/>
    <w:rsid w:val="00945333"/>
    <w:rsid w:val="0094610A"/>
    <w:rsid w:val="00947D49"/>
    <w:rsid w:val="009505D1"/>
    <w:rsid w:val="00950BB2"/>
    <w:rsid w:val="00951B04"/>
    <w:rsid w:val="00952497"/>
    <w:rsid w:val="0095489D"/>
    <w:rsid w:val="00955A56"/>
    <w:rsid w:val="009600A0"/>
    <w:rsid w:val="00960710"/>
    <w:rsid w:val="00963E4B"/>
    <w:rsid w:val="00963E54"/>
    <w:rsid w:val="0096463E"/>
    <w:rsid w:val="009653ED"/>
    <w:rsid w:val="00966D14"/>
    <w:rsid w:val="00966E13"/>
    <w:rsid w:val="009671F5"/>
    <w:rsid w:val="0097215E"/>
    <w:rsid w:val="00974128"/>
    <w:rsid w:val="00975A72"/>
    <w:rsid w:val="00980988"/>
    <w:rsid w:val="00980F9F"/>
    <w:rsid w:val="00982142"/>
    <w:rsid w:val="0098413B"/>
    <w:rsid w:val="00984F1A"/>
    <w:rsid w:val="00985EA7"/>
    <w:rsid w:val="00986ED3"/>
    <w:rsid w:val="00987FE5"/>
    <w:rsid w:val="00990BE2"/>
    <w:rsid w:val="009926DD"/>
    <w:rsid w:val="00992C27"/>
    <w:rsid w:val="00996B7E"/>
    <w:rsid w:val="009A115C"/>
    <w:rsid w:val="009A3432"/>
    <w:rsid w:val="009A485D"/>
    <w:rsid w:val="009A70DA"/>
    <w:rsid w:val="009B15E0"/>
    <w:rsid w:val="009B23DE"/>
    <w:rsid w:val="009B2EA9"/>
    <w:rsid w:val="009B3981"/>
    <w:rsid w:val="009B4FA2"/>
    <w:rsid w:val="009B762B"/>
    <w:rsid w:val="009B78DE"/>
    <w:rsid w:val="009C0796"/>
    <w:rsid w:val="009C0A34"/>
    <w:rsid w:val="009C166B"/>
    <w:rsid w:val="009C1DAF"/>
    <w:rsid w:val="009C2A75"/>
    <w:rsid w:val="009C31A3"/>
    <w:rsid w:val="009D0D46"/>
    <w:rsid w:val="009D2358"/>
    <w:rsid w:val="009D5571"/>
    <w:rsid w:val="009D74A9"/>
    <w:rsid w:val="009E045B"/>
    <w:rsid w:val="009E2342"/>
    <w:rsid w:val="009E7DD7"/>
    <w:rsid w:val="009F19C1"/>
    <w:rsid w:val="009F1B81"/>
    <w:rsid w:val="00A006C1"/>
    <w:rsid w:val="00A01C35"/>
    <w:rsid w:val="00A0251B"/>
    <w:rsid w:val="00A033F3"/>
    <w:rsid w:val="00A03767"/>
    <w:rsid w:val="00A03959"/>
    <w:rsid w:val="00A03C52"/>
    <w:rsid w:val="00A04779"/>
    <w:rsid w:val="00A053EA"/>
    <w:rsid w:val="00A070E2"/>
    <w:rsid w:val="00A129BF"/>
    <w:rsid w:val="00A141B5"/>
    <w:rsid w:val="00A22904"/>
    <w:rsid w:val="00A27AF4"/>
    <w:rsid w:val="00A27E7C"/>
    <w:rsid w:val="00A33F57"/>
    <w:rsid w:val="00A34D99"/>
    <w:rsid w:val="00A35CAC"/>
    <w:rsid w:val="00A36301"/>
    <w:rsid w:val="00A366DC"/>
    <w:rsid w:val="00A372A8"/>
    <w:rsid w:val="00A40EA8"/>
    <w:rsid w:val="00A41D62"/>
    <w:rsid w:val="00A50A87"/>
    <w:rsid w:val="00A515EC"/>
    <w:rsid w:val="00A53750"/>
    <w:rsid w:val="00A54992"/>
    <w:rsid w:val="00A5772E"/>
    <w:rsid w:val="00A57C95"/>
    <w:rsid w:val="00A61FFC"/>
    <w:rsid w:val="00A6243A"/>
    <w:rsid w:val="00A6272B"/>
    <w:rsid w:val="00A65CCD"/>
    <w:rsid w:val="00A66E39"/>
    <w:rsid w:val="00A66FFF"/>
    <w:rsid w:val="00A718A7"/>
    <w:rsid w:val="00A730A0"/>
    <w:rsid w:val="00A736E9"/>
    <w:rsid w:val="00A73B19"/>
    <w:rsid w:val="00A73CF2"/>
    <w:rsid w:val="00A843B6"/>
    <w:rsid w:val="00A92144"/>
    <w:rsid w:val="00A95578"/>
    <w:rsid w:val="00A956AE"/>
    <w:rsid w:val="00A9606D"/>
    <w:rsid w:val="00A96495"/>
    <w:rsid w:val="00A96FBD"/>
    <w:rsid w:val="00AA27A0"/>
    <w:rsid w:val="00AA3585"/>
    <w:rsid w:val="00AA5BA3"/>
    <w:rsid w:val="00AA6294"/>
    <w:rsid w:val="00AA6838"/>
    <w:rsid w:val="00AB09AD"/>
    <w:rsid w:val="00AB2C38"/>
    <w:rsid w:val="00AB3A69"/>
    <w:rsid w:val="00AB4275"/>
    <w:rsid w:val="00AB5158"/>
    <w:rsid w:val="00AB6718"/>
    <w:rsid w:val="00AC1FF1"/>
    <w:rsid w:val="00AC3920"/>
    <w:rsid w:val="00AC4EBD"/>
    <w:rsid w:val="00AC5053"/>
    <w:rsid w:val="00AD1CA1"/>
    <w:rsid w:val="00AD3B51"/>
    <w:rsid w:val="00AD65A6"/>
    <w:rsid w:val="00AD71E2"/>
    <w:rsid w:val="00AD77ED"/>
    <w:rsid w:val="00AE575B"/>
    <w:rsid w:val="00AE7071"/>
    <w:rsid w:val="00AE7F2B"/>
    <w:rsid w:val="00AF06E4"/>
    <w:rsid w:val="00AF2303"/>
    <w:rsid w:val="00AF3F56"/>
    <w:rsid w:val="00AF4E5E"/>
    <w:rsid w:val="00B0045D"/>
    <w:rsid w:val="00B0104B"/>
    <w:rsid w:val="00B03FB4"/>
    <w:rsid w:val="00B040C2"/>
    <w:rsid w:val="00B043D7"/>
    <w:rsid w:val="00B046C9"/>
    <w:rsid w:val="00B05BC0"/>
    <w:rsid w:val="00B15BE7"/>
    <w:rsid w:val="00B15CB8"/>
    <w:rsid w:val="00B1765F"/>
    <w:rsid w:val="00B206C6"/>
    <w:rsid w:val="00B2308B"/>
    <w:rsid w:val="00B235B5"/>
    <w:rsid w:val="00B26274"/>
    <w:rsid w:val="00B2630C"/>
    <w:rsid w:val="00B26F66"/>
    <w:rsid w:val="00B33A54"/>
    <w:rsid w:val="00B402F6"/>
    <w:rsid w:val="00B47C17"/>
    <w:rsid w:val="00B541E7"/>
    <w:rsid w:val="00B56C90"/>
    <w:rsid w:val="00B57985"/>
    <w:rsid w:val="00B65B37"/>
    <w:rsid w:val="00B65E14"/>
    <w:rsid w:val="00B712E9"/>
    <w:rsid w:val="00B72E80"/>
    <w:rsid w:val="00B76E16"/>
    <w:rsid w:val="00B850CB"/>
    <w:rsid w:val="00B86514"/>
    <w:rsid w:val="00B873C9"/>
    <w:rsid w:val="00B8781B"/>
    <w:rsid w:val="00B90AB8"/>
    <w:rsid w:val="00B96475"/>
    <w:rsid w:val="00B975F3"/>
    <w:rsid w:val="00B97B66"/>
    <w:rsid w:val="00B97ECE"/>
    <w:rsid w:val="00BA5946"/>
    <w:rsid w:val="00BA71E5"/>
    <w:rsid w:val="00BB2775"/>
    <w:rsid w:val="00BB2B95"/>
    <w:rsid w:val="00BB513B"/>
    <w:rsid w:val="00BC23B6"/>
    <w:rsid w:val="00BC2788"/>
    <w:rsid w:val="00BC3171"/>
    <w:rsid w:val="00BC45AE"/>
    <w:rsid w:val="00BD40A5"/>
    <w:rsid w:val="00BD435E"/>
    <w:rsid w:val="00BE11DD"/>
    <w:rsid w:val="00BE40DB"/>
    <w:rsid w:val="00BF100F"/>
    <w:rsid w:val="00BF13E7"/>
    <w:rsid w:val="00BF400E"/>
    <w:rsid w:val="00C01DDA"/>
    <w:rsid w:val="00C01EDC"/>
    <w:rsid w:val="00C0333F"/>
    <w:rsid w:val="00C03C09"/>
    <w:rsid w:val="00C060FC"/>
    <w:rsid w:val="00C07E29"/>
    <w:rsid w:val="00C100AB"/>
    <w:rsid w:val="00C102DF"/>
    <w:rsid w:val="00C13AAD"/>
    <w:rsid w:val="00C16EEF"/>
    <w:rsid w:val="00C176B1"/>
    <w:rsid w:val="00C221CC"/>
    <w:rsid w:val="00C262D1"/>
    <w:rsid w:val="00C30926"/>
    <w:rsid w:val="00C35054"/>
    <w:rsid w:val="00C400EA"/>
    <w:rsid w:val="00C4168A"/>
    <w:rsid w:val="00C41FE4"/>
    <w:rsid w:val="00C436AA"/>
    <w:rsid w:val="00C436E7"/>
    <w:rsid w:val="00C44922"/>
    <w:rsid w:val="00C458B5"/>
    <w:rsid w:val="00C462E2"/>
    <w:rsid w:val="00C545C8"/>
    <w:rsid w:val="00C57F36"/>
    <w:rsid w:val="00C6000E"/>
    <w:rsid w:val="00C6035C"/>
    <w:rsid w:val="00C61B02"/>
    <w:rsid w:val="00C658EC"/>
    <w:rsid w:val="00C709B7"/>
    <w:rsid w:val="00C72437"/>
    <w:rsid w:val="00C77396"/>
    <w:rsid w:val="00C80BB1"/>
    <w:rsid w:val="00C8217D"/>
    <w:rsid w:val="00C82AEA"/>
    <w:rsid w:val="00C8655C"/>
    <w:rsid w:val="00C914AA"/>
    <w:rsid w:val="00C91F0F"/>
    <w:rsid w:val="00C9252E"/>
    <w:rsid w:val="00C945AD"/>
    <w:rsid w:val="00CA110A"/>
    <w:rsid w:val="00CA1DB4"/>
    <w:rsid w:val="00CA2B5A"/>
    <w:rsid w:val="00CA728B"/>
    <w:rsid w:val="00CB05D2"/>
    <w:rsid w:val="00CB20E7"/>
    <w:rsid w:val="00CB26E8"/>
    <w:rsid w:val="00CB327D"/>
    <w:rsid w:val="00CB3345"/>
    <w:rsid w:val="00CB3D59"/>
    <w:rsid w:val="00CB4252"/>
    <w:rsid w:val="00CB46B0"/>
    <w:rsid w:val="00CB6BD8"/>
    <w:rsid w:val="00CB7B52"/>
    <w:rsid w:val="00CB7BF6"/>
    <w:rsid w:val="00CC0B69"/>
    <w:rsid w:val="00CC43AA"/>
    <w:rsid w:val="00CC4734"/>
    <w:rsid w:val="00CC51D6"/>
    <w:rsid w:val="00CC54CB"/>
    <w:rsid w:val="00CC7176"/>
    <w:rsid w:val="00CD1CED"/>
    <w:rsid w:val="00CD2A70"/>
    <w:rsid w:val="00CD3364"/>
    <w:rsid w:val="00CD402D"/>
    <w:rsid w:val="00CD407E"/>
    <w:rsid w:val="00CE0EF7"/>
    <w:rsid w:val="00CE151C"/>
    <w:rsid w:val="00CE28D8"/>
    <w:rsid w:val="00CE317D"/>
    <w:rsid w:val="00CE4DD8"/>
    <w:rsid w:val="00CE5EB3"/>
    <w:rsid w:val="00CE62D0"/>
    <w:rsid w:val="00CF2468"/>
    <w:rsid w:val="00CF350C"/>
    <w:rsid w:val="00CF3C89"/>
    <w:rsid w:val="00CF4C60"/>
    <w:rsid w:val="00D01434"/>
    <w:rsid w:val="00D0281E"/>
    <w:rsid w:val="00D040D0"/>
    <w:rsid w:val="00D05555"/>
    <w:rsid w:val="00D1410A"/>
    <w:rsid w:val="00D165B1"/>
    <w:rsid w:val="00D245CD"/>
    <w:rsid w:val="00D250E5"/>
    <w:rsid w:val="00D257D3"/>
    <w:rsid w:val="00D258EA"/>
    <w:rsid w:val="00D25CD8"/>
    <w:rsid w:val="00D274FF"/>
    <w:rsid w:val="00D303C7"/>
    <w:rsid w:val="00D30A45"/>
    <w:rsid w:val="00D312B6"/>
    <w:rsid w:val="00D35168"/>
    <w:rsid w:val="00D35427"/>
    <w:rsid w:val="00D35A76"/>
    <w:rsid w:val="00D3706C"/>
    <w:rsid w:val="00D40DDD"/>
    <w:rsid w:val="00D475EE"/>
    <w:rsid w:val="00D51B67"/>
    <w:rsid w:val="00D51EBD"/>
    <w:rsid w:val="00D532AA"/>
    <w:rsid w:val="00D53EC9"/>
    <w:rsid w:val="00D55038"/>
    <w:rsid w:val="00D64135"/>
    <w:rsid w:val="00D67D96"/>
    <w:rsid w:val="00D70110"/>
    <w:rsid w:val="00D70409"/>
    <w:rsid w:val="00D71858"/>
    <w:rsid w:val="00D722AD"/>
    <w:rsid w:val="00D73828"/>
    <w:rsid w:val="00D75A44"/>
    <w:rsid w:val="00D81F81"/>
    <w:rsid w:val="00D81FD1"/>
    <w:rsid w:val="00D83E49"/>
    <w:rsid w:val="00D843D8"/>
    <w:rsid w:val="00D87E87"/>
    <w:rsid w:val="00D8DF81"/>
    <w:rsid w:val="00D92545"/>
    <w:rsid w:val="00D92925"/>
    <w:rsid w:val="00DA13BE"/>
    <w:rsid w:val="00DA1614"/>
    <w:rsid w:val="00DA287E"/>
    <w:rsid w:val="00DA43DD"/>
    <w:rsid w:val="00DA47F3"/>
    <w:rsid w:val="00DA7D74"/>
    <w:rsid w:val="00DB0F7A"/>
    <w:rsid w:val="00DB2910"/>
    <w:rsid w:val="00DB461F"/>
    <w:rsid w:val="00DB7963"/>
    <w:rsid w:val="00DC2AAF"/>
    <w:rsid w:val="00DC2B3F"/>
    <w:rsid w:val="00DE20F2"/>
    <w:rsid w:val="00DE3458"/>
    <w:rsid w:val="00DE680A"/>
    <w:rsid w:val="00DF26CC"/>
    <w:rsid w:val="00DF4114"/>
    <w:rsid w:val="00DF7C47"/>
    <w:rsid w:val="00DF7D52"/>
    <w:rsid w:val="00E037E3"/>
    <w:rsid w:val="00E058C7"/>
    <w:rsid w:val="00E10820"/>
    <w:rsid w:val="00E13708"/>
    <w:rsid w:val="00E137FB"/>
    <w:rsid w:val="00E14E23"/>
    <w:rsid w:val="00E16650"/>
    <w:rsid w:val="00E20D96"/>
    <w:rsid w:val="00E243CB"/>
    <w:rsid w:val="00E267FC"/>
    <w:rsid w:val="00E30361"/>
    <w:rsid w:val="00E31502"/>
    <w:rsid w:val="00E35AAB"/>
    <w:rsid w:val="00E3644D"/>
    <w:rsid w:val="00E376FC"/>
    <w:rsid w:val="00E42697"/>
    <w:rsid w:val="00E426C4"/>
    <w:rsid w:val="00E43C52"/>
    <w:rsid w:val="00E43D48"/>
    <w:rsid w:val="00E44758"/>
    <w:rsid w:val="00E524D7"/>
    <w:rsid w:val="00E524D9"/>
    <w:rsid w:val="00E547F1"/>
    <w:rsid w:val="00E55CD0"/>
    <w:rsid w:val="00E5797B"/>
    <w:rsid w:val="00E61876"/>
    <w:rsid w:val="00E62959"/>
    <w:rsid w:val="00E64B36"/>
    <w:rsid w:val="00E7074A"/>
    <w:rsid w:val="00E71874"/>
    <w:rsid w:val="00E736B6"/>
    <w:rsid w:val="00E75C25"/>
    <w:rsid w:val="00E762CB"/>
    <w:rsid w:val="00E76ADE"/>
    <w:rsid w:val="00E801A1"/>
    <w:rsid w:val="00E80B1F"/>
    <w:rsid w:val="00E83204"/>
    <w:rsid w:val="00E849F0"/>
    <w:rsid w:val="00E91CE9"/>
    <w:rsid w:val="00E95238"/>
    <w:rsid w:val="00E954BC"/>
    <w:rsid w:val="00E96315"/>
    <w:rsid w:val="00E963DB"/>
    <w:rsid w:val="00EA0A83"/>
    <w:rsid w:val="00EA0E9A"/>
    <w:rsid w:val="00EA12A3"/>
    <w:rsid w:val="00EA45B9"/>
    <w:rsid w:val="00EA6990"/>
    <w:rsid w:val="00EA70EF"/>
    <w:rsid w:val="00EA7923"/>
    <w:rsid w:val="00EA7D1D"/>
    <w:rsid w:val="00EA7D83"/>
    <w:rsid w:val="00EB1530"/>
    <w:rsid w:val="00EB3B7D"/>
    <w:rsid w:val="00EB4ABC"/>
    <w:rsid w:val="00EB5902"/>
    <w:rsid w:val="00EB73BB"/>
    <w:rsid w:val="00EC148B"/>
    <w:rsid w:val="00EC33A4"/>
    <w:rsid w:val="00EC479F"/>
    <w:rsid w:val="00EC5926"/>
    <w:rsid w:val="00EC6A72"/>
    <w:rsid w:val="00ED46C6"/>
    <w:rsid w:val="00ED63C7"/>
    <w:rsid w:val="00ED6813"/>
    <w:rsid w:val="00EE0B07"/>
    <w:rsid w:val="00EE667E"/>
    <w:rsid w:val="00EF04A4"/>
    <w:rsid w:val="00EF1777"/>
    <w:rsid w:val="00F006D7"/>
    <w:rsid w:val="00F02BF4"/>
    <w:rsid w:val="00F02F23"/>
    <w:rsid w:val="00F04038"/>
    <w:rsid w:val="00F042BE"/>
    <w:rsid w:val="00F04C75"/>
    <w:rsid w:val="00F051DE"/>
    <w:rsid w:val="00F10750"/>
    <w:rsid w:val="00F11B76"/>
    <w:rsid w:val="00F1218D"/>
    <w:rsid w:val="00F129E4"/>
    <w:rsid w:val="00F2342D"/>
    <w:rsid w:val="00F2507E"/>
    <w:rsid w:val="00F26D38"/>
    <w:rsid w:val="00F31C18"/>
    <w:rsid w:val="00F353DB"/>
    <w:rsid w:val="00F35971"/>
    <w:rsid w:val="00F35CD4"/>
    <w:rsid w:val="00F37038"/>
    <w:rsid w:val="00F376A8"/>
    <w:rsid w:val="00F40ED7"/>
    <w:rsid w:val="00F43C9E"/>
    <w:rsid w:val="00F44359"/>
    <w:rsid w:val="00F45340"/>
    <w:rsid w:val="00F45468"/>
    <w:rsid w:val="00F476EA"/>
    <w:rsid w:val="00F50102"/>
    <w:rsid w:val="00F5101F"/>
    <w:rsid w:val="00F5208A"/>
    <w:rsid w:val="00F52410"/>
    <w:rsid w:val="00F61EE2"/>
    <w:rsid w:val="00F637A4"/>
    <w:rsid w:val="00F64340"/>
    <w:rsid w:val="00F64873"/>
    <w:rsid w:val="00F67B45"/>
    <w:rsid w:val="00F76ACC"/>
    <w:rsid w:val="00F778FE"/>
    <w:rsid w:val="00F80A82"/>
    <w:rsid w:val="00F80EA2"/>
    <w:rsid w:val="00F83033"/>
    <w:rsid w:val="00F832ED"/>
    <w:rsid w:val="00F849CF"/>
    <w:rsid w:val="00F84F7E"/>
    <w:rsid w:val="00F8503D"/>
    <w:rsid w:val="00F86728"/>
    <w:rsid w:val="00F86B60"/>
    <w:rsid w:val="00F900FB"/>
    <w:rsid w:val="00F90591"/>
    <w:rsid w:val="00F923F2"/>
    <w:rsid w:val="00F95850"/>
    <w:rsid w:val="00F95889"/>
    <w:rsid w:val="00FA79CC"/>
    <w:rsid w:val="00FB0108"/>
    <w:rsid w:val="00FB1F62"/>
    <w:rsid w:val="00FB2A90"/>
    <w:rsid w:val="00FB4A5E"/>
    <w:rsid w:val="00FB59E3"/>
    <w:rsid w:val="00FB751C"/>
    <w:rsid w:val="00FC11CA"/>
    <w:rsid w:val="00FC1AD9"/>
    <w:rsid w:val="00FC4C92"/>
    <w:rsid w:val="00FC79D5"/>
    <w:rsid w:val="00FD1E6C"/>
    <w:rsid w:val="00FD4C98"/>
    <w:rsid w:val="00FE1952"/>
    <w:rsid w:val="00FE1D65"/>
    <w:rsid w:val="00FE2FB0"/>
    <w:rsid w:val="00FE323F"/>
    <w:rsid w:val="00FE3A6F"/>
    <w:rsid w:val="00FE3AB3"/>
    <w:rsid w:val="00FF0D3E"/>
    <w:rsid w:val="00FF1C05"/>
    <w:rsid w:val="00FF3035"/>
    <w:rsid w:val="00FF4575"/>
    <w:rsid w:val="00FF5F80"/>
    <w:rsid w:val="01A3B713"/>
    <w:rsid w:val="01BBA4DA"/>
    <w:rsid w:val="02B45633"/>
    <w:rsid w:val="02E13C36"/>
    <w:rsid w:val="02F47195"/>
    <w:rsid w:val="03282345"/>
    <w:rsid w:val="0338EE49"/>
    <w:rsid w:val="036F1445"/>
    <w:rsid w:val="03B85441"/>
    <w:rsid w:val="03CA412C"/>
    <w:rsid w:val="03E6935D"/>
    <w:rsid w:val="03E6F67A"/>
    <w:rsid w:val="040C6757"/>
    <w:rsid w:val="0421ECCC"/>
    <w:rsid w:val="04476B1C"/>
    <w:rsid w:val="04525C77"/>
    <w:rsid w:val="04634E59"/>
    <w:rsid w:val="051AFB32"/>
    <w:rsid w:val="0529281F"/>
    <w:rsid w:val="056C476A"/>
    <w:rsid w:val="057EE9EB"/>
    <w:rsid w:val="058EB284"/>
    <w:rsid w:val="05EFE200"/>
    <w:rsid w:val="0607D015"/>
    <w:rsid w:val="0618A25B"/>
    <w:rsid w:val="06D25C8C"/>
    <w:rsid w:val="0778891F"/>
    <w:rsid w:val="07857E36"/>
    <w:rsid w:val="079BE1FA"/>
    <w:rsid w:val="0866F038"/>
    <w:rsid w:val="089AF8FF"/>
    <w:rsid w:val="08B5112D"/>
    <w:rsid w:val="08C80186"/>
    <w:rsid w:val="08EC5110"/>
    <w:rsid w:val="092C2FFB"/>
    <w:rsid w:val="097E488A"/>
    <w:rsid w:val="0984AF51"/>
    <w:rsid w:val="099A0C61"/>
    <w:rsid w:val="09D938E3"/>
    <w:rsid w:val="09DAC5C4"/>
    <w:rsid w:val="09F132AE"/>
    <w:rsid w:val="0A439317"/>
    <w:rsid w:val="0A5C0BBC"/>
    <w:rsid w:val="0A5FCDDE"/>
    <w:rsid w:val="0A6A3FD7"/>
    <w:rsid w:val="0ACED98A"/>
    <w:rsid w:val="0AE5DE08"/>
    <w:rsid w:val="0AED9D1E"/>
    <w:rsid w:val="0B17FEDB"/>
    <w:rsid w:val="0B81BD97"/>
    <w:rsid w:val="0C7C03DE"/>
    <w:rsid w:val="0CFC942D"/>
    <w:rsid w:val="0DEF7511"/>
    <w:rsid w:val="0E6AD713"/>
    <w:rsid w:val="0EBCA99E"/>
    <w:rsid w:val="0EDECF6B"/>
    <w:rsid w:val="0F117287"/>
    <w:rsid w:val="0F15795C"/>
    <w:rsid w:val="0F464073"/>
    <w:rsid w:val="1018FA91"/>
    <w:rsid w:val="11AA0BBB"/>
    <w:rsid w:val="11E2BE20"/>
    <w:rsid w:val="121A995B"/>
    <w:rsid w:val="122007AE"/>
    <w:rsid w:val="1232C653"/>
    <w:rsid w:val="1253BFED"/>
    <w:rsid w:val="12D34B85"/>
    <w:rsid w:val="13C7CFE6"/>
    <w:rsid w:val="14187B58"/>
    <w:rsid w:val="146C1E93"/>
    <w:rsid w:val="148A3F6F"/>
    <w:rsid w:val="151504BA"/>
    <w:rsid w:val="151ECCC5"/>
    <w:rsid w:val="15883A17"/>
    <w:rsid w:val="15AA94BC"/>
    <w:rsid w:val="162EDC9C"/>
    <w:rsid w:val="1673E920"/>
    <w:rsid w:val="167D4021"/>
    <w:rsid w:val="1707F777"/>
    <w:rsid w:val="17229C96"/>
    <w:rsid w:val="17773F23"/>
    <w:rsid w:val="17A7CA0D"/>
    <w:rsid w:val="1809A3E5"/>
    <w:rsid w:val="181A17F8"/>
    <w:rsid w:val="183E2680"/>
    <w:rsid w:val="18772103"/>
    <w:rsid w:val="18ADDAF3"/>
    <w:rsid w:val="18BC042C"/>
    <w:rsid w:val="18CF2E07"/>
    <w:rsid w:val="18D24B5E"/>
    <w:rsid w:val="196E20BF"/>
    <w:rsid w:val="19A1BE63"/>
    <w:rsid w:val="1A67E7CD"/>
    <w:rsid w:val="1ABBFFB4"/>
    <w:rsid w:val="1B4CD408"/>
    <w:rsid w:val="1B8A09B9"/>
    <w:rsid w:val="1CB88A9B"/>
    <w:rsid w:val="1CE6E855"/>
    <w:rsid w:val="1CF9184A"/>
    <w:rsid w:val="1D15F1AC"/>
    <w:rsid w:val="1D8EC758"/>
    <w:rsid w:val="1E38128A"/>
    <w:rsid w:val="1F5E4F80"/>
    <w:rsid w:val="20016B65"/>
    <w:rsid w:val="202DD12E"/>
    <w:rsid w:val="208122B3"/>
    <w:rsid w:val="209154CA"/>
    <w:rsid w:val="20EB4EF9"/>
    <w:rsid w:val="2198B5A2"/>
    <w:rsid w:val="221AD7C6"/>
    <w:rsid w:val="221C0E22"/>
    <w:rsid w:val="229FEB58"/>
    <w:rsid w:val="2309381B"/>
    <w:rsid w:val="23CE1D9E"/>
    <w:rsid w:val="23D34347"/>
    <w:rsid w:val="23F2B48D"/>
    <w:rsid w:val="24823DE3"/>
    <w:rsid w:val="24871CC7"/>
    <w:rsid w:val="2491A662"/>
    <w:rsid w:val="24933CAB"/>
    <w:rsid w:val="24DDAAC8"/>
    <w:rsid w:val="2500A1AE"/>
    <w:rsid w:val="254A0027"/>
    <w:rsid w:val="25B54B91"/>
    <w:rsid w:val="25E07BFF"/>
    <w:rsid w:val="25E8816E"/>
    <w:rsid w:val="260F9728"/>
    <w:rsid w:val="26274FD9"/>
    <w:rsid w:val="26A0C82B"/>
    <w:rsid w:val="26ABF5A7"/>
    <w:rsid w:val="26C25EC4"/>
    <w:rsid w:val="26CCD36E"/>
    <w:rsid w:val="26D0E0C2"/>
    <w:rsid w:val="26DD5CD9"/>
    <w:rsid w:val="26EA098E"/>
    <w:rsid w:val="27061AE3"/>
    <w:rsid w:val="2792E0EB"/>
    <w:rsid w:val="27BD3722"/>
    <w:rsid w:val="27FD5FC0"/>
    <w:rsid w:val="2876D88C"/>
    <w:rsid w:val="287EEEA7"/>
    <w:rsid w:val="28D32867"/>
    <w:rsid w:val="291D449F"/>
    <w:rsid w:val="29AF539C"/>
    <w:rsid w:val="2A564819"/>
    <w:rsid w:val="2BF15918"/>
    <w:rsid w:val="2BF62F9E"/>
    <w:rsid w:val="2C97A851"/>
    <w:rsid w:val="2CB01306"/>
    <w:rsid w:val="2CE0044C"/>
    <w:rsid w:val="2D3DCD21"/>
    <w:rsid w:val="2D44E4B2"/>
    <w:rsid w:val="2D618A19"/>
    <w:rsid w:val="2D7E7409"/>
    <w:rsid w:val="2DF8C570"/>
    <w:rsid w:val="2F080204"/>
    <w:rsid w:val="2F0D8D9B"/>
    <w:rsid w:val="2F127B93"/>
    <w:rsid w:val="2FB18AAF"/>
    <w:rsid w:val="2FBE22C5"/>
    <w:rsid w:val="301DE287"/>
    <w:rsid w:val="304C952A"/>
    <w:rsid w:val="308F836C"/>
    <w:rsid w:val="310B5A4F"/>
    <w:rsid w:val="310F9344"/>
    <w:rsid w:val="3129DC73"/>
    <w:rsid w:val="3164924F"/>
    <w:rsid w:val="31B22AAD"/>
    <w:rsid w:val="31C71F1D"/>
    <w:rsid w:val="31CA950B"/>
    <w:rsid w:val="322C78C5"/>
    <w:rsid w:val="32565E37"/>
    <w:rsid w:val="32800B5B"/>
    <w:rsid w:val="32DD0956"/>
    <w:rsid w:val="33171A29"/>
    <w:rsid w:val="337C0485"/>
    <w:rsid w:val="33880D0B"/>
    <w:rsid w:val="33952561"/>
    <w:rsid w:val="34576F58"/>
    <w:rsid w:val="3479AF6C"/>
    <w:rsid w:val="355C52A2"/>
    <w:rsid w:val="356C0512"/>
    <w:rsid w:val="35A39344"/>
    <w:rsid w:val="35B07389"/>
    <w:rsid w:val="35E279AB"/>
    <w:rsid w:val="35E75B69"/>
    <w:rsid w:val="36028F9F"/>
    <w:rsid w:val="3609D061"/>
    <w:rsid w:val="36860B4C"/>
    <w:rsid w:val="368A4390"/>
    <w:rsid w:val="36977537"/>
    <w:rsid w:val="36C6581F"/>
    <w:rsid w:val="36FBC018"/>
    <w:rsid w:val="3712C098"/>
    <w:rsid w:val="37346639"/>
    <w:rsid w:val="381FD618"/>
    <w:rsid w:val="388F7922"/>
    <w:rsid w:val="390C302B"/>
    <w:rsid w:val="39603DC4"/>
    <w:rsid w:val="39FC528F"/>
    <w:rsid w:val="3A19D3C7"/>
    <w:rsid w:val="3A40FDD4"/>
    <w:rsid w:val="3A450338"/>
    <w:rsid w:val="3AB1F26D"/>
    <w:rsid w:val="3AE7351E"/>
    <w:rsid w:val="3B0E88E9"/>
    <w:rsid w:val="3B9C3D48"/>
    <w:rsid w:val="3BA10078"/>
    <w:rsid w:val="3BA3265D"/>
    <w:rsid w:val="3BBF45EF"/>
    <w:rsid w:val="3C11D362"/>
    <w:rsid w:val="3C4EB1C1"/>
    <w:rsid w:val="3C83ECA4"/>
    <w:rsid w:val="3CE349D2"/>
    <w:rsid w:val="3D29354A"/>
    <w:rsid w:val="3D3DF9CE"/>
    <w:rsid w:val="3D89E0A0"/>
    <w:rsid w:val="3E748BBB"/>
    <w:rsid w:val="3EA2C363"/>
    <w:rsid w:val="3EC85D72"/>
    <w:rsid w:val="405F3DF6"/>
    <w:rsid w:val="40E74F6B"/>
    <w:rsid w:val="41B199B3"/>
    <w:rsid w:val="41CD21CB"/>
    <w:rsid w:val="41E4F426"/>
    <w:rsid w:val="431C12D2"/>
    <w:rsid w:val="4338CED7"/>
    <w:rsid w:val="43402C09"/>
    <w:rsid w:val="438E18CF"/>
    <w:rsid w:val="44124E7D"/>
    <w:rsid w:val="4448B05A"/>
    <w:rsid w:val="444E931B"/>
    <w:rsid w:val="4504EC5A"/>
    <w:rsid w:val="45096663"/>
    <w:rsid w:val="455315D7"/>
    <w:rsid w:val="45B81EB6"/>
    <w:rsid w:val="4687F699"/>
    <w:rsid w:val="469378DE"/>
    <w:rsid w:val="46971C3A"/>
    <w:rsid w:val="46E13F90"/>
    <w:rsid w:val="46F9EB77"/>
    <w:rsid w:val="471F2201"/>
    <w:rsid w:val="47297145"/>
    <w:rsid w:val="475A485C"/>
    <w:rsid w:val="478C17EC"/>
    <w:rsid w:val="47A0D476"/>
    <w:rsid w:val="47A9E4AD"/>
    <w:rsid w:val="47C83C6D"/>
    <w:rsid w:val="47EB8BE3"/>
    <w:rsid w:val="47F012B5"/>
    <w:rsid w:val="481120EC"/>
    <w:rsid w:val="481BD83F"/>
    <w:rsid w:val="483E31F5"/>
    <w:rsid w:val="489946BE"/>
    <w:rsid w:val="49231513"/>
    <w:rsid w:val="4976D08B"/>
    <w:rsid w:val="49AAB301"/>
    <w:rsid w:val="4A0F2F32"/>
    <w:rsid w:val="4A251293"/>
    <w:rsid w:val="4A74D6F5"/>
    <w:rsid w:val="4A8065B2"/>
    <w:rsid w:val="4AF4A9FC"/>
    <w:rsid w:val="4B252172"/>
    <w:rsid w:val="4B406F69"/>
    <w:rsid w:val="4B64CA98"/>
    <w:rsid w:val="4BADD0EA"/>
    <w:rsid w:val="4C57740A"/>
    <w:rsid w:val="4C5F9134"/>
    <w:rsid w:val="4CA7B5A7"/>
    <w:rsid w:val="4CB7C5D2"/>
    <w:rsid w:val="4CDF2570"/>
    <w:rsid w:val="4CECCF53"/>
    <w:rsid w:val="4D14B905"/>
    <w:rsid w:val="4D682C3C"/>
    <w:rsid w:val="4EA5E547"/>
    <w:rsid w:val="4EC02F12"/>
    <w:rsid w:val="4EF6AC64"/>
    <w:rsid w:val="4F8CFB79"/>
    <w:rsid w:val="4FBD36B3"/>
    <w:rsid w:val="50155FCF"/>
    <w:rsid w:val="5019B930"/>
    <w:rsid w:val="502AFA41"/>
    <w:rsid w:val="5110FE42"/>
    <w:rsid w:val="51303F12"/>
    <w:rsid w:val="516D698F"/>
    <w:rsid w:val="519FAF14"/>
    <w:rsid w:val="5216D1D0"/>
    <w:rsid w:val="52416B36"/>
    <w:rsid w:val="52446949"/>
    <w:rsid w:val="529DE187"/>
    <w:rsid w:val="5315614A"/>
    <w:rsid w:val="536970CF"/>
    <w:rsid w:val="53B16A17"/>
    <w:rsid w:val="540A8BD5"/>
    <w:rsid w:val="5418C848"/>
    <w:rsid w:val="541B4B89"/>
    <w:rsid w:val="5433468C"/>
    <w:rsid w:val="555CAEAE"/>
    <w:rsid w:val="55605A5F"/>
    <w:rsid w:val="55C7F467"/>
    <w:rsid w:val="55EF0A42"/>
    <w:rsid w:val="5601E646"/>
    <w:rsid w:val="5619153C"/>
    <w:rsid w:val="5692D5BB"/>
    <w:rsid w:val="569B1663"/>
    <w:rsid w:val="56A5EE71"/>
    <w:rsid w:val="56B92E4F"/>
    <w:rsid w:val="56BC7986"/>
    <w:rsid w:val="56C955F1"/>
    <w:rsid w:val="5717247D"/>
    <w:rsid w:val="5732EABB"/>
    <w:rsid w:val="578FE795"/>
    <w:rsid w:val="581AEB29"/>
    <w:rsid w:val="588FA9CB"/>
    <w:rsid w:val="58B6B722"/>
    <w:rsid w:val="58E9F0A8"/>
    <w:rsid w:val="58F2913D"/>
    <w:rsid w:val="59B74EA4"/>
    <w:rsid w:val="5A7008C6"/>
    <w:rsid w:val="5AEA40EB"/>
    <w:rsid w:val="5B34824A"/>
    <w:rsid w:val="5B38F1D9"/>
    <w:rsid w:val="5B569B34"/>
    <w:rsid w:val="5B98CEA2"/>
    <w:rsid w:val="5BC9490E"/>
    <w:rsid w:val="5C2EDD91"/>
    <w:rsid w:val="5C75B48E"/>
    <w:rsid w:val="5C98D2A4"/>
    <w:rsid w:val="5DA17CA9"/>
    <w:rsid w:val="5E20CD5A"/>
    <w:rsid w:val="5E49D8BF"/>
    <w:rsid w:val="5E67EA9D"/>
    <w:rsid w:val="5E871DF5"/>
    <w:rsid w:val="5EE93A5C"/>
    <w:rsid w:val="5F3F1112"/>
    <w:rsid w:val="5FA8AA31"/>
    <w:rsid w:val="60A57171"/>
    <w:rsid w:val="60D98E27"/>
    <w:rsid w:val="60DF64BD"/>
    <w:rsid w:val="60E28E47"/>
    <w:rsid w:val="6138F94F"/>
    <w:rsid w:val="613B7E4B"/>
    <w:rsid w:val="61408938"/>
    <w:rsid w:val="618BD611"/>
    <w:rsid w:val="61FB9EA5"/>
    <w:rsid w:val="628E52C0"/>
    <w:rsid w:val="62D6685B"/>
    <w:rsid w:val="633D2957"/>
    <w:rsid w:val="63B7756D"/>
    <w:rsid w:val="645900F7"/>
    <w:rsid w:val="64F850D3"/>
    <w:rsid w:val="6503F492"/>
    <w:rsid w:val="6513ED32"/>
    <w:rsid w:val="65925C53"/>
    <w:rsid w:val="65DD0569"/>
    <w:rsid w:val="65EEF55D"/>
    <w:rsid w:val="65F43EA9"/>
    <w:rsid w:val="660D55F7"/>
    <w:rsid w:val="6631E69D"/>
    <w:rsid w:val="664DAEDD"/>
    <w:rsid w:val="66998A60"/>
    <w:rsid w:val="66A93375"/>
    <w:rsid w:val="670BBA63"/>
    <w:rsid w:val="67453175"/>
    <w:rsid w:val="674BEC60"/>
    <w:rsid w:val="674EBE62"/>
    <w:rsid w:val="6791D0DF"/>
    <w:rsid w:val="67B1D315"/>
    <w:rsid w:val="683C4108"/>
    <w:rsid w:val="684405C9"/>
    <w:rsid w:val="6860A33A"/>
    <w:rsid w:val="6870D393"/>
    <w:rsid w:val="68936E6E"/>
    <w:rsid w:val="690907A2"/>
    <w:rsid w:val="69317C03"/>
    <w:rsid w:val="6980A933"/>
    <w:rsid w:val="6A016387"/>
    <w:rsid w:val="6A02D1ED"/>
    <w:rsid w:val="6A91CC33"/>
    <w:rsid w:val="6AA98D30"/>
    <w:rsid w:val="6AD425A3"/>
    <w:rsid w:val="6AF5AD3B"/>
    <w:rsid w:val="6B52E502"/>
    <w:rsid w:val="6B5443E3"/>
    <w:rsid w:val="6B5DCFAD"/>
    <w:rsid w:val="6B803D2B"/>
    <w:rsid w:val="6B83929B"/>
    <w:rsid w:val="6B8BA7BA"/>
    <w:rsid w:val="6C3A1B90"/>
    <w:rsid w:val="6C750055"/>
    <w:rsid w:val="6C97B28D"/>
    <w:rsid w:val="6CB24C95"/>
    <w:rsid w:val="6D0CA935"/>
    <w:rsid w:val="6D10B697"/>
    <w:rsid w:val="6D2AEB8B"/>
    <w:rsid w:val="6D7F0C2E"/>
    <w:rsid w:val="6DB111CA"/>
    <w:rsid w:val="6DE7034D"/>
    <w:rsid w:val="6DF77D3B"/>
    <w:rsid w:val="6E75D891"/>
    <w:rsid w:val="6E7B1302"/>
    <w:rsid w:val="6EBDFC4A"/>
    <w:rsid w:val="6ED0818E"/>
    <w:rsid w:val="7005D1D1"/>
    <w:rsid w:val="702ED209"/>
    <w:rsid w:val="705B9A69"/>
    <w:rsid w:val="711698AE"/>
    <w:rsid w:val="7163151C"/>
    <w:rsid w:val="71663FE5"/>
    <w:rsid w:val="7178BBF6"/>
    <w:rsid w:val="71D9BCB1"/>
    <w:rsid w:val="71EB2827"/>
    <w:rsid w:val="71F5842A"/>
    <w:rsid w:val="723643D7"/>
    <w:rsid w:val="7254A608"/>
    <w:rsid w:val="72D3A520"/>
    <w:rsid w:val="732B3227"/>
    <w:rsid w:val="73362F5F"/>
    <w:rsid w:val="7375553B"/>
    <w:rsid w:val="739E9D1F"/>
    <w:rsid w:val="73B1F221"/>
    <w:rsid w:val="748E2939"/>
    <w:rsid w:val="74EF209D"/>
    <w:rsid w:val="75400A5F"/>
    <w:rsid w:val="7540BF7B"/>
    <w:rsid w:val="7580C7FB"/>
    <w:rsid w:val="758EFABF"/>
    <w:rsid w:val="75A68594"/>
    <w:rsid w:val="76202B88"/>
    <w:rsid w:val="765EA977"/>
    <w:rsid w:val="76724546"/>
    <w:rsid w:val="76EF3D5B"/>
    <w:rsid w:val="76F7F29D"/>
    <w:rsid w:val="76FAC69E"/>
    <w:rsid w:val="7716B7C7"/>
    <w:rsid w:val="77265622"/>
    <w:rsid w:val="77B93584"/>
    <w:rsid w:val="781D8CE9"/>
    <w:rsid w:val="7828A886"/>
    <w:rsid w:val="7839A742"/>
    <w:rsid w:val="78692235"/>
    <w:rsid w:val="788FD554"/>
    <w:rsid w:val="79627C62"/>
    <w:rsid w:val="798BA32A"/>
    <w:rsid w:val="79E989FC"/>
    <w:rsid w:val="7AF4D5FF"/>
    <w:rsid w:val="7B090DE1"/>
    <w:rsid w:val="7B1174CF"/>
    <w:rsid w:val="7B188CE2"/>
    <w:rsid w:val="7BAE9589"/>
    <w:rsid w:val="7C243315"/>
    <w:rsid w:val="7C2B6166"/>
    <w:rsid w:val="7C6D25A8"/>
    <w:rsid w:val="7D135C21"/>
    <w:rsid w:val="7D222165"/>
    <w:rsid w:val="7D45852D"/>
    <w:rsid w:val="7D70D0A1"/>
    <w:rsid w:val="7D779D44"/>
    <w:rsid w:val="7E60E801"/>
    <w:rsid w:val="7ED54B8B"/>
    <w:rsid w:val="7EDF51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73E02"/>
  <w15:docId w15:val="{8573C1E1-0611-4FC1-B42D-592646910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4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one" w:sz="0" w:space="0" w:color="000000"/>
        <w:left w:val="none" w:sz="0" w:space="0" w:color="000000"/>
        <w:bottom w:val="single" w:sz="8" w:space="4" w:color="4F81BD"/>
        <w:right w:val="none" w:sz="0" w:space="0" w:color="000000"/>
        <w:between w:val="none" w:sz="0" w:space="0" w:color="000000"/>
      </w:pBdr>
      <w:spacing w:after="300"/>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iCs/>
      <w:color w:val="4F81BD"/>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7569"/>
    <w:rPr>
      <w:b/>
      <w:bCs/>
    </w:rPr>
  </w:style>
  <w:style w:type="character" w:customStyle="1" w:styleId="CommentSubjectChar">
    <w:name w:val="Comment Subject Char"/>
    <w:basedOn w:val="CommentTextChar"/>
    <w:link w:val="CommentSubject"/>
    <w:uiPriority w:val="99"/>
    <w:semiHidden/>
    <w:rsid w:val="00117569"/>
    <w:rPr>
      <w:b/>
      <w:bCs/>
      <w:sz w:val="20"/>
      <w:szCs w:val="20"/>
    </w:rPr>
  </w:style>
  <w:style w:type="character" w:styleId="Mention">
    <w:name w:val="Mention"/>
    <w:basedOn w:val="DefaultParagraphFont"/>
    <w:uiPriority w:val="99"/>
    <w:unhideWhenUsed/>
    <w:rsid w:val="00117569"/>
    <w:rPr>
      <w:color w:val="2B579A"/>
      <w:shd w:val="clear" w:color="auto" w:fill="E1DFDD"/>
    </w:rPr>
  </w:style>
  <w:style w:type="character" w:styleId="Hyperlink">
    <w:name w:val="Hyperlink"/>
    <w:basedOn w:val="DefaultParagraphFont"/>
    <w:uiPriority w:val="99"/>
    <w:unhideWhenUsed/>
    <w:rsid w:val="26274FD9"/>
    <w:rPr>
      <w:color w:val="0000FF"/>
      <w:u w:val="single"/>
    </w:rPr>
  </w:style>
  <w:style w:type="paragraph" w:styleId="Header">
    <w:name w:val="header"/>
    <w:basedOn w:val="Normal"/>
    <w:link w:val="HeaderChar"/>
    <w:uiPriority w:val="99"/>
    <w:unhideWhenUsed/>
    <w:rsid w:val="00B33A54"/>
    <w:pPr>
      <w:tabs>
        <w:tab w:val="center" w:pos="4680"/>
        <w:tab w:val="right" w:pos="9360"/>
      </w:tabs>
    </w:pPr>
  </w:style>
  <w:style w:type="character" w:customStyle="1" w:styleId="HeaderChar">
    <w:name w:val="Header Char"/>
    <w:basedOn w:val="DefaultParagraphFont"/>
    <w:link w:val="Header"/>
    <w:uiPriority w:val="99"/>
    <w:rsid w:val="00B33A54"/>
  </w:style>
  <w:style w:type="paragraph" w:styleId="Footer">
    <w:name w:val="footer"/>
    <w:basedOn w:val="Normal"/>
    <w:link w:val="FooterChar"/>
    <w:uiPriority w:val="99"/>
    <w:unhideWhenUsed/>
    <w:rsid w:val="00B33A54"/>
    <w:pPr>
      <w:tabs>
        <w:tab w:val="center" w:pos="4680"/>
        <w:tab w:val="right" w:pos="9360"/>
      </w:tabs>
    </w:pPr>
  </w:style>
  <w:style w:type="character" w:customStyle="1" w:styleId="FooterChar">
    <w:name w:val="Footer Char"/>
    <w:basedOn w:val="DefaultParagraphFont"/>
    <w:link w:val="Footer"/>
    <w:uiPriority w:val="99"/>
    <w:rsid w:val="00B33A54"/>
  </w:style>
  <w:style w:type="paragraph" w:styleId="ListParagraph">
    <w:name w:val="List Paragraph"/>
    <w:basedOn w:val="Normal"/>
    <w:uiPriority w:val="34"/>
    <w:qFormat/>
    <w:rsid w:val="381FD618"/>
    <w:pPr>
      <w:ind w:left="720"/>
      <w:contextualSpacing/>
    </w:pPr>
  </w:style>
  <w:style w:type="paragraph" w:styleId="Revision">
    <w:name w:val="Revision"/>
    <w:hidden/>
    <w:uiPriority w:val="99"/>
    <w:semiHidden/>
    <w:rsid w:val="009D2358"/>
  </w:style>
  <w:style w:type="character" w:styleId="UnresolvedMention">
    <w:name w:val="Unresolved Mention"/>
    <w:basedOn w:val="DefaultParagraphFont"/>
    <w:uiPriority w:val="99"/>
    <w:semiHidden/>
    <w:unhideWhenUsed/>
    <w:rsid w:val="006B185B"/>
    <w:rPr>
      <w:color w:val="605E5C"/>
      <w:shd w:val="clear" w:color="auto" w:fill="E1DFDD"/>
    </w:rPr>
  </w:style>
  <w:style w:type="character" w:styleId="FollowedHyperlink">
    <w:name w:val="FollowedHyperlink"/>
    <w:basedOn w:val="DefaultParagraphFont"/>
    <w:uiPriority w:val="99"/>
    <w:semiHidden/>
    <w:unhideWhenUsed/>
    <w:rsid w:val="006B185B"/>
    <w:rPr>
      <w:color w:val="800080" w:themeColor="followedHyperlink"/>
      <w:u w:val="single"/>
    </w:rPr>
  </w:style>
  <w:style w:type="paragraph" w:customStyle="1" w:styleId="Default">
    <w:name w:val="Default"/>
    <w:rsid w:val="00EA12A3"/>
    <w:pPr>
      <w:autoSpaceDE w:val="0"/>
      <w:autoSpaceDN w:val="0"/>
      <w:adjustRightInd w:val="0"/>
    </w:pPr>
    <w:rPr>
      <w:rFonts w:ascii="Arial" w:hAnsi="Arial" w:cs="Arial"/>
      <w:color w:val="000000"/>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8F2424"/>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nationalcoalitionforliteracy.org" TargetMode="External"/><Relationship Id="rId21" Type="http://schemas.openxmlformats.org/officeDocument/2006/relationships/header" Target="header2.xml"/><Relationship Id="rId42" Type="http://schemas.openxmlformats.org/officeDocument/2006/relationships/hyperlink" Target="http://www.casas.org/" TargetMode="External"/><Relationship Id="rId63" Type="http://schemas.openxmlformats.org/officeDocument/2006/relationships/hyperlink" Target="mailto:hecc.absteam@hecc.oregon.gov" TargetMode="External"/><Relationship Id="rId84" Type="http://schemas.openxmlformats.org/officeDocument/2006/relationships/hyperlink" Target="https://www2.ed.gov/about/offices/list/ovae/pi/AdultEd/index.html" TargetMode="External"/><Relationship Id="rId138" Type="http://schemas.openxmlformats.org/officeDocument/2006/relationships/fontTable" Target="fontTable.xml"/><Relationship Id="rId107" Type="http://schemas.openxmlformats.org/officeDocument/2006/relationships/hyperlink" Target="https://edtechhub.org" TargetMode="External"/><Relationship Id="rId11" Type="http://schemas.openxmlformats.org/officeDocument/2006/relationships/image" Target="media/image1.jpg"/><Relationship Id="rId32" Type="http://schemas.openxmlformats.org/officeDocument/2006/relationships/image" Target="media/image3.png"/><Relationship Id="rId37" Type="http://schemas.openxmlformats.org/officeDocument/2006/relationships/image" Target="media/image8.gif"/><Relationship Id="rId53" Type="http://schemas.openxmlformats.org/officeDocument/2006/relationships/hyperlink" Target="https://lincs.ed.gov/publications/pdf/elp-standards-adult-ed.pdf" TargetMode="External"/><Relationship Id="rId58" Type="http://schemas.openxmlformats.org/officeDocument/2006/relationships/hyperlink" Target="http://www.casas.org/" TargetMode="External"/><Relationship Id="rId74" Type="http://schemas.openxmlformats.org/officeDocument/2006/relationships/hyperlink" Target="mailto:hecc.absteam@hecc.oregon.gov" TargetMode="External"/><Relationship Id="rId79" Type="http://schemas.openxmlformats.org/officeDocument/2006/relationships/hyperlink" Target="https://www.oregon.gov/highered/about/community-colleges-workforce-development/pages/abs-resources.aspx" TargetMode="External"/><Relationship Id="rId102" Type="http://schemas.openxmlformats.org/officeDocument/2006/relationships/hyperlink" Target="https://cte.ed.gov" TargetMode="External"/><Relationship Id="rId123" Type="http://schemas.openxmlformats.org/officeDocument/2006/relationships/hyperlink" Target="https://lincs.ed.gov/state-resources/federal-initiatives/student-achievement-reading" TargetMode="External"/><Relationship Id="rId128" Type="http://schemas.openxmlformats.org/officeDocument/2006/relationships/hyperlink" Target="https://nrsweb.org/policy-data/nrs-ta-guide" TargetMode="External"/><Relationship Id="rId5" Type="http://schemas.openxmlformats.org/officeDocument/2006/relationships/numbering" Target="numbering.xml"/><Relationship Id="rId90" Type="http://schemas.openxmlformats.org/officeDocument/2006/relationships/hyperlink" Target="https://www.casas.org" TargetMode="External"/><Relationship Id="rId95" Type="http://schemas.openxmlformats.org/officeDocument/2006/relationships/hyperlink" Target="https://nrsweb.org/policy-data" TargetMode="External"/><Relationship Id="rId22" Type="http://schemas.openxmlformats.org/officeDocument/2006/relationships/footer" Target="footer1.xml"/><Relationship Id="rId27" Type="http://schemas.openxmlformats.org/officeDocument/2006/relationships/hyperlink" Target="https://www.congress.gov/113/bills/hr803/BILLS-113hr803enr.pdf" TargetMode="External"/><Relationship Id="rId43" Type="http://schemas.openxmlformats.org/officeDocument/2006/relationships/hyperlink" Target="http://www.casas.org/" TargetMode="External"/><Relationship Id="rId48" Type="http://schemas.openxmlformats.org/officeDocument/2006/relationships/hyperlink" Target="https://training.casas.org/" TargetMode="External"/><Relationship Id="rId64" Type="http://schemas.openxmlformats.org/officeDocument/2006/relationships/hyperlink" Target="http://www.sec.gov/answers/execomp.htm" TargetMode="External"/><Relationship Id="rId69" Type="http://schemas.openxmlformats.org/officeDocument/2006/relationships/image" Target="media/image14.png"/><Relationship Id="rId113" Type="http://schemas.openxmlformats.org/officeDocument/2006/relationships/hyperlink" Target="http://www.literacy.org" TargetMode="External"/><Relationship Id="rId118" Type="http://schemas.openxmlformats.org/officeDocument/2006/relationships/hyperlink" Target="http://www.nationalskillscoalition.org" TargetMode="External"/><Relationship Id="rId134" Type="http://schemas.openxmlformats.org/officeDocument/2006/relationships/hyperlink" Target="https://www.dol.gov/agencies/eta/wioa" TargetMode="External"/><Relationship Id="rId139" Type="http://schemas.openxmlformats.org/officeDocument/2006/relationships/theme" Target="theme/theme1.xml"/><Relationship Id="rId80" Type="http://schemas.openxmlformats.org/officeDocument/2006/relationships/hyperlink" Target="https://secure.sos.state.or.us/oard/ruleSearch.action" TargetMode="External"/><Relationship Id="rId85" Type="http://schemas.openxmlformats.org/officeDocument/2006/relationships/hyperlink" Target="https://www2.ed.gov/about/offices/list/ovae/index.html" TargetMode="External"/><Relationship Id="rId12" Type="http://schemas.openxmlformats.org/officeDocument/2006/relationships/hyperlink" Target="mailto:donna.j.lewelling@hecc.oregon.gov" TargetMode="External"/><Relationship Id="rId17" Type="http://schemas.openxmlformats.org/officeDocument/2006/relationships/hyperlink" Target="mailto:hecc.absteam@hecc.oregon.gov" TargetMode="External"/><Relationship Id="rId33" Type="http://schemas.openxmlformats.org/officeDocument/2006/relationships/image" Target="media/image4.gif"/><Relationship Id="rId38" Type="http://schemas.openxmlformats.org/officeDocument/2006/relationships/image" Target="media/image9.gif"/><Relationship Id="rId59" Type="http://schemas.openxmlformats.org/officeDocument/2006/relationships/hyperlink" Target="http://www.casas.org/" TargetMode="External"/><Relationship Id="rId103" Type="http://schemas.openxmlformats.org/officeDocument/2006/relationships/hyperlink" Target="https://coabe.org" TargetMode="External"/><Relationship Id="rId108" Type="http://schemas.openxmlformats.org/officeDocument/2006/relationships/hyperlink" Target="https://lincs.ed.gov/program/building-opportunities-ielce" TargetMode="External"/><Relationship Id="rId124" Type="http://schemas.openxmlformats.org/officeDocument/2006/relationships/hyperlink" Target="https://nrsweb.org/policy-data/nrs-ta-guide" TargetMode="External"/><Relationship Id="rId129" Type="http://schemas.openxmlformats.org/officeDocument/2006/relationships/hyperlink" Target="http://www.worlded.org" TargetMode="External"/><Relationship Id="rId54" Type="http://schemas.openxmlformats.org/officeDocument/2006/relationships/hyperlink" Target="mailto:hecc.absteam@hecc.oregon.gov" TargetMode="External"/><Relationship Id="rId70" Type="http://schemas.openxmlformats.org/officeDocument/2006/relationships/hyperlink" Target="http://training.casas.org" TargetMode="External"/><Relationship Id="rId75" Type="http://schemas.openxmlformats.org/officeDocument/2006/relationships/hyperlink" Target="mailto:ashley.garrigan@hecc.oregon.gov" TargetMode="External"/><Relationship Id="rId91" Type="http://schemas.openxmlformats.org/officeDocument/2006/relationships/hyperlink" Target="http://training.casas.org" TargetMode="External"/><Relationship Id="rId96" Type="http://schemas.openxmlformats.org/officeDocument/2006/relationships/hyperlink" Target="https://lincs.ed.gov/professional-development/resource-collections" TargetMode="External"/><Relationship Id="rId14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hyperlink" Target="https://www.federalregister.gov/documents/2024/02/23/2024-03278/workforce-innovation-and-opportunity-act-effectiveness-in-serving-employers-performance-indicator" TargetMode="External"/><Relationship Id="rId49" Type="http://schemas.openxmlformats.org/officeDocument/2006/relationships/hyperlink" Target="https://www.casas.org/training-and-support" TargetMode="External"/><Relationship Id="rId114" Type="http://schemas.openxmlformats.org/officeDocument/2006/relationships/hyperlink" Target="http://naasln.org" TargetMode="External"/><Relationship Id="rId119" Type="http://schemas.openxmlformats.org/officeDocument/2006/relationships/hyperlink" Target="http://digitalliteracyassessment.org/index.php" TargetMode="External"/><Relationship Id="rId44" Type="http://schemas.openxmlformats.org/officeDocument/2006/relationships/hyperlink" Target="http://www.casas.org/" TargetMode="External"/><Relationship Id="rId60" Type="http://schemas.openxmlformats.org/officeDocument/2006/relationships/hyperlink" Target="http://www.casas.org/" TargetMode="External"/><Relationship Id="rId65" Type="http://schemas.openxmlformats.org/officeDocument/2006/relationships/hyperlink" Target="mailto:hecc.absteam@hecc.oregon.gov" TargetMode="External"/><Relationship Id="rId81" Type="http://schemas.openxmlformats.org/officeDocument/2006/relationships/hyperlink" Target="https://www.oregon.gov/workforceboard/about/Documents/Meeting%20Materials/2026%20Meetings/01.%20January/2024-2028%20WIOA%20State%20Combined%20Plan.pdf" TargetMode="External"/><Relationship Id="rId86" Type="http://schemas.openxmlformats.org/officeDocument/2006/relationships/hyperlink" Target="https://ecfr.federalregister.gov" TargetMode="External"/><Relationship Id="rId130" Type="http://schemas.openxmlformats.org/officeDocument/2006/relationships/hyperlink" Target="https://www.nationalskillscoalition.org" TargetMode="External"/><Relationship Id="rId135" Type="http://schemas.openxmlformats.org/officeDocument/2006/relationships/hyperlink" Target="https://www.wioainoregon.org" TargetMode="External"/><Relationship Id="rId13" Type="http://schemas.openxmlformats.org/officeDocument/2006/relationships/hyperlink" Target="mailto:ashley.garrigan@hecc.oregon.gov" TargetMode="External"/><Relationship Id="rId18" Type="http://schemas.openxmlformats.org/officeDocument/2006/relationships/hyperlink" Target="https://www.oregon.gov/highered/about/community-colleges-workforce-development/pages/abs-resources.aspx" TargetMode="External"/><Relationship Id="rId39" Type="http://schemas.openxmlformats.org/officeDocument/2006/relationships/image" Target="media/image10.gif"/><Relationship Id="rId109" Type="http://schemas.openxmlformats.org/officeDocument/2006/relationships/hyperlink" Target="https://ies.ed.gov" TargetMode="External"/><Relationship Id="rId34" Type="http://schemas.openxmlformats.org/officeDocument/2006/relationships/image" Target="media/image5.gif"/><Relationship Id="rId50" Type="http://schemas.openxmlformats.org/officeDocument/2006/relationships/hyperlink" Target="https://docs.google.com/spreadsheets/d/1qegwRvnznA_-I-f3c4MSDsbItlwY7mSChhZNvsx--8U/edit?usp=sharing" TargetMode="External"/><Relationship Id="rId55" Type="http://schemas.openxmlformats.org/officeDocument/2006/relationships/image" Target="media/image11.png"/><Relationship Id="rId76" Type="http://schemas.openxmlformats.org/officeDocument/2006/relationships/image" Target="media/image15.emf"/><Relationship Id="rId97" Type="http://schemas.openxmlformats.org/officeDocument/2006/relationships/hyperlink" Target="https://lincs.ed.gov/professional-development/resource-collections" TargetMode="External"/><Relationship Id="rId104" Type="http://schemas.openxmlformats.org/officeDocument/2006/relationships/hyperlink" Target="https://caalusa.com" TargetMode="External"/><Relationship Id="rId120" Type="http://schemas.openxmlformats.org/officeDocument/2006/relationships/hyperlink" Target="http://www.ortesol.org" TargetMode="External"/><Relationship Id="rId125" Type="http://schemas.openxmlformats.org/officeDocument/2006/relationships/hyperlink" Target="https://lincs.ed.gov/state-resources/federal-initiatives/teacher-effectiveness" TargetMode="External"/><Relationship Id="rId141"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mailto:hecc.absteam@hecc.oregon.gov" TargetMode="External"/><Relationship Id="rId92" Type="http://schemas.openxmlformats.org/officeDocument/2006/relationships/hyperlink" Target="https://www.casas.org/training-and-support/casas-peer-communities/california-adult-education-accountability-and-assessment"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eader" Target="header3.xml"/><Relationship Id="rId40" Type="http://schemas.openxmlformats.org/officeDocument/2006/relationships/hyperlink" Target="https://www.ecfr.gov/current/title-34/part-463/section-463.20" TargetMode="External"/><Relationship Id="rId45" Type="http://schemas.openxmlformats.org/officeDocument/2006/relationships/hyperlink" Target="http://www.casas.org/" TargetMode="External"/><Relationship Id="rId66" Type="http://schemas.openxmlformats.org/officeDocument/2006/relationships/hyperlink" Target="mailto:hecc.absteam@hecc.oregon.gov" TargetMode="External"/><Relationship Id="rId87" Type="http://schemas.openxmlformats.org/officeDocument/2006/relationships/hyperlink" Target="https://www2.ed.gov/policy/fund/guid/uniform-guidance/index.html" TargetMode="External"/><Relationship Id="rId110" Type="http://schemas.openxmlformats.org/officeDocument/2006/relationships/hyperlink" Target="http://www.cal.org/aea/bp" TargetMode="External"/><Relationship Id="rId115" Type="http://schemas.openxmlformats.org/officeDocument/2006/relationships/hyperlink" Target="http://www.familieslearning.org" TargetMode="External"/><Relationship Id="rId131" Type="http://schemas.openxmlformats.org/officeDocument/2006/relationships/hyperlink" Target="https://www.oregon.gov/WorkforceBoard/Pages/Home.aspx" TargetMode="External"/><Relationship Id="rId136" Type="http://schemas.openxmlformats.org/officeDocument/2006/relationships/hyperlink" Target="https://www.workforcegps.org" TargetMode="External"/><Relationship Id="rId61" Type="http://schemas.openxmlformats.org/officeDocument/2006/relationships/hyperlink" Target="http://www.casas.org/" TargetMode="External"/><Relationship Id="rId82" Type="http://schemas.openxmlformats.org/officeDocument/2006/relationships/hyperlink" Target="https://www.oregon.gov/workforceboard/workforcesystem/Pages/Local%20Workforce%20Development%20Boards.aspx" TargetMode="External"/><Relationship Id="rId19" Type="http://schemas.openxmlformats.org/officeDocument/2006/relationships/hyperlink" Target="https://www.oregon.gov/highered/about/community-colleges-workforce-development/Pages/ABS-professional-development.aspx" TargetMode="External"/><Relationship Id="rId14" Type="http://schemas.openxmlformats.org/officeDocument/2006/relationships/hyperlink" Target="mailto:kelly.zinck@hecc.oregon.gov" TargetMode="External"/><Relationship Id="rId30" Type="http://schemas.openxmlformats.org/officeDocument/2006/relationships/hyperlink" Target="https://www2.ed.gov/policy/adulted/guid/memoranda.html" TargetMode="External"/><Relationship Id="rId35" Type="http://schemas.openxmlformats.org/officeDocument/2006/relationships/image" Target="media/image6.gif"/><Relationship Id="rId56" Type="http://schemas.openxmlformats.org/officeDocument/2006/relationships/hyperlink" Target="mailto:hecc.absteam@hecc.oregon.gov" TargetMode="External"/><Relationship Id="rId77" Type="http://schemas.openxmlformats.org/officeDocument/2006/relationships/hyperlink" Target="http://www.nrsweb.org" TargetMode="External"/><Relationship Id="rId100" Type="http://schemas.openxmlformats.org/officeDocument/2006/relationships/hyperlink" Target="https://lincs.ed.gov/programs/acp" TargetMode="External"/><Relationship Id="rId105" Type="http://schemas.openxmlformats.org/officeDocument/2006/relationships/hyperlink" Target="https://lincs.ed.gov" TargetMode="External"/><Relationship Id="rId126" Type="http://schemas.openxmlformats.org/officeDocument/2006/relationships/hyperlink" Target="https://www.uscis.gov/citizenship" TargetMode="External"/><Relationship Id="rId8" Type="http://schemas.openxmlformats.org/officeDocument/2006/relationships/webSettings" Target="webSettings.xml"/><Relationship Id="rId51" Type="http://schemas.openxmlformats.org/officeDocument/2006/relationships/hyperlink" Target="https://www.oregon.gov/highered/institutions-programs/ccwd/Pages/ABS-prof-development.aspx" TargetMode="External"/><Relationship Id="rId72" Type="http://schemas.openxmlformats.org/officeDocument/2006/relationships/hyperlink" Target="http://training.casas.org" TargetMode="External"/><Relationship Id="rId93" Type="http://schemas.openxmlformats.org/officeDocument/2006/relationships/hyperlink" Target="https://nrsweb.org/resource/nrs-guidelines" TargetMode="External"/><Relationship Id="rId98" Type="http://schemas.openxmlformats.org/officeDocument/2006/relationships/hyperlink" Target="https://gcc02.safelinks.protection.outlook.com/?url=https%3A%2F%2Flincs.ed.gov%2Ffederal-initiatives%2Fsia&amp;data=05%7C02%7CTamyra.Freeman%40hecc.oregon.gov%7Cc7e97e320de14a022e9f08dec0044a37%7Caa3f6932fa7c47b4a0cea598cad161cf%7C0%7C0%7C639159321824697259%7CUnknown%7CTWFpbGZsb3d8eyJFbXB0eU1hcGkiOnRydWUsIlYiOiIwLjAuMDAwMCIsIlAiOiJXaW4zMiIsIkFOIjoiTWFpbCIsIldUIjoyfQ%3D%3D%7C0%7C%7C%7C&amp;sdata=tMm5rWs3mQ8Xmwql7IVnYAh838eNMHCfY6fFVOdWL8Q%3D&amp;reserved=0" TargetMode="External"/><Relationship Id="rId121" Type="http://schemas.openxmlformats.org/officeDocument/2006/relationships/hyperlink" Target="http://www.proliteracy.org"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nrsweb.org/training-ta/online-courses" TargetMode="External"/><Relationship Id="rId67" Type="http://schemas.openxmlformats.org/officeDocument/2006/relationships/image" Target="media/image12.png"/><Relationship Id="rId116" Type="http://schemas.openxmlformats.org/officeDocument/2006/relationships/hyperlink" Target="http://www.collegetransition.org/home" TargetMode="External"/><Relationship Id="rId137" Type="http://schemas.openxmlformats.org/officeDocument/2006/relationships/footer" Target="footer4.xml"/><Relationship Id="rId20" Type="http://schemas.openxmlformats.org/officeDocument/2006/relationships/header" Target="header1.xml"/><Relationship Id="rId41" Type="http://schemas.openxmlformats.org/officeDocument/2006/relationships/hyperlink" Target="http://www.casas.org/" TargetMode="External"/><Relationship Id="rId62" Type="http://schemas.openxmlformats.org/officeDocument/2006/relationships/hyperlink" Target="http://www.casas.org" TargetMode="External"/><Relationship Id="rId83" Type="http://schemas.openxmlformats.org/officeDocument/2006/relationships/hyperlink" Target="https://www.oregon.gov/das/Financial/Acctng/Pages/Travel.aspx" TargetMode="External"/><Relationship Id="rId88" Type="http://schemas.openxmlformats.org/officeDocument/2006/relationships/hyperlink" Target="https://www.doleta.gov/wioa/eta_default.cfm" TargetMode="External"/><Relationship Id="rId111" Type="http://schemas.openxmlformats.org/officeDocument/2006/relationships/hyperlink" Target="https://www.clasp.org/publications/report/brief/integrated-education-training-iet-defined" TargetMode="External"/><Relationship Id="rId132" Type="http://schemas.openxmlformats.org/officeDocument/2006/relationships/hyperlink" Target="https://oregonworkforcepartnership.org" TargetMode="External"/><Relationship Id="rId15" Type="http://schemas.openxmlformats.org/officeDocument/2006/relationships/hyperlink" Target="mailto:stephanie.white@hecc.oregon.gov" TargetMode="External"/><Relationship Id="rId36" Type="http://schemas.openxmlformats.org/officeDocument/2006/relationships/image" Target="media/image7.gif"/><Relationship Id="rId57" Type="http://schemas.openxmlformats.org/officeDocument/2006/relationships/hyperlink" Target="http://www.casas.org/" TargetMode="External"/><Relationship Id="rId106" Type="http://schemas.openxmlformats.org/officeDocument/2006/relationships/hyperlink" Target="https://lincs.ed.gov/state-resources/federal-initiatives/ell-u" TargetMode="External"/><Relationship Id="rId127" Type="http://schemas.openxmlformats.org/officeDocument/2006/relationships/hyperlink" Target="https://welearn.org" TargetMode="External"/><Relationship Id="rId10" Type="http://schemas.openxmlformats.org/officeDocument/2006/relationships/endnotes" Target="endnotes.xml"/><Relationship Id="rId31" Type="http://schemas.openxmlformats.org/officeDocument/2006/relationships/hyperlink" Target="https://nrs.ed.gov/" TargetMode="External"/><Relationship Id="rId52" Type="http://schemas.openxmlformats.org/officeDocument/2006/relationships/hyperlink" Target="https://lincs.ed.gov/publications/pdf/CCRStandardsAdultEd.pdf" TargetMode="External"/><Relationship Id="rId73" Type="http://schemas.openxmlformats.org/officeDocument/2006/relationships/hyperlink" Target="mailto:hecc.absteam@hecc.oregon.gov" TargetMode="External"/><Relationship Id="rId78" Type="http://schemas.openxmlformats.org/officeDocument/2006/relationships/hyperlink" Target="http://www.nrsweb.org" TargetMode="External"/><Relationship Id="rId94" Type="http://schemas.openxmlformats.org/officeDocument/2006/relationships/hyperlink" Target="https://nrsweb.org/training-ta" TargetMode="External"/><Relationship Id="rId99" Type="http://schemas.openxmlformats.org/officeDocument/2006/relationships/hyperlink" Target="https://lincs.ed.gov/resource-collection" TargetMode="External"/><Relationship Id="rId101" Type="http://schemas.openxmlformats.org/officeDocument/2006/relationships/hyperlink" Target="https://careerpathways.workforcegps.org" TargetMode="External"/><Relationship Id="rId122" Type="http://schemas.openxmlformats.org/officeDocument/2006/relationships/hyperlink" Target="https://nationalreentryresourcecenter.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efla.ed.gov/media/47/download" TargetMode="External"/><Relationship Id="rId47" Type="http://schemas.openxmlformats.org/officeDocument/2006/relationships/hyperlink" Target="https://nrsweb.org/training-ta/online-courses" TargetMode="External"/><Relationship Id="rId68" Type="http://schemas.openxmlformats.org/officeDocument/2006/relationships/image" Target="media/image13.png"/><Relationship Id="rId89" Type="http://schemas.openxmlformats.org/officeDocument/2006/relationships/hyperlink" Target="https://studentprivacy.ed.gov/ferpa" TargetMode="External"/><Relationship Id="rId112" Type="http://schemas.openxmlformats.org/officeDocument/2006/relationships/hyperlink" Target="https://lincs.ed.gov/programs/learningtoachieve/materials.html" TargetMode="External"/><Relationship Id="rId133" Type="http://schemas.openxmlformats.org/officeDocument/2006/relationships/hyperlink" Target="https://www.qualityinfo.org" TargetMode="External"/><Relationship Id="rId16" Type="http://schemas.openxmlformats.org/officeDocument/2006/relationships/hyperlink" Target="mailto:tamyra.freeman@hecc.oregon.gov%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DEBEF92F-19F6-4B25-868D-265ACB6E2CC0}">
    <t:Anchor>
      <t:Comment id="2028341411"/>
    </t:Anchor>
    <t:History>
      <t:Event id="{C0C895B7-FAEC-4827-BB1E-1A1845EA28D3}" time="2026-05-19T16:50:19.456Z">
        <t:Attribution userId="S::kelly.zinck@hecc.oregon.gov::7f49c111-aff3-4292-aadb-9ee0c3661f3a" userProvider="AD" userName="ZINCK Kelly * HECC"/>
        <t:Anchor>
          <t:Comment id="2028341411"/>
        </t:Anchor>
        <t:Create/>
      </t:Event>
      <t:Event id="{2EFE9DC5-95D5-4BB1-A715-DFE843FDE56E}" time="2026-05-19T16:50:19.456Z">
        <t:Attribution userId="S::kelly.zinck@hecc.oregon.gov::7f49c111-aff3-4292-aadb-9ee0c3661f3a" userProvider="AD" userName="ZINCK Kelly * HECC"/>
        <t:Anchor>
          <t:Comment id="2028341411"/>
        </t:Anchor>
        <t:Assign userId="S::Kelly.Zinck@hecc.oregon.gov::7f49c111-aff3-4292-aadb-9ee0c3661f3a" userProvider="AD" userName="ZINCK Kelly * HECC"/>
      </t:Event>
      <t:Event id="{00B2D7F8-656B-467A-8F12-F0151E9A023C}" time="2026-05-19T16:50:19.456Z">
        <t:Attribution userId="S::kelly.zinck@hecc.oregon.gov::7f49c111-aff3-4292-aadb-9ee0c3661f3a" userProvider="AD" userName="ZINCK Kelly * HECC"/>
        <t:Anchor>
          <t:Comment id="2028341411"/>
        </t:Anchor>
        <t:SetTitle title="@ZINCK Kelly * HECC Add the Adjusted Target..."/>
      </t:Event>
    </t:History>
  </t:Task>
  <t:Task id="{0937D19D-7242-4EFA-8D76-5170C26B4999}">
    <t:Anchor>
      <t:Comment id="605277700"/>
    </t:Anchor>
    <t:History>
      <t:Event id="{05256145-651C-41EC-A3BE-BD374C784D82}" time="2026-05-19T16:49:56.66Z">
        <t:Attribution userId="S::kelly.zinck@hecc.oregon.gov::7f49c111-aff3-4292-aadb-9ee0c3661f3a" userProvider="AD" userName="ZINCK Kelly * HECC"/>
        <t:Anchor>
          <t:Comment id="605277700"/>
        </t:Anchor>
        <t:Create/>
      </t:Event>
      <t:Event id="{48B1E3B0-4D64-453A-A15F-FE1855762AFA}" time="2026-05-19T16:49:56.66Z">
        <t:Attribution userId="S::kelly.zinck@hecc.oregon.gov::7f49c111-aff3-4292-aadb-9ee0c3661f3a" userProvider="AD" userName="ZINCK Kelly * HECC"/>
        <t:Anchor>
          <t:Comment id="605277700"/>
        </t:Anchor>
        <t:Assign userId="S::Kelly.Zinck@hecc.oregon.gov::7f49c111-aff3-4292-aadb-9ee0c3661f3a" userProvider="AD" userName="ZINCK Kelly * HECC"/>
      </t:Event>
      <t:Event id="{3BC6F2EB-3A10-4030-91C3-35FC2DFDA6F4}" time="2026-05-19T16:49:56.66Z">
        <t:Attribution userId="S::kelly.zinck@hecc.oregon.gov::7f49c111-aff3-4292-aadb-9ee0c3661f3a" userProvider="AD" userName="ZINCK Kelly * HECC"/>
        <t:Anchor>
          <t:Comment id="605277700"/>
        </t:Anchor>
        <t:SetTitle title="@ZINCK Kelly * HECC Add the Adjusted Target..."/>
      </t:Event>
    </t:History>
  </t:Task>
  <t:Task id="{1E873AD1-54E5-4458-A849-0B5B99D05B74}">
    <t:Anchor>
      <t:Comment id="1728316803"/>
    </t:Anchor>
    <t:History>
      <t:Event id="{C4C4DA3C-3F67-4B70-94CE-757568960709}" time="2026-06-16T17:43:55.389Z">
        <t:Attribution userId="S::Ashley.Garrigan@hecc.oregon.gov::f1e92b01-3280-492d-b2ac-6e1b737fa17f" userProvider="AD" userName="GARRIGAN Ashley * HECC"/>
        <t:Anchor>
          <t:Comment id="1728316803"/>
        </t:Anchor>
        <t:Create/>
      </t:Event>
      <t:Event id="{224CC37C-86E3-4DAC-BDBA-B94FAF29E1F4}" time="2026-06-16T17:43:55.389Z">
        <t:Attribution userId="S::Ashley.Garrigan@hecc.oregon.gov::f1e92b01-3280-492d-b2ac-6e1b737fa17f" userProvider="AD" userName="GARRIGAN Ashley * HECC"/>
        <t:Anchor>
          <t:Comment id="1728316803"/>
        </t:Anchor>
        <t:Assign userId="S::Kelly.Zinck@hecc.oregon.gov::7f49c111-aff3-4292-aadb-9ee0c3661f3a" userProvider="AD" userName="ZINCK Kelly * HECC"/>
      </t:Event>
      <t:Event id="{EC365FF7-6348-4FD1-9C78-C9EEE8680A31}" time="2026-06-16T17:43:55.389Z">
        <t:Attribution userId="S::Ashley.Garrigan@hecc.oregon.gov::f1e92b01-3280-492d-b2ac-6e1b737fa17f" userProvider="AD" userName="GARRIGAN Ashley * HECC"/>
        <t:Anchor>
          <t:Comment id="1728316803"/>
        </t:Anchor>
        <t:SetTitle title="@ZINCK Kelly * HECC Here’s where to add the updated languag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58D9315C13C144887D30074C0AFE6A" ma:contentTypeVersion="5" ma:contentTypeDescription="Create a new document." ma:contentTypeScope="" ma:versionID="583448ce2311809cc28112eb7ed383df">
  <xsd:schema xmlns:xsd="http://www.w3.org/2001/XMLSchema" xmlns:xs="http://www.w3.org/2001/XMLSchema" xmlns:p="http://schemas.microsoft.com/office/2006/metadata/properties" xmlns:ns1="http://schemas.microsoft.com/sharepoint/v3" xmlns:ns2="e877a115-f35f-4608-970e-08dfb7717e06" targetNamespace="http://schemas.microsoft.com/office/2006/metadata/properties" ma:root="true" ma:fieldsID="2aa01261fa3600413117f89c2f77c95e" ns1:_="" ns2:_="">
    <xsd:import namespace="http://schemas.microsoft.com/sharepoint/v3"/>
    <xsd:import namespace="e877a115-f35f-4608-970e-08dfb7717e0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77a115-f35f-4608-970e-08dfb7717e06"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2A7938F-9713-4032-BD38-CE661A377B84}"/>
</file>

<file path=customXml/itemProps2.xml><?xml version="1.0" encoding="utf-8"?>
<ds:datastoreItem xmlns:ds="http://schemas.openxmlformats.org/officeDocument/2006/customXml" ds:itemID="{292AA2AD-CA15-4C91-871B-349AC41B987E}">
  <ds:schemaRefs>
    <ds:schemaRef ds:uri="http://schemas.microsoft.com/sharepoint/v3/contenttype/forms"/>
  </ds:schemaRefs>
</ds:datastoreItem>
</file>

<file path=customXml/itemProps3.xml><?xml version="1.0" encoding="utf-8"?>
<ds:datastoreItem xmlns:ds="http://schemas.openxmlformats.org/officeDocument/2006/customXml" ds:itemID="{11D817BA-BBFD-473F-A552-36420FB4E6BA}">
  <ds:schemaRefs>
    <ds:schemaRef ds:uri="http://schemas.openxmlformats.org/officeDocument/2006/bibliography"/>
  </ds:schemaRefs>
</ds:datastoreItem>
</file>

<file path=customXml/itemProps4.xml><?xml version="1.0" encoding="utf-8"?>
<ds:datastoreItem xmlns:ds="http://schemas.openxmlformats.org/officeDocument/2006/customXml" ds:itemID="{AD3DE0FF-1416-4F7B-92D4-272FD64E3A4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9b73270-2993-4076-be47-9c78f42a1e8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113</Pages>
  <Words>31108</Words>
  <Characters>158653</Characters>
  <Application>Microsoft Office Word</Application>
  <DocSecurity>0</DocSecurity>
  <Lines>3525</Lines>
  <Paragraphs>1031</Paragraphs>
  <ScaleCrop>false</ScaleCrop>
  <Company/>
  <LinksUpToDate>false</LinksUpToDate>
  <CharactersWithSpaces>188730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Tamyra * HECC</dc:creator>
  <cp:keywords/>
  <cp:lastModifiedBy>FREEMAN Tamyra * HECC</cp:lastModifiedBy>
  <cp:revision>5</cp:revision>
  <dcterms:created xsi:type="dcterms:W3CDTF">2026-06-30T18:14:00Z</dcterms:created>
  <dcterms:modified xsi:type="dcterms:W3CDTF">2026-07-01T20:19:00Z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2024-06-21T14:39:52Z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b5e3318c-9d8f-433f-9035-da5ded76c625</vt:lpwstr>
  </property>
  <property fmtid="{D5CDD505-2E9C-101B-9397-08002B2CF9AE}" pid="8" name="MSIP_Label_09b73270-2993-4076-be47-9c78f42a1e84_ContentBits">
    <vt:lpwstr>0</vt:lpwstr>
  </property>
  <property fmtid="{D5CDD505-2E9C-101B-9397-08002B2CF9AE}" pid="9" name="GrammarlyDocumentId">
    <vt:lpwstr>5973df2cd502520baff12018faba719547ff7052d18cf62506c6fc668aa9b9d0</vt:lpwstr>
  </property>
  <property fmtid="{D5CDD505-2E9C-101B-9397-08002B2CF9AE}" pid="10" name="ContentTypeId">
    <vt:lpwstr>0x0101005B58D9315C13C144887D30074C0AFE6A</vt:lpwstr>
  </property>
</Properties>
</file>