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191E4" w14:textId="77777777" w:rsidR="00C16E68" w:rsidRDefault="00C16E68"/>
    <w:p w14:paraId="26B9CE0D" w14:textId="50514A13" w:rsidR="00C16E68" w:rsidRDefault="00264351">
      <w:pPr>
        <w:jc w:val="center"/>
        <w:rPr>
          <w:b/>
          <w:sz w:val="28"/>
          <w:szCs w:val="28"/>
        </w:rPr>
      </w:pPr>
      <w:r>
        <w:rPr>
          <w:b/>
          <w:sz w:val="28"/>
          <w:szCs w:val="28"/>
        </w:rPr>
        <w:t>Work</w:t>
      </w:r>
      <w:r w:rsidR="0099466D">
        <w:rPr>
          <w:b/>
          <w:sz w:val="28"/>
          <w:szCs w:val="28"/>
        </w:rPr>
        <w:t xml:space="preserve"> </w:t>
      </w:r>
      <w:r>
        <w:rPr>
          <w:b/>
          <w:sz w:val="28"/>
          <w:szCs w:val="28"/>
        </w:rPr>
        <w:t>Group: Marine Spatial Planning</w:t>
      </w:r>
    </w:p>
    <w:p w14:paraId="41229048" w14:textId="77777777" w:rsidR="00C16E68" w:rsidRDefault="00264351">
      <w:pPr>
        <w:jc w:val="center"/>
        <w:rPr>
          <w:b/>
          <w:sz w:val="28"/>
          <w:szCs w:val="28"/>
        </w:rPr>
      </w:pPr>
      <w:r>
        <w:rPr>
          <w:b/>
          <w:sz w:val="28"/>
          <w:szCs w:val="28"/>
        </w:rPr>
        <w:t>Possible Recommendations</w:t>
      </w:r>
    </w:p>
    <w:p w14:paraId="6605DF8A" w14:textId="50E84999" w:rsidR="00C16E68" w:rsidRDefault="00264351">
      <w:pPr>
        <w:jc w:val="center"/>
        <w:rPr>
          <w:b/>
          <w:sz w:val="28"/>
          <w:szCs w:val="28"/>
        </w:rPr>
      </w:pPr>
      <w:r>
        <w:rPr>
          <w:b/>
          <w:sz w:val="28"/>
          <w:szCs w:val="28"/>
        </w:rPr>
        <w:t xml:space="preserve">Last Updated </w:t>
      </w:r>
      <w:r w:rsidR="00FB0453">
        <w:rPr>
          <w:b/>
          <w:sz w:val="28"/>
          <w:szCs w:val="28"/>
        </w:rPr>
        <w:t>3/10</w:t>
      </w:r>
      <w:r>
        <w:rPr>
          <w:b/>
          <w:sz w:val="28"/>
          <w:szCs w:val="28"/>
        </w:rPr>
        <w:t>/25</w:t>
      </w:r>
    </w:p>
    <w:p w14:paraId="0A5D929E" w14:textId="77777777" w:rsidR="00C16E68" w:rsidRDefault="00C16E68">
      <w:pPr>
        <w:jc w:val="center"/>
        <w:rPr>
          <w:b/>
          <w:sz w:val="28"/>
          <w:szCs w:val="28"/>
        </w:rPr>
      </w:pPr>
    </w:p>
    <w:p w14:paraId="42CE76F0" w14:textId="77777777" w:rsidR="00C16E68" w:rsidRDefault="00264351">
      <w:pPr>
        <w:rPr>
          <w:sz w:val="24"/>
          <w:szCs w:val="24"/>
          <w:u w:val="single"/>
        </w:rPr>
      </w:pPr>
      <w:r>
        <w:rPr>
          <w:b/>
          <w:sz w:val="24"/>
          <w:szCs w:val="24"/>
          <w:u w:val="single"/>
        </w:rPr>
        <w:t>Context</w:t>
      </w:r>
    </w:p>
    <w:p w14:paraId="102EBC5A" w14:textId="7A5C5509" w:rsidR="00FD01A4" w:rsidRDefault="00FD01A4">
      <w:pPr>
        <w:rPr>
          <w:sz w:val="24"/>
          <w:szCs w:val="24"/>
        </w:rPr>
      </w:pPr>
      <w:r>
        <w:rPr>
          <w:sz w:val="24"/>
          <w:szCs w:val="24"/>
        </w:rPr>
        <w:t xml:space="preserve">The BOEM-led offshore wind siting process from 2019-2024 incorporated many different interests, perspectives, and sources of information available at the time to identify two Wind Energy Areas in the southern portion offshore Oregon. The process ultimately failed to proceed to leasing, for reasons including loss of developer interest due </w:t>
      </w:r>
      <w:r w:rsidR="0099466D">
        <w:rPr>
          <w:sz w:val="24"/>
          <w:szCs w:val="24"/>
        </w:rPr>
        <w:t xml:space="preserve">to </w:t>
      </w:r>
      <w:r>
        <w:rPr>
          <w:sz w:val="24"/>
          <w:szCs w:val="24"/>
        </w:rPr>
        <w:t xml:space="preserve">perceived risks/barriers, strong concern from affected parties in Oregon related to the areas selected, and a recognized need by the legislature and Governor that the state should complete a Roadmap process before proceeding. </w:t>
      </w:r>
    </w:p>
    <w:p w14:paraId="519EA55C" w14:textId="77777777" w:rsidR="00FD01A4" w:rsidRDefault="00FD01A4">
      <w:pPr>
        <w:rPr>
          <w:sz w:val="24"/>
          <w:szCs w:val="24"/>
        </w:rPr>
      </w:pPr>
    </w:p>
    <w:p w14:paraId="05B5B03B" w14:textId="5C97D495" w:rsidR="00C16E68" w:rsidRDefault="00FD01A4">
      <w:pPr>
        <w:rPr>
          <w:sz w:val="24"/>
          <w:szCs w:val="24"/>
        </w:rPr>
      </w:pPr>
      <w:r>
        <w:rPr>
          <w:sz w:val="24"/>
          <w:szCs w:val="24"/>
        </w:rPr>
        <w:t xml:space="preserve">The Offshore Wind Energy Roadmap Roundtable has identified ways in which the BOEM siting process could have more completely included or weighed specific information important to Oregon resources and uses of concern into their spatial planning model. The Roundtable sees an opportunity to pursue a state-led spatial planning process for federal waters that could incorporate new information, widen the scope of site suitability analysis to the entire Oregon coast, integrate offshore and onshore suitability considerations, and identify early in the process those areas that would face potential or likely inconsistency with state enforceable policies later in the permitting process. </w:t>
      </w:r>
      <w:r w:rsidR="00FE77B6">
        <w:rPr>
          <w:sz w:val="24"/>
          <w:szCs w:val="24"/>
        </w:rPr>
        <w:t xml:space="preserve">The benefits of this effort would be greater regulatory certainty for developers and a stronger emphasis on avoidance as a means to address effects of concern to Oregon communities.  </w:t>
      </w:r>
    </w:p>
    <w:p w14:paraId="4CBB1511" w14:textId="77777777" w:rsidR="00FD01A4" w:rsidRDefault="00FD01A4">
      <w:pPr>
        <w:rPr>
          <w:sz w:val="24"/>
          <w:szCs w:val="24"/>
        </w:rPr>
      </w:pPr>
    </w:p>
    <w:p w14:paraId="26366F26" w14:textId="77777777" w:rsidR="00C16E68" w:rsidRDefault="00264351">
      <w:pPr>
        <w:rPr>
          <w:b/>
          <w:sz w:val="24"/>
          <w:szCs w:val="24"/>
          <w:u w:val="single"/>
        </w:rPr>
      </w:pPr>
      <w:r>
        <w:rPr>
          <w:b/>
          <w:sz w:val="24"/>
          <w:szCs w:val="24"/>
          <w:u w:val="single"/>
        </w:rPr>
        <w:t>Possible Recommendations</w:t>
      </w:r>
    </w:p>
    <w:p w14:paraId="1152C2A0" w14:textId="77777777" w:rsidR="00C16E68" w:rsidRDefault="00264351">
      <w:pPr>
        <w:rPr>
          <w:sz w:val="24"/>
          <w:szCs w:val="24"/>
        </w:rPr>
      </w:pPr>
      <w:r>
        <w:rPr>
          <w:sz w:val="24"/>
          <w:szCs w:val="24"/>
        </w:rPr>
        <w:t>DLCD should convene, guide, and/or drive an effort to update marine spatial planning information for the entire Oregon coast, inclusive of:</w:t>
      </w:r>
    </w:p>
    <w:p w14:paraId="2F0121FC" w14:textId="77777777" w:rsidR="00C16E68" w:rsidRDefault="00264351">
      <w:pPr>
        <w:numPr>
          <w:ilvl w:val="0"/>
          <w:numId w:val="2"/>
        </w:numPr>
        <w:rPr>
          <w:sz w:val="24"/>
          <w:szCs w:val="24"/>
        </w:rPr>
      </w:pPr>
      <w:r>
        <w:rPr>
          <w:sz w:val="24"/>
          <w:szCs w:val="24"/>
        </w:rPr>
        <w:t>Federal waters;</w:t>
      </w:r>
    </w:p>
    <w:p w14:paraId="59817A51" w14:textId="77777777" w:rsidR="00C16E68" w:rsidRDefault="00264351">
      <w:pPr>
        <w:numPr>
          <w:ilvl w:val="0"/>
          <w:numId w:val="2"/>
        </w:numPr>
        <w:rPr>
          <w:sz w:val="24"/>
          <w:szCs w:val="24"/>
        </w:rPr>
      </w:pPr>
      <w:r>
        <w:rPr>
          <w:sz w:val="24"/>
          <w:szCs w:val="24"/>
        </w:rPr>
        <w:t>The territorial sea; and</w:t>
      </w:r>
    </w:p>
    <w:p w14:paraId="365580C0" w14:textId="76B3721C" w:rsidR="00C16E68" w:rsidRDefault="00264351" w:rsidP="00A63AB3">
      <w:pPr>
        <w:numPr>
          <w:ilvl w:val="0"/>
          <w:numId w:val="2"/>
        </w:numPr>
        <w:rPr>
          <w:sz w:val="24"/>
          <w:szCs w:val="24"/>
        </w:rPr>
      </w:pPr>
      <w:r>
        <w:rPr>
          <w:sz w:val="24"/>
          <w:szCs w:val="24"/>
        </w:rPr>
        <w:t xml:space="preserve">Onshore and nearshore areas </w:t>
      </w:r>
      <w:r w:rsidR="00D40A7A">
        <w:rPr>
          <w:sz w:val="24"/>
          <w:szCs w:val="24"/>
        </w:rPr>
        <w:t xml:space="preserve">(e.g., for </w:t>
      </w:r>
      <w:r>
        <w:rPr>
          <w:sz w:val="24"/>
          <w:szCs w:val="24"/>
        </w:rPr>
        <w:t>infrastructure</w:t>
      </w:r>
      <w:r w:rsidR="00D40A7A">
        <w:rPr>
          <w:sz w:val="24"/>
          <w:szCs w:val="24"/>
        </w:rPr>
        <w:t xml:space="preserve">, </w:t>
      </w:r>
      <w:r>
        <w:rPr>
          <w:sz w:val="24"/>
          <w:szCs w:val="24"/>
        </w:rPr>
        <w:t>transmission</w:t>
      </w:r>
      <w:r w:rsidR="00D40A7A">
        <w:rPr>
          <w:sz w:val="24"/>
          <w:szCs w:val="24"/>
        </w:rPr>
        <w:t>, navigation or port utilization, habitat mitigation needs)</w:t>
      </w:r>
      <w:r w:rsidR="0099466D">
        <w:rPr>
          <w:sz w:val="24"/>
          <w:szCs w:val="24"/>
        </w:rPr>
        <w:t>.</w:t>
      </w:r>
      <w:r>
        <w:rPr>
          <w:sz w:val="24"/>
          <w:szCs w:val="24"/>
        </w:rPr>
        <w:t xml:space="preserve"> </w:t>
      </w:r>
    </w:p>
    <w:p w14:paraId="1449CC58" w14:textId="77777777" w:rsidR="00A63AB3" w:rsidRDefault="00A63AB3">
      <w:pPr>
        <w:rPr>
          <w:sz w:val="24"/>
          <w:szCs w:val="24"/>
        </w:rPr>
      </w:pPr>
    </w:p>
    <w:p w14:paraId="09391C98" w14:textId="07284C86" w:rsidR="00C16E68" w:rsidRDefault="00264351">
      <w:pPr>
        <w:rPr>
          <w:sz w:val="24"/>
          <w:szCs w:val="24"/>
        </w:rPr>
      </w:pPr>
      <w:r>
        <w:rPr>
          <w:sz w:val="24"/>
          <w:szCs w:val="24"/>
        </w:rPr>
        <w:t xml:space="preserve">Marine spatial planning should identify areas of the ocean where </w:t>
      </w:r>
      <w:r w:rsidR="0099466D">
        <w:rPr>
          <w:sz w:val="24"/>
          <w:szCs w:val="24"/>
        </w:rPr>
        <w:t>Floating Offshore Wind energy (</w:t>
      </w:r>
      <w:r>
        <w:rPr>
          <w:sz w:val="24"/>
          <w:szCs w:val="24"/>
        </w:rPr>
        <w:t>FOSW</w:t>
      </w:r>
      <w:r w:rsidR="0099466D">
        <w:rPr>
          <w:sz w:val="24"/>
          <w:szCs w:val="24"/>
        </w:rPr>
        <w:t>)</w:t>
      </w:r>
      <w:r>
        <w:rPr>
          <w:sz w:val="24"/>
          <w:szCs w:val="24"/>
        </w:rPr>
        <w:t xml:space="preserve"> turbines are A) less suitable/inconsistent with state policies goals/likely to complicate future permitting efforts, B) likely consistent with state policies </w:t>
      </w:r>
      <w:r>
        <w:rPr>
          <w:sz w:val="24"/>
          <w:szCs w:val="24"/>
        </w:rPr>
        <w:lastRenderedPageBreak/>
        <w:t xml:space="preserve">and goals, and C) potentially consistent based on meeting conditions and further review. </w:t>
      </w:r>
      <w:r w:rsidR="00A63AB3">
        <w:rPr>
          <w:sz w:val="24"/>
          <w:szCs w:val="24"/>
        </w:rPr>
        <w:t xml:space="preserve">An outcome of the effort would be to reveal areas </w:t>
      </w:r>
      <w:r w:rsidR="002815B4">
        <w:rPr>
          <w:sz w:val="24"/>
          <w:szCs w:val="24"/>
        </w:rPr>
        <w:t>that are</w:t>
      </w:r>
      <w:r w:rsidR="00A63AB3">
        <w:rPr>
          <w:sz w:val="24"/>
          <w:szCs w:val="24"/>
        </w:rPr>
        <w:t xml:space="preserve"> large enough for viable development and areas where development may be more challenging when accounting for applicable state standards or </w:t>
      </w:r>
      <w:r w:rsidR="002815B4">
        <w:rPr>
          <w:sz w:val="24"/>
          <w:szCs w:val="24"/>
        </w:rPr>
        <w:t xml:space="preserve">would </w:t>
      </w:r>
      <w:r w:rsidR="00A63AB3">
        <w:rPr>
          <w:sz w:val="24"/>
          <w:szCs w:val="24"/>
        </w:rPr>
        <w:t xml:space="preserve">require additional information. </w:t>
      </w:r>
      <w:r>
        <w:rPr>
          <w:sz w:val="24"/>
          <w:szCs w:val="24"/>
        </w:rPr>
        <w:t>BOEM retains leasing authority on the Outer Continental Shelf in federal waters</w:t>
      </w:r>
      <w:r w:rsidR="002815B4">
        <w:rPr>
          <w:sz w:val="24"/>
          <w:szCs w:val="24"/>
        </w:rPr>
        <w:t>, but information from the state regarding anticipated future constraints is an important input to BOEM risk-based decision-making</w:t>
      </w:r>
      <w:r>
        <w:rPr>
          <w:sz w:val="24"/>
          <w:szCs w:val="24"/>
        </w:rPr>
        <w:t>.</w:t>
      </w:r>
    </w:p>
    <w:p w14:paraId="6F0ABAB3" w14:textId="77777777" w:rsidR="00C16E68" w:rsidRDefault="00C16E68">
      <w:pPr>
        <w:rPr>
          <w:sz w:val="24"/>
          <w:szCs w:val="24"/>
        </w:rPr>
      </w:pPr>
    </w:p>
    <w:p w14:paraId="09A949CF" w14:textId="77777777" w:rsidR="00C16E68" w:rsidRDefault="00264351">
      <w:pPr>
        <w:rPr>
          <w:sz w:val="24"/>
          <w:szCs w:val="24"/>
        </w:rPr>
      </w:pPr>
      <w:r>
        <w:rPr>
          <w:sz w:val="24"/>
          <w:szCs w:val="24"/>
        </w:rPr>
        <w:t>Any marine spatial planning effort should be guided by goals articulated for the Roadmap overall, such as:</w:t>
      </w:r>
    </w:p>
    <w:p w14:paraId="3E814984" w14:textId="77777777" w:rsidR="00C16E68" w:rsidRDefault="00264351">
      <w:pPr>
        <w:numPr>
          <w:ilvl w:val="0"/>
          <w:numId w:val="4"/>
        </w:numPr>
        <w:rPr>
          <w:sz w:val="24"/>
          <w:szCs w:val="24"/>
        </w:rPr>
      </w:pPr>
      <w:r>
        <w:rPr>
          <w:sz w:val="24"/>
          <w:szCs w:val="24"/>
        </w:rPr>
        <w:t>Protection of existing ecosystems, cultural resources, and traditional ocean uses;</w:t>
      </w:r>
    </w:p>
    <w:p w14:paraId="00EE1317" w14:textId="36EDDB2C" w:rsidR="00C16E68" w:rsidRDefault="00264351">
      <w:pPr>
        <w:numPr>
          <w:ilvl w:val="0"/>
          <w:numId w:val="4"/>
        </w:numPr>
        <w:rPr>
          <w:sz w:val="24"/>
          <w:szCs w:val="24"/>
          <w:highlight w:val="yellow"/>
        </w:rPr>
      </w:pPr>
      <w:commentRangeStart w:id="0"/>
      <w:r>
        <w:rPr>
          <w:sz w:val="24"/>
          <w:szCs w:val="24"/>
          <w:highlight w:val="yellow"/>
        </w:rPr>
        <w:t xml:space="preserve">A larger buildout of turbines for X.X GW of energy; a moderate buildout of turbines for X GW of energy; or </w:t>
      </w:r>
      <w:r w:rsidR="0099466D">
        <w:rPr>
          <w:sz w:val="24"/>
          <w:szCs w:val="24"/>
          <w:highlight w:val="yellow"/>
        </w:rPr>
        <w:t>a</w:t>
      </w:r>
      <w:r>
        <w:rPr>
          <w:sz w:val="24"/>
          <w:szCs w:val="24"/>
          <w:highlight w:val="yellow"/>
        </w:rPr>
        <w:t xml:space="preserve"> smaller pilot of turbines for X GW or MW of energy; and</w:t>
      </w:r>
      <w:commentRangeEnd w:id="0"/>
      <w:r w:rsidR="0099466D">
        <w:rPr>
          <w:rStyle w:val="CommentReference"/>
        </w:rPr>
        <w:commentReference w:id="0"/>
      </w:r>
    </w:p>
    <w:p w14:paraId="485F0D6E" w14:textId="77777777" w:rsidR="00C16E68" w:rsidRDefault="00264351">
      <w:pPr>
        <w:numPr>
          <w:ilvl w:val="0"/>
          <w:numId w:val="4"/>
        </w:numPr>
        <w:rPr>
          <w:sz w:val="24"/>
          <w:szCs w:val="24"/>
        </w:rPr>
      </w:pPr>
      <w:r>
        <w:rPr>
          <w:sz w:val="24"/>
          <w:szCs w:val="24"/>
        </w:rPr>
        <w:t>Room to adapt as unanticipated information or needs arise.</w:t>
      </w:r>
    </w:p>
    <w:p w14:paraId="01931805" w14:textId="77777777" w:rsidR="00C16E68" w:rsidRDefault="00C16E68">
      <w:pPr>
        <w:rPr>
          <w:sz w:val="24"/>
          <w:szCs w:val="24"/>
        </w:rPr>
      </w:pPr>
    </w:p>
    <w:p w14:paraId="31297138" w14:textId="0D692903" w:rsidR="007B7CD0" w:rsidRDefault="007B7CD0">
      <w:pPr>
        <w:rPr>
          <w:sz w:val="24"/>
          <w:szCs w:val="24"/>
        </w:rPr>
      </w:pPr>
      <w:r w:rsidRPr="00A63AB3">
        <w:rPr>
          <w:sz w:val="24"/>
          <w:szCs w:val="24"/>
        </w:rPr>
        <w:t>A spatial planning effort may be combined with a process to update standards in Part Five of the Territorial Sea Plan</w:t>
      </w:r>
      <w:r>
        <w:rPr>
          <w:sz w:val="24"/>
          <w:szCs w:val="24"/>
        </w:rPr>
        <w:t>, which may include spatial standards that could be proactively projected into areas of federal waters within the state’s review jurisdiction</w:t>
      </w:r>
      <w:r w:rsidRPr="00A63AB3">
        <w:rPr>
          <w:sz w:val="24"/>
          <w:szCs w:val="24"/>
        </w:rPr>
        <w:t xml:space="preserve">. </w:t>
      </w:r>
      <w:r>
        <w:rPr>
          <w:sz w:val="24"/>
          <w:szCs w:val="24"/>
        </w:rPr>
        <w:t xml:space="preserve">Rather than constitute </w:t>
      </w:r>
      <w:r w:rsidR="0099466D">
        <w:rPr>
          <w:sz w:val="24"/>
          <w:szCs w:val="24"/>
        </w:rPr>
        <w:t xml:space="preserve">a </w:t>
      </w:r>
      <w:r>
        <w:rPr>
          <w:sz w:val="24"/>
          <w:szCs w:val="24"/>
        </w:rPr>
        <w:t xml:space="preserve">“zoning” process for federal waters, output of the marine spatial planning process may constitute more of an “inventory” of policy-based suitability risks. </w:t>
      </w:r>
    </w:p>
    <w:p w14:paraId="066672E6" w14:textId="77777777" w:rsidR="007B7CD0" w:rsidRDefault="007B7CD0">
      <w:pPr>
        <w:rPr>
          <w:sz w:val="24"/>
          <w:szCs w:val="24"/>
        </w:rPr>
      </w:pPr>
    </w:p>
    <w:p w14:paraId="030D3BB5" w14:textId="26F959BB" w:rsidR="00C16E68" w:rsidRDefault="00264351">
      <w:pPr>
        <w:rPr>
          <w:sz w:val="24"/>
          <w:szCs w:val="24"/>
        </w:rPr>
      </w:pPr>
      <w:r>
        <w:rPr>
          <w:sz w:val="24"/>
          <w:szCs w:val="24"/>
        </w:rPr>
        <w:t xml:space="preserve">DLCD should engage NOAA’s </w:t>
      </w:r>
      <w:r w:rsidR="0099466D">
        <w:rPr>
          <w:sz w:val="24"/>
          <w:szCs w:val="24"/>
        </w:rPr>
        <w:t>National Centers for Coastal Ocean Science (</w:t>
      </w:r>
      <w:r>
        <w:rPr>
          <w:sz w:val="24"/>
          <w:szCs w:val="24"/>
        </w:rPr>
        <w:t>NCCOS</w:t>
      </w:r>
      <w:r w:rsidR="0099466D">
        <w:rPr>
          <w:sz w:val="24"/>
          <w:szCs w:val="24"/>
        </w:rPr>
        <w:t>)</w:t>
      </w:r>
      <w:r>
        <w:rPr>
          <w:sz w:val="24"/>
          <w:szCs w:val="24"/>
        </w:rPr>
        <w:t xml:space="preserve"> team to support Oregon with new data acquisition, data development workshops with stakeholders, and doing some of the marine spatial planning to Oregon’s specifications. DLCD should coordinate any marine spatial planning with California and Washington to ensure consistent methods, and to seek opportunities to share resources and be efficient. The State of Oregon should also adopt relevant best practices from states doing similar planning work (e.g., LA, WA, NY, CA, RI), and coordinate with regional bodies (e.g., </w:t>
      </w:r>
      <w:r w:rsidR="00A63AB3">
        <w:rPr>
          <w:sz w:val="24"/>
          <w:szCs w:val="24"/>
        </w:rPr>
        <w:t xml:space="preserve">Regional Science Collaboratives </w:t>
      </w:r>
      <w:r>
        <w:rPr>
          <w:sz w:val="24"/>
          <w:szCs w:val="24"/>
        </w:rPr>
        <w:t>and university consortia) so the planning and research agendas are in sync.</w:t>
      </w:r>
    </w:p>
    <w:p w14:paraId="2DB83199" w14:textId="77777777" w:rsidR="00C16E68" w:rsidRDefault="00C16E68">
      <w:pPr>
        <w:rPr>
          <w:sz w:val="24"/>
          <w:szCs w:val="24"/>
        </w:rPr>
      </w:pPr>
    </w:p>
    <w:p w14:paraId="0E538B51" w14:textId="77777777" w:rsidR="00C16E68" w:rsidRDefault="00264351">
      <w:pPr>
        <w:rPr>
          <w:sz w:val="24"/>
          <w:szCs w:val="24"/>
        </w:rPr>
      </w:pPr>
      <w:r>
        <w:rPr>
          <w:sz w:val="24"/>
          <w:szCs w:val="24"/>
        </w:rPr>
        <w:t>There is recognition that not all important information can be mapped, so any marine spatial planning effort will need to be inclusive of multiple forms of knowledge (government, university, and private business information; traditional knowledge; and lived experiences from traditional ocean users).</w:t>
      </w:r>
    </w:p>
    <w:p w14:paraId="36146D9E" w14:textId="77777777" w:rsidR="00C16E68" w:rsidRDefault="00C16E68">
      <w:pPr>
        <w:rPr>
          <w:sz w:val="24"/>
          <w:szCs w:val="24"/>
        </w:rPr>
      </w:pPr>
    </w:p>
    <w:p w14:paraId="48BE17A8" w14:textId="77777777" w:rsidR="00C16E68" w:rsidRDefault="00264351">
      <w:pPr>
        <w:rPr>
          <w:sz w:val="24"/>
          <w:szCs w:val="24"/>
        </w:rPr>
      </w:pPr>
      <w:r>
        <w:rPr>
          <w:sz w:val="24"/>
          <w:szCs w:val="24"/>
        </w:rPr>
        <w:t>This effort will require resources from government, nonprofit, and business sectors. It is estimated an effort may cost:</w:t>
      </w:r>
    </w:p>
    <w:p w14:paraId="3F9E74AD" w14:textId="77777777" w:rsidR="00C16E68" w:rsidRDefault="00264351">
      <w:pPr>
        <w:numPr>
          <w:ilvl w:val="0"/>
          <w:numId w:val="1"/>
        </w:numPr>
        <w:rPr>
          <w:sz w:val="24"/>
          <w:szCs w:val="24"/>
          <w:highlight w:val="yellow"/>
        </w:rPr>
      </w:pPr>
      <w:r>
        <w:rPr>
          <w:sz w:val="24"/>
          <w:szCs w:val="24"/>
          <w:highlight w:val="yellow"/>
        </w:rPr>
        <w:t>Budget range</w:t>
      </w:r>
    </w:p>
    <w:p w14:paraId="3CEEF939" w14:textId="21C37DD6" w:rsidR="00C16E68" w:rsidRDefault="00264351">
      <w:pPr>
        <w:numPr>
          <w:ilvl w:val="0"/>
          <w:numId w:val="1"/>
        </w:numPr>
        <w:rPr>
          <w:sz w:val="24"/>
          <w:szCs w:val="24"/>
          <w:highlight w:val="yellow"/>
        </w:rPr>
      </w:pPr>
      <w:r>
        <w:rPr>
          <w:sz w:val="24"/>
          <w:szCs w:val="24"/>
          <w:highlight w:val="yellow"/>
        </w:rPr>
        <w:lastRenderedPageBreak/>
        <w:t>Dedicated FTE over X months</w:t>
      </w:r>
      <w:r w:rsidR="002815B4">
        <w:rPr>
          <w:sz w:val="24"/>
          <w:szCs w:val="24"/>
          <w:highlight w:val="yellow"/>
        </w:rPr>
        <w:t xml:space="preserve"> (includes multiple agencies)</w:t>
      </w:r>
    </w:p>
    <w:p w14:paraId="655FABBF" w14:textId="77777777" w:rsidR="00A63AB3" w:rsidRDefault="00A63AB3" w:rsidP="00A63AB3">
      <w:pPr>
        <w:rPr>
          <w:sz w:val="24"/>
          <w:szCs w:val="24"/>
          <w:highlight w:val="yellow"/>
        </w:rPr>
      </w:pPr>
    </w:p>
    <w:p w14:paraId="36DBDA85" w14:textId="77777777" w:rsidR="00C16E68" w:rsidRDefault="00C16E68">
      <w:pPr>
        <w:rPr>
          <w:sz w:val="24"/>
          <w:szCs w:val="24"/>
        </w:rPr>
      </w:pPr>
    </w:p>
    <w:p w14:paraId="2B5AFFDA" w14:textId="77777777" w:rsidR="00C16E68" w:rsidRDefault="00264351">
      <w:pPr>
        <w:rPr>
          <w:sz w:val="24"/>
          <w:szCs w:val="24"/>
        </w:rPr>
      </w:pPr>
      <w:r>
        <w:rPr>
          <w:sz w:val="24"/>
          <w:szCs w:val="24"/>
        </w:rPr>
        <w:t>The Roundtable recommends considering, but not limited to, the following information sources for marine spatial planning:</w:t>
      </w:r>
    </w:p>
    <w:p w14:paraId="5D16185F" w14:textId="77777777" w:rsidR="00C16E68" w:rsidRDefault="00264351">
      <w:pPr>
        <w:numPr>
          <w:ilvl w:val="0"/>
          <w:numId w:val="3"/>
        </w:numPr>
        <w:rPr>
          <w:sz w:val="24"/>
          <w:szCs w:val="24"/>
        </w:rPr>
      </w:pPr>
      <w:r>
        <w:rPr>
          <w:sz w:val="24"/>
          <w:szCs w:val="24"/>
        </w:rPr>
        <w:t>Standards already in the Territorial Sea Plan Part 5 and other enforceable policies</w:t>
      </w:r>
    </w:p>
    <w:p w14:paraId="33B1EDF9" w14:textId="385D2908" w:rsidR="00C16E68" w:rsidRDefault="00264351">
      <w:pPr>
        <w:numPr>
          <w:ilvl w:val="0"/>
          <w:numId w:val="3"/>
        </w:numPr>
        <w:rPr>
          <w:sz w:val="24"/>
          <w:szCs w:val="24"/>
        </w:rPr>
      </w:pPr>
      <w:r>
        <w:rPr>
          <w:sz w:val="24"/>
          <w:szCs w:val="24"/>
        </w:rPr>
        <w:t>The existing NCCOS model run for Oregon</w:t>
      </w:r>
      <w:r w:rsidR="00A63AB3">
        <w:rPr>
          <w:sz w:val="24"/>
          <w:szCs w:val="24"/>
        </w:rPr>
        <w:t>, with expanded data layers for the entire north-south span of the coast</w:t>
      </w:r>
    </w:p>
    <w:p w14:paraId="4C032DCB" w14:textId="72561113" w:rsidR="00C16E68" w:rsidRDefault="00264351">
      <w:pPr>
        <w:numPr>
          <w:ilvl w:val="0"/>
          <w:numId w:val="3"/>
        </w:numPr>
        <w:rPr>
          <w:sz w:val="24"/>
          <w:szCs w:val="24"/>
        </w:rPr>
      </w:pPr>
      <w:r>
        <w:rPr>
          <w:sz w:val="24"/>
          <w:szCs w:val="24"/>
        </w:rPr>
        <w:t>Oro</w:t>
      </w:r>
      <w:r w:rsidR="00A63AB3">
        <w:rPr>
          <w:sz w:val="24"/>
          <w:szCs w:val="24"/>
        </w:rPr>
        <w:t>W</w:t>
      </w:r>
      <w:r>
        <w:rPr>
          <w:sz w:val="24"/>
          <w:szCs w:val="24"/>
        </w:rPr>
        <w:t>ind</w:t>
      </w:r>
      <w:r w:rsidR="00A63AB3">
        <w:rPr>
          <w:sz w:val="24"/>
          <w:szCs w:val="24"/>
        </w:rPr>
        <w:t>M</w:t>
      </w:r>
      <w:r>
        <w:rPr>
          <w:sz w:val="24"/>
          <w:szCs w:val="24"/>
        </w:rPr>
        <w:t>ap</w:t>
      </w:r>
      <w:r w:rsidR="00A63AB3">
        <w:rPr>
          <w:sz w:val="24"/>
          <w:szCs w:val="24"/>
        </w:rPr>
        <w:t xml:space="preserve"> spatial analysis tool and data layers</w:t>
      </w:r>
    </w:p>
    <w:p w14:paraId="31009166" w14:textId="5DFE00E6" w:rsidR="00C16E68" w:rsidRDefault="00A63AB3">
      <w:pPr>
        <w:numPr>
          <w:ilvl w:val="0"/>
          <w:numId w:val="3"/>
        </w:numPr>
        <w:rPr>
          <w:sz w:val="24"/>
          <w:szCs w:val="24"/>
        </w:rPr>
      </w:pPr>
      <w:r>
        <w:rPr>
          <w:sz w:val="24"/>
          <w:szCs w:val="24"/>
        </w:rPr>
        <w:t xml:space="preserve">NOAA’s </w:t>
      </w:r>
      <w:r w:rsidR="0099466D" w:rsidRPr="0099466D">
        <w:rPr>
          <w:sz w:val="24"/>
          <w:szCs w:val="24"/>
        </w:rPr>
        <w:t xml:space="preserve">Pacific Fishing Effort Mapping Project </w:t>
      </w:r>
      <w:r w:rsidR="0099466D">
        <w:rPr>
          <w:sz w:val="24"/>
          <w:szCs w:val="24"/>
        </w:rPr>
        <w:t>(</w:t>
      </w:r>
      <w:r w:rsidR="00264351">
        <w:rPr>
          <w:sz w:val="24"/>
          <w:szCs w:val="24"/>
        </w:rPr>
        <w:t>P</w:t>
      </w:r>
      <w:r w:rsidR="0099466D">
        <w:rPr>
          <w:sz w:val="24"/>
          <w:szCs w:val="24"/>
        </w:rPr>
        <w:t>ac</w:t>
      </w:r>
      <w:r w:rsidR="00264351">
        <w:rPr>
          <w:sz w:val="24"/>
          <w:szCs w:val="24"/>
        </w:rPr>
        <w:t>FEM</w:t>
      </w:r>
      <w:r w:rsidR="0099466D">
        <w:rPr>
          <w:sz w:val="24"/>
          <w:szCs w:val="24"/>
        </w:rPr>
        <w:t>)</w:t>
      </w:r>
      <w:r>
        <w:rPr>
          <w:sz w:val="24"/>
          <w:szCs w:val="24"/>
        </w:rPr>
        <w:t xml:space="preserve"> fisheries model currently under development</w:t>
      </w:r>
    </w:p>
    <w:p w14:paraId="7DD6C8EC" w14:textId="53038DA2" w:rsidR="00C16E68" w:rsidRDefault="00264351">
      <w:pPr>
        <w:numPr>
          <w:ilvl w:val="0"/>
          <w:numId w:val="3"/>
        </w:numPr>
        <w:rPr>
          <w:sz w:val="24"/>
          <w:szCs w:val="24"/>
        </w:rPr>
      </w:pPr>
      <w:r>
        <w:rPr>
          <w:sz w:val="24"/>
          <w:szCs w:val="24"/>
        </w:rPr>
        <w:t xml:space="preserve">Information from </w:t>
      </w:r>
      <w:r w:rsidR="0099466D">
        <w:rPr>
          <w:sz w:val="24"/>
          <w:szCs w:val="24"/>
        </w:rPr>
        <w:t>National Renewable Energy Lab (</w:t>
      </w:r>
      <w:r>
        <w:rPr>
          <w:sz w:val="24"/>
          <w:szCs w:val="24"/>
        </w:rPr>
        <w:t>NREL</w:t>
      </w:r>
      <w:r w:rsidR="0099466D">
        <w:rPr>
          <w:sz w:val="24"/>
          <w:szCs w:val="24"/>
        </w:rPr>
        <w:t>)</w:t>
      </w:r>
      <w:r>
        <w:rPr>
          <w:sz w:val="24"/>
          <w:szCs w:val="24"/>
        </w:rPr>
        <w:t xml:space="preserve"> and US</w:t>
      </w:r>
      <w:r w:rsidR="0099466D">
        <w:rPr>
          <w:sz w:val="24"/>
          <w:szCs w:val="24"/>
        </w:rPr>
        <w:t xml:space="preserve"> Department of Energy (US</w:t>
      </w:r>
      <w:r>
        <w:rPr>
          <w:sz w:val="24"/>
          <w:szCs w:val="24"/>
        </w:rPr>
        <w:t>DOE</w:t>
      </w:r>
      <w:r w:rsidR="0099466D">
        <w:rPr>
          <w:sz w:val="24"/>
          <w:szCs w:val="24"/>
        </w:rPr>
        <w:t>)</w:t>
      </w:r>
      <w:r>
        <w:rPr>
          <w:sz w:val="24"/>
          <w:szCs w:val="24"/>
        </w:rPr>
        <w:t xml:space="preserve"> on transmission needs and locations</w:t>
      </w:r>
    </w:p>
    <w:p w14:paraId="33E701E4" w14:textId="44A4E1F3" w:rsidR="00C16E68" w:rsidRDefault="00A63AB3">
      <w:pPr>
        <w:numPr>
          <w:ilvl w:val="0"/>
          <w:numId w:val="3"/>
        </w:numPr>
        <w:rPr>
          <w:sz w:val="24"/>
          <w:szCs w:val="24"/>
        </w:rPr>
      </w:pPr>
      <w:r>
        <w:rPr>
          <w:sz w:val="24"/>
          <w:szCs w:val="24"/>
        </w:rPr>
        <w:t>Location-specific information in</w:t>
      </w:r>
      <w:r w:rsidR="00264351">
        <w:rPr>
          <w:sz w:val="24"/>
          <w:szCs w:val="24"/>
        </w:rPr>
        <w:t xml:space="preserve"> public comments submitted during the various BOEM Oregon public comment opportunities</w:t>
      </w:r>
    </w:p>
    <w:p w14:paraId="404060EB" w14:textId="77777777" w:rsidR="00C16E68" w:rsidRDefault="00264351">
      <w:pPr>
        <w:numPr>
          <w:ilvl w:val="0"/>
          <w:numId w:val="3"/>
        </w:numPr>
        <w:rPr>
          <w:sz w:val="24"/>
          <w:szCs w:val="24"/>
        </w:rPr>
      </w:pPr>
      <w:r>
        <w:rPr>
          <w:sz w:val="24"/>
          <w:szCs w:val="24"/>
        </w:rPr>
        <w:t>More species (i.e., state listed species, first foods/cultural species)</w:t>
      </w:r>
    </w:p>
    <w:p w14:paraId="00D2F017" w14:textId="77777777" w:rsidR="00C16E68" w:rsidRDefault="00264351">
      <w:pPr>
        <w:numPr>
          <w:ilvl w:val="1"/>
          <w:numId w:val="3"/>
        </w:numPr>
        <w:rPr>
          <w:sz w:val="24"/>
          <w:szCs w:val="24"/>
        </w:rPr>
      </w:pPr>
      <w:r>
        <w:rPr>
          <w:sz w:val="24"/>
          <w:szCs w:val="24"/>
        </w:rPr>
        <w:t>Anadromous species (especially lamprey and salmon)</w:t>
      </w:r>
    </w:p>
    <w:p w14:paraId="3751583B" w14:textId="77777777" w:rsidR="00C16E68" w:rsidRDefault="00264351">
      <w:pPr>
        <w:numPr>
          <w:ilvl w:val="1"/>
          <w:numId w:val="3"/>
        </w:numPr>
        <w:rPr>
          <w:sz w:val="24"/>
          <w:szCs w:val="24"/>
        </w:rPr>
      </w:pPr>
      <w:r>
        <w:rPr>
          <w:sz w:val="24"/>
          <w:szCs w:val="24"/>
        </w:rPr>
        <w:t>Species interactions along the entire Pacific coast</w:t>
      </w:r>
    </w:p>
    <w:p w14:paraId="46B299EA" w14:textId="77777777" w:rsidR="00C16E68" w:rsidRDefault="00264351">
      <w:pPr>
        <w:numPr>
          <w:ilvl w:val="0"/>
          <w:numId w:val="3"/>
        </w:numPr>
        <w:rPr>
          <w:sz w:val="24"/>
          <w:szCs w:val="24"/>
        </w:rPr>
      </w:pPr>
      <w:r>
        <w:rPr>
          <w:sz w:val="24"/>
          <w:szCs w:val="24"/>
        </w:rPr>
        <w:t>Sensitive ecosystems like marine biodiversity hotspots, coral reefs, seagrass beds, and deep-sea vents</w:t>
      </w:r>
    </w:p>
    <w:p w14:paraId="4CC77A14" w14:textId="77777777" w:rsidR="00C16E68" w:rsidRDefault="00264351">
      <w:pPr>
        <w:numPr>
          <w:ilvl w:val="0"/>
          <w:numId w:val="3"/>
        </w:numPr>
        <w:rPr>
          <w:sz w:val="24"/>
          <w:szCs w:val="24"/>
        </w:rPr>
      </w:pPr>
      <w:r>
        <w:rPr>
          <w:sz w:val="24"/>
          <w:szCs w:val="24"/>
        </w:rPr>
        <w:t>Areas necessary to complete the life cycle of commercially and recreationally important marine species. For example, petrale sole spawning, feeding, nursery grounds</w:t>
      </w:r>
    </w:p>
    <w:p w14:paraId="1BA32377" w14:textId="77777777" w:rsidR="00C16E68" w:rsidRDefault="00264351">
      <w:pPr>
        <w:numPr>
          <w:ilvl w:val="0"/>
          <w:numId w:val="3"/>
        </w:numPr>
        <w:rPr>
          <w:sz w:val="24"/>
          <w:szCs w:val="24"/>
        </w:rPr>
      </w:pPr>
      <w:r>
        <w:rPr>
          <w:sz w:val="24"/>
          <w:szCs w:val="24"/>
        </w:rPr>
        <w:t>Transmission corridors</w:t>
      </w:r>
    </w:p>
    <w:p w14:paraId="5C9449AC" w14:textId="5392636E" w:rsidR="00C16E68" w:rsidRDefault="00264351">
      <w:pPr>
        <w:numPr>
          <w:ilvl w:val="0"/>
          <w:numId w:val="3"/>
        </w:numPr>
        <w:rPr>
          <w:sz w:val="24"/>
          <w:szCs w:val="24"/>
        </w:rPr>
      </w:pPr>
      <w:r>
        <w:rPr>
          <w:sz w:val="24"/>
          <w:szCs w:val="24"/>
        </w:rPr>
        <w:t>Shipping routes, US</w:t>
      </w:r>
      <w:r w:rsidR="0099466D">
        <w:rPr>
          <w:sz w:val="24"/>
          <w:szCs w:val="24"/>
        </w:rPr>
        <w:t xml:space="preserve"> Coast Guard</w:t>
      </w:r>
      <w:r>
        <w:rPr>
          <w:sz w:val="24"/>
          <w:szCs w:val="24"/>
        </w:rPr>
        <w:t xml:space="preserve"> transit/navigation fairways/lanes (</w:t>
      </w:r>
      <w:r w:rsidR="0099466D">
        <w:rPr>
          <w:sz w:val="24"/>
          <w:szCs w:val="24"/>
        </w:rPr>
        <w:t xml:space="preserve"> see </w:t>
      </w:r>
      <w:r w:rsidR="0099466D" w:rsidRPr="0099466D">
        <w:rPr>
          <w:sz w:val="24"/>
          <w:szCs w:val="24"/>
        </w:rPr>
        <w:t>Pacific Coast Port Access Route Study</w:t>
      </w:r>
      <w:r w:rsidR="0099466D">
        <w:rPr>
          <w:sz w:val="24"/>
          <w:szCs w:val="24"/>
        </w:rPr>
        <w:t xml:space="preserve">, </w:t>
      </w:r>
      <w:r>
        <w:rPr>
          <w:sz w:val="24"/>
          <w:szCs w:val="24"/>
        </w:rPr>
        <w:t>P</w:t>
      </w:r>
      <w:r w:rsidR="0099466D">
        <w:rPr>
          <w:sz w:val="24"/>
          <w:szCs w:val="24"/>
        </w:rPr>
        <w:t>AC-</w:t>
      </w:r>
      <w:r>
        <w:rPr>
          <w:sz w:val="24"/>
          <w:szCs w:val="24"/>
        </w:rPr>
        <w:t>PARS), and port facilities</w:t>
      </w:r>
    </w:p>
    <w:p w14:paraId="3FDB233A" w14:textId="77777777" w:rsidR="00C16E68" w:rsidRDefault="00264351">
      <w:pPr>
        <w:numPr>
          <w:ilvl w:val="0"/>
          <w:numId w:val="3"/>
        </w:numPr>
        <w:rPr>
          <w:sz w:val="24"/>
          <w:szCs w:val="24"/>
        </w:rPr>
      </w:pPr>
      <w:r>
        <w:rPr>
          <w:sz w:val="24"/>
          <w:szCs w:val="24"/>
        </w:rPr>
        <w:t>Visual effects, including cultural significant seascapes</w:t>
      </w:r>
    </w:p>
    <w:p w14:paraId="54E33672" w14:textId="77777777" w:rsidR="00C16E68" w:rsidRDefault="00264351">
      <w:pPr>
        <w:numPr>
          <w:ilvl w:val="0"/>
          <w:numId w:val="3"/>
        </w:numPr>
        <w:rPr>
          <w:sz w:val="24"/>
          <w:szCs w:val="24"/>
        </w:rPr>
      </w:pPr>
      <w:r>
        <w:rPr>
          <w:sz w:val="24"/>
          <w:szCs w:val="24"/>
        </w:rPr>
        <w:t>Cultural resources</w:t>
      </w:r>
    </w:p>
    <w:p w14:paraId="2BAC8D1B" w14:textId="77777777" w:rsidR="00C16E68" w:rsidRDefault="00264351">
      <w:pPr>
        <w:numPr>
          <w:ilvl w:val="0"/>
          <w:numId w:val="3"/>
        </w:numPr>
        <w:rPr>
          <w:sz w:val="24"/>
          <w:szCs w:val="24"/>
        </w:rPr>
      </w:pPr>
      <w:r>
        <w:rPr>
          <w:sz w:val="24"/>
          <w:szCs w:val="24"/>
        </w:rPr>
        <w:t>Non-charter recreational and tribal fishing areas</w:t>
      </w:r>
    </w:p>
    <w:p w14:paraId="15AE088C" w14:textId="77777777" w:rsidR="00C16E68" w:rsidRDefault="00264351">
      <w:pPr>
        <w:numPr>
          <w:ilvl w:val="0"/>
          <w:numId w:val="3"/>
        </w:numPr>
        <w:rPr>
          <w:sz w:val="24"/>
          <w:szCs w:val="24"/>
        </w:rPr>
      </w:pPr>
      <w:r>
        <w:rPr>
          <w:sz w:val="24"/>
          <w:szCs w:val="24"/>
        </w:rPr>
        <w:t>Larger vessels, if displaced, displacing smaller vessels</w:t>
      </w:r>
    </w:p>
    <w:p w14:paraId="508A9E21" w14:textId="31FD6813" w:rsidR="00C16E68" w:rsidRDefault="00264351">
      <w:pPr>
        <w:numPr>
          <w:ilvl w:val="0"/>
          <w:numId w:val="3"/>
        </w:numPr>
        <w:rPr>
          <w:sz w:val="24"/>
          <w:szCs w:val="24"/>
        </w:rPr>
      </w:pPr>
      <w:r>
        <w:rPr>
          <w:sz w:val="24"/>
          <w:szCs w:val="24"/>
        </w:rPr>
        <w:t>D</w:t>
      </w:r>
      <w:r w:rsidR="0099466D">
        <w:rPr>
          <w:sz w:val="24"/>
          <w:szCs w:val="24"/>
        </w:rPr>
        <w:t>epartment of Defense</w:t>
      </w:r>
      <w:r>
        <w:rPr>
          <w:sz w:val="24"/>
          <w:szCs w:val="24"/>
        </w:rPr>
        <w:t xml:space="preserve"> assets</w:t>
      </w:r>
    </w:p>
    <w:p w14:paraId="4B27C77E" w14:textId="77777777" w:rsidR="00A63AB3" w:rsidRDefault="00264351">
      <w:pPr>
        <w:numPr>
          <w:ilvl w:val="0"/>
          <w:numId w:val="3"/>
        </w:numPr>
        <w:rPr>
          <w:sz w:val="24"/>
          <w:szCs w:val="24"/>
        </w:rPr>
      </w:pPr>
      <w:r>
        <w:rPr>
          <w:sz w:val="24"/>
          <w:szCs w:val="24"/>
        </w:rPr>
        <w:t>Regional climate projections, Including wave climate</w:t>
      </w:r>
    </w:p>
    <w:p w14:paraId="08671908" w14:textId="77777777" w:rsidR="00C16E68" w:rsidRDefault="00C16E68">
      <w:pPr>
        <w:rPr>
          <w:sz w:val="24"/>
          <w:szCs w:val="24"/>
        </w:rPr>
      </w:pPr>
    </w:p>
    <w:p w14:paraId="7637F071" w14:textId="618E7711" w:rsidR="00C16E68" w:rsidRDefault="00264351">
      <w:pPr>
        <w:rPr>
          <w:sz w:val="24"/>
          <w:szCs w:val="24"/>
        </w:rPr>
      </w:pPr>
      <w:r>
        <w:rPr>
          <w:sz w:val="24"/>
          <w:szCs w:val="24"/>
        </w:rPr>
        <w:t>Prior to beginning marine spatial planning, it is recommended that the State of Oregon identify the various sources of information and key outcomes of any effort. Th</w:t>
      </w:r>
      <w:r w:rsidR="0015754A">
        <w:rPr>
          <w:sz w:val="24"/>
          <w:szCs w:val="24"/>
        </w:rPr>
        <w:t>at</w:t>
      </w:r>
      <w:r>
        <w:rPr>
          <w:sz w:val="24"/>
          <w:szCs w:val="24"/>
        </w:rPr>
        <w:t xml:space="preserve"> information should consider that climate and other changes may move the spatial patterns, over time, of important resources.</w:t>
      </w:r>
    </w:p>
    <w:p w14:paraId="3C4AFEC1" w14:textId="77777777" w:rsidR="002815B4" w:rsidRDefault="002815B4">
      <w:pPr>
        <w:rPr>
          <w:sz w:val="24"/>
          <w:szCs w:val="24"/>
        </w:rPr>
      </w:pPr>
    </w:p>
    <w:p w14:paraId="5F8289A9" w14:textId="29FC2805" w:rsidR="002815B4" w:rsidRDefault="002815B4">
      <w:pPr>
        <w:rPr>
          <w:b/>
          <w:bCs/>
          <w:sz w:val="24"/>
          <w:szCs w:val="24"/>
          <w:u w:val="single"/>
        </w:rPr>
      </w:pPr>
      <w:r w:rsidRPr="002815B4">
        <w:rPr>
          <w:b/>
          <w:bCs/>
          <w:sz w:val="24"/>
          <w:szCs w:val="24"/>
          <w:u w:val="single"/>
        </w:rPr>
        <w:t>Outstanding Questions to be Developed in 2025:</w:t>
      </w:r>
    </w:p>
    <w:p w14:paraId="67C98FD2" w14:textId="4FBB30B5" w:rsidR="002815B4" w:rsidRDefault="002815B4" w:rsidP="002815B4">
      <w:pPr>
        <w:pStyle w:val="ListParagraph"/>
        <w:numPr>
          <w:ilvl w:val="0"/>
          <w:numId w:val="5"/>
        </w:numPr>
        <w:rPr>
          <w:sz w:val="24"/>
          <w:szCs w:val="24"/>
        </w:rPr>
      </w:pPr>
      <w:r w:rsidRPr="002815B4">
        <w:rPr>
          <w:sz w:val="24"/>
          <w:szCs w:val="24"/>
        </w:rPr>
        <w:lastRenderedPageBreak/>
        <w:t>Is there a minimum viable development size for an offshore wind array that could guide spatial planning parameters?</w:t>
      </w:r>
    </w:p>
    <w:p w14:paraId="6F3FC7C3" w14:textId="317AC309" w:rsidR="002815B4" w:rsidRDefault="002815B4" w:rsidP="002815B4">
      <w:pPr>
        <w:pStyle w:val="ListParagraph"/>
        <w:numPr>
          <w:ilvl w:val="0"/>
          <w:numId w:val="5"/>
        </w:numPr>
        <w:rPr>
          <w:sz w:val="24"/>
          <w:szCs w:val="24"/>
        </w:rPr>
      </w:pPr>
      <w:r>
        <w:rPr>
          <w:sz w:val="24"/>
          <w:szCs w:val="24"/>
        </w:rPr>
        <w:t>Industry participation is essential to a successful planning process, to provide information on economic and technical feasibility, coexistence-facilitating design options</w:t>
      </w:r>
      <w:r w:rsidR="0015754A">
        <w:rPr>
          <w:sz w:val="24"/>
          <w:szCs w:val="24"/>
        </w:rPr>
        <w:t>.</w:t>
      </w:r>
      <w:r>
        <w:rPr>
          <w:sz w:val="24"/>
          <w:szCs w:val="24"/>
        </w:rPr>
        <w:t xml:space="preserve"> What incentives or signals from the state would be necessary to encourage industry participation in a planning process? </w:t>
      </w:r>
    </w:p>
    <w:p w14:paraId="2ADC6904" w14:textId="72D83EB3" w:rsidR="002815B4" w:rsidRPr="002815B4" w:rsidRDefault="00FB0453" w:rsidP="002815B4">
      <w:pPr>
        <w:pStyle w:val="ListParagraph"/>
        <w:numPr>
          <w:ilvl w:val="0"/>
          <w:numId w:val="5"/>
        </w:numPr>
        <w:rPr>
          <w:sz w:val="24"/>
          <w:szCs w:val="24"/>
        </w:rPr>
      </w:pPr>
      <w:r>
        <w:rPr>
          <w:sz w:val="24"/>
          <w:szCs w:val="24"/>
        </w:rPr>
        <w:t xml:space="preserve">Continue to engage NCCOS to understand federal ability to support/participate in a spatial modeling effort, and work to secure data sources and products that derive from federal agencies. </w:t>
      </w:r>
    </w:p>
    <w:sectPr w:rsidR="002815B4" w:rsidRPr="002815B4" w:rsidSect="00FB0453">
      <w:footerReference w:type="default" r:id="rId11"/>
      <w:headerReference w:type="first" r:id="rId12"/>
      <w:pgSz w:w="12240" w:h="15840"/>
      <w:pgMar w:top="1440" w:right="1440" w:bottom="1440" w:left="1440" w:header="720" w:footer="720" w:gutter="0"/>
      <w:pgNumType w:start="1"/>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obby Cochran" w:date="2025-03-08T10:42:00Z" w:initials="BC">
    <w:p w14:paraId="5AEB019B" w14:textId="06035B5F" w:rsidR="0099466D" w:rsidRDefault="0099466D">
      <w:pPr>
        <w:pStyle w:val="CommentText"/>
      </w:pPr>
      <w:r>
        <w:rPr>
          <w:rStyle w:val="CommentReference"/>
        </w:rPr>
        <w:annotationRef/>
      </w:r>
      <w:r>
        <w:t>Want to keep highlighted?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EB01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769D7A" w16cex:dateUtc="2025-03-08T18: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EB019B" w16cid:durableId="2B769D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8E375" w14:textId="77777777" w:rsidR="002A6C1B" w:rsidRDefault="002A6C1B">
      <w:pPr>
        <w:spacing w:line="240" w:lineRule="auto"/>
      </w:pPr>
      <w:r>
        <w:separator/>
      </w:r>
    </w:p>
  </w:endnote>
  <w:endnote w:type="continuationSeparator" w:id="0">
    <w:p w14:paraId="1005469C" w14:textId="77777777" w:rsidR="002A6C1B" w:rsidRDefault="002A6C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C30322A-325A-4A54-AFDC-94DFB808EA0A}"/>
  </w:font>
  <w:font w:name="Cambria">
    <w:panose1 w:val="02040503050406030204"/>
    <w:charset w:val="00"/>
    <w:family w:val="roman"/>
    <w:pitch w:val="variable"/>
    <w:sig w:usb0="E00006FF" w:usb1="420024FF" w:usb2="02000000" w:usb3="00000000" w:csb0="0000019F" w:csb1="00000000"/>
    <w:embedRegular r:id="rId2" w:fontKey="{E2A56502-E780-425E-84D4-5CAA617A2F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3CEB" w14:textId="77777777" w:rsidR="00C16E68" w:rsidRDefault="00264351">
    <w:pPr>
      <w:jc w:val="right"/>
    </w:pPr>
    <w:r>
      <w:fldChar w:fldCharType="begin"/>
    </w:r>
    <w:r>
      <w:instrText>PAGE</w:instrText>
    </w:r>
    <w:r>
      <w:fldChar w:fldCharType="separate"/>
    </w:r>
    <w:r w:rsidR="00FD01A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45BA3" w14:textId="77777777" w:rsidR="002A6C1B" w:rsidRDefault="002A6C1B">
      <w:pPr>
        <w:spacing w:line="240" w:lineRule="auto"/>
      </w:pPr>
      <w:r>
        <w:separator/>
      </w:r>
    </w:p>
  </w:footnote>
  <w:footnote w:type="continuationSeparator" w:id="0">
    <w:p w14:paraId="0A8F744A" w14:textId="77777777" w:rsidR="002A6C1B" w:rsidRDefault="002A6C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AD8C" w14:textId="540A906A" w:rsidR="00FB0453" w:rsidRDefault="00FB0453">
    <w:pPr>
      <w:pStyle w:val="Header"/>
    </w:pPr>
    <w:r>
      <w:rPr>
        <w:noProof/>
      </w:rPr>
      <w:drawing>
        <wp:inline distT="19050" distB="19050" distL="19050" distR="19050" wp14:anchorId="34532227" wp14:editId="4B238887">
          <wp:extent cx="5943600" cy="1043940"/>
          <wp:effectExtent l="0" t="0" r="0" b="3810"/>
          <wp:docPr id="1" name="image1.jpg" descr="Waves crashing on a beach&#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1.jpg" descr="Waves crashing on a beach&#10;&#10;AI-generated content may be incorrect."/>
                  <pic:cNvPicPr preferRelativeResize="0"/>
                </pic:nvPicPr>
                <pic:blipFill>
                  <a:blip r:embed="rId1"/>
                  <a:srcRect b="68862"/>
                  <a:stretch>
                    <a:fillRect/>
                  </a:stretch>
                </pic:blipFill>
                <pic:spPr>
                  <a:xfrm>
                    <a:off x="0" y="0"/>
                    <a:ext cx="5943600" cy="104394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70E47"/>
    <w:multiLevelType w:val="multilevel"/>
    <w:tmpl w:val="E67E33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DB6D04"/>
    <w:multiLevelType w:val="hybridMultilevel"/>
    <w:tmpl w:val="04A6B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3F3CE0"/>
    <w:multiLevelType w:val="multilevel"/>
    <w:tmpl w:val="53869E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2F63916"/>
    <w:multiLevelType w:val="multilevel"/>
    <w:tmpl w:val="A5649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BEA2C74"/>
    <w:multiLevelType w:val="multilevel"/>
    <w:tmpl w:val="271CEA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87055677">
    <w:abstractNumId w:val="4"/>
  </w:num>
  <w:num w:numId="2" w16cid:durableId="678193564">
    <w:abstractNumId w:val="0"/>
  </w:num>
  <w:num w:numId="3" w16cid:durableId="2108766509">
    <w:abstractNumId w:val="3"/>
  </w:num>
  <w:num w:numId="4" w16cid:durableId="1589384872">
    <w:abstractNumId w:val="2"/>
  </w:num>
  <w:num w:numId="5" w16cid:durableId="86606853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bby Cochran">
    <w15:presenceInfo w15:providerId="AD" w15:userId="S::jcochran@pdx.edu::fbe80f7e-5a95-419e-9b5f-e3aceda5c0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E68"/>
    <w:rsid w:val="0015754A"/>
    <w:rsid w:val="00264351"/>
    <w:rsid w:val="002815B4"/>
    <w:rsid w:val="002A6C1B"/>
    <w:rsid w:val="003D728D"/>
    <w:rsid w:val="007B7CD0"/>
    <w:rsid w:val="00920C6A"/>
    <w:rsid w:val="0099466D"/>
    <w:rsid w:val="00A63AB3"/>
    <w:rsid w:val="00BE7256"/>
    <w:rsid w:val="00C16E68"/>
    <w:rsid w:val="00D40A7A"/>
    <w:rsid w:val="00FB0453"/>
    <w:rsid w:val="00FD01A4"/>
    <w:rsid w:val="00FE7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DD1BB"/>
  <w15:docId w15:val="{F0EEC741-401D-40F9-AE97-CECB147CF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2815B4"/>
    <w:pPr>
      <w:ind w:left="720"/>
      <w:contextualSpacing/>
    </w:pPr>
  </w:style>
  <w:style w:type="character" w:styleId="CommentReference">
    <w:name w:val="annotation reference"/>
    <w:basedOn w:val="DefaultParagraphFont"/>
    <w:uiPriority w:val="99"/>
    <w:semiHidden/>
    <w:unhideWhenUsed/>
    <w:rsid w:val="0099466D"/>
    <w:rPr>
      <w:sz w:val="16"/>
      <w:szCs w:val="16"/>
    </w:rPr>
  </w:style>
  <w:style w:type="paragraph" w:styleId="CommentText">
    <w:name w:val="annotation text"/>
    <w:basedOn w:val="Normal"/>
    <w:link w:val="CommentTextChar"/>
    <w:uiPriority w:val="99"/>
    <w:semiHidden/>
    <w:unhideWhenUsed/>
    <w:rsid w:val="0099466D"/>
    <w:pPr>
      <w:spacing w:line="240" w:lineRule="auto"/>
    </w:pPr>
    <w:rPr>
      <w:sz w:val="20"/>
      <w:szCs w:val="20"/>
    </w:rPr>
  </w:style>
  <w:style w:type="character" w:customStyle="1" w:styleId="CommentTextChar">
    <w:name w:val="Comment Text Char"/>
    <w:basedOn w:val="DefaultParagraphFont"/>
    <w:link w:val="CommentText"/>
    <w:uiPriority w:val="99"/>
    <w:semiHidden/>
    <w:rsid w:val="0099466D"/>
    <w:rPr>
      <w:sz w:val="20"/>
      <w:szCs w:val="20"/>
    </w:rPr>
  </w:style>
  <w:style w:type="paragraph" w:styleId="CommentSubject">
    <w:name w:val="annotation subject"/>
    <w:basedOn w:val="CommentText"/>
    <w:next w:val="CommentText"/>
    <w:link w:val="CommentSubjectChar"/>
    <w:uiPriority w:val="99"/>
    <w:semiHidden/>
    <w:unhideWhenUsed/>
    <w:rsid w:val="0099466D"/>
    <w:rPr>
      <w:b/>
      <w:bCs/>
    </w:rPr>
  </w:style>
  <w:style w:type="character" w:customStyle="1" w:styleId="CommentSubjectChar">
    <w:name w:val="Comment Subject Char"/>
    <w:basedOn w:val="CommentTextChar"/>
    <w:link w:val="CommentSubject"/>
    <w:uiPriority w:val="99"/>
    <w:semiHidden/>
    <w:rsid w:val="0099466D"/>
    <w:rPr>
      <w:b/>
      <w:bCs/>
      <w:sz w:val="20"/>
      <w:szCs w:val="20"/>
    </w:rPr>
  </w:style>
  <w:style w:type="paragraph" w:styleId="Revision">
    <w:name w:val="Revision"/>
    <w:hidden/>
    <w:uiPriority w:val="99"/>
    <w:semiHidden/>
    <w:rsid w:val="00FB0453"/>
    <w:pPr>
      <w:spacing w:line="240" w:lineRule="auto"/>
    </w:pPr>
  </w:style>
  <w:style w:type="paragraph" w:styleId="Header">
    <w:name w:val="header"/>
    <w:basedOn w:val="Normal"/>
    <w:link w:val="HeaderChar"/>
    <w:uiPriority w:val="99"/>
    <w:unhideWhenUsed/>
    <w:rsid w:val="00FB0453"/>
    <w:pPr>
      <w:tabs>
        <w:tab w:val="center" w:pos="4680"/>
        <w:tab w:val="right" w:pos="9360"/>
      </w:tabs>
      <w:spacing w:line="240" w:lineRule="auto"/>
    </w:pPr>
  </w:style>
  <w:style w:type="character" w:customStyle="1" w:styleId="HeaderChar">
    <w:name w:val="Header Char"/>
    <w:basedOn w:val="DefaultParagraphFont"/>
    <w:link w:val="Header"/>
    <w:uiPriority w:val="99"/>
    <w:rsid w:val="00FB0453"/>
  </w:style>
  <w:style w:type="paragraph" w:styleId="Footer">
    <w:name w:val="footer"/>
    <w:basedOn w:val="Normal"/>
    <w:link w:val="FooterChar"/>
    <w:uiPriority w:val="99"/>
    <w:unhideWhenUsed/>
    <w:rsid w:val="00FB0453"/>
    <w:pPr>
      <w:tabs>
        <w:tab w:val="center" w:pos="4680"/>
        <w:tab w:val="right" w:pos="9360"/>
      </w:tabs>
      <w:spacing w:line="240" w:lineRule="auto"/>
    </w:pPr>
  </w:style>
  <w:style w:type="character" w:customStyle="1" w:styleId="FooterChar">
    <w:name w:val="Footer Char"/>
    <w:basedOn w:val="DefaultParagraphFont"/>
    <w:link w:val="Footer"/>
    <w:uiPriority w:val="99"/>
    <w:rsid w:val="00FB04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C654DDD3B57648A5C45AB6714A9FB3" ma:contentTypeVersion="12" ma:contentTypeDescription="Create a new document." ma:contentTypeScope="" ma:versionID="16079b121cbd559d3824489747c56fe6">
  <xsd:schema xmlns:xsd="http://www.w3.org/2001/XMLSchema" xmlns:xs="http://www.w3.org/2001/XMLSchema" xmlns:p="http://schemas.microsoft.com/office/2006/metadata/properties" xmlns:ns1="http://schemas.microsoft.com/sharepoint/v3" xmlns:ns2="11f6e35f-0468-40ad-8c48-bd091c853554" xmlns:ns3="49458100-ef95-4f74-b3f1-a3d081eb5d2d" targetNamespace="http://schemas.microsoft.com/office/2006/metadata/properties" ma:root="true" ma:fieldsID="2df4a5aa4c8d4b8a4b93984f1d0d63cd" ns1:_="" ns2:_="" ns3:_="">
    <xsd:import namespace="http://schemas.microsoft.com/sharepoint/v3"/>
    <xsd:import namespace="11f6e35f-0468-40ad-8c48-bd091c853554"/>
    <xsd:import namespace="49458100-ef95-4f74-b3f1-a3d081eb5d2d"/>
    <xsd:element name="properties">
      <xsd:complexType>
        <xsd:sequence>
          <xsd:element name="documentManagement">
            <xsd:complexType>
              <xsd:all>
                <xsd:element ref="ns1:PublishingStartDate" minOccurs="0"/>
                <xsd:element ref="ns1:PublishingExpirationDate" minOccurs="0"/>
                <xsd:element ref="ns2:SharedWithUsers" minOccurs="0"/>
                <xsd:element ref="ns3:Keep_x0020_Fil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f6e35f-0468-40ad-8c48-bd091c85355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458100-ef95-4f74-b3f1-a3d081eb5d2d" elementFormDefault="qualified">
    <xsd:import namespace="http://schemas.microsoft.com/office/2006/documentManagement/types"/>
    <xsd:import namespace="http://schemas.microsoft.com/office/infopath/2007/PartnerControls"/>
    <xsd:element name="Keep_x0020_File_x003f_" ma:index="7" nillable="true" ma:displayName="Keep File?" ma:internalName="Keep_x0020_File_x003f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Keep_x0020_File_x003f_ xmlns="49458100-ef95-4f74-b3f1-a3d081eb5d2d" xsi:nil="true"/>
  </documentManagement>
</p:properties>
</file>

<file path=customXml/itemProps1.xml><?xml version="1.0" encoding="utf-8"?>
<ds:datastoreItem xmlns:ds="http://schemas.openxmlformats.org/officeDocument/2006/customXml" ds:itemID="{39A01A64-B051-41C8-891E-003D1266CFA0}"/>
</file>

<file path=customXml/itemProps2.xml><?xml version="1.0" encoding="utf-8"?>
<ds:datastoreItem xmlns:ds="http://schemas.openxmlformats.org/officeDocument/2006/customXml" ds:itemID="{06C2DE38-433E-444E-8A95-F6FED635D06C}"/>
</file>

<file path=customXml/itemProps3.xml><?xml version="1.0" encoding="utf-8"?>
<ds:datastoreItem xmlns:ds="http://schemas.openxmlformats.org/officeDocument/2006/customXml" ds:itemID="{9C6AAC89-14A4-4946-A3FA-AA0D58156A33}"/>
</file>

<file path=docProps/app.xml><?xml version="1.0" encoding="utf-8"?>
<Properties xmlns="http://schemas.openxmlformats.org/officeDocument/2006/extended-properties" xmlns:vt="http://schemas.openxmlformats.org/officeDocument/2006/docPropsVTypes">
  <Template>Normal.dotm</Template>
  <TotalTime>17</TotalTime>
  <Pages>4</Pages>
  <Words>1081</Words>
  <Characters>6166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Dept. of Land Conservation and Develoopment</Company>
  <LinksUpToDate>false</LinksUpToDate>
  <CharactersWithSpaces>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BURRIGHT Jeff D * DLCD</dc:creator>
  <cp:lastModifiedBy>BURRIGHT Jeff D * DLCD</cp:lastModifiedBy>
  <cp:revision>5</cp:revision>
  <dcterms:created xsi:type="dcterms:W3CDTF">2025-03-08T18:48:00Z</dcterms:created>
  <dcterms:modified xsi:type="dcterms:W3CDTF">2025-03-10T21:43:00Z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2025-03-08T00:43:07Z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e85bebf6-dd8a-4b93-a143-f195cf6a6fd8</vt:lpwstr>
  </property>
  <property fmtid="{D5CDD505-2E9C-101B-9397-08002B2CF9AE}" pid="8" name="MSIP_Label_db79d039-fcd0-4045-9c78-4cfb2eba0904_ContentBits">
    <vt:lpwstr>0</vt:lpwstr>
  </property>
  <property fmtid="{D5CDD505-2E9C-101B-9397-08002B2CF9AE}" pid="9" name="MSIP_Label_db79d039-fcd0-4045-9c78-4cfb2eba0904_Tag">
    <vt:lpwstr>10, 0, 1, 1</vt:lpwstr>
  </property>
  <property fmtid="{D5CDD505-2E9C-101B-9397-08002B2CF9AE}" pid="10" name="ContentTypeId">
    <vt:lpwstr>0x01010060C654DDD3B57648A5C45AB6714A9FB3</vt:lpwstr>
  </property>
</Properties>
</file>