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343A0" w14:textId="77777777" w:rsidR="00BB26E4" w:rsidRDefault="00000000">
      <w:pPr>
        <w:pStyle w:val="Heading3"/>
        <w:widowControl w:val="0"/>
        <w:spacing w:line="212" w:lineRule="auto"/>
        <w:ind w:right="58"/>
        <w:jc w:val="center"/>
        <w:rPr>
          <w:rFonts w:ascii="Calibri" w:eastAsia="Calibri" w:hAnsi="Calibri" w:cs="Calibri"/>
          <w:color w:val="000000"/>
        </w:rPr>
      </w:pPr>
      <w:bookmarkStart w:id="0" w:name="_apyt3qtsy7zi" w:colFirst="0" w:colLast="0"/>
      <w:bookmarkEnd w:id="0"/>
      <w:r>
        <w:rPr>
          <w:rFonts w:ascii="Calibri" w:eastAsia="Calibri" w:hAnsi="Calibri" w:cs="Calibri"/>
          <w:color w:val="000000"/>
        </w:rPr>
        <w:t>High School Success: Alternative Measures to Meeting Eligibility</w:t>
      </w:r>
    </w:p>
    <w:p w14:paraId="7FD63A8C" w14:textId="77777777" w:rsidR="00BB26E4" w:rsidRDefault="00BB26E4">
      <w:pPr>
        <w:rPr>
          <w:rFonts w:ascii="Calibri" w:eastAsia="Calibri" w:hAnsi="Calibri" w:cs="Calibri"/>
          <w:b/>
          <w:sz w:val="16"/>
          <w:szCs w:val="16"/>
          <w:u w:val="single"/>
        </w:rPr>
      </w:pPr>
    </w:p>
    <w:p w14:paraId="5890FC94" w14:textId="77777777" w:rsidR="00BB26E4" w:rsidRDefault="00000000">
      <w:pPr>
        <w:rPr>
          <w:rFonts w:ascii="Calibri" w:eastAsia="Calibri" w:hAnsi="Calibri" w:cs="Calibri"/>
          <w:sz w:val="24"/>
          <w:szCs w:val="24"/>
        </w:rPr>
      </w:pPr>
      <w:r>
        <w:rPr>
          <w:rFonts w:ascii="Calibri" w:eastAsia="Calibri" w:hAnsi="Calibri" w:cs="Calibri"/>
          <w:sz w:val="24"/>
          <w:szCs w:val="24"/>
        </w:rPr>
        <w:t xml:space="preserve">The High School Success Eligibility Requirements are focused on systems that support high school students in their path towards graduation and beyond. Eligibility will be assessed, beginning the fall of 2025, through interviews with school staff who are knowledgeable of the systems described in the </w:t>
      </w:r>
      <w:hyperlink r:id="rId6">
        <w:r>
          <w:rPr>
            <w:rFonts w:ascii="Calibri" w:eastAsia="Calibri" w:hAnsi="Calibri" w:cs="Calibri"/>
            <w:color w:val="1155CC"/>
            <w:sz w:val="24"/>
            <w:szCs w:val="24"/>
            <w:u w:val="single"/>
          </w:rPr>
          <w:t>High School Success Eligibility Rubric</w:t>
        </w:r>
      </w:hyperlink>
      <w:r>
        <w:rPr>
          <w:rFonts w:ascii="Calibri" w:eastAsia="Calibri" w:hAnsi="Calibri" w:cs="Calibri"/>
          <w:sz w:val="24"/>
          <w:szCs w:val="24"/>
        </w:rPr>
        <w:t xml:space="preserve">. Although this process is based on systems, this assessment includes alternate pathways to meet eligibility for three of the four eligibility areas. Grantees will see the results of this reflected in their interview agendas in the fall of 2025.  </w:t>
      </w:r>
      <w:r>
        <w:rPr>
          <w:rFonts w:ascii="Calibri" w:eastAsia="Calibri" w:hAnsi="Calibri" w:cs="Calibri"/>
          <w:i/>
          <w:sz w:val="24"/>
          <w:szCs w:val="24"/>
        </w:rPr>
        <w:t xml:space="preserve">Note: All four eligibility areas must be met </w:t>
      </w:r>
      <w:proofErr w:type="gramStart"/>
      <w:r>
        <w:rPr>
          <w:rFonts w:ascii="Calibri" w:eastAsia="Calibri" w:hAnsi="Calibri" w:cs="Calibri"/>
          <w:i/>
          <w:sz w:val="24"/>
          <w:szCs w:val="24"/>
        </w:rPr>
        <w:t>in order to</w:t>
      </w:r>
      <w:proofErr w:type="gramEnd"/>
      <w:r>
        <w:rPr>
          <w:rFonts w:ascii="Calibri" w:eastAsia="Calibri" w:hAnsi="Calibri" w:cs="Calibri"/>
          <w:i/>
          <w:sz w:val="24"/>
          <w:szCs w:val="24"/>
        </w:rPr>
        <w:t xml:space="preserve"> meet HSS eligibility. </w:t>
      </w:r>
    </w:p>
    <w:p w14:paraId="4D368D03" w14:textId="77777777" w:rsidR="00BB26E4" w:rsidRDefault="00000000">
      <w:pPr>
        <w:rPr>
          <w:rFonts w:ascii="Calibri" w:eastAsia="Calibri" w:hAnsi="Calibri" w:cs="Calibri"/>
          <w:sz w:val="24"/>
          <w:szCs w:val="24"/>
        </w:rPr>
      </w:pPr>
      <w:r>
        <w:rPr>
          <w:rFonts w:ascii="Calibri" w:eastAsia="Calibri" w:hAnsi="Calibri" w:cs="Calibri"/>
          <w:sz w:val="24"/>
          <w:szCs w:val="24"/>
        </w:rPr>
        <w:t xml:space="preserve">        </w:t>
      </w:r>
    </w:p>
    <w:tbl>
      <w:tblPr>
        <w:tblStyle w:val="a"/>
        <w:tblW w:w="14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20"/>
        <w:gridCol w:w="11600"/>
      </w:tblGrid>
      <w:tr w:rsidR="00BB26E4" w14:paraId="20DC24C6" w14:textId="77777777" w:rsidTr="005D4F6A">
        <w:tc>
          <w:tcPr>
            <w:tcW w:w="2420" w:type="dxa"/>
            <w:shd w:val="clear" w:color="auto" w:fill="0070C0"/>
            <w:tcMar>
              <w:top w:w="100" w:type="dxa"/>
              <w:left w:w="100" w:type="dxa"/>
              <w:bottom w:w="100" w:type="dxa"/>
              <w:right w:w="100" w:type="dxa"/>
            </w:tcMar>
          </w:tcPr>
          <w:p w14:paraId="40CC7E5D" w14:textId="77777777" w:rsidR="00BB26E4" w:rsidRDefault="00000000" w:rsidP="005D4F6A">
            <w:pPr>
              <w:widowControl w:val="0"/>
              <w:pBdr>
                <w:top w:val="nil"/>
                <w:left w:val="nil"/>
                <w:bottom w:val="nil"/>
                <w:right w:val="nil"/>
                <w:between w:val="nil"/>
              </w:pBdr>
              <w:shd w:val="clear" w:color="auto" w:fill="0070C0"/>
              <w:spacing w:line="240" w:lineRule="auto"/>
              <w:jc w:val="center"/>
              <w:rPr>
                <w:rFonts w:ascii="Calibri" w:eastAsia="Calibri" w:hAnsi="Calibri" w:cs="Calibri"/>
                <w:b/>
                <w:sz w:val="26"/>
                <w:szCs w:val="26"/>
              </w:rPr>
            </w:pPr>
            <w:r w:rsidRPr="005D4F6A">
              <w:rPr>
                <w:rFonts w:ascii="Calibri" w:eastAsia="Calibri" w:hAnsi="Calibri" w:cs="Calibri"/>
                <w:b/>
                <w:color w:val="FFFFFF" w:themeColor="background1"/>
                <w:sz w:val="26"/>
                <w:szCs w:val="26"/>
              </w:rPr>
              <w:t>Eligibility Area</w:t>
            </w:r>
          </w:p>
        </w:tc>
        <w:tc>
          <w:tcPr>
            <w:tcW w:w="11600" w:type="dxa"/>
            <w:shd w:val="clear" w:color="auto" w:fill="1C75BC"/>
            <w:tcMar>
              <w:top w:w="100" w:type="dxa"/>
              <w:left w:w="100" w:type="dxa"/>
              <w:bottom w:w="100" w:type="dxa"/>
              <w:right w:w="100" w:type="dxa"/>
            </w:tcMar>
          </w:tcPr>
          <w:p w14:paraId="00187A33" w14:textId="77777777" w:rsidR="00BB26E4" w:rsidRPr="005D4F6A" w:rsidRDefault="00000000">
            <w:pPr>
              <w:widowControl w:val="0"/>
              <w:pBdr>
                <w:top w:val="nil"/>
                <w:left w:val="nil"/>
                <w:bottom w:val="nil"/>
                <w:right w:val="nil"/>
                <w:between w:val="nil"/>
              </w:pBdr>
              <w:spacing w:line="240" w:lineRule="auto"/>
              <w:jc w:val="center"/>
              <w:rPr>
                <w:rFonts w:ascii="Calibri" w:eastAsia="Calibri" w:hAnsi="Calibri" w:cs="Calibri"/>
                <w:b/>
                <w:color w:val="FFFFFF" w:themeColor="background1"/>
                <w:sz w:val="24"/>
                <w:szCs w:val="24"/>
              </w:rPr>
            </w:pPr>
            <w:r w:rsidRPr="005D4F6A">
              <w:rPr>
                <w:rFonts w:ascii="Calibri" w:eastAsia="Calibri" w:hAnsi="Calibri" w:cs="Calibri"/>
                <w:b/>
                <w:color w:val="FFFFFF" w:themeColor="background1"/>
                <w:sz w:val="24"/>
                <w:szCs w:val="24"/>
              </w:rPr>
              <w:t>Alternative Measure</w:t>
            </w:r>
          </w:p>
          <w:p w14:paraId="4614A3C9" w14:textId="77777777" w:rsidR="00BB26E4" w:rsidRPr="005D4F6A" w:rsidRDefault="00000000">
            <w:pPr>
              <w:widowControl w:val="0"/>
              <w:spacing w:line="240" w:lineRule="auto"/>
              <w:rPr>
                <w:rFonts w:ascii="Calibri" w:eastAsia="Calibri" w:hAnsi="Calibri" w:cs="Calibri"/>
                <w:b/>
                <w:sz w:val="24"/>
                <w:szCs w:val="24"/>
              </w:rPr>
            </w:pPr>
            <w:r w:rsidRPr="005D4F6A">
              <w:rPr>
                <w:rFonts w:ascii="Calibri" w:eastAsia="Calibri" w:hAnsi="Calibri" w:cs="Calibri"/>
                <w:color w:val="FFFFFF" w:themeColor="background1"/>
                <w:sz w:val="24"/>
                <w:szCs w:val="24"/>
              </w:rPr>
              <w:t>Requirements will be met if a high school or high school program has…</w:t>
            </w:r>
          </w:p>
        </w:tc>
      </w:tr>
      <w:tr w:rsidR="00BB26E4" w14:paraId="3B22026C" w14:textId="77777777" w:rsidTr="005D4F6A">
        <w:tc>
          <w:tcPr>
            <w:tcW w:w="2420" w:type="dxa"/>
            <w:shd w:val="clear" w:color="auto" w:fill="CFE2F3"/>
            <w:tcMar>
              <w:top w:w="100" w:type="dxa"/>
              <w:left w:w="100" w:type="dxa"/>
              <w:bottom w:w="100" w:type="dxa"/>
              <w:right w:w="100" w:type="dxa"/>
            </w:tcMar>
          </w:tcPr>
          <w:p w14:paraId="387B7D5F" w14:textId="77777777" w:rsidR="00BB26E4"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Teacher Collaboration</w:t>
            </w:r>
          </w:p>
        </w:tc>
        <w:tc>
          <w:tcPr>
            <w:tcW w:w="11600" w:type="dxa"/>
            <w:shd w:val="clear" w:color="auto" w:fill="CFE2F3"/>
            <w:tcMar>
              <w:top w:w="100" w:type="dxa"/>
              <w:left w:w="100" w:type="dxa"/>
              <w:bottom w:w="100" w:type="dxa"/>
              <w:right w:w="100" w:type="dxa"/>
            </w:tcMar>
          </w:tcPr>
          <w:p w14:paraId="74857D40" w14:textId="77777777" w:rsidR="00BB26E4" w:rsidRDefault="0000000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sz w:val="24"/>
                <w:szCs w:val="24"/>
              </w:rPr>
              <w:t xml:space="preserve">90% or above 9th grade on-track rate for their </w:t>
            </w:r>
            <w:r>
              <w:rPr>
                <w:rFonts w:ascii="Calibri" w:eastAsia="Calibri" w:hAnsi="Calibri" w:cs="Calibri"/>
                <w:b/>
                <w:sz w:val="24"/>
                <w:szCs w:val="24"/>
              </w:rPr>
              <w:t xml:space="preserve">combined </w:t>
            </w:r>
            <w:r>
              <w:rPr>
                <w:rFonts w:ascii="Calibri" w:eastAsia="Calibri" w:hAnsi="Calibri" w:cs="Calibri"/>
                <w:sz w:val="24"/>
                <w:szCs w:val="24"/>
              </w:rPr>
              <w:t xml:space="preserve">focal student population, determined through 23-24 school year data.   </w:t>
            </w:r>
          </w:p>
          <w:p w14:paraId="4022F4FD" w14:textId="77777777" w:rsidR="00BB26E4"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i/>
                <w:sz w:val="24"/>
                <w:szCs w:val="24"/>
              </w:rPr>
              <w:t>OR</w:t>
            </w:r>
          </w:p>
          <w:p w14:paraId="181D67C0" w14:textId="77777777" w:rsidR="00BB26E4"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80%-89% 9th grade on-track rate </w:t>
            </w:r>
            <w:r>
              <w:rPr>
                <w:rFonts w:ascii="Calibri" w:eastAsia="Calibri" w:hAnsi="Calibri" w:cs="Calibri"/>
                <w:i/>
                <w:sz w:val="24"/>
                <w:szCs w:val="24"/>
              </w:rPr>
              <w:t xml:space="preserve">and </w:t>
            </w:r>
            <w:r>
              <w:rPr>
                <w:rFonts w:ascii="Calibri" w:eastAsia="Calibri" w:hAnsi="Calibri" w:cs="Calibri"/>
                <w:sz w:val="24"/>
                <w:szCs w:val="24"/>
              </w:rPr>
              <w:t xml:space="preserve">showing at least 2% growth, by comparing 22-23 school year data to 23-24, for combined focal populations. </w:t>
            </w:r>
          </w:p>
        </w:tc>
      </w:tr>
      <w:tr w:rsidR="00BB26E4" w14:paraId="51BE2A25" w14:textId="77777777" w:rsidTr="005D4F6A">
        <w:tc>
          <w:tcPr>
            <w:tcW w:w="2420" w:type="dxa"/>
            <w:shd w:val="clear" w:color="auto" w:fill="auto"/>
            <w:tcMar>
              <w:top w:w="100" w:type="dxa"/>
              <w:left w:w="100" w:type="dxa"/>
              <w:bottom w:w="100" w:type="dxa"/>
              <w:right w:w="100" w:type="dxa"/>
            </w:tcMar>
          </w:tcPr>
          <w:p w14:paraId="22C3C2A0" w14:textId="77777777" w:rsidR="00BB26E4"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Systems Ensuring On-Time Graduation</w:t>
            </w:r>
          </w:p>
        </w:tc>
        <w:tc>
          <w:tcPr>
            <w:tcW w:w="11600" w:type="dxa"/>
            <w:shd w:val="clear" w:color="auto" w:fill="auto"/>
            <w:tcMar>
              <w:top w:w="100" w:type="dxa"/>
              <w:left w:w="100" w:type="dxa"/>
              <w:bottom w:w="100" w:type="dxa"/>
              <w:right w:w="100" w:type="dxa"/>
            </w:tcMar>
          </w:tcPr>
          <w:p w14:paraId="4B0E425A" w14:textId="77777777" w:rsidR="00BB26E4"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90% or above </w:t>
            </w:r>
            <w:proofErr w:type="gramStart"/>
            <w:r>
              <w:rPr>
                <w:rFonts w:ascii="Calibri" w:eastAsia="Calibri" w:hAnsi="Calibri" w:cs="Calibri"/>
                <w:sz w:val="24"/>
                <w:szCs w:val="24"/>
              </w:rPr>
              <w:t>four year</w:t>
            </w:r>
            <w:proofErr w:type="gramEnd"/>
            <w:r>
              <w:rPr>
                <w:rFonts w:ascii="Calibri" w:eastAsia="Calibri" w:hAnsi="Calibri" w:cs="Calibri"/>
                <w:sz w:val="24"/>
                <w:szCs w:val="24"/>
              </w:rPr>
              <w:t xml:space="preserve"> graduation rate for their </w:t>
            </w:r>
            <w:r>
              <w:rPr>
                <w:rFonts w:ascii="Calibri" w:eastAsia="Calibri" w:hAnsi="Calibri" w:cs="Calibri"/>
                <w:b/>
                <w:sz w:val="24"/>
                <w:szCs w:val="24"/>
              </w:rPr>
              <w:t xml:space="preserve">combined </w:t>
            </w:r>
            <w:r>
              <w:rPr>
                <w:rFonts w:ascii="Calibri" w:eastAsia="Calibri" w:hAnsi="Calibri" w:cs="Calibri"/>
                <w:sz w:val="24"/>
                <w:szCs w:val="24"/>
              </w:rPr>
              <w:t xml:space="preserve">focal student population, determined through 23-24 school year data.  </w:t>
            </w:r>
          </w:p>
          <w:p w14:paraId="7D144272" w14:textId="77777777" w:rsidR="00BB26E4" w:rsidRDefault="00000000">
            <w:pPr>
              <w:widowControl w:val="0"/>
              <w:spacing w:line="240" w:lineRule="auto"/>
              <w:jc w:val="center"/>
              <w:rPr>
                <w:rFonts w:ascii="Calibri" w:eastAsia="Calibri" w:hAnsi="Calibri" w:cs="Calibri"/>
                <w:sz w:val="24"/>
                <w:szCs w:val="24"/>
              </w:rPr>
            </w:pPr>
            <w:r>
              <w:rPr>
                <w:rFonts w:ascii="Calibri" w:eastAsia="Calibri" w:hAnsi="Calibri" w:cs="Calibri"/>
                <w:i/>
                <w:sz w:val="24"/>
                <w:szCs w:val="24"/>
              </w:rPr>
              <w:t>OR</w:t>
            </w:r>
          </w:p>
          <w:p w14:paraId="0D4601C2" w14:textId="77777777" w:rsidR="00BB26E4"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80%-89</w:t>
            </w:r>
            <w:proofErr w:type="gramStart"/>
            <w:r>
              <w:rPr>
                <w:rFonts w:ascii="Calibri" w:eastAsia="Calibri" w:hAnsi="Calibri" w:cs="Calibri"/>
                <w:sz w:val="24"/>
                <w:szCs w:val="24"/>
              </w:rPr>
              <w:t>%  four</w:t>
            </w:r>
            <w:proofErr w:type="gramEnd"/>
            <w:r>
              <w:rPr>
                <w:rFonts w:ascii="Calibri" w:eastAsia="Calibri" w:hAnsi="Calibri" w:cs="Calibri"/>
                <w:sz w:val="24"/>
                <w:szCs w:val="24"/>
              </w:rPr>
              <w:t xml:space="preserve"> year graduation rate </w:t>
            </w:r>
            <w:r>
              <w:rPr>
                <w:rFonts w:ascii="Calibri" w:eastAsia="Calibri" w:hAnsi="Calibri" w:cs="Calibri"/>
                <w:i/>
                <w:sz w:val="24"/>
                <w:szCs w:val="24"/>
              </w:rPr>
              <w:t xml:space="preserve">and </w:t>
            </w:r>
            <w:r>
              <w:rPr>
                <w:rFonts w:ascii="Calibri" w:eastAsia="Calibri" w:hAnsi="Calibri" w:cs="Calibri"/>
                <w:sz w:val="24"/>
                <w:szCs w:val="24"/>
              </w:rPr>
              <w:t xml:space="preserve">showing at least 2% growth, by comparing 22-23 school year data to 23-24, for combined focal populations. </w:t>
            </w:r>
          </w:p>
        </w:tc>
      </w:tr>
      <w:tr w:rsidR="00BB26E4" w14:paraId="083E97FE" w14:textId="77777777" w:rsidTr="005D4F6A">
        <w:trPr>
          <w:trHeight w:val="1752"/>
        </w:trPr>
        <w:tc>
          <w:tcPr>
            <w:tcW w:w="2420" w:type="dxa"/>
            <w:tcBorders>
              <w:bottom w:val="single" w:sz="4" w:space="0" w:color="auto"/>
            </w:tcBorders>
            <w:shd w:val="clear" w:color="auto" w:fill="CFE2F3"/>
            <w:tcMar>
              <w:top w:w="100" w:type="dxa"/>
              <w:left w:w="100" w:type="dxa"/>
              <w:bottom w:w="100" w:type="dxa"/>
              <w:right w:w="100" w:type="dxa"/>
            </w:tcMar>
          </w:tcPr>
          <w:p w14:paraId="0763AFE7" w14:textId="77777777" w:rsidR="00BB26E4"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Reducing Chronic Absenteeism</w:t>
            </w:r>
          </w:p>
        </w:tc>
        <w:tc>
          <w:tcPr>
            <w:tcW w:w="11600" w:type="dxa"/>
            <w:tcBorders>
              <w:bottom w:val="single" w:sz="4" w:space="0" w:color="auto"/>
            </w:tcBorders>
            <w:shd w:val="clear" w:color="auto" w:fill="CFE2F3"/>
            <w:tcMar>
              <w:top w:w="100" w:type="dxa"/>
              <w:left w:w="100" w:type="dxa"/>
              <w:bottom w:w="100" w:type="dxa"/>
              <w:right w:w="100" w:type="dxa"/>
            </w:tcMar>
          </w:tcPr>
          <w:p w14:paraId="165FD7F5" w14:textId="77777777" w:rsidR="00BB26E4"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90% or above regular attender rate for their </w:t>
            </w:r>
            <w:r>
              <w:rPr>
                <w:rFonts w:ascii="Calibri" w:eastAsia="Calibri" w:hAnsi="Calibri" w:cs="Calibri"/>
                <w:b/>
                <w:sz w:val="24"/>
                <w:szCs w:val="24"/>
              </w:rPr>
              <w:t>combined</w:t>
            </w:r>
            <w:r>
              <w:rPr>
                <w:rFonts w:ascii="Calibri" w:eastAsia="Calibri" w:hAnsi="Calibri" w:cs="Calibri"/>
                <w:sz w:val="24"/>
                <w:szCs w:val="24"/>
              </w:rPr>
              <w:t xml:space="preserve"> focal student population, determined through 23-24 school year data.  </w:t>
            </w:r>
          </w:p>
          <w:p w14:paraId="75EC9DD4" w14:textId="77777777" w:rsidR="00BB26E4" w:rsidRDefault="00000000">
            <w:pPr>
              <w:widowControl w:val="0"/>
              <w:spacing w:line="240" w:lineRule="auto"/>
              <w:jc w:val="center"/>
              <w:rPr>
                <w:rFonts w:ascii="Calibri" w:eastAsia="Calibri" w:hAnsi="Calibri" w:cs="Calibri"/>
                <w:i/>
                <w:sz w:val="24"/>
                <w:szCs w:val="24"/>
              </w:rPr>
            </w:pPr>
            <w:r>
              <w:rPr>
                <w:rFonts w:ascii="Calibri" w:eastAsia="Calibri" w:hAnsi="Calibri" w:cs="Calibri"/>
                <w:i/>
                <w:sz w:val="24"/>
                <w:szCs w:val="24"/>
              </w:rPr>
              <w:t>OR</w:t>
            </w:r>
          </w:p>
          <w:p w14:paraId="116FC754" w14:textId="77777777" w:rsidR="00BB26E4"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80%-89% regular attender rate </w:t>
            </w:r>
            <w:r>
              <w:rPr>
                <w:rFonts w:ascii="Calibri" w:eastAsia="Calibri" w:hAnsi="Calibri" w:cs="Calibri"/>
                <w:i/>
                <w:sz w:val="24"/>
                <w:szCs w:val="24"/>
              </w:rPr>
              <w:t xml:space="preserve">and </w:t>
            </w:r>
            <w:r>
              <w:rPr>
                <w:rFonts w:ascii="Calibri" w:eastAsia="Calibri" w:hAnsi="Calibri" w:cs="Calibri"/>
                <w:sz w:val="24"/>
                <w:szCs w:val="24"/>
              </w:rPr>
              <w:t xml:space="preserve">showing at least 2% growth, by comparing 22-23 school year data to 23-24, for combined focal populations. </w:t>
            </w:r>
          </w:p>
        </w:tc>
      </w:tr>
      <w:tr w:rsidR="0068419C" w14:paraId="5D7999EE" w14:textId="77777777" w:rsidTr="00254724">
        <w:trPr>
          <w:trHeight w:val="440"/>
        </w:trPr>
        <w:tc>
          <w:tcPr>
            <w:tcW w:w="14020"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3FA1E2C" w14:textId="77777777" w:rsidR="0068419C" w:rsidRDefault="0068419C">
            <w:pPr>
              <w:widowControl w:val="0"/>
              <w:spacing w:line="240" w:lineRule="auto"/>
              <w:rPr>
                <w:rFonts w:ascii="Calibri" w:eastAsia="Calibri" w:hAnsi="Calibri" w:cs="Calibri"/>
                <w:sz w:val="24"/>
                <w:szCs w:val="24"/>
              </w:rPr>
            </w:pPr>
            <w:r>
              <w:rPr>
                <w:rFonts w:ascii="Calibri" w:eastAsia="Calibri" w:hAnsi="Calibri" w:cs="Calibri"/>
                <w:i/>
                <w:sz w:val="24"/>
                <w:szCs w:val="24"/>
              </w:rPr>
              <w:t>Note: High school programs without accountability details will be assessed using district level data.</w:t>
            </w:r>
          </w:p>
          <w:p w14:paraId="6459A0C5" w14:textId="7D0AD77F" w:rsidR="0068419C" w:rsidRDefault="0068419C" w:rsidP="005D4F6A">
            <w:pPr>
              <w:widowControl w:val="0"/>
              <w:tabs>
                <w:tab w:val="left" w:pos="1110"/>
                <w:tab w:val="left" w:pos="4270"/>
              </w:tabs>
              <w:spacing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tc>
      </w:tr>
    </w:tbl>
    <w:p w14:paraId="1D131CAD" w14:textId="77777777" w:rsidR="00BB26E4" w:rsidRDefault="00BB26E4">
      <w:pPr>
        <w:rPr>
          <w:rFonts w:ascii="Calibri" w:eastAsia="Calibri" w:hAnsi="Calibri" w:cs="Calibri"/>
          <w:sz w:val="26"/>
          <w:szCs w:val="26"/>
        </w:rPr>
      </w:pPr>
    </w:p>
    <w:sectPr w:rsidR="00BB26E4">
      <w:headerReference w:type="default" r:id="rId7"/>
      <w:pgSz w:w="15840" w:h="12240" w:orient="landscape"/>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AC5EC" w14:textId="77777777" w:rsidR="00B6005E" w:rsidRDefault="00B6005E">
      <w:pPr>
        <w:spacing w:line="240" w:lineRule="auto"/>
      </w:pPr>
      <w:r>
        <w:separator/>
      </w:r>
    </w:p>
  </w:endnote>
  <w:endnote w:type="continuationSeparator" w:id="0">
    <w:p w14:paraId="7E5CE28D" w14:textId="77777777" w:rsidR="00B6005E" w:rsidRDefault="00B60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D128" w14:textId="77777777" w:rsidR="00B6005E" w:rsidRDefault="00B6005E">
      <w:pPr>
        <w:spacing w:line="240" w:lineRule="auto"/>
      </w:pPr>
      <w:r>
        <w:separator/>
      </w:r>
    </w:p>
  </w:footnote>
  <w:footnote w:type="continuationSeparator" w:id="0">
    <w:p w14:paraId="2FB5FB56" w14:textId="77777777" w:rsidR="00B6005E" w:rsidRDefault="00B60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97E1B" w14:textId="77777777" w:rsidR="00BB26E4" w:rsidRDefault="00000000">
    <w:pPr>
      <w:widowControl w:val="0"/>
      <w:spacing w:line="212" w:lineRule="auto"/>
      <w:ind w:right="58"/>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E4"/>
    <w:rsid w:val="005D4F6A"/>
    <w:rsid w:val="0068419C"/>
    <w:rsid w:val="00B6005E"/>
    <w:rsid w:val="00BB26E4"/>
    <w:rsid w:val="00D2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B7ED"/>
  <w15:docId w15:val="{B7554C16-FEAD-4D6C-BDEC-2052C357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ode/StudentSuccess/Documents/HSSRubric_2023.pdf"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2024-09-30T18:22:46+00:00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E50736A4-3516-41F9-814D-0757F498A4F3}"/>
</file>

<file path=customXml/itemProps2.xml><?xml version="1.0" encoding="utf-8"?>
<ds:datastoreItem xmlns:ds="http://schemas.openxmlformats.org/officeDocument/2006/customXml" ds:itemID="{C9193D88-BF35-43AB-BC2F-8B3438891673}"/>
</file>

<file path=customXml/itemProps3.xml><?xml version="1.0" encoding="utf-8"?>
<ds:datastoreItem xmlns:ds="http://schemas.openxmlformats.org/officeDocument/2006/customXml" ds:itemID="{2C2A5E18-47C5-4FA9-B6C9-E1E451810F88}"/>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MENDEZ-LOZANO Alma * ODE</cp:lastModifiedBy>
  <cp:revision>2</cp:revision>
  <dcterms:created xsi:type="dcterms:W3CDTF">2024-09-30T18:02:00Z</dcterms:created>
  <dcterms:modified xsi:type="dcterms:W3CDTF">2024-09-30T18:12:00Z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2024-09-30T18:12:29Z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c1ef6b74-9cab-41ae-8779-cf8dbe664424</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