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291B20" w:rsidRPr="006738A6" w:rsidRDefault="00A43C54" w:rsidP="00291B20">
      <w:pPr>
        <w:contextualSpacing/>
        <w:rPr>
          <w:rFonts w:asciiTheme="minorHAnsi" w:hAnsiTheme="minorHAnsi" w:cstheme="minorHAnsi"/>
          <w:b/>
          <w:sz w:val="22"/>
          <w:szCs w:val="22"/>
        </w:rPr>
      </w:pPr>
      <w:r>
        <w:rPr>
          <w:rFonts w:asciiTheme="minorHAnsi" w:hAnsiTheme="minorHAnsi" w:cstheme="minorHAnsi"/>
          <w:sz w:val="22"/>
          <w:szCs w:val="22"/>
        </w:rPr>
        <w:t>August 8</w:t>
      </w:r>
      <w:r w:rsidR="006738A6" w:rsidRPr="006738A6">
        <w:rPr>
          <w:rFonts w:asciiTheme="minorHAnsi" w:hAnsiTheme="minorHAnsi" w:cstheme="minorHAnsi"/>
          <w:sz w:val="22"/>
          <w:szCs w:val="22"/>
        </w:rPr>
        <w:t>, 201</w:t>
      </w:r>
      <w:r w:rsidR="00B52A50">
        <w:rPr>
          <w:rFonts w:asciiTheme="minorHAnsi" w:hAnsiTheme="minorHAnsi" w:cstheme="minorHAnsi"/>
          <w:sz w:val="22"/>
          <w:szCs w:val="22"/>
        </w:rPr>
        <w:t>9</w:t>
      </w: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573211" w:rsidRDefault="00834C29" w:rsidP="00573211">
      <w:pPr>
        <w:contextualSpacing/>
        <w:jc w:val="both"/>
        <w:rPr>
          <w:rFonts w:asciiTheme="minorHAnsi" w:hAnsiTheme="minorHAnsi" w:cstheme="minorHAnsi"/>
          <w:sz w:val="22"/>
          <w:szCs w:val="22"/>
        </w:rPr>
      </w:pPr>
      <w:r>
        <w:rPr>
          <w:rFonts w:asciiTheme="minorHAnsi" w:hAnsiTheme="minorHAnsi" w:cstheme="minorHAnsi"/>
          <w:sz w:val="22"/>
          <w:szCs w:val="22"/>
        </w:rPr>
        <w:t>PARENT</w:t>
      </w:r>
    </w:p>
    <w:p w:rsidR="00834C29" w:rsidRDefault="00834C29" w:rsidP="00573211">
      <w:pPr>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834C29" w:rsidRPr="00573211" w:rsidRDefault="00834C29" w:rsidP="00573211">
      <w:pPr>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4C179A" w:rsidRDefault="004C179A" w:rsidP="00573211">
      <w:pPr>
        <w:contextualSpacing/>
        <w:jc w:val="both"/>
        <w:rPr>
          <w:rFonts w:asciiTheme="minorHAnsi" w:hAnsiTheme="minorHAnsi" w:cstheme="minorHAnsi"/>
          <w:sz w:val="22"/>
          <w:szCs w:val="22"/>
        </w:rPr>
      </w:pPr>
    </w:p>
    <w:p w:rsidR="00573211" w:rsidRDefault="004C179A" w:rsidP="00573211">
      <w:pPr>
        <w:contextualSpacing/>
        <w:jc w:val="both"/>
        <w:rPr>
          <w:rFonts w:asciiTheme="minorHAnsi" w:hAnsiTheme="minorHAnsi" w:cstheme="minorHAnsi"/>
          <w:sz w:val="22"/>
          <w:szCs w:val="22"/>
        </w:rPr>
      </w:pPr>
      <w:r>
        <w:rPr>
          <w:rFonts w:asciiTheme="minorHAnsi" w:hAnsiTheme="minorHAnsi" w:cstheme="minorHAnsi"/>
          <w:sz w:val="22"/>
          <w:szCs w:val="22"/>
        </w:rPr>
        <w:t xml:space="preserve">Dr. A. </w:t>
      </w:r>
      <w:proofErr w:type="spellStart"/>
      <w:r>
        <w:rPr>
          <w:rFonts w:asciiTheme="minorHAnsi" w:hAnsiTheme="minorHAnsi" w:cstheme="minorHAnsi"/>
          <w:sz w:val="22"/>
          <w:szCs w:val="22"/>
        </w:rPr>
        <w:t>Katrise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Perera</w:t>
      </w:r>
      <w:proofErr w:type="spellEnd"/>
      <w:r w:rsidR="00573211">
        <w:rPr>
          <w:rFonts w:asciiTheme="minorHAnsi" w:hAnsiTheme="minorHAnsi" w:cstheme="minorHAnsi"/>
          <w:sz w:val="22"/>
          <w:szCs w:val="22"/>
        </w:rPr>
        <w:t>, Superintendent</w:t>
      </w:r>
    </w:p>
    <w:p w:rsidR="00573211" w:rsidRDefault="004C179A" w:rsidP="00573211">
      <w:pPr>
        <w:contextualSpacing/>
        <w:jc w:val="both"/>
        <w:rPr>
          <w:rFonts w:asciiTheme="minorHAnsi" w:hAnsiTheme="minorHAnsi" w:cstheme="minorHAnsi"/>
          <w:sz w:val="22"/>
          <w:szCs w:val="22"/>
        </w:rPr>
      </w:pPr>
      <w:r>
        <w:rPr>
          <w:rFonts w:asciiTheme="minorHAnsi" w:hAnsiTheme="minorHAnsi" w:cstheme="minorHAnsi"/>
          <w:sz w:val="22"/>
          <w:szCs w:val="22"/>
        </w:rPr>
        <w:t>Gresham-Barlow</w:t>
      </w:r>
      <w:r w:rsidR="00573211">
        <w:rPr>
          <w:rFonts w:asciiTheme="minorHAnsi" w:hAnsiTheme="minorHAnsi" w:cstheme="minorHAnsi"/>
          <w:sz w:val="22"/>
          <w:szCs w:val="22"/>
        </w:rPr>
        <w:t xml:space="preserve"> School District</w:t>
      </w:r>
    </w:p>
    <w:p w:rsidR="00573211" w:rsidRPr="00573211" w:rsidRDefault="004C179A" w:rsidP="00573211">
      <w:pPr>
        <w:contextualSpacing/>
        <w:jc w:val="both"/>
        <w:rPr>
          <w:rFonts w:asciiTheme="minorHAnsi" w:hAnsiTheme="minorHAnsi" w:cstheme="minorHAnsi"/>
          <w:bCs/>
          <w:sz w:val="22"/>
          <w:szCs w:val="22"/>
        </w:rPr>
      </w:pPr>
      <w:r>
        <w:rPr>
          <w:rFonts w:asciiTheme="minorHAnsi" w:hAnsiTheme="minorHAnsi" w:cstheme="minorHAnsi"/>
          <w:bCs/>
          <w:sz w:val="22"/>
          <w:szCs w:val="22"/>
        </w:rPr>
        <w:t>1331 NW Eastman Parkway</w:t>
      </w:r>
    </w:p>
    <w:p w:rsidR="00573211" w:rsidRPr="00573211" w:rsidRDefault="004C179A" w:rsidP="00573211">
      <w:pPr>
        <w:contextualSpacing/>
        <w:jc w:val="both"/>
        <w:rPr>
          <w:rFonts w:asciiTheme="minorHAnsi" w:hAnsiTheme="minorHAnsi" w:cstheme="minorHAnsi"/>
          <w:bCs/>
          <w:sz w:val="22"/>
          <w:szCs w:val="22"/>
        </w:rPr>
      </w:pPr>
      <w:r>
        <w:rPr>
          <w:rFonts w:asciiTheme="minorHAnsi" w:hAnsiTheme="minorHAnsi" w:cstheme="minorHAnsi"/>
          <w:bCs/>
          <w:sz w:val="22"/>
          <w:szCs w:val="22"/>
        </w:rPr>
        <w:t>Gresham, OR  97030</w:t>
      </w:r>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 xml:space="preserve">Dear </w:t>
      </w:r>
      <w:r w:rsidR="00834C29">
        <w:rPr>
          <w:rFonts w:asciiTheme="minorHAnsi" w:hAnsiTheme="minorHAnsi" w:cstheme="minorHAnsi"/>
          <w:sz w:val="22"/>
          <w:szCs w:val="22"/>
        </w:rPr>
        <w:t>PARENT</w:t>
      </w:r>
      <w:r w:rsidR="00573211">
        <w:rPr>
          <w:rFonts w:asciiTheme="minorHAnsi" w:hAnsiTheme="minorHAnsi" w:cstheme="minorHAnsi"/>
          <w:sz w:val="22"/>
          <w:szCs w:val="22"/>
        </w:rPr>
        <w:t xml:space="preserve"> </w:t>
      </w:r>
      <w:r w:rsidRPr="006738A6">
        <w:rPr>
          <w:rFonts w:asciiTheme="minorHAnsi" w:hAnsiTheme="minorHAnsi" w:cstheme="minorHAnsi"/>
          <w:sz w:val="22"/>
          <w:szCs w:val="22"/>
        </w:rPr>
        <w:t xml:space="preserve">and Superintendent </w:t>
      </w:r>
      <w:proofErr w:type="spellStart"/>
      <w:r w:rsidR="004C179A">
        <w:rPr>
          <w:rFonts w:asciiTheme="minorHAnsi" w:hAnsiTheme="minorHAnsi" w:cstheme="minorHAnsi"/>
          <w:sz w:val="22"/>
          <w:szCs w:val="22"/>
        </w:rPr>
        <w:t>Perera</w:t>
      </w:r>
      <w:proofErr w:type="spellEnd"/>
      <w:r w:rsidRPr="006738A6">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8D5C2B" w:rsidRDefault="008D5C2B"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This letter is the order on the May 4, 2019, appeal filed by </w:t>
      </w:r>
      <w:r w:rsidR="00834C29">
        <w:rPr>
          <w:rFonts w:asciiTheme="minorHAnsi" w:eastAsia="Times New Roman" w:hAnsiTheme="minorHAnsi" w:cstheme="minorHAnsi"/>
          <w:kern w:val="28"/>
          <w:sz w:val="22"/>
          <w:szCs w:val="22"/>
        </w:rPr>
        <w:t>PARENT</w:t>
      </w:r>
      <w:r>
        <w:rPr>
          <w:rFonts w:asciiTheme="minorHAnsi" w:eastAsia="Times New Roman" w:hAnsiTheme="minorHAnsi" w:cstheme="minorHAnsi"/>
          <w:kern w:val="28"/>
          <w:sz w:val="22"/>
          <w:szCs w:val="22"/>
        </w:rPr>
        <w:t xml:space="preserve"> (Parent) alleging a violation of ORS 659.852 by Gresham-Barlow School District. The objective of this order is to determine whether the district </w:t>
      </w:r>
      <w:proofErr w:type="gramStart"/>
      <w:r>
        <w:rPr>
          <w:rFonts w:asciiTheme="minorHAnsi" w:eastAsia="Times New Roman" w:hAnsiTheme="minorHAnsi" w:cstheme="minorHAnsi"/>
          <w:kern w:val="28"/>
          <w:sz w:val="22"/>
          <w:szCs w:val="22"/>
        </w:rPr>
        <w:t>is in compliance</w:t>
      </w:r>
      <w:proofErr w:type="gramEnd"/>
      <w:r>
        <w:rPr>
          <w:rFonts w:asciiTheme="minorHAnsi" w:eastAsia="Times New Roman" w:hAnsiTheme="minorHAnsi" w:cstheme="minorHAnsi"/>
          <w:kern w:val="28"/>
          <w:sz w:val="22"/>
          <w:szCs w:val="22"/>
        </w:rPr>
        <w:t xml:space="preserve"> with ORS 659.852. If the district </w:t>
      </w:r>
      <w:proofErr w:type="gramStart"/>
      <w:r>
        <w:rPr>
          <w:rFonts w:asciiTheme="minorHAnsi" w:eastAsia="Times New Roman" w:hAnsiTheme="minorHAnsi" w:cstheme="minorHAnsi"/>
          <w:kern w:val="28"/>
          <w:sz w:val="22"/>
          <w:szCs w:val="22"/>
        </w:rPr>
        <w:t>is not in compliance</w:t>
      </w:r>
      <w:proofErr w:type="gramEnd"/>
      <w:r>
        <w:rPr>
          <w:rFonts w:asciiTheme="minorHAnsi" w:eastAsia="Times New Roman" w:hAnsiTheme="minorHAnsi" w:cstheme="minorHAnsi"/>
          <w:kern w:val="28"/>
          <w:sz w:val="22"/>
          <w:szCs w:val="22"/>
        </w:rPr>
        <w:t xml:space="preserve"> with ORS 659.852, then Parent and the district must attempt to reach an agreement through conciliation as required by OAR 581-002-0011. If the district </w:t>
      </w:r>
      <w:proofErr w:type="gramStart"/>
      <w:r>
        <w:rPr>
          <w:rFonts w:asciiTheme="minorHAnsi" w:eastAsia="Times New Roman" w:hAnsiTheme="minorHAnsi" w:cstheme="minorHAnsi"/>
          <w:kern w:val="28"/>
          <w:sz w:val="22"/>
          <w:szCs w:val="22"/>
        </w:rPr>
        <w:t>is in compliance</w:t>
      </w:r>
      <w:proofErr w:type="gramEnd"/>
      <w:r>
        <w:rPr>
          <w:rFonts w:asciiTheme="minorHAnsi" w:eastAsia="Times New Roman" w:hAnsiTheme="minorHAnsi" w:cstheme="minorHAnsi"/>
          <w:kern w:val="28"/>
          <w:sz w:val="22"/>
          <w:szCs w:val="22"/>
        </w:rPr>
        <w:t xml:space="preserve"> with ORS 659.</w:t>
      </w:r>
      <w:r w:rsidR="00A43C54">
        <w:rPr>
          <w:rFonts w:asciiTheme="minorHAnsi" w:eastAsia="Times New Roman" w:hAnsiTheme="minorHAnsi" w:cstheme="minorHAnsi"/>
          <w:kern w:val="28"/>
          <w:sz w:val="22"/>
          <w:szCs w:val="22"/>
        </w:rPr>
        <w:t>8</w:t>
      </w:r>
      <w:r>
        <w:rPr>
          <w:rFonts w:asciiTheme="minorHAnsi" w:eastAsia="Times New Roman" w:hAnsiTheme="minorHAnsi" w:cstheme="minorHAnsi"/>
          <w:kern w:val="28"/>
          <w:sz w:val="22"/>
          <w:szCs w:val="22"/>
        </w:rPr>
        <w:t>52, then this case is closed pursuant to OAR 581-0</w:t>
      </w:r>
      <w:r w:rsidR="003142D7">
        <w:rPr>
          <w:rFonts w:asciiTheme="minorHAnsi" w:eastAsia="Times New Roman" w:hAnsiTheme="minorHAnsi" w:cstheme="minorHAnsi"/>
          <w:kern w:val="28"/>
          <w:sz w:val="22"/>
          <w:szCs w:val="22"/>
        </w:rPr>
        <w:t>0</w:t>
      </w:r>
      <w:r>
        <w:rPr>
          <w:rFonts w:asciiTheme="minorHAnsi" w:eastAsia="Times New Roman" w:hAnsiTheme="minorHAnsi" w:cstheme="minorHAnsi"/>
          <w:kern w:val="28"/>
          <w:sz w:val="22"/>
          <w:szCs w:val="22"/>
        </w:rPr>
        <w:t>2-0009</w:t>
      </w:r>
      <w:r w:rsidR="003142D7">
        <w:rPr>
          <w:rFonts w:asciiTheme="minorHAnsi" w:eastAsia="Times New Roman" w:hAnsiTheme="minorHAnsi" w:cstheme="minorHAnsi"/>
          <w:kern w:val="28"/>
          <w:sz w:val="22"/>
          <w:szCs w:val="22"/>
        </w:rPr>
        <w:t xml:space="preserve"> and 581-002-0017</w:t>
      </w:r>
      <w:r>
        <w:rPr>
          <w:rFonts w:asciiTheme="minorHAnsi" w:eastAsia="Times New Roman" w:hAnsiTheme="minorHAnsi" w:cstheme="minorHAnsi"/>
          <w:kern w:val="28"/>
          <w:sz w:val="22"/>
          <w:szCs w:val="22"/>
        </w:rPr>
        <w:t>.</w:t>
      </w:r>
    </w:p>
    <w:p w:rsidR="008D5C2B" w:rsidRDefault="008D5C2B" w:rsidP="006738A6">
      <w:pPr>
        <w:spacing w:before="100" w:beforeAutospacing="1" w:afterAutospacing="1"/>
        <w:contextualSpacing/>
        <w:jc w:val="both"/>
        <w:rPr>
          <w:rFonts w:asciiTheme="minorHAnsi" w:eastAsia="Times New Roman" w:hAnsiTheme="minorHAnsi" w:cstheme="minorHAnsi"/>
          <w:kern w:val="28"/>
          <w:sz w:val="22"/>
          <w:szCs w:val="22"/>
        </w:rPr>
      </w:pPr>
    </w:p>
    <w:p w:rsidR="006738A6" w:rsidRDefault="008D5C2B" w:rsidP="00291B20">
      <w:pPr>
        <w:pStyle w:val="Heading2"/>
      </w:pPr>
      <w:r>
        <w:t>PROCEDURAL BACKGROUND</w:t>
      </w:r>
    </w:p>
    <w:p w:rsidR="008D5C2B" w:rsidRDefault="008D5C2B" w:rsidP="008D5C2B">
      <w:pPr>
        <w:spacing w:before="100" w:beforeAutospacing="1" w:afterAutospacing="1"/>
        <w:contextualSpacing/>
        <w:jc w:val="center"/>
        <w:rPr>
          <w:rFonts w:asciiTheme="minorHAnsi" w:eastAsia="Times New Roman" w:hAnsiTheme="minorHAnsi" w:cstheme="minorHAnsi"/>
          <w:b/>
          <w:kern w:val="28"/>
          <w:sz w:val="22"/>
          <w:szCs w:val="22"/>
        </w:rPr>
      </w:pPr>
    </w:p>
    <w:p w:rsidR="008D5C2B" w:rsidRDefault="003D13B9" w:rsidP="008D5C2B">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This is an appeal alleging retaliation by Gresham-Barlow School District </w:t>
      </w:r>
      <w:r w:rsidR="003142D7">
        <w:rPr>
          <w:rFonts w:asciiTheme="minorHAnsi" w:eastAsia="Times New Roman" w:hAnsiTheme="minorHAnsi" w:cstheme="minorHAnsi"/>
          <w:kern w:val="28"/>
          <w:sz w:val="22"/>
          <w:szCs w:val="22"/>
        </w:rPr>
        <w:t>because Parent filed</w:t>
      </w:r>
      <w:r>
        <w:rPr>
          <w:rFonts w:asciiTheme="minorHAnsi" w:eastAsia="Times New Roman" w:hAnsiTheme="minorHAnsi" w:cstheme="minorHAnsi"/>
          <w:kern w:val="28"/>
          <w:sz w:val="22"/>
          <w:szCs w:val="22"/>
        </w:rPr>
        <w:t xml:space="preserve"> a complaint against the district. Parent received a final decision from the district for th</w:t>
      </w:r>
      <w:r w:rsidR="0009778D">
        <w:rPr>
          <w:rFonts w:asciiTheme="minorHAnsi" w:eastAsia="Times New Roman" w:hAnsiTheme="minorHAnsi" w:cstheme="minorHAnsi"/>
          <w:kern w:val="28"/>
          <w:sz w:val="22"/>
          <w:szCs w:val="22"/>
        </w:rPr>
        <w:t>e</w:t>
      </w:r>
      <w:r>
        <w:rPr>
          <w:rFonts w:asciiTheme="minorHAnsi" w:eastAsia="Times New Roman" w:hAnsiTheme="minorHAnsi" w:cstheme="minorHAnsi"/>
          <w:kern w:val="28"/>
          <w:sz w:val="22"/>
          <w:szCs w:val="22"/>
        </w:rPr>
        <w:t xml:space="preserve"> complaint on October 16, 2018. </w:t>
      </w:r>
    </w:p>
    <w:p w:rsidR="003D13B9" w:rsidRDefault="003D13B9" w:rsidP="008D5C2B">
      <w:pPr>
        <w:spacing w:before="100" w:beforeAutospacing="1" w:afterAutospacing="1"/>
        <w:contextualSpacing/>
        <w:jc w:val="both"/>
        <w:rPr>
          <w:rFonts w:asciiTheme="minorHAnsi" w:eastAsia="Times New Roman" w:hAnsiTheme="minorHAnsi" w:cstheme="minorHAnsi"/>
          <w:kern w:val="28"/>
          <w:sz w:val="22"/>
          <w:szCs w:val="22"/>
        </w:rPr>
      </w:pPr>
    </w:p>
    <w:p w:rsidR="003D13B9" w:rsidRPr="008D5C2B" w:rsidRDefault="003D13B9" w:rsidP="008D5C2B">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Parent’s complaint concerned </w:t>
      </w:r>
      <w:r w:rsidR="007C169E">
        <w:rPr>
          <w:rFonts w:asciiTheme="minorHAnsi" w:eastAsia="Times New Roman" w:hAnsiTheme="minorHAnsi" w:cstheme="minorHAnsi"/>
          <w:kern w:val="28"/>
          <w:sz w:val="22"/>
          <w:szCs w:val="22"/>
        </w:rPr>
        <w:t xml:space="preserve">the use of social media by a teacher. Parent alleged that the teacher had </w:t>
      </w:r>
      <w:r w:rsidR="00E83DD9">
        <w:rPr>
          <w:rFonts w:asciiTheme="minorHAnsi" w:eastAsia="Times New Roman" w:hAnsiTheme="minorHAnsi" w:cstheme="minorHAnsi"/>
          <w:kern w:val="28"/>
          <w:sz w:val="22"/>
          <w:szCs w:val="22"/>
        </w:rPr>
        <w:t xml:space="preserve">posted images of her son (Student) on social media without </w:t>
      </w:r>
      <w:r w:rsidR="0009778D">
        <w:rPr>
          <w:rFonts w:asciiTheme="minorHAnsi" w:eastAsia="Times New Roman" w:hAnsiTheme="minorHAnsi" w:cstheme="minorHAnsi"/>
          <w:kern w:val="28"/>
          <w:sz w:val="22"/>
          <w:szCs w:val="22"/>
        </w:rPr>
        <w:t>her</w:t>
      </w:r>
      <w:r w:rsidR="00E83DD9">
        <w:rPr>
          <w:rFonts w:asciiTheme="minorHAnsi" w:eastAsia="Times New Roman" w:hAnsiTheme="minorHAnsi" w:cstheme="minorHAnsi"/>
          <w:kern w:val="28"/>
          <w:sz w:val="22"/>
          <w:szCs w:val="22"/>
        </w:rPr>
        <w:t xml:space="preserve"> consent. </w:t>
      </w:r>
    </w:p>
    <w:p w:rsidR="005F5537" w:rsidRDefault="005F5537" w:rsidP="006738A6">
      <w:pPr>
        <w:spacing w:before="100" w:beforeAutospacing="1" w:afterAutospacing="1"/>
        <w:contextualSpacing/>
        <w:jc w:val="both"/>
        <w:rPr>
          <w:rFonts w:asciiTheme="minorHAnsi" w:eastAsia="Times New Roman" w:hAnsiTheme="minorHAnsi" w:cstheme="minorHAnsi"/>
          <w:kern w:val="28"/>
          <w:sz w:val="22"/>
          <w:szCs w:val="22"/>
        </w:rPr>
      </w:pPr>
    </w:p>
    <w:p w:rsidR="005F5537" w:rsidRDefault="0009778D"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After receiving Parent’s complaint, t</w:t>
      </w:r>
      <w:r w:rsidR="00E83DD9">
        <w:rPr>
          <w:rFonts w:asciiTheme="minorHAnsi" w:eastAsia="Times New Roman" w:hAnsiTheme="minorHAnsi" w:cstheme="minorHAnsi"/>
          <w:kern w:val="28"/>
          <w:sz w:val="22"/>
          <w:szCs w:val="22"/>
        </w:rPr>
        <w:t xml:space="preserve">he district conducted an investigation. The district determined there </w:t>
      </w:r>
      <w:proofErr w:type="gramStart"/>
      <w:r w:rsidR="00E83DD9">
        <w:rPr>
          <w:rFonts w:asciiTheme="minorHAnsi" w:eastAsia="Times New Roman" w:hAnsiTheme="minorHAnsi" w:cstheme="minorHAnsi"/>
          <w:kern w:val="28"/>
          <w:sz w:val="22"/>
          <w:szCs w:val="22"/>
        </w:rPr>
        <w:t>was</w:t>
      </w:r>
      <w:proofErr w:type="gramEnd"/>
      <w:r w:rsidR="00E83DD9">
        <w:rPr>
          <w:rFonts w:asciiTheme="minorHAnsi" w:eastAsia="Times New Roman" w:hAnsiTheme="minorHAnsi" w:cstheme="minorHAnsi"/>
          <w:kern w:val="28"/>
          <w:sz w:val="22"/>
          <w:szCs w:val="22"/>
        </w:rPr>
        <w:t xml:space="preserve"> insufficient evidence to support Parent’s allegations. </w:t>
      </w:r>
    </w:p>
    <w:p w:rsidR="00AF61CA" w:rsidRDefault="00AF61CA" w:rsidP="006738A6">
      <w:pPr>
        <w:spacing w:before="100" w:beforeAutospacing="1" w:afterAutospacing="1"/>
        <w:contextualSpacing/>
        <w:jc w:val="both"/>
        <w:rPr>
          <w:rFonts w:asciiTheme="minorHAnsi" w:eastAsia="Times New Roman" w:hAnsiTheme="minorHAnsi" w:cstheme="minorHAnsi"/>
          <w:kern w:val="28"/>
          <w:sz w:val="22"/>
          <w:szCs w:val="22"/>
        </w:rPr>
      </w:pPr>
    </w:p>
    <w:p w:rsidR="00AF61CA" w:rsidRDefault="00AF61CA" w:rsidP="006738A6">
      <w:pPr>
        <w:spacing w:before="100" w:beforeAutospacing="1" w:afterAutospacing="1"/>
        <w:contextualSpacing/>
        <w:jc w:val="both"/>
        <w:rPr>
          <w:rFonts w:asciiTheme="minorHAnsi" w:eastAsia="Times New Roman" w:hAnsiTheme="minorHAnsi" w:cstheme="minorHAnsi"/>
          <w:kern w:val="28"/>
          <w:sz w:val="22"/>
          <w:szCs w:val="22"/>
        </w:rPr>
      </w:pPr>
      <w:proofErr w:type="gramStart"/>
      <w:r>
        <w:rPr>
          <w:rFonts w:asciiTheme="minorHAnsi" w:eastAsia="Times New Roman" w:hAnsiTheme="minorHAnsi" w:cstheme="minorHAnsi"/>
          <w:kern w:val="28"/>
          <w:sz w:val="22"/>
          <w:szCs w:val="22"/>
        </w:rPr>
        <w:t xml:space="preserve">Parent subsequently filed a complaint against the teacher </w:t>
      </w:r>
      <w:r w:rsidR="003142D7">
        <w:rPr>
          <w:rFonts w:asciiTheme="minorHAnsi" w:eastAsia="Times New Roman" w:hAnsiTheme="minorHAnsi" w:cstheme="minorHAnsi"/>
          <w:kern w:val="28"/>
          <w:sz w:val="22"/>
          <w:szCs w:val="22"/>
        </w:rPr>
        <w:t xml:space="preserve">with (1) </w:t>
      </w:r>
      <w:r w:rsidR="001F3EA0" w:rsidRPr="001F3EA0">
        <w:rPr>
          <w:rFonts w:asciiTheme="minorHAnsi" w:eastAsia="Times New Roman" w:hAnsiTheme="minorHAnsi" w:cstheme="minorHAnsi"/>
          <w:kern w:val="28"/>
          <w:sz w:val="22"/>
          <w:szCs w:val="22"/>
        </w:rPr>
        <w:t xml:space="preserve">the United States Department of Education on grounds that the post violated the Family Educational Rights and Privacy Act, </w:t>
      </w:r>
      <w:r w:rsidR="003142D7">
        <w:rPr>
          <w:rFonts w:asciiTheme="minorHAnsi" w:eastAsia="Times New Roman" w:hAnsiTheme="minorHAnsi" w:cstheme="minorHAnsi"/>
          <w:kern w:val="28"/>
          <w:sz w:val="22"/>
          <w:szCs w:val="22"/>
        </w:rPr>
        <w:t xml:space="preserve">(2) </w:t>
      </w:r>
      <w:r w:rsidR="001F3EA0" w:rsidRPr="001F3EA0">
        <w:rPr>
          <w:rFonts w:asciiTheme="minorHAnsi" w:eastAsia="Times New Roman" w:hAnsiTheme="minorHAnsi" w:cstheme="minorHAnsi"/>
          <w:kern w:val="28"/>
          <w:sz w:val="22"/>
          <w:szCs w:val="22"/>
        </w:rPr>
        <w:t xml:space="preserve">the Federal Trade Commission on grounds that the post violated the Children’s Online Privacy Protection Rule, and </w:t>
      </w:r>
      <w:r w:rsidR="003142D7">
        <w:rPr>
          <w:rFonts w:asciiTheme="minorHAnsi" w:eastAsia="Times New Roman" w:hAnsiTheme="minorHAnsi" w:cstheme="minorHAnsi"/>
          <w:kern w:val="28"/>
          <w:sz w:val="22"/>
          <w:szCs w:val="22"/>
        </w:rPr>
        <w:t xml:space="preserve">(3) </w:t>
      </w:r>
      <w:r w:rsidR="001F3EA0" w:rsidRPr="001F3EA0">
        <w:rPr>
          <w:rFonts w:asciiTheme="minorHAnsi" w:eastAsia="Times New Roman" w:hAnsiTheme="minorHAnsi" w:cstheme="minorHAnsi"/>
          <w:kern w:val="28"/>
          <w:sz w:val="22"/>
          <w:szCs w:val="22"/>
        </w:rPr>
        <w:t>the Teacher Standards and Practices Commission on grounds that the post violated Oregon state law.</w:t>
      </w:r>
      <w:proofErr w:type="gramEnd"/>
      <w:r w:rsidR="0009778D">
        <w:rPr>
          <w:rFonts w:asciiTheme="minorHAnsi" w:eastAsia="Times New Roman" w:hAnsiTheme="minorHAnsi" w:cstheme="minorHAnsi"/>
          <w:kern w:val="28"/>
          <w:sz w:val="22"/>
          <w:szCs w:val="22"/>
        </w:rPr>
        <w:t xml:space="preserve"> On April 9, 2</w:t>
      </w:r>
      <w:r>
        <w:rPr>
          <w:rFonts w:asciiTheme="minorHAnsi" w:eastAsia="Times New Roman" w:hAnsiTheme="minorHAnsi" w:cstheme="minorHAnsi"/>
          <w:kern w:val="28"/>
          <w:sz w:val="22"/>
          <w:szCs w:val="22"/>
        </w:rPr>
        <w:t xml:space="preserve">019, the </w:t>
      </w:r>
      <w:r w:rsidR="003142D7" w:rsidRPr="003142D7">
        <w:rPr>
          <w:rFonts w:asciiTheme="minorHAnsi" w:eastAsia="Times New Roman" w:hAnsiTheme="minorHAnsi" w:cstheme="minorHAnsi"/>
          <w:kern w:val="28"/>
          <w:sz w:val="22"/>
          <w:szCs w:val="22"/>
        </w:rPr>
        <w:t>Teacher Standards and Practices Commission</w:t>
      </w:r>
      <w:r>
        <w:rPr>
          <w:rFonts w:asciiTheme="minorHAnsi" w:eastAsia="Times New Roman" w:hAnsiTheme="minorHAnsi" w:cstheme="minorHAnsi"/>
          <w:kern w:val="28"/>
          <w:sz w:val="22"/>
          <w:szCs w:val="22"/>
        </w:rPr>
        <w:t xml:space="preserve"> notified Parent that it was dismissing </w:t>
      </w:r>
      <w:r w:rsidR="00B022AD">
        <w:rPr>
          <w:rFonts w:asciiTheme="minorHAnsi" w:eastAsia="Times New Roman" w:hAnsiTheme="minorHAnsi" w:cstheme="minorHAnsi"/>
          <w:kern w:val="28"/>
          <w:sz w:val="22"/>
          <w:szCs w:val="22"/>
        </w:rPr>
        <w:t>her complaint</w:t>
      </w:r>
      <w:r>
        <w:rPr>
          <w:rFonts w:asciiTheme="minorHAnsi" w:eastAsia="Times New Roman" w:hAnsiTheme="minorHAnsi" w:cstheme="minorHAnsi"/>
          <w:kern w:val="28"/>
          <w:sz w:val="22"/>
          <w:szCs w:val="22"/>
        </w:rPr>
        <w:t xml:space="preserve"> because it had determined there was insufficient evidence to support Parent’s allegations.</w:t>
      </w:r>
    </w:p>
    <w:p w:rsidR="00E83DD9" w:rsidRDefault="00E83DD9" w:rsidP="006738A6">
      <w:pPr>
        <w:spacing w:before="100" w:beforeAutospacing="1" w:afterAutospacing="1"/>
        <w:contextualSpacing/>
        <w:jc w:val="both"/>
        <w:rPr>
          <w:rFonts w:asciiTheme="minorHAnsi" w:eastAsia="Times New Roman" w:hAnsiTheme="minorHAnsi" w:cstheme="minorHAnsi"/>
          <w:kern w:val="28"/>
          <w:sz w:val="22"/>
          <w:szCs w:val="22"/>
        </w:rPr>
      </w:pPr>
    </w:p>
    <w:p w:rsidR="00E83DD9" w:rsidRDefault="00E83DD9"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On appeal, Parent alleges that on October 30, 2018, the district did not allow Stude</w:t>
      </w:r>
      <w:r w:rsidR="00AF61CA">
        <w:rPr>
          <w:rFonts w:asciiTheme="minorHAnsi" w:eastAsia="Times New Roman" w:hAnsiTheme="minorHAnsi" w:cstheme="minorHAnsi"/>
          <w:kern w:val="28"/>
          <w:sz w:val="22"/>
          <w:szCs w:val="22"/>
        </w:rPr>
        <w:t>nt to participate in a school</w:t>
      </w:r>
      <w:r>
        <w:rPr>
          <w:rFonts w:asciiTheme="minorHAnsi" w:eastAsia="Times New Roman" w:hAnsiTheme="minorHAnsi" w:cstheme="minorHAnsi"/>
          <w:kern w:val="28"/>
          <w:sz w:val="22"/>
          <w:szCs w:val="22"/>
        </w:rPr>
        <w:t xml:space="preserve"> activity. Parent alleges that </w:t>
      </w:r>
      <w:r w:rsidR="00BF38DB">
        <w:rPr>
          <w:rFonts w:asciiTheme="minorHAnsi" w:eastAsia="Times New Roman" w:hAnsiTheme="minorHAnsi" w:cstheme="minorHAnsi"/>
          <w:kern w:val="28"/>
          <w:sz w:val="22"/>
          <w:szCs w:val="22"/>
        </w:rPr>
        <w:t xml:space="preserve">during the </w:t>
      </w:r>
      <w:r w:rsidR="00B022AD">
        <w:rPr>
          <w:rFonts w:asciiTheme="minorHAnsi" w:eastAsia="Times New Roman" w:hAnsiTheme="minorHAnsi" w:cstheme="minorHAnsi"/>
          <w:kern w:val="28"/>
          <w:sz w:val="22"/>
          <w:szCs w:val="22"/>
        </w:rPr>
        <w:t>f</w:t>
      </w:r>
      <w:r w:rsidR="00BF38DB">
        <w:rPr>
          <w:rFonts w:asciiTheme="minorHAnsi" w:eastAsia="Times New Roman" w:hAnsiTheme="minorHAnsi" w:cstheme="minorHAnsi"/>
          <w:kern w:val="28"/>
          <w:sz w:val="22"/>
          <w:szCs w:val="22"/>
        </w:rPr>
        <w:t xml:space="preserve">all of 2018, </w:t>
      </w:r>
      <w:r w:rsidR="003142D7">
        <w:rPr>
          <w:rFonts w:asciiTheme="minorHAnsi" w:eastAsia="Times New Roman" w:hAnsiTheme="minorHAnsi" w:cstheme="minorHAnsi"/>
          <w:kern w:val="28"/>
          <w:sz w:val="22"/>
          <w:szCs w:val="22"/>
        </w:rPr>
        <w:t>Student’s teacher</w:t>
      </w:r>
      <w:r>
        <w:rPr>
          <w:rFonts w:asciiTheme="minorHAnsi" w:eastAsia="Times New Roman" w:hAnsiTheme="minorHAnsi" w:cstheme="minorHAnsi"/>
          <w:kern w:val="28"/>
          <w:sz w:val="22"/>
          <w:szCs w:val="22"/>
        </w:rPr>
        <w:t xml:space="preserve"> called Student “ridiculous” and </w:t>
      </w:r>
      <w:r w:rsidR="00C467C7">
        <w:rPr>
          <w:rFonts w:asciiTheme="minorHAnsi" w:eastAsia="Times New Roman" w:hAnsiTheme="minorHAnsi" w:cstheme="minorHAnsi"/>
          <w:kern w:val="28"/>
          <w:sz w:val="22"/>
          <w:szCs w:val="22"/>
        </w:rPr>
        <w:t xml:space="preserve">took away </w:t>
      </w:r>
      <w:r w:rsidR="00AF61CA">
        <w:rPr>
          <w:rFonts w:asciiTheme="minorHAnsi" w:eastAsia="Times New Roman" w:hAnsiTheme="minorHAnsi" w:cstheme="minorHAnsi"/>
          <w:kern w:val="28"/>
          <w:sz w:val="22"/>
          <w:szCs w:val="22"/>
        </w:rPr>
        <w:t>Student</w:t>
      </w:r>
      <w:r w:rsidR="00C467C7">
        <w:rPr>
          <w:rFonts w:asciiTheme="minorHAnsi" w:eastAsia="Times New Roman" w:hAnsiTheme="minorHAnsi" w:cstheme="minorHAnsi"/>
          <w:kern w:val="28"/>
          <w:sz w:val="22"/>
          <w:szCs w:val="22"/>
        </w:rPr>
        <w:t>’s privileges</w:t>
      </w:r>
      <w:r w:rsidR="00091B13">
        <w:rPr>
          <w:rFonts w:asciiTheme="minorHAnsi" w:eastAsia="Times New Roman" w:hAnsiTheme="minorHAnsi" w:cstheme="minorHAnsi"/>
          <w:kern w:val="28"/>
          <w:sz w:val="22"/>
          <w:szCs w:val="22"/>
        </w:rPr>
        <w:t xml:space="preserve">. </w:t>
      </w:r>
      <w:r w:rsidR="0089291B">
        <w:rPr>
          <w:rFonts w:asciiTheme="minorHAnsi" w:eastAsia="Times New Roman" w:hAnsiTheme="minorHAnsi" w:cstheme="minorHAnsi"/>
          <w:kern w:val="28"/>
          <w:sz w:val="22"/>
          <w:szCs w:val="22"/>
        </w:rPr>
        <w:t xml:space="preserve">Parent finally alleges that on May 1, 2019, after </w:t>
      </w:r>
      <w:r w:rsidR="00EC69AF">
        <w:rPr>
          <w:rFonts w:asciiTheme="minorHAnsi" w:eastAsia="Times New Roman" w:hAnsiTheme="minorHAnsi" w:cstheme="minorHAnsi"/>
          <w:kern w:val="28"/>
          <w:sz w:val="22"/>
          <w:szCs w:val="22"/>
        </w:rPr>
        <w:t xml:space="preserve">an </w:t>
      </w:r>
      <w:r w:rsidR="0089291B">
        <w:rPr>
          <w:rFonts w:asciiTheme="minorHAnsi" w:eastAsia="Times New Roman" w:hAnsiTheme="minorHAnsi" w:cstheme="minorHAnsi"/>
          <w:kern w:val="28"/>
          <w:sz w:val="22"/>
          <w:szCs w:val="22"/>
        </w:rPr>
        <w:t xml:space="preserve">incident where Student </w:t>
      </w:r>
      <w:proofErr w:type="gramStart"/>
      <w:r w:rsidR="0089291B">
        <w:rPr>
          <w:rFonts w:asciiTheme="minorHAnsi" w:eastAsia="Times New Roman" w:hAnsiTheme="minorHAnsi" w:cstheme="minorHAnsi"/>
          <w:kern w:val="28"/>
          <w:sz w:val="22"/>
          <w:szCs w:val="22"/>
        </w:rPr>
        <w:t>was being bullied</w:t>
      </w:r>
      <w:proofErr w:type="gramEnd"/>
      <w:r w:rsidR="0089291B">
        <w:rPr>
          <w:rFonts w:asciiTheme="minorHAnsi" w:eastAsia="Times New Roman" w:hAnsiTheme="minorHAnsi" w:cstheme="minorHAnsi"/>
          <w:kern w:val="28"/>
          <w:sz w:val="22"/>
          <w:szCs w:val="22"/>
        </w:rPr>
        <w:t>, the teacher sent him to the school counselor as punishment.</w:t>
      </w:r>
      <w:r w:rsidR="00A43C54" w:rsidRPr="00A43C54">
        <w:rPr>
          <w:rFonts w:asciiTheme="minorHAnsi" w:eastAsia="Times New Roman" w:hAnsiTheme="minorHAnsi" w:cstheme="minorHAnsi"/>
          <w:kern w:val="28"/>
          <w:sz w:val="22"/>
          <w:szCs w:val="22"/>
        </w:rPr>
        <w:t xml:space="preserve"> </w:t>
      </w:r>
      <w:r w:rsidR="00A43C54">
        <w:rPr>
          <w:rFonts w:asciiTheme="minorHAnsi" w:eastAsia="Times New Roman" w:hAnsiTheme="minorHAnsi" w:cstheme="minorHAnsi"/>
          <w:kern w:val="28"/>
          <w:sz w:val="22"/>
          <w:szCs w:val="22"/>
        </w:rPr>
        <w:t xml:space="preserve">Parent alleges that the district took those actions against Student in retaliation for the complaints she had filed with the district, </w:t>
      </w:r>
      <w:r w:rsidR="00A43C54" w:rsidRPr="00E12471">
        <w:rPr>
          <w:rFonts w:asciiTheme="minorHAnsi" w:eastAsia="Times New Roman" w:hAnsiTheme="minorHAnsi" w:cstheme="minorHAnsi"/>
          <w:kern w:val="28"/>
          <w:sz w:val="22"/>
          <w:szCs w:val="22"/>
        </w:rPr>
        <w:t>the United States Department of Education</w:t>
      </w:r>
      <w:r w:rsidR="00A43C54">
        <w:rPr>
          <w:rFonts w:asciiTheme="minorHAnsi" w:eastAsia="Times New Roman" w:hAnsiTheme="minorHAnsi" w:cstheme="minorHAnsi"/>
          <w:kern w:val="28"/>
          <w:sz w:val="22"/>
          <w:szCs w:val="22"/>
        </w:rPr>
        <w:t>,</w:t>
      </w:r>
      <w:r w:rsidR="00A43C54" w:rsidRPr="00E12471">
        <w:rPr>
          <w:rFonts w:asciiTheme="minorHAnsi" w:eastAsia="Times New Roman" w:hAnsiTheme="minorHAnsi" w:cstheme="minorHAnsi"/>
          <w:kern w:val="28"/>
          <w:sz w:val="22"/>
          <w:szCs w:val="22"/>
        </w:rPr>
        <w:t xml:space="preserve"> the Federal Trade Commission</w:t>
      </w:r>
      <w:r w:rsidR="00A43C54">
        <w:rPr>
          <w:rFonts w:asciiTheme="minorHAnsi" w:eastAsia="Times New Roman" w:hAnsiTheme="minorHAnsi" w:cstheme="minorHAnsi"/>
          <w:kern w:val="28"/>
          <w:sz w:val="22"/>
          <w:szCs w:val="22"/>
        </w:rPr>
        <w:t>,</w:t>
      </w:r>
      <w:r w:rsidR="00A43C54" w:rsidRPr="00E12471">
        <w:rPr>
          <w:rFonts w:asciiTheme="minorHAnsi" w:eastAsia="Times New Roman" w:hAnsiTheme="minorHAnsi" w:cstheme="minorHAnsi"/>
          <w:kern w:val="28"/>
          <w:sz w:val="22"/>
          <w:szCs w:val="22"/>
        </w:rPr>
        <w:t xml:space="preserve"> and the Teacher Standards and Practices Commission</w:t>
      </w:r>
      <w:r w:rsidR="00A43C54">
        <w:rPr>
          <w:rFonts w:asciiTheme="minorHAnsi" w:eastAsia="Times New Roman" w:hAnsiTheme="minorHAnsi" w:cstheme="minorHAnsi"/>
          <w:kern w:val="28"/>
          <w:sz w:val="22"/>
          <w:szCs w:val="22"/>
        </w:rPr>
        <w:t>.</w:t>
      </w:r>
    </w:p>
    <w:p w:rsidR="0089291B" w:rsidRDefault="0089291B" w:rsidP="006738A6">
      <w:pPr>
        <w:spacing w:before="100" w:beforeAutospacing="1" w:afterAutospacing="1"/>
        <w:contextualSpacing/>
        <w:jc w:val="both"/>
        <w:rPr>
          <w:rFonts w:asciiTheme="minorHAnsi" w:eastAsia="Times New Roman" w:hAnsiTheme="minorHAnsi" w:cstheme="minorHAnsi"/>
          <w:kern w:val="28"/>
          <w:sz w:val="22"/>
          <w:szCs w:val="22"/>
        </w:rPr>
      </w:pPr>
    </w:p>
    <w:p w:rsidR="005F5537" w:rsidRDefault="00A43C54"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The Oregon Department of Education accepted</w:t>
      </w:r>
      <w:r w:rsidR="00C467C7">
        <w:rPr>
          <w:rFonts w:asciiTheme="minorHAnsi" w:eastAsia="Times New Roman" w:hAnsiTheme="minorHAnsi" w:cstheme="minorHAnsi"/>
          <w:kern w:val="28"/>
          <w:sz w:val="22"/>
          <w:szCs w:val="22"/>
        </w:rPr>
        <w:t xml:space="preserve"> this appeal pursuant to OAR 581-002-0005, under which the </w:t>
      </w:r>
      <w:r>
        <w:rPr>
          <w:rFonts w:asciiTheme="minorHAnsi" w:eastAsia="Times New Roman" w:hAnsiTheme="minorHAnsi" w:cstheme="minorHAnsi"/>
          <w:kern w:val="28"/>
          <w:sz w:val="22"/>
          <w:szCs w:val="22"/>
        </w:rPr>
        <w:t>d</w:t>
      </w:r>
      <w:r w:rsidR="00C467C7">
        <w:rPr>
          <w:rFonts w:asciiTheme="minorHAnsi" w:eastAsia="Times New Roman" w:hAnsiTheme="minorHAnsi" w:cstheme="minorHAnsi"/>
          <w:kern w:val="28"/>
          <w:sz w:val="22"/>
          <w:szCs w:val="22"/>
        </w:rPr>
        <w:t>epartment may accept an appeal alleging retaliation if the complainant alleges that retaliation occurred in response to a complaint for which the complainant received a final decision.</w:t>
      </w:r>
    </w:p>
    <w:p w:rsidR="00C467C7" w:rsidRDefault="00C467C7" w:rsidP="006738A6">
      <w:pPr>
        <w:spacing w:before="100" w:beforeAutospacing="1" w:afterAutospacing="1"/>
        <w:contextualSpacing/>
        <w:jc w:val="both"/>
        <w:rPr>
          <w:rFonts w:asciiTheme="minorHAnsi" w:eastAsia="Times New Roman" w:hAnsiTheme="minorHAnsi" w:cstheme="minorHAnsi"/>
          <w:kern w:val="28"/>
          <w:sz w:val="22"/>
          <w:szCs w:val="22"/>
        </w:rPr>
      </w:pPr>
    </w:p>
    <w:p w:rsidR="00C467C7" w:rsidRDefault="00A43C54" w:rsidP="00291B20">
      <w:pPr>
        <w:pStyle w:val="Heading2"/>
      </w:pPr>
      <w:r>
        <w:t>FINDINGS OF FACT</w:t>
      </w:r>
    </w:p>
    <w:p w:rsidR="00100931" w:rsidRDefault="00100931" w:rsidP="00100931">
      <w:pPr>
        <w:spacing w:before="100" w:beforeAutospacing="1" w:afterAutospacing="1"/>
        <w:contextualSpacing/>
        <w:jc w:val="center"/>
        <w:rPr>
          <w:rFonts w:asciiTheme="minorHAnsi" w:eastAsia="Times New Roman" w:hAnsiTheme="minorHAnsi" w:cstheme="minorHAnsi"/>
          <w:b/>
          <w:kern w:val="28"/>
          <w:sz w:val="22"/>
          <w:szCs w:val="22"/>
        </w:rPr>
      </w:pPr>
    </w:p>
    <w:p w:rsidR="00100931" w:rsidRDefault="00100931" w:rsidP="00100931">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After conducting its investigation, I am making the following findings of fact:</w:t>
      </w:r>
    </w:p>
    <w:p w:rsidR="00100931" w:rsidRDefault="0075254A" w:rsidP="00100931">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At the beginning of the 2018-2019 school year, a</w:t>
      </w:r>
      <w:r w:rsidR="006E1879">
        <w:rPr>
          <w:rFonts w:asciiTheme="minorHAnsi" w:eastAsia="Times New Roman" w:hAnsiTheme="minorHAnsi" w:cstheme="minorHAnsi"/>
          <w:kern w:val="28"/>
          <w:sz w:val="22"/>
          <w:szCs w:val="22"/>
        </w:rPr>
        <w:t xml:space="preserve"> teacher employed by Gresham-Barlow School District notified parents that she would be using a social media </w:t>
      </w:r>
      <w:r w:rsidR="003142D7">
        <w:rPr>
          <w:rFonts w:asciiTheme="minorHAnsi" w:eastAsia="Times New Roman" w:hAnsiTheme="minorHAnsi" w:cstheme="minorHAnsi"/>
          <w:kern w:val="28"/>
          <w:sz w:val="22"/>
          <w:szCs w:val="22"/>
        </w:rPr>
        <w:t>application</w:t>
      </w:r>
      <w:r w:rsidR="006E1879">
        <w:rPr>
          <w:rFonts w:asciiTheme="minorHAnsi" w:eastAsia="Times New Roman" w:hAnsiTheme="minorHAnsi" w:cstheme="minorHAnsi"/>
          <w:kern w:val="28"/>
          <w:sz w:val="22"/>
          <w:szCs w:val="22"/>
        </w:rPr>
        <w:t xml:space="preserve"> called </w:t>
      </w:r>
      <w:proofErr w:type="spellStart"/>
      <w:r w:rsidR="006E1879">
        <w:rPr>
          <w:rFonts w:asciiTheme="minorHAnsi" w:eastAsia="Times New Roman" w:hAnsiTheme="minorHAnsi" w:cstheme="minorHAnsi"/>
          <w:kern w:val="28"/>
          <w:sz w:val="22"/>
          <w:szCs w:val="22"/>
        </w:rPr>
        <w:t>Flipgrid</w:t>
      </w:r>
      <w:proofErr w:type="spellEnd"/>
      <w:r w:rsidR="006E1879">
        <w:rPr>
          <w:rFonts w:asciiTheme="minorHAnsi" w:eastAsia="Times New Roman" w:hAnsiTheme="minorHAnsi" w:cstheme="minorHAnsi"/>
          <w:kern w:val="28"/>
          <w:sz w:val="22"/>
          <w:szCs w:val="22"/>
        </w:rPr>
        <w:t xml:space="preserve"> to post pictures</w:t>
      </w:r>
      <w:r w:rsidR="00BA7BBC">
        <w:rPr>
          <w:rFonts w:asciiTheme="minorHAnsi" w:eastAsia="Times New Roman" w:hAnsiTheme="minorHAnsi" w:cstheme="minorHAnsi"/>
          <w:kern w:val="28"/>
          <w:sz w:val="22"/>
          <w:szCs w:val="22"/>
        </w:rPr>
        <w:t xml:space="preserve"> and video</w:t>
      </w:r>
      <w:r w:rsidR="006E1879">
        <w:rPr>
          <w:rFonts w:asciiTheme="minorHAnsi" w:eastAsia="Times New Roman" w:hAnsiTheme="minorHAnsi" w:cstheme="minorHAnsi"/>
          <w:kern w:val="28"/>
          <w:sz w:val="22"/>
          <w:szCs w:val="22"/>
        </w:rPr>
        <w:t xml:space="preserve"> </w:t>
      </w:r>
      <w:r>
        <w:rPr>
          <w:rFonts w:asciiTheme="minorHAnsi" w:eastAsia="Times New Roman" w:hAnsiTheme="minorHAnsi" w:cstheme="minorHAnsi"/>
          <w:kern w:val="28"/>
          <w:sz w:val="22"/>
          <w:szCs w:val="22"/>
        </w:rPr>
        <w:t xml:space="preserve">of students on </w:t>
      </w:r>
      <w:r w:rsidR="006E1879">
        <w:rPr>
          <w:rFonts w:asciiTheme="minorHAnsi" w:eastAsia="Times New Roman" w:hAnsiTheme="minorHAnsi" w:cstheme="minorHAnsi"/>
          <w:kern w:val="28"/>
          <w:sz w:val="22"/>
          <w:szCs w:val="22"/>
        </w:rPr>
        <w:t xml:space="preserve">a secure website that </w:t>
      </w:r>
      <w:proofErr w:type="gramStart"/>
      <w:r w:rsidR="006E1879">
        <w:rPr>
          <w:rFonts w:asciiTheme="minorHAnsi" w:eastAsia="Times New Roman" w:hAnsiTheme="minorHAnsi" w:cstheme="minorHAnsi"/>
          <w:kern w:val="28"/>
          <w:sz w:val="22"/>
          <w:szCs w:val="22"/>
        </w:rPr>
        <w:t>could only be accessed</w:t>
      </w:r>
      <w:proofErr w:type="gramEnd"/>
      <w:r w:rsidR="006E1879">
        <w:rPr>
          <w:rFonts w:asciiTheme="minorHAnsi" w:eastAsia="Times New Roman" w:hAnsiTheme="minorHAnsi" w:cstheme="minorHAnsi"/>
          <w:kern w:val="28"/>
          <w:sz w:val="22"/>
          <w:szCs w:val="22"/>
        </w:rPr>
        <w:t xml:space="preserve"> by the teacher and the parents.</w:t>
      </w:r>
    </w:p>
    <w:p w:rsidR="006E1879" w:rsidRDefault="006E1879" w:rsidP="006E1879">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BA7BBC" w:rsidRDefault="00BA7BBC"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On September 21, 2018, Parent responded to the notice by sending an email stating that the teacher could post pictures and video of Student as long as the teacher did not “share” the pictures and video.</w:t>
      </w:r>
    </w:p>
    <w:p w:rsidR="00BA7BBC" w:rsidRPr="00BA7BBC" w:rsidRDefault="00BA7BBC" w:rsidP="00BA7BBC">
      <w:pPr>
        <w:pStyle w:val="ListParagraph"/>
        <w:rPr>
          <w:rFonts w:asciiTheme="minorHAnsi" w:eastAsia="Times New Roman" w:hAnsiTheme="minorHAnsi" w:cstheme="minorHAnsi"/>
          <w:kern w:val="28"/>
          <w:sz w:val="22"/>
          <w:szCs w:val="22"/>
        </w:rPr>
      </w:pPr>
    </w:p>
    <w:p w:rsidR="00090EF1" w:rsidRPr="00090EF1" w:rsidRDefault="00BA7BBC" w:rsidP="00090EF1">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sidRPr="00BA7BBC">
        <w:rPr>
          <w:rFonts w:asciiTheme="minorHAnsi" w:eastAsia="Times New Roman" w:hAnsiTheme="minorHAnsi" w:cstheme="minorHAnsi"/>
          <w:kern w:val="28"/>
          <w:sz w:val="22"/>
          <w:szCs w:val="22"/>
        </w:rPr>
        <w:t>On October</w:t>
      </w:r>
      <w:r>
        <w:rPr>
          <w:rFonts w:asciiTheme="minorHAnsi" w:eastAsia="Times New Roman" w:hAnsiTheme="minorHAnsi" w:cstheme="minorHAnsi"/>
          <w:kern w:val="28"/>
          <w:sz w:val="22"/>
          <w:szCs w:val="22"/>
        </w:rPr>
        <w:t xml:space="preserve"> 3, 2018, Parent sent</w:t>
      </w:r>
      <w:r w:rsidRPr="00BA7BBC">
        <w:rPr>
          <w:rFonts w:asciiTheme="minorHAnsi" w:eastAsia="Times New Roman" w:hAnsiTheme="minorHAnsi" w:cstheme="minorHAnsi"/>
          <w:kern w:val="28"/>
          <w:sz w:val="22"/>
          <w:szCs w:val="22"/>
        </w:rPr>
        <w:t xml:space="preserve"> the teacher an email stating that</w:t>
      </w:r>
      <w:r w:rsidR="003142D7">
        <w:rPr>
          <w:rFonts w:asciiTheme="minorHAnsi" w:eastAsia="Times New Roman" w:hAnsiTheme="minorHAnsi" w:cstheme="minorHAnsi"/>
          <w:kern w:val="28"/>
          <w:sz w:val="22"/>
          <w:szCs w:val="22"/>
        </w:rPr>
        <w:t xml:space="preserve"> she</w:t>
      </w:r>
      <w:r w:rsidRPr="00BA7BBC">
        <w:rPr>
          <w:rFonts w:asciiTheme="minorHAnsi" w:eastAsia="Times New Roman" w:hAnsiTheme="minorHAnsi" w:cstheme="minorHAnsi"/>
          <w:kern w:val="28"/>
          <w:sz w:val="22"/>
          <w:szCs w:val="22"/>
        </w:rPr>
        <w:t xml:space="preserve"> </w:t>
      </w:r>
      <w:r>
        <w:rPr>
          <w:rFonts w:asciiTheme="minorHAnsi" w:eastAsia="Times New Roman" w:hAnsiTheme="minorHAnsi" w:cstheme="minorHAnsi"/>
          <w:kern w:val="28"/>
          <w:sz w:val="22"/>
          <w:szCs w:val="22"/>
        </w:rPr>
        <w:t>wa</w:t>
      </w:r>
      <w:r w:rsidRPr="00BA7BBC">
        <w:rPr>
          <w:rFonts w:asciiTheme="minorHAnsi" w:eastAsia="Times New Roman" w:hAnsiTheme="minorHAnsi" w:cstheme="minorHAnsi"/>
          <w:kern w:val="28"/>
          <w:sz w:val="22"/>
          <w:szCs w:val="22"/>
        </w:rPr>
        <w:t xml:space="preserve">s upset about </w:t>
      </w:r>
      <w:r w:rsidR="003142D7">
        <w:rPr>
          <w:rFonts w:asciiTheme="minorHAnsi" w:eastAsia="Times New Roman" w:hAnsiTheme="minorHAnsi" w:cstheme="minorHAnsi"/>
          <w:kern w:val="28"/>
          <w:sz w:val="22"/>
          <w:szCs w:val="22"/>
        </w:rPr>
        <w:t>the teacher</w:t>
      </w:r>
      <w:r w:rsidRPr="00BA7BBC">
        <w:rPr>
          <w:rFonts w:asciiTheme="minorHAnsi" w:eastAsia="Times New Roman" w:hAnsiTheme="minorHAnsi" w:cstheme="minorHAnsi"/>
          <w:kern w:val="28"/>
          <w:sz w:val="22"/>
          <w:szCs w:val="22"/>
        </w:rPr>
        <w:t xml:space="preserve"> post</w:t>
      </w:r>
      <w:r>
        <w:rPr>
          <w:rFonts w:asciiTheme="minorHAnsi" w:eastAsia="Times New Roman" w:hAnsiTheme="minorHAnsi" w:cstheme="minorHAnsi"/>
          <w:kern w:val="28"/>
          <w:sz w:val="22"/>
          <w:szCs w:val="22"/>
        </w:rPr>
        <w:t>ing</w:t>
      </w:r>
      <w:r w:rsidRPr="00BA7BBC">
        <w:rPr>
          <w:rFonts w:asciiTheme="minorHAnsi" w:eastAsia="Times New Roman" w:hAnsiTheme="minorHAnsi" w:cstheme="minorHAnsi"/>
          <w:kern w:val="28"/>
          <w:sz w:val="22"/>
          <w:szCs w:val="22"/>
        </w:rPr>
        <w:t xml:space="preserve"> a video of </w:t>
      </w:r>
      <w:r w:rsidR="00090EF1">
        <w:rPr>
          <w:rFonts w:asciiTheme="minorHAnsi" w:eastAsia="Times New Roman" w:hAnsiTheme="minorHAnsi" w:cstheme="minorHAnsi"/>
          <w:kern w:val="28"/>
          <w:sz w:val="22"/>
          <w:szCs w:val="22"/>
        </w:rPr>
        <w:t>Student</w:t>
      </w:r>
      <w:r w:rsidR="003142D7">
        <w:rPr>
          <w:rFonts w:asciiTheme="minorHAnsi" w:eastAsia="Times New Roman" w:hAnsiTheme="minorHAnsi" w:cstheme="minorHAnsi"/>
          <w:kern w:val="28"/>
          <w:sz w:val="22"/>
          <w:szCs w:val="22"/>
        </w:rPr>
        <w:t xml:space="preserve"> online</w:t>
      </w:r>
      <w:r w:rsidRPr="00BA7BBC">
        <w:rPr>
          <w:rFonts w:asciiTheme="minorHAnsi" w:eastAsia="Times New Roman" w:hAnsiTheme="minorHAnsi" w:cstheme="minorHAnsi"/>
          <w:kern w:val="28"/>
          <w:sz w:val="22"/>
          <w:szCs w:val="22"/>
        </w:rPr>
        <w:t xml:space="preserve">. </w:t>
      </w:r>
      <w:r w:rsidR="00551B9D">
        <w:rPr>
          <w:rFonts w:asciiTheme="minorHAnsi" w:eastAsia="Times New Roman" w:hAnsiTheme="minorHAnsi" w:cstheme="minorHAnsi"/>
          <w:kern w:val="28"/>
          <w:sz w:val="22"/>
          <w:szCs w:val="22"/>
        </w:rPr>
        <w:t>In Parent’s words, she “[c]</w:t>
      </w:r>
      <w:proofErr w:type="spellStart"/>
      <w:r w:rsidR="00551B9D">
        <w:rPr>
          <w:rFonts w:asciiTheme="minorHAnsi" w:eastAsia="Times New Roman" w:hAnsiTheme="minorHAnsi" w:cstheme="minorHAnsi"/>
          <w:kern w:val="28"/>
          <w:sz w:val="22"/>
          <w:szCs w:val="22"/>
        </w:rPr>
        <w:t>ame</w:t>
      </w:r>
      <w:proofErr w:type="spellEnd"/>
      <w:r w:rsidR="00551B9D">
        <w:rPr>
          <w:rFonts w:asciiTheme="minorHAnsi" w:eastAsia="Times New Roman" w:hAnsiTheme="minorHAnsi" w:cstheme="minorHAnsi"/>
          <w:kern w:val="28"/>
          <w:sz w:val="22"/>
          <w:szCs w:val="22"/>
        </w:rPr>
        <w:t xml:space="preserve"> home from work to discover a video of my child was posted to the [web</w:t>
      </w:r>
      <w:proofErr w:type="gramStart"/>
      <w:r w:rsidR="00551B9D">
        <w:rPr>
          <w:rFonts w:asciiTheme="minorHAnsi" w:eastAsia="Times New Roman" w:hAnsiTheme="minorHAnsi" w:cstheme="minorHAnsi"/>
          <w:kern w:val="28"/>
          <w:sz w:val="22"/>
          <w:szCs w:val="22"/>
        </w:rPr>
        <w:t>]site</w:t>
      </w:r>
      <w:proofErr w:type="gramEnd"/>
      <w:r w:rsidR="00551B9D">
        <w:rPr>
          <w:rFonts w:asciiTheme="minorHAnsi" w:eastAsia="Times New Roman" w:hAnsiTheme="minorHAnsi" w:cstheme="minorHAnsi"/>
          <w:kern w:val="28"/>
          <w:sz w:val="22"/>
          <w:szCs w:val="22"/>
        </w:rPr>
        <w:t>.”</w:t>
      </w:r>
    </w:p>
    <w:p w:rsidR="00BA7BBC" w:rsidRPr="00BA7BBC" w:rsidRDefault="00BA7BBC" w:rsidP="00BA7BBC">
      <w:pPr>
        <w:pStyle w:val="ListParagraph"/>
        <w:rPr>
          <w:rFonts w:asciiTheme="minorHAnsi" w:eastAsia="Times New Roman" w:hAnsiTheme="minorHAnsi" w:cstheme="minorHAnsi"/>
          <w:kern w:val="28"/>
          <w:sz w:val="22"/>
          <w:szCs w:val="22"/>
        </w:rPr>
      </w:pPr>
    </w:p>
    <w:p w:rsidR="00BA7BBC" w:rsidRPr="00BA7BBC" w:rsidRDefault="00BA7BBC"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sidRPr="00BA7BBC">
        <w:rPr>
          <w:rFonts w:asciiTheme="minorHAnsi" w:eastAsia="Times New Roman" w:hAnsiTheme="minorHAnsi" w:cstheme="minorHAnsi"/>
          <w:kern w:val="28"/>
          <w:sz w:val="22"/>
          <w:szCs w:val="22"/>
        </w:rPr>
        <w:t>On October 15, 2018, the district opened an investigation.</w:t>
      </w:r>
    </w:p>
    <w:p w:rsidR="00BA7BBC" w:rsidRPr="00BA7BBC" w:rsidRDefault="00BA7BBC" w:rsidP="00BA7BBC">
      <w:pPr>
        <w:pStyle w:val="ListParagraph"/>
        <w:rPr>
          <w:rFonts w:asciiTheme="minorHAnsi" w:eastAsia="Times New Roman" w:hAnsiTheme="minorHAnsi" w:cstheme="minorHAnsi"/>
          <w:kern w:val="28"/>
          <w:sz w:val="22"/>
          <w:szCs w:val="22"/>
        </w:rPr>
      </w:pPr>
    </w:p>
    <w:p w:rsidR="00090EF1" w:rsidRDefault="00BA7BBC"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October 16, 2018, the district concluded its investigation. </w:t>
      </w:r>
      <w:r w:rsidR="00090EF1">
        <w:rPr>
          <w:rFonts w:asciiTheme="minorHAnsi" w:eastAsia="Times New Roman" w:hAnsiTheme="minorHAnsi" w:cstheme="minorHAnsi"/>
          <w:kern w:val="28"/>
          <w:sz w:val="22"/>
          <w:szCs w:val="22"/>
        </w:rPr>
        <w:t xml:space="preserve">In its response, the district claims that the </w:t>
      </w:r>
      <w:r w:rsidR="003142D7">
        <w:rPr>
          <w:rFonts w:asciiTheme="minorHAnsi" w:eastAsia="Times New Roman" w:hAnsiTheme="minorHAnsi" w:cstheme="minorHAnsi"/>
          <w:kern w:val="28"/>
          <w:sz w:val="22"/>
          <w:szCs w:val="22"/>
        </w:rPr>
        <w:t>video</w:t>
      </w:r>
      <w:r w:rsidR="00090EF1">
        <w:rPr>
          <w:rFonts w:asciiTheme="minorHAnsi" w:eastAsia="Times New Roman" w:hAnsiTheme="minorHAnsi" w:cstheme="minorHAnsi"/>
          <w:kern w:val="28"/>
          <w:sz w:val="22"/>
          <w:szCs w:val="22"/>
        </w:rPr>
        <w:t xml:space="preserve"> did not contain </w:t>
      </w:r>
      <w:r w:rsidR="003142D7">
        <w:rPr>
          <w:rFonts w:asciiTheme="minorHAnsi" w:eastAsia="Times New Roman" w:hAnsiTheme="minorHAnsi" w:cstheme="minorHAnsi"/>
          <w:kern w:val="28"/>
          <w:sz w:val="22"/>
          <w:szCs w:val="22"/>
        </w:rPr>
        <w:t>images</w:t>
      </w:r>
      <w:r w:rsidR="00090EF1">
        <w:rPr>
          <w:rFonts w:asciiTheme="minorHAnsi" w:eastAsia="Times New Roman" w:hAnsiTheme="minorHAnsi" w:cstheme="minorHAnsi"/>
          <w:kern w:val="28"/>
          <w:sz w:val="22"/>
          <w:szCs w:val="22"/>
        </w:rPr>
        <w:t xml:space="preserve"> of </w:t>
      </w:r>
      <w:r w:rsidR="00532087">
        <w:rPr>
          <w:rFonts w:asciiTheme="minorHAnsi" w:eastAsia="Times New Roman" w:hAnsiTheme="minorHAnsi" w:cstheme="minorHAnsi"/>
          <w:kern w:val="28"/>
          <w:sz w:val="22"/>
          <w:szCs w:val="22"/>
        </w:rPr>
        <w:t>S</w:t>
      </w:r>
      <w:r w:rsidR="00090EF1">
        <w:rPr>
          <w:rFonts w:asciiTheme="minorHAnsi" w:eastAsia="Times New Roman" w:hAnsiTheme="minorHAnsi" w:cstheme="minorHAnsi"/>
          <w:kern w:val="28"/>
          <w:sz w:val="22"/>
          <w:szCs w:val="22"/>
        </w:rPr>
        <w:t xml:space="preserve">tudent. The district claims that the </w:t>
      </w:r>
      <w:r w:rsidR="003142D7">
        <w:rPr>
          <w:rFonts w:asciiTheme="minorHAnsi" w:eastAsia="Times New Roman" w:hAnsiTheme="minorHAnsi" w:cstheme="minorHAnsi"/>
          <w:kern w:val="28"/>
          <w:sz w:val="22"/>
          <w:szCs w:val="22"/>
        </w:rPr>
        <w:t>video</w:t>
      </w:r>
      <w:r w:rsidR="00090EF1">
        <w:rPr>
          <w:rFonts w:asciiTheme="minorHAnsi" w:eastAsia="Times New Roman" w:hAnsiTheme="minorHAnsi" w:cstheme="minorHAnsi"/>
          <w:kern w:val="28"/>
          <w:sz w:val="22"/>
          <w:szCs w:val="22"/>
        </w:rPr>
        <w:t xml:space="preserve"> only contained a</w:t>
      </w:r>
      <w:r w:rsidR="003142D7">
        <w:rPr>
          <w:rFonts w:asciiTheme="minorHAnsi" w:eastAsia="Times New Roman" w:hAnsiTheme="minorHAnsi" w:cstheme="minorHAnsi"/>
          <w:kern w:val="28"/>
          <w:sz w:val="22"/>
          <w:szCs w:val="22"/>
        </w:rPr>
        <w:t>n off-camera</w:t>
      </w:r>
      <w:r w:rsidR="00090EF1">
        <w:rPr>
          <w:rFonts w:asciiTheme="minorHAnsi" w:eastAsia="Times New Roman" w:hAnsiTheme="minorHAnsi" w:cstheme="minorHAnsi"/>
          <w:kern w:val="28"/>
          <w:sz w:val="22"/>
          <w:szCs w:val="22"/>
        </w:rPr>
        <w:t xml:space="preserve"> recording of Student’s voice. The district dismissed Parent’s case on the basis that there was </w:t>
      </w:r>
      <w:r>
        <w:rPr>
          <w:rFonts w:asciiTheme="minorHAnsi" w:eastAsia="Times New Roman" w:hAnsiTheme="minorHAnsi" w:cstheme="minorHAnsi"/>
          <w:kern w:val="28"/>
          <w:sz w:val="22"/>
          <w:szCs w:val="22"/>
        </w:rPr>
        <w:t>insufficient evidence to support Parent’s allegation.</w:t>
      </w:r>
    </w:p>
    <w:p w:rsidR="007A3B8D" w:rsidRPr="007A3B8D" w:rsidRDefault="007A3B8D" w:rsidP="007A3B8D">
      <w:pPr>
        <w:pStyle w:val="ListParagraph"/>
        <w:rPr>
          <w:rFonts w:asciiTheme="minorHAnsi" w:eastAsia="Times New Roman" w:hAnsiTheme="minorHAnsi" w:cstheme="minorHAnsi"/>
          <w:kern w:val="28"/>
          <w:sz w:val="22"/>
          <w:szCs w:val="22"/>
        </w:rPr>
      </w:pPr>
    </w:p>
    <w:p w:rsidR="007A3B8D" w:rsidRDefault="007A3B8D"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Following the district’s investigation, </w:t>
      </w:r>
      <w:r w:rsidR="003943DB">
        <w:rPr>
          <w:rFonts w:asciiTheme="minorHAnsi" w:eastAsia="Times New Roman" w:hAnsiTheme="minorHAnsi" w:cstheme="minorHAnsi"/>
          <w:kern w:val="28"/>
          <w:sz w:val="22"/>
          <w:szCs w:val="22"/>
        </w:rPr>
        <w:t>it</w:t>
      </w:r>
      <w:r>
        <w:rPr>
          <w:rFonts w:asciiTheme="minorHAnsi" w:eastAsia="Times New Roman" w:hAnsiTheme="minorHAnsi" w:cstheme="minorHAnsi"/>
          <w:kern w:val="28"/>
          <w:sz w:val="22"/>
          <w:szCs w:val="22"/>
        </w:rPr>
        <w:t xml:space="preserve"> deleted </w:t>
      </w:r>
      <w:r w:rsidR="003943DB">
        <w:rPr>
          <w:rFonts w:asciiTheme="minorHAnsi" w:eastAsia="Times New Roman" w:hAnsiTheme="minorHAnsi" w:cstheme="minorHAnsi"/>
          <w:kern w:val="28"/>
          <w:sz w:val="22"/>
          <w:szCs w:val="22"/>
        </w:rPr>
        <w:t xml:space="preserve">the </w:t>
      </w:r>
      <w:r w:rsidR="003142D7">
        <w:rPr>
          <w:rFonts w:asciiTheme="minorHAnsi" w:eastAsia="Times New Roman" w:hAnsiTheme="minorHAnsi" w:cstheme="minorHAnsi"/>
          <w:kern w:val="28"/>
          <w:sz w:val="22"/>
          <w:szCs w:val="22"/>
        </w:rPr>
        <w:t>video</w:t>
      </w:r>
      <w:r w:rsidR="003943DB">
        <w:rPr>
          <w:rFonts w:asciiTheme="minorHAnsi" w:eastAsia="Times New Roman" w:hAnsiTheme="minorHAnsi" w:cstheme="minorHAnsi"/>
          <w:kern w:val="28"/>
          <w:sz w:val="22"/>
          <w:szCs w:val="22"/>
        </w:rPr>
        <w:t xml:space="preserve"> </w:t>
      </w:r>
      <w:r>
        <w:rPr>
          <w:rFonts w:asciiTheme="minorHAnsi" w:eastAsia="Times New Roman" w:hAnsiTheme="minorHAnsi" w:cstheme="minorHAnsi"/>
          <w:kern w:val="28"/>
          <w:sz w:val="22"/>
          <w:szCs w:val="22"/>
        </w:rPr>
        <w:t>from the secure website.</w:t>
      </w:r>
    </w:p>
    <w:p w:rsidR="00532087" w:rsidRPr="00532087" w:rsidRDefault="00532087" w:rsidP="00532087">
      <w:pPr>
        <w:pStyle w:val="ListParagraph"/>
        <w:rPr>
          <w:rFonts w:asciiTheme="minorHAnsi" w:eastAsia="Times New Roman" w:hAnsiTheme="minorHAnsi" w:cstheme="minorHAnsi"/>
          <w:kern w:val="28"/>
          <w:sz w:val="22"/>
          <w:szCs w:val="22"/>
        </w:rPr>
      </w:pPr>
    </w:p>
    <w:p w:rsidR="00532087" w:rsidRDefault="00532087"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Parent filed complaints with </w:t>
      </w:r>
      <w:r w:rsidR="003142D7">
        <w:rPr>
          <w:rFonts w:asciiTheme="minorHAnsi" w:eastAsia="Times New Roman" w:hAnsiTheme="minorHAnsi" w:cstheme="minorHAnsi"/>
          <w:kern w:val="28"/>
          <w:sz w:val="22"/>
          <w:szCs w:val="22"/>
        </w:rPr>
        <w:t xml:space="preserve">(1) </w:t>
      </w:r>
      <w:r>
        <w:rPr>
          <w:rFonts w:asciiTheme="minorHAnsi" w:eastAsia="Times New Roman" w:hAnsiTheme="minorHAnsi" w:cstheme="minorHAnsi"/>
          <w:kern w:val="28"/>
          <w:sz w:val="22"/>
          <w:szCs w:val="22"/>
        </w:rPr>
        <w:t xml:space="preserve">the United States Department of Education on grounds that the post violated the Family Educational Rights and Privacy Act, </w:t>
      </w:r>
      <w:r w:rsidR="003142D7">
        <w:rPr>
          <w:rFonts w:asciiTheme="minorHAnsi" w:eastAsia="Times New Roman" w:hAnsiTheme="minorHAnsi" w:cstheme="minorHAnsi"/>
          <w:kern w:val="28"/>
          <w:sz w:val="22"/>
          <w:szCs w:val="22"/>
        </w:rPr>
        <w:t xml:space="preserve">(2) </w:t>
      </w:r>
      <w:r>
        <w:rPr>
          <w:rFonts w:asciiTheme="minorHAnsi" w:eastAsia="Times New Roman" w:hAnsiTheme="minorHAnsi" w:cstheme="minorHAnsi"/>
          <w:kern w:val="28"/>
          <w:sz w:val="22"/>
          <w:szCs w:val="22"/>
        </w:rPr>
        <w:t xml:space="preserve">the Federal Trade Commission on grounds that the post violated the Children’s Online Privacy Protection Rule, and </w:t>
      </w:r>
      <w:r w:rsidR="003142D7">
        <w:rPr>
          <w:rFonts w:asciiTheme="minorHAnsi" w:eastAsia="Times New Roman" w:hAnsiTheme="minorHAnsi" w:cstheme="minorHAnsi"/>
          <w:kern w:val="28"/>
          <w:sz w:val="22"/>
          <w:szCs w:val="22"/>
        </w:rPr>
        <w:t xml:space="preserve">(3) </w:t>
      </w:r>
      <w:r>
        <w:rPr>
          <w:rFonts w:asciiTheme="minorHAnsi" w:eastAsia="Times New Roman" w:hAnsiTheme="minorHAnsi" w:cstheme="minorHAnsi"/>
          <w:kern w:val="28"/>
          <w:sz w:val="22"/>
          <w:szCs w:val="22"/>
        </w:rPr>
        <w:t xml:space="preserve">the Teacher Standards and Practices Commission on grounds that the post violated </w:t>
      </w:r>
      <w:r w:rsidR="002662A8">
        <w:rPr>
          <w:rFonts w:asciiTheme="minorHAnsi" w:eastAsia="Times New Roman" w:hAnsiTheme="minorHAnsi" w:cstheme="minorHAnsi"/>
          <w:kern w:val="28"/>
          <w:sz w:val="22"/>
          <w:szCs w:val="22"/>
        </w:rPr>
        <w:t>Oregon state law.</w:t>
      </w:r>
    </w:p>
    <w:p w:rsidR="00BF38DB" w:rsidRPr="00BF38DB" w:rsidRDefault="00BF38DB" w:rsidP="00BF38DB">
      <w:pPr>
        <w:pStyle w:val="ListParagraph"/>
        <w:rPr>
          <w:rFonts w:asciiTheme="minorHAnsi" w:eastAsia="Times New Roman" w:hAnsiTheme="minorHAnsi" w:cstheme="minorHAnsi"/>
          <w:kern w:val="28"/>
          <w:sz w:val="22"/>
          <w:szCs w:val="22"/>
        </w:rPr>
      </w:pPr>
    </w:p>
    <w:p w:rsidR="00BF38DB" w:rsidRDefault="00BF38DB"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Parent alleges that on October 30, 2018, the teacher </w:t>
      </w:r>
      <w:r w:rsidRPr="00BF38DB">
        <w:rPr>
          <w:rFonts w:asciiTheme="minorHAnsi" w:eastAsia="Times New Roman" w:hAnsiTheme="minorHAnsi" w:cstheme="minorHAnsi"/>
          <w:kern w:val="28"/>
          <w:sz w:val="22"/>
          <w:szCs w:val="22"/>
        </w:rPr>
        <w:t>did not allow Student to participate in a school activity</w:t>
      </w:r>
      <w:r>
        <w:rPr>
          <w:rFonts w:asciiTheme="minorHAnsi" w:eastAsia="Times New Roman" w:hAnsiTheme="minorHAnsi" w:cstheme="minorHAnsi"/>
          <w:kern w:val="28"/>
          <w:sz w:val="22"/>
          <w:szCs w:val="22"/>
        </w:rPr>
        <w:t xml:space="preserve"> because the activity required students to post a picture of themselves on the secure website. Parent claims that she contacted the principal of the school to complain about the incident and that the teacher subsequently allowed Student to participate in the activity.</w:t>
      </w:r>
    </w:p>
    <w:p w:rsidR="00BF38DB" w:rsidRPr="00BF38DB" w:rsidRDefault="00BF38DB" w:rsidP="00BF38DB">
      <w:pPr>
        <w:pStyle w:val="ListParagraph"/>
        <w:rPr>
          <w:rFonts w:asciiTheme="minorHAnsi" w:eastAsia="Times New Roman" w:hAnsiTheme="minorHAnsi" w:cstheme="minorHAnsi"/>
          <w:kern w:val="28"/>
          <w:sz w:val="22"/>
          <w:szCs w:val="22"/>
        </w:rPr>
      </w:pPr>
    </w:p>
    <w:p w:rsidR="00BF38DB" w:rsidRDefault="00B022AD"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Parent alleges that during the fall of 2018, the teacher was “unable to control her anger” and called Student “ridiculous.” Parent alleges that the teacher also took away Student’s privileges. Parent specifically alleges that the teacher had “time taken away from </w:t>
      </w:r>
      <w:r w:rsidR="003142D7">
        <w:rPr>
          <w:rFonts w:asciiTheme="minorHAnsi" w:eastAsia="Times New Roman" w:hAnsiTheme="minorHAnsi" w:cstheme="minorHAnsi"/>
          <w:kern w:val="28"/>
          <w:sz w:val="22"/>
          <w:szCs w:val="22"/>
        </w:rPr>
        <w:t>[Student’s]</w:t>
      </w:r>
      <w:r>
        <w:rPr>
          <w:rFonts w:asciiTheme="minorHAnsi" w:eastAsia="Times New Roman" w:hAnsiTheme="minorHAnsi" w:cstheme="minorHAnsi"/>
          <w:kern w:val="28"/>
          <w:sz w:val="22"/>
          <w:szCs w:val="22"/>
        </w:rPr>
        <w:t xml:space="preserve"> recess, etc.”</w:t>
      </w:r>
    </w:p>
    <w:p w:rsidR="00B022AD" w:rsidRPr="00B022AD" w:rsidRDefault="00B022AD" w:rsidP="00B022AD">
      <w:pPr>
        <w:pStyle w:val="ListParagraph"/>
        <w:rPr>
          <w:rFonts w:asciiTheme="minorHAnsi" w:eastAsia="Times New Roman" w:hAnsiTheme="minorHAnsi" w:cstheme="minorHAnsi"/>
          <w:kern w:val="28"/>
          <w:sz w:val="22"/>
          <w:szCs w:val="22"/>
        </w:rPr>
      </w:pPr>
    </w:p>
    <w:p w:rsidR="00B022AD" w:rsidRDefault="00B022AD" w:rsidP="00BA7BBC">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April 9, 2019, </w:t>
      </w:r>
      <w:r w:rsidRPr="00B022AD">
        <w:rPr>
          <w:rFonts w:asciiTheme="minorHAnsi" w:eastAsia="Times New Roman" w:hAnsiTheme="minorHAnsi" w:cstheme="minorHAnsi"/>
          <w:kern w:val="28"/>
          <w:sz w:val="22"/>
          <w:szCs w:val="22"/>
        </w:rPr>
        <w:t xml:space="preserve">the Teacher Standards and Practices Commission notified Parent that it was dismissing </w:t>
      </w:r>
      <w:r>
        <w:rPr>
          <w:rFonts w:asciiTheme="minorHAnsi" w:eastAsia="Times New Roman" w:hAnsiTheme="minorHAnsi" w:cstheme="minorHAnsi"/>
          <w:kern w:val="28"/>
          <w:sz w:val="22"/>
          <w:szCs w:val="22"/>
        </w:rPr>
        <w:t>her complaint</w:t>
      </w:r>
      <w:r w:rsidRPr="00B022AD">
        <w:rPr>
          <w:rFonts w:asciiTheme="minorHAnsi" w:eastAsia="Times New Roman" w:hAnsiTheme="minorHAnsi" w:cstheme="minorHAnsi"/>
          <w:kern w:val="28"/>
          <w:sz w:val="22"/>
          <w:szCs w:val="22"/>
        </w:rPr>
        <w:t xml:space="preserve"> because it had determined there was insufficient evidence to support Parent’s allegations.</w:t>
      </w:r>
    </w:p>
    <w:p w:rsidR="007A3B8D" w:rsidRPr="007A3B8D" w:rsidRDefault="007A3B8D" w:rsidP="007A3B8D">
      <w:pPr>
        <w:pStyle w:val="ListParagraph"/>
        <w:rPr>
          <w:rFonts w:asciiTheme="minorHAnsi" w:eastAsia="Times New Roman" w:hAnsiTheme="minorHAnsi" w:cstheme="minorHAnsi"/>
          <w:kern w:val="28"/>
          <w:sz w:val="22"/>
          <w:szCs w:val="22"/>
        </w:rPr>
      </w:pPr>
    </w:p>
    <w:p w:rsidR="003943DB" w:rsidRDefault="003943DB" w:rsidP="003943D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May 1, 2019, the teacher saw Student hitting himself and saying that he hated his life. The teacher sent Student to the school counselor. </w:t>
      </w:r>
    </w:p>
    <w:p w:rsidR="003943DB" w:rsidRPr="003943DB" w:rsidRDefault="003943DB" w:rsidP="003943DB">
      <w:pPr>
        <w:pStyle w:val="ListParagraph"/>
        <w:rPr>
          <w:rFonts w:asciiTheme="minorHAnsi" w:eastAsia="Times New Roman" w:hAnsiTheme="minorHAnsi" w:cstheme="minorHAnsi"/>
          <w:kern w:val="28"/>
          <w:sz w:val="22"/>
          <w:szCs w:val="22"/>
        </w:rPr>
      </w:pPr>
    </w:p>
    <w:p w:rsidR="003943DB" w:rsidRPr="003943DB" w:rsidRDefault="003943DB" w:rsidP="003943D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May 2, 2019, Parent sent an email to the district stating that the school counselor </w:t>
      </w:r>
      <w:proofErr w:type="gramStart"/>
      <w:r>
        <w:rPr>
          <w:rFonts w:asciiTheme="minorHAnsi" w:eastAsia="Times New Roman" w:hAnsiTheme="minorHAnsi" w:cstheme="minorHAnsi"/>
          <w:kern w:val="28"/>
          <w:sz w:val="22"/>
          <w:szCs w:val="22"/>
        </w:rPr>
        <w:t>is not allowed</w:t>
      </w:r>
      <w:proofErr w:type="gramEnd"/>
      <w:r>
        <w:rPr>
          <w:rFonts w:asciiTheme="minorHAnsi" w:eastAsia="Times New Roman" w:hAnsiTheme="minorHAnsi" w:cstheme="minorHAnsi"/>
          <w:kern w:val="28"/>
          <w:sz w:val="22"/>
          <w:szCs w:val="22"/>
        </w:rPr>
        <w:t xml:space="preserve"> to speak to Student.</w:t>
      </w:r>
    </w:p>
    <w:p w:rsidR="00090EF1" w:rsidRPr="00090EF1" w:rsidRDefault="00090EF1" w:rsidP="00090EF1">
      <w:pPr>
        <w:pStyle w:val="ListParagraph"/>
        <w:rPr>
          <w:rFonts w:asciiTheme="minorHAnsi" w:eastAsia="Times New Roman" w:hAnsiTheme="minorHAnsi" w:cstheme="minorHAnsi"/>
          <w:kern w:val="28"/>
          <w:sz w:val="22"/>
          <w:szCs w:val="22"/>
        </w:rPr>
      </w:pPr>
    </w:p>
    <w:p w:rsidR="00532087" w:rsidRPr="007A3B8D" w:rsidRDefault="00532087" w:rsidP="007A3B8D">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In an email received by the Oregon Department of Education on May 9, 2019, Parent contends that the post</w:t>
      </w:r>
      <w:r w:rsidR="003142D7">
        <w:rPr>
          <w:rFonts w:asciiTheme="minorHAnsi" w:eastAsia="Times New Roman" w:hAnsiTheme="minorHAnsi" w:cstheme="minorHAnsi"/>
          <w:kern w:val="28"/>
          <w:sz w:val="22"/>
          <w:szCs w:val="22"/>
        </w:rPr>
        <w:t>ed video</w:t>
      </w:r>
      <w:r>
        <w:rPr>
          <w:rFonts w:asciiTheme="minorHAnsi" w:eastAsia="Times New Roman" w:hAnsiTheme="minorHAnsi" w:cstheme="minorHAnsi"/>
          <w:kern w:val="28"/>
          <w:sz w:val="22"/>
          <w:szCs w:val="22"/>
        </w:rPr>
        <w:t xml:space="preserve"> did contain </w:t>
      </w:r>
      <w:r w:rsidR="003142D7">
        <w:rPr>
          <w:rFonts w:asciiTheme="minorHAnsi" w:eastAsia="Times New Roman" w:hAnsiTheme="minorHAnsi" w:cstheme="minorHAnsi"/>
          <w:kern w:val="28"/>
          <w:sz w:val="22"/>
          <w:szCs w:val="22"/>
        </w:rPr>
        <w:t>images</w:t>
      </w:r>
      <w:r>
        <w:rPr>
          <w:rFonts w:asciiTheme="minorHAnsi" w:eastAsia="Times New Roman" w:hAnsiTheme="minorHAnsi" w:cstheme="minorHAnsi"/>
          <w:kern w:val="28"/>
          <w:sz w:val="22"/>
          <w:szCs w:val="22"/>
        </w:rPr>
        <w:t xml:space="preserve"> of Student. </w:t>
      </w:r>
      <w:r w:rsidR="00BA7BBC">
        <w:rPr>
          <w:rFonts w:asciiTheme="minorHAnsi" w:eastAsia="Times New Roman" w:hAnsiTheme="minorHAnsi" w:cstheme="minorHAnsi"/>
          <w:kern w:val="28"/>
          <w:sz w:val="22"/>
          <w:szCs w:val="22"/>
        </w:rPr>
        <w:t xml:space="preserve"> </w:t>
      </w:r>
    </w:p>
    <w:p w:rsidR="001F3EA0" w:rsidRPr="001F3EA0" w:rsidRDefault="001F3EA0" w:rsidP="00291B20">
      <w:pPr>
        <w:pStyle w:val="Heading2"/>
      </w:pPr>
      <w:r w:rsidRPr="001F3EA0">
        <w:t>APPEALS UNDER ORS 659.852</w:t>
      </w:r>
    </w:p>
    <w:p w:rsidR="001F3EA0" w:rsidRPr="001F3EA0"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 xml:space="preserve"> </w:t>
      </w:r>
    </w:p>
    <w:p w:rsidR="00714392"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w:t>
      </w:r>
      <w:r>
        <w:rPr>
          <w:rStyle w:val="FootnoteReference"/>
          <w:rFonts w:asciiTheme="minorHAnsi" w:eastAsia="Times New Roman" w:hAnsiTheme="minorHAnsi" w:cstheme="minorHAnsi"/>
          <w:kern w:val="28"/>
          <w:sz w:val="22"/>
          <w:szCs w:val="22"/>
        </w:rPr>
        <w:footnoteReference w:id="1"/>
      </w: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lastRenderedPageBreak/>
        <w:t xml:space="preserve">If the Oregon Department of Education determines on appeal that an education program has not retaliated against a student, the department will issue a final order to the complainant and the </w:t>
      </w:r>
      <w:r w:rsidR="003565F8">
        <w:rPr>
          <w:rFonts w:asciiTheme="minorHAnsi" w:eastAsia="Times New Roman" w:hAnsiTheme="minorHAnsi" w:cstheme="minorHAnsi"/>
          <w:kern w:val="28"/>
          <w:sz w:val="22"/>
          <w:szCs w:val="22"/>
        </w:rPr>
        <w:t>program</w:t>
      </w:r>
      <w:r w:rsidR="003142D7">
        <w:rPr>
          <w:rFonts w:asciiTheme="minorHAnsi" w:eastAsia="Times New Roman" w:hAnsiTheme="minorHAnsi" w:cstheme="minorHAnsi"/>
          <w:kern w:val="28"/>
          <w:sz w:val="22"/>
          <w:szCs w:val="22"/>
        </w:rPr>
        <w:t xml:space="preserve"> and close the appeal</w:t>
      </w:r>
      <w:r w:rsidR="002C7196">
        <w:rPr>
          <w:rFonts w:asciiTheme="minorHAnsi" w:eastAsia="Times New Roman" w:hAnsiTheme="minorHAnsi" w:cstheme="minorHAnsi"/>
          <w:kern w:val="28"/>
          <w:sz w:val="22"/>
          <w:szCs w:val="22"/>
        </w:rPr>
        <w:t>.</w:t>
      </w:r>
      <w:r w:rsidR="002C7196">
        <w:rPr>
          <w:rStyle w:val="FootnoteReference"/>
          <w:rFonts w:asciiTheme="minorHAnsi" w:eastAsia="Times New Roman" w:hAnsiTheme="minorHAnsi" w:cstheme="minorHAnsi"/>
          <w:kern w:val="28"/>
          <w:sz w:val="22"/>
          <w:szCs w:val="22"/>
        </w:rPr>
        <w:footnoteReference w:id="2"/>
      </w:r>
      <w:r>
        <w:rPr>
          <w:rFonts w:asciiTheme="minorHAnsi" w:eastAsia="Times New Roman" w:hAnsiTheme="minorHAnsi" w:cstheme="minorHAnsi"/>
          <w:kern w:val="28"/>
          <w:sz w:val="22"/>
          <w:szCs w:val="22"/>
        </w:rPr>
        <w:t xml:space="preserve"> </w:t>
      </w: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p>
    <w:p w:rsidR="005F5537" w:rsidRPr="001F3EA0"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 xml:space="preserve">If the Oregon Department of Education determines on appeal that an education program has retaliated against a student, </w:t>
      </w:r>
      <w:r w:rsidR="00714392">
        <w:rPr>
          <w:rFonts w:asciiTheme="minorHAnsi" w:eastAsia="Times New Roman" w:hAnsiTheme="minorHAnsi" w:cstheme="minorHAnsi"/>
          <w:kern w:val="28"/>
          <w:sz w:val="22"/>
          <w:szCs w:val="22"/>
        </w:rPr>
        <w:t xml:space="preserve">the department will issue a preliminary order to the complainant and the </w:t>
      </w:r>
      <w:r w:rsidR="003565F8">
        <w:rPr>
          <w:rFonts w:asciiTheme="minorHAnsi" w:eastAsia="Times New Roman" w:hAnsiTheme="minorHAnsi" w:cstheme="minorHAnsi"/>
          <w:kern w:val="28"/>
          <w:sz w:val="22"/>
          <w:szCs w:val="22"/>
        </w:rPr>
        <w:t>program</w:t>
      </w:r>
      <w:r w:rsidR="002C7196">
        <w:rPr>
          <w:rFonts w:asciiTheme="minorHAnsi" w:eastAsia="Times New Roman" w:hAnsiTheme="minorHAnsi" w:cstheme="minorHAnsi"/>
          <w:kern w:val="28"/>
          <w:sz w:val="22"/>
          <w:szCs w:val="22"/>
        </w:rPr>
        <w:t>.</w:t>
      </w:r>
      <w:r w:rsidR="002C7196">
        <w:rPr>
          <w:rStyle w:val="FootnoteReference"/>
          <w:rFonts w:asciiTheme="minorHAnsi" w:eastAsia="Times New Roman" w:hAnsiTheme="minorHAnsi" w:cstheme="minorHAnsi"/>
          <w:kern w:val="28"/>
          <w:sz w:val="22"/>
          <w:szCs w:val="22"/>
        </w:rPr>
        <w:footnoteReference w:id="3"/>
      </w:r>
      <w:r w:rsidR="003565F8">
        <w:rPr>
          <w:rFonts w:asciiTheme="minorHAnsi" w:eastAsia="Times New Roman" w:hAnsiTheme="minorHAnsi" w:cstheme="minorHAnsi"/>
          <w:kern w:val="28"/>
          <w:sz w:val="22"/>
          <w:szCs w:val="22"/>
        </w:rPr>
        <w:t xml:space="preserve"> </w:t>
      </w:r>
      <w:r w:rsidR="002C7196">
        <w:rPr>
          <w:rFonts w:asciiTheme="minorHAnsi" w:eastAsia="Times New Roman" w:hAnsiTheme="minorHAnsi" w:cstheme="minorHAnsi"/>
          <w:kern w:val="28"/>
          <w:sz w:val="22"/>
          <w:szCs w:val="22"/>
        </w:rPr>
        <w:t>As</w:t>
      </w:r>
      <w:r w:rsidR="00714392">
        <w:rPr>
          <w:rFonts w:asciiTheme="minorHAnsi" w:eastAsia="Times New Roman" w:hAnsiTheme="minorHAnsi" w:cstheme="minorHAnsi"/>
          <w:kern w:val="28"/>
          <w:sz w:val="22"/>
          <w:szCs w:val="22"/>
        </w:rPr>
        <w:t xml:space="preserve"> part of that preliminary order, the department will order the complainant and the </w:t>
      </w:r>
      <w:r w:rsidR="003565F8">
        <w:rPr>
          <w:rFonts w:asciiTheme="minorHAnsi" w:eastAsia="Times New Roman" w:hAnsiTheme="minorHAnsi" w:cstheme="minorHAnsi"/>
          <w:kern w:val="28"/>
          <w:sz w:val="22"/>
          <w:szCs w:val="22"/>
        </w:rPr>
        <w:t>program</w:t>
      </w:r>
      <w:r w:rsidR="00714392">
        <w:rPr>
          <w:rFonts w:asciiTheme="minorHAnsi" w:eastAsia="Times New Roman" w:hAnsiTheme="minorHAnsi" w:cstheme="minorHAnsi"/>
          <w:kern w:val="28"/>
          <w:sz w:val="22"/>
          <w:szCs w:val="22"/>
        </w:rPr>
        <w:t xml:space="preserve"> to attempt to reach an agreement through conciliation</w:t>
      </w:r>
      <w:r w:rsidR="003565F8">
        <w:rPr>
          <w:rFonts w:asciiTheme="minorHAnsi" w:eastAsia="Times New Roman" w:hAnsiTheme="minorHAnsi" w:cstheme="minorHAnsi"/>
          <w:kern w:val="28"/>
          <w:sz w:val="22"/>
          <w:szCs w:val="22"/>
        </w:rPr>
        <w:t>.</w:t>
      </w:r>
      <w:r w:rsidR="003565F8">
        <w:rPr>
          <w:rStyle w:val="FootnoteReference"/>
          <w:rFonts w:asciiTheme="minorHAnsi" w:eastAsia="Times New Roman" w:hAnsiTheme="minorHAnsi" w:cstheme="minorHAnsi"/>
          <w:kern w:val="28"/>
          <w:sz w:val="22"/>
          <w:szCs w:val="22"/>
        </w:rPr>
        <w:footnoteReference w:id="4"/>
      </w:r>
      <w:r w:rsidR="00714392">
        <w:rPr>
          <w:rFonts w:asciiTheme="minorHAnsi" w:eastAsia="Times New Roman" w:hAnsiTheme="minorHAnsi" w:cstheme="minorHAnsi"/>
          <w:kern w:val="28"/>
          <w:sz w:val="22"/>
          <w:szCs w:val="22"/>
        </w:rPr>
        <w:t xml:space="preserve"> If the complainant and </w:t>
      </w:r>
      <w:r w:rsidR="003565F8">
        <w:rPr>
          <w:rFonts w:asciiTheme="minorHAnsi" w:eastAsia="Times New Roman" w:hAnsiTheme="minorHAnsi" w:cstheme="minorHAnsi"/>
          <w:kern w:val="28"/>
          <w:sz w:val="22"/>
          <w:szCs w:val="22"/>
        </w:rPr>
        <w:t xml:space="preserve">program </w:t>
      </w:r>
      <w:r w:rsidR="00714392">
        <w:rPr>
          <w:rFonts w:asciiTheme="minorHAnsi" w:eastAsia="Times New Roman" w:hAnsiTheme="minorHAnsi" w:cstheme="minorHAnsi"/>
          <w:kern w:val="28"/>
          <w:sz w:val="22"/>
          <w:szCs w:val="22"/>
        </w:rPr>
        <w:t>fail to reach an agreement, the department will issue a final order</w:t>
      </w:r>
      <w:r w:rsidR="003565F8">
        <w:rPr>
          <w:rFonts w:asciiTheme="minorHAnsi" w:eastAsia="Times New Roman" w:hAnsiTheme="minorHAnsi" w:cstheme="minorHAnsi"/>
          <w:kern w:val="28"/>
          <w:sz w:val="22"/>
          <w:szCs w:val="22"/>
        </w:rPr>
        <w:t>.</w:t>
      </w:r>
      <w:r w:rsidR="003565F8">
        <w:rPr>
          <w:rStyle w:val="FootnoteReference"/>
          <w:rFonts w:asciiTheme="minorHAnsi" w:eastAsia="Times New Roman" w:hAnsiTheme="minorHAnsi" w:cstheme="minorHAnsi"/>
          <w:kern w:val="28"/>
          <w:sz w:val="22"/>
          <w:szCs w:val="22"/>
        </w:rPr>
        <w:footnoteReference w:id="5"/>
      </w:r>
      <w:r w:rsidR="00714392">
        <w:rPr>
          <w:rFonts w:asciiTheme="minorHAnsi" w:eastAsia="Times New Roman" w:hAnsiTheme="minorHAnsi" w:cstheme="minorHAnsi"/>
          <w:kern w:val="28"/>
          <w:sz w:val="22"/>
          <w:szCs w:val="22"/>
        </w:rPr>
        <w:t xml:space="preserve"> If the department determines in the final order that the program has retaliated against the student, the final order will include notice that the </w:t>
      </w:r>
      <w:r w:rsidR="003565F8">
        <w:rPr>
          <w:rFonts w:asciiTheme="minorHAnsi" w:eastAsia="Times New Roman" w:hAnsiTheme="minorHAnsi" w:cstheme="minorHAnsi"/>
          <w:kern w:val="28"/>
          <w:sz w:val="22"/>
          <w:szCs w:val="22"/>
        </w:rPr>
        <w:t>program</w:t>
      </w:r>
      <w:r w:rsidR="00714392">
        <w:rPr>
          <w:rFonts w:asciiTheme="minorHAnsi" w:eastAsia="Times New Roman" w:hAnsiTheme="minorHAnsi" w:cstheme="minorHAnsi"/>
          <w:kern w:val="28"/>
          <w:sz w:val="22"/>
          <w:szCs w:val="22"/>
        </w:rPr>
        <w:t xml:space="preserve"> must complete a corrective action plan.</w:t>
      </w:r>
      <w:r w:rsidR="003565F8">
        <w:rPr>
          <w:rStyle w:val="FootnoteReference"/>
          <w:rFonts w:asciiTheme="minorHAnsi" w:eastAsia="Times New Roman" w:hAnsiTheme="minorHAnsi" w:cstheme="minorHAnsi"/>
          <w:kern w:val="28"/>
          <w:sz w:val="22"/>
          <w:szCs w:val="22"/>
        </w:rPr>
        <w:footnoteReference w:id="6"/>
      </w:r>
      <w:r w:rsidR="00714392">
        <w:rPr>
          <w:rFonts w:asciiTheme="minorHAnsi" w:eastAsia="Times New Roman" w:hAnsiTheme="minorHAnsi" w:cstheme="minorHAnsi"/>
          <w:kern w:val="28"/>
          <w:sz w:val="22"/>
          <w:szCs w:val="22"/>
        </w:rPr>
        <w:t xml:space="preserve"> </w:t>
      </w:r>
      <w:r w:rsidR="003565F8">
        <w:rPr>
          <w:rFonts w:asciiTheme="minorHAnsi" w:eastAsia="Times New Roman" w:hAnsiTheme="minorHAnsi" w:cstheme="minorHAnsi"/>
          <w:kern w:val="28"/>
          <w:sz w:val="22"/>
          <w:szCs w:val="22"/>
        </w:rPr>
        <w:t xml:space="preserve">A </w:t>
      </w:r>
      <w:r w:rsidR="003142D7">
        <w:rPr>
          <w:rFonts w:asciiTheme="minorHAnsi" w:eastAsia="Times New Roman" w:hAnsiTheme="minorHAnsi" w:cstheme="minorHAnsi"/>
          <w:kern w:val="28"/>
          <w:sz w:val="22"/>
          <w:szCs w:val="22"/>
        </w:rPr>
        <w:t>program</w:t>
      </w:r>
      <w:r w:rsidR="003565F8">
        <w:rPr>
          <w:rFonts w:asciiTheme="minorHAnsi" w:eastAsia="Times New Roman" w:hAnsiTheme="minorHAnsi" w:cstheme="minorHAnsi"/>
          <w:kern w:val="28"/>
          <w:sz w:val="22"/>
          <w:szCs w:val="22"/>
        </w:rPr>
        <w:t xml:space="preserve"> must complete </w:t>
      </w:r>
      <w:r w:rsidR="00714392">
        <w:rPr>
          <w:rFonts w:asciiTheme="minorHAnsi" w:eastAsia="Times New Roman" w:hAnsiTheme="minorHAnsi" w:cstheme="minorHAnsi"/>
          <w:kern w:val="28"/>
          <w:sz w:val="22"/>
          <w:szCs w:val="22"/>
        </w:rPr>
        <w:t>corrective action by the beginning of the school year next followi</w:t>
      </w:r>
      <w:r w:rsidR="003565F8">
        <w:rPr>
          <w:rFonts w:asciiTheme="minorHAnsi" w:eastAsia="Times New Roman" w:hAnsiTheme="minorHAnsi" w:cstheme="minorHAnsi"/>
          <w:kern w:val="28"/>
          <w:sz w:val="22"/>
          <w:szCs w:val="22"/>
        </w:rPr>
        <w:t>ng the date of the final order.</w:t>
      </w:r>
      <w:r w:rsidR="003565F8">
        <w:rPr>
          <w:rStyle w:val="FootnoteReference"/>
          <w:rFonts w:asciiTheme="minorHAnsi" w:eastAsia="Times New Roman" w:hAnsiTheme="minorHAnsi" w:cstheme="minorHAnsi"/>
          <w:kern w:val="28"/>
          <w:sz w:val="22"/>
          <w:szCs w:val="22"/>
        </w:rPr>
        <w:footnoteReference w:id="7"/>
      </w:r>
      <w:r w:rsidR="003142D7">
        <w:rPr>
          <w:rFonts w:asciiTheme="minorHAnsi" w:eastAsia="Times New Roman" w:hAnsiTheme="minorHAnsi" w:cstheme="minorHAnsi"/>
          <w:kern w:val="28"/>
          <w:sz w:val="22"/>
          <w:szCs w:val="22"/>
        </w:rPr>
        <w:t xml:space="preserve"> If a program does not complete corrective action by the beginning of the school year, the department may order appropriate remedies, including an order withholding distributions otherwise required under the laws of this state to </w:t>
      </w:r>
      <w:proofErr w:type="gramStart"/>
      <w:r w:rsidR="003142D7">
        <w:rPr>
          <w:rFonts w:asciiTheme="minorHAnsi" w:eastAsia="Times New Roman" w:hAnsiTheme="minorHAnsi" w:cstheme="minorHAnsi"/>
          <w:kern w:val="28"/>
          <w:sz w:val="22"/>
          <w:szCs w:val="22"/>
        </w:rPr>
        <w:t>be made</w:t>
      </w:r>
      <w:proofErr w:type="gramEnd"/>
      <w:r w:rsidR="003142D7">
        <w:rPr>
          <w:rFonts w:asciiTheme="minorHAnsi" w:eastAsia="Times New Roman" w:hAnsiTheme="minorHAnsi" w:cstheme="minorHAnsi"/>
          <w:kern w:val="28"/>
          <w:sz w:val="22"/>
          <w:szCs w:val="22"/>
        </w:rPr>
        <w:t xml:space="preserve"> from the State School Fund.</w:t>
      </w:r>
      <w:r w:rsidR="003142D7">
        <w:rPr>
          <w:rStyle w:val="FootnoteReference"/>
          <w:rFonts w:asciiTheme="minorHAnsi" w:eastAsia="Times New Roman" w:hAnsiTheme="minorHAnsi" w:cstheme="minorHAnsi"/>
          <w:kern w:val="28"/>
          <w:sz w:val="22"/>
          <w:szCs w:val="22"/>
        </w:rPr>
        <w:footnoteReference w:id="8"/>
      </w:r>
    </w:p>
    <w:p w:rsidR="005F5537" w:rsidRDefault="005F5537" w:rsidP="006738A6">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291B20">
      <w:pPr>
        <w:pStyle w:val="Heading3"/>
        <w:rPr>
          <w:rFonts w:eastAsia="Times New Roman"/>
        </w:rPr>
      </w:pPr>
      <w:r w:rsidRPr="00E12471">
        <w:rPr>
          <w:rFonts w:eastAsia="Times New Roman"/>
        </w:rPr>
        <w:t>I.</w:t>
      </w:r>
      <w:r w:rsidRPr="00E12471">
        <w:rPr>
          <w:rFonts w:eastAsia="Times New Roman"/>
        </w:rPr>
        <w:tab/>
        <w:t>Arguments Presented</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In </w:t>
      </w:r>
      <w:r>
        <w:rPr>
          <w:rFonts w:asciiTheme="minorHAnsi" w:eastAsia="Times New Roman" w:hAnsiTheme="minorHAnsi" w:cstheme="minorHAnsi"/>
          <w:kern w:val="28"/>
          <w:sz w:val="22"/>
          <w:szCs w:val="22"/>
        </w:rPr>
        <w:t xml:space="preserve">this appeal, </w:t>
      </w:r>
      <w:r w:rsidRPr="00E12471">
        <w:rPr>
          <w:rFonts w:asciiTheme="minorHAnsi" w:eastAsia="Times New Roman" w:hAnsiTheme="minorHAnsi" w:cstheme="minorHAnsi"/>
          <w:kern w:val="28"/>
          <w:sz w:val="22"/>
          <w:szCs w:val="22"/>
        </w:rPr>
        <w:t xml:space="preserve">Parent alleges that </w:t>
      </w:r>
      <w:r w:rsidR="003B6B16">
        <w:rPr>
          <w:rFonts w:asciiTheme="minorHAnsi" w:eastAsia="Times New Roman" w:hAnsiTheme="minorHAnsi" w:cstheme="minorHAnsi"/>
          <w:kern w:val="28"/>
          <w:sz w:val="22"/>
          <w:szCs w:val="22"/>
        </w:rPr>
        <w:t>Gresham-Barlow School</w:t>
      </w:r>
      <w:r w:rsidRPr="00E12471">
        <w:rPr>
          <w:rFonts w:asciiTheme="minorHAnsi" w:eastAsia="Times New Roman" w:hAnsiTheme="minorHAnsi" w:cstheme="minorHAnsi"/>
          <w:kern w:val="28"/>
          <w:sz w:val="22"/>
          <w:szCs w:val="22"/>
        </w:rPr>
        <w:t xml:space="preserve"> </w:t>
      </w:r>
      <w:r w:rsidR="003B6B16">
        <w:rPr>
          <w:rFonts w:asciiTheme="minorHAnsi" w:eastAsia="Times New Roman" w:hAnsiTheme="minorHAnsi" w:cstheme="minorHAnsi"/>
          <w:kern w:val="28"/>
          <w:sz w:val="22"/>
          <w:szCs w:val="22"/>
        </w:rPr>
        <w:t>D</w:t>
      </w:r>
      <w:r w:rsidRPr="00E12471">
        <w:rPr>
          <w:rFonts w:asciiTheme="minorHAnsi" w:eastAsia="Times New Roman" w:hAnsiTheme="minorHAnsi" w:cstheme="minorHAnsi"/>
          <w:kern w:val="28"/>
          <w:sz w:val="22"/>
          <w:szCs w:val="22"/>
        </w:rPr>
        <w:t xml:space="preserve">istrict retaliated against Student because she had filed complaints with the district, the United States Department of Education, the Federal Trade Commission, and the Teacher Standards and Practices Commission. </w:t>
      </w:r>
    </w:p>
    <w:p w:rsidR="003B6B16" w:rsidRDefault="003B6B16" w:rsidP="003B6B16">
      <w:pPr>
        <w:spacing w:before="100" w:beforeAutospacing="1" w:afterAutospacing="1"/>
        <w:contextualSpacing/>
        <w:jc w:val="both"/>
        <w:rPr>
          <w:rFonts w:asciiTheme="minorHAnsi" w:eastAsia="Times New Roman" w:hAnsiTheme="minorHAnsi" w:cstheme="minorHAnsi"/>
          <w:kern w:val="28"/>
          <w:sz w:val="22"/>
          <w:szCs w:val="22"/>
        </w:rPr>
      </w:pPr>
    </w:p>
    <w:p w:rsidR="003B6B16" w:rsidRDefault="003B6B16" w:rsidP="003B6B1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Parent presents three</w:t>
      </w:r>
      <w:r w:rsidRPr="00E12471">
        <w:rPr>
          <w:rFonts w:asciiTheme="minorHAnsi" w:eastAsia="Times New Roman" w:hAnsiTheme="minorHAnsi" w:cstheme="minorHAnsi"/>
          <w:kern w:val="28"/>
          <w:sz w:val="22"/>
          <w:szCs w:val="22"/>
        </w:rPr>
        <w:t xml:space="preserve"> theories for how </w:t>
      </w:r>
      <w:r>
        <w:rPr>
          <w:rFonts w:asciiTheme="minorHAnsi" w:eastAsia="Times New Roman" w:hAnsiTheme="minorHAnsi" w:cstheme="minorHAnsi"/>
          <w:kern w:val="28"/>
          <w:sz w:val="22"/>
          <w:szCs w:val="22"/>
        </w:rPr>
        <w:t>the d</w:t>
      </w:r>
      <w:r w:rsidRPr="00E12471">
        <w:rPr>
          <w:rFonts w:asciiTheme="minorHAnsi" w:eastAsia="Times New Roman" w:hAnsiTheme="minorHAnsi" w:cstheme="minorHAnsi"/>
          <w:kern w:val="28"/>
          <w:sz w:val="22"/>
          <w:szCs w:val="22"/>
        </w:rPr>
        <w:t>istrict retaliated against Student.</w:t>
      </w:r>
    </w:p>
    <w:p w:rsidR="003B6B16" w:rsidRDefault="003B6B16" w:rsidP="003B6B16">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Parent </w:t>
      </w:r>
      <w:r>
        <w:rPr>
          <w:rFonts w:asciiTheme="minorHAnsi" w:eastAsia="Times New Roman" w:hAnsiTheme="minorHAnsi" w:cstheme="minorHAnsi"/>
          <w:kern w:val="28"/>
          <w:sz w:val="22"/>
          <w:szCs w:val="22"/>
        </w:rPr>
        <w:t xml:space="preserve">first </w:t>
      </w:r>
      <w:r w:rsidRPr="00E12471">
        <w:rPr>
          <w:rFonts w:asciiTheme="minorHAnsi" w:eastAsia="Times New Roman" w:hAnsiTheme="minorHAnsi" w:cstheme="minorHAnsi"/>
          <w:kern w:val="28"/>
          <w:sz w:val="22"/>
          <w:szCs w:val="22"/>
        </w:rPr>
        <w:t>alleges that on October 30, 2018, the teacher did not allow Student to participate in a school activity because the activity required students to post a picture of themselves on the secure website. Parent claims that she contacted the principal of the school to complain about the incident and that the teacher subsequently allowed Student to participate in the activity.</w:t>
      </w:r>
    </w:p>
    <w:p w:rsid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C69AF"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Parent </w:t>
      </w:r>
      <w:r w:rsidR="00EC69AF">
        <w:rPr>
          <w:rFonts w:asciiTheme="minorHAnsi" w:eastAsia="Times New Roman" w:hAnsiTheme="minorHAnsi" w:cstheme="minorHAnsi"/>
          <w:kern w:val="28"/>
          <w:sz w:val="22"/>
          <w:szCs w:val="22"/>
        </w:rPr>
        <w:t xml:space="preserve">also </w:t>
      </w:r>
      <w:r w:rsidRPr="00E12471">
        <w:rPr>
          <w:rFonts w:asciiTheme="minorHAnsi" w:eastAsia="Times New Roman" w:hAnsiTheme="minorHAnsi" w:cstheme="minorHAnsi"/>
          <w:kern w:val="28"/>
          <w:sz w:val="22"/>
          <w:szCs w:val="22"/>
        </w:rPr>
        <w:t xml:space="preserve">alleges that during the fall of 2018, </w:t>
      </w:r>
      <w:r w:rsidR="00EC69AF" w:rsidRPr="00EC69AF">
        <w:rPr>
          <w:rFonts w:asciiTheme="minorHAnsi" w:eastAsia="Times New Roman" w:hAnsiTheme="minorHAnsi" w:cstheme="minorHAnsi"/>
          <w:kern w:val="28"/>
          <w:sz w:val="22"/>
          <w:szCs w:val="22"/>
        </w:rPr>
        <w:t>the teacher was “unable to control her anger” and called Student “ridiculous.” Parent alleges that the teacher also took away Student’s privileges. Parent specifically alleges that the teacher had “time taken away from his recess, etc.”</w:t>
      </w:r>
      <w:r w:rsidRPr="00E12471">
        <w:rPr>
          <w:rFonts w:asciiTheme="minorHAnsi" w:eastAsia="Times New Roman" w:hAnsiTheme="minorHAnsi" w:cstheme="minorHAnsi"/>
          <w:kern w:val="28"/>
          <w:sz w:val="22"/>
          <w:szCs w:val="22"/>
        </w:rPr>
        <w:t xml:space="preserve"> </w:t>
      </w:r>
    </w:p>
    <w:p w:rsidR="00EC69AF" w:rsidRDefault="00EC69AF"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lastRenderedPageBreak/>
        <w:t xml:space="preserve">Parent </w:t>
      </w:r>
      <w:r w:rsidR="00EC69AF">
        <w:rPr>
          <w:rFonts w:asciiTheme="minorHAnsi" w:eastAsia="Times New Roman" w:hAnsiTheme="minorHAnsi" w:cstheme="minorHAnsi"/>
          <w:kern w:val="28"/>
          <w:sz w:val="22"/>
          <w:szCs w:val="22"/>
        </w:rPr>
        <w:t xml:space="preserve">finally </w:t>
      </w:r>
      <w:r w:rsidRPr="00E12471">
        <w:rPr>
          <w:rFonts w:asciiTheme="minorHAnsi" w:eastAsia="Times New Roman" w:hAnsiTheme="minorHAnsi" w:cstheme="minorHAnsi"/>
          <w:kern w:val="28"/>
          <w:sz w:val="22"/>
          <w:szCs w:val="22"/>
        </w:rPr>
        <w:t xml:space="preserve">alleges that on May 1, 2019, after </w:t>
      </w:r>
      <w:r w:rsidR="00EC69AF">
        <w:rPr>
          <w:rFonts w:asciiTheme="minorHAnsi" w:eastAsia="Times New Roman" w:hAnsiTheme="minorHAnsi" w:cstheme="minorHAnsi"/>
          <w:kern w:val="28"/>
          <w:sz w:val="22"/>
          <w:szCs w:val="22"/>
        </w:rPr>
        <w:t>an</w:t>
      </w:r>
      <w:r w:rsidRPr="00E12471">
        <w:rPr>
          <w:rFonts w:asciiTheme="minorHAnsi" w:eastAsia="Times New Roman" w:hAnsiTheme="minorHAnsi" w:cstheme="minorHAnsi"/>
          <w:kern w:val="28"/>
          <w:sz w:val="22"/>
          <w:szCs w:val="22"/>
        </w:rPr>
        <w:t xml:space="preserve"> incident where Student </w:t>
      </w:r>
      <w:proofErr w:type="gramStart"/>
      <w:r w:rsidRPr="00E12471">
        <w:rPr>
          <w:rFonts w:asciiTheme="minorHAnsi" w:eastAsia="Times New Roman" w:hAnsiTheme="minorHAnsi" w:cstheme="minorHAnsi"/>
          <w:kern w:val="28"/>
          <w:sz w:val="22"/>
          <w:szCs w:val="22"/>
        </w:rPr>
        <w:t>was being bullied</w:t>
      </w:r>
      <w:proofErr w:type="gramEnd"/>
      <w:r w:rsidRPr="00E12471">
        <w:rPr>
          <w:rFonts w:asciiTheme="minorHAnsi" w:eastAsia="Times New Roman" w:hAnsiTheme="minorHAnsi" w:cstheme="minorHAnsi"/>
          <w:kern w:val="28"/>
          <w:sz w:val="22"/>
          <w:szCs w:val="22"/>
        </w:rPr>
        <w:t xml:space="preserve">, the teacher sent </w:t>
      </w:r>
      <w:r w:rsidR="00526D4D">
        <w:rPr>
          <w:rFonts w:asciiTheme="minorHAnsi" w:eastAsia="Times New Roman" w:hAnsiTheme="minorHAnsi" w:cstheme="minorHAnsi"/>
          <w:kern w:val="28"/>
          <w:sz w:val="22"/>
          <w:szCs w:val="22"/>
        </w:rPr>
        <w:t>Student</w:t>
      </w:r>
      <w:r w:rsidRPr="00E12471">
        <w:rPr>
          <w:rFonts w:asciiTheme="minorHAnsi" w:eastAsia="Times New Roman" w:hAnsiTheme="minorHAnsi" w:cstheme="minorHAnsi"/>
          <w:kern w:val="28"/>
          <w:sz w:val="22"/>
          <w:szCs w:val="22"/>
        </w:rPr>
        <w:t xml:space="preserve"> to the school counselor as punishment.</w:t>
      </w: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The district responds by</w:t>
      </w:r>
      <w:r w:rsidR="00EC69AF">
        <w:rPr>
          <w:rFonts w:asciiTheme="minorHAnsi" w:eastAsia="Times New Roman" w:hAnsiTheme="minorHAnsi" w:cstheme="minorHAnsi"/>
          <w:kern w:val="28"/>
          <w:sz w:val="22"/>
          <w:szCs w:val="22"/>
        </w:rPr>
        <w:t xml:space="preserve"> providing the department with documents related to its initial investigation on whether the teacher unlawfully posted pictures or video of Student online and documents related to </w:t>
      </w:r>
      <w:r w:rsidR="006F7F55">
        <w:rPr>
          <w:rFonts w:asciiTheme="minorHAnsi" w:eastAsia="Times New Roman" w:hAnsiTheme="minorHAnsi" w:cstheme="minorHAnsi"/>
          <w:kern w:val="28"/>
          <w:sz w:val="22"/>
          <w:szCs w:val="22"/>
        </w:rPr>
        <w:t xml:space="preserve">the events that occurred on May 1, 2019. The first set of documents indicate that the online post </w:t>
      </w:r>
      <w:r w:rsidR="006F7F55" w:rsidRPr="006F7F55">
        <w:rPr>
          <w:rFonts w:asciiTheme="minorHAnsi" w:eastAsia="Times New Roman" w:hAnsiTheme="minorHAnsi" w:cstheme="minorHAnsi"/>
          <w:kern w:val="28"/>
          <w:sz w:val="22"/>
          <w:szCs w:val="22"/>
        </w:rPr>
        <w:t>only contained a recording of Student’s voice.</w:t>
      </w:r>
      <w:r w:rsidR="006F7F55">
        <w:rPr>
          <w:rFonts w:asciiTheme="minorHAnsi" w:eastAsia="Times New Roman" w:hAnsiTheme="minorHAnsi" w:cstheme="minorHAnsi"/>
          <w:kern w:val="28"/>
          <w:sz w:val="22"/>
          <w:szCs w:val="22"/>
        </w:rPr>
        <w:t xml:space="preserve"> The second set of documents indicate that o</w:t>
      </w:r>
      <w:r w:rsidR="006F7F55" w:rsidRPr="006F7F55">
        <w:rPr>
          <w:rFonts w:asciiTheme="minorHAnsi" w:eastAsia="Times New Roman" w:hAnsiTheme="minorHAnsi" w:cstheme="minorHAnsi"/>
          <w:kern w:val="28"/>
          <w:sz w:val="22"/>
          <w:szCs w:val="22"/>
        </w:rPr>
        <w:t>n May 1, the teacher saw Student hitting himself and saying that he hated his life</w:t>
      </w:r>
      <w:r w:rsidR="006F7F55">
        <w:rPr>
          <w:rFonts w:asciiTheme="minorHAnsi" w:eastAsia="Times New Roman" w:hAnsiTheme="minorHAnsi" w:cstheme="minorHAnsi"/>
          <w:kern w:val="28"/>
          <w:sz w:val="22"/>
          <w:szCs w:val="22"/>
        </w:rPr>
        <w:t xml:space="preserve"> and sent him to the counselor on the basis of those observations, not as punishment</w:t>
      </w:r>
      <w:r w:rsidR="006F7F55" w:rsidRPr="006F7F55">
        <w:rPr>
          <w:rFonts w:asciiTheme="minorHAnsi" w:eastAsia="Times New Roman" w:hAnsiTheme="minorHAnsi" w:cstheme="minorHAnsi"/>
          <w:kern w:val="28"/>
          <w:sz w:val="22"/>
          <w:szCs w:val="22"/>
        </w:rPr>
        <w:t xml:space="preserve">. </w:t>
      </w: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291B20">
      <w:pPr>
        <w:pStyle w:val="Heading3"/>
        <w:rPr>
          <w:rFonts w:eastAsia="Times New Roman"/>
        </w:rPr>
      </w:pPr>
      <w:r w:rsidRPr="00E12471">
        <w:rPr>
          <w:rFonts w:eastAsia="Times New Roman"/>
        </w:rPr>
        <w:t>II.</w:t>
      </w:r>
      <w:r w:rsidRPr="00E12471">
        <w:rPr>
          <w:rFonts w:eastAsia="Times New Roman"/>
        </w:rPr>
        <w:tab/>
        <w:t>Legal Standard</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Correctly applying ORS 659.852 to these facts requires an understanding of the legal standard established by ORS 659.852. After reviewing the legislative history of ORS 659.852, the department finds that the legal standard established by the statute is the same as the legal standard under Oregon law for proving retaliation by an employer.</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Legislative history suggests that ORS 659.852 should be interpreted in a manner that is consistent with ORS 659A.199 and other Oregon laws protecting whistleblowers. The genesis for ORS 659.852 was House Bill 3371 for the 2015 Legislative Assembly of the State of Oregon. </w:t>
      </w:r>
      <w:proofErr w:type="gramStart"/>
      <w:r w:rsidRPr="00E12471">
        <w:rPr>
          <w:rFonts w:asciiTheme="minorHAnsi" w:eastAsia="Times New Roman" w:hAnsiTheme="minorHAnsi" w:cstheme="minorHAnsi"/>
          <w:kern w:val="28"/>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E12471">
        <w:rPr>
          <w:rFonts w:asciiTheme="minorHAnsi" w:eastAsia="Times New Roman" w:hAnsiTheme="minorHAnsi" w:cstheme="minorHAnsi"/>
          <w:kern w:val="28"/>
          <w:sz w:val="22"/>
          <w:szCs w:val="22"/>
        </w:rPr>
        <w:t xml:space="preserve"> The legislative history of ORS 659A.199 suggests that the primary purpose of that statute is to extend the protections available to public employee whistleblowers under Oregon law to other employee whistleblowers.</w:t>
      </w:r>
      <w:r w:rsidRPr="00E12471">
        <w:rPr>
          <w:rFonts w:asciiTheme="minorHAnsi" w:eastAsia="Times New Roman" w:hAnsiTheme="minorHAnsi" w:cstheme="minorHAnsi"/>
          <w:kern w:val="28"/>
          <w:sz w:val="22"/>
          <w:szCs w:val="22"/>
          <w:vertAlign w:val="superscript"/>
        </w:rPr>
        <w:footnoteReference w:id="9"/>
      </w:r>
      <w:r w:rsidRPr="00E12471">
        <w:rPr>
          <w:rFonts w:asciiTheme="minorHAnsi" w:eastAsia="Times New Roman" w:hAnsiTheme="minorHAnsi" w:cstheme="minorHAnsi"/>
          <w:kern w:val="28"/>
          <w:sz w:val="22"/>
          <w:szCs w:val="22"/>
        </w:rPr>
        <w:t xml:space="preserve"> Thus, to make a complaint under ORS 659.852, a person must establish the elements required for establishing a</w:t>
      </w:r>
      <w:r w:rsidRPr="00E12471">
        <w:rPr>
          <w:rFonts w:asciiTheme="minorHAnsi" w:eastAsia="Times New Roman" w:hAnsiTheme="minorHAnsi" w:cstheme="minorHAnsi"/>
          <w:i/>
          <w:kern w:val="28"/>
          <w:sz w:val="22"/>
          <w:szCs w:val="22"/>
        </w:rPr>
        <w:t xml:space="preserve"> prima facie </w:t>
      </w:r>
      <w:r w:rsidRPr="00E12471">
        <w:rPr>
          <w:rFonts w:asciiTheme="minorHAnsi" w:eastAsia="Times New Roman" w:hAnsiTheme="minorHAnsi" w:cstheme="minorHAnsi"/>
          <w:kern w:val="28"/>
          <w:sz w:val="22"/>
          <w:szCs w:val="22"/>
        </w:rPr>
        <w:t>case of retaliation under ORS 659A.199 and other Oregon laws protecting whistleblowers.</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In consideration of these laws, a person must establish the following to prove retaliation under ORS 659.852: (1) the student was engaged in a protected activity; (2) the student suffered an adverse education decision; and (3) there was a causal link between the protected activity and the adverse education decision.</w:t>
      </w:r>
      <w:r w:rsidRPr="00E12471">
        <w:rPr>
          <w:rFonts w:asciiTheme="minorHAnsi" w:eastAsia="Times New Roman" w:hAnsiTheme="minorHAnsi" w:cstheme="minorHAnsi"/>
          <w:kern w:val="28"/>
          <w:sz w:val="22"/>
          <w:szCs w:val="22"/>
          <w:vertAlign w:val="superscript"/>
        </w:rPr>
        <w:footnoteReference w:id="10"/>
      </w:r>
      <w:r w:rsidRPr="00E12471">
        <w:rPr>
          <w:rFonts w:asciiTheme="minorHAnsi" w:eastAsia="Times New Roman" w:hAnsiTheme="minorHAnsi" w:cstheme="minorHAnsi"/>
          <w:kern w:val="28"/>
          <w:sz w:val="22"/>
          <w:szCs w:val="22"/>
        </w:rPr>
        <w:t xml:space="preserve"> </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3D6C7F" w:rsidRPr="003D6C7F" w:rsidRDefault="003D6C7F" w:rsidP="00291B20">
      <w:pPr>
        <w:pStyle w:val="Heading3"/>
        <w:rPr>
          <w:rFonts w:eastAsia="Times New Roman"/>
        </w:rPr>
      </w:pPr>
      <w:r w:rsidRPr="003D6C7F">
        <w:rPr>
          <w:rFonts w:eastAsia="Times New Roman"/>
        </w:rPr>
        <w:lastRenderedPageBreak/>
        <w:t>III.</w:t>
      </w:r>
      <w:r w:rsidRPr="003D6C7F">
        <w:rPr>
          <w:rFonts w:eastAsia="Times New Roman"/>
        </w:rPr>
        <w:tab/>
        <w:t>Legal Analysis</w:t>
      </w:r>
    </w:p>
    <w:p w:rsidR="003D6C7F" w:rsidRPr="003D6C7F" w:rsidRDefault="003D6C7F" w:rsidP="003D6C7F">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 xml:space="preserve">As will be explained in </w:t>
      </w:r>
      <w:proofErr w:type="gramStart"/>
      <w:r w:rsidRPr="00FC3391">
        <w:rPr>
          <w:rFonts w:asciiTheme="minorHAnsi" w:eastAsia="Times New Roman" w:hAnsiTheme="minorHAnsi" w:cstheme="minorHAnsi"/>
          <w:kern w:val="28"/>
          <w:sz w:val="22"/>
          <w:szCs w:val="22"/>
        </w:rPr>
        <w:t>greater detail</w:t>
      </w:r>
      <w:proofErr w:type="gramEnd"/>
      <w:r w:rsidRPr="00FC3391">
        <w:rPr>
          <w:rFonts w:asciiTheme="minorHAnsi" w:eastAsia="Times New Roman" w:hAnsiTheme="minorHAnsi" w:cstheme="minorHAnsi"/>
          <w:kern w:val="28"/>
          <w:sz w:val="22"/>
          <w:szCs w:val="22"/>
        </w:rPr>
        <w:t xml:space="preserve"> below, the department does not reach the arguments on appeal </w:t>
      </w:r>
      <w:r>
        <w:rPr>
          <w:rFonts w:asciiTheme="minorHAnsi" w:eastAsia="Times New Roman" w:hAnsiTheme="minorHAnsi" w:cstheme="minorHAnsi"/>
          <w:kern w:val="28"/>
          <w:sz w:val="22"/>
          <w:szCs w:val="22"/>
        </w:rPr>
        <w:t>because</w:t>
      </w:r>
      <w:r w:rsidRPr="00FC3391">
        <w:rPr>
          <w:rFonts w:asciiTheme="minorHAnsi" w:eastAsia="Times New Roman" w:hAnsiTheme="minorHAnsi" w:cstheme="minorHAnsi"/>
          <w:kern w:val="28"/>
          <w:sz w:val="22"/>
          <w:szCs w:val="22"/>
        </w:rPr>
        <w:t xml:space="preserve"> Parent fails to meet the statutory requirement that a student must be engaging in a protected activity for the protections ORS 659.852 to apply</w:t>
      </w:r>
      <w:r>
        <w:rPr>
          <w:rFonts w:asciiTheme="minorHAnsi" w:eastAsia="Times New Roman" w:hAnsiTheme="minorHAnsi" w:cstheme="minorHAnsi"/>
          <w:kern w:val="28"/>
          <w:sz w:val="22"/>
          <w:szCs w:val="22"/>
        </w:rPr>
        <w:t>.</w:t>
      </w: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p>
    <w:p w:rsidR="00551B9D"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 xml:space="preserve">ORS 659.852 only protects a student who reports, in good faith, information believed to be a violation of a state or federal law, rule, or regulation. Parent argues that the district retaliated against Student because she filed complaints with the district, the United States Department of Education, the Federal Trade Commission, and the Teacher Standards and Practices Commission. However, the language of ORS 659.852 </w:t>
      </w:r>
      <w:r w:rsidR="00551B9D">
        <w:rPr>
          <w:rFonts w:asciiTheme="minorHAnsi" w:eastAsia="Times New Roman" w:hAnsiTheme="minorHAnsi" w:cstheme="minorHAnsi"/>
          <w:kern w:val="28"/>
          <w:sz w:val="22"/>
          <w:szCs w:val="22"/>
        </w:rPr>
        <w:t xml:space="preserve">only </w:t>
      </w:r>
      <w:r w:rsidRPr="00FC3391">
        <w:rPr>
          <w:rFonts w:asciiTheme="minorHAnsi" w:eastAsia="Times New Roman" w:hAnsiTheme="minorHAnsi" w:cstheme="minorHAnsi"/>
          <w:kern w:val="28"/>
          <w:sz w:val="22"/>
          <w:szCs w:val="22"/>
        </w:rPr>
        <w:t>protects “[a] student [who] has in good faith reported information that the student believes is evidence of a violation of a state or federal law, rule</w:t>
      </w:r>
      <w:r w:rsidR="00526D4D">
        <w:rPr>
          <w:rFonts w:asciiTheme="minorHAnsi" w:eastAsia="Times New Roman" w:hAnsiTheme="minorHAnsi" w:cstheme="minorHAnsi"/>
          <w:kern w:val="28"/>
          <w:sz w:val="22"/>
          <w:szCs w:val="22"/>
        </w:rPr>
        <w:t>,</w:t>
      </w:r>
      <w:r w:rsidRPr="00FC3391">
        <w:rPr>
          <w:rFonts w:asciiTheme="minorHAnsi" w:eastAsia="Times New Roman" w:hAnsiTheme="minorHAnsi" w:cstheme="minorHAnsi"/>
          <w:kern w:val="28"/>
          <w:sz w:val="22"/>
          <w:szCs w:val="22"/>
        </w:rPr>
        <w:t xml:space="preserve"> or regulation.”</w:t>
      </w:r>
      <w:r w:rsidR="00551B9D">
        <w:rPr>
          <w:rFonts w:asciiTheme="minorHAnsi" w:eastAsia="Times New Roman" w:hAnsiTheme="minorHAnsi" w:cstheme="minorHAnsi"/>
          <w:kern w:val="28"/>
          <w:sz w:val="22"/>
          <w:szCs w:val="22"/>
        </w:rPr>
        <w:t xml:space="preserve"> It does not protect a </w:t>
      </w:r>
      <w:r w:rsidR="00526D4D">
        <w:rPr>
          <w:rFonts w:asciiTheme="minorHAnsi" w:eastAsia="Times New Roman" w:hAnsiTheme="minorHAnsi" w:cstheme="minorHAnsi"/>
          <w:kern w:val="28"/>
          <w:sz w:val="22"/>
          <w:szCs w:val="22"/>
        </w:rPr>
        <w:t xml:space="preserve">student when a </w:t>
      </w:r>
      <w:r w:rsidR="00551B9D">
        <w:rPr>
          <w:rFonts w:asciiTheme="minorHAnsi" w:eastAsia="Times New Roman" w:hAnsiTheme="minorHAnsi" w:cstheme="minorHAnsi"/>
          <w:kern w:val="28"/>
          <w:sz w:val="22"/>
          <w:szCs w:val="22"/>
        </w:rPr>
        <w:t>parent in good faith reported information</w:t>
      </w:r>
      <w:r w:rsidR="00526D4D">
        <w:rPr>
          <w:rFonts w:asciiTheme="minorHAnsi" w:eastAsia="Times New Roman" w:hAnsiTheme="minorHAnsi" w:cstheme="minorHAnsi"/>
          <w:kern w:val="28"/>
          <w:sz w:val="22"/>
          <w:szCs w:val="22"/>
        </w:rPr>
        <w:t xml:space="preserve"> that the parent believes is evidence of a violation of a state or federal law, rule, or regulation</w:t>
      </w:r>
      <w:r w:rsidR="00551B9D">
        <w:rPr>
          <w:rFonts w:asciiTheme="minorHAnsi" w:eastAsia="Times New Roman" w:hAnsiTheme="minorHAnsi" w:cstheme="minorHAnsi"/>
          <w:kern w:val="28"/>
          <w:sz w:val="22"/>
          <w:szCs w:val="22"/>
        </w:rPr>
        <w:t>.</w:t>
      </w:r>
    </w:p>
    <w:p w:rsidR="00551B9D" w:rsidRDefault="00551B9D" w:rsidP="00FC3391">
      <w:pPr>
        <w:spacing w:before="100" w:beforeAutospacing="1" w:afterAutospacing="1"/>
        <w:contextualSpacing/>
        <w:jc w:val="both"/>
        <w:rPr>
          <w:rFonts w:asciiTheme="minorHAnsi" w:eastAsia="Times New Roman" w:hAnsiTheme="minorHAnsi" w:cstheme="minorHAnsi"/>
          <w:kern w:val="28"/>
          <w:sz w:val="22"/>
          <w:szCs w:val="22"/>
        </w:rPr>
      </w:pP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 xml:space="preserve">In this case, Parent </w:t>
      </w:r>
      <w:r>
        <w:rPr>
          <w:rFonts w:asciiTheme="minorHAnsi" w:eastAsia="Times New Roman" w:hAnsiTheme="minorHAnsi" w:cstheme="minorHAnsi"/>
          <w:kern w:val="28"/>
          <w:sz w:val="22"/>
          <w:szCs w:val="22"/>
        </w:rPr>
        <w:t xml:space="preserve">observed the video online and then filed her complaints. </w:t>
      </w:r>
      <w:r w:rsidR="00551B9D" w:rsidRPr="00551B9D">
        <w:rPr>
          <w:rFonts w:asciiTheme="minorHAnsi" w:eastAsia="Times New Roman" w:hAnsiTheme="minorHAnsi" w:cstheme="minorHAnsi"/>
          <w:kern w:val="28"/>
          <w:sz w:val="22"/>
          <w:szCs w:val="22"/>
        </w:rPr>
        <w:t xml:space="preserve">In Parent’s </w:t>
      </w:r>
      <w:r w:rsidR="00551B9D">
        <w:rPr>
          <w:rFonts w:asciiTheme="minorHAnsi" w:eastAsia="Times New Roman" w:hAnsiTheme="minorHAnsi" w:cstheme="minorHAnsi"/>
          <w:kern w:val="28"/>
          <w:sz w:val="22"/>
          <w:szCs w:val="22"/>
        </w:rPr>
        <w:t xml:space="preserve">own </w:t>
      </w:r>
      <w:r w:rsidR="00551B9D" w:rsidRPr="00551B9D">
        <w:rPr>
          <w:rFonts w:asciiTheme="minorHAnsi" w:eastAsia="Times New Roman" w:hAnsiTheme="minorHAnsi" w:cstheme="minorHAnsi"/>
          <w:kern w:val="28"/>
          <w:sz w:val="22"/>
          <w:szCs w:val="22"/>
        </w:rPr>
        <w:t>words, she “[c]</w:t>
      </w:r>
      <w:proofErr w:type="spellStart"/>
      <w:r w:rsidR="00551B9D" w:rsidRPr="00551B9D">
        <w:rPr>
          <w:rFonts w:asciiTheme="minorHAnsi" w:eastAsia="Times New Roman" w:hAnsiTheme="minorHAnsi" w:cstheme="minorHAnsi"/>
          <w:kern w:val="28"/>
          <w:sz w:val="22"/>
          <w:szCs w:val="22"/>
        </w:rPr>
        <w:t>ame</w:t>
      </w:r>
      <w:proofErr w:type="spellEnd"/>
      <w:r w:rsidR="00551B9D" w:rsidRPr="00551B9D">
        <w:rPr>
          <w:rFonts w:asciiTheme="minorHAnsi" w:eastAsia="Times New Roman" w:hAnsiTheme="minorHAnsi" w:cstheme="minorHAnsi"/>
          <w:kern w:val="28"/>
          <w:sz w:val="22"/>
          <w:szCs w:val="22"/>
        </w:rPr>
        <w:t xml:space="preserve"> home from work to discover a video of my child was posted to the [web</w:t>
      </w:r>
      <w:proofErr w:type="gramStart"/>
      <w:r w:rsidR="00551B9D" w:rsidRPr="00551B9D">
        <w:rPr>
          <w:rFonts w:asciiTheme="minorHAnsi" w:eastAsia="Times New Roman" w:hAnsiTheme="minorHAnsi" w:cstheme="minorHAnsi"/>
          <w:kern w:val="28"/>
          <w:sz w:val="22"/>
          <w:szCs w:val="22"/>
        </w:rPr>
        <w:t>]site</w:t>
      </w:r>
      <w:proofErr w:type="gramEnd"/>
      <w:r w:rsidR="00551B9D" w:rsidRPr="00551B9D">
        <w:rPr>
          <w:rFonts w:asciiTheme="minorHAnsi" w:eastAsia="Times New Roman" w:hAnsiTheme="minorHAnsi" w:cstheme="minorHAnsi"/>
          <w:kern w:val="28"/>
          <w:sz w:val="22"/>
          <w:szCs w:val="22"/>
        </w:rPr>
        <w:t>.”</w:t>
      </w:r>
      <w:r w:rsidR="00551B9D">
        <w:rPr>
          <w:rFonts w:asciiTheme="minorHAnsi" w:eastAsia="Times New Roman" w:hAnsiTheme="minorHAnsi" w:cstheme="minorHAnsi"/>
          <w:kern w:val="28"/>
          <w:sz w:val="22"/>
          <w:szCs w:val="22"/>
        </w:rPr>
        <w:t xml:space="preserve"> </w:t>
      </w:r>
      <w:r>
        <w:rPr>
          <w:rFonts w:asciiTheme="minorHAnsi" w:eastAsia="Times New Roman" w:hAnsiTheme="minorHAnsi" w:cstheme="minorHAnsi"/>
          <w:kern w:val="28"/>
          <w:sz w:val="22"/>
          <w:szCs w:val="22"/>
        </w:rPr>
        <w:t xml:space="preserve">Parent believed that the district was in violation of the law. However, Parent </w:t>
      </w:r>
      <w:r w:rsidR="00551B9D">
        <w:rPr>
          <w:rFonts w:asciiTheme="minorHAnsi" w:eastAsia="Times New Roman" w:hAnsiTheme="minorHAnsi" w:cstheme="minorHAnsi"/>
          <w:kern w:val="28"/>
          <w:sz w:val="22"/>
          <w:szCs w:val="22"/>
        </w:rPr>
        <w:t xml:space="preserve">believed that the district was in violation of the law because </w:t>
      </w:r>
      <w:r w:rsidR="00FE671A">
        <w:rPr>
          <w:rFonts w:asciiTheme="minorHAnsi" w:eastAsia="Times New Roman" w:hAnsiTheme="minorHAnsi" w:cstheme="minorHAnsi"/>
          <w:kern w:val="28"/>
          <w:sz w:val="22"/>
          <w:szCs w:val="22"/>
        </w:rPr>
        <w:t xml:space="preserve">of </w:t>
      </w:r>
      <w:r w:rsidR="00551B9D">
        <w:rPr>
          <w:rFonts w:asciiTheme="minorHAnsi" w:eastAsia="Times New Roman" w:hAnsiTheme="minorHAnsi" w:cstheme="minorHAnsi"/>
          <w:kern w:val="28"/>
          <w:sz w:val="22"/>
          <w:szCs w:val="22"/>
        </w:rPr>
        <w:t xml:space="preserve">her observations. She did not believe that the district was in violation of the law because </w:t>
      </w:r>
      <w:r w:rsidR="00FE671A">
        <w:rPr>
          <w:rFonts w:asciiTheme="minorHAnsi" w:eastAsia="Times New Roman" w:hAnsiTheme="minorHAnsi" w:cstheme="minorHAnsi"/>
          <w:kern w:val="28"/>
          <w:sz w:val="22"/>
          <w:szCs w:val="22"/>
        </w:rPr>
        <w:t xml:space="preserve">of something </w:t>
      </w:r>
      <w:r w:rsidR="00551B9D">
        <w:rPr>
          <w:rFonts w:asciiTheme="minorHAnsi" w:eastAsia="Times New Roman" w:hAnsiTheme="minorHAnsi" w:cstheme="minorHAnsi"/>
          <w:kern w:val="28"/>
          <w:sz w:val="22"/>
          <w:szCs w:val="22"/>
        </w:rPr>
        <w:t xml:space="preserve">Student </w:t>
      </w:r>
      <w:r w:rsidR="00FE671A">
        <w:rPr>
          <w:rFonts w:asciiTheme="minorHAnsi" w:eastAsia="Times New Roman" w:hAnsiTheme="minorHAnsi" w:cstheme="minorHAnsi"/>
          <w:kern w:val="28"/>
          <w:sz w:val="22"/>
          <w:szCs w:val="22"/>
        </w:rPr>
        <w:t>t</w:t>
      </w:r>
      <w:r w:rsidR="00551B9D">
        <w:rPr>
          <w:rFonts w:asciiTheme="minorHAnsi" w:eastAsia="Times New Roman" w:hAnsiTheme="minorHAnsi" w:cstheme="minorHAnsi"/>
          <w:kern w:val="28"/>
          <w:sz w:val="22"/>
          <w:szCs w:val="22"/>
        </w:rPr>
        <w:t>o</w:t>
      </w:r>
      <w:r w:rsidR="00FE671A">
        <w:rPr>
          <w:rFonts w:asciiTheme="minorHAnsi" w:eastAsia="Times New Roman" w:hAnsiTheme="minorHAnsi" w:cstheme="minorHAnsi"/>
          <w:kern w:val="28"/>
          <w:sz w:val="22"/>
          <w:szCs w:val="22"/>
        </w:rPr>
        <w:t>ld</w:t>
      </w:r>
      <w:r w:rsidR="00551B9D">
        <w:rPr>
          <w:rFonts w:asciiTheme="minorHAnsi" w:eastAsia="Times New Roman" w:hAnsiTheme="minorHAnsi" w:cstheme="minorHAnsi"/>
          <w:kern w:val="28"/>
          <w:sz w:val="22"/>
          <w:szCs w:val="22"/>
        </w:rPr>
        <w:t xml:space="preserve"> her.</w:t>
      </w:r>
      <w:r>
        <w:rPr>
          <w:rFonts w:asciiTheme="minorHAnsi" w:eastAsia="Times New Roman" w:hAnsiTheme="minorHAnsi" w:cstheme="minorHAnsi"/>
          <w:kern w:val="28"/>
          <w:sz w:val="22"/>
          <w:szCs w:val="22"/>
        </w:rPr>
        <w:t xml:space="preserve"> </w:t>
      </w:r>
      <w:r w:rsidRPr="00FC3391">
        <w:rPr>
          <w:rFonts w:asciiTheme="minorHAnsi" w:eastAsia="Times New Roman" w:hAnsiTheme="minorHAnsi" w:cstheme="minorHAnsi"/>
          <w:kern w:val="28"/>
          <w:sz w:val="22"/>
          <w:szCs w:val="22"/>
        </w:rPr>
        <w:t xml:space="preserve">Under the plain meaning of the statute, ORS 659.852 only protects “[a] student [who] has in good faith reported information.” ORS 659.852 does not protect a student who is the son or daughter of a parent who </w:t>
      </w:r>
      <w:proofErr w:type="gramStart"/>
      <w:r w:rsidRPr="00FC3391">
        <w:rPr>
          <w:rFonts w:asciiTheme="minorHAnsi" w:eastAsia="Times New Roman" w:hAnsiTheme="minorHAnsi" w:cstheme="minorHAnsi"/>
          <w:kern w:val="28"/>
          <w:sz w:val="22"/>
          <w:szCs w:val="22"/>
        </w:rPr>
        <w:t>has in good faith reported</w:t>
      </w:r>
      <w:proofErr w:type="gramEnd"/>
      <w:r w:rsidRPr="00FC3391">
        <w:rPr>
          <w:rFonts w:asciiTheme="minorHAnsi" w:eastAsia="Times New Roman" w:hAnsiTheme="minorHAnsi" w:cstheme="minorHAnsi"/>
          <w:kern w:val="28"/>
          <w:sz w:val="22"/>
          <w:szCs w:val="22"/>
        </w:rPr>
        <w:t xml:space="preserve"> information.</w:t>
      </w: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This is not to say that ORS 659.852 does not apply to any situation where a parent files an official complaint with an education program on behalf of a student. As explained below, a student may make an informal report to a parent who then files an official complaint with the education program.</w:t>
      </w: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 xml:space="preserve">ORS 659.852 does not define “report.” Therefore, for purposes of ORS 659.852, determining the meaning of “report” requires discerning legislative intent. The Oregon Supreme Court prescribed the method for discerning legislative intent in </w:t>
      </w:r>
      <w:r w:rsidRPr="00FC3391">
        <w:rPr>
          <w:rFonts w:asciiTheme="minorHAnsi" w:eastAsia="Times New Roman" w:hAnsiTheme="minorHAnsi" w:cstheme="minorHAnsi"/>
          <w:i/>
          <w:kern w:val="28"/>
          <w:sz w:val="22"/>
          <w:szCs w:val="22"/>
        </w:rPr>
        <w:t>Portland General Electric, Co. v. Bureau of Labor and Industries</w:t>
      </w:r>
      <w:r w:rsidRPr="00FC3391">
        <w:rPr>
          <w:rFonts w:asciiTheme="minorHAnsi" w:eastAsia="Times New Roman" w:hAnsiTheme="minorHAnsi" w:cstheme="minorHAnsi"/>
          <w:i/>
          <w:kern w:val="28"/>
          <w:sz w:val="22"/>
          <w:szCs w:val="22"/>
          <w:vertAlign w:val="superscript"/>
        </w:rPr>
        <w:footnoteReference w:id="11"/>
      </w:r>
      <w:r w:rsidRPr="00FC3391">
        <w:rPr>
          <w:rFonts w:asciiTheme="minorHAnsi" w:eastAsia="Times New Roman" w:hAnsiTheme="minorHAnsi" w:cstheme="minorHAnsi"/>
          <w:kern w:val="28"/>
          <w:sz w:val="22"/>
          <w:szCs w:val="22"/>
        </w:rPr>
        <w:t xml:space="preserve"> </w:t>
      </w:r>
      <w:r w:rsidRPr="00FC3391">
        <w:rPr>
          <w:rFonts w:asciiTheme="minorHAnsi" w:eastAsia="Times New Roman" w:hAnsiTheme="minorHAnsi" w:cstheme="minorHAnsi"/>
          <w:i/>
          <w:kern w:val="28"/>
          <w:sz w:val="22"/>
          <w:szCs w:val="22"/>
        </w:rPr>
        <w:t xml:space="preserve"> </w:t>
      </w:r>
      <w:r w:rsidRPr="00FC3391">
        <w:rPr>
          <w:rFonts w:asciiTheme="minorHAnsi" w:eastAsia="Times New Roman" w:hAnsiTheme="minorHAnsi" w:cstheme="minorHAnsi"/>
          <w:kern w:val="28"/>
          <w:sz w:val="22"/>
          <w:szCs w:val="22"/>
        </w:rPr>
        <w:t xml:space="preserve">and </w:t>
      </w:r>
      <w:r w:rsidRPr="00FC3391">
        <w:rPr>
          <w:rFonts w:asciiTheme="minorHAnsi" w:eastAsia="Times New Roman" w:hAnsiTheme="minorHAnsi" w:cstheme="minorHAnsi"/>
          <w:i/>
          <w:kern w:val="28"/>
          <w:sz w:val="22"/>
          <w:szCs w:val="22"/>
        </w:rPr>
        <w:t>State v. Gaines</w:t>
      </w:r>
      <w:r w:rsidRPr="00FC3391">
        <w:rPr>
          <w:rFonts w:asciiTheme="minorHAnsi" w:eastAsia="Times New Roman" w:hAnsiTheme="minorHAnsi" w:cstheme="minorHAnsi"/>
          <w:kern w:val="28"/>
          <w:sz w:val="22"/>
          <w:szCs w:val="22"/>
        </w:rPr>
        <w:t>.</w:t>
      </w:r>
      <w:r w:rsidRPr="00FC3391">
        <w:rPr>
          <w:rFonts w:asciiTheme="minorHAnsi" w:eastAsia="Times New Roman" w:hAnsiTheme="minorHAnsi" w:cstheme="minorHAnsi"/>
          <w:kern w:val="28"/>
          <w:sz w:val="22"/>
          <w:szCs w:val="22"/>
          <w:vertAlign w:val="superscript"/>
        </w:rPr>
        <w:footnoteReference w:id="12"/>
      </w:r>
      <w:r w:rsidRPr="00FC3391">
        <w:rPr>
          <w:rFonts w:asciiTheme="minorHAnsi" w:eastAsia="Times New Roman" w:hAnsiTheme="minorHAnsi" w:cstheme="minorHAnsi"/>
          <w:kern w:val="28"/>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FC3391">
        <w:rPr>
          <w:rFonts w:asciiTheme="minorHAnsi" w:eastAsia="Times New Roman" w:hAnsiTheme="minorHAnsi" w:cstheme="minorHAnsi"/>
          <w:kern w:val="28"/>
          <w:sz w:val="22"/>
          <w:szCs w:val="22"/>
          <w:vertAlign w:val="superscript"/>
        </w:rPr>
        <w:footnoteReference w:id="13"/>
      </w:r>
      <w:r w:rsidRPr="00FC3391">
        <w:rPr>
          <w:rFonts w:asciiTheme="minorHAnsi" w:eastAsia="Times New Roman" w:hAnsiTheme="minorHAnsi" w:cstheme="minorHAnsi"/>
          <w:kern w:val="28"/>
          <w:sz w:val="22"/>
          <w:szCs w:val="22"/>
        </w:rPr>
        <w:t xml:space="preserve"> </w:t>
      </w:r>
    </w:p>
    <w:p w:rsidR="00FC3391" w:rsidRP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p>
    <w:p w:rsidR="00FC3391" w:rsidRDefault="00FC3391" w:rsidP="00FC3391">
      <w:pPr>
        <w:spacing w:before="100" w:beforeAutospacing="1" w:afterAutospacing="1"/>
        <w:contextualSpacing/>
        <w:jc w:val="both"/>
        <w:rPr>
          <w:rFonts w:asciiTheme="minorHAnsi" w:eastAsia="Times New Roman" w:hAnsiTheme="minorHAnsi" w:cstheme="minorHAnsi"/>
          <w:kern w:val="28"/>
          <w:sz w:val="22"/>
          <w:szCs w:val="22"/>
        </w:rPr>
      </w:pPr>
      <w:r w:rsidRPr="00FC3391">
        <w:rPr>
          <w:rFonts w:asciiTheme="minorHAnsi" w:eastAsia="Times New Roman" w:hAnsiTheme="minorHAnsi" w:cstheme="minorHAnsi"/>
          <w:kern w:val="28"/>
          <w:sz w:val="22"/>
          <w:szCs w:val="22"/>
        </w:rPr>
        <w:t xml:space="preserve">To discern the plain meaning of a term in statute, Oregon appellate courts consult </w:t>
      </w:r>
      <w:r w:rsidRPr="00FC3391">
        <w:rPr>
          <w:rFonts w:asciiTheme="minorHAnsi" w:eastAsia="Times New Roman" w:hAnsiTheme="minorHAnsi" w:cstheme="minorHAnsi"/>
          <w:i/>
          <w:kern w:val="28"/>
          <w:sz w:val="22"/>
          <w:szCs w:val="22"/>
        </w:rPr>
        <w:t>Webster’s Third New International Dictionary</w:t>
      </w:r>
      <w:r w:rsidRPr="00FC3391">
        <w:rPr>
          <w:rFonts w:asciiTheme="minorHAnsi" w:eastAsia="Times New Roman" w:hAnsiTheme="minorHAnsi" w:cstheme="minorHAnsi"/>
          <w:kern w:val="28"/>
          <w:sz w:val="22"/>
          <w:szCs w:val="22"/>
        </w:rPr>
        <w:t>.</w:t>
      </w:r>
      <w:r w:rsidRPr="00FC3391">
        <w:rPr>
          <w:rFonts w:asciiTheme="minorHAnsi" w:eastAsia="Times New Roman" w:hAnsiTheme="minorHAnsi" w:cstheme="minorHAnsi"/>
          <w:kern w:val="28"/>
          <w:sz w:val="22"/>
          <w:szCs w:val="22"/>
          <w:vertAlign w:val="superscript"/>
        </w:rPr>
        <w:footnoteReference w:id="14"/>
      </w:r>
      <w:r w:rsidRPr="00FC3391">
        <w:rPr>
          <w:rFonts w:asciiTheme="minorHAnsi" w:eastAsia="Times New Roman" w:hAnsiTheme="minorHAnsi" w:cstheme="minorHAnsi"/>
          <w:kern w:val="28"/>
          <w:sz w:val="22"/>
          <w:szCs w:val="22"/>
        </w:rPr>
        <w:t xml:space="preserve"> That dictionary defines “report” to mean “to give an account of: NARRATE, RELATE, </w:t>
      </w:r>
      <w:proofErr w:type="gramStart"/>
      <w:r w:rsidRPr="00FC3391">
        <w:rPr>
          <w:rFonts w:asciiTheme="minorHAnsi" w:eastAsia="Times New Roman" w:hAnsiTheme="minorHAnsi" w:cstheme="minorHAnsi"/>
          <w:kern w:val="28"/>
          <w:sz w:val="22"/>
          <w:szCs w:val="22"/>
        </w:rPr>
        <w:t>TELL</w:t>
      </w:r>
      <w:proofErr w:type="gramEnd"/>
      <w:r w:rsidRPr="00FC3391">
        <w:rPr>
          <w:rFonts w:asciiTheme="minorHAnsi" w:eastAsia="Times New Roman" w:hAnsiTheme="minorHAnsi" w:cstheme="minorHAnsi"/>
          <w:kern w:val="28"/>
          <w:sz w:val="22"/>
          <w:szCs w:val="22"/>
        </w:rPr>
        <w:t xml:space="preserve">.” Further, given that ORS 659.852 </w:t>
      </w:r>
      <w:proofErr w:type="gramStart"/>
      <w:r w:rsidRPr="00FC3391">
        <w:rPr>
          <w:rFonts w:asciiTheme="minorHAnsi" w:eastAsia="Times New Roman" w:hAnsiTheme="minorHAnsi" w:cstheme="minorHAnsi"/>
          <w:kern w:val="28"/>
          <w:sz w:val="22"/>
          <w:szCs w:val="22"/>
        </w:rPr>
        <w:t>is intended to be applied</w:t>
      </w:r>
      <w:proofErr w:type="gramEnd"/>
      <w:r w:rsidRPr="00FC3391">
        <w:rPr>
          <w:rFonts w:asciiTheme="minorHAnsi" w:eastAsia="Times New Roman" w:hAnsiTheme="minorHAnsi" w:cstheme="minorHAnsi"/>
          <w:kern w:val="28"/>
          <w:sz w:val="22"/>
          <w:szCs w:val="22"/>
        </w:rPr>
        <w:t xml:space="preserve"> in the same manner as a law </w:t>
      </w:r>
      <w:r w:rsidRPr="00FC3391">
        <w:rPr>
          <w:rFonts w:asciiTheme="minorHAnsi" w:eastAsia="Times New Roman" w:hAnsiTheme="minorHAnsi" w:cstheme="minorHAnsi"/>
          <w:kern w:val="28"/>
          <w:sz w:val="22"/>
          <w:szCs w:val="22"/>
        </w:rPr>
        <w:lastRenderedPageBreak/>
        <w:t>protecting whistleblowers from employers, it is important to understand that employment law has the purpose of protecting “a report of information to either an external or internal authority.”</w:t>
      </w:r>
      <w:r w:rsidRPr="00FC3391">
        <w:rPr>
          <w:rFonts w:asciiTheme="minorHAnsi" w:eastAsia="Times New Roman" w:hAnsiTheme="minorHAnsi" w:cstheme="minorHAnsi"/>
          <w:kern w:val="28"/>
          <w:sz w:val="22"/>
          <w:szCs w:val="22"/>
          <w:vertAlign w:val="superscript"/>
        </w:rPr>
        <w:footnoteReference w:id="15"/>
      </w:r>
      <w:r w:rsidRPr="00FC3391">
        <w:rPr>
          <w:rFonts w:asciiTheme="minorHAnsi" w:eastAsia="Times New Roman" w:hAnsiTheme="minorHAnsi" w:cstheme="minorHAnsi"/>
          <w:kern w:val="28"/>
          <w:sz w:val="22"/>
          <w:szCs w:val="22"/>
        </w:rPr>
        <w:t xml:space="preserve"> Thus, ORS 659.852 applies when a student reports information to a parent (an internal authority) who then files an official complaint with an education program (an external authority). </w:t>
      </w:r>
    </w:p>
    <w:p w:rsidR="00551B9D" w:rsidRDefault="00551B9D" w:rsidP="00FC3391">
      <w:pPr>
        <w:spacing w:before="100" w:beforeAutospacing="1" w:afterAutospacing="1"/>
        <w:contextualSpacing/>
        <w:jc w:val="both"/>
        <w:rPr>
          <w:rFonts w:asciiTheme="minorHAnsi" w:eastAsia="Times New Roman" w:hAnsiTheme="minorHAnsi" w:cstheme="minorHAnsi"/>
          <w:kern w:val="28"/>
          <w:sz w:val="22"/>
          <w:szCs w:val="22"/>
        </w:rPr>
      </w:pPr>
    </w:p>
    <w:p w:rsidR="00FE671A" w:rsidRDefault="008C076C" w:rsidP="00FC3391">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In</w:t>
      </w:r>
      <w:r w:rsidR="00551B9D">
        <w:rPr>
          <w:rFonts w:asciiTheme="minorHAnsi" w:eastAsia="Times New Roman" w:hAnsiTheme="minorHAnsi" w:cstheme="minorHAnsi"/>
          <w:kern w:val="28"/>
          <w:sz w:val="22"/>
          <w:szCs w:val="22"/>
        </w:rPr>
        <w:t xml:space="preserve"> this instance, Parent filed her complaints because of something that she observed online, not becaus</w:t>
      </w:r>
      <w:r>
        <w:rPr>
          <w:rFonts w:asciiTheme="minorHAnsi" w:eastAsia="Times New Roman" w:hAnsiTheme="minorHAnsi" w:cstheme="minorHAnsi"/>
          <w:kern w:val="28"/>
          <w:sz w:val="22"/>
          <w:szCs w:val="22"/>
        </w:rPr>
        <w:t xml:space="preserve">e of something that Student </w:t>
      </w:r>
      <w:r w:rsidR="00551B9D">
        <w:rPr>
          <w:rFonts w:asciiTheme="minorHAnsi" w:eastAsia="Times New Roman" w:hAnsiTheme="minorHAnsi" w:cstheme="minorHAnsi"/>
          <w:kern w:val="28"/>
          <w:sz w:val="22"/>
          <w:szCs w:val="22"/>
        </w:rPr>
        <w:t xml:space="preserve">told her. </w:t>
      </w:r>
      <w:r w:rsidRPr="008C076C">
        <w:rPr>
          <w:rFonts w:asciiTheme="minorHAnsi" w:eastAsia="Times New Roman" w:hAnsiTheme="minorHAnsi" w:cstheme="minorHAnsi"/>
          <w:kern w:val="28"/>
          <w:sz w:val="22"/>
          <w:szCs w:val="22"/>
        </w:rPr>
        <w:t>In Parent’s words, she “[c]</w:t>
      </w:r>
      <w:proofErr w:type="spellStart"/>
      <w:r w:rsidRPr="008C076C">
        <w:rPr>
          <w:rFonts w:asciiTheme="minorHAnsi" w:eastAsia="Times New Roman" w:hAnsiTheme="minorHAnsi" w:cstheme="minorHAnsi"/>
          <w:kern w:val="28"/>
          <w:sz w:val="22"/>
          <w:szCs w:val="22"/>
        </w:rPr>
        <w:t>ame</w:t>
      </w:r>
      <w:proofErr w:type="spellEnd"/>
      <w:r w:rsidRPr="008C076C">
        <w:rPr>
          <w:rFonts w:asciiTheme="minorHAnsi" w:eastAsia="Times New Roman" w:hAnsiTheme="minorHAnsi" w:cstheme="minorHAnsi"/>
          <w:kern w:val="28"/>
          <w:sz w:val="22"/>
          <w:szCs w:val="22"/>
        </w:rPr>
        <w:t xml:space="preserve"> home from work to discover a video of my child was posted to the [web</w:t>
      </w:r>
      <w:proofErr w:type="gramStart"/>
      <w:r w:rsidRPr="008C076C">
        <w:rPr>
          <w:rFonts w:asciiTheme="minorHAnsi" w:eastAsia="Times New Roman" w:hAnsiTheme="minorHAnsi" w:cstheme="minorHAnsi"/>
          <w:kern w:val="28"/>
          <w:sz w:val="22"/>
          <w:szCs w:val="22"/>
        </w:rPr>
        <w:t>]site</w:t>
      </w:r>
      <w:proofErr w:type="gramEnd"/>
      <w:r w:rsidRPr="008C076C">
        <w:rPr>
          <w:rFonts w:asciiTheme="minorHAnsi" w:eastAsia="Times New Roman" w:hAnsiTheme="minorHAnsi" w:cstheme="minorHAnsi"/>
          <w:kern w:val="28"/>
          <w:sz w:val="22"/>
          <w:szCs w:val="22"/>
        </w:rPr>
        <w:t>.”</w:t>
      </w:r>
      <w:r>
        <w:rPr>
          <w:rFonts w:asciiTheme="minorHAnsi" w:eastAsia="Times New Roman" w:hAnsiTheme="minorHAnsi" w:cstheme="minorHAnsi"/>
          <w:kern w:val="28"/>
          <w:sz w:val="22"/>
          <w:szCs w:val="22"/>
        </w:rPr>
        <w:t xml:space="preserve"> Thus, the protections of ORS </w:t>
      </w:r>
      <w:r w:rsidRPr="008C076C">
        <w:rPr>
          <w:rFonts w:asciiTheme="minorHAnsi" w:eastAsia="Times New Roman" w:hAnsiTheme="minorHAnsi" w:cstheme="minorHAnsi"/>
          <w:kern w:val="28"/>
          <w:sz w:val="22"/>
          <w:szCs w:val="22"/>
        </w:rPr>
        <w:t>659.852</w:t>
      </w:r>
      <w:r>
        <w:rPr>
          <w:rFonts w:asciiTheme="minorHAnsi" w:eastAsia="Times New Roman" w:hAnsiTheme="minorHAnsi" w:cstheme="minorHAnsi"/>
          <w:kern w:val="28"/>
          <w:sz w:val="22"/>
          <w:szCs w:val="22"/>
        </w:rPr>
        <w:t xml:space="preserve"> do not apply.</w:t>
      </w:r>
      <w:r w:rsidR="00291B20">
        <w:rPr>
          <w:rFonts w:asciiTheme="minorHAnsi" w:eastAsia="Times New Roman" w:hAnsiTheme="minorHAnsi" w:cstheme="minorHAnsi"/>
          <w:kern w:val="28"/>
          <w:sz w:val="22"/>
          <w:szCs w:val="22"/>
        </w:rPr>
        <w:t xml:space="preserve"> </w:t>
      </w:r>
    </w:p>
    <w:p w:rsidR="008C076C" w:rsidRDefault="00BD58B2" w:rsidP="00291B20">
      <w:pPr>
        <w:pStyle w:val="Heading2"/>
      </w:pPr>
      <w:r>
        <w:t>CONCLUSION</w:t>
      </w:r>
    </w:p>
    <w:p w:rsidR="008C076C" w:rsidRDefault="008C076C" w:rsidP="008C076C">
      <w:pPr>
        <w:spacing w:before="100" w:beforeAutospacing="1" w:afterAutospacing="1"/>
        <w:contextualSpacing/>
        <w:jc w:val="center"/>
        <w:rPr>
          <w:rFonts w:asciiTheme="minorHAnsi" w:eastAsia="Times New Roman" w:hAnsiTheme="minorHAnsi" w:cstheme="minorHAnsi"/>
          <w:b/>
          <w:kern w:val="28"/>
          <w:sz w:val="22"/>
          <w:szCs w:val="22"/>
        </w:rPr>
      </w:pPr>
    </w:p>
    <w:p w:rsidR="008C076C" w:rsidRPr="008C076C" w:rsidRDefault="008C076C" w:rsidP="008C076C">
      <w:pPr>
        <w:spacing w:before="100" w:beforeAutospacing="1" w:afterAutospacing="1"/>
        <w:contextualSpacing/>
        <w:rPr>
          <w:rFonts w:asciiTheme="minorHAnsi" w:eastAsia="Times New Roman" w:hAnsiTheme="minorHAnsi" w:cstheme="minorHAnsi"/>
          <w:kern w:val="28"/>
          <w:sz w:val="22"/>
          <w:szCs w:val="22"/>
        </w:rPr>
      </w:pPr>
      <w:r w:rsidRPr="008C076C">
        <w:rPr>
          <w:rFonts w:asciiTheme="minorHAnsi" w:eastAsia="Times New Roman" w:hAnsiTheme="minorHAnsi" w:cstheme="minorHAnsi"/>
          <w:kern w:val="28"/>
          <w:sz w:val="22"/>
          <w:szCs w:val="22"/>
        </w:rPr>
        <w:t xml:space="preserve">In conclusion, the Oregon Department of Education finds that the </w:t>
      </w:r>
      <w:r>
        <w:rPr>
          <w:rFonts w:asciiTheme="minorHAnsi" w:eastAsia="Times New Roman" w:hAnsiTheme="minorHAnsi" w:cstheme="minorHAnsi"/>
          <w:kern w:val="28"/>
          <w:sz w:val="22"/>
          <w:szCs w:val="22"/>
        </w:rPr>
        <w:t>Gresham-Barlow</w:t>
      </w:r>
      <w:r w:rsidRPr="008C076C">
        <w:rPr>
          <w:rFonts w:asciiTheme="minorHAnsi" w:eastAsia="Times New Roman" w:hAnsiTheme="minorHAnsi" w:cstheme="minorHAnsi"/>
          <w:kern w:val="28"/>
          <w:sz w:val="22"/>
          <w:szCs w:val="22"/>
        </w:rPr>
        <w:t xml:space="preserve"> School District did not commit a retaliatory act under ORS 659.852.</w:t>
      </w:r>
    </w:p>
    <w:p w:rsidR="008C076C" w:rsidRDefault="008C076C" w:rsidP="006738A6">
      <w:pPr>
        <w:spacing w:before="100" w:beforeAutospacing="1" w:afterAutospacing="1"/>
        <w:contextualSpacing/>
        <w:jc w:val="both"/>
        <w:rPr>
          <w:rFonts w:asciiTheme="minorHAnsi" w:eastAsia="Times New Roman" w:hAnsiTheme="minorHAnsi" w:cstheme="minorHAnsi"/>
          <w:kern w:val="28"/>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bookmarkStart w:id="0" w:name="_GoBack"/>
      <w:bookmarkEnd w:id="0"/>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6738A6" w:rsidP="00DF3F7E">
      <w:pPr>
        <w:ind w:left="3600" w:firstLine="720"/>
        <w:contextualSpacing/>
        <w:rPr>
          <w:rFonts w:asciiTheme="minorHAnsi" w:hAnsiTheme="minorHAnsi" w:cstheme="minorHAnsi"/>
          <w:noProof/>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Office of the Director</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6738A6" w:rsidRPr="006738A6" w:rsidRDefault="006738A6" w:rsidP="006738A6">
      <w:pPr>
        <w:ind w:left="3600" w:firstLine="720"/>
        <w:contextualSpacing/>
        <w:rPr>
          <w:rFonts w:asciiTheme="minorHAnsi" w:hAnsiTheme="minorHAnsi" w:cstheme="minorHAnsi"/>
          <w:sz w:val="22"/>
          <w:szCs w:val="22"/>
        </w:rPr>
      </w:pPr>
    </w:p>
    <w:p w:rsidR="003A767B" w:rsidRPr="00DF3F7E" w:rsidRDefault="003A767B" w:rsidP="0007028A">
      <w:pPr>
        <w:contextualSpacing/>
        <w:rPr>
          <w:rFonts w:asciiTheme="minorHAnsi" w:hAnsiTheme="minorHAnsi" w:cstheme="minorHAnsi"/>
          <w:sz w:val="22"/>
          <w:szCs w:val="22"/>
        </w:rPr>
      </w:pPr>
    </w:p>
    <w:sectPr w:rsidR="003A767B" w:rsidRPr="00DF3F7E"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34" w:rsidRDefault="00705834" w:rsidP="00CE459D">
      <w:pPr>
        <w:spacing w:after="0"/>
      </w:pPr>
      <w:r>
        <w:separator/>
      </w:r>
    </w:p>
  </w:endnote>
  <w:endnote w:type="continuationSeparator" w:id="0">
    <w:p w:rsidR="00705834" w:rsidRDefault="0070583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34" w:rsidRDefault="00705834" w:rsidP="00CE459D">
      <w:pPr>
        <w:spacing w:after="0"/>
      </w:pPr>
      <w:r>
        <w:separator/>
      </w:r>
    </w:p>
  </w:footnote>
  <w:footnote w:type="continuationSeparator" w:id="0">
    <w:p w:rsidR="00705834" w:rsidRDefault="00705834" w:rsidP="00CE459D">
      <w:pPr>
        <w:spacing w:after="0"/>
      </w:pPr>
      <w:r>
        <w:continuationSeparator/>
      </w:r>
    </w:p>
  </w:footnote>
  <w:footnote w:id="1">
    <w:p w:rsidR="001F3EA0" w:rsidRDefault="001F3EA0">
      <w:pPr>
        <w:pStyle w:val="FootnoteText"/>
      </w:pPr>
      <w:r>
        <w:rPr>
          <w:rStyle w:val="FootnoteReference"/>
        </w:rPr>
        <w:footnoteRef/>
      </w:r>
      <w:r>
        <w:t xml:space="preserve"> ORS 659.852.</w:t>
      </w:r>
    </w:p>
  </w:footnote>
  <w:footnote w:id="2">
    <w:p w:rsidR="002C7196" w:rsidRDefault="002C719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w:t>
      </w:r>
      <w:proofErr w:type="gramStart"/>
      <w:r w:rsidRPr="002C7196">
        <w:rPr>
          <w:rFonts w:asciiTheme="minorHAnsi" w:eastAsia="Times New Roman" w:hAnsiTheme="minorHAnsi" w:cstheme="minorHAnsi"/>
          <w:kern w:val="28"/>
        </w:rPr>
        <w:t>)(</w:t>
      </w:r>
      <w:proofErr w:type="gramEnd"/>
      <w:r w:rsidRPr="002C7196">
        <w:rPr>
          <w:rFonts w:asciiTheme="minorHAnsi" w:eastAsia="Times New Roman" w:hAnsiTheme="minorHAnsi" w:cstheme="minorHAnsi"/>
          <w:kern w:val="28"/>
        </w:rPr>
        <w:t>a)(B) and 581-002-0017(1)(a).</w:t>
      </w:r>
    </w:p>
  </w:footnote>
  <w:footnote w:id="3">
    <w:p w:rsidR="002C7196" w:rsidRDefault="002C719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w:t>
      </w:r>
      <w:proofErr w:type="gramStart"/>
      <w:r w:rsidRPr="002C7196">
        <w:rPr>
          <w:rFonts w:asciiTheme="minorHAnsi" w:eastAsia="Times New Roman" w:hAnsiTheme="minorHAnsi" w:cstheme="minorHAnsi"/>
          <w:kern w:val="28"/>
        </w:rPr>
        <w:t>)(</w:t>
      </w:r>
      <w:proofErr w:type="gramEnd"/>
      <w:r w:rsidRPr="002C7196">
        <w:rPr>
          <w:rFonts w:asciiTheme="minorHAnsi" w:eastAsia="Times New Roman" w:hAnsiTheme="minorHAnsi" w:cstheme="minorHAnsi"/>
          <w:kern w:val="28"/>
        </w:rPr>
        <w:t>a)(A).</w:t>
      </w:r>
    </w:p>
  </w:footnote>
  <w:footnote w:id="4">
    <w:p w:rsidR="003565F8" w:rsidRDefault="003565F8">
      <w:pPr>
        <w:pStyle w:val="FootnoteText"/>
      </w:pPr>
      <w:r>
        <w:rPr>
          <w:rStyle w:val="FootnoteReference"/>
        </w:rPr>
        <w:footnoteRef/>
      </w:r>
      <w:r>
        <w:t xml:space="preserve"> </w:t>
      </w:r>
      <w:r w:rsidRPr="003565F8">
        <w:t>OAR 581-002-0011.</w:t>
      </w:r>
    </w:p>
  </w:footnote>
  <w:footnote w:id="5">
    <w:p w:rsidR="003565F8" w:rsidRDefault="003565F8">
      <w:pPr>
        <w:pStyle w:val="FootnoteText"/>
      </w:pPr>
      <w:r>
        <w:rPr>
          <w:rStyle w:val="FootnoteReference"/>
        </w:rPr>
        <w:footnoteRef/>
      </w:r>
      <w:r>
        <w:t xml:space="preserve"> </w:t>
      </w:r>
      <w:r w:rsidRPr="003565F8">
        <w:t>OAR 581-002-0017(1</w:t>
      </w:r>
      <w:proofErr w:type="gramStart"/>
      <w:r w:rsidRPr="003565F8">
        <w:t>)(</w:t>
      </w:r>
      <w:proofErr w:type="gramEnd"/>
      <w:r w:rsidRPr="003565F8">
        <w:t>b)</w:t>
      </w:r>
      <w:r>
        <w:t>.</w:t>
      </w:r>
    </w:p>
  </w:footnote>
  <w:footnote w:id="6">
    <w:p w:rsidR="003565F8" w:rsidRDefault="003565F8">
      <w:pPr>
        <w:pStyle w:val="FootnoteText"/>
      </w:pPr>
      <w:r>
        <w:rPr>
          <w:rStyle w:val="FootnoteReference"/>
        </w:rPr>
        <w:footnoteRef/>
      </w:r>
      <w:r>
        <w:t xml:space="preserve"> OAR 581-002-0017(1</w:t>
      </w:r>
      <w:proofErr w:type="gramStart"/>
      <w:r>
        <w:t>)(</w:t>
      </w:r>
      <w:proofErr w:type="gramEnd"/>
      <w:r>
        <w:t>e).</w:t>
      </w:r>
    </w:p>
  </w:footnote>
  <w:footnote w:id="7">
    <w:p w:rsidR="003565F8" w:rsidRDefault="003565F8">
      <w:pPr>
        <w:pStyle w:val="FootnoteText"/>
      </w:pPr>
      <w:r>
        <w:rPr>
          <w:rStyle w:val="FootnoteReference"/>
        </w:rPr>
        <w:footnoteRef/>
      </w:r>
      <w:r>
        <w:t xml:space="preserve"> </w:t>
      </w:r>
      <w:r w:rsidRPr="003565F8">
        <w:t>OAR 581-002-0019(1)</w:t>
      </w:r>
      <w:r>
        <w:t>.</w:t>
      </w:r>
    </w:p>
  </w:footnote>
  <w:footnote w:id="8">
    <w:p w:rsidR="003142D7" w:rsidRDefault="003142D7">
      <w:pPr>
        <w:pStyle w:val="FootnoteText"/>
      </w:pPr>
      <w:r>
        <w:rPr>
          <w:rStyle w:val="FootnoteReference"/>
        </w:rPr>
        <w:footnoteRef/>
      </w:r>
      <w:r>
        <w:t xml:space="preserve"> OAR 581-002-0019(2</w:t>
      </w:r>
      <w:r w:rsidRPr="003142D7">
        <w:t>).</w:t>
      </w:r>
    </w:p>
  </w:footnote>
  <w:footnote w:id="9">
    <w:p w:rsidR="00E12471" w:rsidRDefault="00E12471" w:rsidP="00E12471">
      <w:pPr>
        <w:pStyle w:val="FootnoteText"/>
      </w:pPr>
      <w:r>
        <w:rPr>
          <w:rStyle w:val="FootnoteReference"/>
        </w:rPr>
        <w:footnoteRef/>
      </w:r>
      <w:r>
        <w:t xml:space="preserve"> </w:t>
      </w:r>
      <w:proofErr w:type="spellStart"/>
      <w:r w:rsidRPr="00F54E2A">
        <w:rPr>
          <w:rFonts w:asciiTheme="minorHAnsi" w:hAnsiTheme="minorHAnsi" w:cstheme="minorHAnsi"/>
          <w:i/>
        </w:rPr>
        <w:t>Brunozzi</w:t>
      </w:r>
      <w:proofErr w:type="spellEnd"/>
      <w:r w:rsidRPr="00F54E2A">
        <w:rPr>
          <w:rFonts w:asciiTheme="minorHAnsi" w:hAnsiTheme="minorHAnsi" w:cstheme="minorHAnsi"/>
          <w:i/>
        </w:rPr>
        <w:t xml:space="preserve"> v. Cable Communications, Inc.</w:t>
      </w:r>
      <w:r w:rsidRPr="00F54E2A">
        <w:rPr>
          <w:rFonts w:asciiTheme="minorHAnsi" w:hAnsiTheme="minorHAnsi" w:cstheme="minorHAnsi"/>
        </w:rPr>
        <w:t>, 851 F.3d 990, 999-1000 (9th Cir. 2017).</w:t>
      </w:r>
    </w:p>
  </w:footnote>
  <w:footnote w:id="10">
    <w:p w:rsidR="00E12471" w:rsidRDefault="00E12471" w:rsidP="00E12471">
      <w:pPr>
        <w:pStyle w:val="FootnoteText"/>
        <w:jc w:val="both"/>
      </w:pPr>
      <w:r>
        <w:rPr>
          <w:rStyle w:val="FootnoteReference"/>
        </w:rPr>
        <w:footnoteRef/>
      </w:r>
      <w:r>
        <w:t xml:space="preserve"> </w:t>
      </w:r>
      <w:proofErr w:type="spellStart"/>
      <w:r w:rsidRPr="00753A5A">
        <w:rPr>
          <w:rFonts w:asciiTheme="minorHAnsi" w:hAnsiTheme="minorHAnsi" w:cstheme="minorHAnsi"/>
          <w:i/>
        </w:rPr>
        <w:t>Huitt</w:t>
      </w:r>
      <w:proofErr w:type="spellEnd"/>
      <w:r w:rsidRPr="00753A5A">
        <w:rPr>
          <w:rFonts w:asciiTheme="minorHAnsi" w:hAnsiTheme="minorHAnsi" w:cstheme="minorHAnsi"/>
          <w:i/>
        </w:rPr>
        <w:t xml:space="preserve"> v. </w:t>
      </w:r>
      <w:proofErr w:type="spellStart"/>
      <w:r w:rsidRPr="00753A5A">
        <w:rPr>
          <w:rFonts w:asciiTheme="minorHAnsi" w:hAnsiTheme="minorHAnsi" w:cstheme="minorHAnsi"/>
          <w:i/>
        </w:rPr>
        <w:t>Optum</w:t>
      </w:r>
      <w:proofErr w:type="spellEnd"/>
      <w:r w:rsidRPr="00753A5A">
        <w:rPr>
          <w:rFonts w:asciiTheme="minorHAnsi" w:hAnsiTheme="minorHAnsi" w:cstheme="minorHAnsi"/>
          <w:i/>
        </w:rPr>
        <w:t xml:space="preserve"> Health Services</w:t>
      </w:r>
      <w:r w:rsidRPr="00753A5A">
        <w:rPr>
          <w:rFonts w:asciiTheme="minorHAnsi" w:hAnsiTheme="minorHAnsi" w:cstheme="minorHAnsi"/>
        </w:rPr>
        <w:t xml:space="preserve">, 216 </w:t>
      </w:r>
      <w:proofErr w:type="spellStart"/>
      <w:r w:rsidRPr="00753A5A">
        <w:rPr>
          <w:rFonts w:asciiTheme="minorHAnsi" w:hAnsiTheme="minorHAnsi" w:cstheme="minorHAnsi"/>
        </w:rPr>
        <w:t>F.Supp</w:t>
      </w:r>
      <w:proofErr w:type="spellEnd"/>
      <w:r w:rsidRPr="00753A5A">
        <w:rPr>
          <w:rFonts w:asciiTheme="minorHAnsi" w:hAnsiTheme="minorHAnsi" w:cstheme="minorHAnsi"/>
        </w:rPr>
        <w:t xml:space="preserve">. 3d 1179, 1190 (D. Or. 2016)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 xml:space="preserve">case of retaliation under ORS 659A.199 and 659A.230); </w:t>
      </w:r>
      <w:r w:rsidRPr="00753A5A">
        <w:rPr>
          <w:rFonts w:asciiTheme="minorHAnsi" w:hAnsiTheme="minorHAnsi" w:cstheme="minorHAnsi"/>
          <w:i/>
        </w:rPr>
        <w:t xml:space="preserve">see also </w:t>
      </w:r>
      <w:proofErr w:type="spellStart"/>
      <w:r w:rsidRPr="00753A5A">
        <w:rPr>
          <w:rFonts w:asciiTheme="minorHAnsi" w:hAnsiTheme="minorHAnsi" w:cstheme="minorHAnsi"/>
          <w:i/>
        </w:rPr>
        <w:t>Ruggles</w:t>
      </w:r>
      <w:proofErr w:type="spellEnd"/>
      <w:r w:rsidRPr="00753A5A">
        <w:rPr>
          <w:rFonts w:asciiTheme="minorHAnsi" w:hAnsiTheme="minorHAnsi" w:cstheme="minorHAnsi"/>
          <w:i/>
        </w:rPr>
        <w:t xml:space="preserve"> v. Cal. Polytechnic State Univ.</w:t>
      </w:r>
      <w:r w:rsidRPr="00753A5A">
        <w:rPr>
          <w:rFonts w:asciiTheme="minorHAnsi" w:hAnsiTheme="minorHAnsi" w:cstheme="minorHAnsi"/>
        </w:rPr>
        <w:t xml:space="preserve">, 797 F.2d 782, 785 (9th Cir. 1986)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case of retaliation under Title VII of the Civil Rights Act).</w:t>
      </w:r>
    </w:p>
  </w:footnote>
  <w:footnote w:id="11">
    <w:p w:rsidR="00FC3391" w:rsidRDefault="00FC3391" w:rsidP="00FC3391">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12">
    <w:p w:rsidR="00FC3391" w:rsidRDefault="00FC3391" w:rsidP="00FC3391">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13">
    <w:p w:rsidR="00FC3391" w:rsidRDefault="00FC3391" w:rsidP="00FC3391">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4">
    <w:p w:rsidR="00FC3391" w:rsidRDefault="00FC3391" w:rsidP="00FC3391">
      <w:pPr>
        <w:pStyle w:val="FootnoteText"/>
      </w:pPr>
      <w:r>
        <w:rPr>
          <w:rStyle w:val="FootnoteReference"/>
        </w:rPr>
        <w:footnoteRef/>
      </w:r>
      <w:r>
        <w:t xml:space="preserve"> </w:t>
      </w:r>
      <w:r w:rsidRPr="00321548">
        <w:rPr>
          <w:i/>
        </w:rPr>
        <w:t>Comcast Corp. v. Dept. of Revenue</w:t>
      </w:r>
      <w:r w:rsidRPr="00321548">
        <w:t xml:space="preserve">, 356 Or. </w:t>
      </w:r>
      <w:proofErr w:type="gramStart"/>
      <w:r w:rsidRPr="00321548">
        <w:t>282</w:t>
      </w:r>
      <w:proofErr w:type="gramEnd"/>
      <w:r w:rsidRPr="00321548">
        <w:t xml:space="preserve"> (2014).</w:t>
      </w:r>
    </w:p>
  </w:footnote>
  <w:footnote w:id="15">
    <w:p w:rsidR="00FC3391" w:rsidRPr="00861A5C" w:rsidRDefault="00FC3391" w:rsidP="00FC3391">
      <w:pPr>
        <w:pStyle w:val="FootnoteText"/>
        <w:jc w:val="both"/>
      </w:pPr>
      <w:r>
        <w:rPr>
          <w:rStyle w:val="FootnoteReference"/>
        </w:rPr>
        <w:footnoteRef/>
      </w:r>
      <w:r>
        <w:t xml:space="preserve"> </w:t>
      </w:r>
      <w:proofErr w:type="spellStart"/>
      <w:r w:rsidRPr="00861A5C">
        <w:rPr>
          <w:rFonts w:asciiTheme="minorHAnsi" w:hAnsiTheme="minorHAnsi" w:cstheme="minorHAnsi"/>
          <w:i/>
        </w:rPr>
        <w:t>Brunozzi</w:t>
      </w:r>
      <w:proofErr w:type="spellEnd"/>
      <w:r w:rsidRPr="00861A5C">
        <w:rPr>
          <w:rFonts w:asciiTheme="minorHAnsi" w:hAnsiTheme="minorHAnsi" w:cstheme="minorHAnsi"/>
        </w:rPr>
        <w:t>, 851 F.3d at 1000 (interpreting the meaning of “report” in ORS 659A.199 in a manner that is consistent with the type of activity that is protected by other Oregon laws pertaining to whistleblowing).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291B20">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800157"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800157"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Pr="00291B20" w:rsidRDefault="0007028A" w:rsidP="00291B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329FC"/>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1CB1"/>
    <w:rsid w:val="0007028A"/>
    <w:rsid w:val="000849EB"/>
    <w:rsid w:val="00090EF1"/>
    <w:rsid w:val="00091B13"/>
    <w:rsid w:val="0009778D"/>
    <w:rsid w:val="000C5F65"/>
    <w:rsid w:val="000D2CB9"/>
    <w:rsid w:val="000D3C77"/>
    <w:rsid w:val="000E1ACF"/>
    <w:rsid w:val="000E3268"/>
    <w:rsid w:val="000F5433"/>
    <w:rsid w:val="00100931"/>
    <w:rsid w:val="001062CA"/>
    <w:rsid w:val="00153AAE"/>
    <w:rsid w:val="00156BA9"/>
    <w:rsid w:val="001910E5"/>
    <w:rsid w:val="001A7726"/>
    <w:rsid w:val="001E286B"/>
    <w:rsid w:val="001F3EA0"/>
    <w:rsid w:val="00207FC5"/>
    <w:rsid w:val="00246BF6"/>
    <w:rsid w:val="002521CB"/>
    <w:rsid w:val="0026344F"/>
    <w:rsid w:val="002662A8"/>
    <w:rsid w:val="00277DA1"/>
    <w:rsid w:val="00280989"/>
    <w:rsid w:val="00291B20"/>
    <w:rsid w:val="002B53D5"/>
    <w:rsid w:val="002B7268"/>
    <w:rsid w:val="002C6C5D"/>
    <w:rsid w:val="002C6C6C"/>
    <w:rsid w:val="002C7196"/>
    <w:rsid w:val="002E4AB9"/>
    <w:rsid w:val="003142D7"/>
    <w:rsid w:val="003214B5"/>
    <w:rsid w:val="00354E85"/>
    <w:rsid w:val="003565F8"/>
    <w:rsid w:val="003943DB"/>
    <w:rsid w:val="00394A58"/>
    <w:rsid w:val="003A767B"/>
    <w:rsid w:val="003B6B16"/>
    <w:rsid w:val="003D13B9"/>
    <w:rsid w:val="003D6C7F"/>
    <w:rsid w:val="004013E5"/>
    <w:rsid w:val="0041452A"/>
    <w:rsid w:val="00456699"/>
    <w:rsid w:val="004832B0"/>
    <w:rsid w:val="004946DD"/>
    <w:rsid w:val="00495E65"/>
    <w:rsid w:val="004B1803"/>
    <w:rsid w:val="004C179A"/>
    <w:rsid w:val="004E1F19"/>
    <w:rsid w:val="00526D4D"/>
    <w:rsid w:val="00532087"/>
    <w:rsid w:val="00532EC4"/>
    <w:rsid w:val="0054305C"/>
    <w:rsid w:val="00551B9D"/>
    <w:rsid w:val="00566705"/>
    <w:rsid w:val="00573211"/>
    <w:rsid w:val="005845E5"/>
    <w:rsid w:val="0059062F"/>
    <w:rsid w:val="00593E12"/>
    <w:rsid w:val="005A4CC9"/>
    <w:rsid w:val="005B6F2B"/>
    <w:rsid w:val="005E4F70"/>
    <w:rsid w:val="005E6AAD"/>
    <w:rsid w:val="005F2534"/>
    <w:rsid w:val="005F26D1"/>
    <w:rsid w:val="005F5537"/>
    <w:rsid w:val="006008DC"/>
    <w:rsid w:val="00605B79"/>
    <w:rsid w:val="00626F98"/>
    <w:rsid w:val="00651E2C"/>
    <w:rsid w:val="00655A8A"/>
    <w:rsid w:val="006564D6"/>
    <w:rsid w:val="006738A6"/>
    <w:rsid w:val="00684FCC"/>
    <w:rsid w:val="0069083A"/>
    <w:rsid w:val="006912EC"/>
    <w:rsid w:val="006B5C1F"/>
    <w:rsid w:val="006E1879"/>
    <w:rsid w:val="006F7F55"/>
    <w:rsid w:val="00705834"/>
    <w:rsid w:val="00714392"/>
    <w:rsid w:val="00720F82"/>
    <w:rsid w:val="00742306"/>
    <w:rsid w:val="0075254A"/>
    <w:rsid w:val="007740B9"/>
    <w:rsid w:val="007A3B8D"/>
    <w:rsid w:val="007C169E"/>
    <w:rsid w:val="007D7036"/>
    <w:rsid w:val="00800157"/>
    <w:rsid w:val="008052B5"/>
    <w:rsid w:val="0083474F"/>
    <w:rsid w:val="00834C29"/>
    <w:rsid w:val="0084196D"/>
    <w:rsid w:val="00841BB8"/>
    <w:rsid w:val="00860BA1"/>
    <w:rsid w:val="0089291B"/>
    <w:rsid w:val="008A6892"/>
    <w:rsid w:val="008B1A73"/>
    <w:rsid w:val="008B5C90"/>
    <w:rsid w:val="008C076C"/>
    <w:rsid w:val="008C2FAF"/>
    <w:rsid w:val="008D5A2F"/>
    <w:rsid w:val="008D5C2B"/>
    <w:rsid w:val="008D7961"/>
    <w:rsid w:val="009040EB"/>
    <w:rsid w:val="00943448"/>
    <w:rsid w:val="00965306"/>
    <w:rsid w:val="00975557"/>
    <w:rsid w:val="009A55B0"/>
    <w:rsid w:val="009C525A"/>
    <w:rsid w:val="009D7E16"/>
    <w:rsid w:val="009F2BE5"/>
    <w:rsid w:val="00A23291"/>
    <w:rsid w:val="00A25F91"/>
    <w:rsid w:val="00A43C54"/>
    <w:rsid w:val="00AB0805"/>
    <w:rsid w:val="00AE1357"/>
    <w:rsid w:val="00AF61CA"/>
    <w:rsid w:val="00B00C83"/>
    <w:rsid w:val="00B022AD"/>
    <w:rsid w:val="00B1325A"/>
    <w:rsid w:val="00B25F74"/>
    <w:rsid w:val="00B321D1"/>
    <w:rsid w:val="00B34DEF"/>
    <w:rsid w:val="00B45579"/>
    <w:rsid w:val="00B52A50"/>
    <w:rsid w:val="00B54DE9"/>
    <w:rsid w:val="00B63996"/>
    <w:rsid w:val="00B7089F"/>
    <w:rsid w:val="00B942EC"/>
    <w:rsid w:val="00B975CC"/>
    <w:rsid w:val="00BA7BBC"/>
    <w:rsid w:val="00BD58B2"/>
    <w:rsid w:val="00BF38DB"/>
    <w:rsid w:val="00C467C7"/>
    <w:rsid w:val="00C4690C"/>
    <w:rsid w:val="00C56DC0"/>
    <w:rsid w:val="00C92005"/>
    <w:rsid w:val="00CA2B57"/>
    <w:rsid w:val="00CB145B"/>
    <w:rsid w:val="00CC294C"/>
    <w:rsid w:val="00CD732C"/>
    <w:rsid w:val="00CE459D"/>
    <w:rsid w:val="00D6244E"/>
    <w:rsid w:val="00D66E6D"/>
    <w:rsid w:val="00D76049"/>
    <w:rsid w:val="00D940AC"/>
    <w:rsid w:val="00DA52CE"/>
    <w:rsid w:val="00DC7D58"/>
    <w:rsid w:val="00DD1181"/>
    <w:rsid w:val="00DF3F7E"/>
    <w:rsid w:val="00E12471"/>
    <w:rsid w:val="00E16D03"/>
    <w:rsid w:val="00E33509"/>
    <w:rsid w:val="00E822D6"/>
    <w:rsid w:val="00E83DD9"/>
    <w:rsid w:val="00E97E08"/>
    <w:rsid w:val="00EA1437"/>
    <w:rsid w:val="00EC4BF6"/>
    <w:rsid w:val="00EC69AF"/>
    <w:rsid w:val="00EE1D5D"/>
    <w:rsid w:val="00EF63A8"/>
    <w:rsid w:val="00F00A00"/>
    <w:rsid w:val="00F01A54"/>
    <w:rsid w:val="00F27FCE"/>
    <w:rsid w:val="00F54F76"/>
    <w:rsid w:val="00F81482"/>
    <w:rsid w:val="00FA32FE"/>
    <w:rsid w:val="00FC3391"/>
    <w:rsid w:val="00FD5499"/>
    <w:rsid w:val="00FE5EE9"/>
    <w:rsid w:val="00FE671A"/>
    <w:rsid w:val="00FF3F08"/>
    <w:rsid w:val="00FF57F6"/>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E8BA8A2"/>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291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character" w:customStyle="1" w:styleId="Heading3Char">
    <w:name w:val="Heading 3 Char"/>
    <w:basedOn w:val="DefaultParagraphFont"/>
    <w:link w:val="Heading3"/>
    <w:uiPriority w:val="9"/>
    <w:rsid w:val="00291B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2019-12-12T21:36:47+00:00</Remediation_x0020_Date>
  </documentManagement>
</p:properties>
</file>

<file path=customXml/itemProps1.xml><?xml version="1.0" encoding="utf-8"?>
<ds:datastoreItem xmlns:ds="http://schemas.openxmlformats.org/officeDocument/2006/customXml" ds:itemID="{7B30486D-6F15-42BC-8927-3B53E8E749DD}"/>
</file>

<file path=customXml/itemProps2.xml><?xml version="1.0" encoding="utf-8"?>
<ds:datastoreItem xmlns:ds="http://schemas.openxmlformats.org/officeDocument/2006/customXml" ds:itemID="{18C5D975-F62D-4A1D-819C-1F5AFE014215}"/>
</file>

<file path=customXml/itemProps3.xml><?xml version="1.0" encoding="utf-8"?>
<ds:datastoreItem xmlns:ds="http://schemas.openxmlformats.org/officeDocument/2006/customXml" ds:itemID="{56F7D81A-0E32-4D99-9ADC-05A80EECD96B}"/>
</file>

<file path=customXml/itemProps4.xml><?xml version="1.0" encoding="utf-8"?>
<ds:datastoreItem xmlns:ds="http://schemas.openxmlformats.org/officeDocument/2006/customXml" ds:itemID="{68E69F64-7227-4062-862A-3456E436D4C6}"/>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2019-08-02T17:17:00Z</cp:lastPrinted>
  <dcterms:created xsi:type="dcterms:W3CDTF">2019-12-12T19:31:00Z</dcterms:created>
  <dcterms:modified xsi:type="dcterms:W3CDTF">2019-12-12T19:31:00Z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