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324E"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14:paraId="6AB1ABEE" w14:textId="11BE40F3" w:rsidR="003A767B" w:rsidRPr="006779C3" w:rsidRDefault="001A2F6F" w:rsidP="00DC0E6C">
      <w:pPr>
        <w:spacing w:after="0"/>
        <w:rPr>
          <w:rFonts w:asciiTheme="minorHAnsi" w:hAnsiTheme="minorHAnsi" w:cstheme="minorHAnsi"/>
          <w:sz w:val="24"/>
          <w:szCs w:val="24"/>
        </w:rPr>
      </w:pPr>
      <w:r w:rsidRPr="006779C3">
        <w:rPr>
          <w:rFonts w:asciiTheme="minorHAnsi" w:hAnsiTheme="minorHAnsi" w:cstheme="minorHAnsi"/>
          <w:sz w:val="24"/>
          <w:szCs w:val="24"/>
        </w:rPr>
        <w:t>June 4</w:t>
      </w:r>
      <w:r w:rsidR="00E51B23" w:rsidRPr="006779C3">
        <w:rPr>
          <w:rFonts w:asciiTheme="minorHAnsi" w:hAnsiTheme="minorHAnsi" w:cstheme="minorHAnsi"/>
          <w:sz w:val="24"/>
          <w:szCs w:val="24"/>
        </w:rPr>
        <w:t>, 2021</w:t>
      </w:r>
    </w:p>
    <w:p w14:paraId="3D1DC23F" w14:textId="77777777" w:rsidR="00DC0E6C" w:rsidRPr="006779C3" w:rsidRDefault="00DC0E6C" w:rsidP="00DC0E6C">
      <w:pPr>
        <w:spacing w:after="0"/>
        <w:rPr>
          <w:rFonts w:asciiTheme="minorHAnsi" w:hAnsiTheme="minorHAnsi" w:cstheme="minorHAnsi"/>
          <w:sz w:val="24"/>
          <w:szCs w:val="24"/>
        </w:rPr>
      </w:pPr>
    </w:p>
    <w:p w14:paraId="39B1BD3C" w14:textId="55C79FF9" w:rsidR="00114A19" w:rsidRPr="006779C3" w:rsidRDefault="00AD5FA9" w:rsidP="00237EBF">
      <w:pPr>
        <w:spacing w:after="0"/>
        <w:ind w:firstLine="720"/>
        <w:jc w:val="right"/>
        <w:rPr>
          <w:rFonts w:asciiTheme="minorHAnsi" w:hAnsiTheme="minorHAnsi" w:cstheme="minorHAnsi"/>
          <w:b/>
          <w:sz w:val="24"/>
          <w:szCs w:val="24"/>
        </w:rPr>
      </w:pPr>
      <w:r w:rsidRPr="006779C3">
        <w:rPr>
          <w:rFonts w:asciiTheme="minorHAnsi" w:hAnsiTheme="minorHAnsi" w:cstheme="minorHAnsi"/>
          <w:b/>
          <w:sz w:val="24"/>
          <w:szCs w:val="24"/>
        </w:rPr>
        <w:t xml:space="preserve">  </w:t>
      </w:r>
      <w:r w:rsidR="00FE42B7" w:rsidRPr="006779C3">
        <w:rPr>
          <w:rFonts w:asciiTheme="minorHAnsi" w:hAnsiTheme="minorHAnsi" w:cstheme="minorHAnsi"/>
          <w:b/>
          <w:sz w:val="24"/>
          <w:szCs w:val="24"/>
        </w:rPr>
        <w:t xml:space="preserve">BY EMAIL </w:t>
      </w:r>
    </w:p>
    <w:p w14:paraId="352899EC" w14:textId="60156F75" w:rsidR="003008A1" w:rsidRDefault="00B60335" w:rsidP="003008A1">
      <w:pPr>
        <w:spacing w:after="0"/>
        <w:rPr>
          <w:rFonts w:asciiTheme="minorHAnsi" w:hAnsiTheme="minorHAnsi" w:cstheme="minorHAnsi"/>
          <w:sz w:val="24"/>
          <w:szCs w:val="24"/>
        </w:rPr>
      </w:pPr>
      <w:r>
        <w:rPr>
          <w:rFonts w:asciiTheme="minorHAnsi" w:hAnsiTheme="minorHAnsi" w:cstheme="minorHAnsi"/>
          <w:sz w:val="24"/>
          <w:szCs w:val="24"/>
        </w:rPr>
        <w:t>REDACTED</w:t>
      </w:r>
    </w:p>
    <w:p w14:paraId="3161D078" w14:textId="681744D1" w:rsidR="00B60335" w:rsidRDefault="00B60335" w:rsidP="003008A1">
      <w:pPr>
        <w:spacing w:after="0"/>
        <w:rPr>
          <w:rFonts w:asciiTheme="minorHAnsi" w:hAnsiTheme="minorHAnsi" w:cstheme="minorHAnsi"/>
          <w:sz w:val="24"/>
          <w:szCs w:val="24"/>
        </w:rPr>
      </w:pPr>
      <w:r>
        <w:rPr>
          <w:rFonts w:asciiTheme="minorHAnsi" w:hAnsiTheme="minorHAnsi" w:cstheme="minorHAnsi"/>
          <w:sz w:val="24"/>
          <w:szCs w:val="24"/>
        </w:rPr>
        <w:t>REDACTED</w:t>
      </w:r>
    </w:p>
    <w:p w14:paraId="5FB7F006" w14:textId="79FF802F" w:rsidR="00B60335" w:rsidRPr="006779C3" w:rsidRDefault="00B60335" w:rsidP="003008A1">
      <w:pPr>
        <w:spacing w:after="0"/>
        <w:rPr>
          <w:rFonts w:asciiTheme="minorHAnsi" w:hAnsiTheme="minorHAnsi"/>
          <w:sz w:val="24"/>
          <w:szCs w:val="24"/>
        </w:rPr>
      </w:pPr>
      <w:r>
        <w:rPr>
          <w:rFonts w:asciiTheme="minorHAnsi" w:hAnsiTheme="minorHAnsi" w:cstheme="minorHAnsi"/>
          <w:sz w:val="24"/>
          <w:szCs w:val="24"/>
        </w:rPr>
        <w:t>REDACTED</w:t>
      </w:r>
    </w:p>
    <w:p w14:paraId="56F213C6" w14:textId="1FED7038" w:rsidR="004545A4" w:rsidRPr="006779C3" w:rsidRDefault="004545A4" w:rsidP="00A35897">
      <w:pPr>
        <w:spacing w:after="0"/>
        <w:jc w:val="both"/>
        <w:rPr>
          <w:rFonts w:asciiTheme="minorHAnsi" w:hAnsiTheme="minorHAnsi" w:cstheme="minorHAnsi"/>
          <w:sz w:val="24"/>
          <w:szCs w:val="24"/>
        </w:rPr>
      </w:pPr>
    </w:p>
    <w:p w14:paraId="03CFF2E8" w14:textId="70F43B6D" w:rsidR="001309CB" w:rsidRPr="006779C3" w:rsidRDefault="00CA7E7D" w:rsidP="00A35897">
      <w:pPr>
        <w:spacing w:after="0"/>
        <w:jc w:val="both"/>
        <w:rPr>
          <w:rFonts w:asciiTheme="minorHAnsi" w:hAnsiTheme="minorHAnsi" w:cstheme="minorHAnsi"/>
          <w:sz w:val="24"/>
          <w:szCs w:val="24"/>
        </w:rPr>
      </w:pPr>
      <w:r w:rsidRPr="006779C3">
        <w:rPr>
          <w:rFonts w:asciiTheme="minorHAnsi" w:hAnsiTheme="minorHAnsi" w:cstheme="minorHAnsi"/>
          <w:sz w:val="24"/>
          <w:szCs w:val="24"/>
        </w:rPr>
        <w:t>Dr. Karen Gray,</w:t>
      </w:r>
      <w:r w:rsidR="00F10056" w:rsidRPr="006779C3">
        <w:rPr>
          <w:rFonts w:asciiTheme="minorHAnsi" w:hAnsiTheme="minorHAnsi" w:cstheme="minorHAnsi"/>
          <w:sz w:val="24"/>
          <w:szCs w:val="24"/>
        </w:rPr>
        <w:t xml:space="preserve"> Superintendent</w:t>
      </w:r>
    </w:p>
    <w:p w14:paraId="295E00AF" w14:textId="486756EA" w:rsidR="004545A4" w:rsidRPr="006779C3" w:rsidRDefault="00CA7E7D" w:rsidP="00A35897">
      <w:pPr>
        <w:spacing w:after="0"/>
        <w:jc w:val="both"/>
        <w:rPr>
          <w:rFonts w:asciiTheme="minorHAnsi" w:hAnsiTheme="minorHAnsi" w:cstheme="minorHAnsi"/>
          <w:sz w:val="24"/>
          <w:szCs w:val="24"/>
        </w:rPr>
      </w:pPr>
      <w:r w:rsidRPr="006779C3">
        <w:rPr>
          <w:rFonts w:asciiTheme="minorHAnsi" w:hAnsiTheme="minorHAnsi" w:cstheme="minorHAnsi"/>
          <w:sz w:val="24"/>
          <w:szCs w:val="24"/>
        </w:rPr>
        <w:t>Lincoln County School District</w:t>
      </w:r>
    </w:p>
    <w:p w14:paraId="69230E5B" w14:textId="2F6636BB" w:rsidR="00131B91" w:rsidRPr="006779C3" w:rsidRDefault="00CA7E7D" w:rsidP="00A35897">
      <w:pPr>
        <w:spacing w:after="0"/>
        <w:jc w:val="both"/>
        <w:rPr>
          <w:rFonts w:asciiTheme="minorHAnsi" w:hAnsiTheme="minorHAnsi" w:cstheme="minorHAnsi"/>
          <w:sz w:val="24"/>
          <w:szCs w:val="24"/>
        </w:rPr>
      </w:pPr>
      <w:r w:rsidRPr="006779C3">
        <w:rPr>
          <w:rFonts w:asciiTheme="minorHAnsi" w:hAnsiTheme="minorHAnsi" w:cstheme="minorHAnsi"/>
          <w:sz w:val="24"/>
          <w:szCs w:val="24"/>
        </w:rPr>
        <w:t>PO Box 1110</w:t>
      </w:r>
    </w:p>
    <w:p w14:paraId="265D4583" w14:textId="6BF17F2C" w:rsidR="00131B91" w:rsidRPr="006779C3" w:rsidRDefault="00CA7E7D" w:rsidP="00A35897">
      <w:pPr>
        <w:spacing w:after="0"/>
        <w:jc w:val="both"/>
        <w:rPr>
          <w:rFonts w:asciiTheme="minorHAnsi" w:hAnsiTheme="minorHAnsi" w:cstheme="minorHAnsi"/>
          <w:sz w:val="24"/>
          <w:szCs w:val="24"/>
        </w:rPr>
      </w:pPr>
      <w:r w:rsidRPr="006779C3">
        <w:rPr>
          <w:rFonts w:asciiTheme="minorHAnsi" w:hAnsiTheme="minorHAnsi" w:cstheme="minorHAnsi"/>
          <w:sz w:val="24"/>
          <w:szCs w:val="24"/>
        </w:rPr>
        <w:t>Newport, OR   97365</w:t>
      </w:r>
    </w:p>
    <w:p w14:paraId="19D99F2B" w14:textId="013B4A3D" w:rsidR="00DC0E6C" w:rsidRPr="006779C3" w:rsidRDefault="00DC0E6C" w:rsidP="00DC0E6C">
      <w:pPr>
        <w:spacing w:after="0"/>
        <w:jc w:val="both"/>
        <w:rPr>
          <w:rFonts w:asciiTheme="minorHAnsi" w:hAnsiTheme="minorHAnsi" w:cstheme="minorHAnsi"/>
          <w:sz w:val="24"/>
          <w:szCs w:val="24"/>
        </w:rPr>
      </w:pPr>
    </w:p>
    <w:p w14:paraId="5A9BB85C" w14:textId="1CE16F48" w:rsidR="00076BEF" w:rsidRPr="006779C3" w:rsidRDefault="00076BEF" w:rsidP="00DC0E6C">
      <w:pPr>
        <w:spacing w:after="0"/>
        <w:jc w:val="both"/>
        <w:rPr>
          <w:rFonts w:asciiTheme="minorHAnsi" w:hAnsiTheme="minorHAnsi" w:cstheme="minorHAnsi"/>
          <w:sz w:val="24"/>
          <w:szCs w:val="24"/>
        </w:rPr>
      </w:pPr>
      <w:r w:rsidRPr="006779C3">
        <w:rPr>
          <w:rFonts w:asciiTheme="minorHAnsi" w:hAnsiTheme="minorHAnsi" w:cstheme="minorHAnsi"/>
          <w:sz w:val="24"/>
          <w:szCs w:val="24"/>
        </w:rPr>
        <w:t>Case #</w:t>
      </w:r>
      <w:r w:rsidRPr="006779C3">
        <w:rPr>
          <w:rFonts w:asciiTheme="minorHAnsi" w:hAnsiTheme="minorHAnsi"/>
          <w:sz w:val="24"/>
          <w:szCs w:val="24"/>
        </w:rPr>
        <w:t>2020-SG-14</w:t>
      </w:r>
    </w:p>
    <w:p w14:paraId="4F16A82D" w14:textId="77777777" w:rsidR="00076BEF" w:rsidRPr="006779C3" w:rsidRDefault="00076BEF" w:rsidP="00DC0E6C">
      <w:pPr>
        <w:spacing w:after="0"/>
        <w:jc w:val="both"/>
        <w:rPr>
          <w:rFonts w:asciiTheme="minorHAnsi" w:hAnsiTheme="minorHAnsi" w:cstheme="minorHAnsi"/>
          <w:sz w:val="24"/>
          <w:szCs w:val="24"/>
        </w:rPr>
      </w:pPr>
    </w:p>
    <w:p w14:paraId="639AEC86" w14:textId="6C204C36" w:rsidR="00DC0E6C" w:rsidRPr="006779C3" w:rsidRDefault="00DC0E6C" w:rsidP="00DC0E6C">
      <w:pPr>
        <w:spacing w:after="0"/>
        <w:jc w:val="both"/>
        <w:rPr>
          <w:rFonts w:asciiTheme="minorHAnsi" w:hAnsiTheme="minorHAnsi" w:cstheme="minorHAnsi"/>
          <w:sz w:val="24"/>
          <w:szCs w:val="24"/>
        </w:rPr>
      </w:pPr>
      <w:r w:rsidRPr="006779C3">
        <w:rPr>
          <w:rFonts w:asciiTheme="minorHAnsi" w:hAnsiTheme="minorHAnsi" w:cstheme="minorHAnsi"/>
          <w:sz w:val="24"/>
          <w:szCs w:val="24"/>
        </w:rPr>
        <w:t xml:space="preserve">Dear </w:t>
      </w:r>
      <w:r w:rsidR="00B60335">
        <w:rPr>
          <w:rFonts w:asciiTheme="minorHAnsi" w:hAnsiTheme="minorHAnsi" w:cstheme="minorHAnsi"/>
          <w:sz w:val="24"/>
          <w:szCs w:val="24"/>
        </w:rPr>
        <w:t>REDACTED</w:t>
      </w:r>
      <w:r w:rsidR="00270C7B" w:rsidRPr="006779C3">
        <w:rPr>
          <w:rFonts w:asciiTheme="minorHAnsi" w:hAnsiTheme="minorHAnsi" w:cstheme="minorHAnsi"/>
          <w:sz w:val="24"/>
          <w:szCs w:val="24"/>
        </w:rPr>
        <w:t xml:space="preserve"> and</w:t>
      </w:r>
      <w:r w:rsidR="00F10056" w:rsidRPr="006779C3">
        <w:rPr>
          <w:rFonts w:asciiTheme="minorHAnsi" w:hAnsiTheme="minorHAnsi" w:cstheme="minorHAnsi"/>
          <w:sz w:val="24"/>
          <w:szCs w:val="24"/>
        </w:rPr>
        <w:t xml:space="preserve"> </w:t>
      </w:r>
      <w:r w:rsidR="00131B91" w:rsidRPr="006779C3">
        <w:rPr>
          <w:rFonts w:asciiTheme="minorHAnsi" w:hAnsiTheme="minorHAnsi" w:cstheme="minorHAnsi"/>
          <w:sz w:val="24"/>
          <w:szCs w:val="24"/>
        </w:rPr>
        <w:t xml:space="preserve">Superintendent </w:t>
      </w:r>
      <w:r w:rsidR="00270C7B" w:rsidRPr="006779C3">
        <w:rPr>
          <w:rFonts w:asciiTheme="minorHAnsi" w:hAnsiTheme="minorHAnsi" w:cstheme="minorHAnsi"/>
          <w:sz w:val="24"/>
          <w:szCs w:val="24"/>
        </w:rPr>
        <w:t>Gray</w:t>
      </w:r>
      <w:r w:rsidR="00AE609E" w:rsidRPr="006779C3">
        <w:rPr>
          <w:rFonts w:asciiTheme="minorHAnsi" w:hAnsiTheme="minorHAnsi" w:cstheme="minorHAnsi"/>
          <w:sz w:val="24"/>
          <w:szCs w:val="24"/>
        </w:rPr>
        <w:t>:</w:t>
      </w:r>
    </w:p>
    <w:p w14:paraId="4DAA155E" w14:textId="11029D34" w:rsidR="00131B91" w:rsidRPr="006779C3" w:rsidRDefault="00131B91" w:rsidP="00DC0E6C">
      <w:pPr>
        <w:spacing w:after="0"/>
        <w:jc w:val="both"/>
        <w:rPr>
          <w:rFonts w:asciiTheme="minorHAnsi" w:hAnsiTheme="minorHAnsi" w:cstheme="minorHAnsi"/>
          <w:sz w:val="24"/>
          <w:szCs w:val="24"/>
        </w:rPr>
      </w:pPr>
    </w:p>
    <w:p w14:paraId="195FF1BD" w14:textId="5915F2AC" w:rsidR="004643F1" w:rsidRPr="006779C3" w:rsidRDefault="004643F1" w:rsidP="004643F1">
      <w:pPr>
        <w:spacing w:after="0"/>
        <w:jc w:val="both"/>
        <w:rPr>
          <w:rFonts w:asciiTheme="minorHAnsi" w:hAnsiTheme="minorHAnsi" w:cs="Calibri"/>
          <w:color w:val="000000"/>
          <w:sz w:val="24"/>
          <w:szCs w:val="24"/>
        </w:rPr>
      </w:pPr>
      <w:proofErr w:type="gramStart"/>
      <w:r w:rsidRPr="006779C3">
        <w:rPr>
          <w:rFonts w:asciiTheme="minorHAnsi" w:hAnsiTheme="minorHAnsi" w:cs="Calibri"/>
          <w:color w:val="000000"/>
          <w:sz w:val="24"/>
          <w:szCs w:val="24"/>
        </w:rPr>
        <w:t xml:space="preserve">This letter is the order on the </w:t>
      </w:r>
      <w:r w:rsidR="00270C7B" w:rsidRPr="006779C3">
        <w:rPr>
          <w:rFonts w:asciiTheme="minorHAnsi" w:hAnsiTheme="minorHAnsi" w:cs="Calibri"/>
          <w:color w:val="000000"/>
          <w:sz w:val="24"/>
          <w:szCs w:val="24"/>
        </w:rPr>
        <w:t>August 25</w:t>
      </w:r>
      <w:r w:rsidRPr="006779C3">
        <w:rPr>
          <w:rFonts w:asciiTheme="minorHAnsi" w:hAnsiTheme="minorHAnsi" w:cs="Calibri"/>
          <w:color w:val="000000"/>
          <w:sz w:val="24"/>
          <w:szCs w:val="24"/>
        </w:rPr>
        <w:t xml:space="preserve">, </w:t>
      </w:r>
      <w:r w:rsidR="00270C7B" w:rsidRPr="006779C3">
        <w:rPr>
          <w:rFonts w:asciiTheme="minorHAnsi" w:hAnsiTheme="minorHAnsi" w:cs="Calibri"/>
          <w:color w:val="000000"/>
          <w:sz w:val="24"/>
          <w:szCs w:val="24"/>
        </w:rPr>
        <w:t>2020</w:t>
      </w:r>
      <w:r w:rsidR="00C92F2D" w:rsidRPr="006779C3">
        <w:rPr>
          <w:rFonts w:asciiTheme="minorHAnsi" w:hAnsiTheme="minorHAnsi" w:cs="Calibri"/>
          <w:color w:val="000000"/>
          <w:sz w:val="24"/>
          <w:szCs w:val="24"/>
        </w:rPr>
        <w:t>,</w:t>
      </w:r>
      <w:r w:rsidR="00C06AB0" w:rsidRPr="006779C3">
        <w:rPr>
          <w:rFonts w:asciiTheme="minorHAnsi" w:hAnsiTheme="minorHAnsi" w:cs="Calibri"/>
          <w:color w:val="000000"/>
          <w:sz w:val="24"/>
          <w:szCs w:val="24"/>
        </w:rPr>
        <w:t xml:space="preserve"> </w:t>
      </w:r>
      <w:r w:rsidRPr="006779C3">
        <w:rPr>
          <w:rFonts w:asciiTheme="minorHAnsi" w:hAnsiTheme="minorHAnsi" w:cs="Calibri"/>
          <w:color w:val="000000"/>
          <w:sz w:val="24"/>
          <w:szCs w:val="24"/>
        </w:rPr>
        <w:t xml:space="preserve">appeal filed by </w:t>
      </w:r>
      <w:r w:rsidR="00B60335">
        <w:rPr>
          <w:rFonts w:asciiTheme="minorHAnsi" w:hAnsiTheme="minorHAnsi" w:cs="Calibri"/>
          <w:color w:val="000000"/>
          <w:sz w:val="24"/>
          <w:szCs w:val="24"/>
        </w:rPr>
        <w:t>REDACTED</w:t>
      </w:r>
      <w:r w:rsidR="00270C7B" w:rsidRPr="006779C3">
        <w:rPr>
          <w:rFonts w:asciiTheme="minorHAnsi" w:hAnsiTheme="minorHAnsi" w:cs="Calibri"/>
          <w:color w:val="000000"/>
          <w:sz w:val="24"/>
          <w:szCs w:val="24"/>
        </w:rPr>
        <w:t xml:space="preserve"> (Parents) alleging that Lincoln County School District </w:t>
      </w:r>
      <w:r w:rsidRPr="006779C3">
        <w:rPr>
          <w:rFonts w:asciiTheme="minorHAnsi" w:hAnsiTheme="minorHAnsi" w:cs="Calibri"/>
          <w:color w:val="000000"/>
          <w:sz w:val="24"/>
          <w:szCs w:val="24"/>
        </w:rPr>
        <w:t xml:space="preserve">violated ORS 659.850 (prohibiting discrimination in an education program or service financed in whole or in part by moneys appropriated </w:t>
      </w:r>
      <w:r w:rsidR="00C06AB0" w:rsidRPr="006779C3">
        <w:rPr>
          <w:rFonts w:asciiTheme="minorHAnsi" w:hAnsiTheme="minorHAnsi" w:cs="Calibri"/>
          <w:color w:val="000000"/>
          <w:sz w:val="24"/>
          <w:szCs w:val="24"/>
        </w:rPr>
        <w:t>by the Legislative Assembly) and</w:t>
      </w:r>
      <w:r w:rsidRPr="006779C3">
        <w:rPr>
          <w:rFonts w:asciiTheme="minorHAnsi" w:hAnsiTheme="minorHAnsi" w:cs="Calibri"/>
          <w:color w:val="000000"/>
          <w:sz w:val="24"/>
          <w:szCs w:val="24"/>
        </w:rPr>
        <w:t xml:space="preserve"> OAR 581-021-0045 (prohibiting discrimination in certain educational agencies, programs, or services under the jurisdiction of the State Board of Education</w:t>
      </w:r>
      <w:r w:rsidR="00C92F2D" w:rsidRPr="006779C3">
        <w:rPr>
          <w:rFonts w:asciiTheme="minorHAnsi" w:hAnsiTheme="minorHAnsi" w:cs="Calibri"/>
          <w:color w:val="000000"/>
          <w:sz w:val="24"/>
          <w:szCs w:val="24"/>
        </w:rPr>
        <w:t>)</w:t>
      </w:r>
      <w:r w:rsidRPr="006779C3">
        <w:rPr>
          <w:rFonts w:asciiTheme="minorHAnsi" w:hAnsiTheme="minorHAnsi" w:cs="Calibri"/>
          <w:color w:val="000000"/>
          <w:sz w:val="24"/>
          <w:szCs w:val="24"/>
        </w:rPr>
        <w:t>.</w:t>
      </w:r>
      <w:proofErr w:type="gramEnd"/>
      <w:r w:rsidRPr="006779C3">
        <w:rPr>
          <w:rFonts w:asciiTheme="minorHAnsi" w:hAnsiTheme="minorHAnsi" w:cs="Calibri"/>
          <w:color w:val="000000"/>
          <w:sz w:val="24"/>
          <w:szCs w:val="24"/>
        </w:rPr>
        <w:t xml:space="preserve"> To ensure compliance with these laws and rules, the Oregon Department of Education will review school district procedures and make findings of fact to determine </w:t>
      </w:r>
      <w:proofErr w:type="gramStart"/>
      <w:r w:rsidRPr="006779C3">
        <w:rPr>
          <w:rFonts w:asciiTheme="minorHAnsi" w:hAnsiTheme="minorHAnsi" w:cs="Calibri"/>
          <w:color w:val="000000"/>
          <w:sz w:val="24"/>
          <w:szCs w:val="24"/>
        </w:rPr>
        <w:t>whether a violation occurred and what action, if any</w:t>
      </w:r>
      <w:proofErr w:type="gramEnd"/>
      <w:r w:rsidRPr="006779C3">
        <w:rPr>
          <w:rFonts w:asciiTheme="minorHAnsi" w:hAnsiTheme="minorHAnsi" w:cs="Calibri"/>
          <w:color w:val="000000"/>
          <w:sz w:val="24"/>
          <w:szCs w:val="24"/>
        </w:rPr>
        <w:t>, should be taken.</w:t>
      </w:r>
      <w:r w:rsidRPr="006779C3">
        <w:rPr>
          <w:rFonts w:asciiTheme="minorHAnsi" w:hAnsiTheme="minorHAnsi" w:cs="Calibri"/>
          <w:color w:val="000000"/>
          <w:sz w:val="24"/>
          <w:szCs w:val="24"/>
          <w:vertAlign w:val="superscript"/>
        </w:rPr>
        <w:footnoteReference w:id="1"/>
      </w:r>
    </w:p>
    <w:p w14:paraId="10C98C2C" w14:textId="77777777" w:rsidR="004643F1" w:rsidRPr="006779C3" w:rsidRDefault="004643F1" w:rsidP="004643F1">
      <w:pPr>
        <w:spacing w:after="0"/>
        <w:jc w:val="both"/>
        <w:rPr>
          <w:rFonts w:asciiTheme="minorHAnsi" w:hAnsiTheme="minorHAnsi" w:cs="Calibri"/>
          <w:color w:val="000000"/>
          <w:sz w:val="24"/>
          <w:szCs w:val="24"/>
        </w:rPr>
      </w:pPr>
    </w:p>
    <w:p w14:paraId="1F13236B" w14:textId="2123FDA0" w:rsidR="004643F1" w:rsidRPr="006779C3" w:rsidRDefault="004643F1" w:rsidP="004643F1">
      <w:pPr>
        <w:spacing w:after="0"/>
        <w:jc w:val="center"/>
        <w:rPr>
          <w:rFonts w:asciiTheme="minorHAnsi" w:hAnsiTheme="minorHAnsi" w:cs="Calibri"/>
          <w:b/>
          <w:color w:val="000000"/>
          <w:sz w:val="24"/>
          <w:szCs w:val="24"/>
        </w:rPr>
      </w:pPr>
      <w:r w:rsidRPr="006779C3">
        <w:rPr>
          <w:rFonts w:asciiTheme="minorHAnsi" w:hAnsiTheme="minorHAnsi" w:cs="Calibri"/>
          <w:b/>
          <w:color w:val="000000"/>
          <w:sz w:val="24"/>
          <w:szCs w:val="24"/>
        </w:rPr>
        <w:t>A</w:t>
      </w:r>
      <w:r w:rsidR="00D84F4E" w:rsidRPr="006779C3">
        <w:rPr>
          <w:rFonts w:asciiTheme="minorHAnsi" w:hAnsiTheme="minorHAnsi" w:cs="Calibri"/>
          <w:b/>
          <w:color w:val="000000"/>
          <w:sz w:val="24"/>
          <w:szCs w:val="24"/>
        </w:rPr>
        <w:t>PPELLATE</w:t>
      </w:r>
      <w:r w:rsidRPr="006779C3">
        <w:rPr>
          <w:rFonts w:asciiTheme="minorHAnsi" w:hAnsiTheme="minorHAnsi" w:cs="Calibri"/>
          <w:b/>
          <w:color w:val="000000"/>
          <w:sz w:val="24"/>
          <w:szCs w:val="24"/>
        </w:rPr>
        <w:t xml:space="preserve"> P</w:t>
      </w:r>
      <w:r w:rsidR="00D84F4E" w:rsidRPr="006779C3">
        <w:rPr>
          <w:rFonts w:asciiTheme="minorHAnsi" w:hAnsiTheme="minorHAnsi" w:cs="Calibri"/>
          <w:b/>
          <w:color w:val="000000"/>
          <w:sz w:val="24"/>
          <w:szCs w:val="24"/>
        </w:rPr>
        <w:t xml:space="preserve">ROCEDURES FOR COMPLAINTS ALLEGING DISCRIMINATION </w:t>
      </w:r>
    </w:p>
    <w:p w14:paraId="3C427286" w14:textId="77777777" w:rsidR="004643F1" w:rsidRPr="006779C3" w:rsidRDefault="004643F1" w:rsidP="004643F1">
      <w:pPr>
        <w:spacing w:after="0"/>
        <w:jc w:val="both"/>
        <w:rPr>
          <w:rFonts w:asciiTheme="minorHAnsi" w:hAnsiTheme="minorHAnsi" w:cs="Calibri"/>
          <w:color w:val="000000"/>
          <w:sz w:val="24"/>
          <w:szCs w:val="24"/>
        </w:rPr>
      </w:pPr>
    </w:p>
    <w:p w14:paraId="5C30506D" w14:textId="5BB2845F" w:rsidR="004643F1" w:rsidRPr="006779C3" w:rsidRDefault="004643F1" w:rsidP="004643F1">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appeal, </w:t>
      </w:r>
      <w:r w:rsidR="00270C7B" w:rsidRPr="006779C3">
        <w:rPr>
          <w:rFonts w:asciiTheme="minorHAnsi" w:hAnsiTheme="minorHAnsi" w:cs="Calibri"/>
          <w:color w:val="000000"/>
          <w:sz w:val="24"/>
          <w:szCs w:val="24"/>
        </w:rPr>
        <w:t>Parents allege</w:t>
      </w:r>
      <w:r w:rsidRPr="006779C3">
        <w:rPr>
          <w:rFonts w:asciiTheme="minorHAnsi" w:hAnsiTheme="minorHAnsi" w:cs="Calibri"/>
          <w:color w:val="000000"/>
          <w:sz w:val="24"/>
          <w:szCs w:val="24"/>
        </w:rPr>
        <w:t xml:space="preserve"> that</w:t>
      </w:r>
      <w:r w:rsidR="007F407D" w:rsidRPr="006779C3">
        <w:rPr>
          <w:rFonts w:asciiTheme="minorHAnsi" w:hAnsiTheme="minorHAnsi"/>
          <w:sz w:val="24"/>
          <w:szCs w:val="24"/>
        </w:rPr>
        <w:t xml:space="preserve"> </w:t>
      </w:r>
      <w:r w:rsidR="00270C7B" w:rsidRPr="006779C3">
        <w:rPr>
          <w:rFonts w:asciiTheme="minorHAnsi" w:hAnsiTheme="minorHAnsi"/>
          <w:sz w:val="24"/>
          <w:szCs w:val="24"/>
        </w:rPr>
        <w:t>Lincoln County</w:t>
      </w:r>
      <w:r w:rsidR="007F407D" w:rsidRPr="006779C3">
        <w:rPr>
          <w:rFonts w:asciiTheme="minorHAnsi" w:hAnsiTheme="minorHAnsi"/>
          <w:sz w:val="24"/>
          <w:szCs w:val="24"/>
        </w:rPr>
        <w:t xml:space="preserve"> School District</w:t>
      </w:r>
      <w:r w:rsidR="00C06AB0" w:rsidRPr="006779C3">
        <w:rPr>
          <w:rFonts w:asciiTheme="minorHAnsi" w:hAnsiTheme="minorHAnsi"/>
          <w:sz w:val="24"/>
          <w:szCs w:val="24"/>
        </w:rPr>
        <w:t xml:space="preserve"> </w:t>
      </w:r>
      <w:r w:rsidR="004C6C86" w:rsidRPr="006779C3">
        <w:rPr>
          <w:rFonts w:asciiTheme="minorHAnsi" w:hAnsiTheme="minorHAnsi"/>
          <w:sz w:val="24"/>
          <w:szCs w:val="24"/>
        </w:rPr>
        <w:t xml:space="preserve">discriminated </w:t>
      </w:r>
      <w:r w:rsidR="007F407D" w:rsidRPr="006779C3">
        <w:rPr>
          <w:rFonts w:asciiTheme="minorHAnsi" w:hAnsiTheme="minorHAnsi"/>
          <w:sz w:val="24"/>
          <w:szCs w:val="24"/>
        </w:rPr>
        <w:t xml:space="preserve">against </w:t>
      </w:r>
      <w:r w:rsidR="00270C7B" w:rsidRPr="006779C3">
        <w:rPr>
          <w:rFonts w:asciiTheme="minorHAnsi" w:hAnsiTheme="minorHAnsi"/>
          <w:sz w:val="24"/>
          <w:szCs w:val="24"/>
        </w:rPr>
        <w:t xml:space="preserve">their child (Student A) </w:t>
      </w:r>
      <w:proofErr w:type="gramStart"/>
      <w:r w:rsidR="00270C7B" w:rsidRPr="006779C3">
        <w:rPr>
          <w:rFonts w:asciiTheme="minorHAnsi" w:hAnsiTheme="minorHAnsi"/>
          <w:sz w:val="24"/>
          <w:szCs w:val="24"/>
        </w:rPr>
        <w:t>on the basis of</w:t>
      </w:r>
      <w:proofErr w:type="gramEnd"/>
      <w:r w:rsidR="00270C7B" w:rsidRPr="006779C3">
        <w:rPr>
          <w:rFonts w:asciiTheme="minorHAnsi" w:hAnsiTheme="minorHAnsi"/>
          <w:sz w:val="24"/>
          <w:szCs w:val="24"/>
        </w:rPr>
        <w:t xml:space="preserve"> sex</w:t>
      </w:r>
      <w:r w:rsidR="007F407D" w:rsidRPr="006779C3">
        <w:rPr>
          <w:rFonts w:asciiTheme="minorHAnsi" w:hAnsiTheme="minorHAnsi"/>
          <w:sz w:val="24"/>
          <w:szCs w:val="24"/>
        </w:rPr>
        <w:t>.</w:t>
      </w:r>
      <w:r w:rsidR="00270C7B" w:rsidRPr="006779C3">
        <w:rPr>
          <w:rFonts w:asciiTheme="minorHAnsi" w:hAnsiTheme="minorHAnsi"/>
          <w:sz w:val="24"/>
          <w:szCs w:val="24"/>
        </w:rPr>
        <w:t xml:space="preserve"> Specifically, Parents allege that the district failed to (1) take prompt and effective action to end the sexual harassment of Student A by another student, and (2) failed to remedy the effects of sexual harassment on Student A. </w:t>
      </w:r>
    </w:p>
    <w:p w14:paraId="448A45F5" w14:textId="77777777" w:rsidR="004643F1" w:rsidRPr="006779C3" w:rsidRDefault="004643F1" w:rsidP="004643F1">
      <w:pPr>
        <w:spacing w:after="0"/>
        <w:jc w:val="both"/>
        <w:rPr>
          <w:rFonts w:asciiTheme="minorHAnsi" w:hAnsiTheme="minorHAnsi" w:cstheme="minorHAnsi"/>
          <w:color w:val="000000"/>
          <w:sz w:val="24"/>
          <w:szCs w:val="24"/>
        </w:rPr>
      </w:pPr>
    </w:p>
    <w:p w14:paraId="07AA921D" w14:textId="7B586002" w:rsidR="004643F1" w:rsidRPr="006779C3" w:rsidRDefault="004643F1" w:rsidP="004643F1">
      <w:pPr>
        <w:pStyle w:val="NoSpacing"/>
        <w:jc w:val="both"/>
        <w:rPr>
          <w:rFonts w:asciiTheme="minorHAnsi" w:hAnsiTheme="minorHAnsi" w:cstheme="minorHAnsi"/>
          <w:sz w:val="24"/>
          <w:szCs w:val="24"/>
        </w:rPr>
      </w:pPr>
      <w:r w:rsidRPr="006779C3">
        <w:rPr>
          <w:rFonts w:asciiTheme="minorHAnsi" w:hAnsiTheme="minorHAnsi" w:cstheme="minorHAnsi"/>
          <w:sz w:val="24"/>
          <w:szCs w:val="24"/>
        </w:rPr>
        <w:t xml:space="preserve">The Oregon Department of Education has jurisdiction to resolve this complaint </w:t>
      </w:r>
      <w:r w:rsidR="00C92F2D" w:rsidRPr="006779C3">
        <w:rPr>
          <w:rFonts w:asciiTheme="minorHAnsi" w:hAnsiTheme="minorHAnsi" w:cstheme="minorHAnsi"/>
          <w:sz w:val="24"/>
          <w:szCs w:val="24"/>
        </w:rPr>
        <w:t>as specified in</w:t>
      </w:r>
      <w:r w:rsidRPr="006779C3">
        <w:rPr>
          <w:rFonts w:asciiTheme="minorHAnsi" w:hAnsiTheme="minorHAnsi" w:cstheme="minorHAnsi"/>
          <w:sz w:val="24"/>
          <w:szCs w:val="24"/>
        </w:rPr>
        <w:t xml:space="preserve"> OAR 581-002-0003. When a person files with the department an appeal of a complaint alleging </w:t>
      </w:r>
      <w:r w:rsidRPr="006779C3">
        <w:rPr>
          <w:rFonts w:asciiTheme="minorHAnsi" w:hAnsiTheme="minorHAnsi" w:cstheme="minorHAnsi"/>
          <w:sz w:val="24"/>
          <w:szCs w:val="24"/>
        </w:rPr>
        <w:lastRenderedPageBreak/>
        <w:t>discrimination, the department will initiate an investigation to determine whether discrimination may have occurred.</w:t>
      </w:r>
      <w:r w:rsidRPr="006779C3">
        <w:rPr>
          <w:rStyle w:val="FootnoteReference"/>
          <w:rFonts w:asciiTheme="minorHAnsi" w:hAnsiTheme="minorHAnsi" w:cstheme="minorHAnsi"/>
          <w:sz w:val="24"/>
          <w:szCs w:val="24"/>
        </w:rPr>
        <w:footnoteReference w:id="2"/>
      </w:r>
      <w:r w:rsidRPr="006779C3">
        <w:rPr>
          <w:rFonts w:asciiTheme="minorHAnsi" w:hAnsiTheme="minorHAnsi" w:cstheme="minorHAnsi"/>
          <w:sz w:val="24"/>
          <w:szCs w:val="24"/>
        </w:rPr>
        <w:t xml:space="preserve"> If the department determines that a violation of a law or rule described in OAR 581-002-003 occurred</w:t>
      </w:r>
      <w:proofErr w:type="gramStart"/>
      <w:r w:rsidRPr="006779C3">
        <w:rPr>
          <w:rFonts w:asciiTheme="minorHAnsi" w:hAnsiTheme="minorHAnsi" w:cstheme="minorHAnsi"/>
          <w:sz w:val="24"/>
          <w:szCs w:val="24"/>
        </w:rPr>
        <w:t>,</w:t>
      </w:r>
      <w:proofErr w:type="gramEnd"/>
      <w:r w:rsidRPr="006779C3">
        <w:rPr>
          <w:rFonts w:asciiTheme="minorHAnsi" w:hAnsiTheme="minorHAnsi" w:cstheme="minorHAnsi"/>
          <w:sz w:val="24"/>
          <w:szCs w:val="24"/>
        </w:rPr>
        <w:t xml:space="preserve"> the department must issue a preliminary order to the complainant and the district.</w:t>
      </w:r>
      <w:r w:rsidRPr="006779C3">
        <w:rPr>
          <w:rStyle w:val="FootnoteReference"/>
          <w:rFonts w:asciiTheme="minorHAnsi" w:hAnsiTheme="minorHAnsi" w:cstheme="minorHAnsi"/>
          <w:sz w:val="24"/>
          <w:szCs w:val="24"/>
        </w:rPr>
        <w:footnoteReference w:id="3"/>
      </w:r>
      <w:r w:rsidRPr="006779C3">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6779C3">
        <w:rPr>
          <w:rStyle w:val="FootnoteReference"/>
          <w:rFonts w:asciiTheme="minorHAnsi" w:hAnsiTheme="minorHAnsi" w:cstheme="minorHAnsi"/>
          <w:sz w:val="24"/>
          <w:szCs w:val="24"/>
        </w:rPr>
        <w:footnoteReference w:id="4"/>
      </w:r>
      <w:r w:rsidRPr="006779C3">
        <w:rPr>
          <w:rFonts w:asciiTheme="minorHAnsi" w:hAnsiTheme="minorHAnsi" w:cstheme="minorHAnsi"/>
          <w:sz w:val="24"/>
          <w:szCs w:val="24"/>
        </w:rPr>
        <w:t xml:space="preserve"> If the department determines that a violation of law or rule described in OAR 581-002-003 did not occur, the department must issue a final order as described in OAR 581-002-0017.</w:t>
      </w:r>
      <w:r w:rsidRPr="006779C3">
        <w:rPr>
          <w:rStyle w:val="FootnoteReference"/>
          <w:rFonts w:asciiTheme="minorHAnsi" w:hAnsiTheme="minorHAnsi" w:cstheme="minorHAnsi"/>
          <w:sz w:val="24"/>
          <w:szCs w:val="24"/>
        </w:rPr>
        <w:footnoteReference w:id="5"/>
      </w:r>
      <w:r w:rsidRPr="006779C3">
        <w:rPr>
          <w:rFonts w:asciiTheme="minorHAnsi" w:hAnsiTheme="minorHAnsi" w:cstheme="minorHAnsi"/>
          <w:sz w:val="24"/>
          <w:szCs w:val="24"/>
        </w:rPr>
        <w:t xml:space="preserve"> The Director of the Oregon Department of Education may for good cause extend the time by which the department must issue an order.</w:t>
      </w:r>
      <w:r w:rsidRPr="006779C3">
        <w:rPr>
          <w:rStyle w:val="FootnoteReference"/>
          <w:rFonts w:asciiTheme="minorHAnsi" w:hAnsiTheme="minorHAnsi" w:cstheme="minorHAnsi"/>
          <w:sz w:val="24"/>
          <w:szCs w:val="24"/>
        </w:rPr>
        <w:footnoteReference w:id="6"/>
      </w:r>
      <w:r w:rsidRPr="006779C3">
        <w:rPr>
          <w:rFonts w:asciiTheme="minorHAnsi" w:hAnsiTheme="minorHAnsi" w:cstheme="minorHAnsi"/>
          <w:sz w:val="24"/>
          <w:szCs w:val="24"/>
        </w:rPr>
        <w:t xml:space="preserve"> </w:t>
      </w:r>
    </w:p>
    <w:p w14:paraId="35B4084D" w14:textId="77777777" w:rsidR="004643F1" w:rsidRPr="006779C3" w:rsidRDefault="004643F1" w:rsidP="004643F1">
      <w:pPr>
        <w:pStyle w:val="NoSpacing"/>
        <w:jc w:val="both"/>
        <w:rPr>
          <w:rFonts w:asciiTheme="minorHAnsi" w:hAnsiTheme="minorHAnsi" w:cstheme="minorHAnsi"/>
          <w:sz w:val="24"/>
          <w:szCs w:val="24"/>
        </w:rPr>
      </w:pPr>
    </w:p>
    <w:p w14:paraId="56AF3A6D" w14:textId="0C86F7B5" w:rsidR="004643F1" w:rsidRPr="006779C3" w:rsidRDefault="004643F1" w:rsidP="004643F1">
      <w:pPr>
        <w:pStyle w:val="NoSpacing"/>
        <w:jc w:val="both"/>
        <w:rPr>
          <w:rFonts w:asciiTheme="minorHAnsi" w:hAnsiTheme="minorHAnsi" w:cstheme="minorHAnsi"/>
          <w:sz w:val="24"/>
          <w:szCs w:val="24"/>
        </w:rPr>
      </w:pPr>
      <w:r w:rsidRPr="006779C3">
        <w:rPr>
          <w:rFonts w:asciiTheme="minorHAnsi" w:hAnsiTheme="minorHAnsi" w:cstheme="minorHAnsi"/>
          <w:sz w:val="24"/>
          <w:szCs w:val="24"/>
        </w:rPr>
        <w:t xml:space="preserve">In this appeal, the department has completed its investigation to determine whether discrimination may have occurred. This letter constitutes the department’s order as to whether discrimination may have occurred. </w:t>
      </w:r>
    </w:p>
    <w:p w14:paraId="1B615A3E" w14:textId="77777777" w:rsidR="004643F1" w:rsidRPr="006779C3" w:rsidRDefault="004643F1" w:rsidP="004643F1">
      <w:pPr>
        <w:spacing w:after="0"/>
        <w:jc w:val="both"/>
        <w:rPr>
          <w:rFonts w:asciiTheme="minorHAnsi" w:hAnsiTheme="minorHAnsi" w:cstheme="minorHAnsi"/>
          <w:color w:val="000000"/>
          <w:sz w:val="24"/>
          <w:szCs w:val="24"/>
        </w:rPr>
      </w:pPr>
    </w:p>
    <w:p w14:paraId="00CFAC8F" w14:textId="77777777" w:rsidR="004643F1" w:rsidRPr="006779C3" w:rsidRDefault="004643F1" w:rsidP="004643F1">
      <w:pPr>
        <w:spacing w:after="0"/>
        <w:jc w:val="center"/>
        <w:rPr>
          <w:rFonts w:asciiTheme="minorHAnsi" w:hAnsiTheme="minorHAnsi" w:cs="Calibri"/>
          <w:b/>
          <w:color w:val="000000"/>
          <w:sz w:val="24"/>
          <w:szCs w:val="24"/>
        </w:rPr>
      </w:pPr>
      <w:r w:rsidRPr="006779C3">
        <w:rPr>
          <w:rFonts w:asciiTheme="minorHAnsi" w:hAnsiTheme="minorHAnsi" w:cs="Calibri"/>
          <w:b/>
          <w:color w:val="000000"/>
          <w:sz w:val="24"/>
          <w:szCs w:val="24"/>
        </w:rPr>
        <w:t>PROCEDURAL BACKGROUND</w:t>
      </w:r>
    </w:p>
    <w:p w14:paraId="3A1B879F" w14:textId="72BD6B78" w:rsidR="004643F1" w:rsidRPr="006779C3" w:rsidRDefault="004643F1" w:rsidP="004643F1">
      <w:pPr>
        <w:spacing w:after="0"/>
        <w:jc w:val="center"/>
        <w:rPr>
          <w:rFonts w:asciiTheme="minorHAnsi" w:hAnsiTheme="minorHAnsi" w:cs="Calibri"/>
          <w:b/>
          <w:color w:val="000000"/>
          <w:sz w:val="24"/>
          <w:szCs w:val="24"/>
        </w:rPr>
      </w:pPr>
    </w:p>
    <w:p w14:paraId="5AB3EA05" w14:textId="7ED88683" w:rsidR="000F71E2" w:rsidRPr="006779C3" w:rsidRDefault="000F71E2" w:rsidP="00366F92">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This is an appeal alleging discrimination by Lincoln County School District.</w:t>
      </w:r>
    </w:p>
    <w:p w14:paraId="53AD4C92" w14:textId="3A5F55FB" w:rsidR="000F71E2" w:rsidRPr="006779C3" w:rsidRDefault="000F71E2" w:rsidP="00366F92">
      <w:pPr>
        <w:spacing w:after="0"/>
        <w:jc w:val="both"/>
        <w:rPr>
          <w:rFonts w:asciiTheme="minorHAnsi" w:hAnsiTheme="minorHAnsi" w:cs="Calibri"/>
          <w:color w:val="000000"/>
          <w:sz w:val="24"/>
          <w:szCs w:val="24"/>
        </w:rPr>
      </w:pPr>
    </w:p>
    <w:p w14:paraId="3C919C78" w14:textId="2986D8C4" w:rsidR="002560E8" w:rsidRPr="006779C3" w:rsidRDefault="000F71E2" w:rsidP="002560E8">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During the fall semester of the 2019-2020 school year, Student A told Parents about the conduct of another student in their class (Student 1). Student A told Parents that Student 1 had physically assaulted them and attempted to kiss them. On October 1, 2019, Parents met with Student A’s teacher (Teacher 1) to discuss their concerns. Student 1’s harassment of Student A continued. On October 16, Parents met with district administrators </w:t>
      </w:r>
      <w:proofErr w:type="gramStart"/>
      <w:r w:rsidRPr="006779C3">
        <w:rPr>
          <w:rFonts w:asciiTheme="minorHAnsi" w:hAnsiTheme="minorHAnsi" w:cs="Calibri"/>
          <w:color w:val="000000"/>
          <w:sz w:val="24"/>
          <w:szCs w:val="24"/>
        </w:rPr>
        <w:t>to further discuss</w:t>
      </w:r>
      <w:proofErr w:type="gramEnd"/>
      <w:r w:rsidRPr="006779C3">
        <w:rPr>
          <w:rFonts w:asciiTheme="minorHAnsi" w:hAnsiTheme="minorHAnsi" w:cs="Calibri"/>
          <w:color w:val="000000"/>
          <w:sz w:val="24"/>
          <w:szCs w:val="24"/>
        </w:rPr>
        <w:t xml:space="preserve"> their concerns. On October 23, 2019, the district completed an investigation of the incidents </w:t>
      </w:r>
      <w:r w:rsidR="00466E61" w:rsidRPr="006779C3">
        <w:rPr>
          <w:rFonts w:asciiTheme="minorHAnsi" w:hAnsiTheme="minorHAnsi" w:cs="Calibri"/>
          <w:color w:val="000000"/>
          <w:sz w:val="24"/>
          <w:szCs w:val="24"/>
        </w:rPr>
        <w:t>in accordance with its policies prohibiting bullying and harassment and sexual harassment</w:t>
      </w:r>
      <w:r w:rsidRPr="006779C3">
        <w:rPr>
          <w:rFonts w:asciiTheme="minorHAnsi" w:hAnsiTheme="minorHAnsi" w:cs="Calibri"/>
          <w:color w:val="000000"/>
          <w:sz w:val="24"/>
          <w:szCs w:val="24"/>
        </w:rPr>
        <w:t>.</w:t>
      </w:r>
      <w:r w:rsidR="002560E8" w:rsidRPr="006779C3">
        <w:rPr>
          <w:rFonts w:asciiTheme="minorHAnsi" w:hAnsiTheme="minorHAnsi" w:cs="Calibri"/>
          <w:color w:val="000000"/>
          <w:sz w:val="24"/>
          <w:szCs w:val="24"/>
        </w:rPr>
        <w:t xml:space="preserve"> The district concluded that Student 1 had violated the policy. The district subsequently informed the district’s Title IX coordinator of the investigation and its conclusions. On November 16, 2019, the Title IX coordinator confirmed that Student 1’s actions constituted sexual harassment and violated district policy. </w:t>
      </w:r>
    </w:p>
    <w:p w14:paraId="79FB81AD" w14:textId="77777777" w:rsidR="002560E8" w:rsidRPr="006779C3" w:rsidRDefault="002560E8" w:rsidP="002560E8">
      <w:pPr>
        <w:spacing w:after="0"/>
        <w:jc w:val="both"/>
        <w:rPr>
          <w:rFonts w:asciiTheme="minorHAnsi" w:hAnsiTheme="minorHAnsi" w:cs="Calibri"/>
          <w:color w:val="000000"/>
          <w:sz w:val="24"/>
          <w:szCs w:val="24"/>
        </w:rPr>
      </w:pPr>
    </w:p>
    <w:p w14:paraId="767248F6" w14:textId="07CD3D64" w:rsidR="002560E8" w:rsidRPr="006779C3" w:rsidRDefault="002560E8" w:rsidP="002560E8">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July 24, 2020, Parents filed this appeal with the Oregon Department of Education. On July 31, 2020, the department requested Parents provide </w:t>
      </w:r>
      <w:r w:rsidR="008F45F3" w:rsidRPr="006779C3">
        <w:rPr>
          <w:rFonts w:asciiTheme="minorHAnsi" w:hAnsiTheme="minorHAnsi" w:cs="Calibri"/>
          <w:color w:val="000000"/>
          <w:sz w:val="24"/>
          <w:szCs w:val="24"/>
        </w:rPr>
        <w:t xml:space="preserve">the department with </w:t>
      </w:r>
      <w:r w:rsidRPr="006779C3">
        <w:rPr>
          <w:rFonts w:asciiTheme="minorHAnsi" w:hAnsiTheme="minorHAnsi" w:cs="Calibri"/>
          <w:color w:val="000000"/>
          <w:sz w:val="24"/>
          <w:szCs w:val="24"/>
        </w:rPr>
        <w:t xml:space="preserve">additional information to determine whether </w:t>
      </w:r>
      <w:r w:rsidR="008F45F3" w:rsidRPr="006779C3">
        <w:rPr>
          <w:rFonts w:asciiTheme="minorHAnsi" w:hAnsiTheme="minorHAnsi" w:cs="Calibri"/>
          <w:color w:val="000000"/>
          <w:sz w:val="24"/>
          <w:szCs w:val="24"/>
        </w:rPr>
        <w:t>Parents had exhausted the district’s complaint process</w:t>
      </w:r>
      <w:r w:rsidRPr="006779C3">
        <w:rPr>
          <w:rFonts w:asciiTheme="minorHAnsi" w:hAnsiTheme="minorHAnsi" w:cs="Calibri"/>
          <w:color w:val="000000"/>
          <w:sz w:val="24"/>
          <w:szCs w:val="24"/>
        </w:rPr>
        <w:t>. Parents provided the additional information on August 11, 2020.</w:t>
      </w:r>
    </w:p>
    <w:p w14:paraId="0C0F81A1" w14:textId="49ECA6C6" w:rsidR="002560E8" w:rsidRPr="006779C3" w:rsidRDefault="002560E8" w:rsidP="002560E8">
      <w:pPr>
        <w:spacing w:after="0"/>
        <w:jc w:val="both"/>
        <w:rPr>
          <w:rFonts w:asciiTheme="minorHAnsi" w:hAnsiTheme="minorHAnsi" w:cs="Calibri"/>
          <w:color w:val="000000"/>
          <w:sz w:val="24"/>
          <w:szCs w:val="24"/>
        </w:rPr>
      </w:pPr>
    </w:p>
    <w:p w14:paraId="44AE2F43" w14:textId="2F0A7767" w:rsidR="00F00BA5" w:rsidRPr="006779C3" w:rsidRDefault="002560E8" w:rsidP="00366F92">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August 25, 2020, the department sent the district notice of its acceptance of the appeal pursuant </w:t>
      </w:r>
      <w:r w:rsidR="00F00BA5" w:rsidRPr="006779C3">
        <w:rPr>
          <w:rFonts w:asciiTheme="minorHAnsi" w:hAnsiTheme="minorHAnsi" w:cs="Calibri"/>
          <w:color w:val="000000"/>
          <w:sz w:val="24"/>
          <w:szCs w:val="24"/>
        </w:rPr>
        <w:t xml:space="preserve">OAR 581-002-0005(1)(a)(A) on the basis that </w:t>
      </w:r>
      <w:r w:rsidR="009F7B67" w:rsidRPr="006779C3">
        <w:rPr>
          <w:rFonts w:asciiTheme="minorHAnsi" w:hAnsiTheme="minorHAnsi" w:cs="Calibri"/>
          <w:color w:val="000000"/>
          <w:sz w:val="24"/>
          <w:szCs w:val="24"/>
        </w:rPr>
        <w:t>the district failed to provide Parents with a written decision within 30 days of Parents submitting their initial complaint</w:t>
      </w:r>
      <w:r w:rsidR="00F00BA5" w:rsidRPr="006779C3">
        <w:rPr>
          <w:rFonts w:asciiTheme="minorHAnsi" w:hAnsiTheme="minorHAnsi" w:cs="Calibri"/>
          <w:color w:val="000000"/>
          <w:sz w:val="24"/>
          <w:szCs w:val="24"/>
        </w:rPr>
        <w:t>.</w:t>
      </w:r>
      <w:r w:rsidR="00F00BA5" w:rsidRPr="006779C3">
        <w:rPr>
          <w:rStyle w:val="FootnoteReference"/>
          <w:rFonts w:asciiTheme="minorHAnsi" w:hAnsiTheme="minorHAnsi" w:cs="Calibri"/>
          <w:color w:val="000000"/>
          <w:sz w:val="24"/>
          <w:szCs w:val="24"/>
        </w:rPr>
        <w:footnoteReference w:id="7"/>
      </w:r>
      <w:r w:rsidR="008F45F3" w:rsidRPr="006779C3">
        <w:rPr>
          <w:rFonts w:asciiTheme="minorHAnsi" w:hAnsiTheme="minorHAnsi" w:cs="Calibri"/>
          <w:color w:val="000000"/>
          <w:sz w:val="24"/>
          <w:szCs w:val="24"/>
        </w:rPr>
        <w:t xml:space="preserve"> </w:t>
      </w:r>
    </w:p>
    <w:p w14:paraId="74384D53" w14:textId="77777777" w:rsidR="009F7B67" w:rsidRPr="006779C3" w:rsidRDefault="009F7B67" w:rsidP="00366F92">
      <w:pPr>
        <w:spacing w:after="0"/>
        <w:jc w:val="both"/>
        <w:rPr>
          <w:rFonts w:asciiTheme="minorHAnsi" w:hAnsiTheme="minorHAnsi" w:cs="Calibri"/>
          <w:color w:val="000000"/>
          <w:sz w:val="24"/>
          <w:szCs w:val="24"/>
        </w:rPr>
      </w:pPr>
    </w:p>
    <w:p w14:paraId="2934AB62" w14:textId="1B050545" w:rsidR="00366F92" w:rsidRPr="006779C3" w:rsidRDefault="00366F92" w:rsidP="004643F1">
      <w:pPr>
        <w:spacing w:after="0"/>
        <w:jc w:val="center"/>
        <w:rPr>
          <w:rFonts w:asciiTheme="minorHAnsi" w:hAnsiTheme="minorHAnsi" w:cs="Calibri"/>
          <w:b/>
          <w:color w:val="000000"/>
          <w:sz w:val="24"/>
          <w:szCs w:val="24"/>
        </w:rPr>
      </w:pPr>
      <w:r w:rsidRPr="006779C3">
        <w:rPr>
          <w:rFonts w:asciiTheme="minorHAnsi" w:hAnsiTheme="minorHAnsi" w:cs="Calibri"/>
          <w:b/>
          <w:color w:val="000000"/>
          <w:sz w:val="24"/>
          <w:szCs w:val="24"/>
        </w:rPr>
        <w:t>FINDINGS OF FACT</w:t>
      </w:r>
    </w:p>
    <w:p w14:paraId="590B6B61" w14:textId="77777777" w:rsidR="00366F92" w:rsidRPr="006779C3" w:rsidRDefault="00366F92" w:rsidP="004643F1">
      <w:pPr>
        <w:spacing w:after="0"/>
        <w:jc w:val="center"/>
        <w:rPr>
          <w:rFonts w:asciiTheme="minorHAnsi" w:hAnsiTheme="minorHAnsi" w:cs="Calibri"/>
          <w:b/>
          <w:color w:val="000000"/>
          <w:sz w:val="24"/>
          <w:szCs w:val="24"/>
        </w:rPr>
      </w:pPr>
    </w:p>
    <w:p w14:paraId="0B2DB11C" w14:textId="77777777" w:rsidR="0042471E" w:rsidRPr="006779C3" w:rsidRDefault="0042471E" w:rsidP="0042471E">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After conducting its investigation, the Oregon Department of Education makes the following findings of fact:</w:t>
      </w:r>
    </w:p>
    <w:p w14:paraId="72F031BF" w14:textId="77777777" w:rsidR="0042471E" w:rsidRPr="006779C3" w:rsidRDefault="0042471E" w:rsidP="0042471E">
      <w:pPr>
        <w:spacing w:after="0"/>
        <w:jc w:val="both"/>
        <w:rPr>
          <w:rFonts w:asciiTheme="minorHAnsi" w:hAnsiTheme="minorHAnsi" w:cs="Calibri"/>
          <w:color w:val="000000"/>
          <w:sz w:val="24"/>
          <w:szCs w:val="24"/>
        </w:rPr>
      </w:pPr>
    </w:p>
    <w:p w14:paraId="15F86D0C" w14:textId="28225D00" w:rsidR="00E93869" w:rsidRPr="006779C3" w:rsidRDefault="00E93869" w:rsidP="009F7B67">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At times relevant to this appeal, Student A and Student 1 attended elementary school in the Lincoln County School District. Student A and Student 1 were first graders. Student A and Student 1 were in the same class.</w:t>
      </w:r>
    </w:p>
    <w:p w14:paraId="10E95A4D" w14:textId="12CE29D8" w:rsidR="00E93869" w:rsidRPr="006779C3" w:rsidRDefault="00E93869" w:rsidP="00E93869">
      <w:pPr>
        <w:pStyle w:val="ListParagraph"/>
        <w:spacing w:after="0"/>
        <w:ind w:left="1080"/>
        <w:jc w:val="both"/>
        <w:rPr>
          <w:rFonts w:asciiTheme="minorHAnsi" w:hAnsiTheme="minorHAnsi" w:cs="Calibri"/>
          <w:color w:val="000000"/>
          <w:sz w:val="24"/>
          <w:szCs w:val="24"/>
        </w:rPr>
      </w:pPr>
    </w:p>
    <w:p w14:paraId="0F216859" w14:textId="78455EEB" w:rsidR="00E93869" w:rsidRPr="006779C3" w:rsidRDefault="00EE6BD0" w:rsidP="009F7B67">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The </w:t>
      </w:r>
      <w:r w:rsidR="00E93869" w:rsidRPr="006779C3">
        <w:rPr>
          <w:rFonts w:asciiTheme="minorHAnsi" w:hAnsiTheme="minorHAnsi" w:cs="Calibri"/>
          <w:color w:val="000000"/>
          <w:sz w:val="24"/>
          <w:szCs w:val="24"/>
        </w:rPr>
        <w:t xml:space="preserve">first day of school </w:t>
      </w:r>
      <w:r w:rsidRPr="006779C3">
        <w:rPr>
          <w:rFonts w:asciiTheme="minorHAnsi" w:hAnsiTheme="minorHAnsi" w:cs="Calibri"/>
          <w:color w:val="000000"/>
          <w:sz w:val="24"/>
          <w:szCs w:val="24"/>
        </w:rPr>
        <w:t xml:space="preserve">for the 2019-2020 school year </w:t>
      </w:r>
      <w:r w:rsidR="00E93869" w:rsidRPr="006779C3">
        <w:rPr>
          <w:rFonts w:asciiTheme="minorHAnsi" w:hAnsiTheme="minorHAnsi" w:cs="Calibri"/>
          <w:color w:val="000000"/>
          <w:sz w:val="24"/>
          <w:szCs w:val="24"/>
        </w:rPr>
        <w:t>was September 4, 2019.</w:t>
      </w:r>
    </w:p>
    <w:p w14:paraId="20468D2F" w14:textId="77777777" w:rsidR="00E93869" w:rsidRPr="006779C3" w:rsidRDefault="00E93869" w:rsidP="00E93869">
      <w:pPr>
        <w:pStyle w:val="ListParagraph"/>
        <w:rPr>
          <w:rFonts w:asciiTheme="minorHAnsi" w:hAnsiTheme="minorHAnsi" w:cs="Calibri"/>
          <w:color w:val="000000"/>
          <w:sz w:val="24"/>
          <w:szCs w:val="24"/>
        </w:rPr>
      </w:pPr>
    </w:p>
    <w:p w14:paraId="78639B37" w14:textId="339115D1" w:rsidR="00E93869" w:rsidRPr="006779C3" w:rsidRDefault="00E93869" w:rsidP="009F7B67">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September 13, 2019, Student 1 punched Student </w:t>
      </w:r>
      <w:proofErr w:type="gramStart"/>
      <w:r w:rsidRPr="006779C3">
        <w:rPr>
          <w:rFonts w:asciiTheme="minorHAnsi" w:hAnsiTheme="minorHAnsi" w:cs="Calibri"/>
          <w:color w:val="000000"/>
          <w:sz w:val="24"/>
          <w:szCs w:val="24"/>
        </w:rPr>
        <w:t>A</w:t>
      </w:r>
      <w:proofErr w:type="gramEnd"/>
      <w:r w:rsidRPr="006779C3">
        <w:rPr>
          <w:rFonts w:asciiTheme="minorHAnsi" w:hAnsiTheme="minorHAnsi" w:cs="Calibri"/>
          <w:color w:val="000000"/>
          <w:sz w:val="24"/>
          <w:szCs w:val="24"/>
        </w:rPr>
        <w:t xml:space="preserve"> and another student during recess. The district responded by moving Student 1’s desk </w:t>
      </w:r>
      <w:r w:rsidR="006525D2" w:rsidRPr="006779C3">
        <w:rPr>
          <w:rFonts w:asciiTheme="minorHAnsi" w:hAnsiTheme="minorHAnsi" w:cs="Calibri"/>
          <w:color w:val="000000"/>
          <w:sz w:val="24"/>
          <w:szCs w:val="24"/>
        </w:rPr>
        <w:t>away</w:t>
      </w:r>
      <w:r w:rsidRPr="006779C3">
        <w:rPr>
          <w:rFonts w:asciiTheme="minorHAnsi" w:hAnsiTheme="minorHAnsi" w:cs="Calibri"/>
          <w:color w:val="000000"/>
          <w:sz w:val="24"/>
          <w:szCs w:val="24"/>
        </w:rPr>
        <w:t xml:space="preserve"> from Student A’s desk. The district also implemented a plan to address Student 1’s behavior</w:t>
      </w:r>
      <w:r w:rsidR="00E1502E" w:rsidRPr="006779C3">
        <w:rPr>
          <w:rFonts w:asciiTheme="minorHAnsi" w:hAnsiTheme="minorHAnsi" w:cs="Calibri"/>
          <w:color w:val="000000"/>
          <w:sz w:val="24"/>
          <w:szCs w:val="24"/>
        </w:rPr>
        <w:t xml:space="preserve"> at recess</w:t>
      </w:r>
      <w:r w:rsidRPr="006779C3">
        <w:rPr>
          <w:rFonts w:asciiTheme="minorHAnsi" w:hAnsiTheme="minorHAnsi" w:cs="Calibri"/>
          <w:color w:val="000000"/>
          <w:sz w:val="24"/>
          <w:szCs w:val="24"/>
        </w:rPr>
        <w:t>.</w:t>
      </w:r>
      <w:r w:rsidR="007B23B0" w:rsidRPr="006779C3">
        <w:rPr>
          <w:rStyle w:val="FootnoteReference"/>
          <w:rFonts w:asciiTheme="minorHAnsi" w:hAnsiTheme="minorHAnsi" w:cs="Calibri"/>
          <w:color w:val="000000"/>
          <w:sz w:val="24"/>
          <w:szCs w:val="24"/>
        </w:rPr>
        <w:footnoteReference w:id="8"/>
      </w:r>
    </w:p>
    <w:p w14:paraId="4C6F4835" w14:textId="77777777" w:rsidR="00E1502E" w:rsidRPr="006779C3" w:rsidRDefault="00E1502E" w:rsidP="00E1502E">
      <w:pPr>
        <w:pStyle w:val="ListParagraph"/>
        <w:rPr>
          <w:rFonts w:asciiTheme="minorHAnsi" w:hAnsiTheme="minorHAnsi" w:cs="Calibri"/>
          <w:color w:val="000000"/>
          <w:sz w:val="24"/>
          <w:szCs w:val="24"/>
        </w:rPr>
      </w:pPr>
    </w:p>
    <w:p w14:paraId="006A4ACC" w14:textId="3B94F8A1" w:rsidR="00E1502E" w:rsidRPr="006779C3" w:rsidRDefault="00E1502E" w:rsidP="009F7B67">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Student 1 was removed from school after the September </w:t>
      </w:r>
      <w:proofErr w:type="gramStart"/>
      <w:r w:rsidRPr="006779C3">
        <w:rPr>
          <w:rFonts w:asciiTheme="minorHAnsi" w:hAnsiTheme="minorHAnsi" w:cs="Calibri"/>
          <w:color w:val="000000"/>
          <w:sz w:val="24"/>
          <w:szCs w:val="24"/>
        </w:rPr>
        <w:t>13th</w:t>
      </w:r>
      <w:proofErr w:type="gramEnd"/>
      <w:r w:rsidRPr="006779C3">
        <w:rPr>
          <w:rFonts w:asciiTheme="minorHAnsi" w:hAnsiTheme="minorHAnsi" w:cs="Calibri"/>
          <w:color w:val="000000"/>
          <w:sz w:val="24"/>
          <w:szCs w:val="24"/>
        </w:rPr>
        <w:t xml:space="preserve"> incident. Student 1 returned to school two weeks later, on September 30, 2019.</w:t>
      </w:r>
    </w:p>
    <w:p w14:paraId="18AF88FB" w14:textId="77777777" w:rsidR="00E1502E" w:rsidRPr="006779C3" w:rsidRDefault="00E1502E" w:rsidP="00E1502E">
      <w:pPr>
        <w:pStyle w:val="ListParagraph"/>
        <w:rPr>
          <w:rFonts w:asciiTheme="minorHAnsi" w:hAnsiTheme="minorHAnsi" w:cs="Calibri"/>
          <w:color w:val="000000"/>
          <w:sz w:val="24"/>
          <w:szCs w:val="24"/>
        </w:rPr>
      </w:pPr>
    </w:p>
    <w:p w14:paraId="54493CD5" w14:textId="71B094A0" w:rsidR="00E1502E" w:rsidRPr="006779C3" w:rsidRDefault="00E1502E" w:rsidP="009F7B67">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September 16, 2019 – before Student 1 returned to school – an administrator at the school (</w:t>
      </w:r>
      <w:r w:rsidR="00EE6BD0" w:rsidRPr="006779C3">
        <w:rPr>
          <w:rFonts w:asciiTheme="minorHAnsi" w:hAnsiTheme="minorHAnsi" w:cs="Calibri"/>
          <w:color w:val="000000"/>
          <w:sz w:val="24"/>
          <w:szCs w:val="24"/>
        </w:rPr>
        <w:t>Administrator 1</w:t>
      </w:r>
      <w:r w:rsidRPr="006779C3">
        <w:rPr>
          <w:rFonts w:asciiTheme="minorHAnsi" w:hAnsiTheme="minorHAnsi" w:cs="Calibri"/>
          <w:color w:val="000000"/>
          <w:sz w:val="24"/>
          <w:szCs w:val="24"/>
        </w:rPr>
        <w:t xml:space="preserve">) developed a safety plan for Student 1. The plan included check-in and </w:t>
      </w:r>
      <w:proofErr w:type="gramStart"/>
      <w:r w:rsidRPr="006779C3">
        <w:rPr>
          <w:rFonts w:asciiTheme="minorHAnsi" w:hAnsiTheme="minorHAnsi" w:cs="Calibri"/>
          <w:color w:val="000000"/>
          <w:sz w:val="24"/>
          <w:szCs w:val="24"/>
        </w:rPr>
        <w:t>check-out</w:t>
      </w:r>
      <w:proofErr w:type="gramEnd"/>
      <w:r w:rsidRPr="006779C3">
        <w:rPr>
          <w:rFonts w:asciiTheme="minorHAnsi" w:hAnsiTheme="minorHAnsi" w:cs="Calibri"/>
          <w:color w:val="000000"/>
          <w:sz w:val="24"/>
          <w:szCs w:val="24"/>
        </w:rPr>
        <w:t xml:space="preserve"> procedures and several other </w:t>
      </w:r>
      <w:r w:rsidR="006525D2" w:rsidRPr="006779C3">
        <w:rPr>
          <w:rFonts w:asciiTheme="minorHAnsi" w:hAnsiTheme="minorHAnsi" w:cs="Calibri"/>
          <w:color w:val="000000"/>
          <w:sz w:val="24"/>
          <w:szCs w:val="24"/>
        </w:rPr>
        <w:t>measures</w:t>
      </w:r>
      <w:r w:rsidRPr="006779C3">
        <w:rPr>
          <w:rFonts w:asciiTheme="minorHAnsi" w:hAnsiTheme="minorHAnsi" w:cs="Calibri"/>
          <w:color w:val="000000"/>
          <w:sz w:val="24"/>
          <w:szCs w:val="24"/>
        </w:rPr>
        <w:t xml:space="preserve"> intended to address Student 1’s behavior.</w:t>
      </w:r>
      <w:r w:rsidR="00EE6BD0" w:rsidRPr="006779C3">
        <w:rPr>
          <w:rStyle w:val="FootnoteReference"/>
          <w:rFonts w:asciiTheme="minorHAnsi" w:hAnsiTheme="minorHAnsi" w:cs="Calibri"/>
          <w:color w:val="000000"/>
          <w:sz w:val="24"/>
          <w:szCs w:val="24"/>
        </w:rPr>
        <w:footnoteReference w:id="9"/>
      </w:r>
    </w:p>
    <w:p w14:paraId="23F57B8C" w14:textId="77777777" w:rsidR="006525D2" w:rsidRPr="006779C3" w:rsidRDefault="006525D2" w:rsidP="006525D2">
      <w:pPr>
        <w:pStyle w:val="ListParagraph"/>
        <w:rPr>
          <w:rFonts w:asciiTheme="minorHAnsi" w:hAnsiTheme="minorHAnsi" w:cs="Calibri"/>
          <w:color w:val="000000"/>
          <w:sz w:val="24"/>
          <w:szCs w:val="24"/>
        </w:rPr>
      </w:pPr>
    </w:p>
    <w:p w14:paraId="40194193" w14:textId="04CF6483" w:rsidR="006525D2" w:rsidRPr="006779C3" w:rsidRDefault="006525D2" w:rsidP="009F7B67">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lastRenderedPageBreak/>
        <w:t xml:space="preserve">On Monday, September 30, 2019, Student 1 attempted to kiss Student A. Student </w:t>
      </w:r>
      <w:proofErr w:type="gramStart"/>
      <w:r w:rsidRPr="006779C3">
        <w:rPr>
          <w:rFonts w:asciiTheme="minorHAnsi" w:hAnsiTheme="minorHAnsi" w:cs="Calibri"/>
          <w:color w:val="000000"/>
          <w:sz w:val="24"/>
          <w:szCs w:val="24"/>
        </w:rPr>
        <w:t>A</w:t>
      </w:r>
      <w:proofErr w:type="gramEnd"/>
      <w:r w:rsidRPr="006779C3">
        <w:rPr>
          <w:rFonts w:asciiTheme="minorHAnsi" w:hAnsiTheme="minorHAnsi" w:cs="Calibri"/>
          <w:color w:val="000000"/>
          <w:sz w:val="24"/>
          <w:szCs w:val="24"/>
        </w:rPr>
        <w:t xml:space="preserve"> resisted Student 1. The district responded by moving Student 1’s desk away from Student A’s desk. The district also incorporated new safety measures into Student 1’s safety plan. </w:t>
      </w:r>
    </w:p>
    <w:p w14:paraId="4174CA17" w14:textId="77777777" w:rsidR="006525D2" w:rsidRPr="006779C3" w:rsidRDefault="006525D2" w:rsidP="006525D2">
      <w:pPr>
        <w:pStyle w:val="ListParagraph"/>
        <w:rPr>
          <w:rFonts w:asciiTheme="minorHAnsi" w:hAnsiTheme="minorHAnsi" w:cs="Calibri"/>
          <w:color w:val="000000"/>
          <w:sz w:val="24"/>
          <w:szCs w:val="24"/>
        </w:rPr>
      </w:pPr>
    </w:p>
    <w:p w14:paraId="532AC0C8" w14:textId="59FAE5A9" w:rsidR="006525D2" w:rsidRPr="006779C3" w:rsidRDefault="006525D2" w:rsidP="006525D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Following the September </w:t>
      </w:r>
      <w:proofErr w:type="gramStart"/>
      <w:r w:rsidRPr="006779C3">
        <w:rPr>
          <w:rFonts w:asciiTheme="minorHAnsi" w:hAnsiTheme="minorHAnsi" w:cs="Calibri"/>
          <w:color w:val="000000"/>
          <w:sz w:val="24"/>
          <w:szCs w:val="24"/>
        </w:rPr>
        <w:t>30th</w:t>
      </w:r>
      <w:proofErr w:type="gramEnd"/>
      <w:r w:rsidRPr="006779C3">
        <w:rPr>
          <w:rFonts w:asciiTheme="minorHAnsi" w:hAnsiTheme="minorHAnsi" w:cs="Calibri"/>
          <w:color w:val="000000"/>
          <w:sz w:val="24"/>
          <w:szCs w:val="24"/>
        </w:rPr>
        <w:t xml:space="preserve"> incident, Student A told Parents about the incident. Parents contacted Teacher through the district’s messaging application. Parents expressed an interest in meeting with Teacher about the incident. On October 1,</w:t>
      </w:r>
      <w:r w:rsidR="00315E9F" w:rsidRPr="006779C3">
        <w:rPr>
          <w:rFonts w:asciiTheme="minorHAnsi" w:hAnsiTheme="minorHAnsi" w:cs="Calibri"/>
          <w:color w:val="000000"/>
          <w:sz w:val="24"/>
          <w:szCs w:val="24"/>
        </w:rPr>
        <w:t xml:space="preserve"> </w:t>
      </w:r>
      <w:r w:rsidRPr="006779C3">
        <w:rPr>
          <w:rFonts w:asciiTheme="minorHAnsi" w:hAnsiTheme="minorHAnsi" w:cs="Calibri"/>
          <w:color w:val="000000"/>
          <w:sz w:val="24"/>
          <w:szCs w:val="24"/>
        </w:rPr>
        <w:t xml:space="preserve">2019, Parents met with Teacher to discuss the incident. Teacher informed Parents about the </w:t>
      </w:r>
      <w:r w:rsidR="00315E9F" w:rsidRPr="006779C3">
        <w:rPr>
          <w:rFonts w:asciiTheme="minorHAnsi" w:hAnsiTheme="minorHAnsi" w:cs="Calibri"/>
          <w:color w:val="000000"/>
          <w:sz w:val="24"/>
          <w:szCs w:val="24"/>
        </w:rPr>
        <w:t>procedures implemented and measures taken by the district to stop future incidents from occurring.</w:t>
      </w:r>
    </w:p>
    <w:p w14:paraId="5F5D6DB5" w14:textId="77777777" w:rsidR="00315E9F" w:rsidRPr="006779C3" w:rsidRDefault="00315E9F" w:rsidP="00315E9F">
      <w:pPr>
        <w:pStyle w:val="ListParagraph"/>
        <w:rPr>
          <w:rFonts w:asciiTheme="minorHAnsi" w:hAnsiTheme="minorHAnsi" w:cs="Calibri"/>
          <w:color w:val="000000"/>
          <w:sz w:val="24"/>
          <w:szCs w:val="24"/>
        </w:rPr>
      </w:pPr>
    </w:p>
    <w:p w14:paraId="094962BC" w14:textId="1DDC415C" w:rsidR="00315E9F" w:rsidRPr="006779C3" w:rsidRDefault="00315E9F" w:rsidP="006525D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October 4, 2019, Student 1 chased Student A during recess. </w:t>
      </w:r>
    </w:p>
    <w:p w14:paraId="71D71F0E" w14:textId="77777777" w:rsidR="00315E9F" w:rsidRPr="006779C3" w:rsidRDefault="00315E9F" w:rsidP="00315E9F">
      <w:pPr>
        <w:pStyle w:val="ListParagraph"/>
        <w:rPr>
          <w:rFonts w:asciiTheme="minorHAnsi" w:hAnsiTheme="minorHAnsi" w:cs="Calibri"/>
          <w:color w:val="000000"/>
          <w:sz w:val="24"/>
          <w:szCs w:val="24"/>
        </w:rPr>
      </w:pPr>
    </w:p>
    <w:p w14:paraId="25C42BF5" w14:textId="28B00E71" w:rsidR="00315E9F" w:rsidRPr="006779C3" w:rsidRDefault="00315E9F" w:rsidP="006525D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October 7, 2019, Student 1 kissed Student A on the lips in class. Later that day</w:t>
      </w:r>
      <w:r w:rsidR="00AC5682" w:rsidRPr="006779C3">
        <w:rPr>
          <w:rFonts w:asciiTheme="minorHAnsi" w:hAnsiTheme="minorHAnsi" w:cs="Calibri"/>
          <w:color w:val="000000"/>
          <w:sz w:val="24"/>
          <w:szCs w:val="24"/>
        </w:rPr>
        <w:t xml:space="preserve"> in music class</w:t>
      </w:r>
      <w:r w:rsidRPr="006779C3">
        <w:rPr>
          <w:rFonts w:asciiTheme="minorHAnsi" w:hAnsiTheme="minorHAnsi" w:cs="Calibri"/>
          <w:color w:val="000000"/>
          <w:sz w:val="24"/>
          <w:szCs w:val="24"/>
        </w:rPr>
        <w:t xml:space="preserve">, Student 1 tackled Student A, pinned Student A’s shoulders to the ground, and attempted to kiss </w:t>
      </w:r>
      <w:r w:rsidR="004905DC" w:rsidRPr="006779C3">
        <w:rPr>
          <w:rFonts w:asciiTheme="minorHAnsi" w:hAnsiTheme="minorHAnsi" w:cs="Calibri"/>
          <w:color w:val="000000"/>
          <w:sz w:val="24"/>
          <w:szCs w:val="24"/>
        </w:rPr>
        <w:t>Student A</w:t>
      </w:r>
      <w:r w:rsidRPr="006779C3">
        <w:rPr>
          <w:rFonts w:asciiTheme="minorHAnsi" w:hAnsiTheme="minorHAnsi" w:cs="Calibri"/>
          <w:color w:val="000000"/>
          <w:sz w:val="24"/>
          <w:szCs w:val="24"/>
        </w:rPr>
        <w:t xml:space="preserve">. Student A reported the incident to </w:t>
      </w:r>
      <w:r w:rsidR="00AC5682" w:rsidRPr="006779C3">
        <w:rPr>
          <w:rFonts w:asciiTheme="minorHAnsi" w:hAnsiTheme="minorHAnsi" w:cs="Calibri"/>
          <w:color w:val="000000"/>
          <w:sz w:val="24"/>
          <w:szCs w:val="24"/>
        </w:rPr>
        <w:t>the music teacher</w:t>
      </w:r>
      <w:r w:rsidRPr="006779C3">
        <w:rPr>
          <w:rFonts w:asciiTheme="minorHAnsi" w:hAnsiTheme="minorHAnsi" w:cs="Calibri"/>
          <w:color w:val="000000"/>
          <w:sz w:val="24"/>
          <w:szCs w:val="24"/>
        </w:rPr>
        <w:t>. Student A also reported that Student 1 had attempted to kiss them on other occasions. The district responded by giving Student 1 a referral.</w:t>
      </w:r>
    </w:p>
    <w:p w14:paraId="2F293C82" w14:textId="77777777" w:rsidR="00315E9F" w:rsidRPr="006779C3" w:rsidRDefault="00315E9F" w:rsidP="00315E9F">
      <w:pPr>
        <w:pStyle w:val="ListParagraph"/>
        <w:rPr>
          <w:rFonts w:asciiTheme="minorHAnsi" w:hAnsiTheme="minorHAnsi" w:cs="Calibri"/>
          <w:color w:val="000000"/>
          <w:sz w:val="24"/>
          <w:szCs w:val="24"/>
        </w:rPr>
      </w:pPr>
    </w:p>
    <w:p w14:paraId="0F9A57DC" w14:textId="1E357B1F" w:rsidR="00315E9F" w:rsidRPr="006779C3" w:rsidRDefault="001029C2" w:rsidP="006525D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October 8</w:t>
      </w:r>
      <w:r w:rsidR="00315E9F" w:rsidRPr="006779C3">
        <w:rPr>
          <w:rFonts w:asciiTheme="minorHAnsi" w:hAnsiTheme="minorHAnsi" w:cs="Calibri"/>
          <w:color w:val="000000"/>
          <w:sz w:val="24"/>
          <w:szCs w:val="24"/>
        </w:rPr>
        <w:t>, 2019, Student 1 attempte</w:t>
      </w:r>
      <w:r w:rsidRPr="006779C3">
        <w:rPr>
          <w:rFonts w:asciiTheme="minorHAnsi" w:hAnsiTheme="minorHAnsi" w:cs="Calibri"/>
          <w:color w:val="000000"/>
          <w:sz w:val="24"/>
          <w:szCs w:val="24"/>
        </w:rPr>
        <w:t xml:space="preserve">d to kiss Student </w:t>
      </w:r>
      <w:proofErr w:type="gramStart"/>
      <w:r w:rsidRPr="006779C3">
        <w:rPr>
          <w:rFonts w:asciiTheme="minorHAnsi" w:hAnsiTheme="minorHAnsi" w:cs="Calibri"/>
          <w:color w:val="000000"/>
          <w:sz w:val="24"/>
          <w:szCs w:val="24"/>
        </w:rPr>
        <w:t>A</w:t>
      </w:r>
      <w:proofErr w:type="gramEnd"/>
      <w:r w:rsidR="00A15E08" w:rsidRPr="006779C3">
        <w:rPr>
          <w:rFonts w:asciiTheme="minorHAnsi" w:hAnsiTheme="minorHAnsi" w:cs="Calibri"/>
          <w:color w:val="000000"/>
          <w:sz w:val="24"/>
          <w:szCs w:val="24"/>
        </w:rPr>
        <w:t xml:space="preserve"> in class</w:t>
      </w:r>
      <w:r w:rsidRPr="006779C3">
        <w:rPr>
          <w:rFonts w:asciiTheme="minorHAnsi" w:hAnsiTheme="minorHAnsi" w:cs="Calibri"/>
          <w:color w:val="000000"/>
          <w:sz w:val="24"/>
          <w:szCs w:val="24"/>
        </w:rPr>
        <w:t xml:space="preserve">. After failing to kiss Student A in the first instance, Student 1 crawled under classroom tables to where Student A was sitting and kissed Student A on the leg. </w:t>
      </w:r>
    </w:p>
    <w:p w14:paraId="422D7418" w14:textId="77777777" w:rsidR="001029C2" w:rsidRPr="006779C3" w:rsidRDefault="001029C2" w:rsidP="001029C2">
      <w:pPr>
        <w:pStyle w:val="ListParagraph"/>
        <w:rPr>
          <w:rFonts w:asciiTheme="minorHAnsi" w:hAnsiTheme="minorHAnsi" w:cs="Calibri"/>
          <w:color w:val="000000"/>
          <w:sz w:val="24"/>
          <w:szCs w:val="24"/>
        </w:rPr>
      </w:pPr>
    </w:p>
    <w:p w14:paraId="4E4EDAD1" w14:textId="09A68BD5" w:rsidR="001029C2" w:rsidRPr="006779C3" w:rsidRDefault="001029C2" w:rsidP="006525D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October 9, 2019, the district implemented a classroom behavior plan for Student 1.</w:t>
      </w:r>
      <w:r w:rsidRPr="006779C3">
        <w:rPr>
          <w:rStyle w:val="FootnoteReference"/>
          <w:rFonts w:asciiTheme="minorHAnsi" w:hAnsiTheme="minorHAnsi" w:cs="Calibri"/>
          <w:color w:val="000000"/>
          <w:sz w:val="24"/>
          <w:szCs w:val="24"/>
        </w:rPr>
        <w:footnoteReference w:id="10"/>
      </w:r>
      <w:r w:rsidRPr="006779C3">
        <w:rPr>
          <w:rFonts w:asciiTheme="minorHAnsi" w:hAnsiTheme="minorHAnsi" w:cs="Calibri"/>
          <w:color w:val="000000"/>
          <w:sz w:val="24"/>
          <w:szCs w:val="24"/>
        </w:rPr>
        <w:t xml:space="preserve"> Part of the plan included removing Student 1 from the classroom when </w:t>
      </w:r>
      <w:r w:rsidR="002E0DD3" w:rsidRPr="006779C3">
        <w:rPr>
          <w:rFonts w:asciiTheme="minorHAnsi" w:hAnsiTheme="minorHAnsi" w:cs="Calibri"/>
          <w:color w:val="000000"/>
          <w:sz w:val="24"/>
          <w:szCs w:val="24"/>
        </w:rPr>
        <w:t>Student 1</w:t>
      </w:r>
      <w:r w:rsidRPr="006779C3">
        <w:rPr>
          <w:rFonts w:asciiTheme="minorHAnsi" w:hAnsiTheme="minorHAnsi" w:cs="Calibri"/>
          <w:color w:val="000000"/>
          <w:sz w:val="24"/>
          <w:szCs w:val="24"/>
        </w:rPr>
        <w:t xml:space="preserve"> exhibited certain behaviors.</w:t>
      </w:r>
    </w:p>
    <w:p w14:paraId="0B8D3F34" w14:textId="77777777" w:rsidR="001029C2" w:rsidRPr="006779C3" w:rsidRDefault="001029C2" w:rsidP="001029C2">
      <w:pPr>
        <w:pStyle w:val="ListParagraph"/>
        <w:rPr>
          <w:rFonts w:asciiTheme="minorHAnsi" w:hAnsiTheme="minorHAnsi" w:cs="Calibri"/>
          <w:color w:val="000000"/>
          <w:sz w:val="24"/>
          <w:szCs w:val="24"/>
        </w:rPr>
      </w:pPr>
    </w:p>
    <w:p w14:paraId="2B6CE4AB" w14:textId="2D5B208F" w:rsidR="001029C2" w:rsidRPr="006779C3" w:rsidRDefault="001029C2" w:rsidP="006525D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October 14, 2019, Student 1 attempted to kiss Student A during PE class. The PE teacher intervened to prevent Student 1 from doing so. Student 1 exhibited other disruptive behavior on this occasion. The district responded by giving Student 1 a referral. </w:t>
      </w:r>
    </w:p>
    <w:p w14:paraId="27A75DAB" w14:textId="77777777" w:rsidR="001029C2" w:rsidRPr="006779C3" w:rsidRDefault="001029C2" w:rsidP="001029C2">
      <w:pPr>
        <w:pStyle w:val="ListParagraph"/>
        <w:rPr>
          <w:rFonts w:asciiTheme="minorHAnsi" w:hAnsiTheme="minorHAnsi" w:cs="Calibri"/>
          <w:color w:val="000000"/>
          <w:sz w:val="24"/>
          <w:szCs w:val="24"/>
        </w:rPr>
      </w:pPr>
    </w:p>
    <w:p w14:paraId="332CE6F6" w14:textId="081E7A32" w:rsidR="001029C2" w:rsidRPr="006779C3" w:rsidRDefault="001029C2"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October 16</w:t>
      </w:r>
      <w:r w:rsidR="00F37694" w:rsidRPr="006779C3">
        <w:rPr>
          <w:rFonts w:asciiTheme="minorHAnsi" w:hAnsiTheme="minorHAnsi" w:cs="Calibri"/>
          <w:color w:val="000000"/>
          <w:sz w:val="24"/>
          <w:szCs w:val="24"/>
        </w:rPr>
        <w:t>,</w:t>
      </w:r>
      <w:r w:rsidRPr="006779C3">
        <w:rPr>
          <w:rFonts w:asciiTheme="minorHAnsi" w:hAnsiTheme="minorHAnsi" w:cs="Calibri"/>
          <w:color w:val="000000"/>
          <w:sz w:val="24"/>
          <w:szCs w:val="24"/>
        </w:rPr>
        <w:t xml:space="preserve"> 2019, Student 1 attempted to kiss Student A</w:t>
      </w:r>
      <w:r w:rsidR="00DB7E49" w:rsidRPr="006779C3">
        <w:rPr>
          <w:rFonts w:asciiTheme="minorHAnsi" w:hAnsiTheme="minorHAnsi" w:cs="Calibri"/>
          <w:color w:val="000000"/>
          <w:sz w:val="24"/>
          <w:szCs w:val="24"/>
        </w:rPr>
        <w:t xml:space="preserve"> at lunchtime</w:t>
      </w:r>
      <w:r w:rsidRPr="006779C3">
        <w:rPr>
          <w:rFonts w:asciiTheme="minorHAnsi" w:hAnsiTheme="minorHAnsi" w:cs="Calibri"/>
          <w:color w:val="000000"/>
          <w:sz w:val="24"/>
          <w:szCs w:val="24"/>
        </w:rPr>
        <w:t xml:space="preserve">. Student A blocked Student 1 from doing so, resulting in Student 1 kissing Student A’s arm. Later that day, Parents met with </w:t>
      </w:r>
      <w:r w:rsidR="00EE6BD0" w:rsidRPr="006779C3">
        <w:rPr>
          <w:rFonts w:asciiTheme="minorHAnsi" w:hAnsiTheme="minorHAnsi" w:cs="Calibri"/>
          <w:color w:val="000000"/>
          <w:sz w:val="24"/>
          <w:szCs w:val="24"/>
        </w:rPr>
        <w:t>Administrator 1</w:t>
      </w:r>
      <w:r w:rsidRPr="006779C3">
        <w:rPr>
          <w:rFonts w:asciiTheme="minorHAnsi" w:hAnsiTheme="minorHAnsi" w:cs="Calibri"/>
          <w:color w:val="000000"/>
          <w:sz w:val="24"/>
          <w:szCs w:val="24"/>
        </w:rPr>
        <w:t xml:space="preserve"> and another district administrator (Administrator 2) to discuss Student 1’s behavior toward Student A. Following that meeting, </w:t>
      </w:r>
      <w:r w:rsidR="00EE6BD0" w:rsidRPr="006779C3">
        <w:rPr>
          <w:rFonts w:asciiTheme="minorHAnsi" w:hAnsiTheme="minorHAnsi" w:cs="Calibri"/>
          <w:color w:val="000000"/>
          <w:sz w:val="24"/>
          <w:szCs w:val="24"/>
        </w:rPr>
        <w:t>Administrator 1</w:t>
      </w:r>
      <w:r w:rsidRPr="006779C3">
        <w:rPr>
          <w:rFonts w:asciiTheme="minorHAnsi" w:hAnsiTheme="minorHAnsi" w:cs="Calibri"/>
          <w:color w:val="000000"/>
          <w:sz w:val="24"/>
          <w:szCs w:val="24"/>
        </w:rPr>
        <w:t xml:space="preserve"> sent an email to relevant district staff outlini</w:t>
      </w:r>
      <w:r w:rsidR="00B061B3" w:rsidRPr="006779C3">
        <w:rPr>
          <w:rFonts w:asciiTheme="minorHAnsi" w:hAnsiTheme="minorHAnsi" w:cs="Calibri"/>
          <w:color w:val="000000"/>
          <w:sz w:val="24"/>
          <w:szCs w:val="24"/>
        </w:rPr>
        <w:t xml:space="preserve">ng a lunch plan </w:t>
      </w:r>
      <w:r w:rsidR="00B061B3" w:rsidRPr="006779C3">
        <w:rPr>
          <w:rFonts w:asciiTheme="minorHAnsi" w:hAnsiTheme="minorHAnsi" w:cs="Calibri"/>
          <w:color w:val="000000"/>
          <w:sz w:val="24"/>
          <w:szCs w:val="24"/>
        </w:rPr>
        <w:lastRenderedPageBreak/>
        <w:t>for Student 1</w:t>
      </w:r>
      <w:r w:rsidRPr="006779C3">
        <w:rPr>
          <w:rFonts w:asciiTheme="minorHAnsi" w:hAnsiTheme="minorHAnsi" w:cs="Calibri"/>
          <w:color w:val="000000"/>
          <w:sz w:val="24"/>
          <w:szCs w:val="24"/>
        </w:rPr>
        <w:t>.</w:t>
      </w:r>
      <w:r w:rsidR="00466E61" w:rsidRPr="006779C3">
        <w:rPr>
          <w:rFonts w:asciiTheme="minorHAnsi" w:hAnsiTheme="minorHAnsi" w:cs="Calibri"/>
          <w:color w:val="000000"/>
          <w:sz w:val="24"/>
          <w:szCs w:val="24"/>
        </w:rPr>
        <w:t xml:space="preserve"> </w:t>
      </w:r>
      <w:r w:rsidR="00DC2A1B" w:rsidRPr="006779C3">
        <w:rPr>
          <w:rFonts w:asciiTheme="minorHAnsi" w:hAnsiTheme="minorHAnsi" w:cs="Calibri"/>
          <w:color w:val="000000"/>
          <w:sz w:val="24"/>
          <w:szCs w:val="24"/>
        </w:rPr>
        <w:t xml:space="preserve">Under that plan, Student 1 </w:t>
      </w:r>
      <w:proofErr w:type="gramStart"/>
      <w:r w:rsidR="00DC2A1B" w:rsidRPr="006779C3">
        <w:rPr>
          <w:rFonts w:asciiTheme="minorHAnsi" w:hAnsiTheme="minorHAnsi" w:cs="Calibri"/>
          <w:color w:val="000000"/>
          <w:sz w:val="24"/>
          <w:szCs w:val="24"/>
        </w:rPr>
        <w:t>was not allowed</w:t>
      </w:r>
      <w:proofErr w:type="gramEnd"/>
      <w:r w:rsidR="00DC2A1B" w:rsidRPr="006779C3">
        <w:rPr>
          <w:rFonts w:asciiTheme="minorHAnsi" w:hAnsiTheme="minorHAnsi" w:cs="Calibri"/>
          <w:color w:val="000000"/>
          <w:sz w:val="24"/>
          <w:szCs w:val="24"/>
        </w:rPr>
        <w:t xml:space="preserve"> to eat lunch with the class. Student 1 could rejoin the class </w:t>
      </w:r>
      <w:r w:rsidR="002E0DD3" w:rsidRPr="006779C3">
        <w:rPr>
          <w:rFonts w:asciiTheme="minorHAnsi" w:hAnsiTheme="minorHAnsi" w:cs="Calibri"/>
          <w:color w:val="000000"/>
          <w:sz w:val="24"/>
          <w:szCs w:val="24"/>
        </w:rPr>
        <w:t xml:space="preserve">only </w:t>
      </w:r>
      <w:r w:rsidR="00DC2A1B" w:rsidRPr="006779C3">
        <w:rPr>
          <w:rFonts w:asciiTheme="minorHAnsi" w:hAnsiTheme="minorHAnsi" w:cs="Calibri"/>
          <w:color w:val="000000"/>
          <w:sz w:val="24"/>
          <w:szCs w:val="24"/>
        </w:rPr>
        <w:t xml:space="preserve">after eating. </w:t>
      </w:r>
      <w:r w:rsidR="00EE6BD0" w:rsidRPr="006779C3">
        <w:rPr>
          <w:rFonts w:asciiTheme="minorHAnsi" w:hAnsiTheme="minorHAnsi" w:cs="Calibri"/>
          <w:color w:val="000000"/>
          <w:sz w:val="24"/>
          <w:szCs w:val="24"/>
        </w:rPr>
        <w:t>Administrator 1</w:t>
      </w:r>
      <w:r w:rsidR="00466E61" w:rsidRPr="006779C3">
        <w:rPr>
          <w:rFonts w:asciiTheme="minorHAnsi" w:hAnsiTheme="minorHAnsi" w:cs="Calibri"/>
          <w:color w:val="000000"/>
          <w:sz w:val="24"/>
          <w:szCs w:val="24"/>
        </w:rPr>
        <w:t xml:space="preserve"> also sent an email to </w:t>
      </w:r>
      <w:r w:rsidR="00DC2A1B" w:rsidRPr="006779C3">
        <w:rPr>
          <w:rFonts w:asciiTheme="minorHAnsi" w:hAnsiTheme="minorHAnsi" w:cs="Calibri"/>
          <w:color w:val="000000"/>
          <w:sz w:val="24"/>
          <w:szCs w:val="24"/>
        </w:rPr>
        <w:t xml:space="preserve">all </w:t>
      </w:r>
      <w:r w:rsidR="00466E61" w:rsidRPr="006779C3">
        <w:rPr>
          <w:rFonts w:asciiTheme="minorHAnsi" w:hAnsiTheme="minorHAnsi" w:cs="Calibri"/>
          <w:color w:val="000000"/>
          <w:sz w:val="24"/>
          <w:szCs w:val="24"/>
        </w:rPr>
        <w:t xml:space="preserve">relevant teachers, </w:t>
      </w:r>
      <w:r w:rsidR="00DC2A1B" w:rsidRPr="006779C3">
        <w:rPr>
          <w:rFonts w:asciiTheme="minorHAnsi" w:hAnsiTheme="minorHAnsi" w:cs="Calibri"/>
          <w:color w:val="000000"/>
          <w:sz w:val="24"/>
          <w:szCs w:val="24"/>
        </w:rPr>
        <w:t xml:space="preserve">including the music teacher and the PE teacher, </w:t>
      </w:r>
      <w:r w:rsidR="00466E61" w:rsidRPr="006779C3">
        <w:rPr>
          <w:rFonts w:asciiTheme="minorHAnsi" w:hAnsiTheme="minorHAnsi" w:cs="Calibri"/>
          <w:color w:val="000000"/>
          <w:sz w:val="24"/>
          <w:szCs w:val="24"/>
        </w:rPr>
        <w:t xml:space="preserve">directing them </w:t>
      </w:r>
      <w:proofErr w:type="gramStart"/>
      <w:r w:rsidR="00466E61" w:rsidRPr="006779C3">
        <w:rPr>
          <w:rFonts w:asciiTheme="minorHAnsi" w:hAnsiTheme="minorHAnsi" w:cs="Calibri"/>
          <w:color w:val="000000"/>
          <w:sz w:val="24"/>
          <w:szCs w:val="24"/>
        </w:rPr>
        <w:t>to not seat</w:t>
      </w:r>
      <w:proofErr w:type="gramEnd"/>
      <w:r w:rsidR="00466E61" w:rsidRPr="006779C3">
        <w:rPr>
          <w:rFonts w:asciiTheme="minorHAnsi" w:hAnsiTheme="minorHAnsi" w:cs="Calibri"/>
          <w:color w:val="000000"/>
          <w:sz w:val="24"/>
          <w:szCs w:val="24"/>
        </w:rPr>
        <w:t xml:space="preserve"> Student 1 near Student A.</w:t>
      </w:r>
    </w:p>
    <w:p w14:paraId="32EBFDC8" w14:textId="0A720815" w:rsidR="00DA3B77" w:rsidRPr="006779C3" w:rsidRDefault="00DA3B77" w:rsidP="00DA3B77">
      <w:pPr>
        <w:pStyle w:val="ListParagraph"/>
        <w:rPr>
          <w:rFonts w:asciiTheme="minorHAnsi" w:hAnsiTheme="minorHAnsi" w:cs="Calibri"/>
          <w:color w:val="000000"/>
          <w:sz w:val="24"/>
          <w:szCs w:val="24"/>
        </w:rPr>
      </w:pPr>
    </w:p>
    <w:p w14:paraId="3F03EB9A" w14:textId="68650655" w:rsidR="00EE6BD0" w:rsidRPr="006779C3" w:rsidRDefault="00466E61" w:rsidP="00EE6BD0">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October 17, 2019, </w:t>
      </w:r>
      <w:r w:rsidR="00DB7E49" w:rsidRPr="006779C3">
        <w:rPr>
          <w:rFonts w:asciiTheme="minorHAnsi" w:hAnsiTheme="minorHAnsi" w:cs="Calibri"/>
          <w:color w:val="000000"/>
          <w:sz w:val="24"/>
          <w:szCs w:val="24"/>
        </w:rPr>
        <w:t>during lunchtime, after having returned from eating lunch, Student 1 le</w:t>
      </w:r>
      <w:r w:rsidR="00BC3682" w:rsidRPr="006779C3">
        <w:rPr>
          <w:rFonts w:asciiTheme="minorHAnsi" w:hAnsiTheme="minorHAnsi" w:cs="Calibri"/>
          <w:color w:val="000000"/>
          <w:sz w:val="24"/>
          <w:szCs w:val="24"/>
        </w:rPr>
        <w:t>a</w:t>
      </w:r>
      <w:r w:rsidRPr="006779C3">
        <w:rPr>
          <w:rFonts w:asciiTheme="minorHAnsi" w:hAnsiTheme="minorHAnsi" w:cs="Calibri"/>
          <w:color w:val="000000"/>
          <w:sz w:val="24"/>
          <w:szCs w:val="24"/>
        </w:rPr>
        <w:t xml:space="preserve">pt across several tables in an attempt to kiss Student A. In response, the district suspended Student 1 from school for two days. After the incident, Teacher 1 contacted Parents through the district’s messaging application to inform them about the incident. </w:t>
      </w:r>
    </w:p>
    <w:p w14:paraId="0AAC071A" w14:textId="02E364C0" w:rsidR="00A81DEA" w:rsidRPr="006779C3" w:rsidRDefault="00A81DEA" w:rsidP="00A81DEA">
      <w:pPr>
        <w:spacing w:after="0"/>
        <w:jc w:val="both"/>
        <w:rPr>
          <w:rFonts w:asciiTheme="minorHAnsi" w:hAnsiTheme="minorHAnsi" w:cs="Calibri"/>
          <w:color w:val="000000"/>
          <w:sz w:val="24"/>
          <w:szCs w:val="24"/>
        </w:rPr>
      </w:pPr>
    </w:p>
    <w:p w14:paraId="78ADEBF7" w14:textId="2803CD6E" w:rsidR="00466E61" w:rsidRPr="006779C3" w:rsidRDefault="00466E61"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Before Student 1 returned from their suspension, the district moved Student 1 to a new classroom to address Student 1’s behavior toward Student A.</w:t>
      </w:r>
      <w:r w:rsidR="00EE6BD0" w:rsidRPr="006779C3">
        <w:rPr>
          <w:rFonts w:asciiTheme="minorHAnsi" w:hAnsiTheme="minorHAnsi" w:cs="Calibri"/>
          <w:color w:val="000000"/>
          <w:sz w:val="24"/>
          <w:szCs w:val="24"/>
        </w:rPr>
        <w:t xml:space="preserve"> The district also contacted the district’s Title IX coordinator about Student 1’s behavior and launched an investigation to determine whether Student 1 had bullied, harassed, or sexually harassed Student A.</w:t>
      </w:r>
    </w:p>
    <w:p w14:paraId="224F66EC" w14:textId="77777777" w:rsidR="00466E61" w:rsidRPr="006779C3" w:rsidRDefault="00466E61" w:rsidP="00466E61">
      <w:pPr>
        <w:pStyle w:val="ListParagraph"/>
        <w:rPr>
          <w:rFonts w:asciiTheme="minorHAnsi" w:hAnsiTheme="minorHAnsi" w:cs="Calibri"/>
          <w:color w:val="000000"/>
          <w:sz w:val="24"/>
          <w:szCs w:val="24"/>
        </w:rPr>
      </w:pPr>
    </w:p>
    <w:p w14:paraId="60F7ED17" w14:textId="2935EB9D" w:rsidR="00466E61" w:rsidRPr="006779C3" w:rsidRDefault="00466E61"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October 22, 2019, Student 1 attempted to kiss Student A while students were lining up in the hallway. Student A turned their head away from Student 1, resulting in Student 1 kissing Student A’s neck.</w:t>
      </w:r>
    </w:p>
    <w:p w14:paraId="5874B458" w14:textId="77777777" w:rsidR="00466E61" w:rsidRPr="006779C3" w:rsidRDefault="00466E61" w:rsidP="00466E61">
      <w:pPr>
        <w:pStyle w:val="ListParagraph"/>
        <w:rPr>
          <w:rFonts w:asciiTheme="minorHAnsi" w:hAnsiTheme="minorHAnsi" w:cs="Calibri"/>
          <w:color w:val="000000"/>
          <w:sz w:val="24"/>
          <w:szCs w:val="24"/>
        </w:rPr>
      </w:pPr>
    </w:p>
    <w:p w14:paraId="149CA50E" w14:textId="7398007C" w:rsidR="00466E61" w:rsidRPr="006779C3" w:rsidRDefault="00466E61"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On October 23, 2019, the district </w:t>
      </w:r>
      <w:r w:rsidR="00EE6BD0" w:rsidRPr="006779C3">
        <w:rPr>
          <w:rFonts w:asciiTheme="minorHAnsi" w:hAnsiTheme="minorHAnsi" w:cs="Calibri"/>
          <w:color w:val="000000"/>
          <w:sz w:val="24"/>
          <w:szCs w:val="24"/>
        </w:rPr>
        <w:t xml:space="preserve">had completed its investigation of Student 1’s behavior toward Student A and </w:t>
      </w:r>
      <w:r w:rsidRPr="006779C3">
        <w:rPr>
          <w:rFonts w:asciiTheme="minorHAnsi" w:hAnsiTheme="minorHAnsi" w:cs="Calibri"/>
          <w:color w:val="000000"/>
          <w:sz w:val="24"/>
          <w:szCs w:val="24"/>
        </w:rPr>
        <w:t xml:space="preserve">concluded that Student 1 had </w:t>
      </w:r>
      <w:r w:rsidR="00EE6BD0" w:rsidRPr="006779C3">
        <w:rPr>
          <w:rFonts w:asciiTheme="minorHAnsi" w:hAnsiTheme="minorHAnsi" w:cs="Calibri"/>
          <w:color w:val="000000"/>
          <w:sz w:val="24"/>
          <w:szCs w:val="24"/>
        </w:rPr>
        <w:t>bullied, harassed, and sexually harassed Student A</w:t>
      </w:r>
      <w:r w:rsidRPr="006779C3">
        <w:rPr>
          <w:rFonts w:asciiTheme="minorHAnsi" w:hAnsiTheme="minorHAnsi" w:cs="Calibri"/>
          <w:color w:val="000000"/>
          <w:sz w:val="24"/>
          <w:szCs w:val="24"/>
        </w:rPr>
        <w:t xml:space="preserve">. </w:t>
      </w:r>
      <w:r w:rsidR="006C45F0" w:rsidRPr="006779C3">
        <w:rPr>
          <w:rFonts w:asciiTheme="minorHAnsi" w:hAnsiTheme="minorHAnsi" w:cs="Calibri"/>
          <w:color w:val="000000"/>
          <w:sz w:val="24"/>
          <w:szCs w:val="24"/>
        </w:rPr>
        <w:t xml:space="preserve">In the report, the district </w:t>
      </w:r>
      <w:r w:rsidR="00EE6BD0" w:rsidRPr="006779C3">
        <w:rPr>
          <w:rFonts w:asciiTheme="minorHAnsi" w:hAnsiTheme="minorHAnsi" w:cs="Calibri"/>
          <w:color w:val="000000"/>
          <w:sz w:val="24"/>
          <w:szCs w:val="24"/>
        </w:rPr>
        <w:t>found that Student 1 had kissed or attempted to kiss Stu</w:t>
      </w:r>
      <w:r w:rsidR="00DB7E49" w:rsidRPr="006779C3">
        <w:rPr>
          <w:rFonts w:asciiTheme="minorHAnsi" w:hAnsiTheme="minorHAnsi" w:cs="Calibri"/>
          <w:color w:val="000000"/>
          <w:sz w:val="24"/>
          <w:szCs w:val="24"/>
        </w:rPr>
        <w:t>dent A on multiple occasions. The district</w:t>
      </w:r>
      <w:r w:rsidR="00EE6BD0" w:rsidRPr="006779C3">
        <w:rPr>
          <w:rFonts w:asciiTheme="minorHAnsi" w:hAnsiTheme="minorHAnsi" w:cs="Calibri"/>
          <w:color w:val="000000"/>
          <w:sz w:val="24"/>
          <w:szCs w:val="24"/>
        </w:rPr>
        <w:t xml:space="preserve"> </w:t>
      </w:r>
      <w:r w:rsidR="006C45F0" w:rsidRPr="006779C3">
        <w:rPr>
          <w:rFonts w:asciiTheme="minorHAnsi" w:hAnsiTheme="minorHAnsi" w:cs="Calibri"/>
          <w:color w:val="000000"/>
          <w:sz w:val="24"/>
          <w:szCs w:val="24"/>
        </w:rPr>
        <w:t>wrote:</w:t>
      </w:r>
    </w:p>
    <w:p w14:paraId="089436D9" w14:textId="77777777" w:rsidR="006C45F0" w:rsidRPr="006779C3" w:rsidRDefault="006C45F0" w:rsidP="006C45F0">
      <w:pPr>
        <w:pStyle w:val="ListParagraph"/>
        <w:spacing w:after="0"/>
        <w:rPr>
          <w:rFonts w:asciiTheme="minorHAnsi" w:hAnsiTheme="minorHAnsi" w:cstheme="minorHAnsi"/>
          <w:color w:val="000000"/>
          <w:sz w:val="24"/>
          <w:szCs w:val="24"/>
        </w:rPr>
      </w:pPr>
    </w:p>
    <w:p w14:paraId="05221BE1" w14:textId="61E5CC30" w:rsidR="006C45F0" w:rsidRPr="006779C3" w:rsidRDefault="006C45F0" w:rsidP="006C45F0">
      <w:pPr>
        <w:spacing w:after="0"/>
        <w:ind w:left="1800" w:right="1440"/>
        <w:jc w:val="both"/>
        <w:rPr>
          <w:rFonts w:asciiTheme="minorHAnsi" w:hAnsiTheme="minorHAnsi" w:cstheme="minorHAnsi"/>
          <w:color w:val="000000"/>
          <w:sz w:val="24"/>
          <w:szCs w:val="24"/>
        </w:rPr>
      </w:pPr>
      <w:r w:rsidRPr="006779C3">
        <w:rPr>
          <w:rFonts w:asciiTheme="minorHAnsi" w:hAnsiTheme="minorHAnsi" w:cstheme="minorHAnsi"/>
          <w:color w:val="000000"/>
          <w:sz w:val="24"/>
          <w:szCs w:val="24"/>
        </w:rPr>
        <w:t>We have been working with [Student 1] and his parents to help him learn about personal space. The issue is that [Student 1] continues to target [Student A] in his class. [Student A’s] parents have expressed concerned to [Teacher 1]. They have also called administration because [Student A] does not want to come to school and comes home crying each day. They have asked to file a report.</w:t>
      </w:r>
    </w:p>
    <w:p w14:paraId="76833149" w14:textId="08EA7F7E" w:rsidR="006C45F0" w:rsidRPr="006779C3" w:rsidRDefault="006C45F0" w:rsidP="006C45F0">
      <w:pPr>
        <w:pStyle w:val="ListParagraph"/>
        <w:spacing w:after="0"/>
        <w:rPr>
          <w:rFonts w:asciiTheme="minorHAnsi" w:hAnsiTheme="minorHAnsi" w:cstheme="minorHAnsi"/>
          <w:color w:val="000000"/>
          <w:sz w:val="24"/>
          <w:szCs w:val="24"/>
        </w:rPr>
      </w:pPr>
    </w:p>
    <w:p w14:paraId="2729B554" w14:textId="62997EF1" w:rsidR="006C45F0" w:rsidRPr="006779C3" w:rsidRDefault="006C45F0" w:rsidP="006C45F0">
      <w:pPr>
        <w:pStyle w:val="ListParagraph"/>
        <w:spacing w:after="0"/>
        <w:ind w:left="1080"/>
        <w:rPr>
          <w:rFonts w:asciiTheme="minorHAnsi" w:hAnsiTheme="minorHAnsi" w:cstheme="minorHAnsi"/>
          <w:color w:val="000000"/>
          <w:sz w:val="24"/>
          <w:szCs w:val="24"/>
        </w:rPr>
      </w:pPr>
      <w:r w:rsidRPr="006779C3">
        <w:rPr>
          <w:rFonts w:asciiTheme="minorHAnsi" w:hAnsiTheme="minorHAnsi" w:cstheme="minorHAnsi"/>
          <w:color w:val="000000"/>
          <w:sz w:val="24"/>
          <w:szCs w:val="24"/>
        </w:rPr>
        <w:t xml:space="preserve">The report also included a summary of </w:t>
      </w:r>
      <w:r w:rsidRPr="006779C3">
        <w:rPr>
          <w:rFonts w:asciiTheme="minorHAnsi" w:hAnsiTheme="minorHAnsi" w:cs="Calibri"/>
          <w:color w:val="000000"/>
          <w:sz w:val="24"/>
          <w:szCs w:val="24"/>
        </w:rPr>
        <w:t>the procedures implemented and measures taken by the district to intervene on Student A’s behalf.</w:t>
      </w:r>
    </w:p>
    <w:p w14:paraId="4DA35563" w14:textId="77777777" w:rsidR="006C45F0" w:rsidRPr="006779C3" w:rsidRDefault="006C45F0" w:rsidP="006C45F0">
      <w:pPr>
        <w:pStyle w:val="ListParagraph"/>
        <w:spacing w:after="0"/>
        <w:rPr>
          <w:rFonts w:asciiTheme="minorHAnsi" w:hAnsiTheme="minorHAnsi" w:cstheme="minorHAnsi"/>
          <w:color w:val="000000"/>
          <w:sz w:val="24"/>
          <w:szCs w:val="24"/>
        </w:rPr>
      </w:pPr>
    </w:p>
    <w:p w14:paraId="1252BB20" w14:textId="3E81563C" w:rsidR="006C45F0" w:rsidRPr="006779C3" w:rsidRDefault="006C45F0"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lastRenderedPageBreak/>
        <w:t>The district subsequently implemented additional safety measures in Student 1’s safety plan.</w:t>
      </w:r>
      <w:r w:rsidR="007C58FA" w:rsidRPr="006779C3">
        <w:rPr>
          <w:rStyle w:val="FootnoteReference"/>
          <w:rFonts w:asciiTheme="minorHAnsi" w:hAnsiTheme="minorHAnsi" w:cs="Calibri"/>
          <w:color w:val="000000"/>
          <w:sz w:val="24"/>
          <w:szCs w:val="24"/>
        </w:rPr>
        <w:footnoteReference w:id="11"/>
      </w:r>
      <w:r w:rsidRPr="006779C3">
        <w:rPr>
          <w:rFonts w:asciiTheme="minorHAnsi" w:hAnsiTheme="minorHAnsi" w:cs="Calibri"/>
          <w:color w:val="000000"/>
          <w:sz w:val="24"/>
          <w:szCs w:val="24"/>
        </w:rPr>
        <w:t xml:space="preserve"> </w:t>
      </w:r>
      <w:r w:rsidR="00DB7E49" w:rsidRPr="006779C3">
        <w:rPr>
          <w:rFonts w:asciiTheme="minorHAnsi" w:hAnsiTheme="minorHAnsi" w:cs="Calibri"/>
          <w:color w:val="000000"/>
          <w:sz w:val="24"/>
          <w:szCs w:val="24"/>
        </w:rPr>
        <w:t xml:space="preserve">The inclusion of those measures effectively prevented </w:t>
      </w:r>
      <w:r w:rsidRPr="006779C3">
        <w:rPr>
          <w:rFonts w:asciiTheme="minorHAnsi" w:hAnsiTheme="minorHAnsi" w:cs="Calibri"/>
          <w:color w:val="000000"/>
          <w:sz w:val="24"/>
          <w:szCs w:val="24"/>
        </w:rPr>
        <w:t xml:space="preserve">Student A and Student 1 </w:t>
      </w:r>
      <w:r w:rsidR="00DB7E49" w:rsidRPr="006779C3">
        <w:rPr>
          <w:rFonts w:asciiTheme="minorHAnsi" w:hAnsiTheme="minorHAnsi" w:cs="Calibri"/>
          <w:color w:val="000000"/>
          <w:sz w:val="24"/>
          <w:szCs w:val="24"/>
        </w:rPr>
        <w:t xml:space="preserve">from having contact with one another. After the October </w:t>
      </w:r>
      <w:proofErr w:type="gramStart"/>
      <w:r w:rsidR="00DB7E49" w:rsidRPr="006779C3">
        <w:rPr>
          <w:rFonts w:asciiTheme="minorHAnsi" w:hAnsiTheme="minorHAnsi" w:cs="Calibri"/>
          <w:color w:val="000000"/>
          <w:sz w:val="24"/>
          <w:szCs w:val="24"/>
        </w:rPr>
        <w:t>22nd</w:t>
      </w:r>
      <w:proofErr w:type="gramEnd"/>
      <w:r w:rsidR="00DB7E49" w:rsidRPr="006779C3">
        <w:rPr>
          <w:rFonts w:asciiTheme="minorHAnsi" w:hAnsiTheme="minorHAnsi" w:cs="Calibri"/>
          <w:color w:val="000000"/>
          <w:sz w:val="24"/>
          <w:szCs w:val="24"/>
        </w:rPr>
        <w:t xml:space="preserve"> incident, </w:t>
      </w:r>
      <w:r w:rsidR="00EF1B08" w:rsidRPr="006779C3">
        <w:rPr>
          <w:rFonts w:asciiTheme="minorHAnsi" w:hAnsiTheme="minorHAnsi" w:cs="Calibri"/>
          <w:color w:val="000000"/>
          <w:sz w:val="24"/>
          <w:szCs w:val="24"/>
        </w:rPr>
        <w:t>Student A was not subject to any future sexual harassment by Student 1.</w:t>
      </w:r>
    </w:p>
    <w:p w14:paraId="4C35F778" w14:textId="49F4034B" w:rsidR="00EF1B08" w:rsidRPr="006779C3" w:rsidRDefault="00EF1B08" w:rsidP="00EF1B08">
      <w:pPr>
        <w:pStyle w:val="ListParagraph"/>
        <w:spacing w:after="0"/>
        <w:ind w:left="1080"/>
        <w:jc w:val="both"/>
        <w:rPr>
          <w:rFonts w:asciiTheme="minorHAnsi" w:hAnsiTheme="minorHAnsi" w:cs="Calibri"/>
          <w:color w:val="000000"/>
          <w:sz w:val="24"/>
          <w:szCs w:val="24"/>
        </w:rPr>
      </w:pPr>
    </w:p>
    <w:p w14:paraId="4F23F405" w14:textId="5009F40C" w:rsidR="0004100A" w:rsidRPr="006779C3" w:rsidRDefault="00EF1B08" w:rsidP="0004100A">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November 6, 2019, the district provided Parents with an investigative summary from the district’s Title IX coordinator. In the summary, the Title IX coordinator had concluded that Student 1’s behavior constituted sexual harassment. The Title IX coordinator also concluded that the district had taken appropriate corrective action. The summary included a reference to the district’s</w:t>
      </w:r>
      <w:r w:rsidR="0004100A" w:rsidRPr="006779C3">
        <w:rPr>
          <w:rFonts w:asciiTheme="minorHAnsi" w:hAnsiTheme="minorHAnsi" w:cs="Calibri"/>
          <w:color w:val="000000"/>
          <w:sz w:val="24"/>
          <w:szCs w:val="24"/>
        </w:rPr>
        <w:t xml:space="preserve"> appeal procedures.</w:t>
      </w:r>
    </w:p>
    <w:p w14:paraId="44506AD5" w14:textId="77777777" w:rsidR="00EF1B08" w:rsidRPr="006779C3" w:rsidRDefault="00EF1B08" w:rsidP="00EF1B08">
      <w:pPr>
        <w:pStyle w:val="ListParagraph"/>
        <w:rPr>
          <w:rFonts w:asciiTheme="minorHAnsi" w:hAnsiTheme="minorHAnsi" w:cs="Calibri"/>
          <w:color w:val="000000"/>
          <w:sz w:val="24"/>
          <w:szCs w:val="24"/>
        </w:rPr>
      </w:pPr>
    </w:p>
    <w:p w14:paraId="5B862543" w14:textId="68C5C76E" w:rsidR="00EF1B08" w:rsidRPr="006779C3" w:rsidRDefault="00477103"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July 24, 2020</w:t>
      </w:r>
      <w:r w:rsidR="00EF1B08" w:rsidRPr="006779C3">
        <w:rPr>
          <w:rFonts w:asciiTheme="minorHAnsi" w:hAnsiTheme="minorHAnsi" w:cs="Calibri"/>
          <w:color w:val="000000"/>
          <w:sz w:val="24"/>
          <w:szCs w:val="24"/>
        </w:rPr>
        <w:t>, Parents filed this appeal with the Oregon Department of Education. On July 31, 2020, the department requested Parents provide the department with additional information to determine whether Parents had exhausted the district’s complaint process. Parents provided the additional information on August 11, 2020. The department accepted Parents appeal on August 25, 20</w:t>
      </w:r>
      <w:r w:rsidRPr="006779C3">
        <w:rPr>
          <w:rFonts w:asciiTheme="minorHAnsi" w:hAnsiTheme="minorHAnsi" w:cs="Calibri"/>
          <w:color w:val="000000"/>
          <w:sz w:val="24"/>
          <w:szCs w:val="24"/>
        </w:rPr>
        <w:t>20</w:t>
      </w:r>
      <w:r w:rsidR="00EF1B08" w:rsidRPr="006779C3">
        <w:rPr>
          <w:rFonts w:asciiTheme="minorHAnsi" w:hAnsiTheme="minorHAnsi" w:cs="Calibri"/>
          <w:color w:val="000000"/>
          <w:sz w:val="24"/>
          <w:szCs w:val="24"/>
        </w:rPr>
        <w:t>.</w:t>
      </w:r>
    </w:p>
    <w:p w14:paraId="505E0FDA" w14:textId="77777777" w:rsidR="00EF1B08" w:rsidRPr="006779C3" w:rsidRDefault="00EF1B08" w:rsidP="00EF1B08">
      <w:pPr>
        <w:pStyle w:val="ListParagraph"/>
        <w:rPr>
          <w:rFonts w:asciiTheme="minorHAnsi" w:hAnsiTheme="minorHAnsi" w:cs="Calibri"/>
          <w:color w:val="000000"/>
          <w:sz w:val="24"/>
          <w:szCs w:val="24"/>
        </w:rPr>
      </w:pPr>
    </w:p>
    <w:p w14:paraId="790BAFA4" w14:textId="5F5E88F9" w:rsidR="00EF1B08" w:rsidRPr="006779C3" w:rsidRDefault="00477103"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February 21, 2020</w:t>
      </w:r>
      <w:r w:rsidR="00EF1B08" w:rsidRPr="006779C3">
        <w:rPr>
          <w:rFonts w:asciiTheme="minorHAnsi" w:hAnsiTheme="minorHAnsi" w:cs="Calibri"/>
          <w:color w:val="000000"/>
          <w:sz w:val="24"/>
          <w:szCs w:val="24"/>
        </w:rPr>
        <w:t xml:space="preserve">, the department interviewed Parents. As part of that interview, </w:t>
      </w:r>
      <w:r w:rsidR="002C211B" w:rsidRPr="006779C3">
        <w:rPr>
          <w:rFonts w:asciiTheme="minorHAnsi" w:hAnsiTheme="minorHAnsi" w:cs="Calibri"/>
          <w:color w:val="000000"/>
          <w:sz w:val="24"/>
          <w:szCs w:val="24"/>
        </w:rPr>
        <w:t xml:space="preserve">Parents stated that incidents </w:t>
      </w:r>
      <w:r w:rsidR="00423970" w:rsidRPr="006779C3">
        <w:rPr>
          <w:rFonts w:asciiTheme="minorHAnsi" w:hAnsiTheme="minorHAnsi" w:cs="Calibri"/>
          <w:color w:val="000000"/>
          <w:sz w:val="24"/>
          <w:szCs w:val="24"/>
        </w:rPr>
        <w:t xml:space="preserve">involving Student A that had occurred during the 2018-2019 school year – Student A’s kindergarten year – should have </w:t>
      </w:r>
      <w:r w:rsidRPr="006779C3">
        <w:rPr>
          <w:rFonts w:asciiTheme="minorHAnsi" w:hAnsiTheme="minorHAnsi" w:cs="Calibri"/>
          <w:color w:val="000000"/>
          <w:sz w:val="24"/>
          <w:szCs w:val="24"/>
        </w:rPr>
        <w:t xml:space="preserve">put the district on notice about </w:t>
      </w:r>
      <w:r w:rsidR="001167DF" w:rsidRPr="006779C3">
        <w:rPr>
          <w:rFonts w:asciiTheme="minorHAnsi" w:hAnsiTheme="minorHAnsi" w:cs="Calibri"/>
          <w:color w:val="000000"/>
          <w:sz w:val="24"/>
          <w:szCs w:val="24"/>
        </w:rPr>
        <w:t xml:space="preserve">the possibility that similar incidents may occur </w:t>
      </w:r>
      <w:r w:rsidR="00423970" w:rsidRPr="006779C3">
        <w:rPr>
          <w:rFonts w:asciiTheme="minorHAnsi" w:hAnsiTheme="minorHAnsi" w:cs="Calibri"/>
          <w:color w:val="000000"/>
          <w:sz w:val="24"/>
          <w:szCs w:val="24"/>
        </w:rPr>
        <w:t>during the 2019-2020 school year. Parents provided the department with an email sent by them to Administrator 2 on March 13, 2019, listing their concerns about the treatment of Student A by other students.</w:t>
      </w:r>
    </w:p>
    <w:p w14:paraId="2C1C276A" w14:textId="77777777" w:rsidR="00423970" w:rsidRPr="006779C3" w:rsidRDefault="00423970" w:rsidP="00423970">
      <w:pPr>
        <w:pStyle w:val="ListParagraph"/>
        <w:rPr>
          <w:rFonts w:asciiTheme="minorHAnsi" w:hAnsiTheme="minorHAnsi" w:cs="Calibri"/>
          <w:color w:val="000000"/>
          <w:sz w:val="24"/>
          <w:szCs w:val="24"/>
        </w:rPr>
      </w:pPr>
    </w:p>
    <w:p w14:paraId="3F69AADD" w14:textId="571A131C" w:rsidR="00091356" w:rsidRPr="006779C3" w:rsidRDefault="00423970"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On March 3</w:t>
      </w:r>
      <w:r w:rsidR="00451D51" w:rsidRPr="006779C3">
        <w:rPr>
          <w:rFonts w:asciiTheme="minorHAnsi" w:hAnsiTheme="minorHAnsi" w:cs="Calibri"/>
          <w:color w:val="000000"/>
          <w:sz w:val="24"/>
          <w:szCs w:val="24"/>
        </w:rPr>
        <w:t>, 2020</w:t>
      </w:r>
      <w:r w:rsidRPr="006779C3">
        <w:rPr>
          <w:rFonts w:asciiTheme="minorHAnsi" w:hAnsiTheme="minorHAnsi" w:cs="Calibri"/>
          <w:color w:val="000000"/>
          <w:sz w:val="24"/>
          <w:szCs w:val="24"/>
        </w:rPr>
        <w:t xml:space="preserve">, the department interviewed Administrator 1, Administrator 2, the district’s Title IX coordinator, and Teacher 1 about the issues raised on appeal. </w:t>
      </w:r>
      <w:r w:rsidR="007C58FA" w:rsidRPr="006779C3">
        <w:rPr>
          <w:rFonts w:asciiTheme="minorHAnsi" w:hAnsiTheme="minorHAnsi" w:cs="Calibri"/>
          <w:color w:val="000000"/>
          <w:sz w:val="24"/>
          <w:szCs w:val="24"/>
        </w:rPr>
        <w:t xml:space="preserve">During these interviews, the district provided the department with evidence that Student 1’s conduct toward Student A constituted only a small portion of Student 1’s problematic behaviors. The district </w:t>
      </w:r>
      <w:r w:rsidR="00601731" w:rsidRPr="006779C3">
        <w:rPr>
          <w:rFonts w:asciiTheme="minorHAnsi" w:hAnsiTheme="minorHAnsi" w:cs="Calibri"/>
          <w:color w:val="000000"/>
          <w:sz w:val="24"/>
          <w:szCs w:val="24"/>
        </w:rPr>
        <w:t>stated</w:t>
      </w:r>
      <w:r w:rsidR="007C58FA" w:rsidRPr="006779C3">
        <w:rPr>
          <w:rFonts w:asciiTheme="minorHAnsi" w:hAnsiTheme="minorHAnsi" w:cs="Calibri"/>
          <w:color w:val="000000"/>
          <w:sz w:val="24"/>
          <w:szCs w:val="24"/>
        </w:rPr>
        <w:t xml:space="preserve"> that the volume of </w:t>
      </w:r>
      <w:r w:rsidR="0029238C" w:rsidRPr="006779C3">
        <w:rPr>
          <w:rFonts w:asciiTheme="minorHAnsi" w:hAnsiTheme="minorHAnsi" w:cs="Calibri"/>
          <w:color w:val="000000"/>
          <w:sz w:val="24"/>
          <w:szCs w:val="24"/>
        </w:rPr>
        <w:t>misconduct</w:t>
      </w:r>
      <w:r w:rsidR="007C58FA" w:rsidRPr="006779C3">
        <w:rPr>
          <w:rFonts w:asciiTheme="minorHAnsi" w:hAnsiTheme="minorHAnsi" w:cs="Calibri"/>
          <w:color w:val="000000"/>
          <w:sz w:val="24"/>
          <w:szCs w:val="24"/>
        </w:rPr>
        <w:t xml:space="preserve"> exhibited by Student 1 made it difficult </w:t>
      </w:r>
      <w:proofErr w:type="gramStart"/>
      <w:r w:rsidR="007C58FA" w:rsidRPr="006779C3">
        <w:rPr>
          <w:rFonts w:asciiTheme="minorHAnsi" w:hAnsiTheme="minorHAnsi" w:cs="Calibri"/>
          <w:color w:val="000000"/>
          <w:sz w:val="24"/>
          <w:szCs w:val="24"/>
        </w:rPr>
        <w:t>to immediately identify</w:t>
      </w:r>
      <w:proofErr w:type="gramEnd"/>
      <w:r w:rsidR="007C58FA" w:rsidRPr="006779C3">
        <w:rPr>
          <w:rFonts w:asciiTheme="minorHAnsi" w:hAnsiTheme="minorHAnsi" w:cs="Calibri"/>
          <w:color w:val="000000"/>
          <w:sz w:val="24"/>
          <w:szCs w:val="24"/>
        </w:rPr>
        <w:t xml:space="preserve"> the sexual harassment of Student A.</w:t>
      </w:r>
    </w:p>
    <w:p w14:paraId="5C8E4598" w14:textId="77777777" w:rsidR="007C58FA" w:rsidRPr="006779C3" w:rsidRDefault="007C58FA" w:rsidP="007C58FA">
      <w:pPr>
        <w:pStyle w:val="ListParagraph"/>
        <w:rPr>
          <w:rFonts w:asciiTheme="minorHAnsi" w:hAnsiTheme="minorHAnsi" w:cs="Calibri"/>
          <w:color w:val="000000"/>
          <w:sz w:val="24"/>
          <w:szCs w:val="24"/>
        </w:rPr>
      </w:pPr>
    </w:p>
    <w:p w14:paraId="138125A7" w14:textId="3DBCF0A0" w:rsidR="007C58FA" w:rsidRPr="006779C3" w:rsidRDefault="007C58FA" w:rsidP="001029C2">
      <w:pPr>
        <w:pStyle w:val="ListParagraph"/>
        <w:numPr>
          <w:ilvl w:val="0"/>
          <w:numId w:val="22"/>
        </w:numPr>
        <w:spacing w:after="0"/>
        <w:ind w:left="108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During the March </w:t>
      </w:r>
      <w:proofErr w:type="gramStart"/>
      <w:r w:rsidRPr="006779C3">
        <w:rPr>
          <w:rFonts w:asciiTheme="minorHAnsi" w:hAnsiTheme="minorHAnsi" w:cs="Calibri"/>
          <w:color w:val="000000"/>
          <w:sz w:val="24"/>
          <w:szCs w:val="24"/>
        </w:rPr>
        <w:t>3rd</w:t>
      </w:r>
      <w:proofErr w:type="gramEnd"/>
      <w:r w:rsidRPr="006779C3">
        <w:rPr>
          <w:rFonts w:asciiTheme="minorHAnsi" w:hAnsiTheme="minorHAnsi" w:cs="Calibri"/>
          <w:color w:val="000000"/>
          <w:sz w:val="24"/>
          <w:szCs w:val="24"/>
        </w:rPr>
        <w:t xml:space="preserve"> interview, the district provided the department with evidence that the district – shortly after the September 13th incident – began applying the district’s Positive Behavior Intervention and Support policy to Student 1’s behaviors. Under this policy, the district identifies whether problematic behaviors are minor or major.</w:t>
      </w:r>
      <w:r w:rsidRPr="006779C3">
        <w:rPr>
          <w:rStyle w:val="FootnoteReference"/>
          <w:rFonts w:asciiTheme="minorHAnsi" w:hAnsiTheme="minorHAnsi" w:cstheme="minorHAnsi"/>
          <w:sz w:val="24"/>
          <w:szCs w:val="24"/>
        </w:rPr>
        <w:footnoteReference w:id="12"/>
      </w:r>
      <w:r w:rsidRPr="006779C3">
        <w:rPr>
          <w:rFonts w:asciiTheme="minorHAnsi" w:hAnsiTheme="minorHAnsi" w:cs="Calibri"/>
          <w:color w:val="000000"/>
          <w:sz w:val="24"/>
          <w:szCs w:val="24"/>
        </w:rPr>
        <w:t xml:space="preserve"> </w:t>
      </w:r>
      <w:proofErr w:type="gramStart"/>
      <w:r w:rsidRPr="006779C3">
        <w:rPr>
          <w:rFonts w:asciiTheme="minorHAnsi" w:hAnsiTheme="minorHAnsi" w:cs="Calibri"/>
          <w:color w:val="000000"/>
          <w:sz w:val="24"/>
          <w:szCs w:val="24"/>
        </w:rPr>
        <w:t xml:space="preserve">Minor </w:t>
      </w:r>
      <w:r w:rsidR="00601731" w:rsidRPr="006779C3">
        <w:rPr>
          <w:rFonts w:asciiTheme="minorHAnsi" w:hAnsiTheme="minorHAnsi" w:cs="Calibri"/>
          <w:color w:val="000000"/>
          <w:sz w:val="24"/>
          <w:szCs w:val="24"/>
        </w:rPr>
        <w:t>behaviors are managed in the classroom by a classroom teacher</w:t>
      </w:r>
      <w:proofErr w:type="gramEnd"/>
      <w:r w:rsidR="00601731" w:rsidRPr="006779C3">
        <w:rPr>
          <w:rFonts w:asciiTheme="minorHAnsi" w:hAnsiTheme="minorHAnsi" w:cs="Calibri"/>
          <w:color w:val="000000"/>
          <w:sz w:val="24"/>
          <w:szCs w:val="24"/>
        </w:rPr>
        <w:t xml:space="preserve">. </w:t>
      </w:r>
      <w:r w:rsidR="00601731" w:rsidRPr="006779C3">
        <w:rPr>
          <w:rFonts w:asciiTheme="minorHAnsi" w:hAnsiTheme="minorHAnsi" w:cs="Calibri"/>
          <w:color w:val="000000"/>
          <w:sz w:val="24"/>
          <w:szCs w:val="24"/>
        </w:rPr>
        <w:lastRenderedPageBreak/>
        <w:t xml:space="preserve">Major behaviors are so disruptive to the learning environment that they </w:t>
      </w:r>
      <w:proofErr w:type="gramStart"/>
      <w:r w:rsidR="00601731" w:rsidRPr="006779C3">
        <w:rPr>
          <w:rFonts w:asciiTheme="minorHAnsi" w:hAnsiTheme="minorHAnsi" w:cs="Calibri"/>
          <w:color w:val="000000"/>
          <w:sz w:val="24"/>
          <w:szCs w:val="24"/>
        </w:rPr>
        <w:t>are partly managed</w:t>
      </w:r>
      <w:proofErr w:type="gramEnd"/>
      <w:r w:rsidR="00601731" w:rsidRPr="006779C3">
        <w:rPr>
          <w:rFonts w:asciiTheme="minorHAnsi" w:hAnsiTheme="minorHAnsi" w:cs="Calibri"/>
          <w:color w:val="000000"/>
          <w:sz w:val="24"/>
          <w:szCs w:val="24"/>
        </w:rPr>
        <w:t xml:space="preserve"> outside the classroom by administrative staff. During the interview, Administrator 1 provided the department with evidence that the district had documented and addressed Student 1’s behaviors throughout the period in question, first treating them as minor behaviors, then treating them as major behaviors.</w:t>
      </w:r>
    </w:p>
    <w:p w14:paraId="12B036B9" w14:textId="14680F6E" w:rsidR="00E93869" w:rsidRPr="006779C3" w:rsidRDefault="00E93869" w:rsidP="00601731">
      <w:pPr>
        <w:pStyle w:val="ListParagraph"/>
        <w:spacing w:after="0"/>
        <w:ind w:left="0"/>
        <w:rPr>
          <w:rFonts w:asciiTheme="minorHAnsi" w:hAnsiTheme="minorHAnsi" w:cs="Calibri"/>
          <w:b/>
          <w:color w:val="000000"/>
          <w:sz w:val="24"/>
          <w:szCs w:val="24"/>
        </w:rPr>
      </w:pPr>
    </w:p>
    <w:p w14:paraId="1F59FA24" w14:textId="4F412EE0" w:rsidR="003510B1" w:rsidRPr="006779C3" w:rsidRDefault="00ED7D0F" w:rsidP="0099086D">
      <w:pPr>
        <w:pStyle w:val="ListParagraph"/>
        <w:spacing w:after="0"/>
        <w:ind w:left="0"/>
        <w:jc w:val="center"/>
        <w:rPr>
          <w:rFonts w:asciiTheme="minorHAnsi" w:hAnsiTheme="minorHAnsi" w:cs="Calibri"/>
          <w:b/>
          <w:color w:val="000000"/>
          <w:sz w:val="24"/>
          <w:szCs w:val="24"/>
        </w:rPr>
      </w:pPr>
      <w:r w:rsidRPr="006779C3">
        <w:rPr>
          <w:rFonts w:asciiTheme="minorHAnsi" w:hAnsiTheme="minorHAnsi" w:cs="Calibri"/>
          <w:b/>
          <w:color w:val="000000"/>
          <w:sz w:val="24"/>
          <w:szCs w:val="24"/>
        </w:rPr>
        <w:t>A</w:t>
      </w:r>
      <w:r w:rsidR="00515A26" w:rsidRPr="006779C3">
        <w:rPr>
          <w:rFonts w:asciiTheme="minorHAnsi" w:hAnsiTheme="minorHAnsi" w:cs="Calibri"/>
          <w:b/>
          <w:color w:val="000000"/>
          <w:sz w:val="24"/>
          <w:szCs w:val="24"/>
        </w:rPr>
        <w:t>NALYSIS</w:t>
      </w:r>
    </w:p>
    <w:p w14:paraId="67F5A97B" w14:textId="77777777" w:rsidR="00D84F4E" w:rsidRPr="006779C3" w:rsidRDefault="00D84F4E" w:rsidP="00D84F4E">
      <w:pPr>
        <w:spacing w:after="0"/>
        <w:jc w:val="both"/>
        <w:rPr>
          <w:rFonts w:asciiTheme="minorHAnsi" w:hAnsiTheme="minorHAnsi" w:cs="Calibri"/>
          <w:color w:val="000000"/>
          <w:sz w:val="24"/>
          <w:szCs w:val="24"/>
        </w:rPr>
      </w:pPr>
    </w:p>
    <w:p w14:paraId="75F66244" w14:textId="77777777" w:rsidR="00ED7D0F" w:rsidRPr="006779C3" w:rsidRDefault="00ED7D0F"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Under Oregon’s anti-discrimination statute, </w:t>
      </w:r>
    </w:p>
    <w:p w14:paraId="0824CFC8" w14:textId="77777777" w:rsidR="00ED7D0F" w:rsidRPr="006779C3" w:rsidRDefault="00ED7D0F" w:rsidP="00ED7D0F">
      <w:pPr>
        <w:spacing w:after="0"/>
        <w:jc w:val="both"/>
        <w:rPr>
          <w:rFonts w:asciiTheme="minorHAnsi" w:hAnsiTheme="minorHAnsi" w:cs="Calibri"/>
          <w:color w:val="000000"/>
          <w:sz w:val="24"/>
          <w:szCs w:val="24"/>
        </w:rPr>
      </w:pPr>
    </w:p>
    <w:p w14:paraId="0743CF8D"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A person </w:t>
      </w:r>
      <w:proofErr w:type="gramStart"/>
      <w:r w:rsidRPr="006779C3">
        <w:rPr>
          <w:rFonts w:asciiTheme="minorHAnsi" w:hAnsiTheme="minorHAnsi" w:cs="Calibri"/>
          <w:color w:val="000000"/>
          <w:sz w:val="24"/>
          <w:szCs w:val="24"/>
        </w:rPr>
        <w:t>may not be subjected</w:t>
      </w:r>
      <w:proofErr w:type="gramEnd"/>
      <w:r w:rsidRPr="006779C3">
        <w:rPr>
          <w:rFonts w:asciiTheme="minorHAnsi" w:hAnsiTheme="minorHAnsi" w:cs="Calibri"/>
          <w:color w:val="000000"/>
          <w:sz w:val="24"/>
          <w:szCs w:val="24"/>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6779C3">
        <w:rPr>
          <w:rFonts w:asciiTheme="minorHAnsi" w:hAnsiTheme="minorHAnsi" w:cs="Calibri"/>
          <w:color w:val="000000"/>
          <w:sz w:val="24"/>
          <w:szCs w:val="24"/>
          <w:vertAlign w:val="superscript"/>
        </w:rPr>
        <w:footnoteReference w:id="13"/>
      </w:r>
      <w:r w:rsidRPr="006779C3">
        <w:rPr>
          <w:rFonts w:asciiTheme="minorHAnsi" w:hAnsiTheme="minorHAnsi" w:cs="Calibri"/>
          <w:color w:val="000000"/>
          <w:sz w:val="24"/>
          <w:szCs w:val="24"/>
        </w:rPr>
        <w:t xml:space="preserve"> </w:t>
      </w:r>
    </w:p>
    <w:p w14:paraId="4F7E07EC" w14:textId="77777777" w:rsidR="00ED7D0F" w:rsidRPr="006779C3" w:rsidRDefault="00ED7D0F" w:rsidP="00ED7D0F">
      <w:pPr>
        <w:spacing w:after="0"/>
        <w:jc w:val="both"/>
        <w:rPr>
          <w:rFonts w:asciiTheme="minorHAnsi" w:hAnsiTheme="minorHAnsi" w:cs="Calibri"/>
          <w:color w:val="000000"/>
          <w:sz w:val="24"/>
          <w:szCs w:val="24"/>
        </w:rPr>
      </w:pPr>
    </w:p>
    <w:p w14:paraId="3102CF50" w14:textId="77777777" w:rsidR="00ED7D0F" w:rsidRPr="006779C3" w:rsidRDefault="00ED7D0F"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6779C3">
        <w:rPr>
          <w:rFonts w:asciiTheme="minorHAnsi" w:hAnsiTheme="minorHAnsi" w:cs="Calibri"/>
          <w:color w:val="000000"/>
          <w:sz w:val="24"/>
          <w:szCs w:val="24"/>
          <w:vertAlign w:val="superscript"/>
        </w:rPr>
        <w:footnoteReference w:id="14"/>
      </w:r>
    </w:p>
    <w:p w14:paraId="53D7FD17" w14:textId="77777777" w:rsidR="00ED7D0F" w:rsidRPr="006779C3" w:rsidRDefault="00ED7D0F" w:rsidP="00ED7D0F">
      <w:pPr>
        <w:spacing w:after="0"/>
        <w:jc w:val="both"/>
        <w:rPr>
          <w:rFonts w:asciiTheme="minorHAnsi" w:hAnsiTheme="minorHAnsi" w:cs="Calibri"/>
          <w:color w:val="000000"/>
          <w:sz w:val="24"/>
          <w:szCs w:val="24"/>
        </w:rPr>
      </w:pPr>
    </w:p>
    <w:p w14:paraId="20152AB5" w14:textId="77777777" w:rsidR="00ED7D0F" w:rsidRPr="006779C3" w:rsidRDefault="00ED7D0F"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In applying this prohibition to school districts, OAR 581-021-0045(3) specifically states that a school district may not:</w:t>
      </w:r>
    </w:p>
    <w:p w14:paraId="671422F1" w14:textId="77777777" w:rsidR="00ED7D0F" w:rsidRPr="006779C3" w:rsidRDefault="00ED7D0F" w:rsidP="00ED7D0F">
      <w:pPr>
        <w:spacing w:after="0"/>
        <w:jc w:val="both"/>
        <w:rPr>
          <w:rFonts w:asciiTheme="minorHAnsi" w:hAnsiTheme="minorHAnsi" w:cs="Calibri"/>
          <w:color w:val="000000"/>
          <w:sz w:val="24"/>
          <w:szCs w:val="24"/>
        </w:rPr>
      </w:pPr>
    </w:p>
    <w:p w14:paraId="0A8D5271"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ab/>
        <w:t>(a) Treat one person differently from another in determining whether such person satisfies any requirement of condition for the provision of such aid, benefit, or service</w:t>
      </w:r>
      <w:proofErr w:type="gramStart"/>
      <w:r w:rsidRPr="006779C3">
        <w:rPr>
          <w:rFonts w:asciiTheme="minorHAnsi" w:hAnsiTheme="minorHAnsi" w:cs="Calibri"/>
          <w:color w:val="000000"/>
          <w:sz w:val="24"/>
          <w:szCs w:val="24"/>
        </w:rPr>
        <w:t>;</w:t>
      </w:r>
      <w:proofErr w:type="gramEnd"/>
    </w:p>
    <w:p w14:paraId="6AA07930" w14:textId="77777777" w:rsidR="00ED7D0F" w:rsidRPr="006779C3" w:rsidRDefault="00ED7D0F" w:rsidP="00ED7D0F">
      <w:pPr>
        <w:spacing w:after="0"/>
        <w:ind w:left="1440" w:right="1440"/>
        <w:jc w:val="both"/>
        <w:rPr>
          <w:rFonts w:asciiTheme="minorHAnsi" w:hAnsiTheme="minorHAnsi" w:cs="Calibri"/>
          <w:color w:val="000000"/>
          <w:sz w:val="24"/>
          <w:szCs w:val="24"/>
        </w:rPr>
      </w:pPr>
    </w:p>
    <w:p w14:paraId="295612DC"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ab/>
        <w:t>(b) Provide different aid, benefits, or services; or provide aids, benefits, or services in a different manner;</w:t>
      </w:r>
    </w:p>
    <w:p w14:paraId="661E5564" w14:textId="77777777" w:rsidR="00ED7D0F" w:rsidRPr="006779C3" w:rsidRDefault="00ED7D0F" w:rsidP="00ED7D0F">
      <w:pPr>
        <w:spacing w:after="0"/>
        <w:ind w:left="1440" w:right="1440"/>
        <w:jc w:val="both"/>
        <w:rPr>
          <w:rFonts w:asciiTheme="minorHAnsi" w:hAnsiTheme="minorHAnsi" w:cs="Calibri"/>
          <w:color w:val="000000"/>
          <w:sz w:val="24"/>
          <w:szCs w:val="24"/>
        </w:rPr>
      </w:pPr>
    </w:p>
    <w:p w14:paraId="34BEC481"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ab/>
        <w:t>(c) Deny any person such aid, benefit, or service</w:t>
      </w:r>
      <w:proofErr w:type="gramStart"/>
      <w:r w:rsidRPr="006779C3">
        <w:rPr>
          <w:rFonts w:asciiTheme="minorHAnsi" w:hAnsiTheme="minorHAnsi" w:cs="Calibri"/>
          <w:color w:val="000000"/>
          <w:sz w:val="24"/>
          <w:szCs w:val="24"/>
        </w:rPr>
        <w:t>;</w:t>
      </w:r>
      <w:proofErr w:type="gramEnd"/>
    </w:p>
    <w:p w14:paraId="15856747"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ab/>
      </w:r>
    </w:p>
    <w:p w14:paraId="39D7BD2D"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lastRenderedPageBreak/>
        <w:tab/>
        <w:t>(d) Subject any person to separate or different rules of behavior, sanctions, or other treatment</w:t>
      </w:r>
      <w:proofErr w:type="gramStart"/>
      <w:r w:rsidRPr="006779C3">
        <w:rPr>
          <w:rFonts w:asciiTheme="minorHAnsi" w:hAnsiTheme="minorHAnsi" w:cs="Calibri"/>
          <w:color w:val="000000"/>
          <w:sz w:val="24"/>
          <w:szCs w:val="24"/>
        </w:rPr>
        <w:t>;</w:t>
      </w:r>
      <w:proofErr w:type="gramEnd"/>
    </w:p>
    <w:p w14:paraId="24812B89" w14:textId="77777777" w:rsidR="00ED7D0F" w:rsidRPr="006779C3" w:rsidRDefault="00ED7D0F" w:rsidP="00ED7D0F">
      <w:pPr>
        <w:spacing w:after="0"/>
        <w:ind w:left="1440" w:right="1440"/>
        <w:jc w:val="both"/>
        <w:rPr>
          <w:rFonts w:asciiTheme="minorHAnsi" w:hAnsiTheme="minorHAnsi" w:cs="Calibri"/>
          <w:color w:val="000000"/>
          <w:sz w:val="24"/>
          <w:szCs w:val="24"/>
        </w:rPr>
      </w:pPr>
    </w:p>
    <w:p w14:paraId="0A6FE57D"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ab/>
        <w:t>(e) Aid or perpetuate discrimination by joining or remaining a member of any agency or organization which discriminates in providing any aid, benefit, or service to students or employees; [or]</w:t>
      </w:r>
    </w:p>
    <w:p w14:paraId="01C3A12A" w14:textId="77777777" w:rsidR="00ED7D0F" w:rsidRPr="006779C3" w:rsidRDefault="00ED7D0F" w:rsidP="00ED7D0F">
      <w:pPr>
        <w:spacing w:after="0"/>
        <w:ind w:left="1440" w:right="1440"/>
        <w:jc w:val="both"/>
        <w:rPr>
          <w:rFonts w:asciiTheme="minorHAnsi" w:hAnsiTheme="minorHAnsi" w:cs="Calibri"/>
          <w:color w:val="000000"/>
          <w:sz w:val="24"/>
          <w:szCs w:val="24"/>
        </w:rPr>
      </w:pPr>
    </w:p>
    <w:p w14:paraId="490A76F0"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ab/>
      </w:r>
      <w:proofErr w:type="gramStart"/>
      <w:r w:rsidRPr="006779C3">
        <w:rPr>
          <w:rFonts w:asciiTheme="minorHAnsi" w:hAnsiTheme="minorHAnsi" w:cs="Calibri"/>
          <w:color w:val="000000"/>
          <w:sz w:val="24"/>
          <w:szCs w:val="24"/>
        </w:rPr>
        <w:t>(f) Otherwise</w:t>
      </w:r>
      <w:proofErr w:type="gramEnd"/>
      <w:r w:rsidRPr="006779C3">
        <w:rPr>
          <w:rFonts w:asciiTheme="minorHAnsi" w:hAnsiTheme="minorHAnsi" w:cs="Calibri"/>
          <w:color w:val="000000"/>
          <w:sz w:val="24"/>
          <w:szCs w:val="24"/>
        </w:rPr>
        <w:t xml:space="preserve"> limit any person in the enjoyment of any right, privilege, advantage, or opportunity.</w:t>
      </w:r>
    </w:p>
    <w:p w14:paraId="3181B540" w14:textId="77777777" w:rsidR="00ED7D0F" w:rsidRPr="006779C3" w:rsidRDefault="00ED7D0F" w:rsidP="00ED7D0F">
      <w:pPr>
        <w:spacing w:after="0"/>
        <w:ind w:left="1440" w:right="1440"/>
        <w:jc w:val="both"/>
        <w:rPr>
          <w:rFonts w:asciiTheme="minorHAnsi" w:hAnsiTheme="minorHAnsi" w:cs="Calibri"/>
          <w:color w:val="000000"/>
          <w:sz w:val="24"/>
          <w:szCs w:val="24"/>
        </w:rPr>
      </w:pPr>
    </w:p>
    <w:p w14:paraId="58131D7C" w14:textId="6F1ECA93" w:rsidR="00ED7D0F" w:rsidRPr="006779C3" w:rsidRDefault="00ED7D0F" w:rsidP="00ED7D0F">
      <w:pPr>
        <w:spacing w:after="0"/>
        <w:jc w:val="both"/>
        <w:rPr>
          <w:rFonts w:asciiTheme="minorHAnsi" w:hAnsiTheme="minorHAnsi" w:cs="Calibri"/>
          <w:color w:val="000000"/>
          <w:sz w:val="24"/>
          <w:szCs w:val="24"/>
        </w:rPr>
      </w:pPr>
      <w:proofErr w:type="gramStart"/>
      <w:r w:rsidRPr="006779C3">
        <w:rPr>
          <w:rFonts w:asciiTheme="minorHAnsi" w:hAnsiTheme="minorHAnsi" w:cs="Calibri"/>
          <w:color w:val="000000"/>
          <w:sz w:val="24"/>
          <w:szCs w:val="24"/>
        </w:rPr>
        <w:t xml:space="preserve">The question on appeal is whether </w:t>
      </w:r>
      <w:r w:rsidR="00C445FE" w:rsidRPr="006779C3">
        <w:rPr>
          <w:rFonts w:asciiTheme="minorHAnsi" w:hAnsiTheme="minorHAnsi" w:cs="Calibri"/>
          <w:color w:val="000000"/>
          <w:sz w:val="24"/>
          <w:szCs w:val="24"/>
        </w:rPr>
        <w:t>Lincoln County School District</w:t>
      </w:r>
      <w:r w:rsidRPr="006779C3">
        <w:rPr>
          <w:rFonts w:asciiTheme="minorHAnsi" w:hAnsiTheme="minorHAnsi" w:cs="Calibri"/>
          <w:color w:val="000000"/>
          <w:sz w:val="24"/>
          <w:szCs w:val="24"/>
        </w:rPr>
        <w:t xml:space="preserve"> – </w:t>
      </w:r>
      <w:r w:rsidR="00CA5C1A" w:rsidRPr="006779C3">
        <w:rPr>
          <w:rFonts w:asciiTheme="minorHAnsi" w:hAnsiTheme="minorHAnsi" w:cs="Calibri"/>
          <w:color w:val="000000"/>
          <w:sz w:val="24"/>
          <w:szCs w:val="24"/>
        </w:rPr>
        <w:t>in consideration of</w:t>
      </w:r>
      <w:r w:rsidRPr="006779C3">
        <w:rPr>
          <w:rFonts w:asciiTheme="minorHAnsi" w:hAnsiTheme="minorHAnsi" w:cs="Calibri"/>
          <w:color w:val="000000"/>
          <w:sz w:val="24"/>
          <w:szCs w:val="24"/>
        </w:rPr>
        <w:t xml:space="preserve"> the circumstances at hand – violated either ORS 659.850 or OAR 581-021-0045(3)</w:t>
      </w:r>
      <w:r w:rsidR="000D2449" w:rsidRPr="006779C3">
        <w:rPr>
          <w:rFonts w:asciiTheme="minorHAnsi" w:hAnsiTheme="minorHAnsi" w:cs="Calibri"/>
          <w:color w:val="000000"/>
          <w:sz w:val="24"/>
          <w:szCs w:val="24"/>
        </w:rPr>
        <w:t>(b), (c) or (f</w:t>
      </w:r>
      <w:r w:rsidRPr="006779C3">
        <w:rPr>
          <w:rFonts w:asciiTheme="minorHAnsi" w:hAnsiTheme="minorHAnsi" w:cs="Calibri"/>
          <w:color w:val="000000"/>
          <w:sz w:val="24"/>
          <w:szCs w:val="24"/>
        </w:rPr>
        <w:t xml:space="preserve">) by denying Student </w:t>
      </w:r>
      <w:r w:rsidR="00C445FE" w:rsidRPr="006779C3">
        <w:rPr>
          <w:rFonts w:asciiTheme="minorHAnsi" w:hAnsiTheme="minorHAnsi" w:cs="Calibri"/>
          <w:color w:val="000000"/>
          <w:sz w:val="24"/>
          <w:szCs w:val="24"/>
        </w:rPr>
        <w:t>A</w:t>
      </w:r>
      <w:r w:rsidRPr="006779C3">
        <w:rPr>
          <w:rFonts w:asciiTheme="minorHAnsi" w:hAnsiTheme="minorHAnsi" w:cs="Calibri"/>
          <w:color w:val="000000"/>
          <w:sz w:val="24"/>
          <w:szCs w:val="24"/>
        </w:rPr>
        <w:t xml:space="preserve"> </w:t>
      </w:r>
      <w:r w:rsidR="000D2449" w:rsidRPr="006779C3">
        <w:rPr>
          <w:rFonts w:asciiTheme="minorHAnsi" w:hAnsiTheme="minorHAnsi" w:cs="Calibri"/>
          <w:color w:val="000000"/>
          <w:sz w:val="24"/>
          <w:szCs w:val="24"/>
        </w:rPr>
        <w:t xml:space="preserve">an aid, benefit, or service, providing Student A with an aid, benefit, or service in a different manner, </w:t>
      </w:r>
      <w:r w:rsidRPr="006779C3">
        <w:rPr>
          <w:rFonts w:asciiTheme="minorHAnsi" w:hAnsiTheme="minorHAnsi" w:cs="Calibri"/>
          <w:color w:val="000000"/>
          <w:sz w:val="24"/>
          <w:szCs w:val="24"/>
        </w:rPr>
        <w:t xml:space="preserve">or otherwise limiting </w:t>
      </w:r>
      <w:r w:rsidR="000D2449" w:rsidRPr="006779C3">
        <w:rPr>
          <w:rFonts w:asciiTheme="minorHAnsi" w:hAnsiTheme="minorHAnsi" w:cs="Calibri"/>
          <w:color w:val="000000"/>
          <w:sz w:val="24"/>
          <w:szCs w:val="24"/>
        </w:rPr>
        <w:t>Student A’s</w:t>
      </w:r>
      <w:r w:rsidRPr="006779C3">
        <w:rPr>
          <w:rFonts w:asciiTheme="minorHAnsi" w:hAnsiTheme="minorHAnsi" w:cs="Calibri"/>
          <w:color w:val="000000"/>
          <w:sz w:val="24"/>
          <w:szCs w:val="24"/>
        </w:rPr>
        <w:t xml:space="preserve"> enjoyment of a right, privilege, or opportunity.</w:t>
      </w:r>
      <w:proofErr w:type="gramEnd"/>
    </w:p>
    <w:p w14:paraId="5D854B7A" w14:textId="77777777" w:rsidR="00ED7D0F" w:rsidRPr="006779C3" w:rsidRDefault="00ED7D0F" w:rsidP="00ED7D0F">
      <w:pPr>
        <w:spacing w:after="0"/>
        <w:jc w:val="both"/>
        <w:rPr>
          <w:rFonts w:asciiTheme="minorHAnsi" w:hAnsiTheme="minorHAnsi" w:cs="Calibri"/>
          <w:color w:val="000000"/>
          <w:sz w:val="24"/>
          <w:szCs w:val="24"/>
        </w:rPr>
      </w:pPr>
    </w:p>
    <w:p w14:paraId="5DAD686D" w14:textId="15DC6A92" w:rsidR="00ED7D0F" w:rsidRPr="006779C3" w:rsidRDefault="00CA5C1A"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In</w:t>
      </w:r>
      <w:r w:rsidR="00ED7D0F" w:rsidRPr="006779C3">
        <w:rPr>
          <w:rFonts w:asciiTheme="minorHAnsi" w:hAnsiTheme="minorHAnsi" w:cs="Calibri"/>
          <w:color w:val="000000"/>
          <w:sz w:val="24"/>
          <w:szCs w:val="24"/>
        </w:rPr>
        <w:t xml:space="preserve"> analyzing </w:t>
      </w:r>
      <w:r w:rsidR="000D2449" w:rsidRPr="006779C3">
        <w:rPr>
          <w:rFonts w:asciiTheme="minorHAnsi" w:hAnsiTheme="minorHAnsi" w:cs="Calibri"/>
          <w:color w:val="000000"/>
          <w:sz w:val="24"/>
          <w:szCs w:val="24"/>
        </w:rPr>
        <w:t>the</w:t>
      </w:r>
      <w:r w:rsidR="00C445FE" w:rsidRPr="006779C3">
        <w:rPr>
          <w:rFonts w:asciiTheme="minorHAnsi" w:hAnsiTheme="minorHAnsi" w:cs="Calibri"/>
          <w:color w:val="000000"/>
          <w:sz w:val="24"/>
          <w:szCs w:val="24"/>
        </w:rPr>
        <w:t xml:space="preserve"> </w:t>
      </w:r>
      <w:r w:rsidR="000D2449" w:rsidRPr="006779C3">
        <w:rPr>
          <w:rFonts w:asciiTheme="minorHAnsi" w:hAnsiTheme="minorHAnsi" w:cs="Calibri"/>
          <w:color w:val="000000"/>
          <w:sz w:val="24"/>
          <w:szCs w:val="24"/>
        </w:rPr>
        <w:t>d</w:t>
      </w:r>
      <w:r w:rsidR="00C445FE" w:rsidRPr="006779C3">
        <w:rPr>
          <w:rFonts w:asciiTheme="minorHAnsi" w:hAnsiTheme="minorHAnsi" w:cs="Calibri"/>
          <w:color w:val="000000"/>
          <w:sz w:val="24"/>
          <w:szCs w:val="24"/>
        </w:rPr>
        <w:t>istrict’s</w:t>
      </w:r>
      <w:r w:rsidR="00ED7D0F" w:rsidRPr="006779C3">
        <w:rPr>
          <w:rFonts w:asciiTheme="minorHAnsi" w:hAnsiTheme="minorHAnsi" w:cs="Calibri"/>
          <w:color w:val="000000"/>
          <w:sz w:val="24"/>
          <w:szCs w:val="24"/>
        </w:rPr>
        <w:t xml:space="preserve"> duties with respect to complaints alleging discrimination, the Oregon Department of Education relies on the federal anti-discrimination laws known as Title IX</w:t>
      </w:r>
      <w:r w:rsidR="00ED7D0F" w:rsidRPr="006779C3">
        <w:rPr>
          <w:rFonts w:asciiTheme="minorHAnsi" w:hAnsiTheme="minorHAnsi" w:cs="Calibri"/>
          <w:color w:val="000000"/>
          <w:sz w:val="24"/>
          <w:szCs w:val="24"/>
          <w:vertAlign w:val="superscript"/>
        </w:rPr>
        <w:footnoteReference w:id="15"/>
      </w:r>
      <w:r w:rsidR="00ED7D0F" w:rsidRPr="006779C3">
        <w:rPr>
          <w:rFonts w:asciiTheme="minorHAnsi" w:hAnsiTheme="minorHAnsi" w:cs="Calibri"/>
          <w:color w:val="000000"/>
          <w:sz w:val="24"/>
          <w:szCs w:val="24"/>
        </w:rPr>
        <w:t xml:space="preserve"> and the interpretation of those laws by federal courts and the United States Department of Education’s Office for Civil Rights (Office for Civi</w:t>
      </w:r>
      <w:r w:rsidRPr="006779C3">
        <w:rPr>
          <w:rFonts w:asciiTheme="minorHAnsi" w:hAnsiTheme="minorHAnsi" w:cs="Calibri"/>
          <w:color w:val="000000"/>
          <w:sz w:val="24"/>
          <w:szCs w:val="24"/>
        </w:rPr>
        <w:t xml:space="preserve">l Rights). </w:t>
      </w:r>
      <w:proofErr w:type="gramStart"/>
      <w:r w:rsidRPr="006779C3">
        <w:rPr>
          <w:rFonts w:asciiTheme="minorHAnsi" w:hAnsiTheme="minorHAnsi" w:cs="Calibri"/>
          <w:color w:val="000000"/>
          <w:sz w:val="24"/>
          <w:szCs w:val="24"/>
        </w:rPr>
        <w:t>Because Title IX has</w:t>
      </w:r>
      <w:r w:rsidR="00ED7D0F" w:rsidRPr="006779C3">
        <w:rPr>
          <w:rFonts w:asciiTheme="minorHAnsi" w:hAnsiTheme="minorHAnsi" w:cs="Calibri"/>
          <w:color w:val="000000"/>
          <w:sz w:val="24"/>
          <w:szCs w:val="24"/>
        </w:rPr>
        <w:t xml:space="preserve"> the same intent as ORS 659.850 and OAR 581-021-0045, and because the text of ORS 659.850 and OAR 581-021-0045 allow the statute and rule to be applied broadly, the interpretation of Title IX by federal courts and the Office for Civil Rights is an important tool for the Oregon Department of Education to use in adjudging the application of ORS 659.850 and OAR 581-021-0045.</w:t>
      </w:r>
      <w:proofErr w:type="gramEnd"/>
    </w:p>
    <w:p w14:paraId="608C0705" w14:textId="77777777" w:rsidR="00ED7D0F" w:rsidRPr="006779C3" w:rsidRDefault="00ED7D0F" w:rsidP="00ED7D0F">
      <w:pPr>
        <w:spacing w:after="0"/>
        <w:jc w:val="both"/>
        <w:rPr>
          <w:rFonts w:asciiTheme="minorHAnsi" w:hAnsiTheme="minorHAnsi" w:cs="Calibri"/>
          <w:color w:val="000000"/>
          <w:sz w:val="24"/>
          <w:szCs w:val="24"/>
        </w:rPr>
      </w:pPr>
    </w:p>
    <w:p w14:paraId="7189BB09" w14:textId="184B9B77" w:rsidR="00ED7D0F" w:rsidRPr="006779C3" w:rsidRDefault="00ED7D0F"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In application, Title IX requires educational institutions</w:t>
      </w:r>
      <w:r w:rsidRPr="006779C3">
        <w:rPr>
          <w:rStyle w:val="FootnoteReference"/>
          <w:rFonts w:asciiTheme="minorHAnsi" w:hAnsiTheme="minorHAnsi" w:cs="Calibri"/>
          <w:color w:val="000000"/>
          <w:sz w:val="24"/>
          <w:szCs w:val="24"/>
        </w:rPr>
        <w:footnoteReference w:id="16"/>
      </w:r>
      <w:r w:rsidRPr="006779C3">
        <w:rPr>
          <w:rFonts w:asciiTheme="minorHAnsi" w:hAnsiTheme="minorHAnsi" w:cs="Calibri"/>
          <w:color w:val="000000"/>
          <w:sz w:val="24"/>
          <w:szCs w:val="24"/>
        </w:rPr>
        <w:t xml:space="preserve"> to (1) provide students with a learning environment that is free from sexual harassment and (2) remedy complaints alleging sexual harassment. As explained by the Office for Civil Rights:</w:t>
      </w:r>
    </w:p>
    <w:p w14:paraId="4BD93DC2" w14:textId="77777777" w:rsidR="00ED7D0F" w:rsidRPr="006779C3" w:rsidRDefault="00ED7D0F" w:rsidP="00ED7D0F">
      <w:pPr>
        <w:spacing w:after="0"/>
        <w:jc w:val="both"/>
        <w:rPr>
          <w:rFonts w:asciiTheme="minorHAnsi" w:hAnsiTheme="minorHAnsi" w:cs="Calibri"/>
          <w:color w:val="000000"/>
          <w:sz w:val="24"/>
          <w:szCs w:val="24"/>
        </w:rPr>
      </w:pPr>
    </w:p>
    <w:p w14:paraId="68230E1F" w14:textId="77777777" w:rsidR="00ED7D0F" w:rsidRPr="006779C3" w:rsidRDefault="00ED7D0F" w:rsidP="00ED7D0F">
      <w:pPr>
        <w:spacing w:after="0"/>
        <w:ind w:left="1440" w:right="144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Sexual harassment is unwelcome conduct of a sexual nature. Sexual harassment can include unwelcome sexual advances, requests for sexual favors, and other verbal, nonverbal, or physical conduct of a sexual nature. Sexual harassment of a student can deny or limit, on the basis of sex, the student's ability to participate </w:t>
      </w:r>
      <w:r w:rsidRPr="006779C3">
        <w:rPr>
          <w:rFonts w:asciiTheme="minorHAnsi" w:hAnsiTheme="minorHAnsi" w:cs="Calibri"/>
          <w:color w:val="000000"/>
          <w:sz w:val="24"/>
          <w:szCs w:val="24"/>
        </w:rPr>
        <w:lastRenderedPageBreak/>
        <w:t xml:space="preserve">in or to receive benefits, services, or opportunities [that otherwise would be available to the student]. Sexual harassment of students is, therefore, a form of sex discrimination prohibited by Title </w:t>
      </w:r>
      <w:proofErr w:type="gramStart"/>
      <w:r w:rsidRPr="006779C3">
        <w:rPr>
          <w:rFonts w:asciiTheme="minorHAnsi" w:hAnsiTheme="minorHAnsi" w:cs="Calibri"/>
          <w:color w:val="000000"/>
          <w:sz w:val="24"/>
          <w:szCs w:val="24"/>
        </w:rPr>
        <w:t>IX[</w:t>
      </w:r>
      <w:proofErr w:type="gramEnd"/>
      <w:r w:rsidRPr="006779C3">
        <w:rPr>
          <w:rFonts w:asciiTheme="minorHAnsi" w:hAnsiTheme="minorHAnsi" w:cs="Calibri"/>
          <w:color w:val="000000"/>
          <w:sz w:val="24"/>
          <w:szCs w:val="24"/>
        </w:rPr>
        <w:t>.]</w:t>
      </w:r>
      <w:r w:rsidRPr="006779C3">
        <w:rPr>
          <w:rFonts w:asciiTheme="minorHAnsi" w:hAnsiTheme="minorHAnsi" w:cs="Calibri"/>
          <w:color w:val="000000"/>
          <w:sz w:val="24"/>
          <w:szCs w:val="24"/>
          <w:vertAlign w:val="superscript"/>
        </w:rPr>
        <w:footnoteReference w:id="17"/>
      </w:r>
    </w:p>
    <w:p w14:paraId="23E1A284" w14:textId="77777777" w:rsidR="00ED7D0F" w:rsidRPr="006779C3" w:rsidRDefault="00ED7D0F" w:rsidP="00ED7D0F">
      <w:pPr>
        <w:spacing w:after="0"/>
        <w:jc w:val="both"/>
        <w:rPr>
          <w:rFonts w:asciiTheme="minorHAnsi" w:hAnsiTheme="minorHAnsi" w:cs="Calibri"/>
          <w:color w:val="000000"/>
          <w:sz w:val="24"/>
          <w:szCs w:val="24"/>
        </w:rPr>
      </w:pPr>
    </w:p>
    <w:p w14:paraId="5EAC87AB" w14:textId="77777777" w:rsidR="00182EBA" w:rsidRPr="006779C3" w:rsidRDefault="00182EBA"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Notably, “a student may be sexually harassed by a school employee, another student, or a non-employee third party (e.g., a visiting speaker or visiting athletes).”</w:t>
      </w:r>
      <w:r w:rsidRPr="006779C3">
        <w:rPr>
          <w:rStyle w:val="FootnoteReference"/>
          <w:rFonts w:asciiTheme="minorHAnsi" w:hAnsiTheme="minorHAnsi" w:cs="Calibri"/>
          <w:color w:val="000000"/>
          <w:sz w:val="24"/>
          <w:szCs w:val="24"/>
        </w:rPr>
        <w:footnoteReference w:id="18"/>
      </w:r>
    </w:p>
    <w:p w14:paraId="1D3CC62D" w14:textId="77777777" w:rsidR="00182EBA" w:rsidRPr="006779C3" w:rsidRDefault="00182EBA" w:rsidP="00ED7D0F">
      <w:pPr>
        <w:spacing w:after="0"/>
        <w:jc w:val="both"/>
        <w:rPr>
          <w:rFonts w:asciiTheme="minorHAnsi" w:hAnsiTheme="minorHAnsi" w:cs="Calibri"/>
          <w:color w:val="000000"/>
          <w:sz w:val="24"/>
          <w:szCs w:val="24"/>
        </w:rPr>
      </w:pPr>
    </w:p>
    <w:p w14:paraId="222460F8" w14:textId="68944B9B" w:rsidR="00ED7D0F" w:rsidRPr="006779C3" w:rsidRDefault="00ED7D0F"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In </w:t>
      </w:r>
      <w:r w:rsidR="00182EBA" w:rsidRPr="006779C3">
        <w:rPr>
          <w:rFonts w:asciiTheme="minorHAnsi" w:hAnsiTheme="minorHAnsi" w:cs="Calibri"/>
          <w:color w:val="000000"/>
          <w:sz w:val="24"/>
          <w:szCs w:val="24"/>
        </w:rPr>
        <w:t>short</w:t>
      </w:r>
      <w:r w:rsidRPr="006779C3">
        <w:rPr>
          <w:rFonts w:asciiTheme="minorHAnsi" w:hAnsiTheme="minorHAnsi" w:cs="Calibri"/>
          <w:color w:val="000000"/>
          <w:sz w:val="24"/>
          <w:szCs w:val="24"/>
        </w:rPr>
        <w:t>: failure by an educational institution to provide students with a learning environment that</w:t>
      </w:r>
      <w:r w:rsidR="00182EBA" w:rsidRPr="006779C3">
        <w:rPr>
          <w:rFonts w:asciiTheme="minorHAnsi" w:hAnsiTheme="minorHAnsi" w:cs="Calibri"/>
          <w:color w:val="000000"/>
          <w:sz w:val="24"/>
          <w:szCs w:val="24"/>
        </w:rPr>
        <w:t xml:space="preserve"> is free from sexual harassment —</w:t>
      </w:r>
      <w:r w:rsidRPr="006779C3">
        <w:rPr>
          <w:rFonts w:asciiTheme="minorHAnsi" w:hAnsiTheme="minorHAnsi" w:cs="Calibri"/>
          <w:color w:val="000000"/>
          <w:sz w:val="24"/>
          <w:szCs w:val="24"/>
        </w:rPr>
        <w:t xml:space="preserve"> </w:t>
      </w:r>
      <w:r w:rsidR="00182EBA" w:rsidRPr="006779C3">
        <w:rPr>
          <w:rFonts w:asciiTheme="minorHAnsi" w:hAnsiTheme="minorHAnsi" w:cs="Calibri"/>
          <w:color w:val="000000"/>
          <w:sz w:val="24"/>
          <w:szCs w:val="24"/>
        </w:rPr>
        <w:t xml:space="preserve">whether the source of that sexual harassment is a school employee, another student, or a non-employee third party — </w:t>
      </w:r>
      <w:r w:rsidRPr="006779C3">
        <w:rPr>
          <w:rFonts w:asciiTheme="minorHAnsi" w:hAnsiTheme="minorHAnsi" w:cs="Calibri"/>
          <w:color w:val="000000"/>
          <w:sz w:val="24"/>
          <w:szCs w:val="24"/>
        </w:rPr>
        <w:t xml:space="preserve">and failure by an educational institution to remedy complaints alleging sexual harassment, constitutes, for purposes of ORS 659.850, subjection to discrimination. </w:t>
      </w:r>
    </w:p>
    <w:p w14:paraId="6209EA76" w14:textId="70FE87A4" w:rsidR="00E24D12" w:rsidRPr="006779C3" w:rsidRDefault="00E24D12" w:rsidP="00ED7D0F">
      <w:pPr>
        <w:spacing w:after="0"/>
        <w:jc w:val="both"/>
        <w:rPr>
          <w:rFonts w:asciiTheme="minorHAnsi" w:hAnsiTheme="minorHAnsi" w:cs="Calibri"/>
          <w:color w:val="000000"/>
          <w:sz w:val="24"/>
          <w:szCs w:val="24"/>
        </w:rPr>
      </w:pPr>
    </w:p>
    <w:p w14:paraId="6960283E" w14:textId="6FA6A153" w:rsidR="00E24D12" w:rsidRPr="006779C3" w:rsidRDefault="00E24D12"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The issue on appeal is whether the district appropriately responded to the sexual harassment of Student A by Student 1</w:t>
      </w:r>
      <w:r w:rsidR="004269FB" w:rsidRPr="006779C3">
        <w:rPr>
          <w:rFonts w:asciiTheme="minorHAnsi" w:hAnsiTheme="minorHAnsi" w:cs="Calibri"/>
          <w:color w:val="000000"/>
          <w:sz w:val="24"/>
          <w:szCs w:val="24"/>
        </w:rPr>
        <w:t xml:space="preserve"> </w:t>
      </w:r>
      <w:r w:rsidRPr="006779C3">
        <w:rPr>
          <w:rFonts w:asciiTheme="minorHAnsi" w:hAnsiTheme="minorHAnsi" w:cs="Calibri"/>
          <w:color w:val="000000"/>
          <w:sz w:val="24"/>
          <w:szCs w:val="24"/>
        </w:rPr>
        <w:t>and, thereby, provided Student A with a learning environment free of sexual harassment.</w:t>
      </w:r>
    </w:p>
    <w:p w14:paraId="33FEA2D2" w14:textId="4AB926CF" w:rsidR="00E24D12" w:rsidRPr="006779C3" w:rsidRDefault="00E24D12" w:rsidP="00ED7D0F">
      <w:pPr>
        <w:spacing w:after="0"/>
        <w:jc w:val="both"/>
        <w:rPr>
          <w:rFonts w:asciiTheme="minorHAnsi" w:hAnsiTheme="minorHAnsi" w:cs="Calibri"/>
          <w:color w:val="000000"/>
          <w:sz w:val="24"/>
          <w:szCs w:val="24"/>
        </w:rPr>
      </w:pPr>
    </w:p>
    <w:p w14:paraId="5E929727" w14:textId="34132466" w:rsidR="00091356" w:rsidRPr="006779C3" w:rsidRDefault="00871143"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The department f</w:t>
      </w:r>
      <w:r w:rsidR="00794100" w:rsidRPr="006779C3">
        <w:rPr>
          <w:rFonts w:asciiTheme="minorHAnsi" w:hAnsiTheme="minorHAnsi" w:cs="Calibri"/>
          <w:color w:val="000000"/>
          <w:sz w:val="24"/>
          <w:szCs w:val="24"/>
        </w:rPr>
        <w:t xml:space="preserve">irst finds that the district </w:t>
      </w:r>
      <w:r w:rsidR="00CC754B" w:rsidRPr="006779C3">
        <w:rPr>
          <w:rFonts w:asciiTheme="minorHAnsi" w:hAnsiTheme="minorHAnsi" w:cs="Calibri"/>
          <w:color w:val="000000"/>
          <w:sz w:val="24"/>
          <w:szCs w:val="24"/>
        </w:rPr>
        <w:t xml:space="preserve">had sufficient evidence of the </w:t>
      </w:r>
      <w:r w:rsidR="00794100" w:rsidRPr="006779C3">
        <w:rPr>
          <w:rFonts w:asciiTheme="minorHAnsi" w:hAnsiTheme="minorHAnsi" w:cs="Calibri"/>
          <w:color w:val="000000"/>
          <w:sz w:val="24"/>
          <w:szCs w:val="24"/>
        </w:rPr>
        <w:t>sexual harassment of Student A by Student 1 on October 7, 2019</w:t>
      </w:r>
      <w:r w:rsidR="00CC754B" w:rsidRPr="006779C3">
        <w:rPr>
          <w:rFonts w:asciiTheme="minorHAnsi" w:hAnsiTheme="minorHAnsi" w:cs="Calibri"/>
          <w:color w:val="000000"/>
          <w:sz w:val="24"/>
          <w:szCs w:val="24"/>
        </w:rPr>
        <w:t>, to require district action</w:t>
      </w:r>
      <w:r w:rsidR="00794100" w:rsidRPr="006779C3">
        <w:rPr>
          <w:rFonts w:asciiTheme="minorHAnsi" w:hAnsiTheme="minorHAnsi" w:cs="Calibri"/>
          <w:color w:val="000000"/>
          <w:sz w:val="24"/>
          <w:szCs w:val="24"/>
        </w:rPr>
        <w:t xml:space="preserve">. </w:t>
      </w:r>
      <w:r w:rsidR="00091356" w:rsidRPr="006779C3">
        <w:rPr>
          <w:rFonts w:asciiTheme="minorHAnsi" w:hAnsiTheme="minorHAnsi" w:cs="Calibri"/>
          <w:color w:val="000000"/>
          <w:sz w:val="24"/>
          <w:szCs w:val="24"/>
        </w:rPr>
        <w:t xml:space="preserve">On that date, the district knew about three incidents during which Student 1 either kissed or attempted to kiss Student A, the first occurring on </w:t>
      </w:r>
      <w:r w:rsidR="00601731" w:rsidRPr="006779C3">
        <w:rPr>
          <w:rFonts w:asciiTheme="minorHAnsi" w:hAnsiTheme="minorHAnsi" w:cs="Calibri"/>
          <w:color w:val="000000"/>
          <w:sz w:val="24"/>
          <w:szCs w:val="24"/>
        </w:rPr>
        <w:t>September 30</w:t>
      </w:r>
      <w:r w:rsidR="00091356" w:rsidRPr="006779C3">
        <w:rPr>
          <w:rFonts w:asciiTheme="minorHAnsi" w:hAnsiTheme="minorHAnsi" w:cs="Calibri"/>
          <w:color w:val="000000"/>
          <w:sz w:val="24"/>
          <w:szCs w:val="24"/>
        </w:rPr>
        <w:t>, 2019, the second and third occurring on October 7</w:t>
      </w:r>
      <w:r w:rsidR="00601731" w:rsidRPr="006779C3">
        <w:rPr>
          <w:rFonts w:asciiTheme="minorHAnsi" w:hAnsiTheme="minorHAnsi" w:cs="Calibri"/>
          <w:color w:val="000000"/>
          <w:sz w:val="24"/>
          <w:szCs w:val="24"/>
        </w:rPr>
        <w:t>.</w:t>
      </w:r>
    </w:p>
    <w:p w14:paraId="5E862CFA" w14:textId="77777777" w:rsidR="00091356" w:rsidRPr="006779C3" w:rsidRDefault="00091356" w:rsidP="00ED7D0F">
      <w:pPr>
        <w:spacing w:after="0"/>
        <w:jc w:val="both"/>
        <w:rPr>
          <w:rFonts w:asciiTheme="minorHAnsi" w:hAnsiTheme="minorHAnsi" w:cs="Calibri"/>
          <w:color w:val="000000"/>
          <w:sz w:val="24"/>
          <w:szCs w:val="24"/>
        </w:rPr>
      </w:pPr>
    </w:p>
    <w:p w14:paraId="3C12A8D8" w14:textId="74A54C47" w:rsidR="00E24D12" w:rsidRPr="006779C3" w:rsidRDefault="00601731"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The department acknowledges that t</w:t>
      </w:r>
      <w:r w:rsidR="00794100" w:rsidRPr="006779C3">
        <w:rPr>
          <w:rFonts w:asciiTheme="minorHAnsi" w:hAnsiTheme="minorHAnsi" w:cs="Calibri"/>
          <w:color w:val="000000"/>
          <w:sz w:val="24"/>
          <w:szCs w:val="24"/>
        </w:rPr>
        <w:t xml:space="preserve">he district </w:t>
      </w:r>
      <w:r w:rsidR="00EB7A53" w:rsidRPr="006779C3">
        <w:rPr>
          <w:rFonts w:asciiTheme="minorHAnsi" w:hAnsiTheme="minorHAnsi" w:cs="Calibri"/>
          <w:color w:val="000000"/>
          <w:sz w:val="24"/>
          <w:szCs w:val="24"/>
        </w:rPr>
        <w:t>knew</w:t>
      </w:r>
      <w:r w:rsidR="00794100" w:rsidRPr="006779C3">
        <w:rPr>
          <w:rFonts w:asciiTheme="minorHAnsi" w:hAnsiTheme="minorHAnsi" w:cs="Calibri"/>
          <w:color w:val="000000"/>
          <w:sz w:val="24"/>
          <w:szCs w:val="24"/>
        </w:rPr>
        <w:t xml:space="preserve"> about other incidents involving Student A </w:t>
      </w:r>
      <w:r w:rsidR="00794100" w:rsidRPr="006779C3">
        <w:rPr>
          <w:rFonts w:asciiTheme="minorHAnsi" w:hAnsiTheme="minorHAnsi" w:cs="Calibri"/>
          <w:i/>
          <w:color w:val="000000"/>
          <w:sz w:val="24"/>
          <w:szCs w:val="24"/>
        </w:rPr>
        <w:t>before</w:t>
      </w:r>
      <w:r w:rsidR="00794100" w:rsidRPr="006779C3">
        <w:rPr>
          <w:rFonts w:asciiTheme="minorHAnsi" w:hAnsiTheme="minorHAnsi" w:cs="Calibri"/>
          <w:color w:val="000000"/>
          <w:sz w:val="24"/>
          <w:szCs w:val="24"/>
        </w:rPr>
        <w:t xml:space="preserve"> October 7. On March 13, 2019, </w:t>
      </w:r>
      <w:r w:rsidR="00CC754B" w:rsidRPr="006779C3">
        <w:rPr>
          <w:rFonts w:asciiTheme="minorHAnsi" w:hAnsiTheme="minorHAnsi" w:cs="Calibri"/>
          <w:color w:val="000000"/>
          <w:sz w:val="24"/>
          <w:szCs w:val="24"/>
        </w:rPr>
        <w:t xml:space="preserve">Parents </w:t>
      </w:r>
      <w:r w:rsidR="00794100" w:rsidRPr="006779C3">
        <w:rPr>
          <w:rFonts w:asciiTheme="minorHAnsi" w:hAnsiTheme="minorHAnsi" w:cs="Calibri"/>
          <w:color w:val="000000"/>
          <w:sz w:val="24"/>
          <w:szCs w:val="24"/>
        </w:rPr>
        <w:t xml:space="preserve">informed the district that they had concerns about the treatment of Student A by other students. </w:t>
      </w:r>
      <w:r w:rsidR="00703DEF" w:rsidRPr="006779C3">
        <w:rPr>
          <w:rFonts w:asciiTheme="minorHAnsi" w:hAnsiTheme="minorHAnsi" w:cs="Calibri"/>
          <w:color w:val="000000"/>
          <w:sz w:val="24"/>
          <w:szCs w:val="24"/>
        </w:rPr>
        <w:t xml:space="preserve">On September </w:t>
      </w:r>
      <w:proofErr w:type="gramStart"/>
      <w:r w:rsidR="00703DEF" w:rsidRPr="006779C3">
        <w:rPr>
          <w:rFonts w:asciiTheme="minorHAnsi" w:hAnsiTheme="minorHAnsi" w:cs="Calibri"/>
          <w:color w:val="000000"/>
          <w:sz w:val="24"/>
          <w:szCs w:val="24"/>
        </w:rPr>
        <w:t>13th</w:t>
      </w:r>
      <w:proofErr w:type="gramEnd"/>
      <w:r w:rsidR="00703DEF" w:rsidRPr="006779C3">
        <w:rPr>
          <w:rFonts w:asciiTheme="minorHAnsi" w:hAnsiTheme="minorHAnsi" w:cs="Calibri"/>
          <w:color w:val="000000"/>
          <w:sz w:val="24"/>
          <w:szCs w:val="24"/>
        </w:rPr>
        <w:t xml:space="preserve">, 2019, the district had knowledge that Student 1 punched Student A. </w:t>
      </w:r>
      <w:r w:rsidRPr="006779C3">
        <w:rPr>
          <w:rFonts w:asciiTheme="minorHAnsi" w:hAnsiTheme="minorHAnsi" w:cs="Calibri"/>
          <w:color w:val="000000"/>
          <w:sz w:val="24"/>
          <w:szCs w:val="24"/>
        </w:rPr>
        <w:t xml:space="preserve">On </w:t>
      </w:r>
      <w:r w:rsidR="00794100" w:rsidRPr="006779C3">
        <w:rPr>
          <w:rFonts w:asciiTheme="minorHAnsi" w:hAnsiTheme="minorHAnsi" w:cs="Calibri"/>
          <w:color w:val="000000"/>
          <w:sz w:val="24"/>
          <w:szCs w:val="24"/>
        </w:rPr>
        <w:t>September 30, 2019, the district had knowledge that Student 1 attempted to kiss Student A. On October 4, 2019, the district had knowledge that Student 1 chas</w:t>
      </w:r>
      <w:r w:rsidR="00B61670" w:rsidRPr="006779C3">
        <w:rPr>
          <w:rFonts w:asciiTheme="minorHAnsi" w:hAnsiTheme="minorHAnsi" w:cs="Calibri"/>
          <w:color w:val="000000"/>
          <w:sz w:val="24"/>
          <w:szCs w:val="24"/>
        </w:rPr>
        <w:t xml:space="preserve">ed Student A at recess. However, </w:t>
      </w:r>
      <w:r w:rsidR="00EB7A53" w:rsidRPr="006779C3">
        <w:rPr>
          <w:rFonts w:asciiTheme="minorHAnsi" w:hAnsiTheme="minorHAnsi" w:cs="Calibri"/>
          <w:color w:val="000000"/>
          <w:sz w:val="24"/>
          <w:szCs w:val="24"/>
        </w:rPr>
        <w:t>it was not</w:t>
      </w:r>
      <w:r w:rsidR="00F5280F" w:rsidRPr="006779C3">
        <w:rPr>
          <w:rFonts w:asciiTheme="minorHAnsi" w:hAnsiTheme="minorHAnsi" w:cs="Calibri"/>
          <w:color w:val="000000"/>
          <w:sz w:val="24"/>
          <w:szCs w:val="24"/>
        </w:rPr>
        <w:t xml:space="preserve"> until October 7 that there was sufficient evidence of sexual harassment to invoke the requirements of Title IX law. </w:t>
      </w:r>
      <w:r w:rsidR="003D5BAD" w:rsidRPr="006779C3">
        <w:rPr>
          <w:rFonts w:asciiTheme="minorHAnsi" w:hAnsiTheme="minorHAnsi" w:cs="Calibri"/>
          <w:color w:val="000000"/>
          <w:sz w:val="24"/>
          <w:szCs w:val="24"/>
        </w:rPr>
        <w:t>Before that date,</w:t>
      </w:r>
      <w:r w:rsidR="002F78AB" w:rsidRPr="006779C3">
        <w:rPr>
          <w:rFonts w:asciiTheme="minorHAnsi" w:hAnsiTheme="minorHAnsi" w:cs="Calibri"/>
          <w:color w:val="000000"/>
          <w:sz w:val="24"/>
          <w:szCs w:val="24"/>
        </w:rPr>
        <w:t xml:space="preserve"> the district had evidence of </w:t>
      </w:r>
      <w:r w:rsidR="000718C1" w:rsidRPr="006779C3">
        <w:rPr>
          <w:rFonts w:asciiTheme="minorHAnsi" w:hAnsiTheme="minorHAnsi" w:cs="Calibri"/>
          <w:color w:val="000000"/>
          <w:sz w:val="24"/>
          <w:szCs w:val="24"/>
        </w:rPr>
        <w:t xml:space="preserve">only </w:t>
      </w:r>
      <w:r w:rsidR="002F78AB" w:rsidRPr="006779C3">
        <w:rPr>
          <w:rFonts w:asciiTheme="minorHAnsi" w:hAnsiTheme="minorHAnsi" w:cs="Calibri"/>
          <w:color w:val="000000"/>
          <w:sz w:val="24"/>
          <w:szCs w:val="24"/>
        </w:rPr>
        <w:t xml:space="preserve">the following: (1) </w:t>
      </w:r>
      <w:r w:rsidR="003D5BAD" w:rsidRPr="006779C3">
        <w:rPr>
          <w:rFonts w:asciiTheme="minorHAnsi" w:hAnsiTheme="minorHAnsi" w:cs="Calibri"/>
          <w:color w:val="000000"/>
          <w:sz w:val="24"/>
          <w:szCs w:val="24"/>
        </w:rPr>
        <w:t xml:space="preserve">Parents were generally concerned about the treatment of Student A by other students, </w:t>
      </w:r>
      <w:r w:rsidR="002F78AB" w:rsidRPr="006779C3">
        <w:rPr>
          <w:rFonts w:asciiTheme="minorHAnsi" w:hAnsiTheme="minorHAnsi" w:cs="Calibri"/>
          <w:color w:val="000000"/>
          <w:sz w:val="24"/>
          <w:szCs w:val="24"/>
        </w:rPr>
        <w:t xml:space="preserve">(2) </w:t>
      </w:r>
      <w:r w:rsidR="00EB7A53" w:rsidRPr="006779C3">
        <w:rPr>
          <w:rFonts w:asciiTheme="minorHAnsi" w:hAnsiTheme="minorHAnsi" w:cs="Calibri"/>
          <w:color w:val="000000"/>
          <w:sz w:val="24"/>
          <w:szCs w:val="24"/>
        </w:rPr>
        <w:t>Student 1 acted aggressively toward Student A in a nonsexual manner</w:t>
      </w:r>
      <w:r w:rsidR="000718C1" w:rsidRPr="006779C3">
        <w:rPr>
          <w:rFonts w:asciiTheme="minorHAnsi" w:hAnsiTheme="minorHAnsi" w:cs="Calibri"/>
          <w:color w:val="000000"/>
          <w:sz w:val="24"/>
          <w:szCs w:val="24"/>
        </w:rPr>
        <w:t xml:space="preserve"> on on</w:t>
      </w:r>
      <w:r w:rsidR="00EB7A53" w:rsidRPr="006779C3">
        <w:rPr>
          <w:rFonts w:asciiTheme="minorHAnsi" w:hAnsiTheme="minorHAnsi" w:cs="Calibri"/>
          <w:color w:val="000000"/>
          <w:sz w:val="24"/>
          <w:szCs w:val="24"/>
        </w:rPr>
        <w:t xml:space="preserve">e </w:t>
      </w:r>
      <w:r w:rsidR="000718C1" w:rsidRPr="006779C3">
        <w:rPr>
          <w:rFonts w:asciiTheme="minorHAnsi" w:hAnsiTheme="minorHAnsi" w:cs="Calibri"/>
          <w:color w:val="000000"/>
          <w:sz w:val="24"/>
          <w:szCs w:val="24"/>
        </w:rPr>
        <w:t>occasion</w:t>
      </w:r>
      <w:r w:rsidR="00EB7A53" w:rsidRPr="006779C3">
        <w:rPr>
          <w:rFonts w:asciiTheme="minorHAnsi" w:hAnsiTheme="minorHAnsi" w:cs="Calibri"/>
          <w:color w:val="000000"/>
          <w:sz w:val="24"/>
          <w:szCs w:val="24"/>
        </w:rPr>
        <w:t xml:space="preserve">, </w:t>
      </w:r>
      <w:r w:rsidR="002F78AB" w:rsidRPr="006779C3">
        <w:rPr>
          <w:rFonts w:asciiTheme="minorHAnsi" w:hAnsiTheme="minorHAnsi" w:cs="Calibri"/>
          <w:color w:val="000000"/>
          <w:sz w:val="24"/>
          <w:szCs w:val="24"/>
        </w:rPr>
        <w:t xml:space="preserve">(3) </w:t>
      </w:r>
      <w:r w:rsidR="00EB7A53" w:rsidRPr="006779C3">
        <w:rPr>
          <w:rFonts w:asciiTheme="minorHAnsi" w:hAnsiTheme="minorHAnsi" w:cs="Calibri"/>
          <w:color w:val="000000"/>
          <w:sz w:val="24"/>
          <w:szCs w:val="24"/>
        </w:rPr>
        <w:t xml:space="preserve">Student 1 attempted to kiss Student A on another occasion, and </w:t>
      </w:r>
      <w:r w:rsidR="002F78AB" w:rsidRPr="006779C3">
        <w:rPr>
          <w:rFonts w:asciiTheme="minorHAnsi" w:hAnsiTheme="minorHAnsi" w:cs="Calibri"/>
          <w:color w:val="000000"/>
          <w:sz w:val="24"/>
          <w:szCs w:val="24"/>
        </w:rPr>
        <w:t xml:space="preserve">(4) </w:t>
      </w:r>
      <w:r w:rsidR="00EB7A53" w:rsidRPr="006779C3">
        <w:rPr>
          <w:rFonts w:asciiTheme="minorHAnsi" w:hAnsiTheme="minorHAnsi" w:cs="Calibri"/>
          <w:color w:val="000000"/>
          <w:sz w:val="24"/>
          <w:szCs w:val="24"/>
        </w:rPr>
        <w:t xml:space="preserve">Student 1 chased Student A during recess. In short, </w:t>
      </w:r>
      <w:r w:rsidR="00BF45FB" w:rsidRPr="006779C3">
        <w:rPr>
          <w:rFonts w:asciiTheme="minorHAnsi" w:hAnsiTheme="minorHAnsi" w:cs="Calibri"/>
          <w:color w:val="000000"/>
          <w:sz w:val="24"/>
          <w:szCs w:val="24"/>
        </w:rPr>
        <w:t xml:space="preserve">before </w:t>
      </w:r>
      <w:r w:rsidR="00BF45FB" w:rsidRPr="006779C3">
        <w:rPr>
          <w:rFonts w:asciiTheme="minorHAnsi" w:hAnsiTheme="minorHAnsi" w:cs="Calibri"/>
          <w:color w:val="000000"/>
          <w:sz w:val="24"/>
          <w:szCs w:val="24"/>
        </w:rPr>
        <w:lastRenderedPageBreak/>
        <w:t xml:space="preserve">October 7, </w:t>
      </w:r>
      <w:r w:rsidR="00EB7A53" w:rsidRPr="006779C3">
        <w:rPr>
          <w:rFonts w:asciiTheme="minorHAnsi" w:hAnsiTheme="minorHAnsi" w:cs="Calibri"/>
          <w:color w:val="000000"/>
          <w:sz w:val="24"/>
          <w:szCs w:val="24"/>
        </w:rPr>
        <w:t xml:space="preserve">the district knew that </w:t>
      </w:r>
      <w:r w:rsidR="00BF45FB" w:rsidRPr="006779C3">
        <w:rPr>
          <w:rFonts w:asciiTheme="minorHAnsi" w:hAnsiTheme="minorHAnsi" w:cs="Calibri"/>
          <w:color w:val="000000"/>
          <w:sz w:val="24"/>
          <w:szCs w:val="24"/>
        </w:rPr>
        <w:t xml:space="preserve">Parents were worried about Student A, that </w:t>
      </w:r>
      <w:r w:rsidR="00EB7A53" w:rsidRPr="006779C3">
        <w:rPr>
          <w:rFonts w:asciiTheme="minorHAnsi" w:hAnsiTheme="minorHAnsi" w:cs="Calibri"/>
          <w:color w:val="000000"/>
          <w:sz w:val="24"/>
          <w:szCs w:val="24"/>
        </w:rPr>
        <w:t xml:space="preserve">Student 1 </w:t>
      </w:r>
      <w:r w:rsidR="00BF45FB" w:rsidRPr="006779C3">
        <w:rPr>
          <w:rFonts w:asciiTheme="minorHAnsi" w:hAnsiTheme="minorHAnsi" w:cs="Calibri"/>
          <w:color w:val="000000"/>
          <w:sz w:val="24"/>
          <w:szCs w:val="24"/>
        </w:rPr>
        <w:t xml:space="preserve">exhibited significant behavioral problems, and that Student </w:t>
      </w:r>
      <w:r w:rsidR="002F78AB" w:rsidRPr="006779C3">
        <w:rPr>
          <w:rFonts w:asciiTheme="minorHAnsi" w:hAnsiTheme="minorHAnsi" w:cs="Calibri"/>
          <w:color w:val="000000"/>
          <w:sz w:val="24"/>
          <w:szCs w:val="24"/>
        </w:rPr>
        <w:t xml:space="preserve">1 attempted to kiss Student </w:t>
      </w:r>
      <w:proofErr w:type="gramStart"/>
      <w:r w:rsidR="002F78AB" w:rsidRPr="006779C3">
        <w:rPr>
          <w:rFonts w:asciiTheme="minorHAnsi" w:hAnsiTheme="minorHAnsi" w:cs="Calibri"/>
          <w:color w:val="000000"/>
          <w:sz w:val="24"/>
          <w:szCs w:val="24"/>
        </w:rPr>
        <w:t>A</w:t>
      </w:r>
      <w:proofErr w:type="gramEnd"/>
      <w:r w:rsidR="00D92320" w:rsidRPr="006779C3">
        <w:rPr>
          <w:rFonts w:asciiTheme="minorHAnsi" w:hAnsiTheme="minorHAnsi" w:cs="Calibri"/>
          <w:color w:val="000000"/>
          <w:sz w:val="24"/>
          <w:szCs w:val="24"/>
        </w:rPr>
        <w:t xml:space="preserve"> on one occasion</w:t>
      </w:r>
      <w:r w:rsidR="002F78AB" w:rsidRPr="006779C3">
        <w:rPr>
          <w:rFonts w:asciiTheme="minorHAnsi" w:hAnsiTheme="minorHAnsi" w:cs="Calibri"/>
          <w:color w:val="000000"/>
          <w:sz w:val="24"/>
          <w:szCs w:val="24"/>
        </w:rPr>
        <w:t>.</w:t>
      </w:r>
    </w:p>
    <w:p w14:paraId="07EFFC27" w14:textId="7900AA57" w:rsidR="00D92320" w:rsidRPr="006779C3" w:rsidRDefault="00D92320" w:rsidP="00ED7D0F">
      <w:pPr>
        <w:spacing w:after="0"/>
        <w:jc w:val="both"/>
        <w:rPr>
          <w:rFonts w:asciiTheme="minorHAnsi" w:hAnsiTheme="minorHAnsi" w:cs="Calibri"/>
          <w:color w:val="000000"/>
          <w:sz w:val="24"/>
          <w:szCs w:val="24"/>
        </w:rPr>
      </w:pPr>
    </w:p>
    <w:p w14:paraId="21E9D481" w14:textId="7BACEDD8" w:rsidR="00A15E08" w:rsidRPr="006779C3" w:rsidRDefault="00601731"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Beginning on October 7, the </w:t>
      </w:r>
      <w:r w:rsidR="00A15E08" w:rsidRPr="006779C3">
        <w:rPr>
          <w:rFonts w:asciiTheme="minorHAnsi" w:hAnsiTheme="minorHAnsi" w:cs="Calibri"/>
          <w:color w:val="000000"/>
          <w:sz w:val="24"/>
          <w:szCs w:val="24"/>
        </w:rPr>
        <w:t>district knew about a series of events constituting the sexual harassment of Student A by Student 1</w:t>
      </w:r>
      <w:r w:rsidR="004905DC" w:rsidRPr="006779C3">
        <w:rPr>
          <w:rFonts w:asciiTheme="minorHAnsi" w:hAnsiTheme="minorHAnsi" w:cs="Calibri"/>
          <w:color w:val="000000"/>
          <w:sz w:val="24"/>
          <w:szCs w:val="24"/>
        </w:rPr>
        <w:t>. Importantly, the district knew about these events</w:t>
      </w:r>
      <w:r w:rsidR="00A15E08" w:rsidRPr="006779C3">
        <w:rPr>
          <w:rFonts w:asciiTheme="minorHAnsi" w:hAnsiTheme="minorHAnsi" w:cs="Calibri"/>
          <w:color w:val="000000"/>
          <w:sz w:val="24"/>
          <w:szCs w:val="24"/>
        </w:rPr>
        <w:t xml:space="preserve"> </w:t>
      </w:r>
      <w:r w:rsidR="009541BA" w:rsidRPr="006779C3">
        <w:rPr>
          <w:rFonts w:asciiTheme="minorHAnsi" w:hAnsiTheme="minorHAnsi" w:cs="Calibri"/>
          <w:color w:val="000000"/>
          <w:sz w:val="24"/>
          <w:szCs w:val="24"/>
        </w:rPr>
        <w:t xml:space="preserve">before launching </w:t>
      </w:r>
      <w:r w:rsidR="004905DC" w:rsidRPr="006779C3">
        <w:rPr>
          <w:rFonts w:asciiTheme="minorHAnsi" w:hAnsiTheme="minorHAnsi" w:cs="Calibri"/>
          <w:color w:val="000000"/>
          <w:sz w:val="24"/>
          <w:szCs w:val="24"/>
        </w:rPr>
        <w:t xml:space="preserve">an investigation </w:t>
      </w:r>
      <w:r w:rsidR="009541BA" w:rsidRPr="006779C3">
        <w:rPr>
          <w:rFonts w:asciiTheme="minorHAnsi" w:hAnsiTheme="minorHAnsi" w:cs="Calibri"/>
          <w:color w:val="000000"/>
          <w:sz w:val="24"/>
          <w:szCs w:val="24"/>
        </w:rPr>
        <w:t>to determine whether Student 1 had bullied, harassed, or sexually harassed Student A</w:t>
      </w:r>
      <w:r w:rsidR="00A15E08" w:rsidRPr="006779C3">
        <w:rPr>
          <w:rFonts w:asciiTheme="minorHAnsi" w:hAnsiTheme="minorHAnsi" w:cs="Calibri"/>
          <w:color w:val="000000"/>
          <w:sz w:val="24"/>
          <w:szCs w:val="24"/>
        </w:rPr>
        <w:t xml:space="preserve">. On October 7, Student 1 kissed Student A on the lips in class. Also on October 7, Student 1 tackled Student A in music class, pinned Student A’s shoulders to the ground, and attempted to kiss Student A. The next school day, on October 8, 2019, Student 1 attempted to kiss Student </w:t>
      </w:r>
      <w:proofErr w:type="gramStart"/>
      <w:r w:rsidR="00A15E08" w:rsidRPr="006779C3">
        <w:rPr>
          <w:rFonts w:asciiTheme="minorHAnsi" w:hAnsiTheme="minorHAnsi" w:cs="Calibri"/>
          <w:color w:val="000000"/>
          <w:sz w:val="24"/>
          <w:szCs w:val="24"/>
        </w:rPr>
        <w:t>A</w:t>
      </w:r>
      <w:proofErr w:type="gramEnd"/>
      <w:r w:rsidR="00A15E08" w:rsidRPr="006779C3">
        <w:rPr>
          <w:rFonts w:asciiTheme="minorHAnsi" w:hAnsiTheme="minorHAnsi" w:cs="Calibri"/>
          <w:color w:val="000000"/>
          <w:sz w:val="24"/>
          <w:szCs w:val="24"/>
        </w:rPr>
        <w:t xml:space="preserve"> in class. After failing to kiss Student A in the first instance, Student 1 crawled under classroom tables to where Student A was sitting and kissed Student A on the leg. Four school days later, on October 14, 2019, Student 1 attempted to kiss Student A during PE class. Two school days later, on October 16, 2019, Student 1 attempted to kiss Student A at lunchtime. Student A blocked Student 1 from doing so, resulting in Student 1 kissing Student A’s arm. </w:t>
      </w:r>
      <w:r w:rsidR="004905DC" w:rsidRPr="006779C3">
        <w:rPr>
          <w:rFonts w:asciiTheme="minorHAnsi" w:hAnsiTheme="minorHAnsi" w:cs="Calibri"/>
          <w:color w:val="000000"/>
          <w:sz w:val="24"/>
          <w:szCs w:val="24"/>
        </w:rPr>
        <w:t>Finally, on t</w:t>
      </w:r>
      <w:r w:rsidR="00A15E08" w:rsidRPr="006779C3">
        <w:rPr>
          <w:rFonts w:asciiTheme="minorHAnsi" w:hAnsiTheme="minorHAnsi" w:cs="Calibri"/>
          <w:color w:val="000000"/>
          <w:sz w:val="24"/>
          <w:szCs w:val="24"/>
        </w:rPr>
        <w:t xml:space="preserve">he next school day, during lunchtime, after having returned from eating lunch, Student 1 </w:t>
      </w:r>
      <w:r w:rsidR="00703DEF" w:rsidRPr="006779C3">
        <w:rPr>
          <w:rFonts w:asciiTheme="minorHAnsi" w:hAnsiTheme="minorHAnsi" w:cs="Calibri"/>
          <w:color w:val="000000"/>
          <w:sz w:val="24"/>
          <w:szCs w:val="24"/>
        </w:rPr>
        <w:t>leapt</w:t>
      </w:r>
      <w:r w:rsidR="00A15E08" w:rsidRPr="006779C3">
        <w:rPr>
          <w:rFonts w:asciiTheme="minorHAnsi" w:hAnsiTheme="minorHAnsi" w:cs="Calibri"/>
          <w:color w:val="000000"/>
          <w:sz w:val="24"/>
          <w:szCs w:val="24"/>
        </w:rPr>
        <w:t xml:space="preserve"> across several tables in an attempt to kiss Student A. </w:t>
      </w:r>
      <w:r w:rsidR="009541BA" w:rsidRPr="006779C3">
        <w:rPr>
          <w:rFonts w:asciiTheme="minorHAnsi" w:hAnsiTheme="minorHAnsi" w:cs="Calibri"/>
          <w:color w:val="000000"/>
          <w:sz w:val="24"/>
          <w:szCs w:val="24"/>
        </w:rPr>
        <w:t xml:space="preserve">In summary, prior to investigating whether Student 1 had bullied, harassed, or sexually harassed Student A, the district knew about six incidents where Student 1 kissed or attempted to kiss Student A, occurring on five different days </w:t>
      </w:r>
      <w:r w:rsidR="004905DC" w:rsidRPr="006779C3">
        <w:rPr>
          <w:rFonts w:asciiTheme="minorHAnsi" w:hAnsiTheme="minorHAnsi" w:cs="Calibri"/>
          <w:color w:val="000000"/>
          <w:sz w:val="24"/>
          <w:szCs w:val="24"/>
        </w:rPr>
        <w:t>during a time span</w:t>
      </w:r>
      <w:r w:rsidR="009541BA" w:rsidRPr="006779C3">
        <w:rPr>
          <w:rFonts w:asciiTheme="minorHAnsi" w:hAnsiTheme="minorHAnsi" w:cs="Calibri"/>
          <w:color w:val="000000"/>
          <w:sz w:val="24"/>
          <w:szCs w:val="24"/>
        </w:rPr>
        <w:t xml:space="preserve"> of nine school days.</w:t>
      </w:r>
    </w:p>
    <w:p w14:paraId="61E2893E" w14:textId="4AB7FDD1" w:rsidR="009541BA" w:rsidRPr="006779C3" w:rsidRDefault="009541BA" w:rsidP="00ED7D0F">
      <w:pPr>
        <w:spacing w:after="0"/>
        <w:jc w:val="both"/>
        <w:rPr>
          <w:rFonts w:asciiTheme="minorHAnsi" w:hAnsiTheme="minorHAnsi" w:cs="Calibri"/>
          <w:color w:val="000000"/>
          <w:sz w:val="24"/>
          <w:szCs w:val="24"/>
        </w:rPr>
      </w:pPr>
    </w:p>
    <w:p w14:paraId="0F912328" w14:textId="14428F7B" w:rsidR="009541BA" w:rsidRPr="006779C3" w:rsidRDefault="00C224EC"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The district responded to Student 1’s behavior</w:t>
      </w:r>
      <w:r w:rsidR="00B061B3" w:rsidRPr="006779C3">
        <w:rPr>
          <w:rFonts w:asciiTheme="minorHAnsi" w:hAnsiTheme="minorHAnsi" w:cs="Calibri"/>
          <w:color w:val="000000"/>
          <w:sz w:val="24"/>
          <w:szCs w:val="24"/>
        </w:rPr>
        <w:t>s</w:t>
      </w:r>
      <w:r w:rsidRPr="006779C3">
        <w:rPr>
          <w:rFonts w:asciiTheme="minorHAnsi" w:hAnsiTheme="minorHAnsi" w:cs="Calibri"/>
          <w:color w:val="000000"/>
          <w:sz w:val="24"/>
          <w:szCs w:val="24"/>
        </w:rPr>
        <w:t xml:space="preserve"> after each incident</w:t>
      </w:r>
      <w:r w:rsidR="00B061B3" w:rsidRPr="006779C3">
        <w:rPr>
          <w:rFonts w:asciiTheme="minorHAnsi" w:hAnsiTheme="minorHAnsi" w:cs="Calibri"/>
          <w:color w:val="000000"/>
          <w:sz w:val="24"/>
          <w:szCs w:val="24"/>
        </w:rPr>
        <w:t xml:space="preserve"> in accordance with its Positive Behavior Intervention and Support policy</w:t>
      </w:r>
      <w:r w:rsidRPr="006779C3">
        <w:rPr>
          <w:rFonts w:asciiTheme="minorHAnsi" w:hAnsiTheme="minorHAnsi" w:cs="Calibri"/>
          <w:color w:val="000000"/>
          <w:sz w:val="24"/>
          <w:szCs w:val="24"/>
        </w:rPr>
        <w:t xml:space="preserve">. </w:t>
      </w:r>
      <w:r w:rsidR="00B061B3" w:rsidRPr="006779C3">
        <w:rPr>
          <w:rFonts w:asciiTheme="minorHAnsi" w:hAnsiTheme="minorHAnsi" w:cs="Calibri"/>
          <w:color w:val="000000"/>
          <w:sz w:val="24"/>
          <w:szCs w:val="24"/>
        </w:rPr>
        <w:t xml:space="preserve">Before October 7, Student 1 </w:t>
      </w:r>
      <w:proofErr w:type="gramStart"/>
      <w:r w:rsidR="00B061B3" w:rsidRPr="006779C3">
        <w:rPr>
          <w:rFonts w:asciiTheme="minorHAnsi" w:hAnsiTheme="minorHAnsi" w:cs="Calibri"/>
          <w:color w:val="000000"/>
          <w:sz w:val="24"/>
          <w:szCs w:val="24"/>
        </w:rPr>
        <w:t>was removed</w:t>
      </w:r>
      <w:proofErr w:type="gramEnd"/>
      <w:r w:rsidR="00B061B3" w:rsidRPr="006779C3">
        <w:rPr>
          <w:rFonts w:asciiTheme="minorHAnsi" w:hAnsiTheme="minorHAnsi" w:cs="Calibri"/>
          <w:color w:val="000000"/>
          <w:sz w:val="24"/>
          <w:szCs w:val="24"/>
        </w:rPr>
        <w:t xml:space="preserve"> from school for two weeks. Before Student 1 returned, Administrator 1 developed a safety plan, which included check-in and </w:t>
      </w:r>
      <w:proofErr w:type="gramStart"/>
      <w:r w:rsidR="00B061B3" w:rsidRPr="006779C3">
        <w:rPr>
          <w:rFonts w:asciiTheme="minorHAnsi" w:hAnsiTheme="minorHAnsi" w:cs="Calibri"/>
          <w:color w:val="000000"/>
          <w:sz w:val="24"/>
          <w:szCs w:val="24"/>
        </w:rPr>
        <w:t>check-out</w:t>
      </w:r>
      <w:proofErr w:type="gramEnd"/>
      <w:r w:rsidR="00B061B3" w:rsidRPr="006779C3">
        <w:rPr>
          <w:rFonts w:asciiTheme="minorHAnsi" w:hAnsiTheme="minorHAnsi" w:cs="Calibri"/>
          <w:color w:val="000000"/>
          <w:sz w:val="24"/>
          <w:szCs w:val="24"/>
        </w:rPr>
        <w:t xml:space="preserve"> procedures for Student 1 and other measures intended to address Student 1’s behavior. After Student 1 attempted to kiss Student A on September 30, the district moved Student 1’s desk away from Student A’s desk. The district also incorporated new safety measures into Student 1’s safety plan. After the October </w:t>
      </w:r>
      <w:proofErr w:type="gramStart"/>
      <w:r w:rsidR="00B061B3" w:rsidRPr="006779C3">
        <w:rPr>
          <w:rFonts w:asciiTheme="minorHAnsi" w:hAnsiTheme="minorHAnsi" w:cs="Calibri"/>
          <w:color w:val="000000"/>
          <w:sz w:val="24"/>
          <w:szCs w:val="24"/>
        </w:rPr>
        <w:t>7th</w:t>
      </w:r>
      <w:proofErr w:type="gramEnd"/>
      <w:r w:rsidR="00B061B3" w:rsidRPr="006779C3">
        <w:rPr>
          <w:rFonts w:asciiTheme="minorHAnsi" w:hAnsiTheme="minorHAnsi" w:cs="Calibri"/>
          <w:color w:val="000000"/>
          <w:sz w:val="24"/>
          <w:szCs w:val="24"/>
        </w:rPr>
        <w:t xml:space="preserve"> and October 8th incidents, the district implemented a classroom behavior plan for Student 1. Part of the plan included removing Student 1 from the classroom when </w:t>
      </w:r>
      <w:r w:rsidR="002E0DD3" w:rsidRPr="006779C3">
        <w:rPr>
          <w:rFonts w:asciiTheme="minorHAnsi" w:hAnsiTheme="minorHAnsi" w:cs="Calibri"/>
          <w:color w:val="000000"/>
          <w:sz w:val="24"/>
          <w:szCs w:val="24"/>
        </w:rPr>
        <w:t>Student 1</w:t>
      </w:r>
      <w:r w:rsidR="00B061B3" w:rsidRPr="006779C3">
        <w:rPr>
          <w:rFonts w:asciiTheme="minorHAnsi" w:hAnsiTheme="minorHAnsi" w:cs="Calibri"/>
          <w:color w:val="000000"/>
          <w:sz w:val="24"/>
          <w:szCs w:val="24"/>
        </w:rPr>
        <w:t xml:space="preserve"> exhibited certain behaviors. After the October </w:t>
      </w:r>
      <w:proofErr w:type="gramStart"/>
      <w:r w:rsidR="00B061B3" w:rsidRPr="006779C3">
        <w:rPr>
          <w:rFonts w:asciiTheme="minorHAnsi" w:hAnsiTheme="minorHAnsi" w:cs="Calibri"/>
          <w:color w:val="000000"/>
          <w:sz w:val="24"/>
          <w:szCs w:val="24"/>
        </w:rPr>
        <w:t>14th</w:t>
      </w:r>
      <w:proofErr w:type="gramEnd"/>
      <w:r w:rsidR="00B061B3" w:rsidRPr="006779C3">
        <w:rPr>
          <w:rFonts w:asciiTheme="minorHAnsi" w:hAnsiTheme="minorHAnsi" w:cs="Calibri"/>
          <w:color w:val="000000"/>
          <w:sz w:val="24"/>
          <w:szCs w:val="24"/>
        </w:rPr>
        <w:t xml:space="preserve"> incident, Administrator 1 sent an email to relevant district staff outlining a lunch plan for Student 1. Under that plan, Student 1 </w:t>
      </w:r>
      <w:proofErr w:type="gramStart"/>
      <w:r w:rsidR="00B061B3" w:rsidRPr="006779C3">
        <w:rPr>
          <w:rFonts w:asciiTheme="minorHAnsi" w:hAnsiTheme="minorHAnsi" w:cs="Calibri"/>
          <w:color w:val="000000"/>
          <w:sz w:val="24"/>
          <w:szCs w:val="24"/>
        </w:rPr>
        <w:t>was not allowed</w:t>
      </w:r>
      <w:proofErr w:type="gramEnd"/>
      <w:r w:rsidR="00B061B3" w:rsidRPr="006779C3">
        <w:rPr>
          <w:rFonts w:asciiTheme="minorHAnsi" w:hAnsiTheme="minorHAnsi" w:cs="Calibri"/>
          <w:color w:val="000000"/>
          <w:sz w:val="24"/>
          <w:szCs w:val="24"/>
        </w:rPr>
        <w:t xml:space="preserve"> to eat lunch with the class. Student 1 could rejoin the class </w:t>
      </w:r>
      <w:r w:rsidR="002E0DD3" w:rsidRPr="006779C3">
        <w:rPr>
          <w:rFonts w:asciiTheme="minorHAnsi" w:hAnsiTheme="minorHAnsi" w:cs="Calibri"/>
          <w:color w:val="000000"/>
          <w:sz w:val="24"/>
          <w:szCs w:val="24"/>
        </w:rPr>
        <w:t xml:space="preserve">only </w:t>
      </w:r>
      <w:r w:rsidR="00B061B3" w:rsidRPr="006779C3">
        <w:rPr>
          <w:rFonts w:asciiTheme="minorHAnsi" w:hAnsiTheme="minorHAnsi" w:cs="Calibri"/>
          <w:color w:val="000000"/>
          <w:sz w:val="24"/>
          <w:szCs w:val="24"/>
        </w:rPr>
        <w:t xml:space="preserve">after eating. Administrator 1 also sent an email to all relevant teachers, including the music teacher and the PE teacher, directing them not </w:t>
      </w:r>
      <w:r w:rsidR="00703DEF" w:rsidRPr="006779C3">
        <w:rPr>
          <w:rFonts w:asciiTheme="minorHAnsi" w:hAnsiTheme="minorHAnsi" w:cs="Calibri"/>
          <w:color w:val="000000"/>
          <w:sz w:val="24"/>
          <w:szCs w:val="24"/>
        </w:rPr>
        <w:t xml:space="preserve">to </w:t>
      </w:r>
      <w:r w:rsidR="00B061B3" w:rsidRPr="006779C3">
        <w:rPr>
          <w:rFonts w:asciiTheme="minorHAnsi" w:hAnsiTheme="minorHAnsi" w:cs="Calibri"/>
          <w:color w:val="000000"/>
          <w:sz w:val="24"/>
          <w:szCs w:val="24"/>
        </w:rPr>
        <w:t xml:space="preserve">seat Student 1 near Student A. After the October </w:t>
      </w:r>
      <w:proofErr w:type="gramStart"/>
      <w:r w:rsidR="00B061B3" w:rsidRPr="006779C3">
        <w:rPr>
          <w:rFonts w:asciiTheme="minorHAnsi" w:hAnsiTheme="minorHAnsi" w:cs="Calibri"/>
          <w:color w:val="000000"/>
          <w:sz w:val="24"/>
          <w:szCs w:val="24"/>
        </w:rPr>
        <w:t>17th</w:t>
      </w:r>
      <w:proofErr w:type="gramEnd"/>
      <w:r w:rsidR="00B061B3" w:rsidRPr="006779C3">
        <w:rPr>
          <w:rFonts w:asciiTheme="minorHAnsi" w:hAnsiTheme="minorHAnsi" w:cs="Calibri"/>
          <w:color w:val="000000"/>
          <w:sz w:val="24"/>
          <w:szCs w:val="24"/>
        </w:rPr>
        <w:t xml:space="preserve"> incident, the district suspended Student 1 from school for two days, moved Student 1 to a different class</w:t>
      </w:r>
      <w:r w:rsidR="00D13FF4" w:rsidRPr="006779C3">
        <w:rPr>
          <w:rFonts w:asciiTheme="minorHAnsi" w:hAnsiTheme="minorHAnsi" w:cs="Calibri"/>
          <w:color w:val="000000"/>
          <w:sz w:val="24"/>
          <w:szCs w:val="24"/>
        </w:rPr>
        <w:t>room</w:t>
      </w:r>
      <w:r w:rsidR="00B061B3" w:rsidRPr="006779C3">
        <w:rPr>
          <w:rFonts w:asciiTheme="minorHAnsi" w:hAnsiTheme="minorHAnsi" w:cs="Calibri"/>
          <w:color w:val="000000"/>
          <w:sz w:val="24"/>
          <w:szCs w:val="24"/>
        </w:rPr>
        <w:t xml:space="preserve">, and </w:t>
      </w:r>
      <w:r w:rsidR="00D13FF4" w:rsidRPr="006779C3">
        <w:rPr>
          <w:rFonts w:asciiTheme="minorHAnsi" w:hAnsiTheme="minorHAnsi" w:cs="Calibri"/>
          <w:color w:val="000000"/>
          <w:sz w:val="24"/>
          <w:szCs w:val="24"/>
        </w:rPr>
        <w:t>launched an investigation to determine whether Student 1 had bullied, harassed, or sexually harassed Student A.</w:t>
      </w:r>
    </w:p>
    <w:p w14:paraId="0E07E5DB" w14:textId="6009C41F" w:rsidR="00D13FF4" w:rsidRPr="006779C3" w:rsidRDefault="00D13FF4" w:rsidP="00ED7D0F">
      <w:pPr>
        <w:spacing w:after="0"/>
        <w:jc w:val="both"/>
        <w:rPr>
          <w:rFonts w:asciiTheme="minorHAnsi" w:hAnsiTheme="minorHAnsi" w:cs="Calibri"/>
          <w:color w:val="000000"/>
          <w:sz w:val="24"/>
          <w:szCs w:val="24"/>
        </w:rPr>
      </w:pPr>
    </w:p>
    <w:p w14:paraId="71B5B0A0" w14:textId="33090EB1" w:rsidR="00D13FF4" w:rsidRPr="006779C3" w:rsidRDefault="00D13FF4"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lastRenderedPageBreak/>
        <w:t>Following the district’s investigation, there was one last incident involving Student 1’s behavior toward Student A. On October 22, 2019, Student 1 attempted to kiss Student A while students were lining up in the hallway. Student A turned their head away from Student 1, resulting in Student 1 kissing Student A’s neck. The district subsequently finished its investigation. After determining that Student 1 had sexually harassed Student A, the district implemented additional safety measures in Student 1’s safety plan. The inclusion of those measures effectively prevented Student A and Student 1 from having contact with one another</w:t>
      </w:r>
      <w:r w:rsidR="002E0DD3" w:rsidRPr="006779C3">
        <w:rPr>
          <w:rFonts w:asciiTheme="minorHAnsi" w:hAnsiTheme="minorHAnsi" w:cs="Calibri"/>
          <w:color w:val="000000"/>
          <w:sz w:val="24"/>
          <w:szCs w:val="24"/>
        </w:rPr>
        <w:t>,</w:t>
      </w:r>
      <w:r w:rsidRPr="006779C3">
        <w:rPr>
          <w:rFonts w:asciiTheme="minorHAnsi" w:hAnsiTheme="minorHAnsi" w:cs="Calibri"/>
          <w:color w:val="000000"/>
          <w:sz w:val="24"/>
          <w:szCs w:val="24"/>
        </w:rPr>
        <w:t xml:space="preserve"> </w:t>
      </w:r>
      <w:r w:rsidR="002E0DD3" w:rsidRPr="006779C3">
        <w:rPr>
          <w:rFonts w:asciiTheme="minorHAnsi" w:hAnsiTheme="minorHAnsi" w:cs="Calibri"/>
          <w:color w:val="000000"/>
          <w:sz w:val="24"/>
          <w:szCs w:val="24"/>
        </w:rPr>
        <w:t>thereby ending</w:t>
      </w:r>
      <w:r w:rsidRPr="006779C3">
        <w:rPr>
          <w:rFonts w:asciiTheme="minorHAnsi" w:hAnsiTheme="minorHAnsi" w:cs="Calibri"/>
          <w:color w:val="000000"/>
          <w:sz w:val="24"/>
          <w:szCs w:val="24"/>
        </w:rPr>
        <w:t xml:space="preserve"> the sexual harassment of Student A by Student 1. </w:t>
      </w:r>
    </w:p>
    <w:p w14:paraId="28AABBDD" w14:textId="38F5CCC0" w:rsidR="00D13FF4" w:rsidRPr="006779C3" w:rsidRDefault="00D13FF4" w:rsidP="00ED7D0F">
      <w:pPr>
        <w:spacing w:after="0"/>
        <w:jc w:val="both"/>
        <w:rPr>
          <w:rFonts w:asciiTheme="minorHAnsi" w:hAnsiTheme="minorHAnsi" w:cs="Calibri"/>
          <w:color w:val="000000"/>
          <w:sz w:val="24"/>
          <w:szCs w:val="24"/>
        </w:rPr>
      </w:pPr>
    </w:p>
    <w:p w14:paraId="77419C20" w14:textId="765702F2" w:rsidR="0082166E" w:rsidRPr="006779C3" w:rsidRDefault="00D13FF4"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Under the facts, the district could be deficient in responding to the sexual harassment of Student A and, thereby, </w:t>
      </w:r>
      <w:r w:rsidR="0029238C" w:rsidRPr="006779C3">
        <w:rPr>
          <w:rFonts w:asciiTheme="minorHAnsi" w:hAnsiTheme="minorHAnsi" w:cs="Calibri"/>
          <w:color w:val="000000"/>
          <w:sz w:val="24"/>
          <w:szCs w:val="24"/>
        </w:rPr>
        <w:t>not providing</w:t>
      </w:r>
      <w:r w:rsidRPr="006779C3">
        <w:rPr>
          <w:rFonts w:asciiTheme="minorHAnsi" w:hAnsiTheme="minorHAnsi" w:cs="Calibri"/>
          <w:color w:val="000000"/>
          <w:sz w:val="24"/>
          <w:szCs w:val="24"/>
        </w:rPr>
        <w:t xml:space="preserve"> Student A with a learning environment free of sexual harassment in </w:t>
      </w:r>
      <w:r w:rsidR="00E24E1C" w:rsidRPr="006779C3">
        <w:rPr>
          <w:rFonts w:asciiTheme="minorHAnsi" w:hAnsiTheme="minorHAnsi" w:cs="Calibri"/>
          <w:i/>
          <w:color w:val="000000"/>
          <w:sz w:val="24"/>
          <w:szCs w:val="24"/>
        </w:rPr>
        <w:t xml:space="preserve">only </w:t>
      </w:r>
      <w:r w:rsidRPr="006779C3">
        <w:rPr>
          <w:rFonts w:asciiTheme="minorHAnsi" w:hAnsiTheme="minorHAnsi" w:cs="Calibri"/>
          <w:i/>
          <w:color w:val="000000"/>
          <w:sz w:val="24"/>
          <w:szCs w:val="24"/>
        </w:rPr>
        <w:t>one respect</w:t>
      </w:r>
      <w:r w:rsidRPr="006779C3">
        <w:rPr>
          <w:rFonts w:asciiTheme="minorHAnsi" w:hAnsiTheme="minorHAnsi" w:cs="Calibri"/>
          <w:color w:val="000000"/>
          <w:sz w:val="24"/>
          <w:szCs w:val="24"/>
        </w:rPr>
        <w:t xml:space="preserve">: by not </w:t>
      </w:r>
      <w:r w:rsidR="00383CCD" w:rsidRPr="006779C3">
        <w:rPr>
          <w:rFonts w:asciiTheme="minorHAnsi" w:hAnsiTheme="minorHAnsi" w:cs="Calibri"/>
          <w:color w:val="000000"/>
          <w:sz w:val="24"/>
          <w:szCs w:val="24"/>
        </w:rPr>
        <w:t xml:space="preserve">immediately </w:t>
      </w:r>
      <w:r w:rsidRPr="006779C3">
        <w:rPr>
          <w:rFonts w:asciiTheme="minorHAnsi" w:hAnsiTheme="minorHAnsi" w:cs="Calibri"/>
          <w:color w:val="000000"/>
          <w:sz w:val="24"/>
          <w:szCs w:val="24"/>
        </w:rPr>
        <w:t xml:space="preserve">launching an investigation </w:t>
      </w:r>
      <w:r w:rsidR="002E0DD3" w:rsidRPr="006779C3">
        <w:rPr>
          <w:rFonts w:asciiTheme="minorHAnsi" w:hAnsiTheme="minorHAnsi" w:cs="Calibri"/>
          <w:color w:val="000000"/>
          <w:sz w:val="24"/>
          <w:szCs w:val="24"/>
        </w:rPr>
        <w:t xml:space="preserve">on October 7 </w:t>
      </w:r>
      <w:r w:rsidRPr="006779C3">
        <w:rPr>
          <w:rFonts w:asciiTheme="minorHAnsi" w:hAnsiTheme="minorHAnsi" w:cs="Calibri"/>
          <w:color w:val="000000"/>
          <w:sz w:val="24"/>
          <w:szCs w:val="24"/>
        </w:rPr>
        <w:t xml:space="preserve">to determine whether Student A </w:t>
      </w:r>
      <w:r w:rsidR="00E24E1C" w:rsidRPr="006779C3">
        <w:rPr>
          <w:rFonts w:asciiTheme="minorHAnsi" w:hAnsiTheme="minorHAnsi" w:cs="Calibri"/>
          <w:color w:val="000000"/>
          <w:sz w:val="24"/>
          <w:szCs w:val="24"/>
        </w:rPr>
        <w:t>was</w:t>
      </w:r>
      <w:r w:rsidRPr="006779C3">
        <w:rPr>
          <w:rFonts w:asciiTheme="minorHAnsi" w:hAnsiTheme="minorHAnsi" w:cs="Calibri"/>
          <w:color w:val="000000"/>
          <w:sz w:val="24"/>
          <w:szCs w:val="24"/>
        </w:rPr>
        <w:t xml:space="preserve"> sexually harassed</w:t>
      </w:r>
      <w:r w:rsidR="00383CCD" w:rsidRPr="006779C3">
        <w:rPr>
          <w:rFonts w:asciiTheme="minorHAnsi" w:hAnsiTheme="minorHAnsi" w:cs="Calibri"/>
          <w:color w:val="000000"/>
          <w:sz w:val="24"/>
          <w:szCs w:val="24"/>
        </w:rPr>
        <w:t xml:space="preserve">. </w:t>
      </w:r>
    </w:p>
    <w:p w14:paraId="0318EC83" w14:textId="6E3614F6" w:rsidR="005C7D32" w:rsidRPr="006779C3" w:rsidRDefault="005C7D32" w:rsidP="00ED7D0F">
      <w:pPr>
        <w:spacing w:after="0"/>
        <w:jc w:val="both"/>
        <w:rPr>
          <w:rFonts w:asciiTheme="minorHAnsi" w:hAnsiTheme="minorHAnsi" w:cs="Calibri"/>
          <w:color w:val="000000"/>
          <w:sz w:val="24"/>
          <w:szCs w:val="24"/>
        </w:rPr>
      </w:pPr>
    </w:p>
    <w:p w14:paraId="47980514" w14:textId="426842C1" w:rsidR="00513472" w:rsidRPr="006779C3" w:rsidRDefault="00513472" w:rsidP="00513472">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For purposes of this appeal, the fundamental question is whether the district is deficient for not reporting the sexual harassment to </w:t>
      </w:r>
      <w:r w:rsidR="00AB5F08" w:rsidRPr="006779C3">
        <w:rPr>
          <w:rFonts w:asciiTheme="minorHAnsi" w:hAnsiTheme="minorHAnsi" w:cs="Calibri"/>
          <w:color w:val="000000"/>
          <w:sz w:val="24"/>
          <w:szCs w:val="24"/>
        </w:rPr>
        <w:t>its</w:t>
      </w:r>
      <w:r w:rsidRPr="006779C3">
        <w:rPr>
          <w:rFonts w:asciiTheme="minorHAnsi" w:hAnsiTheme="minorHAnsi" w:cs="Calibri"/>
          <w:color w:val="000000"/>
          <w:sz w:val="24"/>
          <w:szCs w:val="24"/>
        </w:rPr>
        <w:t xml:space="preserve"> Title IX coordinator until after the October </w:t>
      </w:r>
      <w:proofErr w:type="gramStart"/>
      <w:r w:rsidRPr="006779C3">
        <w:rPr>
          <w:rFonts w:asciiTheme="minorHAnsi" w:hAnsiTheme="minorHAnsi" w:cs="Calibri"/>
          <w:color w:val="000000"/>
          <w:sz w:val="24"/>
          <w:szCs w:val="24"/>
        </w:rPr>
        <w:t>17th</w:t>
      </w:r>
      <w:proofErr w:type="gramEnd"/>
      <w:r w:rsidRPr="006779C3">
        <w:rPr>
          <w:rFonts w:asciiTheme="minorHAnsi" w:hAnsiTheme="minorHAnsi" w:cs="Calibri"/>
          <w:color w:val="000000"/>
          <w:sz w:val="24"/>
          <w:szCs w:val="24"/>
        </w:rPr>
        <w:t xml:space="preserve"> incident. Under Title IX, educational institutions are required to designate a Title IX coordinator and, upon receiving a report of sexual harassment, to inform the Title IX coordinator of the report.</w:t>
      </w:r>
      <w:r w:rsidRPr="006779C3">
        <w:rPr>
          <w:rStyle w:val="FootnoteReference"/>
          <w:rFonts w:asciiTheme="minorHAnsi" w:hAnsiTheme="minorHAnsi" w:cs="Calibri"/>
          <w:color w:val="000000"/>
          <w:sz w:val="24"/>
          <w:szCs w:val="24"/>
        </w:rPr>
        <w:footnoteReference w:id="19"/>
      </w:r>
      <w:r w:rsidRPr="006779C3">
        <w:rPr>
          <w:rFonts w:asciiTheme="minorHAnsi" w:hAnsiTheme="minorHAnsi" w:cs="Calibri"/>
          <w:color w:val="000000"/>
          <w:sz w:val="24"/>
          <w:szCs w:val="24"/>
        </w:rPr>
        <w:t xml:space="preserve"> Under the law, an educational entity must designate at least one employee to serve as a Title IX coordinator.</w:t>
      </w:r>
      <w:r w:rsidRPr="006779C3">
        <w:rPr>
          <w:rStyle w:val="FootnoteReference"/>
          <w:rFonts w:asciiTheme="minorHAnsi" w:hAnsiTheme="minorHAnsi" w:cs="Calibri"/>
          <w:color w:val="000000"/>
          <w:sz w:val="24"/>
          <w:szCs w:val="24"/>
        </w:rPr>
        <w:footnoteReference w:id="20"/>
      </w:r>
      <w:r w:rsidRPr="006779C3">
        <w:rPr>
          <w:rFonts w:asciiTheme="minorHAnsi" w:hAnsiTheme="minorHAnsi" w:cs="Calibri"/>
          <w:color w:val="000000"/>
          <w:sz w:val="24"/>
          <w:szCs w:val="24"/>
        </w:rPr>
        <w:t xml:space="preserve"> The Title IX coordinator is responsible for investigating Title IX complaints and coordinating the educational entity’s efforts to comply with Title IX responsibilities.</w:t>
      </w:r>
      <w:r w:rsidRPr="006779C3">
        <w:rPr>
          <w:rFonts w:asciiTheme="minorHAnsi" w:hAnsiTheme="minorHAnsi" w:cs="Calibri"/>
          <w:color w:val="000000"/>
          <w:sz w:val="24"/>
          <w:szCs w:val="24"/>
          <w:vertAlign w:val="superscript"/>
        </w:rPr>
        <w:footnoteReference w:id="21"/>
      </w:r>
      <w:r w:rsidRPr="006779C3">
        <w:rPr>
          <w:rFonts w:asciiTheme="minorHAnsi" w:hAnsiTheme="minorHAnsi" w:cs="Calibri"/>
          <w:color w:val="000000"/>
          <w:sz w:val="24"/>
          <w:szCs w:val="24"/>
        </w:rPr>
        <w:t xml:space="preserve"> </w:t>
      </w:r>
    </w:p>
    <w:p w14:paraId="0EE0CA60" w14:textId="60C0889C" w:rsidR="00513472" w:rsidRPr="006779C3" w:rsidRDefault="00513472" w:rsidP="00513472">
      <w:pPr>
        <w:spacing w:after="0"/>
        <w:jc w:val="both"/>
        <w:rPr>
          <w:rFonts w:asciiTheme="minorHAnsi" w:hAnsiTheme="minorHAnsi" w:cs="Calibri"/>
          <w:color w:val="000000"/>
          <w:sz w:val="24"/>
          <w:szCs w:val="24"/>
        </w:rPr>
      </w:pPr>
    </w:p>
    <w:p w14:paraId="5545AA4D" w14:textId="3ADF0808" w:rsidR="00513472" w:rsidRPr="006779C3" w:rsidRDefault="000A1B76" w:rsidP="00513472">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As mentioned above, the district knew about six incidents where Student 1 kissed or attempted to kiss Student A, occurring on five different days during a time span of nine school days</w:t>
      </w:r>
      <w:r w:rsidR="00001D81" w:rsidRPr="006779C3">
        <w:rPr>
          <w:rFonts w:asciiTheme="minorHAnsi" w:hAnsiTheme="minorHAnsi" w:cs="Calibri"/>
          <w:color w:val="000000"/>
          <w:sz w:val="24"/>
          <w:szCs w:val="24"/>
        </w:rPr>
        <w:t>,</w:t>
      </w:r>
      <w:r w:rsidRPr="006779C3">
        <w:rPr>
          <w:rFonts w:asciiTheme="minorHAnsi" w:hAnsiTheme="minorHAnsi" w:cs="Calibri"/>
          <w:color w:val="000000"/>
          <w:sz w:val="24"/>
          <w:szCs w:val="24"/>
        </w:rPr>
        <w:t xml:space="preserve"> before contacting the Title IX coordinator. </w:t>
      </w:r>
      <w:r w:rsidR="00001D81" w:rsidRPr="006779C3">
        <w:rPr>
          <w:rFonts w:asciiTheme="minorHAnsi" w:hAnsiTheme="minorHAnsi" w:cs="Calibri"/>
          <w:color w:val="000000"/>
          <w:sz w:val="24"/>
          <w:szCs w:val="24"/>
        </w:rPr>
        <w:t xml:space="preserve">The department finds that the district should have reported the incidents earlier. </w:t>
      </w:r>
      <w:r w:rsidR="00AB5F08" w:rsidRPr="006779C3">
        <w:rPr>
          <w:rFonts w:asciiTheme="minorHAnsi" w:hAnsiTheme="minorHAnsi" w:cs="Calibri"/>
          <w:color w:val="000000"/>
          <w:sz w:val="24"/>
          <w:szCs w:val="24"/>
        </w:rPr>
        <w:t>Making a report after s</w:t>
      </w:r>
      <w:r w:rsidR="00001D81" w:rsidRPr="006779C3">
        <w:rPr>
          <w:rFonts w:asciiTheme="minorHAnsi" w:hAnsiTheme="minorHAnsi" w:cs="Calibri"/>
          <w:color w:val="000000"/>
          <w:sz w:val="24"/>
          <w:szCs w:val="24"/>
        </w:rPr>
        <w:t>ix incidents of sexual harassment occurring over such a short time span is not timely and, thus, a violation of Title IX law.</w:t>
      </w:r>
    </w:p>
    <w:p w14:paraId="75EFB803" w14:textId="6D3C8E7F" w:rsidR="00513472" w:rsidRPr="006779C3" w:rsidRDefault="00513472" w:rsidP="00513472">
      <w:pPr>
        <w:spacing w:after="0"/>
        <w:jc w:val="both"/>
        <w:rPr>
          <w:rFonts w:asciiTheme="minorHAnsi" w:hAnsiTheme="minorHAnsi" w:cs="Calibri"/>
          <w:color w:val="000000"/>
          <w:sz w:val="24"/>
          <w:szCs w:val="24"/>
        </w:rPr>
      </w:pPr>
    </w:p>
    <w:p w14:paraId="6E96AF22" w14:textId="0C7D0FF0" w:rsidR="0082166E" w:rsidRPr="006779C3" w:rsidRDefault="00001D81"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Even though the department </w:t>
      </w:r>
      <w:r w:rsidR="00867A89" w:rsidRPr="006779C3">
        <w:rPr>
          <w:rFonts w:asciiTheme="minorHAnsi" w:hAnsiTheme="minorHAnsi" w:cs="Calibri"/>
          <w:color w:val="000000"/>
          <w:sz w:val="24"/>
          <w:szCs w:val="24"/>
        </w:rPr>
        <w:t>finds that</w:t>
      </w:r>
      <w:r w:rsidRPr="006779C3">
        <w:rPr>
          <w:rFonts w:asciiTheme="minorHAnsi" w:hAnsiTheme="minorHAnsi" w:cs="Calibri"/>
          <w:color w:val="000000"/>
          <w:sz w:val="24"/>
          <w:szCs w:val="24"/>
        </w:rPr>
        <w:t xml:space="preserve"> the district is deficient, the department acknowledges that the district did </w:t>
      </w:r>
      <w:r w:rsidR="00E24E1C" w:rsidRPr="006779C3">
        <w:rPr>
          <w:rFonts w:asciiTheme="minorHAnsi" w:hAnsiTheme="minorHAnsi" w:cs="Calibri"/>
          <w:color w:val="000000"/>
          <w:sz w:val="24"/>
          <w:szCs w:val="24"/>
        </w:rPr>
        <w:t>respond to each incident</w:t>
      </w:r>
      <w:r w:rsidRPr="006779C3">
        <w:rPr>
          <w:rFonts w:asciiTheme="minorHAnsi" w:hAnsiTheme="minorHAnsi" w:cs="Calibri"/>
          <w:color w:val="000000"/>
          <w:sz w:val="24"/>
          <w:szCs w:val="24"/>
        </w:rPr>
        <w:t xml:space="preserve">. </w:t>
      </w:r>
      <w:r w:rsidR="00E24E1C" w:rsidRPr="006779C3">
        <w:rPr>
          <w:rFonts w:asciiTheme="minorHAnsi" w:hAnsiTheme="minorHAnsi" w:cs="Calibri"/>
          <w:color w:val="000000"/>
          <w:sz w:val="24"/>
          <w:szCs w:val="24"/>
        </w:rPr>
        <w:t>The district first separated Student A</w:t>
      </w:r>
      <w:r w:rsidR="0082166E" w:rsidRPr="006779C3">
        <w:rPr>
          <w:rFonts w:asciiTheme="minorHAnsi" w:hAnsiTheme="minorHAnsi" w:cs="Calibri"/>
          <w:color w:val="000000"/>
          <w:sz w:val="24"/>
          <w:szCs w:val="24"/>
        </w:rPr>
        <w:t xml:space="preserve"> and Student 1 in the classroom. The district</w:t>
      </w:r>
      <w:r w:rsidR="00E24E1C" w:rsidRPr="006779C3">
        <w:rPr>
          <w:rFonts w:asciiTheme="minorHAnsi" w:hAnsiTheme="minorHAnsi" w:cs="Calibri"/>
          <w:color w:val="000000"/>
          <w:sz w:val="24"/>
          <w:szCs w:val="24"/>
        </w:rPr>
        <w:t xml:space="preserve"> then separated </w:t>
      </w:r>
      <w:r w:rsidR="0082166E" w:rsidRPr="006779C3">
        <w:rPr>
          <w:rFonts w:asciiTheme="minorHAnsi" w:hAnsiTheme="minorHAnsi" w:cs="Calibri"/>
          <w:color w:val="000000"/>
          <w:sz w:val="24"/>
          <w:szCs w:val="24"/>
        </w:rPr>
        <w:t xml:space="preserve">Student A and Student 1 </w:t>
      </w:r>
      <w:r w:rsidR="00E24E1C" w:rsidRPr="006779C3">
        <w:rPr>
          <w:rFonts w:asciiTheme="minorHAnsi" w:hAnsiTheme="minorHAnsi" w:cs="Calibri"/>
          <w:color w:val="000000"/>
          <w:sz w:val="24"/>
          <w:szCs w:val="24"/>
        </w:rPr>
        <w:t>during out of class activ</w:t>
      </w:r>
      <w:r w:rsidR="0082166E" w:rsidRPr="006779C3">
        <w:rPr>
          <w:rFonts w:asciiTheme="minorHAnsi" w:hAnsiTheme="minorHAnsi" w:cs="Calibri"/>
          <w:color w:val="000000"/>
          <w:sz w:val="24"/>
          <w:szCs w:val="24"/>
        </w:rPr>
        <w:t>ities. E</w:t>
      </w:r>
      <w:r w:rsidR="00E24E1C" w:rsidRPr="006779C3">
        <w:rPr>
          <w:rFonts w:asciiTheme="minorHAnsi" w:hAnsiTheme="minorHAnsi" w:cs="Calibri"/>
          <w:color w:val="000000"/>
          <w:sz w:val="24"/>
          <w:szCs w:val="24"/>
        </w:rPr>
        <w:t>ventually</w:t>
      </w:r>
      <w:r w:rsidR="0082166E" w:rsidRPr="006779C3">
        <w:rPr>
          <w:rFonts w:asciiTheme="minorHAnsi" w:hAnsiTheme="minorHAnsi" w:cs="Calibri"/>
          <w:color w:val="000000"/>
          <w:sz w:val="24"/>
          <w:szCs w:val="24"/>
        </w:rPr>
        <w:t>, the district</w:t>
      </w:r>
      <w:r w:rsidR="00E24E1C" w:rsidRPr="006779C3">
        <w:rPr>
          <w:rFonts w:asciiTheme="minorHAnsi" w:hAnsiTheme="minorHAnsi" w:cs="Calibri"/>
          <w:color w:val="000000"/>
          <w:sz w:val="24"/>
          <w:szCs w:val="24"/>
        </w:rPr>
        <w:t xml:space="preserve"> moved Student 1 to a new classroom. </w:t>
      </w:r>
      <w:r w:rsidRPr="006779C3">
        <w:rPr>
          <w:rFonts w:asciiTheme="minorHAnsi" w:hAnsiTheme="minorHAnsi" w:cs="Calibri"/>
          <w:color w:val="000000"/>
          <w:sz w:val="24"/>
          <w:szCs w:val="24"/>
        </w:rPr>
        <w:t xml:space="preserve">The department acknowledges that the district took these measures </w:t>
      </w:r>
      <w:r w:rsidR="0029238C" w:rsidRPr="006779C3">
        <w:rPr>
          <w:rFonts w:asciiTheme="minorHAnsi" w:hAnsiTheme="minorHAnsi" w:cs="Calibri"/>
          <w:color w:val="000000"/>
          <w:sz w:val="24"/>
          <w:szCs w:val="24"/>
        </w:rPr>
        <w:t xml:space="preserve">in order to achieve the same </w:t>
      </w:r>
      <w:r w:rsidR="002E0DD3" w:rsidRPr="006779C3">
        <w:rPr>
          <w:rFonts w:asciiTheme="minorHAnsi" w:hAnsiTheme="minorHAnsi" w:cs="Calibri"/>
          <w:color w:val="000000"/>
          <w:sz w:val="24"/>
          <w:szCs w:val="24"/>
        </w:rPr>
        <w:t>result</w:t>
      </w:r>
      <w:r w:rsidRPr="006779C3">
        <w:rPr>
          <w:rFonts w:asciiTheme="minorHAnsi" w:hAnsiTheme="minorHAnsi" w:cs="Calibri"/>
          <w:color w:val="000000"/>
          <w:sz w:val="24"/>
          <w:szCs w:val="24"/>
        </w:rPr>
        <w:t xml:space="preserve"> as a Title IX investigation</w:t>
      </w:r>
      <w:r w:rsidR="0029238C" w:rsidRPr="006779C3">
        <w:rPr>
          <w:rFonts w:asciiTheme="minorHAnsi" w:hAnsiTheme="minorHAnsi" w:cs="Calibri"/>
          <w:color w:val="000000"/>
          <w:sz w:val="24"/>
          <w:szCs w:val="24"/>
        </w:rPr>
        <w:t xml:space="preserve">: </w:t>
      </w:r>
      <w:r w:rsidR="002E0DD3" w:rsidRPr="006779C3">
        <w:rPr>
          <w:rFonts w:asciiTheme="minorHAnsi" w:hAnsiTheme="minorHAnsi" w:cs="Calibri"/>
          <w:color w:val="000000"/>
          <w:sz w:val="24"/>
          <w:szCs w:val="24"/>
        </w:rPr>
        <w:t>providing</w:t>
      </w:r>
      <w:r w:rsidR="0029238C" w:rsidRPr="006779C3">
        <w:rPr>
          <w:rFonts w:asciiTheme="minorHAnsi" w:hAnsiTheme="minorHAnsi" w:cs="Calibri"/>
          <w:color w:val="000000"/>
          <w:sz w:val="24"/>
          <w:szCs w:val="24"/>
        </w:rPr>
        <w:t xml:space="preserve"> Student A with a safe learning environment. </w:t>
      </w:r>
      <w:r w:rsidRPr="006779C3">
        <w:rPr>
          <w:rFonts w:asciiTheme="minorHAnsi" w:hAnsiTheme="minorHAnsi" w:cs="Calibri"/>
          <w:color w:val="000000"/>
          <w:sz w:val="24"/>
          <w:szCs w:val="24"/>
        </w:rPr>
        <w:t xml:space="preserve">However, the district </w:t>
      </w:r>
      <w:r w:rsidRPr="006779C3">
        <w:rPr>
          <w:rFonts w:asciiTheme="minorHAnsi" w:hAnsiTheme="minorHAnsi" w:cs="Calibri"/>
          <w:color w:val="000000"/>
          <w:sz w:val="24"/>
          <w:szCs w:val="24"/>
        </w:rPr>
        <w:lastRenderedPageBreak/>
        <w:t xml:space="preserve">responded to each incident in accordance with its Positive Behavior Intervention and Support policy. It is impossible to know whether reporting the incidents to the Title IX coordinator would have resulted in different interim measures or swifter results. The department cannot assume that the results of a timely Title IX investigation would have led to </w:t>
      </w:r>
      <w:r w:rsidR="00E511F8" w:rsidRPr="006779C3">
        <w:rPr>
          <w:rFonts w:asciiTheme="minorHAnsi" w:hAnsiTheme="minorHAnsi" w:cs="Calibri"/>
          <w:color w:val="000000"/>
          <w:sz w:val="24"/>
          <w:szCs w:val="24"/>
        </w:rPr>
        <w:t>the exact same result.</w:t>
      </w:r>
    </w:p>
    <w:p w14:paraId="34D91FE9" w14:textId="08AA108E" w:rsidR="00E511F8" w:rsidRPr="006779C3" w:rsidRDefault="00E511F8" w:rsidP="00ED7D0F">
      <w:pPr>
        <w:spacing w:after="0"/>
        <w:jc w:val="both"/>
        <w:rPr>
          <w:rFonts w:asciiTheme="minorHAnsi" w:hAnsiTheme="minorHAnsi" w:cs="Calibri"/>
          <w:color w:val="000000"/>
          <w:sz w:val="24"/>
          <w:szCs w:val="24"/>
        </w:rPr>
      </w:pPr>
    </w:p>
    <w:p w14:paraId="7F49C211" w14:textId="4034E6EF" w:rsidR="00E511F8" w:rsidRPr="006779C3" w:rsidRDefault="00E511F8"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The department also acknowledges that certain factors mitigate the district’s deficiency.</w:t>
      </w:r>
    </w:p>
    <w:p w14:paraId="43CD2382" w14:textId="77777777" w:rsidR="0082166E" w:rsidRPr="006779C3" w:rsidRDefault="0082166E" w:rsidP="00ED7D0F">
      <w:pPr>
        <w:spacing w:after="0"/>
        <w:jc w:val="both"/>
        <w:rPr>
          <w:rFonts w:asciiTheme="minorHAnsi" w:hAnsiTheme="minorHAnsi" w:cs="Calibri"/>
          <w:color w:val="000000"/>
          <w:sz w:val="24"/>
          <w:szCs w:val="24"/>
        </w:rPr>
      </w:pPr>
    </w:p>
    <w:p w14:paraId="103F43BC" w14:textId="1EFA0BDE" w:rsidR="0082166E" w:rsidRPr="006779C3" w:rsidRDefault="00E511F8"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First</w:t>
      </w:r>
      <w:r w:rsidR="00E24E1C" w:rsidRPr="006779C3">
        <w:rPr>
          <w:rFonts w:asciiTheme="minorHAnsi" w:hAnsiTheme="minorHAnsi" w:cs="Calibri"/>
          <w:color w:val="000000"/>
          <w:sz w:val="24"/>
          <w:szCs w:val="24"/>
        </w:rPr>
        <w:t>, Student 1’s conduct toward Student A constituted only a small portion of Student 1’s problematic behaviors</w:t>
      </w:r>
      <w:r w:rsidR="0082166E" w:rsidRPr="006779C3">
        <w:rPr>
          <w:rFonts w:asciiTheme="minorHAnsi" w:hAnsiTheme="minorHAnsi" w:cs="Calibri"/>
          <w:color w:val="000000"/>
          <w:sz w:val="24"/>
          <w:szCs w:val="24"/>
        </w:rPr>
        <w:t>.</w:t>
      </w:r>
      <w:r w:rsidR="0029238C" w:rsidRPr="006779C3">
        <w:rPr>
          <w:rFonts w:asciiTheme="minorHAnsi" w:hAnsiTheme="minorHAnsi" w:cs="Calibri"/>
          <w:color w:val="000000"/>
          <w:sz w:val="24"/>
          <w:szCs w:val="24"/>
        </w:rPr>
        <w:t xml:space="preserve"> </w:t>
      </w:r>
      <w:r w:rsidR="0082166E" w:rsidRPr="006779C3">
        <w:rPr>
          <w:rFonts w:asciiTheme="minorHAnsi" w:hAnsiTheme="minorHAnsi" w:cs="Calibri"/>
          <w:color w:val="000000"/>
          <w:sz w:val="24"/>
          <w:szCs w:val="24"/>
        </w:rPr>
        <w:t>T</w:t>
      </w:r>
      <w:r w:rsidR="0029238C" w:rsidRPr="006779C3">
        <w:rPr>
          <w:rFonts w:asciiTheme="minorHAnsi" w:hAnsiTheme="minorHAnsi" w:cs="Calibri"/>
          <w:color w:val="000000"/>
          <w:sz w:val="24"/>
          <w:szCs w:val="24"/>
        </w:rPr>
        <w:t>he district provided the department with sufficient evidence for the department to find that th</w:t>
      </w:r>
      <w:r w:rsidR="00E24E1C" w:rsidRPr="006779C3">
        <w:rPr>
          <w:rFonts w:asciiTheme="minorHAnsi" w:hAnsiTheme="minorHAnsi" w:cs="Calibri"/>
          <w:color w:val="000000"/>
          <w:sz w:val="24"/>
          <w:szCs w:val="24"/>
        </w:rPr>
        <w:t xml:space="preserve">e volume of </w:t>
      </w:r>
      <w:r w:rsidR="0029238C" w:rsidRPr="006779C3">
        <w:rPr>
          <w:rFonts w:asciiTheme="minorHAnsi" w:hAnsiTheme="minorHAnsi" w:cs="Calibri"/>
          <w:color w:val="000000"/>
          <w:sz w:val="24"/>
          <w:szCs w:val="24"/>
        </w:rPr>
        <w:t>misconduct</w:t>
      </w:r>
      <w:r w:rsidR="00E24E1C" w:rsidRPr="006779C3">
        <w:rPr>
          <w:rFonts w:asciiTheme="minorHAnsi" w:hAnsiTheme="minorHAnsi" w:cs="Calibri"/>
          <w:color w:val="000000"/>
          <w:sz w:val="24"/>
          <w:szCs w:val="24"/>
        </w:rPr>
        <w:t xml:space="preserve"> exhibited by Student 1 made it difficult </w:t>
      </w:r>
      <w:r w:rsidR="002E0DD3" w:rsidRPr="006779C3">
        <w:rPr>
          <w:rFonts w:asciiTheme="minorHAnsi" w:hAnsiTheme="minorHAnsi" w:cs="Calibri"/>
          <w:color w:val="000000"/>
          <w:sz w:val="24"/>
          <w:szCs w:val="24"/>
        </w:rPr>
        <w:t>f</w:t>
      </w:r>
      <w:r w:rsidR="0029238C" w:rsidRPr="006779C3">
        <w:rPr>
          <w:rFonts w:asciiTheme="minorHAnsi" w:hAnsiTheme="minorHAnsi" w:cs="Calibri"/>
          <w:color w:val="000000"/>
          <w:sz w:val="24"/>
          <w:szCs w:val="24"/>
        </w:rPr>
        <w:t xml:space="preserve">or the district </w:t>
      </w:r>
      <w:proofErr w:type="gramStart"/>
      <w:r w:rsidR="0029238C" w:rsidRPr="006779C3">
        <w:rPr>
          <w:rFonts w:asciiTheme="minorHAnsi" w:hAnsiTheme="minorHAnsi" w:cs="Calibri"/>
          <w:color w:val="000000"/>
          <w:sz w:val="24"/>
          <w:szCs w:val="24"/>
        </w:rPr>
        <w:t>to</w:t>
      </w:r>
      <w:r w:rsidR="00E24E1C" w:rsidRPr="006779C3">
        <w:rPr>
          <w:rFonts w:asciiTheme="minorHAnsi" w:hAnsiTheme="minorHAnsi" w:cs="Calibri"/>
          <w:color w:val="000000"/>
          <w:sz w:val="24"/>
          <w:szCs w:val="24"/>
        </w:rPr>
        <w:t xml:space="preserve"> immediately identify</w:t>
      </w:r>
      <w:proofErr w:type="gramEnd"/>
      <w:r w:rsidR="00E24E1C" w:rsidRPr="006779C3">
        <w:rPr>
          <w:rFonts w:asciiTheme="minorHAnsi" w:hAnsiTheme="minorHAnsi" w:cs="Calibri"/>
          <w:color w:val="000000"/>
          <w:sz w:val="24"/>
          <w:szCs w:val="24"/>
        </w:rPr>
        <w:t xml:space="preserve"> the sexual harassment of Student A</w:t>
      </w:r>
      <w:r w:rsidR="0029238C" w:rsidRPr="006779C3">
        <w:rPr>
          <w:rFonts w:asciiTheme="minorHAnsi" w:hAnsiTheme="minorHAnsi" w:cs="Calibri"/>
          <w:color w:val="000000"/>
          <w:sz w:val="24"/>
          <w:szCs w:val="24"/>
        </w:rPr>
        <w:t xml:space="preserve">. </w:t>
      </w:r>
    </w:p>
    <w:p w14:paraId="656AD9B7" w14:textId="097DA5B8" w:rsidR="0082166E" w:rsidRPr="006779C3" w:rsidRDefault="00E511F8"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Second</w:t>
      </w:r>
      <w:r w:rsidR="0029238C" w:rsidRPr="006779C3">
        <w:rPr>
          <w:rFonts w:asciiTheme="minorHAnsi" w:hAnsiTheme="minorHAnsi" w:cs="Calibri"/>
          <w:color w:val="000000"/>
          <w:sz w:val="24"/>
          <w:szCs w:val="24"/>
        </w:rPr>
        <w:t xml:space="preserve">, the district </w:t>
      </w:r>
      <w:r w:rsidR="000A1B76" w:rsidRPr="006779C3">
        <w:rPr>
          <w:rFonts w:asciiTheme="minorHAnsi" w:hAnsiTheme="minorHAnsi" w:cs="Calibri"/>
          <w:color w:val="000000"/>
          <w:sz w:val="24"/>
          <w:szCs w:val="24"/>
        </w:rPr>
        <w:t>eventually did identify</w:t>
      </w:r>
      <w:r w:rsidR="0029238C" w:rsidRPr="006779C3">
        <w:rPr>
          <w:rFonts w:asciiTheme="minorHAnsi" w:hAnsiTheme="minorHAnsi" w:cs="Calibri"/>
          <w:color w:val="000000"/>
          <w:sz w:val="24"/>
          <w:szCs w:val="24"/>
        </w:rPr>
        <w:t xml:space="preserve"> the need to investigate the sexual harassment of Student A shortly</w:t>
      </w:r>
      <w:r w:rsidR="000A1B76" w:rsidRPr="006779C3">
        <w:rPr>
          <w:rFonts w:asciiTheme="minorHAnsi" w:hAnsiTheme="minorHAnsi" w:cs="Calibri"/>
          <w:color w:val="000000"/>
          <w:sz w:val="24"/>
          <w:szCs w:val="24"/>
        </w:rPr>
        <w:t xml:space="preserve"> after the October </w:t>
      </w:r>
      <w:proofErr w:type="gramStart"/>
      <w:r w:rsidR="000A1B76" w:rsidRPr="006779C3">
        <w:rPr>
          <w:rFonts w:asciiTheme="minorHAnsi" w:hAnsiTheme="minorHAnsi" w:cs="Calibri"/>
          <w:color w:val="000000"/>
          <w:sz w:val="24"/>
          <w:szCs w:val="24"/>
        </w:rPr>
        <w:t>7th</w:t>
      </w:r>
      <w:proofErr w:type="gramEnd"/>
      <w:r w:rsidR="000A1B76" w:rsidRPr="006779C3">
        <w:rPr>
          <w:rFonts w:asciiTheme="minorHAnsi" w:hAnsiTheme="minorHAnsi" w:cs="Calibri"/>
          <w:color w:val="000000"/>
          <w:sz w:val="24"/>
          <w:szCs w:val="24"/>
        </w:rPr>
        <w:t xml:space="preserve"> incident</w:t>
      </w:r>
      <w:r w:rsidR="0029238C" w:rsidRPr="006779C3">
        <w:rPr>
          <w:rFonts w:asciiTheme="minorHAnsi" w:hAnsiTheme="minorHAnsi" w:cs="Calibri"/>
          <w:color w:val="000000"/>
          <w:sz w:val="24"/>
          <w:szCs w:val="24"/>
        </w:rPr>
        <w:t xml:space="preserve">. </w:t>
      </w:r>
      <w:r w:rsidRPr="006779C3">
        <w:rPr>
          <w:rFonts w:asciiTheme="minorHAnsi" w:hAnsiTheme="minorHAnsi" w:cs="Calibri"/>
          <w:color w:val="000000"/>
          <w:sz w:val="24"/>
          <w:szCs w:val="24"/>
        </w:rPr>
        <w:t>As discussed above, t</w:t>
      </w:r>
      <w:r w:rsidR="000A1B76" w:rsidRPr="006779C3">
        <w:rPr>
          <w:rFonts w:asciiTheme="minorHAnsi" w:hAnsiTheme="minorHAnsi" w:cs="Calibri"/>
          <w:color w:val="000000"/>
          <w:sz w:val="24"/>
          <w:szCs w:val="24"/>
        </w:rPr>
        <w:t xml:space="preserve">he district was not timely in reporting the incidents to its Title IX coordinator. </w:t>
      </w:r>
      <w:proofErr w:type="gramStart"/>
      <w:r w:rsidR="000A1B76" w:rsidRPr="006779C3">
        <w:rPr>
          <w:rFonts w:asciiTheme="minorHAnsi" w:hAnsiTheme="minorHAnsi" w:cs="Calibri"/>
          <w:color w:val="000000"/>
          <w:sz w:val="24"/>
          <w:szCs w:val="24"/>
        </w:rPr>
        <w:t>But</w:t>
      </w:r>
      <w:proofErr w:type="gramEnd"/>
      <w:r w:rsidR="000A1B76" w:rsidRPr="006779C3">
        <w:rPr>
          <w:rFonts w:asciiTheme="minorHAnsi" w:hAnsiTheme="minorHAnsi" w:cs="Calibri"/>
          <w:color w:val="000000"/>
          <w:sz w:val="24"/>
          <w:szCs w:val="24"/>
        </w:rPr>
        <w:t xml:space="preserve"> the district </w:t>
      </w:r>
      <w:r w:rsidRPr="006779C3">
        <w:rPr>
          <w:rFonts w:asciiTheme="minorHAnsi" w:hAnsiTheme="minorHAnsi" w:cs="Calibri"/>
          <w:color w:val="000000"/>
          <w:sz w:val="24"/>
          <w:szCs w:val="24"/>
        </w:rPr>
        <w:t>correctly</w:t>
      </w:r>
      <w:r w:rsidR="000A1B76" w:rsidRPr="006779C3">
        <w:rPr>
          <w:rFonts w:asciiTheme="minorHAnsi" w:hAnsiTheme="minorHAnsi" w:cs="Calibri"/>
          <w:color w:val="000000"/>
          <w:sz w:val="24"/>
          <w:szCs w:val="24"/>
        </w:rPr>
        <w:t xml:space="preserve"> </w:t>
      </w:r>
      <w:r w:rsidRPr="006779C3">
        <w:rPr>
          <w:rFonts w:asciiTheme="minorHAnsi" w:hAnsiTheme="minorHAnsi" w:cs="Calibri"/>
          <w:color w:val="000000"/>
          <w:sz w:val="24"/>
          <w:szCs w:val="24"/>
        </w:rPr>
        <w:t xml:space="preserve">identified </w:t>
      </w:r>
      <w:r w:rsidR="000A1B76" w:rsidRPr="006779C3">
        <w:rPr>
          <w:rFonts w:asciiTheme="minorHAnsi" w:hAnsiTheme="minorHAnsi" w:cs="Calibri"/>
          <w:color w:val="000000"/>
          <w:sz w:val="24"/>
          <w:szCs w:val="24"/>
        </w:rPr>
        <w:t xml:space="preserve">that the incidents constituted sexual harassment and </w:t>
      </w:r>
      <w:r w:rsidRPr="006779C3">
        <w:rPr>
          <w:rFonts w:asciiTheme="minorHAnsi" w:hAnsiTheme="minorHAnsi" w:cs="Calibri"/>
          <w:color w:val="000000"/>
          <w:sz w:val="24"/>
          <w:szCs w:val="24"/>
        </w:rPr>
        <w:t xml:space="preserve">demonstrated knowledge </w:t>
      </w:r>
      <w:r w:rsidR="000A1B76" w:rsidRPr="006779C3">
        <w:rPr>
          <w:rFonts w:asciiTheme="minorHAnsi" w:hAnsiTheme="minorHAnsi" w:cs="Calibri"/>
          <w:color w:val="000000"/>
          <w:sz w:val="24"/>
          <w:szCs w:val="24"/>
        </w:rPr>
        <w:t xml:space="preserve">that </w:t>
      </w:r>
      <w:r w:rsidR="00D35B11" w:rsidRPr="006779C3">
        <w:rPr>
          <w:rFonts w:asciiTheme="minorHAnsi" w:hAnsiTheme="minorHAnsi" w:cs="Calibri"/>
          <w:color w:val="000000"/>
          <w:sz w:val="24"/>
          <w:szCs w:val="24"/>
        </w:rPr>
        <w:t>reporting those incidents to a Title IX coordinator was required by law.</w:t>
      </w:r>
    </w:p>
    <w:p w14:paraId="5FAA8E44" w14:textId="77777777" w:rsidR="0082166E" w:rsidRPr="006779C3" w:rsidRDefault="0082166E" w:rsidP="00ED7D0F">
      <w:pPr>
        <w:spacing w:after="0"/>
        <w:jc w:val="both"/>
        <w:rPr>
          <w:rFonts w:asciiTheme="minorHAnsi" w:hAnsiTheme="minorHAnsi" w:cs="Calibri"/>
          <w:color w:val="000000"/>
          <w:sz w:val="24"/>
          <w:szCs w:val="24"/>
        </w:rPr>
      </w:pPr>
    </w:p>
    <w:p w14:paraId="44DFF746" w14:textId="1943EFBA" w:rsidR="00E24E1C" w:rsidRPr="006779C3" w:rsidRDefault="00703DEF" w:rsidP="00ED7D0F">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 xml:space="preserve">Finally, after the October </w:t>
      </w:r>
      <w:proofErr w:type="gramStart"/>
      <w:r w:rsidRPr="006779C3">
        <w:rPr>
          <w:rFonts w:asciiTheme="minorHAnsi" w:hAnsiTheme="minorHAnsi" w:cs="Calibri"/>
          <w:color w:val="000000"/>
          <w:sz w:val="24"/>
          <w:szCs w:val="24"/>
        </w:rPr>
        <w:t>22nd</w:t>
      </w:r>
      <w:proofErr w:type="gramEnd"/>
      <w:r w:rsidRPr="006779C3">
        <w:rPr>
          <w:rFonts w:asciiTheme="minorHAnsi" w:hAnsiTheme="minorHAnsi" w:cs="Calibri"/>
          <w:color w:val="000000"/>
          <w:sz w:val="24"/>
          <w:szCs w:val="24"/>
        </w:rPr>
        <w:t xml:space="preserve"> incident </w:t>
      </w:r>
      <w:r w:rsidR="00D35B11" w:rsidRPr="006779C3">
        <w:rPr>
          <w:rFonts w:asciiTheme="minorHAnsi" w:hAnsiTheme="minorHAnsi" w:cs="Calibri"/>
          <w:color w:val="000000"/>
          <w:sz w:val="24"/>
          <w:szCs w:val="24"/>
        </w:rPr>
        <w:t>the district</w:t>
      </w:r>
      <w:r w:rsidRPr="006779C3">
        <w:rPr>
          <w:rFonts w:asciiTheme="minorHAnsi" w:hAnsiTheme="minorHAnsi" w:cs="Calibri"/>
          <w:color w:val="000000"/>
          <w:sz w:val="24"/>
          <w:szCs w:val="24"/>
        </w:rPr>
        <w:t xml:space="preserve"> impleme</w:t>
      </w:r>
      <w:r w:rsidR="00D35B11" w:rsidRPr="006779C3">
        <w:rPr>
          <w:rFonts w:asciiTheme="minorHAnsi" w:hAnsiTheme="minorHAnsi" w:cs="Calibri"/>
          <w:color w:val="000000"/>
          <w:sz w:val="24"/>
          <w:szCs w:val="24"/>
        </w:rPr>
        <w:t>nted new measures to remedy the</w:t>
      </w:r>
      <w:r w:rsidRPr="006779C3">
        <w:rPr>
          <w:rFonts w:asciiTheme="minorHAnsi" w:hAnsiTheme="minorHAnsi" w:cs="Calibri"/>
          <w:color w:val="000000"/>
          <w:sz w:val="24"/>
          <w:szCs w:val="24"/>
        </w:rPr>
        <w:t xml:space="preserve"> harassment</w:t>
      </w:r>
      <w:r w:rsidR="00D35B11" w:rsidRPr="006779C3">
        <w:rPr>
          <w:rFonts w:asciiTheme="minorHAnsi" w:hAnsiTheme="minorHAnsi" w:cs="Calibri"/>
          <w:color w:val="000000"/>
          <w:sz w:val="24"/>
          <w:szCs w:val="24"/>
        </w:rPr>
        <w:t xml:space="preserve"> of Student A</w:t>
      </w:r>
      <w:r w:rsidRPr="006779C3">
        <w:rPr>
          <w:rFonts w:asciiTheme="minorHAnsi" w:hAnsiTheme="minorHAnsi" w:cs="Calibri"/>
          <w:color w:val="000000"/>
          <w:sz w:val="24"/>
          <w:szCs w:val="24"/>
        </w:rPr>
        <w:t xml:space="preserve">. Those measures effectively prevented </w:t>
      </w:r>
      <w:r w:rsidR="00D35B11" w:rsidRPr="006779C3">
        <w:rPr>
          <w:rFonts w:asciiTheme="minorHAnsi" w:hAnsiTheme="minorHAnsi" w:cs="Calibri"/>
          <w:color w:val="000000"/>
          <w:sz w:val="24"/>
          <w:szCs w:val="24"/>
        </w:rPr>
        <w:t xml:space="preserve">Student 1 from future contact with Student A, and thereby provided </w:t>
      </w:r>
      <w:r w:rsidRPr="006779C3">
        <w:rPr>
          <w:rFonts w:asciiTheme="minorHAnsi" w:hAnsiTheme="minorHAnsi" w:cs="Calibri"/>
          <w:color w:val="000000"/>
          <w:sz w:val="24"/>
          <w:szCs w:val="24"/>
        </w:rPr>
        <w:t xml:space="preserve">the students from having contact with one another, ending the sexual harassment </w:t>
      </w:r>
      <w:r w:rsidR="00D35B11" w:rsidRPr="006779C3">
        <w:rPr>
          <w:rFonts w:asciiTheme="minorHAnsi" w:hAnsiTheme="minorHAnsi" w:cs="Calibri"/>
          <w:color w:val="000000"/>
          <w:sz w:val="24"/>
          <w:szCs w:val="24"/>
        </w:rPr>
        <w:t xml:space="preserve">and, thereby, provided </w:t>
      </w:r>
      <w:r w:rsidR="002E0DD3" w:rsidRPr="006779C3">
        <w:rPr>
          <w:rFonts w:asciiTheme="minorHAnsi" w:hAnsiTheme="minorHAnsi" w:cs="Calibri"/>
          <w:color w:val="000000"/>
          <w:sz w:val="24"/>
          <w:szCs w:val="24"/>
        </w:rPr>
        <w:t>Student A with a learning environment free from sexual harassment.</w:t>
      </w:r>
    </w:p>
    <w:p w14:paraId="6CDAEB72" w14:textId="2587725F" w:rsidR="002E0DD3" w:rsidRPr="006779C3" w:rsidRDefault="002E0DD3" w:rsidP="00ED7D0F">
      <w:pPr>
        <w:spacing w:after="0"/>
        <w:jc w:val="both"/>
        <w:rPr>
          <w:rFonts w:asciiTheme="minorHAnsi" w:hAnsiTheme="minorHAnsi" w:cs="Calibri"/>
          <w:color w:val="000000"/>
          <w:sz w:val="24"/>
          <w:szCs w:val="24"/>
        </w:rPr>
      </w:pPr>
    </w:p>
    <w:p w14:paraId="1034BE87" w14:textId="3782E4F6" w:rsidR="005A596E" w:rsidRPr="006779C3" w:rsidRDefault="002E0DD3" w:rsidP="009C2A28">
      <w:pPr>
        <w:spacing w:after="0"/>
        <w:jc w:val="both"/>
        <w:rPr>
          <w:rFonts w:asciiTheme="minorHAnsi" w:hAnsiTheme="minorHAnsi" w:cs="Calibri"/>
          <w:color w:val="000000"/>
          <w:sz w:val="24"/>
          <w:szCs w:val="24"/>
        </w:rPr>
      </w:pPr>
      <w:r w:rsidRPr="006779C3">
        <w:rPr>
          <w:rFonts w:asciiTheme="minorHAnsi" w:hAnsiTheme="minorHAnsi" w:cs="Calibri"/>
          <w:color w:val="000000"/>
          <w:sz w:val="24"/>
          <w:szCs w:val="24"/>
        </w:rPr>
        <w:t>In consideration of the eviden</w:t>
      </w:r>
      <w:r w:rsidR="0082166E" w:rsidRPr="006779C3">
        <w:rPr>
          <w:rFonts w:asciiTheme="minorHAnsi" w:hAnsiTheme="minorHAnsi" w:cs="Calibri"/>
          <w:color w:val="000000"/>
          <w:sz w:val="24"/>
          <w:szCs w:val="24"/>
        </w:rPr>
        <w:t>ce</w:t>
      </w:r>
      <w:r w:rsidRPr="006779C3">
        <w:rPr>
          <w:rFonts w:asciiTheme="minorHAnsi" w:hAnsiTheme="minorHAnsi" w:cs="Calibri"/>
          <w:color w:val="000000"/>
          <w:sz w:val="24"/>
          <w:szCs w:val="24"/>
        </w:rPr>
        <w:t xml:space="preserve">, the department finds that the district </w:t>
      </w:r>
      <w:r w:rsidR="000A5454" w:rsidRPr="006779C3">
        <w:rPr>
          <w:rFonts w:asciiTheme="minorHAnsi" w:hAnsiTheme="minorHAnsi" w:cs="Calibri"/>
          <w:color w:val="000000"/>
          <w:sz w:val="24"/>
          <w:szCs w:val="24"/>
        </w:rPr>
        <w:t>is deficient because it did not timely report incidents of sexual harassment to its Title IX coordinator</w:t>
      </w:r>
      <w:r w:rsidRPr="006779C3">
        <w:rPr>
          <w:rFonts w:asciiTheme="minorHAnsi" w:hAnsiTheme="minorHAnsi" w:cs="Calibri"/>
          <w:color w:val="000000"/>
          <w:sz w:val="24"/>
          <w:szCs w:val="24"/>
        </w:rPr>
        <w:t>.</w:t>
      </w:r>
      <w:r w:rsidR="000A5454" w:rsidRPr="006779C3">
        <w:rPr>
          <w:rFonts w:asciiTheme="minorHAnsi" w:hAnsiTheme="minorHAnsi" w:cs="Calibri"/>
          <w:color w:val="000000"/>
          <w:sz w:val="24"/>
          <w:szCs w:val="24"/>
        </w:rPr>
        <w:t xml:space="preserve"> However, if any corrective action </w:t>
      </w:r>
      <w:proofErr w:type="gramStart"/>
      <w:r w:rsidR="000A5454" w:rsidRPr="006779C3">
        <w:rPr>
          <w:rFonts w:asciiTheme="minorHAnsi" w:hAnsiTheme="minorHAnsi" w:cs="Calibri"/>
          <w:color w:val="000000"/>
          <w:sz w:val="24"/>
          <w:szCs w:val="24"/>
        </w:rPr>
        <w:t>is issued</w:t>
      </w:r>
      <w:proofErr w:type="gramEnd"/>
      <w:r w:rsidR="000A5454" w:rsidRPr="006779C3">
        <w:rPr>
          <w:rFonts w:asciiTheme="minorHAnsi" w:hAnsiTheme="minorHAnsi" w:cs="Calibri"/>
          <w:color w:val="000000"/>
          <w:sz w:val="24"/>
          <w:szCs w:val="24"/>
        </w:rPr>
        <w:t xml:space="preserve"> in this case, </w:t>
      </w:r>
      <w:r w:rsidR="0051207A" w:rsidRPr="006779C3">
        <w:rPr>
          <w:rFonts w:asciiTheme="minorHAnsi" w:hAnsiTheme="minorHAnsi" w:cs="Calibri"/>
          <w:color w:val="000000"/>
          <w:sz w:val="24"/>
          <w:szCs w:val="24"/>
        </w:rPr>
        <w:t xml:space="preserve">the department will consider the district’s actions </w:t>
      </w:r>
      <w:r w:rsidR="0051207A" w:rsidRPr="006779C3">
        <w:rPr>
          <w:rFonts w:asciiTheme="minorHAnsi" w:hAnsiTheme="minorHAnsi" w:cs="Calibri"/>
          <w:i/>
          <w:color w:val="000000"/>
          <w:sz w:val="24"/>
          <w:szCs w:val="24"/>
        </w:rPr>
        <w:t>as a whole</w:t>
      </w:r>
      <w:r w:rsidR="0051207A" w:rsidRPr="006779C3">
        <w:rPr>
          <w:rFonts w:asciiTheme="minorHAnsi" w:hAnsiTheme="minorHAnsi" w:cs="Calibri"/>
          <w:color w:val="000000"/>
          <w:sz w:val="24"/>
          <w:szCs w:val="24"/>
        </w:rPr>
        <w:t xml:space="preserve"> in determining what corrective action would be suitable.</w:t>
      </w:r>
    </w:p>
    <w:p w14:paraId="48D4B90D" w14:textId="23CC0E00" w:rsidR="005A596E" w:rsidRPr="006779C3" w:rsidRDefault="005A596E" w:rsidP="009C2A28">
      <w:pPr>
        <w:spacing w:after="0"/>
        <w:jc w:val="both"/>
        <w:rPr>
          <w:rFonts w:asciiTheme="minorHAnsi" w:hAnsiTheme="minorHAnsi" w:cs="Calibri"/>
          <w:color w:val="000000"/>
          <w:sz w:val="24"/>
          <w:szCs w:val="24"/>
        </w:rPr>
      </w:pPr>
    </w:p>
    <w:p w14:paraId="3B4586C3" w14:textId="5B90B0E1" w:rsidR="009C2A28" w:rsidRPr="006779C3" w:rsidRDefault="00A06492" w:rsidP="009C2A28">
      <w:pPr>
        <w:spacing w:after="0"/>
        <w:jc w:val="center"/>
        <w:rPr>
          <w:rFonts w:asciiTheme="minorHAnsi" w:hAnsiTheme="minorHAnsi" w:cs="Calibri"/>
          <w:b/>
          <w:color w:val="000000"/>
          <w:sz w:val="24"/>
          <w:szCs w:val="24"/>
        </w:rPr>
      </w:pPr>
      <w:r w:rsidRPr="006779C3">
        <w:rPr>
          <w:rFonts w:asciiTheme="minorHAnsi" w:hAnsiTheme="minorHAnsi" w:cs="Calibri"/>
          <w:b/>
          <w:color w:val="000000"/>
          <w:sz w:val="24"/>
          <w:szCs w:val="24"/>
        </w:rPr>
        <w:t>CONCLUSION</w:t>
      </w:r>
    </w:p>
    <w:p w14:paraId="20E847FD" w14:textId="1AAF1536" w:rsidR="007469DA" w:rsidRPr="006779C3" w:rsidRDefault="007469DA" w:rsidP="007469DA">
      <w:pPr>
        <w:spacing w:after="0"/>
        <w:jc w:val="both"/>
        <w:rPr>
          <w:rFonts w:asciiTheme="minorHAnsi" w:hAnsiTheme="minorHAnsi" w:cs="Calibri"/>
          <w:color w:val="000000"/>
          <w:sz w:val="24"/>
          <w:szCs w:val="24"/>
        </w:rPr>
      </w:pPr>
    </w:p>
    <w:p w14:paraId="4183E82C" w14:textId="2360B680" w:rsidR="003902FD" w:rsidRPr="006779C3" w:rsidRDefault="0064307A" w:rsidP="002E0DD3">
      <w:pPr>
        <w:spacing w:before="100" w:beforeAutospacing="1" w:afterAutospacing="1"/>
        <w:contextualSpacing/>
        <w:jc w:val="both"/>
        <w:rPr>
          <w:rFonts w:asciiTheme="minorHAnsi" w:eastAsia="Times New Roman" w:hAnsiTheme="minorHAnsi" w:cstheme="minorHAnsi"/>
          <w:kern w:val="28"/>
          <w:sz w:val="24"/>
          <w:szCs w:val="24"/>
        </w:rPr>
      </w:pPr>
      <w:r w:rsidRPr="006779C3">
        <w:rPr>
          <w:rFonts w:asciiTheme="minorHAnsi" w:eastAsia="Times New Roman" w:hAnsiTheme="minorHAnsi" w:cstheme="minorHAnsi"/>
          <w:kern w:val="28"/>
          <w:sz w:val="24"/>
          <w:szCs w:val="24"/>
        </w:rPr>
        <w:t>In conclusion, the Oregon Dep</w:t>
      </w:r>
      <w:r w:rsidR="003D5D5B" w:rsidRPr="006779C3">
        <w:rPr>
          <w:rFonts w:asciiTheme="minorHAnsi" w:eastAsia="Times New Roman" w:hAnsiTheme="minorHAnsi" w:cstheme="minorHAnsi"/>
          <w:kern w:val="28"/>
          <w:sz w:val="24"/>
          <w:szCs w:val="24"/>
        </w:rPr>
        <w:t xml:space="preserve">artment of Education finds that </w:t>
      </w:r>
      <w:r w:rsidR="002E0DD3" w:rsidRPr="006779C3">
        <w:rPr>
          <w:rFonts w:asciiTheme="minorHAnsi" w:eastAsia="Times New Roman" w:hAnsiTheme="minorHAnsi" w:cstheme="minorHAnsi"/>
          <w:kern w:val="28"/>
          <w:sz w:val="24"/>
          <w:szCs w:val="24"/>
        </w:rPr>
        <w:t xml:space="preserve">Lincoln County School District </w:t>
      </w:r>
      <w:r w:rsidR="0051207A" w:rsidRPr="006779C3">
        <w:rPr>
          <w:rFonts w:asciiTheme="minorHAnsi" w:eastAsia="Times New Roman" w:hAnsiTheme="minorHAnsi" w:cstheme="minorHAnsi"/>
          <w:kern w:val="28"/>
          <w:sz w:val="24"/>
          <w:szCs w:val="24"/>
        </w:rPr>
        <w:t>violated</w:t>
      </w:r>
      <w:r w:rsidR="002E0DD3" w:rsidRPr="006779C3">
        <w:rPr>
          <w:rFonts w:asciiTheme="minorHAnsi" w:eastAsia="Times New Roman" w:hAnsiTheme="minorHAnsi" w:cstheme="minorHAnsi"/>
          <w:kern w:val="28"/>
          <w:sz w:val="24"/>
          <w:szCs w:val="24"/>
        </w:rPr>
        <w:t xml:space="preserve"> </w:t>
      </w:r>
      <w:r w:rsidR="0051207A" w:rsidRPr="006779C3">
        <w:rPr>
          <w:rFonts w:asciiTheme="minorHAnsi" w:eastAsia="Times New Roman" w:hAnsiTheme="minorHAnsi" w:cstheme="minorHAnsi"/>
          <w:kern w:val="28"/>
          <w:sz w:val="24"/>
          <w:szCs w:val="24"/>
        </w:rPr>
        <w:t>O</w:t>
      </w:r>
      <w:r w:rsidR="002E0DD3" w:rsidRPr="006779C3">
        <w:rPr>
          <w:rFonts w:asciiTheme="minorHAnsi" w:eastAsia="Times New Roman" w:hAnsiTheme="minorHAnsi" w:cstheme="minorHAnsi"/>
          <w:kern w:val="28"/>
          <w:sz w:val="24"/>
          <w:szCs w:val="24"/>
        </w:rPr>
        <w:t>RS 659.850</w:t>
      </w:r>
      <w:r w:rsidR="0051207A" w:rsidRPr="006779C3">
        <w:rPr>
          <w:rFonts w:asciiTheme="minorHAnsi" w:eastAsia="Times New Roman" w:hAnsiTheme="minorHAnsi" w:cstheme="minorHAnsi"/>
          <w:kern w:val="28"/>
          <w:sz w:val="24"/>
          <w:szCs w:val="24"/>
        </w:rPr>
        <w:t xml:space="preserve"> or OAR 581-021-0049(3) by not timely reporting incidents constituting sexual harassment to its Title IX coordinator.</w:t>
      </w:r>
    </w:p>
    <w:p w14:paraId="0D1D5ECE" w14:textId="3ACABD42" w:rsidR="00076BEF" w:rsidRPr="006779C3" w:rsidRDefault="00076BEF" w:rsidP="002E0DD3">
      <w:pPr>
        <w:spacing w:before="100" w:beforeAutospacing="1" w:afterAutospacing="1"/>
        <w:contextualSpacing/>
        <w:jc w:val="both"/>
        <w:rPr>
          <w:rFonts w:asciiTheme="minorHAnsi" w:eastAsia="Times New Roman" w:hAnsiTheme="minorHAnsi" w:cstheme="minorHAnsi"/>
          <w:kern w:val="28"/>
          <w:sz w:val="24"/>
          <w:szCs w:val="24"/>
        </w:rPr>
      </w:pPr>
    </w:p>
    <w:p w14:paraId="2587B5A9" w14:textId="66D8070A" w:rsidR="0051207A" w:rsidRPr="006779C3" w:rsidRDefault="0051207A" w:rsidP="0051207A">
      <w:pPr>
        <w:spacing w:after="0"/>
        <w:jc w:val="both"/>
        <w:rPr>
          <w:rFonts w:asciiTheme="minorHAnsi" w:hAnsiTheme="minorHAnsi" w:cstheme="minorHAnsi"/>
          <w:sz w:val="24"/>
          <w:szCs w:val="24"/>
        </w:rPr>
      </w:pPr>
      <w:r w:rsidRPr="006779C3">
        <w:rPr>
          <w:rFonts w:asciiTheme="minorHAnsi" w:hAnsiTheme="minorHAnsi" w:cstheme="minorHAnsi"/>
          <w:sz w:val="24"/>
          <w:szCs w:val="24"/>
        </w:rPr>
        <w:t xml:space="preserve">The department encourages Parent and the district to reach an agreement through conciliation. If an agreement </w:t>
      </w:r>
      <w:proofErr w:type="gramStart"/>
      <w:r w:rsidRPr="006779C3">
        <w:rPr>
          <w:rFonts w:asciiTheme="minorHAnsi" w:hAnsiTheme="minorHAnsi" w:cstheme="minorHAnsi"/>
          <w:sz w:val="24"/>
          <w:szCs w:val="24"/>
        </w:rPr>
        <w:t>cannot be reached</w:t>
      </w:r>
      <w:proofErr w:type="gramEnd"/>
      <w:r w:rsidRPr="006779C3">
        <w:rPr>
          <w:rFonts w:asciiTheme="minorHAnsi" w:hAnsiTheme="minorHAnsi" w:cstheme="minorHAnsi"/>
          <w:sz w:val="24"/>
          <w:szCs w:val="24"/>
        </w:rPr>
        <w:t xml:space="preserve"> through conciliation within 30 days, or at a time otherwise agreed to by the parties, the department will issue a final order.</w:t>
      </w:r>
    </w:p>
    <w:p w14:paraId="03D00D98" w14:textId="77777777" w:rsidR="0051207A" w:rsidRPr="006779C3" w:rsidRDefault="0051207A" w:rsidP="0051207A">
      <w:pPr>
        <w:spacing w:after="0"/>
        <w:jc w:val="both"/>
        <w:rPr>
          <w:rFonts w:asciiTheme="minorHAnsi" w:hAnsiTheme="minorHAnsi" w:cstheme="minorHAnsi"/>
          <w:sz w:val="24"/>
          <w:szCs w:val="24"/>
        </w:rPr>
      </w:pPr>
    </w:p>
    <w:p w14:paraId="55464BAD" w14:textId="77777777" w:rsidR="0051207A" w:rsidRPr="006779C3" w:rsidRDefault="0051207A" w:rsidP="0051207A">
      <w:pPr>
        <w:spacing w:after="0"/>
        <w:jc w:val="both"/>
        <w:rPr>
          <w:rFonts w:asciiTheme="minorHAnsi" w:hAnsiTheme="minorHAnsi" w:cstheme="minorHAnsi"/>
          <w:sz w:val="24"/>
          <w:szCs w:val="24"/>
        </w:rPr>
      </w:pPr>
      <w:r w:rsidRPr="006779C3">
        <w:rPr>
          <w:rFonts w:asciiTheme="minorHAnsi" w:hAnsiTheme="minorHAnsi" w:cstheme="minorHAnsi"/>
          <w:sz w:val="24"/>
          <w:szCs w:val="24"/>
        </w:rPr>
        <w:t>If Parent or the district wishes to use the department as a resource during conciliation, Parent or the district may contact the department.</w:t>
      </w:r>
      <w:r w:rsidRPr="006779C3">
        <w:rPr>
          <w:rStyle w:val="FootnoteReference"/>
          <w:rFonts w:asciiTheme="minorHAnsi" w:hAnsiTheme="minorHAnsi" w:cstheme="minorHAnsi"/>
          <w:sz w:val="24"/>
          <w:szCs w:val="24"/>
        </w:rPr>
        <w:footnoteReference w:id="22"/>
      </w:r>
    </w:p>
    <w:p w14:paraId="7223E6F0" w14:textId="77777777" w:rsidR="00105EE1" w:rsidRPr="006779C3" w:rsidRDefault="00105EE1"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665F7BCC" w14:textId="77777777" w:rsidR="00105EE1" w:rsidRPr="006779C3" w:rsidRDefault="00105EE1" w:rsidP="00105EE1">
      <w:pPr>
        <w:contextualSpacing/>
        <w:jc w:val="both"/>
        <w:rPr>
          <w:rFonts w:asciiTheme="minorHAnsi" w:hAnsiTheme="minorHAnsi" w:cstheme="minorHAnsi"/>
          <w:sz w:val="24"/>
          <w:szCs w:val="24"/>
        </w:rPr>
      </w:pPr>
      <w:r w:rsidRPr="006779C3">
        <w:rPr>
          <w:rFonts w:asciiTheme="minorHAnsi" w:hAnsiTheme="minorHAnsi" w:cstheme="minorHAnsi"/>
          <w:sz w:val="24"/>
          <w:szCs w:val="24"/>
        </w:rPr>
        <w:t xml:space="preserve">If you have any questions, please contact me.  </w:t>
      </w:r>
    </w:p>
    <w:p w14:paraId="781D2FA0" w14:textId="77777777" w:rsidR="00105EE1" w:rsidRPr="006779C3" w:rsidRDefault="00105EE1" w:rsidP="00105EE1">
      <w:pPr>
        <w:contextualSpacing/>
        <w:jc w:val="both"/>
        <w:rPr>
          <w:rFonts w:asciiTheme="minorHAnsi" w:hAnsiTheme="minorHAnsi" w:cstheme="minorHAnsi"/>
          <w:sz w:val="24"/>
          <w:szCs w:val="24"/>
        </w:rPr>
      </w:pPr>
    </w:p>
    <w:p w14:paraId="12B90A42" w14:textId="77777777" w:rsidR="00105EE1" w:rsidRPr="006779C3" w:rsidRDefault="00105EE1" w:rsidP="00105EE1">
      <w:pPr>
        <w:ind w:left="3600" w:firstLine="720"/>
        <w:contextualSpacing/>
        <w:rPr>
          <w:rFonts w:asciiTheme="minorHAnsi" w:hAnsiTheme="minorHAnsi" w:cstheme="minorHAnsi"/>
          <w:sz w:val="24"/>
          <w:szCs w:val="24"/>
        </w:rPr>
      </w:pPr>
      <w:r w:rsidRPr="006779C3">
        <w:rPr>
          <w:rFonts w:asciiTheme="minorHAnsi" w:hAnsiTheme="minorHAnsi" w:cstheme="minorHAnsi"/>
          <w:sz w:val="24"/>
          <w:szCs w:val="24"/>
        </w:rPr>
        <w:t xml:space="preserve">Sincerely, </w:t>
      </w:r>
    </w:p>
    <w:p w14:paraId="5FCB46A3" w14:textId="77777777" w:rsidR="00105EE1" w:rsidRPr="006779C3" w:rsidRDefault="00105EE1" w:rsidP="00105EE1">
      <w:pPr>
        <w:ind w:left="3600" w:firstLine="720"/>
        <w:contextualSpacing/>
        <w:rPr>
          <w:rFonts w:asciiTheme="minorHAnsi" w:hAnsiTheme="minorHAnsi" w:cstheme="minorHAnsi"/>
          <w:noProof/>
          <w:sz w:val="24"/>
          <w:szCs w:val="24"/>
        </w:rPr>
      </w:pPr>
      <w:r w:rsidRPr="006779C3">
        <w:rPr>
          <w:rFonts w:asciiTheme="minorHAnsi" w:hAnsiTheme="minorHAnsi" w:cstheme="minorHAnsi"/>
          <w:noProof/>
          <w:sz w:val="24"/>
          <w:szCs w:val="24"/>
        </w:rPr>
        <w:drawing>
          <wp:inline distT="0" distB="0" distL="0" distR="0" wp14:anchorId="706FF357" wp14:editId="11D754EF">
            <wp:extent cx="1414145" cy="963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1461D20E" w14:textId="77777777" w:rsidR="00105EE1" w:rsidRPr="006779C3" w:rsidRDefault="00105EE1" w:rsidP="00105EE1">
      <w:pPr>
        <w:ind w:left="3600" w:firstLine="720"/>
        <w:contextualSpacing/>
        <w:rPr>
          <w:rFonts w:asciiTheme="minorHAnsi" w:hAnsiTheme="minorHAnsi" w:cstheme="minorHAnsi"/>
          <w:sz w:val="24"/>
          <w:szCs w:val="24"/>
        </w:rPr>
      </w:pPr>
      <w:r w:rsidRPr="006779C3">
        <w:rPr>
          <w:rFonts w:asciiTheme="minorHAnsi" w:hAnsiTheme="minorHAnsi" w:cstheme="minorHAnsi"/>
          <w:sz w:val="24"/>
          <w:szCs w:val="24"/>
        </w:rPr>
        <w:t>Mark Mayer, Complaint and Appeals Coordinator</w:t>
      </w:r>
    </w:p>
    <w:p w14:paraId="07C419B6" w14:textId="77777777" w:rsidR="00105EE1" w:rsidRPr="006779C3" w:rsidRDefault="00105EE1" w:rsidP="00105EE1">
      <w:pPr>
        <w:ind w:left="3600" w:firstLine="720"/>
        <w:contextualSpacing/>
        <w:rPr>
          <w:rFonts w:asciiTheme="minorHAnsi" w:hAnsiTheme="minorHAnsi" w:cstheme="minorHAnsi"/>
          <w:sz w:val="24"/>
          <w:szCs w:val="24"/>
        </w:rPr>
      </w:pPr>
      <w:r w:rsidRPr="006779C3">
        <w:rPr>
          <w:rFonts w:asciiTheme="minorHAnsi" w:hAnsiTheme="minorHAnsi" w:cstheme="minorHAnsi"/>
          <w:sz w:val="24"/>
          <w:szCs w:val="24"/>
        </w:rPr>
        <w:t>Office of the Department</w:t>
      </w:r>
    </w:p>
    <w:sectPr w:rsidR="00105EE1" w:rsidRPr="006779C3"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C610" w14:textId="77777777" w:rsidR="00EF1B08" w:rsidRDefault="00EF1B08" w:rsidP="00CE459D">
      <w:pPr>
        <w:spacing w:after="0"/>
      </w:pPr>
      <w:r>
        <w:separator/>
      </w:r>
    </w:p>
  </w:endnote>
  <w:endnote w:type="continuationSeparator" w:id="0">
    <w:p w14:paraId="07A8AFCB" w14:textId="77777777" w:rsidR="00EF1B08" w:rsidRDefault="00EF1B08"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FA38" w14:textId="77777777" w:rsidR="00EF1B08" w:rsidRDefault="00EF1B08" w:rsidP="00B321D1">
    <w:pPr>
      <w:pStyle w:val="Header"/>
      <w:jc w:val="right"/>
    </w:pPr>
  </w:p>
  <w:p w14:paraId="28B2380C" w14:textId="77777777" w:rsidR="00EF1B08" w:rsidRDefault="00EF1B08"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60F7A19" w14:textId="77777777" w:rsidR="00EF1B08" w:rsidRDefault="00EF1B08" w:rsidP="00B25F74">
                          <w:pPr>
                            <w:pStyle w:val="Header"/>
                            <w:jc w:val="center"/>
                          </w:pPr>
                          <w:r w:rsidRPr="00456699">
                            <w:rPr>
                              <w:b/>
                              <w:sz w:val="24"/>
                              <w:szCs w:val="24"/>
                            </w:rPr>
                            <w:t>Oregon Department of Education</w:t>
                          </w:r>
                          <w:r>
                            <w:br/>
                            <w:t>255 Capitol St NE, Salem, OR 97310  |  Voice: 503-947-5600  | Fax: 503-378-5156  |  www.oregon.gov/ode</w:t>
                          </w:r>
                        </w:p>
                        <w:p w14:paraId="1ACBC8C2" w14:textId="77777777" w:rsidR="00EF1B08" w:rsidRDefault="00EF1B08"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60F7A19" w14:textId="77777777" w:rsidR="00EF1B08" w:rsidRDefault="00EF1B08" w:rsidP="00B25F74">
                    <w:pPr>
                      <w:pStyle w:val="Header"/>
                      <w:jc w:val="center"/>
                    </w:pPr>
                    <w:r w:rsidRPr="00456699">
                      <w:rPr>
                        <w:b/>
                        <w:sz w:val="24"/>
                        <w:szCs w:val="24"/>
                      </w:rPr>
                      <w:t>Oregon Department of Education</w:t>
                    </w:r>
                    <w:r>
                      <w:br/>
                      <w:t>255 Capitol St NE, Salem, OR 97310  |  Voice: 503-947-5600  | Fax: 503-378-5156  |  www.oregon.gov/ode</w:t>
                    </w:r>
                  </w:p>
                  <w:p w14:paraId="1ACBC8C2" w14:textId="77777777" w:rsidR="00EF1B08" w:rsidRDefault="00EF1B08"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561D" w14:textId="77777777" w:rsidR="00EF1B08" w:rsidRDefault="00EF1B08">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683ABB8" w14:textId="77777777" w:rsidR="00EF1B08" w:rsidRDefault="00EF1B08" w:rsidP="00277DA1">
                          <w:pPr>
                            <w:pStyle w:val="Header"/>
                            <w:jc w:val="center"/>
                          </w:pPr>
                          <w:r>
                            <w:t>255 Capitol St NE, Salem, OR 97310  |  Voice: 503-947-5600  | Fax: 503-378-5156  |  www.oregon.gov/ode</w:t>
                          </w:r>
                        </w:p>
                        <w:p w14:paraId="345F9F3D" w14:textId="77777777" w:rsidR="00EF1B08" w:rsidRDefault="00EF1B08"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7683ABB8" w14:textId="77777777" w:rsidR="00EF1B08" w:rsidRDefault="00EF1B08" w:rsidP="00277DA1">
                    <w:pPr>
                      <w:pStyle w:val="Header"/>
                      <w:jc w:val="center"/>
                    </w:pPr>
                    <w:r>
                      <w:t>255 Capitol St NE, Salem, OR 97310  |  Voice: 503-947-5600  | Fax: 503-378-5156  |  www.oregon.gov/ode</w:t>
                    </w:r>
                  </w:p>
                  <w:p w14:paraId="345F9F3D" w14:textId="77777777" w:rsidR="00EF1B08" w:rsidRDefault="00EF1B08"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4EDB" w14:textId="77777777" w:rsidR="00EF1B08" w:rsidRDefault="00EF1B08" w:rsidP="00B321D1">
    <w:pPr>
      <w:pStyle w:val="Header"/>
      <w:jc w:val="right"/>
    </w:pPr>
  </w:p>
  <w:p w14:paraId="15BB1871" w14:textId="77777777" w:rsidR="00EF1B08" w:rsidRDefault="00EF1B08"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5461BE" w14:textId="77777777" w:rsidR="00EF1B08" w:rsidRDefault="00EF1B08" w:rsidP="00B25F74">
                          <w:pPr>
                            <w:pStyle w:val="Header"/>
                            <w:jc w:val="center"/>
                          </w:pPr>
                          <w:r w:rsidRPr="00456699">
                            <w:rPr>
                              <w:b/>
                              <w:sz w:val="24"/>
                              <w:szCs w:val="24"/>
                            </w:rPr>
                            <w:t>Oregon Department of Education</w:t>
                          </w:r>
                          <w:r>
                            <w:br/>
                            <w:t>255 Capitol St NE, Salem, OR 97310  |  Voice: 503-947-5600  | Fax: 503-378-5156  |  www.oregon.gov/ode</w:t>
                          </w:r>
                        </w:p>
                        <w:p w14:paraId="333672F1" w14:textId="77777777" w:rsidR="00EF1B08" w:rsidRDefault="00EF1B08"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F5461BE" w14:textId="77777777" w:rsidR="00EF1B08" w:rsidRDefault="00EF1B08" w:rsidP="00B25F74">
                    <w:pPr>
                      <w:pStyle w:val="Header"/>
                      <w:jc w:val="center"/>
                    </w:pPr>
                    <w:r w:rsidRPr="00456699">
                      <w:rPr>
                        <w:b/>
                        <w:sz w:val="24"/>
                        <w:szCs w:val="24"/>
                      </w:rPr>
                      <w:t>Oregon Department of Education</w:t>
                    </w:r>
                    <w:r>
                      <w:br/>
                      <w:t>255 Capitol St NE, Salem, OR 97310  |  Voice: 503-947-5600  | Fax: 503-378-5156  |  www.oregon.gov/ode</w:t>
                    </w:r>
                  </w:p>
                  <w:p w14:paraId="333672F1" w14:textId="77777777" w:rsidR="00EF1B08" w:rsidRDefault="00EF1B08"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5730" w14:textId="77777777" w:rsidR="00EF1B08" w:rsidRDefault="00EF1B08">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4990099" w14:textId="77777777" w:rsidR="00EF1B08" w:rsidRDefault="00EF1B08" w:rsidP="00277DA1">
                          <w:pPr>
                            <w:pStyle w:val="Header"/>
                            <w:jc w:val="center"/>
                          </w:pPr>
                          <w:r>
                            <w:t>255 Capitol St NE, Salem, OR 97310  |  Voice: 503-947-5600  | Fax: 503-378-5156  |  www.oregon.gov/ode</w:t>
                          </w:r>
                        </w:p>
                        <w:p w14:paraId="6CB8C4A5" w14:textId="77777777" w:rsidR="00EF1B08" w:rsidRDefault="00EF1B08"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34990099" w14:textId="77777777" w:rsidR="00EF1B08" w:rsidRDefault="00EF1B08" w:rsidP="00277DA1">
                    <w:pPr>
                      <w:pStyle w:val="Header"/>
                      <w:jc w:val="center"/>
                    </w:pPr>
                    <w:r>
                      <w:t>255 Capitol St NE, Salem, OR 97310  |  Voice: 503-947-5600  | Fax: 503-378-5156  |  www.oregon.gov/ode</w:t>
                    </w:r>
                  </w:p>
                  <w:p w14:paraId="6CB8C4A5" w14:textId="77777777" w:rsidR="00EF1B08" w:rsidRDefault="00EF1B08"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D0C8A" w14:textId="77777777" w:rsidR="00EF1B08" w:rsidRDefault="00EF1B08" w:rsidP="00CE459D">
      <w:pPr>
        <w:spacing w:after="0"/>
      </w:pPr>
      <w:r>
        <w:separator/>
      </w:r>
    </w:p>
  </w:footnote>
  <w:footnote w:type="continuationSeparator" w:id="0">
    <w:p w14:paraId="57B38FD1" w14:textId="77777777" w:rsidR="00EF1B08" w:rsidRDefault="00EF1B08" w:rsidP="00CE459D">
      <w:pPr>
        <w:spacing w:after="0"/>
      </w:pPr>
      <w:r>
        <w:continuationSeparator/>
      </w:r>
    </w:p>
  </w:footnote>
  <w:footnote w:id="1">
    <w:p w14:paraId="4D2EB5E7" w14:textId="77777777" w:rsidR="00EF1B08" w:rsidRDefault="00EF1B08" w:rsidP="004643F1">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14:paraId="14054DBD" w14:textId="77777777" w:rsidR="00EF1B08" w:rsidRPr="00BC2090" w:rsidRDefault="00EF1B08" w:rsidP="004643F1">
      <w:pPr>
        <w:pStyle w:val="FootnoteText"/>
        <w:rPr>
          <w:rFonts w:asciiTheme="minorHAnsi" w:hAnsiTheme="minorHAnsi" w:cstheme="minorBidi"/>
        </w:rPr>
      </w:pPr>
      <w:r>
        <w:rPr>
          <w:rStyle w:val="FootnoteReference"/>
        </w:rPr>
        <w:footnoteRef/>
      </w:r>
      <w:r>
        <w:t xml:space="preserve"> </w:t>
      </w:r>
      <w:r>
        <w:rPr>
          <w:iCs/>
        </w:rPr>
        <w:t>OAR 581-002-0009.</w:t>
      </w:r>
    </w:p>
  </w:footnote>
  <w:footnote w:id="3">
    <w:p w14:paraId="2A8417F0" w14:textId="77777777" w:rsidR="00EF1B08" w:rsidRDefault="00EF1B08" w:rsidP="004643F1">
      <w:pPr>
        <w:pStyle w:val="FootnoteText"/>
      </w:pPr>
      <w:r>
        <w:rPr>
          <w:rStyle w:val="FootnoteReference"/>
        </w:rPr>
        <w:footnoteRef/>
      </w:r>
      <w:r>
        <w:t xml:space="preserve"> OAR 581-002-0009(3)(a)(A).</w:t>
      </w:r>
    </w:p>
  </w:footnote>
  <w:footnote w:id="4">
    <w:p w14:paraId="28972895" w14:textId="77777777" w:rsidR="00EF1B08" w:rsidRPr="00BC2090" w:rsidRDefault="00EF1B08" w:rsidP="004643F1">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5">
    <w:p w14:paraId="49FCA02A" w14:textId="77777777" w:rsidR="00EF1B08" w:rsidRDefault="00EF1B08" w:rsidP="004643F1">
      <w:pPr>
        <w:pStyle w:val="FootnoteText"/>
      </w:pPr>
      <w:r>
        <w:rPr>
          <w:rStyle w:val="FootnoteReference"/>
        </w:rPr>
        <w:footnoteRef/>
      </w:r>
      <w:r>
        <w:t xml:space="preserve"> OAR 581-002-0009(3)(a)(B).</w:t>
      </w:r>
    </w:p>
  </w:footnote>
  <w:footnote w:id="6">
    <w:p w14:paraId="7B994265" w14:textId="77777777" w:rsidR="00EF1B08" w:rsidRDefault="00EF1B08" w:rsidP="004643F1">
      <w:pPr>
        <w:pStyle w:val="FootnoteText"/>
      </w:pPr>
      <w:r>
        <w:rPr>
          <w:rStyle w:val="FootnoteReference"/>
        </w:rPr>
        <w:footnoteRef/>
      </w:r>
      <w:r>
        <w:t xml:space="preserve"> </w:t>
      </w:r>
      <w:r>
        <w:rPr>
          <w:rFonts w:ascii="Arial" w:hAnsi="Arial" w:cs="Arial"/>
          <w:sz w:val="18"/>
          <w:szCs w:val="18"/>
        </w:rPr>
        <w:t>OAR 581-002-0009(3)(b).</w:t>
      </w:r>
    </w:p>
  </w:footnote>
  <w:footnote w:id="7">
    <w:p w14:paraId="6FD0EC9A" w14:textId="0879EF95" w:rsidR="00EF1B08" w:rsidRPr="00F00BA5" w:rsidRDefault="00EF1B08" w:rsidP="00F00BA5">
      <w:pPr>
        <w:pStyle w:val="FootnoteText"/>
        <w:jc w:val="both"/>
      </w:pPr>
      <w:r>
        <w:rPr>
          <w:rStyle w:val="FootnoteReference"/>
        </w:rPr>
        <w:footnoteRef/>
      </w:r>
      <w:r>
        <w:t xml:space="preserve"> </w:t>
      </w:r>
      <w:r>
        <w:rPr>
          <w:i/>
        </w:rPr>
        <w:t xml:space="preserve">See </w:t>
      </w:r>
      <w:r>
        <w:t>OAR 581-002-0005(1</w:t>
      </w:r>
      <w:proofErr w:type="gramStart"/>
      <w:r>
        <w:t>)(</w:t>
      </w:r>
      <w:proofErr w:type="gramEnd"/>
      <w:r>
        <w:t>a)(B) (“[A]n appeal must be from a final decision by a district. A decision is a final decision by a district if . . . [i]n a complaint process with more than one step, the district fails to render a written decision within 30 days of the submission of the complaint at any step, unless the district and complainant have agreed in    writing to a longer period of time for that step[.]”).</w:t>
      </w:r>
    </w:p>
  </w:footnote>
  <w:footnote w:id="8">
    <w:p w14:paraId="0AF67D6B" w14:textId="39D24EBA" w:rsidR="00EF1B08" w:rsidRDefault="00EF1B08" w:rsidP="007B23B0">
      <w:pPr>
        <w:pStyle w:val="FootnoteText"/>
        <w:jc w:val="both"/>
      </w:pPr>
      <w:r>
        <w:rPr>
          <w:rStyle w:val="FootnoteReference"/>
        </w:rPr>
        <w:footnoteRef/>
      </w:r>
      <w:r>
        <w:t xml:space="preserve"> Student 1 exhibited problematic behaviors throughout the 2019-2020 school year, some of which were directed at Student A, most of which were not. This order does not specifically discuss behaviors not directed at Student A. However, in analyzing whether the district discriminated against Student A, the department gives weight to the fact that plans implemented by the district to address Student 1’s behaviors necessarily had to incorporate both measures to protect Student A and measures to address other behaviors. This order only provides the details of the plans insofar as they apply to the protection of Student A. This order does not provide the details of plans that apply to the other behaviors.</w:t>
      </w:r>
    </w:p>
  </w:footnote>
  <w:footnote w:id="9">
    <w:p w14:paraId="1E42B3C4" w14:textId="508BEBD8" w:rsidR="00EE6BD0" w:rsidRPr="00EE6BD0" w:rsidRDefault="00EE6BD0">
      <w:pPr>
        <w:pStyle w:val="FootnoteText"/>
      </w:pPr>
      <w:r>
        <w:rPr>
          <w:rStyle w:val="FootnoteReference"/>
        </w:rPr>
        <w:footnoteRef/>
      </w:r>
      <w:r>
        <w:t xml:space="preserve"> </w:t>
      </w:r>
      <w:r>
        <w:rPr>
          <w:i/>
        </w:rPr>
        <w:t xml:space="preserve">See supra </w:t>
      </w:r>
      <w:r>
        <w:t>note 8.</w:t>
      </w:r>
    </w:p>
  </w:footnote>
  <w:footnote w:id="10">
    <w:p w14:paraId="63A4C9EA" w14:textId="7A0F7C9D" w:rsidR="00EF1B08" w:rsidRPr="001029C2" w:rsidRDefault="00EF1B08">
      <w:pPr>
        <w:pStyle w:val="FootnoteText"/>
      </w:pPr>
      <w:r>
        <w:rPr>
          <w:rStyle w:val="FootnoteReference"/>
        </w:rPr>
        <w:footnoteRef/>
      </w:r>
      <w:r>
        <w:t xml:space="preserve"> </w:t>
      </w:r>
      <w:r>
        <w:rPr>
          <w:i/>
        </w:rPr>
        <w:t xml:space="preserve">See supra </w:t>
      </w:r>
      <w:r>
        <w:t>note 8.</w:t>
      </w:r>
    </w:p>
  </w:footnote>
  <w:footnote w:id="11">
    <w:p w14:paraId="02D61DBB" w14:textId="180AEE2A" w:rsidR="007C58FA" w:rsidRPr="007C58FA" w:rsidRDefault="007C58FA">
      <w:pPr>
        <w:pStyle w:val="FootnoteText"/>
      </w:pPr>
      <w:r>
        <w:rPr>
          <w:rStyle w:val="FootnoteReference"/>
        </w:rPr>
        <w:footnoteRef/>
      </w:r>
      <w:r>
        <w:t xml:space="preserve"> </w:t>
      </w:r>
      <w:r>
        <w:rPr>
          <w:i/>
        </w:rPr>
        <w:t xml:space="preserve">See supra </w:t>
      </w:r>
      <w:r>
        <w:t>note 8.</w:t>
      </w:r>
    </w:p>
  </w:footnote>
  <w:footnote w:id="12">
    <w:p w14:paraId="1C1AA440" w14:textId="5BDCE618" w:rsidR="007C58FA" w:rsidRDefault="007C58FA" w:rsidP="007C58FA">
      <w:pPr>
        <w:pStyle w:val="FootnoteText"/>
        <w:jc w:val="both"/>
      </w:pPr>
      <w:r>
        <w:rPr>
          <w:rStyle w:val="FootnoteReference"/>
        </w:rPr>
        <w:footnoteRef/>
      </w:r>
      <w:r>
        <w:t xml:space="preserve"> Lincoln County School District, </w:t>
      </w:r>
      <w:r w:rsidRPr="00601731">
        <w:rPr>
          <w:i/>
        </w:rPr>
        <w:t>PBIS Staff Handbook</w:t>
      </w:r>
      <w:r>
        <w:t>, Module 4: LCSD Behavior Data Collection, pg. 30</w:t>
      </w:r>
      <w:r w:rsidR="00601731">
        <w:t>.</w:t>
      </w:r>
    </w:p>
  </w:footnote>
  <w:footnote w:id="13">
    <w:p w14:paraId="1AE4892E" w14:textId="77777777" w:rsidR="00EF1B08" w:rsidRDefault="00EF1B08" w:rsidP="00ED7D0F">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4">
    <w:p w14:paraId="4C6F5D43" w14:textId="77777777" w:rsidR="00EF1B08" w:rsidRDefault="00EF1B08" w:rsidP="00ED7D0F">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5">
    <w:p w14:paraId="6759ABFA" w14:textId="77777777" w:rsidR="00EF1B08" w:rsidRPr="001A6AF1" w:rsidRDefault="00EF1B08" w:rsidP="00ED7D0F">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16">
    <w:p w14:paraId="76279173" w14:textId="30FDAFC5" w:rsidR="00EF1B08" w:rsidRDefault="00EF1B08" w:rsidP="00ED7D0F">
      <w:pPr>
        <w:pStyle w:val="FootnoteText"/>
        <w:jc w:val="both"/>
      </w:pPr>
      <w:r>
        <w:rPr>
          <w:rStyle w:val="FootnoteReference"/>
        </w:rPr>
        <w:footnoteRef/>
      </w:r>
      <w:r>
        <w:t xml:space="preserve"> </w:t>
      </w:r>
      <w:r w:rsidR="00BD0CC5">
        <w:t>F</w:t>
      </w:r>
      <w:r>
        <w:t xml:space="preserve">ederal laws, regulations, judicial opinions, and documents published by the Office </w:t>
      </w:r>
      <w:r w:rsidR="000D2449">
        <w:t>for</w:t>
      </w:r>
      <w:r>
        <w:t xml:space="preserve"> Civil Rights</w:t>
      </w:r>
      <w:r w:rsidRPr="00F31D37">
        <w:t xml:space="preserve"> </w:t>
      </w:r>
      <w:r>
        <w:t>interpreting those la</w:t>
      </w:r>
      <w:r w:rsidR="00BD0CC5">
        <w:t xml:space="preserve">ws, regulations, and documents </w:t>
      </w:r>
      <w:r>
        <w:t>use different terms to describe schools and the other educational entities to which they apply. This order uses the term “educational institution” in lieu of those terms in order to communicate the content of the laws, regulations, and documents i</w:t>
      </w:r>
      <w:r w:rsidR="00BD0CC5">
        <w:t>n an easy to understand manner.</w:t>
      </w:r>
    </w:p>
  </w:footnote>
  <w:footnote w:id="17">
    <w:p w14:paraId="6703DDBD" w14:textId="25A58E77" w:rsidR="00EF1B08" w:rsidRPr="003C688D" w:rsidRDefault="00EF1B08" w:rsidP="00ED7D0F">
      <w:pPr>
        <w:pStyle w:val="FootnoteText"/>
        <w:jc w:val="both"/>
      </w:pPr>
      <w:r>
        <w:rPr>
          <w:rStyle w:val="FootnoteReference"/>
        </w:rPr>
        <w:footnoteRef/>
      </w:r>
      <w:r>
        <w:t xml:space="preserve"> United States Department of Education Office for Civil Rights, </w:t>
      </w:r>
      <w:r>
        <w:rPr>
          <w:i/>
        </w:rPr>
        <w:t>Revised Sexual Harassment Guidance: Harassment of Studen</w:t>
      </w:r>
      <w:r w:rsidR="00EB7A53">
        <w:rPr>
          <w:i/>
        </w:rPr>
        <w:t>ts by School Employees, Other St</w:t>
      </w:r>
      <w:r>
        <w:rPr>
          <w:i/>
        </w:rPr>
        <w:t>udents, or Third Parties</w:t>
      </w:r>
      <w:r>
        <w:t>, 2 (2001), a</w:t>
      </w:r>
      <w:r>
        <w:rPr>
          <w:i/>
        </w:rPr>
        <w:t>vailable at</w:t>
      </w:r>
      <w:r>
        <w:t xml:space="preserve">: </w:t>
      </w:r>
      <w:hyperlink r:id="rId1" w:anchor="_ednref6" w:history="1">
        <w:r w:rsidRPr="005F1332">
          <w:rPr>
            <w:rStyle w:val="Hyperlink"/>
          </w:rPr>
          <w:t>https://www2.ed.gov/about/offices/list/ocr/docs/shguide.html#_ednref6</w:t>
        </w:r>
      </w:hyperlink>
      <w:r>
        <w:t xml:space="preserve">. </w:t>
      </w:r>
      <w:r>
        <w:rPr>
          <w:i/>
        </w:rPr>
        <w:t xml:space="preserve">See </w:t>
      </w:r>
      <w:r>
        <w:t xml:space="preserve">Franklin v. Gwinnett County Public School, 503 U.S. 60, 63 (1992) (finding kissing and sexual intercourse to be sexual harassment and subject to protections of Title IX). </w:t>
      </w:r>
      <w:r w:rsidRPr="00B67117">
        <w:rPr>
          <w:i/>
        </w:rPr>
        <w:t>See also</w:t>
      </w:r>
      <w:r>
        <w:t xml:space="preserve"> Davis v. Monroe County Board of Education, 526 U.S. 629, 653 (1999) (finding “numerous acts of objectively offensive touching” to be sexual harassment and subject to protections of Title IX).</w:t>
      </w:r>
    </w:p>
  </w:footnote>
  <w:footnote w:id="18">
    <w:p w14:paraId="79D876C8" w14:textId="77777777" w:rsidR="00EF1B08" w:rsidRDefault="00EF1B08" w:rsidP="00182EBA">
      <w:pPr>
        <w:pStyle w:val="FootnoteText"/>
      </w:pPr>
      <w:r>
        <w:rPr>
          <w:rStyle w:val="FootnoteReference"/>
        </w:rPr>
        <w:footnoteRef/>
      </w:r>
      <w:r>
        <w:t xml:space="preserve"> </w:t>
      </w:r>
      <w:r w:rsidRPr="00182EBA">
        <w:rPr>
          <w:i/>
        </w:rPr>
        <w:t>Id.</w:t>
      </w:r>
    </w:p>
  </w:footnote>
  <w:footnote w:id="19">
    <w:p w14:paraId="08732FB9" w14:textId="77777777" w:rsidR="00513472" w:rsidRPr="00555A11" w:rsidRDefault="00513472" w:rsidP="00513472">
      <w:pPr>
        <w:pStyle w:val="FootnoteText"/>
        <w:jc w:val="both"/>
      </w:pPr>
      <w:r>
        <w:rPr>
          <w:rStyle w:val="FootnoteReference"/>
        </w:rPr>
        <w:footnoteRef/>
      </w:r>
      <w:r>
        <w:t xml:space="preserve"> </w:t>
      </w:r>
      <w:r w:rsidRPr="00555A11">
        <w:rPr>
          <w:i/>
        </w:rPr>
        <w:t xml:space="preserve">See </w:t>
      </w:r>
      <w:r w:rsidRPr="00555A11">
        <w:t xml:space="preserve">34 C.F.R. § 106.8 (requiring </w:t>
      </w:r>
      <w:r w:rsidRPr="00555A11">
        <w:rPr>
          <w:rFonts w:cs="Calibri"/>
          <w:color w:val="000000"/>
        </w:rPr>
        <w:t>educational entities to designate at least one employee to serve as a Title IX coordinator and making Title IX coordinators responsible for investigating Title IX complaints and coordinating educational entities’ efforts to comply with Title IX responsibilities).</w:t>
      </w:r>
    </w:p>
  </w:footnote>
  <w:footnote w:id="20">
    <w:p w14:paraId="2E07BB57" w14:textId="77777777" w:rsidR="00513472" w:rsidRDefault="00513472" w:rsidP="00513472">
      <w:pPr>
        <w:pStyle w:val="FootnoteText"/>
      </w:pPr>
      <w:r>
        <w:rPr>
          <w:rStyle w:val="FootnoteReference"/>
        </w:rPr>
        <w:footnoteRef/>
      </w:r>
      <w:r>
        <w:t xml:space="preserve"> </w:t>
      </w:r>
      <w:proofErr w:type="gramStart"/>
      <w:r w:rsidRPr="004207A5">
        <w:t>34</w:t>
      </w:r>
      <w:proofErr w:type="gramEnd"/>
      <w:r w:rsidRPr="004207A5">
        <w:t xml:space="preserve"> C.F.R. § 106.8</w:t>
      </w:r>
      <w:r>
        <w:t>.</w:t>
      </w:r>
    </w:p>
  </w:footnote>
  <w:footnote w:id="21">
    <w:p w14:paraId="79AAC1BB" w14:textId="77777777" w:rsidR="00513472" w:rsidRPr="0001307A" w:rsidRDefault="00513472" w:rsidP="00513472">
      <w:pPr>
        <w:pStyle w:val="FootnoteText"/>
      </w:pPr>
      <w:r>
        <w:rPr>
          <w:rStyle w:val="FootnoteReference"/>
        </w:rPr>
        <w:footnoteRef/>
      </w:r>
      <w:r>
        <w:t xml:space="preserve"> </w:t>
      </w:r>
      <w:r>
        <w:rPr>
          <w:i/>
        </w:rPr>
        <w:t>Id</w:t>
      </w:r>
      <w:r>
        <w:t>.</w:t>
      </w:r>
    </w:p>
  </w:footnote>
  <w:footnote w:id="22">
    <w:p w14:paraId="04D20B3C" w14:textId="77777777" w:rsidR="0051207A" w:rsidRDefault="0051207A" w:rsidP="0051207A">
      <w:pPr>
        <w:pStyle w:val="FootnoteText"/>
        <w:jc w:val="both"/>
      </w:pPr>
      <w:r>
        <w:rPr>
          <w:rStyle w:val="FootnoteReference"/>
        </w:rPr>
        <w:footnoteRef/>
      </w:r>
      <w:r>
        <w:t xml:space="preserve"> The department’s Title IX expert is Katherine Hildebrandt. She may be reached </w:t>
      </w:r>
      <w:proofErr w:type="gramStart"/>
      <w:r>
        <w:t>at:</w:t>
      </w:r>
      <w:proofErr w:type="gramEnd"/>
      <w:r>
        <w:t xml:space="preserve"> </w:t>
      </w:r>
      <w:hyperlink r:id="rId2" w:history="1">
        <w:r w:rsidRPr="005F1332">
          <w:rPr>
            <w:rStyle w:val="Hyperlink"/>
          </w:rPr>
          <w:t>Katherine.Hildebrandt@ode.state.or.us</w:t>
        </w:r>
      </w:hyperlink>
      <w:r>
        <w:rPr>
          <w:rStyle w:val="Hyperlink"/>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5A4B" w14:textId="77777777" w:rsidR="00EF1B08" w:rsidRDefault="00EF1B08"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3EEBDD77" w14:textId="77777777" w:rsidR="00EF1B08" w:rsidRDefault="00EF1B08" w:rsidP="005A4CC9">
    <w:pPr>
      <w:pStyle w:val="Header"/>
      <w:tabs>
        <w:tab w:val="left" w:pos="495"/>
        <w:tab w:val="left" w:pos="1980"/>
        <w:tab w:val="left" w:pos="2070"/>
      </w:tabs>
    </w:pPr>
    <w:r>
      <w:tab/>
    </w:r>
    <w:r>
      <w:tab/>
    </w:r>
    <w:r>
      <w:tab/>
    </w:r>
  </w:p>
  <w:p w14:paraId="799BFF8F" w14:textId="77777777" w:rsidR="00EF1B08" w:rsidRDefault="00EF1B08"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E27A" w14:textId="77777777" w:rsidR="00EF1B08" w:rsidRPr="0054305C" w:rsidRDefault="00EF1B08"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9E07" w14:textId="77777777" w:rsidR="00EF1B08" w:rsidRPr="001910E5" w:rsidRDefault="00EF1B0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079E07" w14:textId="77777777" w:rsidR="00EF1B08" w:rsidRPr="001910E5" w:rsidRDefault="00EF1B0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BB22D"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1E65A49" w14:textId="77777777" w:rsidR="00EF1B08" w:rsidRPr="0054305C" w:rsidRDefault="00EF1B08"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1546D1C" w14:textId="77777777" w:rsidR="00EF1B08" w:rsidRPr="001910E5" w:rsidRDefault="00EF1B08" w:rsidP="00394A58">
                          <w:pPr>
                            <w:spacing w:after="0"/>
                            <w:jc w:val="right"/>
                            <w:rPr>
                              <w:rFonts w:cs="Calibri"/>
                              <w:b/>
                              <w:sz w:val="22"/>
                              <w:szCs w:val="22"/>
                            </w:rPr>
                          </w:pPr>
                          <w:r>
                            <w:rPr>
                              <w:rFonts w:cs="Calibri"/>
                              <w:b/>
                              <w:sz w:val="22"/>
                              <w:szCs w:val="22"/>
                            </w:rPr>
                            <w:t>Colt Gill</w:t>
                          </w:r>
                        </w:p>
                        <w:p w14:paraId="0EEA943B" w14:textId="69E5A82D" w:rsidR="00EF1B08" w:rsidRPr="001910E5" w:rsidRDefault="00EF1B08"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1546D1C" w14:textId="77777777" w:rsidR="00EF1B08" w:rsidRPr="001910E5" w:rsidRDefault="00EF1B08" w:rsidP="00394A58">
                    <w:pPr>
                      <w:spacing w:after="0"/>
                      <w:jc w:val="right"/>
                      <w:rPr>
                        <w:rFonts w:cs="Calibri"/>
                        <w:b/>
                        <w:sz w:val="22"/>
                        <w:szCs w:val="22"/>
                      </w:rPr>
                    </w:pPr>
                    <w:r>
                      <w:rPr>
                        <w:rFonts w:cs="Calibri"/>
                        <w:b/>
                        <w:sz w:val="22"/>
                        <w:szCs w:val="22"/>
                      </w:rPr>
                      <w:t>Colt Gill</w:t>
                    </w:r>
                  </w:p>
                  <w:p w14:paraId="0EEA943B" w14:textId="69E5A82D" w:rsidR="00EF1B08" w:rsidRPr="001910E5" w:rsidRDefault="00EF1B08"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E83C4"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1D82" w14:textId="77777777" w:rsidR="00EF1B08" w:rsidRDefault="00EF1B08" w:rsidP="005A4CC9">
    <w:pPr>
      <w:pStyle w:val="Header"/>
      <w:tabs>
        <w:tab w:val="left" w:pos="495"/>
        <w:tab w:val="left" w:pos="1980"/>
        <w:tab w:val="left" w:pos="2070"/>
      </w:tabs>
    </w:pPr>
    <w:r>
      <w:tab/>
    </w:r>
    <w:r>
      <w:tab/>
    </w:r>
    <w:r>
      <w:tab/>
    </w:r>
  </w:p>
  <w:p w14:paraId="0122D35B" w14:textId="77777777" w:rsidR="00EF1B08" w:rsidRDefault="00EF1B08"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9545" w14:textId="77777777" w:rsidR="00EF1B08" w:rsidRPr="008A6892" w:rsidRDefault="00EF1B08"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60BA5"/>
    <w:multiLevelType w:val="hybridMultilevel"/>
    <w:tmpl w:val="0D1E8A98"/>
    <w:lvl w:ilvl="0" w:tplc="C0A87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3A42AC"/>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C4162"/>
    <w:multiLevelType w:val="hybridMultilevel"/>
    <w:tmpl w:val="EF785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455CE"/>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1A44"/>
    <w:multiLevelType w:val="hybridMultilevel"/>
    <w:tmpl w:val="9DE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4F4221D"/>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55786"/>
    <w:multiLevelType w:val="hybridMultilevel"/>
    <w:tmpl w:val="C12C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45C55"/>
    <w:multiLevelType w:val="hybridMultilevel"/>
    <w:tmpl w:val="E952784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92DFA"/>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9"/>
  </w:num>
  <w:num w:numId="14">
    <w:abstractNumId w:val="27"/>
  </w:num>
  <w:num w:numId="15">
    <w:abstractNumId w:val="19"/>
  </w:num>
  <w:num w:numId="16">
    <w:abstractNumId w:val="18"/>
  </w:num>
  <w:num w:numId="17">
    <w:abstractNumId w:val="21"/>
  </w:num>
  <w:num w:numId="18">
    <w:abstractNumId w:val="22"/>
  </w:num>
  <w:num w:numId="19">
    <w:abstractNumId w:val="11"/>
  </w:num>
  <w:num w:numId="20">
    <w:abstractNumId w:val="14"/>
  </w:num>
  <w:num w:numId="21">
    <w:abstractNumId w:val="25"/>
  </w:num>
  <w:num w:numId="22">
    <w:abstractNumId w:val="26"/>
  </w:num>
  <w:num w:numId="23">
    <w:abstractNumId w:val="20"/>
  </w:num>
  <w:num w:numId="24">
    <w:abstractNumId w:val="23"/>
  </w:num>
  <w:num w:numId="25">
    <w:abstractNumId w:val="16"/>
  </w:num>
  <w:num w:numId="26">
    <w:abstractNumId w:val="13"/>
  </w:num>
  <w:num w:numId="27">
    <w:abstractNumId w:val="28"/>
  </w:num>
  <w:num w:numId="28">
    <w:abstractNumId w:val="15"/>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1D81"/>
    <w:rsid w:val="000101D8"/>
    <w:rsid w:val="00012188"/>
    <w:rsid w:val="0004100A"/>
    <w:rsid w:val="00053AF9"/>
    <w:rsid w:val="0005519A"/>
    <w:rsid w:val="00057081"/>
    <w:rsid w:val="0007028A"/>
    <w:rsid w:val="000718C1"/>
    <w:rsid w:val="00072472"/>
    <w:rsid w:val="0007415C"/>
    <w:rsid w:val="00076BEF"/>
    <w:rsid w:val="00081D26"/>
    <w:rsid w:val="0008251E"/>
    <w:rsid w:val="000849EB"/>
    <w:rsid w:val="000855CE"/>
    <w:rsid w:val="00091356"/>
    <w:rsid w:val="000949FB"/>
    <w:rsid w:val="0009592F"/>
    <w:rsid w:val="0009713C"/>
    <w:rsid w:val="000A1B76"/>
    <w:rsid w:val="000A5454"/>
    <w:rsid w:val="000B00F1"/>
    <w:rsid w:val="000B37BD"/>
    <w:rsid w:val="000C5F65"/>
    <w:rsid w:val="000C6875"/>
    <w:rsid w:val="000C7BAB"/>
    <w:rsid w:val="000D2449"/>
    <w:rsid w:val="000D3C77"/>
    <w:rsid w:val="000E1ACF"/>
    <w:rsid w:val="000F5433"/>
    <w:rsid w:val="000F71E2"/>
    <w:rsid w:val="001029C2"/>
    <w:rsid w:val="00105EE1"/>
    <w:rsid w:val="00114A19"/>
    <w:rsid w:val="001167DF"/>
    <w:rsid w:val="00117B53"/>
    <w:rsid w:val="00120FD1"/>
    <w:rsid w:val="00122A0E"/>
    <w:rsid w:val="001309CB"/>
    <w:rsid w:val="00131B91"/>
    <w:rsid w:val="001545C6"/>
    <w:rsid w:val="00155233"/>
    <w:rsid w:val="00156BA9"/>
    <w:rsid w:val="00164386"/>
    <w:rsid w:val="0016790A"/>
    <w:rsid w:val="00170CC0"/>
    <w:rsid w:val="00180336"/>
    <w:rsid w:val="00181641"/>
    <w:rsid w:val="00182EBA"/>
    <w:rsid w:val="001842B5"/>
    <w:rsid w:val="00186F03"/>
    <w:rsid w:val="00187F17"/>
    <w:rsid w:val="001910E5"/>
    <w:rsid w:val="001A13B0"/>
    <w:rsid w:val="001A2F6F"/>
    <w:rsid w:val="001A7726"/>
    <w:rsid w:val="001A7DC3"/>
    <w:rsid w:val="001B18C0"/>
    <w:rsid w:val="001B3CA9"/>
    <w:rsid w:val="00200E93"/>
    <w:rsid w:val="00223A53"/>
    <w:rsid w:val="00233BDE"/>
    <w:rsid w:val="00237EBF"/>
    <w:rsid w:val="00243837"/>
    <w:rsid w:val="00243E40"/>
    <w:rsid w:val="00243E74"/>
    <w:rsid w:val="00246BF6"/>
    <w:rsid w:val="002560E8"/>
    <w:rsid w:val="002561F1"/>
    <w:rsid w:val="002568B7"/>
    <w:rsid w:val="00257261"/>
    <w:rsid w:val="00262DF4"/>
    <w:rsid w:val="0026344F"/>
    <w:rsid w:val="0026391A"/>
    <w:rsid w:val="00270C7B"/>
    <w:rsid w:val="00277DA1"/>
    <w:rsid w:val="00280989"/>
    <w:rsid w:val="00285790"/>
    <w:rsid w:val="00286E55"/>
    <w:rsid w:val="00286F50"/>
    <w:rsid w:val="0029238C"/>
    <w:rsid w:val="002B2F74"/>
    <w:rsid w:val="002B66FD"/>
    <w:rsid w:val="002C211B"/>
    <w:rsid w:val="002C4CEC"/>
    <w:rsid w:val="002D4B43"/>
    <w:rsid w:val="002E0DD3"/>
    <w:rsid w:val="002E4AB9"/>
    <w:rsid w:val="002F0271"/>
    <w:rsid w:val="002F6439"/>
    <w:rsid w:val="002F78AB"/>
    <w:rsid w:val="003008A1"/>
    <w:rsid w:val="00301851"/>
    <w:rsid w:val="00315E9F"/>
    <w:rsid w:val="00340543"/>
    <w:rsid w:val="00343802"/>
    <w:rsid w:val="00344B7D"/>
    <w:rsid w:val="00350861"/>
    <w:rsid w:val="003510B1"/>
    <w:rsid w:val="00352A8E"/>
    <w:rsid w:val="00354E85"/>
    <w:rsid w:val="003639AD"/>
    <w:rsid w:val="003662E3"/>
    <w:rsid w:val="00366F92"/>
    <w:rsid w:val="00371CAD"/>
    <w:rsid w:val="00374378"/>
    <w:rsid w:val="003779D1"/>
    <w:rsid w:val="00383CCD"/>
    <w:rsid w:val="003902FD"/>
    <w:rsid w:val="003943A0"/>
    <w:rsid w:val="00394A58"/>
    <w:rsid w:val="00397B44"/>
    <w:rsid w:val="003A4EBA"/>
    <w:rsid w:val="003A7591"/>
    <w:rsid w:val="003A767B"/>
    <w:rsid w:val="003B2DD1"/>
    <w:rsid w:val="003B76D4"/>
    <w:rsid w:val="003C6093"/>
    <w:rsid w:val="003C6542"/>
    <w:rsid w:val="003D5BAD"/>
    <w:rsid w:val="003D5D5B"/>
    <w:rsid w:val="003E219A"/>
    <w:rsid w:val="003F2559"/>
    <w:rsid w:val="003F2968"/>
    <w:rsid w:val="00412B75"/>
    <w:rsid w:val="00423970"/>
    <w:rsid w:val="0042471E"/>
    <w:rsid w:val="004269FB"/>
    <w:rsid w:val="004377FF"/>
    <w:rsid w:val="00451D51"/>
    <w:rsid w:val="004545A4"/>
    <w:rsid w:val="00456699"/>
    <w:rsid w:val="004643F1"/>
    <w:rsid w:val="00466E61"/>
    <w:rsid w:val="00477103"/>
    <w:rsid w:val="0047779E"/>
    <w:rsid w:val="00485B75"/>
    <w:rsid w:val="004905DC"/>
    <w:rsid w:val="00492E37"/>
    <w:rsid w:val="004946DD"/>
    <w:rsid w:val="00495E65"/>
    <w:rsid w:val="004A2347"/>
    <w:rsid w:val="004B3F9B"/>
    <w:rsid w:val="004C564C"/>
    <w:rsid w:val="004C5CF0"/>
    <w:rsid w:val="004C6C86"/>
    <w:rsid w:val="004E0E25"/>
    <w:rsid w:val="004E1F19"/>
    <w:rsid w:val="004F1E1B"/>
    <w:rsid w:val="0051207A"/>
    <w:rsid w:val="00513472"/>
    <w:rsid w:val="00515A26"/>
    <w:rsid w:val="005206A7"/>
    <w:rsid w:val="005239DB"/>
    <w:rsid w:val="00532EC4"/>
    <w:rsid w:val="0054305C"/>
    <w:rsid w:val="005666B7"/>
    <w:rsid w:val="00572336"/>
    <w:rsid w:val="005754B4"/>
    <w:rsid w:val="0058349E"/>
    <w:rsid w:val="005845E5"/>
    <w:rsid w:val="00590899"/>
    <w:rsid w:val="005A1B7A"/>
    <w:rsid w:val="005A4CC9"/>
    <w:rsid w:val="005A596E"/>
    <w:rsid w:val="005B0528"/>
    <w:rsid w:val="005B211C"/>
    <w:rsid w:val="005B47EA"/>
    <w:rsid w:val="005B6F2B"/>
    <w:rsid w:val="005C3745"/>
    <w:rsid w:val="005C7D32"/>
    <w:rsid w:val="005E6AAD"/>
    <w:rsid w:val="005F2534"/>
    <w:rsid w:val="005F3147"/>
    <w:rsid w:val="005F3C42"/>
    <w:rsid w:val="006008DC"/>
    <w:rsid w:val="00600A76"/>
    <w:rsid w:val="0060150E"/>
    <w:rsid w:val="00601731"/>
    <w:rsid w:val="00605B79"/>
    <w:rsid w:val="00631DC2"/>
    <w:rsid w:val="00633E18"/>
    <w:rsid w:val="00641A7B"/>
    <w:rsid w:val="00642116"/>
    <w:rsid w:val="0064307A"/>
    <w:rsid w:val="006430A5"/>
    <w:rsid w:val="00646827"/>
    <w:rsid w:val="00651E2C"/>
    <w:rsid w:val="006525D2"/>
    <w:rsid w:val="00655A8A"/>
    <w:rsid w:val="00665EC7"/>
    <w:rsid w:val="0066724D"/>
    <w:rsid w:val="006760CA"/>
    <w:rsid w:val="006779C3"/>
    <w:rsid w:val="00684FCC"/>
    <w:rsid w:val="006912EC"/>
    <w:rsid w:val="006943C2"/>
    <w:rsid w:val="006A0949"/>
    <w:rsid w:val="006B1A9D"/>
    <w:rsid w:val="006B3D27"/>
    <w:rsid w:val="006C45F0"/>
    <w:rsid w:val="006C4790"/>
    <w:rsid w:val="006C5B09"/>
    <w:rsid w:val="006D1652"/>
    <w:rsid w:val="006D1860"/>
    <w:rsid w:val="006E0892"/>
    <w:rsid w:val="006E430B"/>
    <w:rsid w:val="006E4BA6"/>
    <w:rsid w:val="006E5011"/>
    <w:rsid w:val="006E67F2"/>
    <w:rsid w:val="006F0F15"/>
    <w:rsid w:val="006F5CEC"/>
    <w:rsid w:val="00701F41"/>
    <w:rsid w:val="00703DEF"/>
    <w:rsid w:val="007053D5"/>
    <w:rsid w:val="007174C5"/>
    <w:rsid w:val="00720275"/>
    <w:rsid w:val="0072434B"/>
    <w:rsid w:val="00725139"/>
    <w:rsid w:val="007364C8"/>
    <w:rsid w:val="007469DA"/>
    <w:rsid w:val="007476AB"/>
    <w:rsid w:val="00756B88"/>
    <w:rsid w:val="007613B2"/>
    <w:rsid w:val="00773BD0"/>
    <w:rsid w:val="007740B9"/>
    <w:rsid w:val="00783240"/>
    <w:rsid w:val="00787158"/>
    <w:rsid w:val="007928CB"/>
    <w:rsid w:val="00794100"/>
    <w:rsid w:val="00794502"/>
    <w:rsid w:val="007B23B0"/>
    <w:rsid w:val="007B3629"/>
    <w:rsid w:val="007B37B4"/>
    <w:rsid w:val="007B69CD"/>
    <w:rsid w:val="007C58FA"/>
    <w:rsid w:val="007E5816"/>
    <w:rsid w:val="007F407D"/>
    <w:rsid w:val="007F5A33"/>
    <w:rsid w:val="008029B2"/>
    <w:rsid w:val="00812577"/>
    <w:rsid w:val="0082166E"/>
    <w:rsid w:val="00824EB4"/>
    <w:rsid w:val="008256B9"/>
    <w:rsid w:val="00846AAA"/>
    <w:rsid w:val="00860BA1"/>
    <w:rsid w:val="00867A89"/>
    <w:rsid w:val="00871143"/>
    <w:rsid w:val="00873CAC"/>
    <w:rsid w:val="00890FCB"/>
    <w:rsid w:val="00891BD1"/>
    <w:rsid w:val="008A6892"/>
    <w:rsid w:val="008B4236"/>
    <w:rsid w:val="008B5D78"/>
    <w:rsid w:val="008B727A"/>
    <w:rsid w:val="008D13CE"/>
    <w:rsid w:val="008D4140"/>
    <w:rsid w:val="008D5A2F"/>
    <w:rsid w:val="008D7961"/>
    <w:rsid w:val="008E2798"/>
    <w:rsid w:val="008E4D18"/>
    <w:rsid w:val="008F45F3"/>
    <w:rsid w:val="00904D25"/>
    <w:rsid w:val="00913297"/>
    <w:rsid w:val="00922CC4"/>
    <w:rsid w:val="009327C9"/>
    <w:rsid w:val="00937F65"/>
    <w:rsid w:val="00942236"/>
    <w:rsid w:val="00943448"/>
    <w:rsid w:val="00947BE2"/>
    <w:rsid w:val="00951417"/>
    <w:rsid w:val="009541BA"/>
    <w:rsid w:val="00963A25"/>
    <w:rsid w:val="00965306"/>
    <w:rsid w:val="00967B31"/>
    <w:rsid w:val="00976B5D"/>
    <w:rsid w:val="00982B1D"/>
    <w:rsid w:val="0099086D"/>
    <w:rsid w:val="009A2D48"/>
    <w:rsid w:val="009A582E"/>
    <w:rsid w:val="009A6415"/>
    <w:rsid w:val="009B5A8F"/>
    <w:rsid w:val="009C0B75"/>
    <w:rsid w:val="009C2A28"/>
    <w:rsid w:val="009D0D06"/>
    <w:rsid w:val="009D53C8"/>
    <w:rsid w:val="009F00A7"/>
    <w:rsid w:val="009F0327"/>
    <w:rsid w:val="009F6A55"/>
    <w:rsid w:val="009F7B67"/>
    <w:rsid w:val="00A06492"/>
    <w:rsid w:val="00A15E08"/>
    <w:rsid w:val="00A329C9"/>
    <w:rsid w:val="00A33F77"/>
    <w:rsid w:val="00A35897"/>
    <w:rsid w:val="00A42D40"/>
    <w:rsid w:val="00A47A10"/>
    <w:rsid w:val="00A704D7"/>
    <w:rsid w:val="00A70A52"/>
    <w:rsid w:val="00A713B2"/>
    <w:rsid w:val="00A81DEA"/>
    <w:rsid w:val="00A90428"/>
    <w:rsid w:val="00A92FA4"/>
    <w:rsid w:val="00AB0805"/>
    <w:rsid w:val="00AB5F08"/>
    <w:rsid w:val="00AC5682"/>
    <w:rsid w:val="00AD46F0"/>
    <w:rsid w:val="00AD5FA9"/>
    <w:rsid w:val="00AE1357"/>
    <w:rsid w:val="00AE609E"/>
    <w:rsid w:val="00AE7CC7"/>
    <w:rsid w:val="00B00C83"/>
    <w:rsid w:val="00B061B3"/>
    <w:rsid w:val="00B1325A"/>
    <w:rsid w:val="00B240B2"/>
    <w:rsid w:val="00B25F74"/>
    <w:rsid w:val="00B321D1"/>
    <w:rsid w:val="00B34DEF"/>
    <w:rsid w:val="00B45579"/>
    <w:rsid w:val="00B50849"/>
    <w:rsid w:val="00B50D74"/>
    <w:rsid w:val="00B52E18"/>
    <w:rsid w:val="00B53C11"/>
    <w:rsid w:val="00B54EB1"/>
    <w:rsid w:val="00B60335"/>
    <w:rsid w:val="00B61670"/>
    <w:rsid w:val="00B61D71"/>
    <w:rsid w:val="00B62420"/>
    <w:rsid w:val="00B7272A"/>
    <w:rsid w:val="00B7413E"/>
    <w:rsid w:val="00B7502C"/>
    <w:rsid w:val="00B76AA5"/>
    <w:rsid w:val="00B77DD5"/>
    <w:rsid w:val="00B81F0B"/>
    <w:rsid w:val="00B87632"/>
    <w:rsid w:val="00B923D1"/>
    <w:rsid w:val="00B942EC"/>
    <w:rsid w:val="00BA02DD"/>
    <w:rsid w:val="00BA035F"/>
    <w:rsid w:val="00BA7BC0"/>
    <w:rsid w:val="00BC3682"/>
    <w:rsid w:val="00BD0CC5"/>
    <w:rsid w:val="00BD7389"/>
    <w:rsid w:val="00BE1AFA"/>
    <w:rsid w:val="00BE48EF"/>
    <w:rsid w:val="00BE50D3"/>
    <w:rsid w:val="00BE5A08"/>
    <w:rsid w:val="00BE7C34"/>
    <w:rsid w:val="00BF45FB"/>
    <w:rsid w:val="00C04BD6"/>
    <w:rsid w:val="00C0633D"/>
    <w:rsid w:val="00C06AB0"/>
    <w:rsid w:val="00C21F50"/>
    <w:rsid w:val="00C224EC"/>
    <w:rsid w:val="00C24859"/>
    <w:rsid w:val="00C3062B"/>
    <w:rsid w:val="00C40977"/>
    <w:rsid w:val="00C41EE7"/>
    <w:rsid w:val="00C43C54"/>
    <w:rsid w:val="00C445FE"/>
    <w:rsid w:val="00C45C06"/>
    <w:rsid w:val="00C4690C"/>
    <w:rsid w:val="00C47285"/>
    <w:rsid w:val="00C5182C"/>
    <w:rsid w:val="00C5438F"/>
    <w:rsid w:val="00C56DC0"/>
    <w:rsid w:val="00C774A6"/>
    <w:rsid w:val="00C82A5C"/>
    <w:rsid w:val="00C84AEE"/>
    <w:rsid w:val="00C92005"/>
    <w:rsid w:val="00C92F2D"/>
    <w:rsid w:val="00C92FB5"/>
    <w:rsid w:val="00CA0B31"/>
    <w:rsid w:val="00CA2B57"/>
    <w:rsid w:val="00CA5B51"/>
    <w:rsid w:val="00CA5C1A"/>
    <w:rsid w:val="00CA6C93"/>
    <w:rsid w:val="00CA7E7D"/>
    <w:rsid w:val="00CC294C"/>
    <w:rsid w:val="00CC5142"/>
    <w:rsid w:val="00CC754B"/>
    <w:rsid w:val="00CD27BA"/>
    <w:rsid w:val="00CD4FB6"/>
    <w:rsid w:val="00CD732C"/>
    <w:rsid w:val="00CE1F80"/>
    <w:rsid w:val="00CE459D"/>
    <w:rsid w:val="00CE6992"/>
    <w:rsid w:val="00CF2FBF"/>
    <w:rsid w:val="00D00C09"/>
    <w:rsid w:val="00D12031"/>
    <w:rsid w:val="00D13B1D"/>
    <w:rsid w:val="00D13FF4"/>
    <w:rsid w:val="00D21861"/>
    <w:rsid w:val="00D35B11"/>
    <w:rsid w:val="00D574B3"/>
    <w:rsid w:val="00D661CE"/>
    <w:rsid w:val="00D76049"/>
    <w:rsid w:val="00D81485"/>
    <w:rsid w:val="00D84F4E"/>
    <w:rsid w:val="00D92320"/>
    <w:rsid w:val="00D92685"/>
    <w:rsid w:val="00DA2C48"/>
    <w:rsid w:val="00DA3B77"/>
    <w:rsid w:val="00DA52CE"/>
    <w:rsid w:val="00DA6DFA"/>
    <w:rsid w:val="00DA71D0"/>
    <w:rsid w:val="00DB7E49"/>
    <w:rsid w:val="00DC0E6C"/>
    <w:rsid w:val="00DC2A1B"/>
    <w:rsid w:val="00DC7D58"/>
    <w:rsid w:val="00DD1181"/>
    <w:rsid w:val="00DD139F"/>
    <w:rsid w:val="00DD23C1"/>
    <w:rsid w:val="00DD74C5"/>
    <w:rsid w:val="00DE20F7"/>
    <w:rsid w:val="00DF2286"/>
    <w:rsid w:val="00E03E5F"/>
    <w:rsid w:val="00E1502E"/>
    <w:rsid w:val="00E1552E"/>
    <w:rsid w:val="00E16D03"/>
    <w:rsid w:val="00E1725D"/>
    <w:rsid w:val="00E2038D"/>
    <w:rsid w:val="00E209C4"/>
    <w:rsid w:val="00E24D12"/>
    <w:rsid w:val="00E24E1C"/>
    <w:rsid w:val="00E25BAA"/>
    <w:rsid w:val="00E32EF7"/>
    <w:rsid w:val="00E33509"/>
    <w:rsid w:val="00E3635E"/>
    <w:rsid w:val="00E511F8"/>
    <w:rsid w:val="00E51B23"/>
    <w:rsid w:val="00E56456"/>
    <w:rsid w:val="00E57389"/>
    <w:rsid w:val="00E62B12"/>
    <w:rsid w:val="00E678C8"/>
    <w:rsid w:val="00E70E74"/>
    <w:rsid w:val="00E70F54"/>
    <w:rsid w:val="00E73446"/>
    <w:rsid w:val="00E77663"/>
    <w:rsid w:val="00E81278"/>
    <w:rsid w:val="00E93869"/>
    <w:rsid w:val="00E942CC"/>
    <w:rsid w:val="00E978A2"/>
    <w:rsid w:val="00EA1437"/>
    <w:rsid w:val="00EB282B"/>
    <w:rsid w:val="00EB7A53"/>
    <w:rsid w:val="00EC0DFD"/>
    <w:rsid w:val="00EC4187"/>
    <w:rsid w:val="00EC4BF6"/>
    <w:rsid w:val="00ED1B85"/>
    <w:rsid w:val="00ED7D0F"/>
    <w:rsid w:val="00EE6BD0"/>
    <w:rsid w:val="00EF1095"/>
    <w:rsid w:val="00EF1B08"/>
    <w:rsid w:val="00F00A00"/>
    <w:rsid w:val="00F00BA5"/>
    <w:rsid w:val="00F01A54"/>
    <w:rsid w:val="00F027C4"/>
    <w:rsid w:val="00F041BA"/>
    <w:rsid w:val="00F10056"/>
    <w:rsid w:val="00F210CF"/>
    <w:rsid w:val="00F3439D"/>
    <w:rsid w:val="00F37694"/>
    <w:rsid w:val="00F514B2"/>
    <w:rsid w:val="00F5280F"/>
    <w:rsid w:val="00F621A9"/>
    <w:rsid w:val="00F71DC8"/>
    <w:rsid w:val="00F847C0"/>
    <w:rsid w:val="00F867BA"/>
    <w:rsid w:val="00F94ECA"/>
    <w:rsid w:val="00FA0754"/>
    <w:rsid w:val="00FB336D"/>
    <w:rsid w:val="00FD0D67"/>
    <w:rsid w:val="00FD2440"/>
    <w:rsid w:val="00FD3736"/>
    <w:rsid w:val="00FD3ED3"/>
    <w:rsid w:val="00FE42B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77F2DB1B"/>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FootnoteText">
    <w:name w:val="footnote text"/>
    <w:basedOn w:val="Normal"/>
    <w:link w:val="FootnoteTextChar"/>
    <w:uiPriority w:val="99"/>
    <w:unhideWhenUsed/>
    <w:rsid w:val="004643F1"/>
    <w:pPr>
      <w:spacing w:after="0"/>
    </w:pPr>
    <w:rPr>
      <w:sz w:val="20"/>
      <w:szCs w:val="20"/>
    </w:rPr>
  </w:style>
  <w:style w:type="character" w:customStyle="1" w:styleId="FootnoteTextChar">
    <w:name w:val="Footnote Text Char"/>
    <w:basedOn w:val="DefaultParagraphFont"/>
    <w:link w:val="FootnoteText"/>
    <w:uiPriority w:val="99"/>
    <w:rsid w:val="004643F1"/>
  </w:style>
  <w:style w:type="character" w:styleId="FootnoteReference">
    <w:name w:val="footnote reference"/>
    <w:basedOn w:val="DefaultParagraphFont"/>
    <w:unhideWhenUsed/>
    <w:rsid w:val="004643F1"/>
    <w:rPr>
      <w:vertAlign w:val="superscript"/>
    </w:rPr>
  </w:style>
  <w:style w:type="paragraph" w:styleId="NoSpacing">
    <w:name w:val="No Spacing"/>
    <w:uiPriority w:val="1"/>
    <w:qFormat/>
    <w:rsid w:val="004643F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203655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Katherine.Hildebrandt@ode.state.or.us" TargetMode="External"/><Relationship Id="rId1" Type="http://schemas.openxmlformats.org/officeDocument/2006/relationships/hyperlink" Target="https://www2.ed.gov/about/offices/list/ocr/docs/shguid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2023-06-09T07:00:00+00:00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2F5D8AC2-398F-4A2E-BF32-78857C18703E}">
  <ds:schemaRefs>
    <ds:schemaRef ds:uri="http://schemas.openxmlformats.org/officeDocument/2006/bibliography"/>
  </ds:schemaRefs>
</ds:datastoreItem>
</file>

<file path=customXml/itemProps2.xml><?xml version="1.0" encoding="utf-8"?>
<ds:datastoreItem xmlns:ds="http://schemas.openxmlformats.org/officeDocument/2006/customXml" ds:itemID="{696033D9-0303-4B18-876D-112C7D1458C8}"/>
</file>

<file path=customXml/itemProps3.xml><?xml version="1.0" encoding="utf-8"?>
<ds:datastoreItem xmlns:ds="http://schemas.openxmlformats.org/officeDocument/2006/customXml" ds:itemID="{91540B21-AA80-4BB0-9F34-3D03088DD33F}"/>
</file>

<file path=customXml/itemProps4.xml><?xml version="1.0" encoding="utf-8"?>
<ds:datastoreItem xmlns:ds="http://schemas.openxmlformats.org/officeDocument/2006/customXml" ds:itemID="{FF5958D7-3AC4-4906-B05E-62D70F5B12D6}"/>
</file>

<file path=docProps/app.xml><?xml version="1.0" encoding="utf-8"?>
<Properties xmlns="http://schemas.openxmlformats.org/officeDocument/2006/extended-properties" xmlns:vt="http://schemas.openxmlformats.org/officeDocument/2006/docPropsVTypes">
  <Template>Normal</Template>
  <TotalTime>0</TotalTime>
  <Pages>13</Pages>
  <Words>4030</Words>
  <Characters>22977</Characters>
  <Application>Microsoft Office Word</Application>
  <DocSecurity>0</DocSecurity>
  <Lines>1531</Lines>
  <Paragraphs>964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LincolnCountySD.June4.2021.REDACTED</dc:title>
  <dc:creator>MAYER Mark - ODE</dc:creator>
  <cp:lastModifiedBy>MAYER Mark * ODE</cp:lastModifiedBy>
  <cp:revision>2</cp:revision>
  <cp:lastPrinted>2020-12-10T18:55:00Z</cp:lastPrinted>
  <dcterms:created xsi:type="dcterms:W3CDTF">2022-07-28T19:42:00Z</dcterms:created>
  <dcterms:modified xsi:type="dcterms:W3CDTF">2022-07-28T19:42:00Z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