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220" w:rsidRPr="000F06FA" w:rsidRDefault="00730DAA" w:rsidP="00DE4A86">
      <w:pPr>
        <w:pStyle w:val="Heading1"/>
        <w:rPr>
          <w:rFonts w:asciiTheme="majorHAnsi" w:hAnsiTheme="majorHAnsi" w:cstheme="majorHAnsi"/>
        </w:rPr>
      </w:pPr>
      <w:bookmarkStart w:id="0" w:name="_73lqwvt07ucc" w:colFirst="0" w:colLast="0"/>
      <w:bookmarkEnd w:id="0"/>
      <w:r w:rsidRPr="000F06FA">
        <w:rPr>
          <w:rFonts w:asciiTheme="majorHAnsi" w:hAnsiTheme="majorHAnsi" w:cstheme="majorHAnsi"/>
        </w:rPr>
        <w:t xml:space="preserve">Course Code Changes </w:t>
      </w:r>
      <w:r w:rsidR="00DE4A86" w:rsidRPr="000F06FA">
        <w:rPr>
          <w:rFonts w:asciiTheme="majorHAnsi" w:hAnsiTheme="majorHAnsi" w:cstheme="majorHAnsi"/>
        </w:rPr>
        <w:t xml:space="preserve">for SY </w:t>
      </w:r>
      <w:r w:rsidR="00CD3BC0" w:rsidRPr="000F06FA">
        <w:rPr>
          <w:rFonts w:asciiTheme="majorHAnsi" w:hAnsiTheme="majorHAnsi" w:cstheme="majorHAnsi"/>
        </w:rPr>
        <w:t>2022-23</w:t>
      </w:r>
    </w:p>
    <w:p w:rsidR="00DE4A86" w:rsidRPr="000F06FA" w:rsidRDefault="00DE4A86" w:rsidP="00DE4A86">
      <w:pPr>
        <w:rPr>
          <w:rFonts w:asciiTheme="majorHAnsi" w:hAnsiTheme="majorHAnsi" w:cstheme="majorHAnsi"/>
        </w:rPr>
      </w:pPr>
    </w:p>
    <w:tbl>
      <w:tblPr>
        <w:tblStyle w:val="a"/>
        <w:tblW w:w="14580" w:type="dxa"/>
        <w:tblBorders>
          <w:top w:val="nil"/>
          <w:left w:val="nil"/>
          <w:bottom w:val="nil"/>
          <w:right w:val="nil"/>
          <w:insideH w:val="nil"/>
          <w:insideV w:val="nil"/>
        </w:tblBorders>
        <w:tblLayout w:type="fixed"/>
        <w:tblLook w:val="0620" w:firstRow="1" w:lastRow="0" w:firstColumn="0" w:lastColumn="0" w:noHBand="1" w:noVBand="1"/>
        <w:tblCaption w:val="Course Code Changes for SY 2022-2023"/>
        <w:tblDescription w:val="New course codes for SY 2022-23."/>
      </w:tblPr>
      <w:tblGrid>
        <w:gridCol w:w="4140"/>
        <w:gridCol w:w="1080"/>
        <w:gridCol w:w="7650"/>
        <w:gridCol w:w="1710"/>
      </w:tblGrid>
      <w:tr w:rsidR="00885220" w:rsidRPr="000F06FA" w:rsidTr="000F06FA">
        <w:trPr>
          <w:trHeight w:val="1145"/>
          <w:tblHeader/>
        </w:trPr>
        <w:tc>
          <w:tcPr>
            <w:tcW w:w="4140" w:type="dxa"/>
            <w:tcBorders>
              <w:top w:val="single" w:sz="4" w:space="0" w:color="000000"/>
              <w:bottom w:val="single" w:sz="4" w:space="0" w:color="000000"/>
            </w:tcBorders>
            <w:tcMar>
              <w:top w:w="100" w:type="dxa"/>
              <w:left w:w="100" w:type="dxa"/>
              <w:bottom w:w="100" w:type="dxa"/>
              <w:right w:w="100" w:type="dxa"/>
            </w:tcMar>
          </w:tcPr>
          <w:p w:rsidR="00885220" w:rsidRPr="000F06FA" w:rsidRDefault="00730DAA">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b/>
                <w:sz w:val="24"/>
                <w:szCs w:val="24"/>
              </w:rPr>
              <w:t>Course Title</w:t>
            </w:r>
            <w:bookmarkStart w:id="1" w:name="_GoBack"/>
            <w:bookmarkEnd w:id="1"/>
          </w:p>
        </w:tc>
        <w:tc>
          <w:tcPr>
            <w:tcW w:w="1080" w:type="dxa"/>
            <w:tcBorders>
              <w:top w:val="single" w:sz="4" w:space="0" w:color="000000"/>
              <w:bottom w:val="single" w:sz="4" w:space="0" w:color="000000"/>
            </w:tcBorders>
            <w:tcMar>
              <w:top w:w="100" w:type="dxa"/>
              <w:left w:w="100" w:type="dxa"/>
              <w:bottom w:w="100" w:type="dxa"/>
              <w:right w:w="100" w:type="dxa"/>
            </w:tcMar>
          </w:tcPr>
          <w:p w:rsidR="00885220" w:rsidRPr="000F06FA" w:rsidRDefault="00730DAA">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b/>
                <w:sz w:val="24"/>
                <w:szCs w:val="24"/>
              </w:rPr>
              <w:t>SCED Course Code</w:t>
            </w:r>
          </w:p>
        </w:tc>
        <w:tc>
          <w:tcPr>
            <w:tcW w:w="7650" w:type="dxa"/>
            <w:tcBorders>
              <w:top w:val="single" w:sz="4" w:space="0" w:color="000000"/>
              <w:bottom w:val="single" w:sz="4" w:space="0" w:color="000000"/>
            </w:tcBorders>
            <w:tcMar>
              <w:top w:w="100" w:type="dxa"/>
              <w:left w:w="100" w:type="dxa"/>
              <w:bottom w:w="100" w:type="dxa"/>
              <w:right w:w="100" w:type="dxa"/>
            </w:tcMar>
          </w:tcPr>
          <w:p w:rsidR="00885220" w:rsidRPr="000F06FA" w:rsidRDefault="00730DAA">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b/>
                <w:sz w:val="24"/>
                <w:szCs w:val="24"/>
              </w:rPr>
              <w:t>Course Description</w:t>
            </w:r>
          </w:p>
        </w:tc>
        <w:tc>
          <w:tcPr>
            <w:tcW w:w="1710" w:type="dxa"/>
            <w:tcBorders>
              <w:top w:val="single" w:sz="4" w:space="0" w:color="000000"/>
              <w:bottom w:val="single" w:sz="4" w:space="0" w:color="000000"/>
            </w:tcBorders>
            <w:tcMar>
              <w:top w:w="100" w:type="dxa"/>
              <w:left w:w="100" w:type="dxa"/>
              <w:bottom w:w="100" w:type="dxa"/>
              <w:right w:w="100" w:type="dxa"/>
            </w:tcMar>
          </w:tcPr>
          <w:p w:rsidR="00885220" w:rsidRPr="000F06FA" w:rsidRDefault="00730DAA">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b/>
                <w:sz w:val="24"/>
                <w:szCs w:val="24"/>
              </w:rPr>
              <w:t>Change Status</w:t>
            </w:r>
          </w:p>
        </w:tc>
      </w:tr>
      <w:tr w:rsidR="00CD3BC0" w:rsidRPr="000F06FA" w:rsidTr="000F06FA">
        <w:trPr>
          <w:trHeight w:val="2460"/>
        </w:trPr>
        <w:tc>
          <w:tcPr>
            <w:tcW w:w="4140" w:type="dxa"/>
            <w:shd w:val="clear" w:color="auto" w:fill="D9D9D9"/>
            <w:tcMar>
              <w:top w:w="100" w:type="dxa"/>
              <w:left w:w="100" w:type="dxa"/>
              <w:bottom w:w="100" w:type="dxa"/>
              <w:right w:w="100" w:type="dxa"/>
            </w:tcMar>
          </w:tcPr>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Quantitative Reasoning</w:t>
            </w:r>
          </w:p>
        </w:tc>
        <w:tc>
          <w:tcPr>
            <w:tcW w:w="1080" w:type="dxa"/>
            <w:shd w:val="clear" w:color="auto" w:fill="D9D9D9"/>
            <w:tcMar>
              <w:top w:w="100" w:type="dxa"/>
              <w:left w:w="100" w:type="dxa"/>
              <w:bottom w:w="100" w:type="dxa"/>
              <w:right w:w="100" w:type="dxa"/>
            </w:tcMar>
          </w:tcPr>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02158</w:t>
            </w:r>
          </w:p>
        </w:tc>
        <w:tc>
          <w:tcPr>
            <w:tcW w:w="7650" w:type="dxa"/>
            <w:shd w:val="clear" w:color="auto" w:fill="D9D9D9"/>
            <w:tcMar>
              <w:top w:w="100" w:type="dxa"/>
              <w:left w:w="100" w:type="dxa"/>
              <w:bottom w:w="100" w:type="dxa"/>
              <w:right w:w="100" w:type="dxa"/>
            </w:tcMar>
          </w:tcPr>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Quantitative Reasoning courses allow students to apply basic mathematical skills and analytical concepts to real-world situations. These courses focus on strategies required for problem solving, critical evaluation of numerical information, decision making, and economic productivity in real-world applications. Topics may include numeracy, ratio and proportional reasoning, modeling, financial literacy, validity studies (logic and set theory), and statistics.</w:t>
            </w:r>
          </w:p>
        </w:tc>
        <w:tc>
          <w:tcPr>
            <w:tcW w:w="1710" w:type="dxa"/>
            <w:shd w:val="clear" w:color="auto" w:fill="D9D9D9"/>
            <w:tcMar>
              <w:top w:w="100" w:type="dxa"/>
              <w:left w:w="100" w:type="dxa"/>
              <w:bottom w:w="100" w:type="dxa"/>
              <w:right w:w="100" w:type="dxa"/>
            </w:tcMar>
          </w:tcPr>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New Course</w:t>
            </w:r>
          </w:p>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Code</w:t>
            </w:r>
          </w:p>
        </w:tc>
      </w:tr>
      <w:tr w:rsidR="00CD3BC0" w:rsidRPr="000F06FA" w:rsidTr="000F06FA">
        <w:trPr>
          <w:trHeight w:val="1815"/>
        </w:trPr>
        <w:tc>
          <w:tcPr>
            <w:tcW w:w="4140" w:type="dxa"/>
            <w:tcMar>
              <w:top w:w="100" w:type="dxa"/>
              <w:left w:w="100" w:type="dxa"/>
              <w:bottom w:w="100" w:type="dxa"/>
              <w:right w:w="100" w:type="dxa"/>
            </w:tcMar>
          </w:tcPr>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Mechatronics</w:t>
            </w:r>
          </w:p>
        </w:tc>
        <w:tc>
          <w:tcPr>
            <w:tcW w:w="1080" w:type="dxa"/>
            <w:tcMar>
              <w:top w:w="100" w:type="dxa"/>
              <w:left w:w="100" w:type="dxa"/>
              <w:bottom w:w="100" w:type="dxa"/>
              <w:right w:w="100" w:type="dxa"/>
            </w:tcMar>
          </w:tcPr>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13104</w:t>
            </w:r>
          </w:p>
        </w:tc>
        <w:tc>
          <w:tcPr>
            <w:tcW w:w="7650" w:type="dxa"/>
            <w:tcMar>
              <w:top w:w="100" w:type="dxa"/>
              <w:left w:w="100" w:type="dxa"/>
              <w:bottom w:w="100" w:type="dxa"/>
              <w:right w:w="100" w:type="dxa"/>
            </w:tcMar>
          </w:tcPr>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Mechatronics courses provide students with instruction and experience in mechatronics, a multidisciplinary subject involving mechanics, electronics, control theory, and computer science to design and manufacture products. Mechatronic systems form the foundation of robotics, automation, and advanced manufacturing (such as 3D printing). These courses typically expose students to the theoretical basis of mechatronics in addition to applying these theories to hands-on projects.</w:t>
            </w:r>
          </w:p>
        </w:tc>
        <w:tc>
          <w:tcPr>
            <w:tcW w:w="1710" w:type="dxa"/>
            <w:tcMar>
              <w:top w:w="100" w:type="dxa"/>
              <w:left w:w="100" w:type="dxa"/>
              <w:bottom w:w="100" w:type="dxa"/>
              <w:right w:w="100" w:type="dxa"/>
            </w:tcMar>
          </w:tcPr>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 xml:space="preserve">New </w:t>
            </w:r>
          </w:p>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Course</w:t>
            </w:r>
          </w:p>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Code</w:t>
            </w:r>
          </w:p>
        </w:tc>
      </w:tr>
      <w:tr w:rsidR="000F06FA" w:rsidRPr="000F06FA" w:rsidTr="000F06FA">
        <w:trPr>
          <w:trHeight w:val="1815"/>
        </w:trPr>
        <w:tc>
          <w:tcPr>
            <w:tcW w:w="4140" w:type="dxa"/>
            <w:shd w:val="clear" w:color="auto" w:fill="D9D9D9" w:themeFill="background1" w:themeFillShade="D9"/>
            <w:tcMar>
              <w:top w:w="100" w:type="dxa"/>
              <w:left w:w="100" w:type="dxa"/>
              <w:bottom w:w="100" w:type="dxa"/>
              <w:right w:w="100" w:type="dxa"/>
            </w:tcMar>
          </w:tcPr>
          <w:p w:rsidR="000F06FA" w:rsidRPr="000F06FA" w:rsidRDefault="000F06FA"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Mathematical Modeling</w:t>
            </w:r>
          </w:p>
        </w:tc>
        <w:tc>
          <w:tcPr>
            <w:tcW w:w="1080" w:type="dxa"/>
            <w:shd w:val="clear" w:color="auto" w:fill="D9D9D9" w:themeFill="background1" w:themeFillShade="D9"/>
            <w:tcMar>
              <w:top w:w="100" w:type="dxa"/>
              <w:left w:w="100" w:type="dxa"/>
              <w:bottom w:w="100" w:type="dxa"/>
              <w:right w:w="100" w:type="dxa"/>
            </w:tcMar>
          </w:tcPr>
          <w:p w:rsidR="000F06FA" w:rsidRPr="000F06FA" w:rsidRDefault="000F06FA"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02137</w:t>
            </w:r>
          </w:p>
        </w:tc>
        <w:tc>
          <w:tcPr>
            <w:tcW w:w="7650" w:type="dxa"/>
            <w:shd w:val="clear" w:color="auto" w:fill="D9D9D9" w:themeFill="background1" w:themeFillShade="D9"/>
            <w:tcMar>
              <w:top w:w="100" w:type="dxa"/>
              <w:left w:w="100" w:type="dxa"/>
              <w:bottom w:w="100" w:type="dxa"/>
              <w:right w:w="100" w:type="dxa"/>
            </w:tcMar>
          </w:tcPr>
          <w:p w:rsidR="000F06FA" w:rsidRPr="000F06FA" w:rsidRDefault="000F06FA"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Mathematical Modeling courses build upon students' knowledge of algebra and geometry to analyze information using statistical methods and probability, simulate change using mathematical relationships and spatial and geometric modeling, and critically assess and make decisions or solve problems based on quantitative data and logical reasoning.</w:t>
            </w:r>
          </w:p>
        </w:tc>
        <w:tc>
          <w:tcPr>
            <w:tcW w:w="1710" w:type="dxa"/>
            <w:shd w:val="clear" w:color="auto" w:fill="D9D9D9" w:themeFill="background1" w:themeFillShade="D9"/>
            <w:tcMar>
              <w:top w:w="100" w:type="dxa"/>
              <w:left w:w="100" w:type="dxa"/>
              <w:bottom w:w="100" w:type="dxa"/>
              <w:right w:w="100" w:type="dxa"/>
            </w:tcMar>
          </w:tcPr>
          <w:p w:rsidR="000F06FA" w:rsidRPr="000F06FA" w:rsidRDefault="000F06FA"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b/>
              </w:rPr>
              <w:t>Added Endorsements –</w:t>
            </w:r>
            <w:r w:rsidRPr="000F06FA">
              <w:rPr>
                <w:rFonts w:asciiTheme="majorHAnsi" w:hAnsiTheme="majorHAnsi" w:cstheme="majorHAnsi"/>
              </w:rPr>
              <w:t xml:space="preserve"> Foundational Math</w:t>
            </w:r>
            <w:r>
              <w:rPr>
                <w:rFonts w:asciiTheme="majorHAnsi" w:hAnsiTheme="majorHAnsi" w:cstheme="majorHAnsi"/>
              </w:rPr>
              <w:t xml:space="preserve">; </w:t>
            </w:r>
            <w:r w:rsidRPr="000F06FA">
              <w:rPr>
                <w:rFonts w:asciiTheme="majorHAnsi" w:hAnsiTheme="majorHAnsi" w:cstheme="majorHAnsi"/>
              </w:rPr>
              <w:t>Legacy Foundational Math</w:t>
            </w:r>
          </w:p>
        </w:tc>
      </w:tr>
      <w:tr w:rsidR="000F06FA" w:rsidRPr="000F06FA" w:rsidTr="000F06FA">
        <w:trPr>
          <w:trHeight w:val="1815"/>
        </w:trPr>
        <w:tc>
          <w:tcPr>
            <w:tcW w:w="4140" w:type="dxa"/>
            <w:shd w:val="clear" w:color="auto" w:fill="auto"/>
            <w:tcMar>
              <w:top w:w="100" w:type="dxa"/>
              <w:left w:w="100" w:type="dxa"/>
              <w:bottom w:w="100" w:type="dxa"/>
              <w:right w:w="100" w:type="dxa"/>
            </w:tcMar>
          </w:tcPr>
          <w:p w:rsidR="000F06FA" w:rsidRPr="000F06FA" w:rsidRDefault="000F06FA"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lastRenderedPageBreak/>
              <w:t>Statistics</w:t>
            </w:r>
          </w:p>
        </w:tc>
        <w:tc>
          <w:tcPr>
            <w:tcW w:w="1080" w:type="dxa"/>
            <w:shd w:val="clear" w:color="auto" w:fill="auto"/>
            <w:tcMar>
              <w:top w:w="100" w:type="dxa"/>
              <w:left w:w="100" w:type="dxa"/>
              <w:bottom w:w="100" w:type="dxa"/>
              <w:right w:w="100" w:type="dxa"/>
            </w:tcMar>
          </w:tcPr>
          <w:p w:rsidR="000F06FA" w:rsidRPr="000F06FA" w:rsidRDefault="000F06FA"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02205</w:t>
            </w:r>
          </w:p>
        </w:tc>
        <w:tc>
          <w:tcPr>
            <w:tcW w:w="7650" w:type="dxa"/>
            <w:shd w:val="clear" w:color="auto" w:fill="auto"/>
            <w:tcMar>
              <w:top w:w="100" w:type="dxa"/>
              <w:left w:w="100" w:type="dxa"/>
              <w:bottom w:w="100" w:type="dxa"/>
              <w:right w:w="100" w:type="dxa"/>
            </w:tcMar>
          </w:tcPr>
          <w:p w:rsidR="000F06FA" w:rsidRPr="000F06FA" w:rsidRDefault="000F06FA" w:rsidP="000F06FA">
            <w:pPr>
              <w:rPr>
                <w:rFonts w:asciiTheme="majorHAnsi" w:hAnsiTheme="majorHAnsi" w:cstheme="majorHAnsi"/>
              </w:rPr>
            </w:pPr>
            <w:r w:rsidRPr="000F06FA">
              <w:rPr>
                <w:rFonts w:asciiTheme="majorHAnsi" w:hAnsiTheme="majorHAnsi" w:cstheme="majorHAnsi"/>
              </w:rPr>
              <w:t>Statistics courses involve the major concepts and methods used to collect, analyze, and draw conclusions from data. Topics typically include populations and samples, measures of central tendency and variability, hypothesis testing, presentation, and making statistical inferences.</w:t>
            </w:r>
          </w:p>
          <w:p w:rsidR="000F06FA" w:rsidRPr="000F06FA" w:rsidRDefault="000F06FA" w:rsidP="00CD3BC0">
            <w:pPr>
              <w:widowControl w:val="0"/>
              <w:pBdr>
                <w:top w:val="nil"/>
                <w:left w:val="nil"/>
                <w:bottom w:val="nil"/>
                <w:right w:val="nil"/>
                <w:between w:val="nil"/>
              </w:pBdr>
              <w:rPr>
                <w:rFonts w:asciiTheme="majorHAnsi" w:hAnsiTheme="majorHAnsi" w:cstheme="majorHAnsi"/>
              </w:rPr>
            </w:pPr>
          </w:p>
        </w:tc>
        <w:tc>
          <w:tcPr>
            <w:tcW w:w="1710" w:type="dxa"/>
            <w:shd w:val="clear" w:color="auto" w:fill="auto"/>
            <w:tcMar>
              <w:top w:w="100" w:type="dxa"/>
              <w:left w:w="100" w:type="dxa"/>
              <w:bottom w:w="100" w:type="dxa"/>
              <w:right w:w="100" w:type="dxa"/>
            </w:tcMar>
          </w:tcPr>
          <w:p w:rsidR="000F06FA" w:rsidRPr="000F06FA" w:rsidRDefault="000F06FA"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b/>
              </w:rPr>
              <w:t>Added Endorsements –</w:t>
            </w:r>
            <w:r w:rsidRPr="000F06FA">
              <w:rPr>
                <w:rFonts w:asciiTheme="majorHAnsi" w:hAnsiTheme="majorHAnsi" w:cstheme="majorHAnsi"/>
              </w:rPr>
              <w:t xml:space="preserve"> Foundational Math</w:t>
            </w:r>
            <w:r>
              <w:rPr>
                <w:rFonts w:asciiTheme="majorHAnsi" w:hAnsiTheme="majorHAnsi" w:cstheme="majorHAnsi"/>
              </w:rPr>
              <w:t>;</w:t>
            </w:r>
            <w:r w:rsidRPr="000F06FA">
              <w:rPr>
                <w:rFonts w:asciiTheme="majorHAnsi" w:hAnsiTheme="majorHAnsi" w:cstheme="majorHAnsi"/>
              </w:rPr>
              <w:t xml:space="preserve"> Legacy Foundational Math</w:t>
            </w:r>
          </w:p>
        </w:tc>
      </w:tr>
    </w:tbl>
    <w:tbl>
      <w:tblPr>
        <w:tblStyle w:val="GridTable1Light"/>
        <w:tblW w:w="14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Description w:val="New course codes for SY 2022-22."/>
      </w:tblPr>
      <w:tblGrid>
        <w:gridCol w:w="4200"/>
        <w:gridCol w:w="1105"/>
        <w:gridCol w:w="7655"/>
        <w:gridCol w:w="1615"/>
      </w:tblGrid>
      <w:tr w:rsidR="00885220" w:rsidRPr="000F06FA" w:rsidTr="000F06FA">
        <w:trPr>
          <w:cnfStyle w:val="100000000000" w:firstRow="1" w:lastRow="0" w:firstColumn="0" w:lastColumn="0" w:oddVBand="0" w:evenVBand="0" w:oddHBand="0" w:evenHBand="0" w:firstRowFirstColumn="0" w:firstRowLastColumn="0" w:lastRowFirstColumn="0" w:lastRowLastColumn="0"/>
          <w:trHeight w:val="1142"/>
          <w:tblHeader/>
        </w:trPr>
        <w:tc>
          <w:tcPr>
            <w:tcW w:w="4200" w:type="dxa"/>
            <w:tcBorders>
              <w:bottom w:val="none" w:sz="0" w:space="0" w:color="auto"/>
            </w:tcBorders>
          </w:tcPr>
          <w:p w:rsidR="00EA656F" w:rsidRPr="000F06FA" w:rsidRDefault="00EA656F">
            <w:pPr>
              <w:widowControl w:val="0"/>
              <w:rPr>
                <w:rFonts w:asciiTheme="majorHAnsi" w:hAnsiTheme="majorHAnsi" w:cstheme="majorHAnsi"/>
                <w:sz w:val="24"/>
                <w:szCs w:val="24"/>
              </w:rPr>
            </w:pPr>
          </w:p>
          <w:p w:rsidR="00EA656F" w:rsidRPr="000F06FA" w:rsidRDefault="00EA656F">
            <w:pPr>
              <w:widowControl w:val="0"/>
              <w:rPr>
                <w:rFonts w:asciiTheme="majorHAnsi" w:hAnsiTheme="majorHAnsi" w:cstheme="majorHAnsi"/>
                <w:sz w:val="24"/>
                <w:szCs w:val="24"/>
              </w:rPr>
            </w:pPr>
          </w:p>
          <w:p w:rsidR="00885220" w:rsidRPr="000F06FA" w:rsidRDefault="00730DAA">
            <w:pPr>
              <w:widowControl w:val="0"/>
              <w:rPr>
                <w:rFonts w:asciiTheme="majorHAnsi" w:hAnsiTheme="majorHAnsi" w:cstheme="majorHAnsi"/>
              </w:rPr>
            </w:pPr>
            <w:r w:rsidRPr="000F06FA">
              <w:rPr>
                <w:rFonts w:asciiTheme="majorHAnsi" w:hAnsiTheme="majorHAnsi" w:cstheme="majorHAnsi"/>
                <w:sz w:val="24"/>
                <w:szCs w:val="24"/>
              </w:rPr>
              <w:t>Course Title</w:t>
            </w:r>
          </w:p>
        </w:tc>
        <w:tc>
          <w:tcPr>
            <w:tcW w:w="1105" w:type="dxa"/>
            <w:tcBorders>
              <w:bottom w:val="none" w:sz="0" w:space="0" w:color="auto"/>
            </w:tcBorders>
          </w:tcPr>
          <w:p w:rsidR="00EA656F" w:rsidRPr="000F06FA" w:rsidRDefault="00EA656F">
            <w:pPr>
              <w:widowControl w:val="0"/>
              <w:rPr>
                <w:rFonts w:asciiTheme="majorHAnsi" w:hAnsiTheme="majorHAnsi" w:cstheme="majorHAnsi"/>
                <w:sz w:val="24"/>
                <w:szCs w:val="24"/>
              </w:rPr>
            </w:pPr>
          </w:p>
          <w:p w:rsidR="00885220" w:rsidRPr="000F06FA" w:rsidRDefault="00730DAA">
            <w:pPr>
              <w:widowControl w:val="0"/>
              <w:rPr>
                <w:rFonts w:asciiTheme="majorHAnsi" w:hAnsiTheme="majorHAnsi" w:cstheme="majorHAnsi"/>
              </w:rPr>
            </w:pPr>
            <w:r w:rsidRPr="000F06FA">
              <w:rPr>
                <w:rFonts w:asciiTheme="majorHAnsi" w:hAnsiTheme="majorHAnsi" w:cstheme="majorHAnsi"/>
                <w:sz w:val="24"/>
                <w:szCs w:val="24"/>
              </w:rPr>
              <w:t>SCED Course Code</w:t>
            </w:r>
          </w:p>
        </w:tc>
        <w:tc>
          <w:tcPr>
            <w:tcW w:w="7655" w:type="dxa"/>
            <w:tcBorders>
              <w:bottom w:val="none" w:sz="0" w:space="0" w:color="auto"/>
            </w:tcBorders>
          </w:tcPr>
          <w:p w:rsidR="00EA656F" w:rsidRPr="000F06FA" w:rsidRDefault="00EA656F">
            <w:pPr>
              <w:widowControl w:val="0"/>
              <w:rPr>
                <w:rFonts w:asciiTheme="majorHAnsi" w:hAnsiTheme="majorHAnsi" w:cstheme="majorHAnsi"/>
                <w:sz w:val="24"/>
                <w:szCs w:val="24"/>
              </w:rPr>
            </w:pPr>
          </w:p>
          <w:p w:rsidR="00885220" w:rsidRPr="000F06FA" w:rsidRDefault="00730DAA">
            <w:pPr>
              <w:widowControl w:val="0"/>
              <w:rPr>
                <w:rFonts w:asciiTheme="majorHAnsi" w:hAnsiTheme="majorHAnsi" w:cstheme="majorHAnsi"/>
              </w:rPr>
            </w:pPr>
            <w:r w:rsidRPr="000F06FA">
              <w:rPr>
                <w:rFonts w:asciiTheme="majorHAnsi" w:hAnsiTheme="majorHAnsi" w:cstheme="majorHAnsi"/>
                <w:sz w:val="24"/>
                <w:szCs w:val="24"/>
              </w:rPr>
              <w:t>Course Description</w:t>
            </w:r>
          </w:p>
        </w:tc>
        <w:tc>
          <w:tcPr>
            <w:tcW w:w="1615" w:type="dxa"/>
            <w:tcBorders>
              <w:bottom w:val="none" w:sz="0" w:space="0" w:color="auto"/>
            </w:tcBorders>
          </w:tcPr>
          <w:p w:rsidR="00EA656F" w:rsidRPr="000F06FA" w:rsidRDefault="00EA656F">
            <w:pPr>
              <w:widowControl w:val="0"/>
              <w:rPr>
                <w:rFonts w:asciiTheme="majorHAnsi" w:hAnsiTheme="majorHAnsi" w:cstheme="majorHAnsi"/>
                <w:sz w:val="24"/>
                <w:szCs w:val="24"/>
              </w:rPr>
            </w:pPr>
          </w:p>
          <w:p w:rsidR="00885220" w:rsidRPr="000F06FA" w:rsidRDefault="00730DAA">
            <w:pPr>
              <w:widowControl w:val="0"/>
              <w:rPr>
                <w:rFonts w:asciiTheme="majorHAnsi" w:hAnsiTheme="majorHAnsi" w:cstheme="majorHAnsi"/>
              </w:rPr>
            </w:pPr>
            <w:r w:rsidRPr="000F06FA">
              <w:rPr>
                <w:rFonts w:asciiTheme="majorHAnsi" w:hAnsiTheme="majorHAnsi" w:cstheme="majorHAnsi"/>
                <w:sz w:val="24"/>
                <w:szCs w:val="24"/>
              </w:rPr>
              <w:t>Change Status</w:t>
            </w:r>
          </w:p>
        </w:tc>
      </w:tr>
      <w:tr w:rsidR="00CD3BC0" w:rsidRPr="000F06FA" w:rsidTr="000F06FA">
        <w:trPr>
          <w:trHeight w:val="1017"/>
        </w:trPr>
        <w:tc>
          <w:tcPr>
            <w:tcW w:w="4200" w:type="dxa"/>
            <w:shd w:val="clear" w:color="auto" w:fill="D9D9D9" w:themeFill="background1" w:themeFillShade="D9"/>
          </w:tcPr>
          <w:p w:rsidR="00CD3BC0" w:rsidRPr="000F06FA" w:rsidRDefault="00CD3BC0" w:rsidP="00CD3BC0">
            <w:pPr>
              <w:widowControl w:val="0"/>
              <w:pBdr>
                <w:top w:val="nil"/>
                <w:left w:val="nil"/>
                <w:bottom w:val="nil"/>
                <w:right w:val="nil"/>
                <w:between w:val="nil"/>
              </w:pBdr>
              <w:spacing w:line="276" w:lineRule="auto"/>
              <w:rPr>
                <w:rFonts w:asciiTheme="majorHAnsi" w:hAnsiTheme="majorHAnsi" w:cstheme="majorHAnsi"/>
              </w:rPr>
            </w:pPr>
            <w:r w:rsidRPr="000F06FA">
              <w:rPr>
                <w:rFonts w:asciiTheme="majorHAnsi" w:hAnsiTheme="majorHAnsi" w:cstheme="majorHAnsi"/>
              </w:rPr>
              <w:t>IB Mathematical Studies</w:t>
            </w:r>
          </w:p>
        </w:tc>
        <w:tc>
          <w:tcPr>
            <w:tcW w:w="1105" w:type="dxa"/>
            <w:shd w:val="clear" w:color="auto" w:fill="D9D9D9" w:themeFill="background1" w:themeFillShade="D9"/>
          </w:tcPr>
          <w:p w:rsidR="00CD3BC0" w:rsidRPr="000F06FA" w:rsidRDefault="00CD3BC0" w:rsidP="00CD3BC0">
            <w:pPr>
              <w:widowControl w:val="0"/>
              <w:pBdr>
                <w:top w:val="nil"/>
                <w:left w:val="nil"/>
                <w:bottom w:val="nil"/>
                <w:right w:val="nil"/>
                <w:between w:val="nil"/>
              </w:pBdr>
              <w:spacing w:line="276" w:lineRule="auto"/>
              <w:rPr>
                <w:rFonts w:asciiTheme="majorHAnsi" w:hAnsiTheme="majorHAnsi" w:cstheme="majorHAnsi"/>
              </w:rPr>
            </w:pPr>
            <w:r w:rsidRPr="000F06FA">
              <w:rPr>
                <w:rFonts w:asciiTheme="majorHAnsi" w:hAnsiTheme="majorHAnsi" w:cstheme="majorHAnsi"/>
              </w:rPr>
              <w:t>02131</w:t>
            </w:r>
          </w:p>
        </w:tc>
        <w:tc>
          <w:tcPr>
            <w:tcW w:w="7655" w:type="dxa"/>
            <w:shd w:val="clear" w:color="auto" w:fill="D9D9D9" w:themeFill="background1" w:themeFillShade="D9"/>
          </w:tcPr>
          <w:p w:rsidR="00CD3BC0" w:rsidRPr="000F06FA" w:rsidRDefault="00CD3BC0" w:rsidP="00CD3BC0">
            <w:pPr>
              <w:widowControl w:val="0"/>
              <w:pBdr>
                <w:top w:val="nil"/>
                <w:left w:val="nil"/>
                <w:bottom w:val="nil"/>
                <w:right w:val="nil"/>
                <w:between w:val="nil"/>
              </w:pBdr>
              <w:spacing w:line="276" w:lineRule="auto"/>
              <w:rPr>
                <w:rFonts w:asciiTheme="majorHAnsi" w:hAnsiTheme="majorHAnsi" w:cstheme="majorHAnsi"/>
              </w:rPr>
            </w:pPr>
            <w:r w:rsidRPr="000F06FA">
              <w:rPr>
                <w:rFonts w:asciiTheme="majorHAnsi" w:hAnsiTheme="majorHAnsi" w:cstheme="majorHAnsi"/>
              </w:rPr>
              <w:t>IB Mathematical Studies courses prepare students to take the International Baccalaureate Mathematical Studies exam. Intended to provide students with the skills to cope with the mathematical demands of a technological society, course topics include linear, quadratic, and exponential functions, solutions, and graphs; descriptive statistics; statistical applications; data analysis, including collection, calculation, and presentation of data; set operations, logic, and probability; geometry and trigonometry; mathematical models; and introduction to differential calculus.</w:t>
            </w:r>
          </w:p>
        </w:tc>
        <w:tc>
          <w:tcPr>
            <w:tcW w:w="1615" w:type="dxa"/>
            <w:shd w:val="clear" w:color="auto" w:fill="D9D9D9" w:themeFill="background1" w:themeFillShade="D9"/>
          </w:tcPr>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Deleted Course</w:t>
            </w:r>
          </w:p>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Code</w:t>
            </w:r>
          </w:p>
        </w:tc>
      </w:tr>
      <w:tr w:rsidR="00CD3BC0" w:rsidRPr="000F06FA" w:rsidTr="000F06FA">
        <w:trPr>
          <w:trHeight w:val="1880"/>
        </w:trPr>
        <w:tc>
          <w:tcPr>
            <w:tcW w:w="4200" w:type="dxa"/>
          </w:tcPr>
          <w:p w:rsidR="00CD3BC0" w:rsidRPr="000F06FA" w:rsidRDefault="00CD3BC0" w:rsidP="00CD3BC0">
            <w:pPr>
              <w:widowControl w:val="0"/>
              <w:pBdr>
                <w:top w:val="nil"/>
                <w:left w:val="nil"/>
                <w:bottom w:val="nil"/>
                <w:right w:val="nil"/>
                <w:between w:val="nil"/>
              </w:pBdr>
              <w:spacing w:line="276" w:lineRule="auto"/>
              <w:rPr>
                <w:rFonts w:asciiTheme="majorHAnsi" w:hAnsiTheme="majorHAnsi" w:cstheme="majorHAnsi"/>
              </w:rPr>
            </w:pPr>
            <w:r w:rsidRPr="000F06FA">
              <w:rPr>
                <w:rFonts w:asciiTheme="majorHAnsi" w:hAnsiTheme="majorHAnsi" w:cstheme="majorHAnsi"/>
              </w:rPr>
              <w:t>IB Mathematics</w:t>
            </w:r>
          </w:p>
        </w:tc>
        <w:tc>
          <w:tcPr>
            <w:tcW w:w="1105" w:type="dxa"/>
          </w:tcPr>
          <w:p w:rsidR="00CD3BC0" w:rsidRPr="000F06FA" w:rsidRDefault="00CD3BC0" w:rsidP="00CD3BC0">
            <w:pPr>
              <w:widowControl w:val="0"/>
              <w:pBdr>
                <w:top w:val="nil"/>
                <w:left w:val="nil"/>
                <w:bottom w:val="nil"/>
                <w:right w:val="nil"/>
                <w:between w:val="nil"/>
              </w:pBdr>
              <w:spacing w:line="276" w:lineRule="auto"/>
              <w:rPr>
                <w:rFonts w:asciiTheme="majorHAnsi" w:hAnsiTheme="majorHAnsi" w:cstheme="majorHAnsi"/>
              </w:rPr>
            </w:pPr>
            <w:r w:rsidRPr="000F06FA">
              <w:rPr>
                <w:rFonts w:asciiTheme="majorHAnsi" w:hAnsiTheme="majorHAnsi" w:cstheme="majorHAnsi"/>
              </w:rPr>
              <w:t>02132</w:t>
            </w:r>
          </w:p>
        </w:tc>
        <w:tc>
          <w:tcPr>
            <w:tcW w:w="7655" w:type="dxa"/>
          </w:tcPr>
          <w:p w:rsidR="00CD3BC0" w:rsidRPr="000F06FA" w:rsidRDefault="00CD3BC0" w:rsidP="00CD3BC0">
            <w:pPr>
              <w:widowControl w:val="0"/>
              <w:pBdr>
                <w:top w:val="nil"/>
                <w:left w:val="nil"/>
                <w:bottom w:val="nil"/>
                <w:right w:val="nil"/>
                <w:between w:val="nil"/>
              </w:pBdr>
              <w:spacing w:line="276" w:lineRule="auto"/>
              <w:rPr>
                <w:rFonts w:asciiTheme="majorHAnsi" w:hAnsiTheme="majorHAnsi" w:cstheme="majorHAnsi"/>
              </w:rPr>
            </w:pPr>
            <w:r w:rsidRPr="000F06FA">
              <w:rPr>
                <w:rFonts w:asciiTheme="majorHAnsi" w:hAnsiTheme="majorHAnsi" w:cstheme="majorHAnsi"/>
              </w:rPr>
              <w:t>IB Mathematics courses prepare students to take the International Baccalaureate Mathematics exams. Topics include operations and properties of number sets; trigonometric functions, equations, and graphs; algebra and coordinate geometry; simultaneous linear equations; polynomial and quadratic functions and equations; calculus, including bilinear, exponential and logarithmic functions; two dimensional vectors; and statistics and probability. Advanced content may include discrete mathematics; sets, relations, and groups; or additional calculus topics.</w:t>
            </w:r>
          </w:p>
        </w:tc>
        <w:tc>
          <w:tcPr>
            <w:tcW w:w="1615" w:type="dxa"/>
          </w:tcPr>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Deleted Course</w:t>
            </w:r>
          </w:p>
          <w:p w:rsidR="00CD3BC0" w:rsidRPr="000F06FA" w:rsidRDefault="00CD3BC0" w:rsidP="00CD3BC0">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Code</w:t>
            </w:r>
          </w:p>
        </w:tc>
      </w:tr>
      <w:tr w:rsidR="00EA656F" w:rsidRPr="000F06FA" w:rsidTr="000F06FA">
        <w:trPr>
          <w:trHeight w:val="1880"/>
        </w:trPr>
        <w:tc>
          <w:tcPr>
            <w:tcW w:w="4200" w:type="dxa"/>
            <w:shd w:val="clear" w:color="auto" w:fill="D9D9D9" w:themeFill="background1" w:themeFillShade="D9"/>
          </w:tcPr>
          <w:p w:rsidR="00EA656F" w:rsidRPr="000F06FA" w:rsidRDefault="00EA656F" w:rsidP="00EA656F">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lastRenderedPageBreak/>
              <w:t>IB Further Mathematics</w:t>
            </w:r>
          </w:p>
        </w:tc>
        <w:tc>
          <w:tcPr>
            <w:tcW w:w="1105" w:type="dxa"/>
            <w:shd w:val="clear" w:color="auto" w:fill="D9D9D9" w:themeFill="background1" w:themeFillShade="D9"/>
          </w:tcPr>
          <w:p w:rsidR="00EA656F" w:rsidRPr="000F06FA" w:rsidRDefault="00EA656F" w:rsidP="00EA656F">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02134</w:t>
            </w:r>
          </w:p>
        </w:tc>
        <w:tc>
          <w:tcPr>
            <w:tcW w:w="7655" w:type="dxa"/>
            <w:shd w:val="clear" w:color="auto" w:fill="D9D9D9" w:themeFill="background1" w:themeFillShade="D9"/>
          </w:tcPr>
          <w:p w:rsidR="00EA656F" w:rsidRPr="000F06FA" w:rsidRDefault="00EA656F" w:rsidP="00EA656F">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IB Further Mathematics courses prepare students to take the International Baccalaureate Further Mathematics exam. Designed to advance students' knowledge of IB Mathematics, course topics include linear algebra; geometry; statistics and probability; sets, relations and groups; calculus; and discrete mathematics.</w:t>
            </w:r>
          </w:p>
        </w:tc>
        <w:tc>
          <w:tcPr>
            <w:tcW w:w="1615" w:type="dxa"/>
            <w:shd w:val="clear" w:color="auto" w:fill="D9D9D9" w:themeFill="background1" w:themeFillShade="D9"/>
          </w:tcPr>
          <w:p w:rsidR="00EA656F" w:rsidRPr="000F06FA" w:rsidRDefault="00EA656F" w:rsidP="00EA656F">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Deleted Course Code</w:t>
            </w:r>
          </w:p>
        </w:tc>
      </w:tr>
      <w:tr w:rsidR="00EA656F" w:rsidRPr="000F06FA" w:rsidTr="000F06FA">
        <w:trPr>
          <w:trHeight w:val="1880"/>
        </w:trPr>
        <w:tc>
          <w:tcPr>
            <w:tcW w:w="4200" w:type="dxa"/>
          </w:tcPr>
          <w:p w:rsidR="00EA656F" w:rsidRPr="000F06FA" w:rsidRDefault="00EA656F" w:rsidP="00EA656F">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IB Approaches to Learning</w:t>
            </w:r>
          </w:p>
        </w:tc>
        <w:tc>
          <w:tcPr>
            <w:tcW w:w="1105" w:type="dxa"/>
          </w:tcPr>
          <w:p w:rsidR="00EA656F" w:rsidRPr="000F06FA" w:rsidRDefault="00EA656F" w:rsidP="00EA656F">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22111</w:t>
            </w:r>
          </w:p>
        </w:tc>
        <w:tc>
          <w:tcPr>
            <w:tcW w:w="7655" w:type="dxa"/>
          </w:tcPr>
          <w:p w:rsidR="00EA656F" w:rsidRPr="000F06FA" w:rsidRDefault="00EA656F" w:rsidP="00EA656F">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Obligatory for every International Baccalaureate Career-related Certificate, IB Approaches to Learning courses introduce students to life skills to enable them to engage critically with others. Course topics include ethical dilemmas, deductive and inductive reasoning, culture shock, academic honesty, and emotional intelligence.</w:t>
            </w:r>
          </w:p>
        </w:tc>
        <w:tc>
          <w:tcPr>
            <w:tcW w:w="1615" w:type="dxa"/>
          </w:tcPr>
          <w:p w:rsidR="00EA656F" w:rsidRPr="000F06FA" w:rsidRDefault="00EA656F" w:rsidP="00EA656F">
            <w:pPr>
              <w:widowControl w:val="0"/>
              <w:pBdr>
                <w:top w:val="nil"/>
                <w:left w:val="nil"/>
                <w:bottom w:val="nil"/>
                <w:right w:val="nil"/>
                <w:between w:val="nil"/>
              </w:pBdr>
              <w:rPr>
                <w:rFonts w:asciiTheme="majorHAnsi" w:hAnsiTheme="majorHAnsi" w:cstheme="majorHAnsi"/>
              </w:rPr>
            </w:pPr>
            <w:r w:rsidRPr="000F06FA">
              <w:rPr>
                <w:rFonts w:asciiTheme="majorHAnsi" w:hAnsiTheme="majorHAnsi" w:cstheme="majorHAnsi"/>
              </w:rPr>
              <w:t>Deleted Course Code</w:t>
            </w:r>
          </w:p>
        </w:tc>
      </w:tr>
    </w:tbl>
    <w:p w:rsidR="00885220" w:rsidRPr="000F06FA" w:rsidRDefault="00885220">
      <w:pPr>
        <w:rPr>
          <w:rFonts w:asciiTheme="majorHAnsi" w:hAnsiTheme="majorHAnsi" w:cstheme="majorHAnsi"/>
        </w:rPr>
      </w:pPr>
    </w:p>
    <w:sectPr w:rsidR="00885220" w:rsidRPr="000F06FA" w:rsidSect="00DE4A86">
      <w:footerReference w:type="default" r:id="rId6"/>
      <w:pgSz w:w="15840" w:h="12240" w:orient="landscape"/>
      <w:pgMar w:top="360" w:right="360" w:bottom="36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D7C" w:rsidRDefault="00545D7C">
      <w:pPr>
        <w:spacing w:line="240" w:lineRule="auto"/>
      </w:pPr>
      <w:r>
        <w:separator/>
      </w:r>
    </w:p>
  </w:endnote>
  <w:endnote w:type="continuationSeparator" w:id="0">
    <w:p w:rsidR="00545D7C" w:rsidRDefault="00545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116858"/>
      <w:docPartObj>
        <w:docPartGallery w:val="Page Numbers (Bottom of Page)"/>
        <w:docPartUnique/>
      </w:docPartObj>
    </w:sdtPr>
    <w:sdtEndPr>
      <w:rPr>
        <w:noProof/>
      </w:rPr>
    </w:sdtEndPr>
    <w:sdtContent>
      <w:p w:rsidR="00DE4A86" w:rsidRDefault="00DE4A86">
        <w:pPr>
          <w:pStyle w:val="Footer"/>
          <w:jc w:val="right"/>
        </w:pPr>
        <w:r>
          <w:fldChar w:fldCharType="begin"/>
        </w:r>
        <w:r>
          <w:instrText xml:space="preserve"> PAGE   \* MERGEFORMAT </w:instrText>
        </w:r>
        <w:r>
          <w:fldChar w:fldCharType="separate"/>
        </w:r>
        <w:r w:rsidR="00B52278">
          <w:rPr>
            <w:noProof/>
          </w:rPr>
          <w:t>2</w:t>
        </w:r>
        <w:r>
          <w:rPr>
            <w:noProof/>
          </w:rPr>
          <w:fldChar w:fldCharType="end"/>
        </w:r>
      </w:p>
    </w:sdtContent>
  </w:sdt>
  <w:p w:rsidR="00885220" w:rsidRPr="00DE4A86" w:rsidRDefault="00885220" w:rsidP="00DE4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D7C" w:rsidRDefault="00545D7C">
      <w:pPr>
        <w:spacing w:line="240" w:lineRule="auto"/>
      </w:pPr>
      <w:r>
        <w:separator/>
      </w:r>
    </w:p>
  </w:footnote>
  <w:footnote w:type="continuationSeparator" w:id="0">
    <w:p w:rsidR="00545D7C" w:rsidRDefault="00545D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20"/>
    <w:rsid w:val="00044ECD"/>
    <w:rsid w:val="000F06FA"/>
    <w:rsid w:val="001B0B24"/>
    <w:rsid w:val="00545D7C"/>
    <w:rsid w:val="00730DAA"/>
    <w:rsid w:val="00885220"/>
    <w:rsid w:val="008E7922"/>
    <w:rsid w:val="00B2011C"/>
    <w:rsid w:val="00B52278"/>
    <w:rsid w:val="00CD3BC0"/>
    <w:rsid w:val="00DE4A86"/>
    <w:rsid w:val="00EA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BCEE9-4DCA-4CF7-8701-B2A92DDB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GridTable1Light">
    <w:name w:val="Grid Table 1 Light"/>
    <w:basedOn w:val="TableNormal"/>
    <w:uiPriority w:val="46"/>
    <w:rsid w:val="00DE4A8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E4A86"/>
    <w:pPr>
      <w:tabs>
        <w:tab w:val="center" w:pos="4680"/>
        <w:tab w:val="right" w:pos="9360"/>
      </w:tabs>
      <w:spacing w:line="240" w:lineRule="auto"/>
    </w:pPr>
  </w:style>
  <w:style w:type="character" w:customStyle="1" w:styleId="HeaderChar">
    <w:name w:val="Header Char"/>
    <w:basedOn w:val="DefaultParagraphFont"/>
    <w:link w:val="Header"/>
    <w:uiPriority w:val="99"/>
    <w:rsid w:val="00DE4A86"/>
  </w:style>
  <w:style w:type="paragraph" w:styleId="Footer">
    <w:name w:val="footer"/>
    <w:basedOn w:val="Normal"/>
    <w:link w:val="FooterChar"/>
    <w:uiPriority w:val="99"/>
    <w:unhideWhenUsed/>
    <w:rsid w:val="00DE4A86"/>
    <w:pPr>
      <w:tabs>
        <w:tab w:val="center" w:pos="4680"/>
        <w:tab w:val="right" w:pos="9360"/>
      </w:tabs>
      <w:spacing w:line="240" w:lineRule="auto"/>
    </w:pPr>
  </w:style>
  <w:style w:type="character" w:customStyle="1" w:styleId="FooterChar">
    <w:name w:val="Footer Char"/>
    <w:basedOn w:val="DefaultParagraphFont"/>
    <w:link w:val="Footer"/>
    <w:uiPriority w:val="99"/>
    <w:rsid w:val="00DE4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70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4BA154886904C8FB930CAE9C38B4C" ma:contentTypeVersion="7" ma:contentTypeDescription="Create a new document." ma:contentTypeScope="" ma:versionID="7c0f7f693ca35f2b4b31f8811a30b40f">
  <xsd:schema xmlns:xsd="http://www.w3.org/2001/XMLSchema" xmlns:xs="http://www.w3.org/2001/XMLSchema" xmlns:p="http://schemas.microsoft.com/office/2006/metadata/properties" xmlns:ns1="http://schemas.microsoft.com/sharepoint/v3" xmlns:ns2="8fc30954-1313-4bc1-b3e0-d36628fcc9e0" xmlns:ns3="54031767-dd6d-417c-ab73-583408f47564" targetNamespace="http://schemas.microsoft.com/office/2006/metadata/properties" ma:root="true" ma:fieldsID="eb05207ad1c4fc7e4fe21d4434e60a8a" ns1:_="" ns2:_="" ns3:_="">
    <xsd:import namespace="http://schemas.microsoft.com/sharepoint/v3"/>
    <xsd:import namespace="8fc30954-1313-4bc1-b3e0-d36628fcc9e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30954-1313-4bc1-b3e0-d36628fcc9e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Remediation_x0020_Date xmlns="8fc30954-1313-4bc1-b3e0-d36628fcc9e0">2022-02-09T21:02:18+00:00</Remediation_x0020_Date>
    <PublishingStartDate xmlns="http://schemas.microsoft.com/sharepoint/v3" xsi:nil="true"/>
    <Estimated_x0020_Creation_x0020_Date xmlns="8fc30954-1313-4bc1-b3e0-d36628fcc9e0" xsi:nil="true"/>
    <Priority xmlns="8fc30954-1313-4bc1-b3e0-d36628fcc9e0">New</Priority>
  </documentManagement>
</p:properties>
</file>

<file path=customXml/itemProps1.xml><?xml version="1.0" encoding="utf-8"?>
<ds:datastoreItem xmlns:ds="http://schemas.openxmlformats.org/officeDocument/2006/customXml" ds:itemID="{2CA76FF2-D9E9-49FD-BDF4-B07D836BEA09}"/>
</file>

<file path=customXml/itemProps2.xml><?xml version="1.0" encoding="utf-8"?>
<ds:datastoreItem xmlns:ds="http://schemas.openxmlformats.org/officeDocument/2006/customXml" ds:itemID="{8F35BE98-A05A-422F-801A-60351E7758D4}"/>
</file>

<file path=customXml/itemProps3.xml><?xml version="1.0" encoding="utf-8"?>
<ds:datastoreItem xmlns:ds="http://schemas.openxmlformats.org/officeDocument/2006/customXml" ds:itemID="{D2AB4560-A87C-4200-A42C-0173FD9BC0C0}"/>
</file>

<file path=docProps/app.xml><?xml version="1.0" encoding="utf-8"?>
<Properties xmlns="http://schemas.openxmlformats.org/officeDocument/2006/extended-properties" xmlns:vt="http://schemas.openxmlformats.org/officeDocument/2006/docPropsVTypes">
  <Template>Normal</Template>
  <TotalTime>13</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Code Changes 2022-2023</dc:title>
  <dc:creator>MCRAE Caitlin - ODE</dc:creator>
  <cp:lastModifiedBy>WALKER Kyle * ODE</cp:lastModifiedBy>
  <cp:revision>6</cp:revision>
  <cp:lastPrinted>2021-03-09T23:42:00Z</cp:lastPrinted>
  <dcterms:created xsi:type="dcterms:W3CDTF">2022-02-08T16:53:00Z</dcterms:created>
  <dcterms:modified xsi:type="dcterms:W3CDTF">2022-02-09T21:01:00Z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0x0101000414BA154886904C8FB930CAE9C38B4C</vt:lpwstr>
  </property>
</Properties>
</file>