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0C" w:rsidRDefault="00A96B9D" w:rsidP="00C6150C">
      <w:pPr>
        <w:rPr>
          <w:rFonts w:ascii="Trebuchet MS" w:hAnsi="Trebuchet MS" w:cs="Calibri"/>
          <w:b/>
          <w:color w:val="4F6228" w:themeColor="accent3" w:themeShade="80"/>
          <w:sz w:val="32"/>
          <w:szCs w:val="32"/>
        </w:rPr>
      </w:pPr>
      <w:r>
        <w:rPr>
          <w:rFonts w:ascii="Trebuchet MS" w:hAnsi="Trebuchet MS" w:cs="Calibri"/>
          <w:b/>
          <w:color w:val="4F6228" w:themeColor="accent3" w:themeShade="80"/>
          <w:sz w:val="32"/>
          <w:szCs w:val="32"/>
        </w:rPr>
        <w:t>Math</w:t>
      </w:r>
      <w:r w:rsidR="003E0C77">
        <w:rPr>
          <w:rFonts w:ascii="Trebuchet MS" w:hAnsi="Trebuchet MS" w:cs="Calibri"/>
          <w:b/>
          <w:color w:val="4F6228" w:themeColor="accent3" w:themeShade="80"/>
          <w:sz w:val="32"/>
          <w:szCs w:val="32"/>
        </w:rPr>
        <w:t xml:space="preserve"> Example </w:t>
      </w:r>
      <w:r w:rsidR="00C6150C">
        <w:rPr>
          <w:rFonts w:ascii="Trebuchet MS" w:hAnsi="Trebuchet MS" w:cs="Calibri"/>
          <w:b/>
          <w:color w:val="4F6228" w:themeColor="accent3" w:themeShade="80"/>
          <w:sz w:val="32"/>
          <w:szCs w:val="32"/>
        </w:rPr>
        <w:t xml:space="preserve">Grade-Level </w:t>
      </w:r>
      <w:r w:rsidR="00171B49">
        <w:rPr>
          <w:rFonts w:ascii="Trebuchet MS" w:hAnsi="Trebuchet MS" w:cs="Calibri"/>
          <w:b/>
          <w:color w:val="4F6228" w:themeColor="accent3" w:themeShade="80"/>
          <w:sz w:val="32"/>
          <w:szCs w:val="32"/>
        </w:rPr>
        <w:t>Learning Progression</w:t>
      </w:r>
    </w:p>
    <w:p w:rsidR="00C6150C" w:rsidRPr="00132EC6" w:rsidRDefault="00C6150C" w:rsidP="00C6150C">
      <w:pPr>
        <w:rPr>
          <w:rFonts w:ascii="Calibri" w:hAnsi="Calibri" w:cs="Calibri"/>
          <w:color w:val="000000"/>
        </w:rPr>
      </w:pPr>
    </w:p>
    <w:tbl>
      <w:tblPr>
        <w:tblStyle w:val="TableGrid"/>
        <w:tblpPr w:leftFromText="180" w:rightFromText="180" w:vertAnchor="page" w:horzAnchor="margin" w:tblpY="2753"/>
        <w:tblW w:w="14868" w:type="dxa"/>
        <w:tblLayout w:type="fixed"/>
        <w:tblLook w:val="04A0" w:firstRow="1" w:lastRow="0" w:firstColumn="1" w:lastColumn="0" w:noHBand="0" w:noVBand="1"/>
        <w:tblDescription w:val="Three header rows: What Students Know/Are Able to Do - Potential misconceptions/What could go wrong - Instructional methods. 8 rows: 8) Extension: students can find the coordinate that optimizes a system of inequalities in context. - two blank cells. [7 is an Upper Anchor] 7) Studetns can create a system of inequalities for a given context - Use the wrong inequality symbol, error on slope or y intercept. one blank cell. [6, 5, 4, 3, and 2 are Building Blocks] 6) Graph the solution to a system of linear inequalities in 2 variables and identify solutions. And Identify the graph that corresponds to a system of inequality. - Error on slope, y- intercept, boundary line and / or shading - Explore, guided practice, group work, matching game. 5) Graph the solution to a linear inequality in two variables - Same as below - Practice- group and board. 4) Student can identify the graph that corresponds to a given linear inequality with two variables. - Same as below - Lecture and matching activity. 3) Know which region to shade and understand boundary lines and half-plane and understand how dashed and solid lines are used in solutions to inequalities. - Shade the wrong havle plane and/or choose a solution that is on a dashed line. - Questioning and guided exploration. 2) How to distinguish between strict &lt; or &gt; and greater-than-or-equal or less-than-or-equal boundary lines-- - Mix up dashed/solid line - Explor activity/math Talks [1 is a Lower Anchor] 1) Solving 1 variable inequalities Graph equations of lines - one blank cell - Scaffolding for the standard  "/>
      </w:tblPr>
      <w:tblGrid>
        <w:gridCol w:w="1080"/>
        <w:gridCol w:w="537"/>
        <w:gridCol w:w="7851"/>
        <w:gridCol w:w="2970"/>
        <w:gridCol w:w="2430"/>
      </w:tblGrid>
      <w:tr w:rsidR="00A96B9D" w:rsidRPr="000D41A6" w:rsidTr="00EA4E1F">
        <w:trPr>
          <w:tblHeader/>
        </w:trPr>
        <w:tc>
          <w:tcPr>
            <w:tcW w:w="1080" w:type="dxa"/>
            <w:shd w:val="clear" w:color="auto" w:fill="FFFFFF" w:themeFill="background1"/>
          </w:tcPr>
          <w:p w:rsidR="00A96B9D" w:rsidRPr="00FF229B" w:rsidRDefault="00A96B9D" w:rsidP="00A96B9D">
            <w:pPr>
              <w:rPr>
                <w:b/>
              </w:rPr>
            </w:pPr>
            <w:bookmarkStart w:id="0" w:name="_GoBack" w:colFirst="0" w:colLast="5"/>
          </w:p>
        </w:tc>
        <w:tc>
          <w:tcPr>
            <w:tcW w:w="537" w:type="dxa"/>
            <w:shd w:val="clear" w:color="auto" w:fill="FFFFFF" w:themeFill="background1"/>
          </w:tcPr>
          <w:p w:rsidR="00A96B9D" w:rsidRPr="00FF229B" w:rsidRDefault="00A96B9D" w:rsidP="00A96B9D">
            <w:pPr>
              <w:rPr>
                <w:b/>
              </w:rPr>
            </w:pP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Pr="00FF229B" w:rsidRDefault="00A96B9D" w:rsidP="00A96B9D">
            <w:pPr>
              <w:rPr>
                <w:b/>
              </w:rPr>
            </w:pPr>
            <w:r w:rsidRPr="00FF229B">
              <w:rPr>
                <w:b/>
              </w:rPr>
              <w:t>What Students Know</w:t>
            </w:r>
            <w:r>
              <w:rPr>
                <w:b/>
              </w:rPr>
              <w:t>/Are Able to Do</w:t>
            </w:r>
          </w:p>
        </w:tc>
        <w:tc>
          <w:tcPr>
            <w:tcW w:w="2970" w:type="dxa"/>
          </w:tcPr>
          <w:p w:rsidR="00A96B9D" w:rsidRPr="000D41A6" w:rsidRDefault="00A96B9D" w:rsidP="00A96B9D">
            <w:pPr>
              <w:rPr>
                <w:b/>
              </w:rPr>
            </w:pPr>
            <w:r w:rsidRPr="000D41A6">
              <w:rPr>
                <w:b/>
              </w:rPr>
              <w:t>Potential misconceptions</w:t>
            </w:r>
            <w:r>
              <w:rPr>
                <w:b/>
              </w:rPr>
              <w:t>/What could go wrong</w:t>
            </w:r>
          </w:p>
        </w:tc>
        <w:tc>
          <w:tcPr>
            <w:tcW w:w="2430" w:type="dxa"/>
          </w:tcPr>
          <w:p w:rsidR="00A96B9D" w:rsidRPr="000D41A6" w:rsidRDefault="00A96B9D" w:rsidP="00A96B9D">
            <w:pPr>
              <w:rPr>
                <w:b/>
              </w:rPr>
            </w:pPr>
            <w:r w:rsidRPr="000D41A6">
              <w:rPr>
                <w:b/>
              </w:rPr>
              <w:t>Instructional methods</w:t>
            </w:r>
          </w:p>
        </w:tc>
      </w:tr>
      <w:bookmarkEnd w:id="0"/>
      <w:tr w:rsidR="00A96B9D" w:rsidTr="00C83A30">
        <w:tc>
          <w:tcPr>
            <w:tcW w:w="1080" w:type="dxa"/>
            <w:shd w:val="clear" w:color="auto" w:fill="FFFFFF" w:themeFill="background1"/>
          </w:tcPr>
          <w:p w:rsidR="00A96B9D" w:rsidRDefault="00A96B9D" w:rsidP="00A96B9D"/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8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 w:rsidRPr="000D41A6">
              <w:rPr>
                <w:b/>
              </w:rPr>
              <w:t>Extension:</w:t>
            </w:r>
            <w:r>
              <w:t xml:space="preserve"> students can find the coordinate that optimizes a system of inequalities in context.</w:t>
            </w:r>
          </w:p>
        </w:tc>
        <w:tc>
          <w:tcPr>
            <w:tcW w:w="2970" w:type="dxa"/>
          </w:tcPr>
          <w:p w:rsidR="00A96B9D" w:rsidRDefault="00A96B9D" w:rsidP="00A96B9D"/>
        </w:tc>
        <w:tc>
          <w:tcPr>
            <w:tcW w:w="2430" w:type="dxa"/>
          </w:tcPr>
          <w:p w:rsidR="00A96B9D" w:rsidRDefault="00A96B9D" w:rsidP="00A96B9D"/>
        </w:tc>
      </w:tr>
      <w:tr w:rsidR="00A96B9D" w:rsidTr="00C83A30">
        <w:tc>
          <w:tcPr>
            <w:tcW w:w="1080" w:type="dxa"/>
            <w:shd w:val="clear" w:color="auto" w:fill="FFFFFF" w:themeFill="background1"/>
          </w:tcPr>
          <w:p w:rsidR="00A96B9D" w:rsidRDefault="00A96B9D" w:rsidP="00A96B9D">
            <w:r>
              <w:t>Upper Anchor</w:t>
            </w:r>
          </w:p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7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Students can create a system of inequalities for a given context</w:t>
            </w:r>
          </w:p>
        </w:tc>
        <w:tc>
          <w:tcPr>
            <w:tcW w:w="2970" w:type="dxa"/>
          </w:tcPr>
          <w:p w:rsidR="00A96B9D" w:rsidRDefault="00A96B9D" w:rsidP="00A96B9D">
            <w:r>
              <w:t>Use the wrong inequality symbol</w:t>
            </w:r>
            <w:proofErr w:type="gramStart"/>
            <w:r>
              <w:t>,  error</w:t>
            </w:r>
            <w:proofErr w:type="gramEnd"/>
            <w:r>
              <w:t xml:space="preserve"> on slope or y intercept.</w:t>
            </w:r>
          </w:p>
        </w:tc>
        <w:tc>
          <w:tcPr>
            <w:tcW w:w="2430" w:type="dxa"/>
          </w:tcPr>
          <w:p w:rsidR="00A96B9D" w:rsidRDefault="00A96B9D" w:rsidP="00A96B9D"/>
        </w:tc>
      </w:tr>
      <w:tr w:rsidR="00A96B9D" w:rsidTr="00C83A30">
        <w:tc>
          <w:tcPr>
            <w:tcW w:w="1080" w:type="dxa"/>
            <w:vMerge w:val="restart"/>
            <w:shd w:val="clear" w:color="auto" w:fill="FFFFFF" w:themeFill="background1"/>
          </w:tcPr>
          <w:p w:rsidR="00A96B9D" w:rsidRDefault="00A96B9D" w:rsidP="00A96B9D">
            <w:r>
              <w:t>Building Blocks</w:t>
            </w:r>
          </w:p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6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Graph the solution to a system of linear inequalities in 2 variables and identify solutions. And Identify the graph that corresponds to a system of inequality</w:t>
            </w:r>
          </w:p>
        </w:tc>
        <w:tc>
          <w:tcPr>
            <w:tcW w:w="2970" w:type="dxa"/>
          </w:tcPr>
          <w:p w:rsidR="00A96B9D" w:rsidRDefault="00A96B9D" w:rsidP="00A96B9D">
            <w:r>
              <w:t>Error on slope, y-intercept, boundary line and/or shading</w:t>
            </w:r>
          </w:p>
        </w:tc>
        <w:tc>
          <w:tcPr>
            <w:tcW w:w="2430" w:type="dxa"/>
          </w:tcPr>
          <w:p w:rsidR="00A96B9D" w:rsidRDefault="00A96B9D" w:rsidP="00A96B9D">
            <w:r>
              <w:t>Explore, guided practice, group work, matching game</w:t>
            </w:r>
          </w:p>
        </w:tc>
      </w:tr>
      <w:tr w:rsidR="00A96B9D" w:rsidTr="00C83A30">
        <w:tc>
          <w:tcPr>
            <w:tcW w:w="1080" w:type="dxa"/>
            <w:vMerge/>
            <w:shd w:val="clear" w:color="auto" w:fill="FFFFFF" w:themeFill="background1"/>
          </w:tcPr>
          <w:p w:rsidR="00A96B9D" w:rsidRDefault="00A96B9D" w:rsidP="00A96B9D"/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5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Graph the solution to a linear inequality in two variables</w:t>
            </w:r>
          </w:p>
        </w:tc>
        <w:tc>
          <w:tcPr>
            <w:tcW w:w="2970" w:type="dxa"/>
          </w:tcPr>
          <w:p w:rsidR="00A96B9D" w:rsidRDefault="00A96B9D" w:rsidP="00A96B9D">
            <w:r>
              <w:t>Same as below</w:t>
            </w:r>
          </w:p>
        </w:tc>
        <w:tc>
          <w:tcPr>
            <w:tcW w:w="2430" w:type="dxa"/>
          </w:tcPr>
          <w:p w:rsidR="00A96B9D" w:rsidRDefault="00A96B9D" w:rsidP="00A96B9D">
            <w:r>
              <w:t>Practice- group and board</w:t>
            </w:r>
          </w:p>
        </w:tc>
      </w:tr>
      <w:tr w:rsidR="00A96B9D" w:rsidTr="00C83A30">
        <w:tc>
          <w:tcPr>
            <w:tcW w:w="1080" w:type="dxa"/>
            <w:vMerge/>
            <w:shd w:val="clear" w:color="auto" w:fill="FFFFFF" w:themeFill="background1"/>
          </w:tcPr>
          <w:p w:rsidR="00A96B9D" w:rsidRDefault="00A96B9D" w:rsidP="00A96B9D"/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4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 xml:space="preserve">Students can identify the graph that corresponds to a given linear inequality with two variables. </w:t>
            </w:r>
          </w:p>
        </w:tc>
        <w:tc>
          <w:tcPr>
            <w:tcW w:w="2970" w:type="dxa"/>
          </w:tcPr>
          <w:p w:rsidR="00A96B9D" w:rsidRDefault="00A96B9D" w:rsidP="00A96B9D">
            <w:r>
              <w:t>Same as below</w:t>
            </w:r>
          </w:p>
        </w:tc>
        <w:tc>
          <w:tcPr>
            <w:tcW w:w="2430" w:type="dxa"/>
          </w:tcPr>
          <w:p w:rsidR="00A96B9D" w:rsidRDefault="00A96B9D" w:rsidP="00A96B9D">
            <w:r>
              <w:t>Lecture and matching activity</w:t>
            </w:r>
          </w:p>
        </w:tc>
      </w:tr>
      <w:tr w:rsidR="00A96B9D" w:rsidTr="00C83A30">
        <w:tc>
          <w:tcPr>
            <w:tcW w:w="1080" w:type="dxa"/>
            <w:vMerge/>
            <w:shd w:val="clear" w:color="auto" w:fill="FFFFFF" w:themeFill="background1"/>
          </w:tcPr>
          <w:p w:rsidR="00A96B9D" w:rsidRDefault="00A96B9D" w:rsidP="00A96B9D"/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3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Know which region to shade and understand boundary lines and half-plane and understand how dashed and solid lines are used in solutions to inequalities.</w:t>
            </w:r>
          </w:p>
        </w:tc>
        <w:tc>
          <w:tcPr>
            <w:tcW w:w="2970" w:type="dxa"/>
          </w:tcPr>
          <w:p w:rsidR="00A96B9D" w:rsidRDefault="00A96B9D" w:rsidP="00A96B9D">
            <w:r>
              <w:t>Shade the wrong half plane and/or choose a solution that is on a dashed line.</w:t>
            </w:r>
          </w:p>
        </w:tc>
        <w:tc>
          <w:tcPr>
            <w:tcW w:w="2430" w:type="dxa"/>
          </w:tcPr>
          <w:p w:rsidR="00A96B9D" w:rsidRDefault="00A96B9D" w:rsidP="00A96B9D">
            <w:r>
              <w:t>Questioning and guided exploration</w:t>
            </w:r>
          </w:p>
        </w:tc>
      </w:tr>
      <w:tr w:rsidR="00A96B9D" w:rsidTr="00C83A30">
        <w:tc>
          <w:tcPr>
            <w:tcW w:w="1080" w:type="dxa"/>
            <w:vMerge/>
            <w:shd w:val="clear" w:color="auto" w:fill="FFFFFF" w:themeFill="background1"/>
          </w:tcPr>
          <w:p w:rsidR="00A96B9D" w:rsidRDefault="00A96B9D" w:rsidP="00A96B9D"/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2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How to distinguish between strict &lt; or &gt; and ≤ or ≥ boundary lines—</w:t>
            </w:r>
          </w:p>
        </w:tc>
        <w:tc>
          <w:tcPr>
            <w:tcW w:w="2970" w:type="dxa"/>
          </w:tcPr>
          <w:p w:rsidR="00A96B9D" w:rsidRDefault="00A96B9D" w:rsidP="00A96B9D">
            <w:r>
              <w:t>Mix up dashed/ solid line</w:t>
            </w:r>
          </w:p>
        </w:tc>
        <w:tc>
          <w:tcPr>
            <w:tcW w:w="2430" w:type="dxa"/>
          </w:tcPr>
          <w:p w:rsidR="00A96B9D" w:rsidRDefault="00A96B9D" w:rsidP="00A96B9D">
            <w:r>
              <w:t>Explore activity/math Talks</w:t>
            </w:r>
          </w:p>
        </w:tc>
      </w:tr>
      <w:tr w:rsidR="00A96B9D" w:rsidTr="00C83A30">
        <w:tc>
          <w:tcPr>
            <w:tcW w:w="1080" w:type="dxa"/>
            <w:shd w:val="clear" w:color="auto" w:fill="FFFFFF" w:themeFill="background1"/>
          </w:tcPr>
          <w:p w:rsidR="00A96B9D" w:rsidRDefault="00A96B9D" w:rsidP="00A96B9D">
            <w:r>
              <w:t>Lower</w:t>
            </w:r>
          </w:p>
          <w:p w:rsidR="00A96B9D" w:rsidRDefault="00A96B9D" w:rsidP="00A96B9D">
            <w:r>
              <w:t>Anchor</w:t>
            </w:r>
          </w:p>
        </w:tc>
        <w:tc>
          <w:tcPr>
            <w:tcW w:w="537" w:type="dxa"/>
            <w:shd w:val="clear" w:color="auto" w:fill="FFFFFF" w:themeFill="background1"/>
          </w:tcPr>
          <w:p w:rsidR="00A96B9D" w:rsidRDefault="00A96B9D" w:rsidP="00A96B9D">
            <w:r>
              <w:t>1</w:t>
            </w:r>
          </w:p>
        </w:tc>
        <w:tc>
          <w:tcPr>
            <w:tcW w:w="7851" w:type="dxa"/>
            <w:shd w:val="clear" w:color="auto" w:fill="EAF1DD" w:themeFill="accent3" w:themeFillTint="33"/>
          </w:tcPr>
          <w:p w:rsidR="00A96B9D" w:rsidRDefault="00A96B9D" w:rsidP="00A96B9D">
            <w:r>
              <w:t>Solving 1 variable inequalities</w:t>
            </w:r>
          </w:p>
          <w:p w:rsidR="00A96B9D" w:rsidRDefault="00A96B9D" w:rsidP="00A96B9D">
            <w:r>
              <w:t>Graph equations of lines</w:t>
            </w:r>
          </w:p>
        </w:tc>
        <w:tc>
          <w:tcPr>
            <w:tcW w:w="2970" w:type="dxa"/>
          </w:tcPr>
          <w:p w:rsidR="00A96B9D" w:rsidRDefault="00A96B9D" w:rsidP="00A96B9D"/>
        </w:tc>
        <w:tc>
          <w:tcPr>
            <w:tcW w:w="2430" w:type="dxa"/>
          </w:tcPr>
          <w:p w:rsidR="00A96B9D" w:rsidRDefault="00A96B9D" w:rsidP="00A96B9D">
            <w:r>
              <w:t>Scaffolding for the standard</w:t>
            </w:r>
          </w:p>
        </w:tc>
      </w:tr>
    </w:tbl>
    <w:p w:rsidR="00A96B9D" w:rsidRDefault="00A96B9D" w:rsidP="00A96B9D">
      <w:pPr>
        <w:rPr>
          <w:u w:val="single"/>
        </w:rPr>
      </w:pPr>
      <w:r w:rsidRPr="003B1B97">
        <w:rPr>
          <w:b/>
        </w:rPr>
        <w:t>Cluster/Standard:</w:t>
      </w:r>
      <w:r>
        <w:t xml:space="preserve"> AREI.12- </w:t>
      </w:r>
      <w:r w:rsidRPr="00A96B9D">
        <w:rPr>
          <w:highlight w:val="yellow"/>
        </w:rPr>
        <w:t>Graph</w:t>
      </w:r>
      <w:r>
        <w:t xml:space="preserve"> the solutions to a linear inequality in two variables as a half-plane (excluding the boundary in the case of a strict inequality), and </w:t>
      </w:r>
      <w:r w:rsidRPr="00A96B9D">
        <w:rPr>
          <w:highlight w:val="yellow"/>
        </w:rPr>
        <w:t>graph</w:t>
      </w:r>
      <w:r>
        <w:t xml:space="preserve"> the solution set to a system of linear inequalities in two variables as the intersection of the corresponding half-planes.</w:t>
      </w:r>
    </w:p>
    <w:p w:rsidR="00A96B9D" w:rsidRDefault="00A96B9D" w:rsidP="00A96B9D">
      <w:pPr>
        <w:rPr>
          <w:u w:val="single"/>
        </w:rPr>
      </w:pPr>
    </w:p>
    <w:p w:rsidR="00A96B9D" w:rsidRPr="00A96B9D" w:rsidRDefault="00A96B9D" w:rsidP="00A96B9D">
      <w:r w:rsidRPr="00E25C09">
        <w:rPr>
          <w:b/>
          <w:sz w:val="20"/>
          <w:szCs w:val="20"/>
        </w:rPr>
        <w:t>Prior Knowledge:</w:t>
      </w:r>
      <w:r>
        <w:t xml:space="preserve"> </w:t>
      </w:r>
      <w:r w:rsidRPr="00833C98">
        <w:rPr>
          <w:b/>
          <w:sz w:val="20"/>
          <w:szCs w:val="20"/>
        </w:rPr>
        <w:t>8</w:t>
      </w:r>
      <w:r w:rsidRPr="00E25C09">
        <w:rPr>
          <w:sz w:val="20"/>
          <w:szCs w:val="20"/>
        </w:rPr>
        <w:t xml:space="preserve"> </w:t>
      </w:r>
      <w:r w:rsidRPr="00E25C09">
        <w:rPr>
          <w:b/>
          <w:sz w:val="20"/>
          <w:szCs w:val="20"/>
        </w:rPr>
        <w:t>EE.7 and 8EE.8</w:t>
      </w:r>
      <w:r w:rsidRPr="00E25C09">
        <w:rPr>
          <w:sz w:val="20"/>
          <w:szCs w:val="20"/>
        </w:rPr>
        <w:t>: Analyze and solve linear equations and pairs of simultaneous linear equations. Solve a linear equation for y.</w:t>
      </w:r>
    </w:p>
    <w:p w:rsidR="00A96B9D" w:rsidRPr="00E25C09" w:rsidRDefault="00A96B9D" w:rsidP="00A96B9D">
      <w:pPr>
        <w:contextualSpacing/>
        <w:rPr>
          <w:sz w:val="20"/>
          <w:szCs w:val="20"/>
        </w:rPr>
      </w:pPr>
      <w:proofErr w:type="gramStart"/>
      <w:r w:rsidRPr="00E25C09">
        <w:rPr>
          <w:b/>
          <w:sz w:val="20"/>
          <w:szCs w:val="20"/>
        </w:rPr>
        <w:t>8.F</w:t>
      </w:r>
      <w:proofErr w:type="gramEnd"/>
      <w:r w:rsidRPr="00E25C09">
        <w:rPr>
          <w:b/>
          <w:sz w:val="20"/>
          <w:szCs w:val="20"/>
        </w:rPr>
        <w:t>. 1 -4</w:t>
      </w:r>
      <w:r w:rsidRPr="00E25C09">
        <w:rPr>
          <w:sz w:val="20"/>
          <w:szCs w:val="20"/>
        </w:rPr>
        <w:t xml:space="preserve"> Graph linear relationships, construct linear models, Describe quantitatively the relationship between two quantities,  substitute an ordered pair into an equality.</w:t>
      </w:r>
    </w:p>
    <w:p w:rsidR="00A96B9D" w:rsidRPr="00E25C09" w:rsidRDefault="00A96B9D" w:rsidP="00A96B9D">
      <w:pPr>
        <w:contextualSpacing/>
        <w:rPr>
          <w:b/>
          <w:sz w:val="20"/>
          <w:szCs w:val="20"/>
        </w:rPr>
      </w:pPr>
    </w:p>
    <w:p w:rsidR="00A96B9D" w:rsidRPr="00A96B9D" w:rsidRDefault="00A96B9D" w:rsidP="00A96B9D">
      <w:pPr>
        <w:contextualSpacing/>
        <w:rPr>
          <w:b/>
          <w:sz w:val="20"/>
          <w:szCs w:val="20"/>
        </w:rPr>
      </w:pPr>
      <w:r w:rsidRPr="00E25C09">
        <w:rPr>
          <w:b/>
          <w:sz w:val="20"/>
          <w:szCs w:val="20"/>
        </w:rPr>
        <w:t xml:space="preserve">Connection to Upper Learning: </w:t>
      </w:r>
      <w:bookmarkStart w:id="1" w:name="CCSS.Math.Content.HSA.REI.D.11"/>
      <w:r w:rsidRPr="00E25C09">
        <w:rPr>
          <w:rFonts w:ascii="Lato Light" w:hAnsi="Lato Light" w:cs="Arial"/>
          <w:color w:val="202020"/>
          <w:sz w:val="20"/>
          <w:szCs w:val="20"/>
        </w:rPr>
        <w:fldChar w:fldCharType="begin"/>
      </w:r>
      <w:r w:rsidRPr="00E25C09">
        <w:rPr>
          <w:rFonts w:ascii="Lato Light" w:hAnsi="Lato Light" w:cs="Arial"/>
          <w:color w:val="202020"/>
          <w:sz w:val="20"/>
          <w:szCs w:val="20"/>
        </w:rPr>
        <w:instrText xml:space="preserve"> HYPERLINK "http://www.corestandards.org/Math/Content/HSA/REI/D/11/" </w:instrText>
      </w:r>
      <w:r w:rsidRPr="00E25C09">
        <w:rPr>
          <w:rFonts w:ascii="Lato Light" w:hAnsi="Lato Light" w:cs="Arial"/>
          <w:color w:val="202020"/>
          <w:sz w:val="20"/>
          <w:szCs w:val="20"/>
        </w:rPr>
        <w:fldChar w:fldCharType="separate"/>
      </w:r>
      <w:r w:rsidRPr="00E25C09">
        <w:rPr>
          <w:rStyle w:val="Hyperlink"/>
          <w:rFonts w:ascii="Lato Light" w:hAnsi="Lato Light" w:cs="Arial"/>
          <w:sz w:val="20"/>
          <w:szCs w:val="20"/>
        </w:rPr>
        <w:t>CCSS.Math.Content.HSA.REI.D.11</w:t>
      </w:r>
      <w:r w:rsidRPr="00E25C09">
        <w:rPr>
          <w:rFonts w:ascii="Lato Light" w:hAnsi="Lato Light" w:cs="Arial"/>
          <w:color w:val="202020"/>
          <w:sz w:val="20"/>
          <w:szCs w:val="20"/>
        </w:rPr>
        <w:fldChar w:fldCharType="end"/>
      </w:r>
      <w:bookmarkEnd w:id="1"/>
      <w:r w:rsidRPr="00E25C09">
        <w:rPr>
          <w:rFonts w:ascii="Lato Light" w:hAnsi="Lato Light" w:cs="Arial"/>
          <w:color w:val="202020"/>
          <w:sz w:val="20"/>
          <w:szCs w:val="20"/>
        </w:rPr>
        <w:br/>
      </w:r>
      <w:r w:rsidRPr="00E25C09">
        <w:rPr>
          <w:rFonts w:cs="Arial"/>
          <w:color w:val="202020"/>
          <w:sz w:val="20"/>
          <w:szCs w:val="20"/>
        </w:rPr>
        <w:t xml:space="preserve">Explain why the 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-coordinates of the points where the graphs of the equations </w:t>
      </w:r>
      <w:r w:rsidRPr="00E25C09">
        <w:rPr>
          <w:rFonts w:cs="Arial"/>
          <w:i/>
          <w:iCs/>
          <w:color w:val="202020"/>
          <w:sz w:val="20"/>
          <w:szCs w:val="20"/>
        </w:rPr>
        <w:t>y</w:t>
      </w:r>
      <w:r w:rsidRPr="00E25C09">
        <w:rPr>
          <w:rFonts w:cs="Arial"/>
          <w:color w:val="202020"/>
          <w:sz w:val="20"/>
          <w:szCs w:val="20"/>
        </w:rPr>
        <w:t xml:space="preserve"> = </w:t>
      </w:r>
      <w:r w:rsidRPr="00E25C09">
        <w:rPr>
          <w:rFonts w:cs="Arial"/>
          <w:i/>
          <w:iCs/>
          <w:color w:val="202020"/>
          <w:sz w:val="20"/>
          <w:szCs w:val="20"/>
        </w:rPr>
        <w:t>f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 and </w:t>
      </w:r>
      <w:r w:rsidRPr="00E25C09">
        <w:rPr>
          <w:rFonts w:cs="Arial"/>
          <w:i/>
          <w:iCs/>
          <w:color w:val="202020"/>
          <w:sz w:val="20"/>
          <w:szCs w:val="20"/>
        </w:rPr>
        <w:t>y</w:t>
      </w:r>
      <w:r w:rsidRPr="00E25C09">
        <w:rPr>
          <w:rFonts w:cs="Arial"/>
          <w:color w:val="202020"/>
          <w:sz w:val="20"/>
          <w:szCs w:val="20"/>
        </w:rPr>
        <w:t xml:space="preserve"> = </w:t>
      </w:r>
      <w:r w:rsidRPr="00E25C09">
        <w:rPr>
          <w:rFonts w:cs="Arial"/>
          <w:i/>
          <w:iCs/>
          <w:color w:val="202020"/>
          <w:sz w:val="20"/>
          <w:szCs w:val="20"/>
        </w:rPr>
        <w:t>g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 intersect are the solutions of the equation </w:t>
      </w:r>
      <w:r w:rsidRPr="00E25C09">
        <w:rPr>
          <w:rFonts w:cs="Arial"/>
          <w:i/>
          <w:iCs/>
          <w:color w:val="202020"/>
          <w:sz w:val="20"/>
          <w:szCs w:val="20"/>
        </w:rPr>
        <w:t>f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 = </w:t>
      </w:r>
      <w:r w:rsidRPr="00E25C09">
        <w:rPr>
          <w:rFonts w:cs="Arial"/>
          <w:i/>
          <w:iCs/>
          <w:color w:val="202020"/>
          <w:sz w:val="20"/>
          <w:szCs w:val="20"/>
        </w:rPr>
        <w:t>g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); find the solutions approximately, e.g., using technology to graph the functions, make tables of values, or find successive approximations. Include cases where </w:t>
      </w:r>
      <w:r w:rsidRPr="00E25C09">
        <w:rPr>
          <w:rFonts w:cs="Arial"/>
          <w:i/>
          <w:iCs/>
          <w:color w:val="202020"/>
          <w:sz w:val="20"/>
          <w:szCs w:val="20"/>
        </w:rPr>
        <w:t>f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 and/or </w:t>
      </w:r>
      <w:r w:rsidRPr="00E25C09">
        <w:rPr>
          <w:rFonts w:cs="Arial"/>
          <w:i/>
          <w:iCs/>
          <w:color w:val="202020"/>
          <w:sz w:val="20"/>
          <w:szCs w:val="20"/>
        </w:rPr>
        <w:t>g</w:t>
      </w:r>
      <w:r w:rsidRPr="00E25C09">
        <w:rPr>
          <w:rFonts w:cs="Arial"/>
          <w:color w:val="202020"/>
          <w:sz w:val="20"/>
          <w:szCs w:val="20"/>
        </w:rPr>
        <w:t>(</w:t>
      </w:r>
      <w:r w:rsidRPr="00E25C09">
        <w:rPr>
          <w:rFonts w:cs="Arial"/>
          <w:i/>
          <w:iCs/>
          <w:color w:val="202020"/>
          <w:sz w:val="20"/>
          <w:szCs w:val="20"/>
        </w:rPr>
        <w:t>x</w:t>
      </w:r>
      <w:r w:rsidRPr="00E25C09">
        <w:rPr>
          <w:rFonts w:cs="Arial"/>
          <w:color w:val="202020"/>
          <w:sz w:val="20"/>
          <w:szCs w:val="20"/>
        </w:rPr>
        <w:t xml:space="preserve">) more advanced than linear, </w:t>
      </w:r>
      <w:proofErr w:type="spellStart"/>
      <w:r w:rsidRPr="00E25C09">
        <w:rPr>
          <w:rFonts w:cs="Arial"/>
          <w:color w:val="202020"/>
          <w:sz w:val="20"/>
          <w:szCs w:val="20"/>
        </w:rPr>
        <w:t>ie</w:t>
      </w:r>
      <w:proofErr w:type="spellEnd"/>
      <w:r w:rsidRPr="00E25C09">
        <w:rPr>
          <w:rFonts w:cs="Arial"/>
          <w:color w:val="202020"/>
          <w:sz w:val="20"/>
          <w:szCs w:val="20"/>
        </w:rPr>
        <w:t xml:space="preserve">. </w:t>
      </w:r>
      <w:proofErr w:type="gramStart"/>
      <w:r w:rsidRPr="00E25C09">
        <w:rPr>
          <w:rFonts w:cs="Arial"/>
          <w:color w:val="202020"/>
          <w:sz w:val="20"/>
          <w:szCs w:val="20"/>
        </w:rPr>
        <w:t>polynomial</w:t>
      </w:r>
      <w:proofErr w:type="gramEnd"/>
      <w:r w:rsidRPr="00E25C09">
        <w:rPr>
          <w:rFonts w:cs="Arial"/>
          <w:color w:val="202020"/>
          <w:sz w:val="20"/>
          <w:szCs w:val="20"/>
        </w:rPr>
        <w:t>, rational, absolute value, exponential, and logarithmic functions.</w:t>
      </w:r>
      <w:r w:rsidRPr="00E25C09">
        <w:rPr>
          <w:rFonts w:cs="Arial"/>
          <w:color w:val="202020"/>
          <w:sz w:val="20"/>
          <w:szCs w:val="20"/>
          <w:vertAlign w:val="superscript"/>
        </w:rPr>
        <w:t>*</w:t>
      </w:r>
    </w:p>
    <w:p w:rsidR="003B0382" w:rsidRPr="003B0382" w:rsidRDefault="003B0382" w:rsidP="004A0433">
      <w:pPr>
        <w:rPr>
          <w:u w:val="single"/>
        </w:rPr>
      </w:pPr>
    </w:p>
    <w:sectPr w:rsidR="003B0382" w:rsidRPr="003B0382" w:rsidSect="00D44EC4">
      <w:footerReference w:type="default" r:id="rId10"/>
      <w:pgSz w:w="15840" w:h="12240" w:orient="landscape" w:code="1"/>
      <w:pgMar w:top="720" w:right="720" w:bottom="720" w:left="720" w:header="43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C2" w:rsidRDefault="00E500C2" w:rsidP="004E6C2B">
      <w:r>
        <w:separator/>
      </w:r>
    </w:p>
  </w:endnote>
  <w:endnote w:type="continuationSeparator" w:id="0">
    <w:p w:rsidR="00E500C2" w:rsidRDefault="00E500C2" w:rsidP="004E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97" w:rsidRPr="006B59F6" w:rsidRDefault="00C52897" w:rsidP="00C52897">
    <w:pPr>
      <w:rPr>
        <w:rFonts w:cs="Arial"/>
      </w:rPr>
    </w:pPr>
    <w:r>
      <w:rPr>
        <w:noProof/>
        <w:sz w:val="16"/>
        <w:szCs w:val="16"/>
      </w:rPr>
      <w:drawing>
        <wp:inline distT="0" distB="0" distL="0" distR="0" wp14:anchorId="45B1ACA1" wp14:editId="4C386624">
          <wp:extent cx="838200" cy="295275"/>
          <wp:effectExtent l="0" t="0" r="0" b="9525"/>
          <wp:docPr id="2" name="Picture 2" descr="Logo for CC Attribution Non-Commercial Share Alike licens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13BC">
      <w:rPr>
        <w:i/>
        <w:sz w:val="16"/>
        <w:szCs w:val="16"/>
        <w:lang w:val="en"/>
      </w:rPr>
      <w:t xml:space="preserve"> </w:t>
    </w:r>
    <w:r w:rsidRPr="00C52897">
      <w:rPr>
        <w:rFonts w:cs="Arial"/>
        <w:i/>
        <w:sz w:val="16"/>
      </w:rPr>
      <w:t>Math Example Learning Progression</w:t>
    </w:r>
    <w:r w:rsidRPr="00C52897">
      <w:rPr>
        <w:sz w:val="8"/>
        <w:szCs w:val="16"/>
        <w:lang w:val="en"/>
      </w:rPr>
      <w:t xml:space="preserve"> </w:t>
    </w:r>
    <w:r w:rsidRPr="002A3D8A">
      <w:rPr>
        <w:sz w:val="16"/>
        <w:szCs w:val="16"/>
        <w:lang w:val="en"/>
      </w:rPr>
      <w:t xml:space="preserve">by the </w:t>
    </w:r>
    <w:hyperlink r:id="rId2" w:history="1">
      <w:r w:rsidRPr="002A3D8A">
        <w:rPr>
          <w:rStyle w:val="Hyperlink"/>
          <w:sz w:val="16"/>
          <w:szCs w:val="16"/>
          <w:lang w:val="en"/>
        </w:rPr>
        <w:t>Oregon Department of Education</w:t>
      </w:r>
    </w:hyperlink>
    <w:r w:rsidRPr="002A3D8A">
      <w:rPr>
        <w:sz w:val="16"/>
        <w:szCs w:val="16"/>
        <w:lang w:val="en"/>
      </w:rPr>
      <w:t xml:space="preserve"> and </w:t>
    </w:r>
    <w:hyperlink r:id="rId3" w:history="1">
      <w:r w:rsidRPr="002A3D8A">
        <w:rPr>
          <w:rStyle w:val="Hyperlink"/>
          <w:sz w:val="16"/>
          <w:szCs w:val="16"/>
          <w:lang w:val="en"/>
        </w:rPr>
        <w:t>Berkeley Evaluation and Assessment Research Center</w:t>
      </w:r>
    </w:hyperlink>
    <w:r w:rsidRPr="002A3D8A">
      <w:rPr>
        <w:sz w:val="16"/>
        <w:szCs w:val="16"/>
        <w:lang w:val="en"/>
      </w:rPr>
      <w:t xml:space="preserve"> is licensed under a </w:t>
    </w:r>
    <w:hyperlink r:id="rId4" w:history="1">
      <w:r w:rsidRPr="002A3D8A">
        <w:rPr>
          <w:rStyle w:val="Hyperlink"/>
          <w:sz w:val="16"/>
          <w:szCs w:val="16"/>
          <w:lang w:val="en"/>
        </w:rPr>
        <w:t>CC BY 4.0</w:t>
      </w:r>
    </w:hyperlink>
    <w:r w:rsidRPr="002A3D8A">
      <w:rPr>
        <w:sz w:val="16"/>
        <w:szCs w:val="16"/>
        <w:lang w:val="en"/>
      </w:rPr>
      <w:t>.</w:t>
    </w:r>
  </w:p>
  <w:p w:rsidR="00C52897" w:rsidRDefault="00C5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C2" w:rsidRDefault="00E500C2" w:rsidP="004E6C2B">
      <w:r>
        <w:separator/>
      </w:r>
    </w:p>
  </w:footnote>
  <w:footnote w:type="continuationSeparator" w:id="0">
    <w:p w:rsidR="00E500C2" w:rsidRDefault="00E500C2" w:rsidP="004E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D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E225B"/>
    <w:multiLevelType w:val="hybridMultilevel"/>
    <w:tmpl w:val="6408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101E"/>
    <w:multiLevelType w:val="hybridMultilevel"/>
    <w:tmpl w:val="0D26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332F"/>
    <w:multiLevelType w:val="hybridMultilevel"/>
    <w:tmpl w:val="BA2CB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143EF"/>
    <w:multiLevelType w:val="hybridMultilevel"/>
    <w:tmpl w:val="EC702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37CA"/>
    <w:multiLevelType w:val="hybridMultilevel"/>
    <w:tmpl w:val="55D66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21FC6"/>
    <w:multiLevelType w:val="hybridMultilevel"/>
    <w:tmpl w:val="86E8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C53CC"/>
    <w:multiLevelType w:val="hybridMultilevel"/>
    <w:tmpl w:val="D382C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7B33"/>
    <w:multiLevelType w:val="hybridMultilevel"/>
    <w:tmpl w:val="EE4093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BB4A22"/>
    <w:multiLevelType w:val="hybridMultilevel"/>
    <w:tmpl w:val="9BB27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8D65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9C537F"/>
    <w:multiLevelType w:val="hybridMultilevel"/>
    <w:tmpl w:val="F138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0EB7"/>
    <w:multiLevelType w:val="hybridMultilevel"/>
    <w:tmpl w:val="CEA29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6242F1"/>
    <w:multiLevelType w:val="hybridMultilevel"/>
    <w:tmpl w:val="9FC6F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F35C4"/>
    <w:multiLevelType w:val="hybridMultilevel"/>
    <w:tmpl w:val="D764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33F5A"/>
    <w:multiLevelType w:val="hybridMultilevel"/>
    <w:tmpl w:val="4F7C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C1"/>
    <w:rsid w:val="00013028"/>
    <w:rsid w:val="001129FE"/>
    <w:rsid w:val="00132EC6"/>
    <w:rsid w:val="00171B49"/>
    <w:rsid w:val="001D4866"/>
    <w:rsid w:val="002730C1"/>
    <w:rsid w:val="002A0416"/>
    <w:rsid w:val="002E709F"/>
    <w:rsid w:val="00381367"/>
    <w:rsid w:val="003B0382"/>
    <w:rsid w:val="003E003E"/>
    <w:rsid w:val="003E0C77"/>
    <w:rsid w:val="004371E9"/>
    <w:rsid w:val="00442654"/>
    <w:rsid w:val="004509B3"/>
    <w:rsid w:val="00460B82"/>
    <w:rsid w:val="00493161"/>
    <w:rsid w:val="004A0433"/>
    <w:rsid w:val="004C7D6D"/>
    <w:rsid w:val="004E23FE"/>
    <w:rsid w:val="004E6C2B"/>
    <w:rsid w:val="00511259"/>
    <w:rsid w:val="0053003C"/>
    <w:rsid w:val="005F64CD"/>
    <w:rsid w:val="006379D0"/>
    <w:rsid w:val="006B12AC"/>
    <w:rsid w:val="006C6854"/>
    <w:rsid w:val="006E03D2"/>
    <w:rsid w:val="007428E8"/>
    <w:rsid w:val="007501DE"/>
    <w:rsid w:val="00770050"/>
    <w:rsid w:val="0077770F"/>
    <w:rsid w:val="007B5BE5"/>
    <w:rsid w:val="00800DC1"/>
    <w:rsid w:val="008859DF"/>
    <w:rsid w:val="008A7DFB"/>
    <w:rsid w:val="008B179E"/>
    <w:rsid w:val="008D1271"/>
    <w:rsid w:val="00A713EA"/>
    <w:rsid w:val="00A96B9D"/>
    <w:rsid w:val="00AA736F"/>
    <w:rsid w:val="00B34ECF"/>
    <w:rsid w:val="00C52897"/>
    <w:rsid w:val="00C6150C"/>
    <w:rsid w:val="00C83A30"/>
    <w:rsid w:val="00CF23E1"/>
    <w:rsid w:val="00D44EC4"/>
    <w:rsid w:val="00D75EFD"/>
    <w:rsid w:val="00D94255"/>
    <w:rsid w:val="00E500C2"/>
    <w:rsid w:val="00E60C8D"/>
    <w:rsid w:val="00EA44D1"/>
    <w:rsid w:val="00EA4E1F"/>
    <w:rsid w:val="00EA4F76"/>
    <w:rsid w:val="00EE5A47"/>
    <w:rsid w:val="00F2152D"/>
    <w:rsid w:val="00F2332E"/>
    <w:rsid w:val="00F6118C"/>
    <w:rsid w:val="00F62274"/>
    <w:rsid w:val="00F673A4"/>
    <w:rsid w:val="00FE35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3DEF82-54CB-478B-ABB2-7062E8A7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382"/>
    <w:pPr>
      <w:keepNext/>
      <w:keepLines/>
      <w:spacing w:before="480" w:after="60"/>
      <w:outlineLvl w:val="0"/>
    </w:pPr>
    <w:rPr>
      <w:rFonts w:ascii="Cambria" w:eastAsia="Times New Roman" w:hAnsi="Cambria" w:cs="Times New Roman"/>
      <w:b/>
      <w:bCs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D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C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50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0382"/>
    <w:rPr>
      <w:rFonts w:ascii="Cambria" w:eastAsia="Times New Roman" w:hAnsi="Cambria" w:cs="Times New Roman"/>
      <w:b/>
      <w:bCs/>
      <w:sz w:val="48"/>
      <w:szCs w:val="40"/>
    </w:rPr>
  </w:style>
  <w:style w:type="table" w:styleId="TableGrid">
    <w:name w:val="Table Grid"/>
    <w:basedOn w:val="TableNormal"/>
    <w:uiPriority w:val="39"/>
    <w:rsid w:val="003B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C2B"/>
  </w:style>
  <w:style w:type="paragraph" w:styleId="Footer">
    <w:name w:val="footer"/>
    <w:basedOn w:val="Normal"/>
    <w:link w:val="FooterChar"/>
    <w:uiPriority w:val="99"/>
    <w:unhideWhenUsed/>
    <w:rsid w:val="004E6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C2B"/>
  </w:style>
  <w:style w:type="paragraph" w:styleId="ListParagraph">
    <w:name w:val="List Paragraph"/>
    <w:basedOn w:val="Normal"/>
    <w:uiPriority w:val="34"/>
    <w:qFormat/>
    <w:rsid w:val="00171B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6B9D"/>
    <w:rPr>
      <w:strike w:val="0"/>
      <w:dstrike w:val="0"/>
      <w:color w:val="003A5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bearcenter.berkeley.edu/" TargetMode="External"/><Relationship Id="rId2" Type="http://schemas.openxmlformats.org/officeDocument/2006/relationships/hyperlink" Target="http://www.ode.state.or.us/home/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2019-06-28T07:00:00+00:00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CEF7B-0336-4D13-8A41-2F7DD8B3BEAE}"/>
</file>

<file path=customXml/itemProps2.xml><?xml version="1.0" encoding="utf-8"?>
<ds:datastoreItem xmlns:ds="http://schemas.openxmlformats.org/officeDocument/2006/customXml" ds:itemID="{816EE2F3-79E1-4179-89B8-B88A13AF6AFE}"/>
</file>

<file path=customXml/itemProps3.xml><?xml version="1.0" encoding="utf-8"?>
<ds:datastoreItem xmlns:ds="http://schemas.openxmlformats.org/officeDocument/2006/customXml" ds:itemID="{4A108A9E-A403-4697-958F-9B24C37AF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Example Grade-Level Learning Progression</dc:title>
  <dc:creator>Oregon Department of Education</dc:creator>
  <cp:lastModifiedBy>ASPENGREN Kirsten - ODE</cp:lastModifiedBy>
  <cp:revision>6</cp:revision>
  <cp:lastPrinted>2014-11-12T19:43:00Z</cp:lastPrinted>
  <dcterms:created xsi:type="dcterms:W3CDTF">2015-01-26T01:01:00Z</dcterms:created>
  <dcterms:modified xsi:type="dcterms:W3CDTF">2019-06-17T23:31:00Z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