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EB" w:rsidRPr="00DD0704" w:rsidRDefault="00233FE3" w:rsidP="001606EB">
      <w:pPr>
        <w:shd w:val="clear" w:color="auto" w:fill="BFBFBF"/>
        <w:rPr>
          <w:rFonts w:asciiTheme="minorHAnsi" w:hAnsiTheme="minorHAnsi" w:cs="Calibri"/>
          <w:b/>
          <w:caps/>
          <w:sz w:val="26"/>
          <w:szCs w:val="26"/>
        </w:rPr>
      </w:pPr>
      <w:r>
        <w:rPr>
          <w:rFonts w:asciiTheme="minorHAnsi" w:hAnsiTheme="minorHAnsi" w:cs="Calibri"/>
          <w:b/>
          <w:caps/>
          <w:sz w:val="26"/>
          <w:szCs w:val="26"/>
        </w:rPr>
        <w:t>ADMINISTRATOR</w:t>
      </w:r>
      <w:r w:rsidR="004E368E">
        <w:rPr>
          <w:rFonts w:asciiTheme="minorHAnsi" w:hAnsiTheme="minorHAnsi" w:cs="Calibri"/>
          <w:b/>
          <w:caps/>
          <w:sz w:val="26"/>
          <w:szCs w:val="26"/>
        </w:rPr>
        <w:t xml:space="preserve"> slg Goal Setting SAMPLE – Middle School</w:t>
      </w:r>
    </w:p>
    <w:p w:rsidR="001606EB" w:rsidRPr="00DD0704" w:rsidRDefault="001606EB" w:rsidP="001606EB">
      <w:pPr>
        <w:pStyle w:val="NoSpacing"/>
        <w:pBdr>
          <w:bottom w:val="single" w:sz="6" w:space="0" w:color="auto"/>
        </w:pBdr>
        <w:rPr>
          <w:rFonts w:asciiTheme="minorHAnsi" w:hAnsiTheme="minorHAnsi" w:cs="Calibri"/>
          <w:b/>
          <w:sz w:val="18"/>
          <w:szCs w:val="18"/>
        </w:rPr>
      </w:pPr>
    </w:p>
    <w:p w:rsidR="001606EB" w:rsidRPr="00DD0704" w:rsidRDefault="001606EB" w:rsidP="001606EB">
      <w:pPr>
        <w:pStyle w:val="NoSpacing"/>
        <w:pBdr>
          <w:bottom w:val="single" w:sz="6" w:space="0" w:color="auto"/>
        </w:pBdr>
        <w:rPr>
          <w:rFonts w:asciiTheme="minorHAnsi" w:hAnsiTheme="minorHAnsi" w:cs="Arial"/>
          <w:b/>
        </w:rPr>
      </w:pPr>
      <w:r w:rsidRPr="00DD0704">
        <w:rPr>
          <w:rFonts w:asciiTheme="minorHAnsi" w:hAnsiTheme="minorHAnsi" w:cs="Calibri"/>
          <w:b/>
          <w:sz w:val="18"/>
          <w:szCs w:val="18"/>
        </w:rPr>
        <w:t>Grade Level:</w:t>
      </w:r>
      <w:r w:rsidRPr="00DD0704">
        <w:rPr>
          <w:rFonts w:asciiTheme="minorHAnsi" w:hAnsiTheme="minorHAnsi" w:cs="Calibri"/>
          <w:b/>
          <w:sz w:val="18"/>
          <w:szCs w:val="18"/>
        </w:rPr>
        <w:tab/>
      </w:r>
      <w:r w:rsidRPr="00DD0704">
        <w:rPr>
          <w:rFonts w:asciiTheme="minorHAnsi" w:hAnsiTheme="minorHAnsi" w:cs="Arial"/>
          <w:b/>
        </w:rPr>
        <w:fldChar w:fldCharType="begin">
          <w:ffData>
            <w:name w:val="Check32"/>
            <w:enabled/>
            <w:calcOnExit w:val="0"/>
            <w:checkBox>
              <w:sizeAuto/>
              <w:default w:val="0"/>
            </w:checkBox>
          </w:ffData>
        </w:fldChar>
      </w:r>
      <w:r w:rsidRPr="00DD0704">
        <w:rPr>
          <w:rFonts w:asciiTheme="minorHAnsi" w:hAnsiTheme="minorHAnsi" w:cs="Arial"/>
          <w:b/>
        </w:rPr>
        <w:instrText xml:space="preserve"> FORMCHECKBOX </w:instrText>
      </w:r>
      <w:r w:rsidR="004E368E">
        <w:rPr>
          <w:rFonts w:asciiTheme="minorHAnsi" w:hAnsiTheme="minorHAnsi" w:cs="Arial"/>
          <w:b/>
        </w:rPr>
      </w:r>
      <w:r w:rsidR="004E368E">
        <w:rPr>
          <w:rFonts w:asciiTheme="minorHAnsi" w:hAnsiTheme="minorHAnsi" w:cs="Arial"/>
          <w:b/>
        </w:rPr>
        <w:fldChar w:fldCharType="separate"/>
      </w:r>
      <w:r w:rsidRPr="00DD0704">
        <w:rPr>
          <w:rFonts w:asciiTheme="minorHAnsi" w:hAnsiTheme="minorHAnsi" w:cs="Arial"/>
          <w:b/>
        </w:rPr>
        <w:fldChar w:fldCharType="end"/>
      </w:r>
      <w:r w:rsidRPr="00DD0704">
        <w:rPr>
          <w:rFonts w:asciiTheme="minorHAnsi" w:hAnsiTheme="minorHAnsi" w:cs="Arial"/>
          <w:b/>
        </w:rPr>
        <w:t xml:space="preserve"> </w:t>
      </w:r>
      <w:r w:rsidRPr="00DD0704">
        <w:rPr>
          <w:rFonts w:asciiTheme="minorHAnsi" w:hAnsiTheme="minorHAnsi" w:cs="Calibri"/>
          <w:b/>
          <w:sz w:val="18"/>
          <w:szCs w:val="18"/>
        </w:rPr>
        <w:t>Elementary</w:t>
      </w:r>
      <w:r w:rsidRPr="00DD0704">
        <w:rPr>
          <w:rFonts w:asciiTheme="minorHAnsi" w:hAnsiTheme="minorHAnsi" w:cs="Calibri"/>
          <w:b/>
          <w:sz w:val="18"/>
          <w:szCs w:val="18"/>
        </w:rPr>
        <w:tab/>
      </w:r>
      <w:r w:rsidRPr="00DD0704">
        <w:rPr>
          <w:rFonts w:asciiTheme="minorHAnsi" w:hAnsiTheme="minorHAnsi" w:cs="Arial"/>
          <w:b/>
        </w:rPr>
        <w:tab/>
      </w:r>
      <w:r w:rsidR="000E092E">
        <w:rPr>
          <w:rFonts w:asciiTheme="minorHAnsi" w:hAnsiTheme="minorHAnsi" w:cs="Arial"/>
          <w:b/>
        </w:rPr>
        <w:fldChar w:fldCharType="begin">
          <w:ffData>
            <w:name w:val="Check32"/>
            <w:enabled/>
            <w:calcOnExit w:val="0"/>
            <w:checkBox>
              <w:sizeAuto/>
              <w:default w:val="1"/>
            </w:checkBox>
          </w:ffData>
        </w:fldChar>
      </w:r>
      <w:bookmarkStart w:id="0" w:name="Check32"/>
      <w:r w:rsidR="000E092E">
        <w:rPr>
          <w:rFonts w:asciiTheme="minorHAnsi" w:hAnsiTheme="minorHAnsi" w:cs="Arial"/>
          <w:b/>
        </w:rPr>
        <w:instrText xml:space="preserve"> FORMCHECKBOX </w:instrText>
      </w:r>
      <w:r w:rsidR="004E368E">
        <w:rPr>
          <w:rFonts w:asciiTheme="minorHAnsi" w:hAnsiTheme="minorHAnsi" w:cs="Arial"/>
          <w:b/>
        </w:rPr>
      </w:r>
      <w:r w:rsidR="004E368E">
        <w:rPr>
          <w:rFonts w:asciiTheme="minorHAnsi" w:hAnsiTheme="minorHAnsi" w:cs="Arial"/>
          <w:b/>
        </w:rPr>
        <w:fldChar w:fldCharType="separate"/>
      </w:r>
      <w:r w:rsidR="000E092E">
        <w:rPr>
          <w:rFonts w:asciiTheme="minorHAnsi" w:hAnsiTheme="minorHAnsi" w:cs="Arial"/>
          <w:b/>
        </w:rPr>
        <w:fldChar w:fldCharType="end"/>
      </w:r>
      <w:bookmarkEnd w:id="0"/>
      <w:r w:rsidRPr="00DD0704">
        <w:rPr>
          <w:rFonts w:asciiTheme="minorHAnsi" w:hAnsiTheme="minorHAnsi" w:cs="Arial"/>
          <w:b/>
        </w:rPr>
        <w:t xml:space="preserve"> </w:t>
      </w:r>
      <w:r w:rsidRPr="00DD0704">
        <w:rPr>
          <w:rFonts w:asciiTheme="minorHAnsi" w:hAnsiTheme="minorHAnsi" w:cs="Calibri"/>
          <w:b/>
          <w:sz w:val="18"/>
          <w:szCs w:val="18"/>
        </w:rPr>
        <w:t>Middle School</w:t>
      </w:r>
      <w:r w:rsidRPr="00DD0704">
        <w:rPr>
          <w:rFonts w:asciiTheme="minorHAnsi" w:hAnsiTheme="minorHAnsi" w:cs="Arial"/>
          <w:b/>
        </w:rPr>
        <w:tab/>
      </w:r>
      <w:r w:rsidRPr="00DD0704">
        <w:rPr>
          <w:rFonts w:asciiTheme="minorHAnsi" w:hAnsiTheme="minorHAnsi" w:cs="Arial"/>
          <w:b/>
        </w:rPr>
        <w:tab/>
      </w:r>
      <w:r w:rsidRPr="00DD0704">
        <w:rPr>
          <w:rFonts w:asciiTheme="minorHAnsi" w:hAnsiTheme="minorHAnsi" w:cs="Arial"/>
          <w:b/>
        </w:rPr>
        <w:fldChar w:fldCharType="begin">
          <w:ffData>
            <w:name w:val="Check32"/>
            <w:enabled/>
            <w:calcOnExit w:val="0"/>
            <w:checkBox>
              <w:sizeAuto/>
              <w:default w:val="0"/>
            </w:checkBox>
          </w:ffData>
        </w:fldChar>
      </w:r>
      <w:r w:rsidRPr="00DD0704">
        <w:rPr>
          <w:rFonts w:asciiTheme="minorHAnsi" w:hAnsiTheme="minorHAnsi" w:cs="Arial"/>
          <w:b/>
        </w:rPr>
        <w:instrText xml:space="preserve"> FORMCHECKBOX </w:instrText>
      </w:r>
      <w:r w:rsidR="004E368E">
        <w:rPr>
          <w:rFonts w:asciiTheme="minorHAnsi" w:hAnsiTheme="minorHAnsi" w:cs="Arial"/>
          <w:b/>
        </w:rPr>
      </w:r>
      <w:r w:rsidR="004E368E">
        <w:rPr>
          <w:rFonts w:asciiTheme="minorHAnsi" w:hAnsiTheme="minorHAnsi" w:cs="Arial"/>
          <w:b/>
        </w:rPr>
        <w:fldChar w:fldCharType="separate"/>
      </w:r>
      <w:r w:rsidRPr="00DD0704">
        <w:rPr>
          <w:rFonts w:asciiTheme="minorHAnsi" w:hAnsiTheme="minorHAnsi" w:cs="Arial"/>
          <w:b/>
        </w:rPr>
        <w:fldChar w:fldCharType="end"/>
      </w:r>
      <w:r w:rsidRPr="00DD0704">
        <w:rPr>
          <w:rFonts w:asciiTheme="minorHAnsi" w:hAnsiTheme="minorHAnsi" w:cs="Arial"/>
          <w:b/>
        </w:rPr>
        <w:t xml:space="preserve"> </w:t>
      </w:r>
      <w:r w:rsidRPr="00DD0704">
        <w:rPr>
          <w:rFonts w:asciiTheme="minorHAnsi" w:hAnsiTheme="minorHAnsi" w:cs="Calibri"/>
          <w:b/>
          <w:sz w:val="18"/>
          <w:szCs w:val="18"/>
        </w:rPr>
        <w:t>High School</w:t>
      </w:r>
    </w:p>
    <w:p w:rsidR="001606EB" w:rsidRPr="00DD0704" w:rsidRDefault="001606EB" w:rsidP="001606EB">
      <w:pPr>
        <w:pStyle w:val="NoSpacing"/>
        <w:pBdr>
          <w:bottom w:val="single" w:sz="6" w:space="0" w:color="auto"/>
        </w:pBdr>
        <w:rPr>
          <w:rFonts w:asciiTheme="minorHAnsi" w:hAnsiTheme="minorHAnsi" w:cs="Calibri"/>
          <w:b/>
          <w:sz w:val="18"/>
          <w:szCs w:val="18"/>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267"/>
        <w:gridCol w:w="7290"/>
      </w:tblGrid>
      <w:tr w:rsidR="001606EB" w:rsidRPr="00DD0704" w:rsidTr="00F73251">
        <w:trPr>
          <w:cantSplit/>
          <w:trHeight w:val="258"/>
        </w:trPr>
        <w:tc>
          <w:tcPr>
            <w:tcW w:w="10080" w:type="dxa"/>
            <w:gridSpan w:val="3"/>
            <w:tcBorders>
              <w:top w:val="double" w:sz="4" w:space="0" w:color="auto"/>
              <w:bottom w:val="nil"/>
            </w:tcBorders>
            <w:shd w:val="clear" w:color="auto" w:fill="D9D9D9"/>
            <w:vAlign w:val="center"/>
          </w:tcPr>
          <w:p w:rsidR="001606EB" w:rsidRPr="00DD0704" w:rsidRDefault="001606EB" w:rsidP="00F73251">
            <w:pPr>
              <w:jc w:val="center"/>
              <w:rPr>
                <w:rFonts w:asciiTheme="minorHAnsi" w:hAnsiTheme="minorHAnsi" w:cs="Calibri"/>
                <w:b/>
              </w:rPr>
            </w:pPr>
            <w:r w:rsidRPr="00DD0704">
              <w:rPr>
                <w:rFonts w:asciiTheme="minorHAnsi" w:hAnsiTheme="minorHAnsi" w:cs="Calibri"/>
                <w:b/>
              </w:rPr>
              <w:t>SLG GOAL 1</w:t>
            </w:r>
          </w:p>
        </w:tc>
      </w:tr>
      <w:tr w:rsidR="001606EB" w:rsidRPr="00B5608C" w:rsidTr="00F73251">
        <w:trPr>
          <w:cantSplit/>
          <w:trHeight w:val="1002"/>
        </w:trPr>
        <w:tc>
          <w:tcPr>
            <w:tcW w:w="523" w:type="dxa"/>
            <w:vMerge w:val="restart"/>
            <w:tcBorders>
              <w:top w:val="double" w:sz="4" w:space="0" w:color="auto"/>
              <w:bottom w:val="single" w:sz="4" w:space="0" w:color="auto"/>
            </w:tcBorders>
            <w:shd w:val="clear" w:color="auto" w:fill="D9D9D9"/>
            <w:textDirection w:val="btLr"/>
            <w:vAlign w:val="center"/>
          </w:tcPr>
          <w:p w:rsidR="001606EB" w:rsidRPr="00B5608C" w:rsidRDefault="001606EB" w:rsidP="00F73251">
            <w:pPr>
              <w:ind w:left="113" w:right="113"/>
              <w:jc w:val="center"/>
              <w:rPr>
                <w:rFonts w:asciiTheme="minorHAnsi" w:hAnsiTheme="minorHAnsi" w:cs="Calibri"/>
                <w:b/>
              </w:rPr>
            </w:pPr>
            <w:r w:rsidRPr="00B5608C">
              <w:rPr>
                <w:rFonts w:asciiTheme="minorHAnsi" w:hAnsiTheme="minorHAnsi" w:cs="Calibri"/>
                <w:b/>
              </w:rPr>
              <w:t>Goal-Setting Conference</w:t>
            </w:r>
          </w:p>
        </w:tc>
        <w:tc>
          <w:tcPr>
            <w:tcW w:w="2267" w:type="dxa"/>
            <w:tcBorders>
              <w:top w:val="double" w:sz="4" w:space="0" w:color="auto"/>
            </w:tcBorders>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 xml:space="preserve">Content Standards/Skills </w:t>
            </w:r>
          </w:p>
          <w:p w:rsidR="001606EB" w:rsidRPr="00B5608C" w:rsidRDefault="001606EB" w:rsidP="00F73251">
            <w:pPr>
              <w:pStyle w:val="ListParagraph"/>
              <w:ind w:left="360"/>
              <w:rPr>
                <w:rFonts w:asciiTheme="minorHAnsi" w:hAnsiTheme="minorHAnsi" w:cs="Calibri"/>
                <w:b/>
                <w:sz w:val="16"/>
                <w:szCs w:val="16"/>
              </w:rPr>
            </w:pPr>
          </w:p>
        </w:tc>
        <w:tc>
          <w:tcPr>
            <w:tcW w:w="7290" w:type="dxa"/>
            <w:tcBorders>
              <w:top w:val="double" w:sz="4" w:space="0" w:color="auto"/>
            </w:tcBorders>
            <w:vAlign w:val="center"/>
          </w:tcPr>
          <w:p w:rsidR="001606EB" w:rsidRPr="00B5608C" w:rsidRDefault="00C46D02" w:rsidP="00F73251">
            <w:pPr>
              <w:rPr>
                <w:rFonts w:asciiTheme="minorHAnsi" w:eastAsia="Times New Roman" w:hAnsiTheme="minorHAnsi"/>
                <w:color w:val="000000"/>
                <w:sz w:val="20"/>
              </w:rPr>
            </w:pPr>
            <w:r w:rsidRPr="00B5608C">
              <w:rPr>
                <w:rFonts w:asciiTheme="minorHAnsi" w:eastAsia="Times New Roman" w:hAnsiTheme="minorHAnsi"/>
                <w:color w:val="000000"/>
                <w:sz w:val="20"/>
              </w:rPr>
              <w:t>Identify the general topic of a text, use explicitly-stated information to answer questions about the text, and make inferences and/or draw conclusions about central ideas that are relevant to the text.</w:t>
            </w:r>
            <w:r w:rsidR="003972BC" w:rsidRPr="00B5608C">
              <w:rPr>
                <w:rFonts w:asciiTheme="minorHAnsi" w:eastAsia="Times New Roman" w:hAnsiTheme="minorHAnsi"/>
                <w:color w:val="000000"/>
                <w:sz w:val="20"/>
              </w:rPr>
              <w:t xml:space="preserve"> Related CCSS for ELA and Literacy:</w:t>
            </w:r>
          </w:p>
          <w:p w:rsidR="003972BC" w:rsidRPr="00B5608C" w:rsidRDefault="003972BC" w:rsidP="00F73251">
            <w:pPr>
              <w:rPr>
                <w:rFonts w:asciiTheme="minorHAnsi" w:eastAsia="Times New Roman" w:hAnsiTheme="minorHAnsi"/>
                <w:color w:val="000000"/>
                <w:sz w:val="20"/>
              </w:rPr>
            </w:pPr>
            <w:r w:rsidRPr="00B5608C">
              <w:rPr>
                <w:rFonts w:asciiTheme="minorHAnsi" w:eastAsia="Times New Roman" w:hAnsiTheme="minorHAnsi"/>
                <w:color w:val="000000"/>
                <w:sz w:val="20"/>
              </w:rPr>
              <w:t>6.RI.1, 6.RI.2, 6.RI.3</w:t>
            </w:r>
          </w:p>
          <w:p w:rsidR="003972BC" w:rsidRPr="00B5608C" w:rsidRDefault="003972BC" w:rsidP="003972BC">
            <w:pPr>
              <w:rPr>
                <w:rFonts w:asciiTheme="minorHAnsi" w:eastAsia="Times New Roman" w:hAnsiTheme="minorHAnsi"/>
                <w:color w:val="000000"/>
                <w:sz w:val="20"/>
              </w:rPr>
            </w:pPr>
            <w:r w:rsidRPr="00B5608C">
              <w:rPr>
                <w:rFonts w:asciiTheme="minorHAnsi" w:eastAsia="Times New Roman" w:hAnsiTheme="minorHAnsi"/>
                <w:color w:val="000000"/>
                <w:sz w:val="20"/>
              </w:rPr>
              <w:t>7.RI.1, 7.RI.2,7.RI.3</w:t>
            </w:r>
          </w:p>
          <w:p w:rsidR="003972BC" w:rsidRPr="00B5608C" w:rsidRDefault="003972BC" w:rsidP="003972BC">
            <w:pPr>
              <w:rPr>
                <w:rFonts w:asciiTheme="minorHAnsi" w:eastAsia="Times New Roman" w:hAnsiTheme="minorHAnsi"/>
                <w:color w:val="000000"/>
                <w:sz w:val="20"/>
              </w:rPr>
            </w:pPr>
            <w:r w:rsidRPr="00B5608C">
              <w:rPr>
                <w:rFonts w:asciiTheme="minorHAnsi" w:eastAsia="Times New Roman" w:hAnsiTheme="minorHAnsi"/>
                <w:color w:val="000000"/>
                <w:sz w:val="20"/>
              </w:rPr>
              <w:t>8.RI.1, 8.RI.2, 8.RI.3</w:t>
            </w:r>
          </w:p>
          <w:p w:rsidR="003972BC" w:rsidRPr="00B5608C" w:rsidRDefault="003972BC" w:rsidP="003972BC">
            <w:pPr>
              <w:rPr>
                <w:rFonts w:asciiTheme="minorHAnsi" w:eastAsia="Times New Roman" w:hAnsiTheme="minorHAnsi"/>
                <w:color w:val="000000"/>
                <w:sz w:val="20"/>
              </w:rPr>
            </w:pPr>
            <w:r w:rsidRPr="00B5608C">
              <w:rPr>
                <w:rFonts w:asciiTheme="minorHAnsi" w:eastAsia="Times New Roman" w:hAnsiTheme="minorHAnsi"/>
                <w:color w:val="000000"/>
                <w:sz w:val="20"/>
              </w:rPr>
              <w:t>6-8.RH.1 and 6-8.RH.2</w:t>
            </w:r>
          </w:p>
          <w:p w:rsidR="003972BC" w:rsidRPr="00B5608C" w:rsidRDefault="003972BC" w:rsidP="003972BC">
            <w:pPr>
              <w:rPr>
                <w:rFonts w:asciiTheme="minorHAnsi" w:eastAsia="Times New Roman" w:hAnsiTheme="minorHAnsi"/>
                <w:color w:val="000000"/>
                <w:sz w:val="20"/>
              </w:rPr>
            </w:pPr>
            <w:r w:rsidRPr="00B5608C">
              <w:rPr>
                <w:rFonts w:asciiTheme="minorHAnsi" w:eastAsia="Times New Roman" w:hAnsiTheme="minorHAnsi"/>
                <w:color w:val="000000"/>
                <w:sz w:val="20"/>
              </w:rPr>
              <w:t>6-8.RST.1 and 6-8.RST.2</w:t>
            </w:r>
          </w:p>
          <w:p w:rsidR="003972BC" w:rsidRPr="00B5608C" w:rsidRDefault="003972BC" w:rsidP="003972BC">
            <w:pPr>
              <w:rPr>
                <w:rFonts w:asciiTheme="minorHAnsi" w:hAnsiTheme="minorHAnsi" w:cs="Calibri"/>
                <w:sz w:val="20"/>
              </w:rPr>
            </w:pPr>
          </w:p>
        </w:tc>
      </w:tr>
      <w:tr w:rsidR="001606EB" w:rsidRPr="00B5608C" w:rsidTr="00F73251">
        <w:trPr>
          <w:cantSplit/>
          <w:trHeight w:val="1053"/>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Assessments</w:t>
            </w:r>
          </w:p>
          <w:p w:rsidR="001606EB" w:rsidRPr="00B5608C" w:rsidRDefault="001606EB" w:rsidP="00F73251">
            <w:pPr>
              <w:rPr>
                <w:rFonts w:asciiTheme="minorHAnsi" w:hAnsiTheme="minorHAnsi" w:cs="Calibri"/>
                <w:b/>
              </w:rPr>
            </w:pPr>
          </w:p>
        </w:tc>
        <w:tc>
          <w:tcPr>
            <w:tcW w:w="7290" w:type="dxa"/>
            <w:vAlign w:val="center"/>
          </w:tcPr>
          <w:p w:rsidR="001606EB" w:rsidRPr="004E368E" w:rsidRDefault="000E092E" w:rsidP="00F73251">
            <w:pPr>
              <w:pStyle w:val="Default"/>
              <w:rPr>
                <w:rFonts w:asciiTheme="minorHAnsi" w:hAnsiTheme="minorHAnsi"/>
                <w:b/>
                <w:sz w:val="20"/>
                <w:szCs w:val="20"/>
              </w:rPr>
            </w:pPr>
            <w:r w:rsidRPr="004E368E">
              <w:rPr>
                <w:rFonts w:asciiTheme="minorHAnsi" w:hAnsiTheme="minorHAnsi"/>
                <w:b/>
                <w:sz w:val="20"/>
                <w:szCs w:val="20"/>
              </w:rPr>
              <w:t xml:space="preserve">X </w:t>
            </w:r>
            <w:r w:rsidR="001606EB" w:rsidRPr="004E368E">
              <w:rPr>
                <w:rFonts w:asciiTheme="minorHAnsi" w:hAnsiTheme="minorHAnsi"/>
                <w:b/>
                <w:sz w:val="20"/>
                <w:szCs w:val="20"/>
              </w:rPr>
              <w:t xml:space="preserve">Category 2 </w:t>
            </w:r>
          </w:p>
          <w:p w:rsidR="001606EB" w:rsidRPr="00B5608C" w:rsidRDefault="001606EB" w:rsidP="00F73251">
            <w:pPr>
              <w:pStyle w:val="Default"/>
              <w:rPr>
                <w:rFonts w:asciiTheme="minorHAnsi" w:hAnsiTheme="minorHAnsi"/>
                <w:sz w:val="16"/>
                <w:szCs w:val="20"/>
              </w:rPr>
            </w:pPr>
          </w:p>
          <w:p w:rsidR="004E368E" w:rsidRDefault="000E092E" w:rsidP="00F73251">
            <w:pPr>
              <w:rPr>
                <w:rFonts w:asciiTheme="minorHAnsi" w:eastAsia="Times New Roman" w:hAnsiTheme="minorHAnsi"/>
                <w:color w:val="000000"/>
                <w:sz w:val="20"/>
              </w:rPr>
            </w:pPr>
            <w:r w:rsidRPr="00B5608C">
              <w:rPr>
                <w:rFonts w:asciiTheme="minorHAnsi" w:eastAsia="Times New Roman" w:hAnsiTheme="minorHAnsi"/>
                <w:color w:val="000000"/>
                <w:sz w:val="20"/>
              </w:rPr>
              <w:t xml:space="preserve">Quarterly assessments for each grade level focusing on informational texts have been created collaboratively between English, Science, and Social Studies teachers at our school and with consultation from our district’s high school department heads. The passages include short articles, essays, and other informational texts. </w:t>
            </w:r>
          </w:p>
          <w:p w:rsidR="004E368E" w:rsidRDefault="004E368E" w:rsidP="00F73251">
            <w:pPr>
              <w:rPr>
                <w:rFonts w:asciiTheme="minorHAnsi" w:eastAsia="Times New Roman" w:hAnsiTheme="minorHAnsi"/>
                <w:color w:val="000000"/>
                <w:sz w:val="20"/>
              </w:rPr>
            </w:pPr>
          </w:p>
          <w:p w:rsidR="001606EB" w:rsidRPr="00B5608C" w:rsidRDefault="000E092E" w:rsidP="00F73251">
            <w:pPr>
              <w:rPr>
                <w:rFonts w:asciiTheme="minorHAnsi" w:eastAsia="Times New Roman" w:hAnsiTheme="minorHAnsi"/>
                <w:color w:val="000000"/>
                <w:sz w:val="20"/>
              </w:rPr>
            </w:pPr>
            <w:bookmarkStart w:id="1" w:name="_GoBack"/>
            <w:bookmarkEnd w:id="1"/>
            <w:r w:rsidRPr="00B5608C">
              <w:rPr>
                <w:rFonts w:asciiTheme="minorHAnsi" w:eastAsia="Times New Roman" w:hAnsiTheme="minorHAnsi"/>
                <w:color w:val="000000"/>
                <w:sz w:val="20"/>
              </w:rPr>
              <w:t>Students are asked to read, analyze, and respond through multiple choice and open response items. This assessment will be administered by grade-level teams the last week of each quarter. The quarterly assessments will be scored collaboratively by the 6th, 7th, and 8th grade teams using department meetings to calibrate, score, and discuss data.</w:t>
            </w:r>
          </w:p>
          <w:p w:rsidR="00DA01FB" w:rsidRPr="00B5608C" w:rsidRDefault="00DA01FB" w:rsidP="00F73251">
            <w:pPr>
              <w:rPr>
                <w:rFonts w:asciiTheme="minorHAnsi" w:hAnsiTheme="minorHAnsi" w:cs="Calibri"/>
                <w:szCs w:val="24"/>
              </w:rPr>
            </w:pPr>
          </w:p>
        </w:tc>
      </w:tr>
      <w:tr w:rsidR="001606EB" w:rsidRPr="00B5608C" w:rsidTr="00F73251">
        <w:trPr>
          <w:cantSplit/>
          <w:trHeight w:val="1053"/>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Context/Students</w:t>
            </w:r>
          </w:p>
          <w:p w:rsidR="001606EB" w:rsidRPr="00B5608C" w:rsidRDefault="001606EB" w:rsidP="00F73251">
            <w:pPr>
              <w:ind w:left="360"/>
              <w:rPr>
                <w:rFonts w:asciiTheme="minorHAnsi" w:hAnsiTheme="minorHAnsi" w:cs="Calibri"/>
                <w:sz w:val="18"/>
                <w:szCs w:val="18"/>
              </w:rPr>
            </w:pPr>
          </w:p>
        </w:tc>
        <w:tc>
          <w:tcPr>
            <w:tcW w:w="7290" w:type="dxa"/>
            <w:vAlign w:val="center"/>
          </w:tcPr>
          <w:p w:rsidR="001606EB" w:rsidRPr="00B5608C" w:rsidRDefault="000E092E" w:rsidP="00F73251">
            <w:pPr>
              <w:rPr>
                <w:rFonts w:asciiTheme="minorHAnsi" w:hAnsiTheme="minorHAnsi" w:cs="Calibri"/>
                <w:sz w:val="20"/>
              </w:rPr>
            </w:pPr>
            <w:r w:rsidRPr="00B5608C">
              <w:rPr>
                <w:rFonts w:asciiTheme="minorHAnsi" w:eastAsia="Times New Roman" w:hAnsiTheme="minorHAnsi"/>
                <w:color w:val="000000"/>
                <w:sz w:val="20"/>
              </w:rPr>
              <w:t>All students in grades 6th – 8th (328 total)</w:t>
            </w:r>
          </w:p>
        </w:tc>
      </w:tr>
      <w:tr w:rsidR="001606EB" w:rsidRPr="00B5608C" w:rsidTr="00F73251">
        <w:trPr>
          <w:cantSplit/>
          <w:trHeight w:val="1077"/>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Baseline Data</w:t>
            </w:r>
          </w:p>
          <w:p w:rsidR="001606EB" w:rsidRPr="00B5608C" w:rsidRDefault="001606EB" w:rsidP="00F73251">
            <w:pPr>
              <w:ind w:left="360"/>
              <w:rPr>
                <w:rFonts w:asciiTheme="minorHAnsi" w:hAnsiTheme="minorHAnsi" w:cs="Calibri"/>
                <w:sz w:val="18"/>
                <w:szCs w:val="18"/>
              </w:rPr>
            </w:pPr>
          </w:p>
        </w:tc>
        <w:tc>
          <w:tcPr>
            <w:tcW w:w="7290" w:type="dxa"/>
            <w:vAlign w:val="center"/>
          </w:tcPr>
          <w:p w:rsidR="00DA01FB" w:rsidRPr="00B5608C" w:rsidRDefault="00DA01FB" w:rsidP="00F73251">
            <w:pPr>
              <w:pStyle w:val="ListParagraph"/>
              <w:ind w:left="0"/>
              <w:rPr>
                <w:rFonts w:asciiTheme="minorHAnsi" w:eastAsia="Times New Roman" w:hAnsiTheme="minorHAnsi"/>
                <w:color w:val="000000"/>
                <w:sz w:val="20"/>
              </w:rPr>
            </w:pPr>
          </w:p>
          <w:p w:rsidR="001606EB" w:rsidRPr="00B5608C" w:rsidRDefault="000E092E" w:rsidP="00F73251">
            <w:pPr>
              <w:pStyle w:val="ListParagraph"/>
              <w:ind w:left="0"/>
              <w:rPr>
                <w:rFonts w:asciiTheme="minorHAnsi" w:eastAsia="Times New Roman" w:hAnsiTheme="minorHAnsi"/>
                <w:color w:val="000000"/>
                <w:sz w:val="20"/>
              </w:rPr>
            </w:pPr>
            <w:r w:rsidRPr="00B5608C">
              <w:rPr>
                <w:rFonts w:asciiTheme="minorHAnsi" w:eastAsia="Times New Roman" w:hAnsiTheme="minorHAnsi"/>
                <w:color w:val="000000"/>
                <w:sz w:val="20"/>
              </w:rPr>
              <w:t>Last year, only 30% of students showed mastery of this skill on district-wide end-of-year assessments and only 30% showed proficiency. This year, the beginning–of-year district benchmark assessment data (administered in English classes) indicates that 41% of 6</w:t>
            </w:r>
            <w:r w:rsidRPr="00B5608C">
              <w:rPr>
                <w:rFonts w:asciiTheme="minorHAnsi" w:eastAsia="Times New Roman" w:hAnsiTheme="minorHAnsi"/>
                <w:color w:val="000000"/>
                <w:sz w:val="13"/>
                <w:szCs w:val="13"/>
              </w:rPr>
              <w:t xml:space="preserve">th </w:t>
            </w:r>
            <w:r w:rsidRPr="00B5608C">
              <w:rPr>
                <w:rFonts w:asciiTheme="minorHAnsi" w:eastAsia="Times New Roman" w:hAnsiTheme="minorHAnsi"/>
                <w:color w:val="000000"/>
                <w:sz w:val="20"/>
              </w:rPr>
              <w:t>graders, 57% of 7</w:t>
            </w:r>
            <w:r w:rsidRPr="00B5608C">
              <w:rPr>
                <w:rFonts w:asciiTheme="minorHAnsi" w:eastAsia="Times New Roman" w:hAnsiTheme="minorHAnsi"/>
                <w:color w:val="000000"/>
                <w:sz w:val="13"/>
                <w:szCs w:val="13"/>
              </w:rPr>
              <w:t xml:space="preserve">th </w:t>
            </w:r>
            <w:r w:rsidRPr="00B5608C">
              <w:rPr>
                <w:rFonts w:asciiTheme="minorHAnsi" w:eastAsia="Times New Roman" w:hAnsiTheme="minorHAnsi"/>
                <w:color w:val="000000"/>
                <w:sz w:val="20"/>
              </w:rPr>
              <w:t>graders and 62% of 8</w:t>
            </w:r>
            <w:r w:rsidRPr="00B5608C">
              <w:rPr>
                <w:rFonts w:asciiTheme="minorHAnsi" w:eastAsia="Times New Roman" w:hAnsiTheme="minorHAnsi"/>
                <w:color w:val="000000"/>
                <w:sz w:val="13"/>
                <w:szCs w:val="13"/>
              </w:rPr>
              <w:t xml:space="preserve">th </w:t>
            </w:r>
            <w:r w:rsidRPr="00B5608C">
              <w:rPr>
                <w:rFonts w:asciiTheme="minorHAnsi" w:eastAsia="Times New Roman" w:hAnsiTheme="minorHAnsi"/>
                <w:color w:val="000000"/>
                <w:sz w:val="20"/>
              </w:rPr>
              <w:t>graders can proficiently read, comprehend, and respond to informational texts. Beginning-of-year Social Studies benchmark assessments corroborate these findings.</w:t>
            </w:r>
          </w:p>
          <w:p w:rsidR="00DA01FB" w:rsidRPr="00B5608C" w:rsidRDefault="00DA01FB" w:rsidP="00F73251">
            <w:pPr>
              <w:pStyle w:val="ListParagraph"/>
              <w:ind w:left="0"/>
              <w:rPr>
                <w:rFonts w:asciiTheme="minorHAnsi" w:hAnsiTheme="minorHAnsi" w:cs="Calibri"/>
              </w:rPr>
            </w:pPr>
          </w:p>
        </w:tc>
      </w:tr>
      <w:tr w:rsidR="001606EB" w:rsidRPr="00B5608C" w:rsidTr="003972BC">
        <w:trPr>
          <w:trHeight w:val="885"/>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Student Growth Goal (Targets)</w:t>
            </w:r>
          </w:p>
          <w:p w:rsidR="001606EB" w:rsidRPr="00B5608C" w:rsidRDefault="001606EB" w:rsidP="00F73251">
            <w:pPr>
              <w:pStyle w:val="ListParagraph"/>
              <w:ind w:left="360"/>
              <w:rPr>
                <w:rFonts w:asciiTheme="minorHAnsi" w:hAnsiTheme="minorHAnsi" w:cs="Calibri"/>
                <w:sz w:val="16"/>
                <w:szCs w:val="16"/>
              </w:rPr>
            </w:pPr>
          </w:p>
        </w:tc>
        <w:tc>
          <w:tcPr>
            <w:tcW w:w="7290" w:type="dxa"/>
            <w:vAlign w:val="center"/>
          </w:tcPr>
          <w:p w:rsidR="00DA01FB" w:rsidRPr="00B5608C" w:rsidRDefault="00DA01FB" w:rsidP="00F73251">
            <w:pPr>
              <w:rPr>
                <w:rFonts w:asciiTheme="minorHAnsi" w:eastAsia="Times New Roman" w:hAnsiTheme="minorHAnsi"/>
                <w:color w:val="000000"/>
                <w:sz w:val="20"/>
              </w:rPr>
            </w:pPr>
          </w:p>
          <w:p w:rsidR="001606EB" w:rsidRPr="00B5608C" w:rsidRDefault="000E092E" w:rsidP="00F73251">
            <w:pPr>
              <w:rPr>
                <w:rFonts w:asciiTheme="minorHAnsi" w:eastAsia="Times New Roman" w:hAnsiTheme="minorHAnsi"/>
                <w:color w:val="000000"/>
                <w:sz w:val="20"/>
              </w:rPr>
            </w:pPr>
            <w:r w:rsidRPr="00B5608C">
              <w:rPr>
                <w:rFonts w:asciiTheme="minorHAnsi" w:eastAsia="Times New Roman" w:hAnsiTheme="minorHAnsi"/>
                <w:color w:val="000000"/>
                <w:sz w:val="20"/>
              </w:rPr>
              <w:t>Based on beginning of year benchmark assessments and student data taken from portions of district-wide tests in English, Social Studies, and Science assessments, we have sorted all students into three tiers:</w:t>
            </w:r>
          </w:p>
          <w:p w:rsidR="000E092E" w:rsidRPr="00B5608C" w:rsidRDefault="000E092E" w:rsidP="00F73251">
            <w:pPr>
              <w:rPr>
                <w:rFonts w:asciiTheme="minorHAnsi" w:eastAsia="Times New Roman" w:hAnsiTheme="minorHAnsi" w:cs="Arial"/>
                <w:color w:val="000000"/>
                <w:sz w:val="20"/>
              </w:rPr>
            </w:pPr>
            <w:r w:rsidRPr="00B5608C">
              <w:rPr>
                <w:rFonts w:asciiTheme="minorHAnsi" w:eastAsia="Times New Roman" w:hAnsiTheme="minorHAnsi" w:cs="Arial"/>
                <w:color w:val="000000"/>
                <w:sz w:val="20"/>
              </w:rPr>
              <w:t>• The 57 students who earned 80%-100% will maintain their high level of skill on assessments with increased text complexity by the end of the year as measured by quarterly assessments.</w:t>
            </w:r>
          </w:p>
          <w:p w:rsidR="000E092E" w:rsidRPr="00B5608C" w:rsidRDefault="000E092E" w:rsidP="00F73251">
            <w:pPr>
              <w:rPr>
                <w:rFonts w:asciiTheme="minorHAnsi" w:eastAsia="Times New Roman" w:hAnsiTheme="minorHAnsi" w:cs="Arial"/>
                <w:color w:val="000000"/>
                <w:sz w:val="20"/>
              </w:rPr>
            </w:pPr>
            <w:r w:rsidRPr="00B5608C">
              <w:rPr>
                <w:rFonts w:asciiTheme="minorHAnsi" w:eastAsia="Times New Roman" w:hAnsiTheme="minorHAnsi" w:cs="Arial"/>
                <w:color w:val="000000"/>
                <w:sz w:val="20"/>
              </w:rPr>
              <w:t>• The 163 students who earned 65%-79% will increase by an average of 10% by the final quarterly assessment.</w:t>
            </w:r>
          </w:p>
          <w:p w:rsidR="000E092E" w:rsidRPr="00B5608C" w:rsidRDefault="000E092E" w:rsidP="00F73251">
            <w:pPr>
              <w:rPr>
                <w:rFonts w:asciiTheme="minorHAnsi" w:eastAsia="Times New Roman" w:hAnsiTheme="minorHAnsi" w:cs="Arial"/>
                <w:color w:val="000000"/>
                <w:sz w:val="20"/>
              </w:rPr>
            </w:pPr>
            <w:r w:rsidRPr="00B5608C">
              <w:rPr>
                <w:rFonts w:asciiTheme="minorHAnsi" w:eastAsia="Times New Roman" w:hAnsiTheme="minorHAnsi" w:cs="Arial"/>
                <w:color w:val="000000"/>
                <w:sz w:val="20"/>
              </w:rPr>
              <w:t>• The 108 students who earned below 65% will increase by an average of 20% by the final quarterly assessment.</w:t>
            </w:r>
          </w:p>
        </w:tc>
      </w:tr>
      <w:tr w:rsidR="001606EB" w:rsidRPr="00B5608C" w:rsidTr="00F73251">
        <w:trPr>
          <w:trHeight w:val="885"/>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Rationale</w:t>
            </w:r>
          </w:p>
          <w:p w:rsidR="001606EB" w:rsidRPr="00B5608C" w:rsidRDefault="001606EB" w:rsidP="00F73251">
            <w:pPr>
              <w:rPr>
                <w:rFonts w:asciiTheme="minorHAnsi" w:hAnsiTheme="minorHAnsi" w:cs="Calibri"/>
                <w:b/>
                <w:sz w:val="20"/>
              </w:rPr>
            </w:pPr>
          </w:p>
        </w:tc>
        <w:tc>
          <w:tcPr>
            <w:tcW w:w="7290" w:type="dxa"/>
            <w:vAlign w:val="center"/>
          </w:tcPr>
          <w:p w:rsidR="00DA01FB" w:rsidRPr="00B5608C" w:rsidRDefault="00DA01FB" w:rsidP="00F73251">
            <w:pPr>
              <w:rPr>
                <w:rFonts w:asciiTheme="minorHAnsi" w:eastAsia="Times New Roman" w:hAnsiTheme="minorHAnsi"/>
                <w:color w:val="000000"/>
                <w:sz w:val="20"/>
              </w:rPr>
            </w:pPr>
          </w:p>
          <w:p w:rsidR="001606EB" w:rsidRPr="00B5608C" w:rsidRDefault="000E092E" w:rsidP="00F73251">
            <w:pPr>
              <w:rPr>
                <w:rFonts w:asciiTheme="minorHAnsi" w:eastAsia="Times New Roman" w:hAnsiTheme="minorHAnsi"/>
                <w:color w:val="000000"/>
                <w:sz w:val="20"/>
              </w:rPr>
            </w:pPr>
            <w:r w:rsidRPr="00B5608C">
              <w:rPr>
                <w:rFonts w:asciiTheme="minorHAnsi" w:eastAsia="Times New Roman" w:hAnsiTheme="minorHAnsi"/>
                <w:color w:val="000000"/>
                <w:sz w:val="20"/>
              </w:rPr>
              <w:t>Based on end-of-year district assessments and common assessment+B74 data, our students are weaker in their ability to respond to informational texts than to literary texts. In addition, the high school educators have indicated that our eighth grade graduates are unprepared for honors, AP, or other upper-level classes, which are reading and writing intensive. We believe increasing success in literacy skills focused on informational texts will lead to increased achievement in all classes at our school and when students enter high school. Furthermore, this is in alignment with CCSS emphasis on literary text as students move into the secondary grades.</w:t>
            </w:r>
          </w:p>
          <w:p w:rsidR="00DA01FB" w:rsidRPr="00B5608C" w:rsidRDefault="00DA01FB" w:rsidP="00F73251">
            <w:pPr>
              <w:rPr>
                <w:rFonts w:asciiTheme="minorHAnsi" w:hAnsiTheme="minorHAnsi" w:cs="Calibri"/>
                <w:szCs w:val="24"/>
              </w:rPr>
            </w:pPr>
          </w:p>
        </w:tc>
      </w:tr>
      <w:tr w:rsidR="001606EB" w:rsidRPr="00B5608C" w:rsidTr="00F73251">
        <w:trPr>
          <w:trHeight w:val="1065"/>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rPr>
            </w:pPr>
          </w:p>
        </w:tc>
        <w:tc>
          <w:tcPr>
            <w:tcW w:w="2267" w:type="dxa"/>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 xml:space="preserve">Strategies </w:t>
            </w:r>
          </w:p>
          <w:p w:rsidR="001606EB" w:rsidRPr="00B5608C" w:rsidRDefault="001606EB" w:rsidP="00F73251">
            <w:pPr>
              <w:pStyle w:val="ColorfulList-Accent11"/>
              <w:ind w:left="360"/>
              <w:rPr>
                <w:rFonts w:asciiTheme="minorHAnsi" w:hAnsiTheme="minorHAnsi" w:cs="Calibri"/>
                <w:b/>
                <w:sz w:val="8"/>
                <w:szCs w:val="8"/>
              </w:rPr>
            </w:pPr>
          </w:p>
        </w:tc>
        <w:tc>
          <w:tcPr>
            <w:tcW w:w="7290" w:type="dxa"/>
            <w:vAlign w:val="center"/>
          </w:tcPr>
          <w:p w:rsidR="001606EB" w:rsidRPr="00B5608C" w:rsidRDefault="001606EB" w:rsidP="00F73251">
            <w:pPr>
              <w:rPr>
                <w:rFonts w:asciiTheme="minorHAnsi" w:hAnsiTheme="minorHAnsi" w:cs="Calibri"/>
              </w:rPr>
            </w:pPr>
          </w:p>
        </w:tc>
      </w:tr>
      <w:tr w:rsidR="001606EB" w:rsidRPr="00B5608C" w:rsidTr="00F73251">
        <w:trPr>
          <w:trHeight w:val="705"/>
        </w:trPr>
        <w:tc>
          <w:tcPr>
            <w:tcW w:w="523" w:type="dxa"/>
            <w:vMerge/>
            <w:tcBorders>
              <w:top w:val="nil"/>
              <w:bottom w:val="single" w:sz="4" w:space="0" w:color="auto"/>
            </w:tcBorders>
            <w:shd w:val="clear" w:color="auto" w:fill="D9D9D9"/>
          </w:tcPr>
          <w:p w:rsidR="001606EB" w:rsidRPr="00B5608C" w:rsidRDefault="001606EB" w:rsidP="00F73251">
            <w:pPr>
              <w:rPr>
                <w:rFonts w:asciiTheme="minorHAnsi" w:hAnsiTheme="minorHAnsi" w:cs="Calibri"/>
                <w:b/>
              </w:rPr>
            </w:pPr>
          </w:p>
        </w:tc>
        <w:tc>
          <w:tcPr>
            <w:tcW w:w="2267" w:type="dxa"/>
            <w:tcBorders>
              <w:bottom w:val="thinThickSmallGap" w:sz="24" w:space="0" w:color="auto"/>
            </w:tcBorders>
            <w:shd w:val="clear" w:color="auto" w:fill="FFFFFF"/>
            <w:vAlign w:val="center"/>
          </w:tcPr>
          <w:p w:rsidR="001606EB" w:rsidRPr="00B5608C" w:rsidRDefault="001606EB" w:rsidP="00F73251">
            <w:pPr>
              <w:rPr>
                <w:rFonts w:asciiTheme="minorHAnsi" w:hAnsiTheme="minorHAnsi" w:cs="Calibri"/>
                <w:b/>
                <w:sz w:val="20"/>
              </w:rPr>
            </w:pPr>
            <w:r w:rsidRPr="00B5608C">
              <w:rPr>
                <w:rFonts w:asciiTheme="minorHAnsi" w:hAnsiTheme="minorHAnsi" w:cs="Calibri"/>
                <w:b/>
                <w:sz w:val="20"/>
              </w:rPr>
              <w:t>Professional Learning and Support</w:t>
            </w:r>
          </w:p>
          <w:p w:rsidR="001606EB" w:rsidRPr="00B5608C" w:rsidRDefault="001606EB" w:rsidP="00F73251">
            <w:pPr>
              <w:pStyle w:val="ColorfulList-Accent11"/>
              <w:ind w:left="360"/>
              <w:rPr>
                <w:rFonts w:asciiTheme="minorHAnsi" w:hAnsiTheme="minorHAnsi" w:cs="Calibri"/>
                <w:sz w:val="8"/>
                <w:szCs w:val="8"/>
              </w:rPr>
            </w:pPr>
          </w:p>
        </w:tc>
        <w:tc>
          <w:tcPr>
            <w:tcW w:w="7290" w:type="dxa"/>
            <w:tcBorders>
              <w:bottom w:val="thinThickSmallGap" w:sz="24" w:space="0" w:color="auto"/>
            </w:tcBorders>
            <w:vAlign w:val="center"/>
          </w:tcPr>
          <w:p w:rsidR="001606EB" w:rsidRPr="00B5608C" w:rsidRDefault="001606EB" w:rsidP="00F73251">
            <w:pPr>
              <w:rPr>
                <w:rFonts w:asciiTheme="minorHAnsi" w:hAnsiTheme="minorHAnsi" w:cs="Calibri"/>
                <w:b/>
              </w:rPr>
            </w:pPr>
          </w:p>
        </w:tc>
      </w:tr>
    </w:tbl>
    <w:p w:rsidR="00A57C7B" w:rsidRPr="00B5608C" w:rsidRDefault="00A57C7B">
      <w:pPr>
        <w:rPr>
          <w:rFonts w:asciiTheme="minorHAnsi" w:hAnsiTheme="minorHAnsi"/>
        </w:rPr>
      </w:pPr>
    </w:p>
    <w:sectPr w:rsidR="00A57C7B" w:rsidRPr="00B56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EB"/>
    <w:rsid w:val="000E092E"/>
    <w:rsid w:val="001606EB"/>
    <w:rsid w:val="00233FE3"/>
    <w:rsid w:val="003972BC"/>
    <w:rsid w:val="004E368E"/>
    <w:rsid w:val="00A57C7B"/>
    <w:rsid w:val="00B5608C"/>
    <w:rsid w:val="00C46D02"/>
    <w:rsid w:val="00C50915"/>
    <w:rsid w:val="00DA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EB"/>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606EB"/>
    <w:pPr>
      <w:spacing w:after="0" w:line="240" w:lineRule="auto"/>
    </w:pPr>
    <w:rPr>
      <w:rFonts w:ascii="Calibri" w:eastAsia="Calibri" w:hAnsi="Calibri" w:cs="Times New Roman"/>
    </w:rPr>
  </w:style>
  <w:style w:type="character" w:customStyle="1" w:styleId="NoSpacingChar">
    <w:name w:val="No Spacing Char"/>
    <w:link w:val="NoSpacing"/>
    <w:uiPriority w:val="99"/>
    <w:rsid w:val="001606EB"/>
    <w:rPr>
      <w:rFonts w:ascii="Calibri" w:eastAsia="Calibri" w:hAnsi="Calibri" w:cs="Times New Roman"/>
    </w:rPr>
  </w:style>
  <w:style w:type="paragraph" w:styleId="ListParagraph">
    <w:name w:val="List Paragraph"/>
    <w:basedOn w:val="Normal"/>
    <w:link w:val="ListParagraphChar"/>
    <w:uiPriority w:val="34"/>
    <w:qFormat/>
    <w:rsid w:val="001606EB"/>
    <w:pPr>
      <w:ind w:left="720"/>
      <w:contextualSpacing/>
    </w:pPr>
  </w:style>
  <w:style w:type="paragraph" w:customStyle="1" w:styleId="Default">
    <w:name w:val="Default"/>
    <w:rsid w:val="001606E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locked/>
    <w:rsid w:val="001606EB"/>
    <w:rPr>
      <w:rFonts w:ascii="Arial" w:eastAsia="Calibri" w:hAnsi="Arial" w:cs="Times New Roman"/>
      <w:sz w:val="24"/>
      <w:szCs w:val="20"/>
    </w:rPr>
  </w:style>
  <w:style w:type="paragraph" w:customStyle="1" w:styleId="ColorfulList-Accent11">
    <w:name w:val="Colorful List - Accent 11"/>
    <w:basedOn w:val="Normal"/>
    <w:uiPriority w:val="99"/>
    <w:qFormat/>
    <w:rsid w:val="001606EB"/>
    <w:pPr>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EB"/>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606EB"/>
    <w:pPr>
      <w:spacing w:after="0" w:line="240" w:lineRule="auto"/>
    </w:pPr>
    <w:rPr>
      <w:rFonts w:ascii="Calibri" w:eastAsia="Calibri" w:hAnsi="Calibri" w:cs="Times New Roman"/>
    </w:rPr>
  </w:style>
  <w:style w:type="character" w:customStyle="1" w:styleId="NoSpacingChar">
    <w:name w:val="No Spacing Char"/>
    <w:link w:val="NoSpacing"/>
    <w:uiPriority w:val="99"/>
    <w:rsid w:val="001606EB"/>
    <w:rPr>
      <w:rFonts w:ascii="Calibri" w:eastAsia="Calibri" w:hAnsi="Calibri" w:cs="Times New Roman"/>
    </w:rPr>
  </w:style>
  <w:style w:type="paragraph" w:styleId="ListParagraph">
    <w:name w:val="List Paragraph"/>
    <w:basedOn w:val="Normal"/>
    <w:link w:val="ListParagraphChar"/>
    <w:uiPriority w:val="34"/>
    <w:qFormat/>
    <w:rsid w:val="001606EB"/>
    <w:pPr>
      <w:ind w:left="720"/>
      <w:contextualSpacing/>
    </w:pPr>
  </w:style>
  <w:style w:type="paragraph" w:customStyle="1" w:styleId="Default">
    <w:name w:val="Default"/>
    <w:rsid w:val="001606E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locked/>
    <w:rsid w:val="001606EB"/>
    <w:rPr>
      <w:rFonts w:ascii="Arial" w:eastAsia="Calibri" w:hAnsi="Arial" w:cs="Times New Roman"/>
      <w:sz w:val="24"/>
      <w:szCs w:val="20"/>
    </w:rPr>
  </w:style>
  <w:style w:type="paragraph" w:customStyle="1" w:styleId="ColorfulList-Accent11">
    <w:name w:val="Colorful List - Accent 11"/>
    <w:basedOn w:val="Normal"/>
    <w:uiPriority w:val="99"/>
    <w:qFormat/>
    <w:rsid w:val="001606EB"/>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a46da635-35ab-4168-9e0e-61b66d2ed8e3" xsi:nil="true"/>
    <Remediation_x0020_Date xmlns="a46da635-35ab-4168-9e0e-61b66d2ed8e3">2018-07-05T07:00:00+00:00</Remediation_x0020_Date>
    <Priority xmlns="a46da635-35ab-4168-9e0e-61b66d2ed8e3">New</Priorit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1EDF2100B64E49B1291E2901D21D48" ma:contentTypeVersion="7" ma:contentTypeDescription="Create a new document." ma:contentTypeScope="" ma:versionID="446566eb20b54b48c69742cc1c9903eb">
  <xsd:schema xmlns:xsd="http://www.w3.org/2001/XMLSchema" xmlns:xs="http://www.w3.org/2001/XMLSchema" xmlns:p="http://schemas.microsoft.com/office/2006/metadata/properties" xmlns:ns1="http://schemas.microsoft.com/sharepoint/v3" xmlns:ns2="a46da635-35ab-4168-9e0e-61b66d2ed8e3" xmlns:ns3="54031767-dd6d-417c-ab73-583408f47564" targetNamespace="http://schemas.microsoft.com/office/2006/metadata/properties" ma:root="true" ma:fieldsID="7087f3705c773f4cf2c7d9b38a145241" ns1:_="" ns2:_="" ns3:_="">
    <xsd:import namespace="http://schemas.microsoft.com/sharepoint/v3"/>
    <xsd:import namespace="a46da635-35ab-4168-9e0e-61b66d2ed8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a635-35ab-4168-9e0e-61b66d2ed8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CAC6F-ABDB-4603-B6FB-4170D49C357C}"/>
</file>

<file path=customXml/itemProps2.xml><?xml version="1.0" encoding="utf-8"?>
<ds:datastoreItem xmlns:ds="http://schemas.openxmlformats.org/officeDocument/2006/customXml" ds:itemID="{5FCB1354-9AA7-4963-9144-51D585D68308}"/>
</file>

<file path=customXml/itemProps3.xml><?xml version="1.0" encoding="utf-8"?>
<ds:datastoreItem xmlns:ds="http://schemas.openxmlformats.org/officeDocument/2006/customXml" ds:itemID="{8C0BC1B4-8BBA-465F-98EA-B50D60FD788C}"/>
</file>

<file path=customXml/itemProps4.xml><?xml version="1.0" encoding="utf-8"?>
<ds:datastoreItem xmlns:ds="http://schemas.openxmlformats.org/officeDocument/2006/customXml" ds:itemID="{A3303079-D28C-4D4F-99E2-3D917B92C723}"/>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Sarah</dc:creator>
  <cp:lastModifiedBy>MARTIN Sarah</cp:lastModifiedBy>
  <cp:revision>3</cp:revision>
  <dcterms:created xsi:type="dcterms:W3CDTF">2015-08-04T18:01:00Z</dcterms:created>
  <dcterms:modified xsi:type="dcterms:W3CDTF">2015-08-04T18:33:00Z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0x010100AD1EDF2100B64E49B1291E2901D21D48</vt:lpwstr>
  </property>
</Properties>
</file>