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F0" w:rsidRPr="00FD142C" w:rsidRDefault="00A577BF" w:rsidP="00C70BF0">
      <w:pPr>
        <w:rPr>
          <w:rFonts w:ascii="Calibri" w:hAnsi="Calibri"/>
        </w:rPr>
      </w:pPr>
      <w:r w:rsidRPr="00060316">
        <w:rPr>
          <w:rFonts w:ascii="Calibri" w:hAnsi="Calibri"/>
        </w:rPr>
        <w:t xml:space="preserve">As a requirement of SB290 and </w:t>
      </w:r>
      <w:r w:rsidR="00BF223F">
        <w:rPr>
          <w:rFonts w:ascii="Calibri" w:hAnsi="Calibri"/>
        </w:rPr>
        <w:t xml:space="preserve">OAR </w:t>
      </w:r>
      <w:r w:rsidR="00547985">
        <w:rPr>
          <w:rFonts w:ascii="Calibri" w:hAnsi="Calibri"/>
        </w:rPr>
        <w:t xml:space="preserve">581-022-1723 </w:t>
      </w:r>
      <w:proofErr w:type="gramStart"/>
      <w:r w:rsidRPr="00060316">
        <w:rPr>
          <w:rFonts w:ascii="Calibri" w:hAnsi="Calibri"/>
        </w:rPr>
        <w:t>student</w:t>
      </w:r>
      <w:proofErr w:type="gramEnd"/>
      <w:r w:rsidRPr="00060316">
        <w:rPr>
          <w:rFonts w:ascii="Calibri" w:hAnsi="Calibri"/>
        </w:rPr>
        <w:t xml:space="preserve"> learning and growth must be included as a significant factor of educators’ summative evaluations.  SLG goals </w:t>
      </w:r>
      <w:proofErr w:type="gramStart"/>
      <w:r w:rsidRPr="00060316">
        <w:rPr>
          <w:rFonts w:ascii="Calibri" w:hAnsi="Calibri"/>
        </w:rPr>
        <w:t>are scored</w:t>
      </w:r>
      <w:proofErr w:type="gramEnd"/>
      <w:r w:rsidRPr="00060316">
        <w:rPr>
          <w:rFonts w:ascii="Calibri" w:hAnsi="Calibri"/>
        </w:rPr>
        <w:t xml:space="preserve"> and the SLG performance level is determined. To ensure consistency in evaluations across the state, all districts must use the </w:t>
      </w:r>
      <w:r w:rsidR="004D79F3" w:rsidRPr="004D79F3">
        <w:rPr>
          <w:rFonts w:ascii="Calibri" w:hAnsi="Calibri"/>
          <w:b/>
        </w:rPr>
        <w:t>Oregon</w:t>
      </w:r>
      <w:r w:rsidR="004D79F3">
        <w:rPr>
          <w:rFonts w:ascii="Calibri" w:hAnsi="Calibri"/>
        </w:rPr>
        <w:t xml:space="preserve"> </w:t>
      </w:r>
      <w:r w:rsidR="00C70BF0">
        <w:rPr>
          <w:rFonts w:ascii="Calibri" w:hAnsi="Calibri"/>
          <w:b/>
        </w:rPr>
        <w:t xml:space="preserve">SLG Goal Scoring </w:t>
      </w:r>
      <w:r w:rsidR="00C70BF0" w:rsidRPr="004D79F3">
        <w:rPr>
          <w:rFonts w:ascii="Calibri" w:hAnsi="Calibri"/>
          <w:b/>
        </w:rPr>
        <w:t>Rubric</w:t>
      </w:r>
      <w:r w:rsidR="00FD142C" w:rsidRPr="00FD142C">
        <w:rPr>
          <w:rFonts w:ascii="Calibri" w:hAnsi="Calibri"/>
        </w:rPr>
        <w:t xml:space="preserve"> to score SLG goals measured by Category 2 assessments</w:t>
      </w:r>
      <w:r w:rsidR="00C70BF0" w:rsidRPr="00FD142C">
        <w:rPr>
          <w:rFonts w:ascii="Calibri" w:hAnsi="Calibri"/>
        </w:rPr>
        <w:t>.</w:t>
      </w:r>
    </w:p>
    <w:p w:rsidR="00276516" w:rsidRPr="00FA6982" w:rsidRDefault="00276516">
      <w:pPr>
        <w:rPr>
          <w:sz w:val="22"/>
          <w:szCs w:val="22"/>
        </w:rPr>
      </w:pPr>
    </w:p>
    <w:p w:rsidR="00592F73" w:rsidRPr="00592F73" w:rsidRDefault="004D79F3" w:rsidP="004D79F3">
      <w:pPr>
        <w:pStyle w:val="ListParagraph"/>
        <w:ind w:left="0"/>
        <w:rPr>
          <w:rFonts w:asciiTheme="minorHAnsi" w:hAnsiTheme="minorHAnsi"/>
          <w:i/>
        </w:rPr>
      </w:pPr>
      <w:r w:rsidRPr="00592F73">
        <w:rPr>
          <w:rFonts w:asciiTheme="minorHAnsi" w:hAnsiTheme="minorHAnsi"/>
          <w:i/>
        </w:rPr>
        <w:t xml:space="preserve">Teachers </w:t>
      </w:r>
      <w:r w:rsidR="00592F73" w:rsidRPr="00592F73">
        <w:rPr>
          <w:rFonts w:asciiTheme="minorHAnsi" w:hAnsiTheme="minorHAnsi"/>
          <w:i/>
        </w:rPr>
        <w:t xml:space="preserve">and administrators </w:t>
      </w:r>
      <w:r w:rsidRPr="00592F73">
        <w:rPr>
          <w:rFonts w:asciiTheme="minorHAnsi" w:hAnsiTheme="minorHAnsi"/>
          <w:i/>
        </w:rPr>
        <w:t>in tested grades and subjects (ELA and Math grades 4-8)</w:t>
      </w:r>
      <w:r w:rsidR="00592F73" w:rsidRPr="00592F73">
        <w:rPr>
          <w:rFonts w:asciiTheme="minorHAnsi" w:hAnsiTheme="minorHAnsi"/>
          <w:i/>
        </w:rPr>
        <w:t xml:space="preserve"> </w:t>
      </w:r>
      <w:r w:rsidRPr="00592F73">
        <w:rPr>
          <w:rFonts w:asciiTheme="minorHAnsi" w:hAnsiTheme="minorHAnsi"/>
          <w:i/>
        </w:rPr>
        <w:t>must use Category 1 for one goal. For goals that use Category 1 measures, ratings wi</w:t>
      </w:r>
      <w:r w:rsidR="00592F73" w:rsidRPr="00592F73">
        <w:rPr>
          <w:rFonts w:asciiTheme="minorHAnsi" w:hAnsiTheme="minorHAnsi"/>
          <w:i/>
        </w:rPr>
        <w:t xml:space="preserve">ll be determined using </w:t>
      </w:r>
      <w:hyperlink r:id="rId10" w:history="1">
        <w:r w:rsidR="00592F73" w:rsidRPr="00592F73">
          <w:rPr>
            <w:rStyle w:val="Hyperlink"/>
            <w:rFonts w:asciiTheme="minorHAnsi" w:hAnsiTheme="minorHAnsi"/>
            <w:i/>
          </w:rPr>
          <w:t>Student Growth Percentiles (SGPs</w:t>
        </w:r>
      </w:hyperlink>
      <w:r w:rsidR="00592F73" w:rsidRPr="00592F73">
        <w:rPr>
          <w:rFonts w:asciiTheme="minorHAnsi" w:hAnsiTheme="minorHAnsi"/>
          <w:i/>
        </w:rPr>
        <w:t>).</w:t>
      </w:r>
    </w:p>
    <w:p w:rsidR="004D79F3" w:rsidRPr="00592F73" w:rsidRDefault="00592F73" w:rsidP="004D79F3">
      <w:pPr>
        <w:pStyle w:val="ListParagraph"/>
        <w:ind w:left="0"/>
        <w:rPr>
          <w:rFonts w:asciiTheme="minorHAnsi" w:hAnsiTheme="minorHAnsi"/>
          <w:sz w:val="22"/>
        </w:rPr>
      </w:pPr>
      <w:r w:rsidRPr="00592F73">
        <w:rPr>
          <w:rFonts w:asciiTheme="minorHAnsi" w:hAnsiTheme="minorHAnsi"/>
          <w:sz w:val="22"/>
        </w:rPr>
        <w:t xml:space="preserve"> </w:t>
      </w:r>
    </w:p>
    <w:p w:rsidR="00C70BF0" w:rsidRPr="00060316" w:rsidRDefault="00C70BF0" w:rsidP="00C70BF0">
      <w:pPr>
        <w:rPr>
          <w:rFonts w:ascii="Calibri" w:hAnsi="Calibri"/>
        </w:rPr>
      </w:pPr>
      <w:r>
        <w:rPr>
          <w:rFonts w:ascii="Calibri" w:hAnsi="Calibri"/>
        </w:rPr>
        <w:t>The</w:t>
      </w:r>
      <w:r w:rsidR="00A577BF" w:rsidRPr="00060316">
        <w:rPr>
          <w:rFonts w:ascii="Calibri" w:hAnsi="Calibri"/>
        </w:rPr>
        <w:t xml:space="preserve"> SLG scoring rubric </w:t>
      </w:r>
      <w:proofErr w:type="gramStart"/>
      <w:r w:rsidR="00A577BF" w:rsidRPr="00060316">
        <w:rPr>
          <w:rFonts w:ascii="Calibri" w:hAnsi="Calibri"/>
        </w:rPr>
        <w:t>is used</w:t>
      </w:r>
      <w:proofErr w:type="gramEnd"/>
      <w:r w:rsidR="00A577BF" w:rsidRPr="00060316">
        <w:rPr>
          <w:rFonts w:ascii="Calibri" w:hAnsi="Calibri"/>
        </w:rPr>
        <w:t xml:space="preserve"> for scoring individual SLG goals based on evidence submitted by the teacher and administrator. This rubric applies to both teacher and administrator evaluations. </w:t>
      </w:r>
      <w:r w:rsidRPr="00060316">
        <w:rPr>
          <w:rFonts w:ascii="Calibri" w:hAnsi="Calibri"/>
        </w:rPr>
        <w:t xml:space="preserve">The scoring process </w:t>
      </w:r>
      <w:proofErr w:type="gramStart"/>
      <w:r w:rsidRPr="00060316">
        <w:rPr>
          <w:rFonts w:ascii="Calibri" w:hAnsi="Calibri"/>
        </w:rPr>
        <w:t>is facilitated</w:t>
      </w:r>
      <w:proofErr w:type="gramEnd"/>
      <w:r w:rsidRPr="00060316">
        <w:rPr>
          <w:rFonts w:ascii="Calibri" w:hAnsi="Calibri"/>
        </w:rPr>
        <w:t xml:space="preserve"> by using the scoring rubric to determine whether each student exceeded, met, or did not meet the target; and the percentage of students in each category. </w:t>
      </w:r>
    </w:p>
    <w:p w:rsidR="00A577BF" w:rsidRPr="00060316" w:rsidRDefault="00A577BF" w:rsidP="00A577B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248"/>
      </w:tblGrid>
      <w:tr w:rsidR="00A577BF" w:rsidRPr="00592F73" w:rsidTr="00B75BD1">
        <w:tc>
          <w:tcPr>
            <w:tcW w:w="1098" w:type="dxa"/>
            <w:shd w:val="clear" w:color="auto" w:fill="D9D9D9"/>
            <w:vAlign w:val="center"/>
          </w:tcPr>
          <w:p w:rsidR="00A577BF" w:rsidRPr="00592F73" w:rsidRDefault="00A577BF" w:rsidP="00B75BD1">
            <w:pPr>
              <w:jc w:val="center"/>
              <w:rPr>
                <w:rFonts w:ascii="Calibri" w:hAnsi="Calibri" w:cs="Arial"/>
                <w:szCs w:val="24"/>
              </w:rPr>
            </w:pPr>
            <w:r w:rsidRPr="00592F73">
              <w:rPr>
                <w:rFonts w:ascii="Calibri" w:hAnsi="Calibri" w:cs="Arial"/>
                <w:szCs w:val="24"/>
              </w:rPr>
              <w:t>Level 4</w:t>
            </w:r>
          </w:p>
          <w:p w:rsidR="00A577BF" w:rsidRPr="00592F73" w:rsidRDefault="00A577BF" w:rsidP="00B75BD1">
            <w:pPr>
              <w:jc w:val="center"/>
              <w:rPr>
                <w:rFonts w:ascii="Calibri" w:hAnsi="Calibri" w:cs="Arial"/>
                <w:i/>
                <w:szCs w:val="24"/>
              </w:rPr>
            </w:pPr>
            <w:r w:rsidRPr="00592F73">
              <w:rPr>
                <w:rFonts w:ascii="Calibri" w:hAnsi="Calibri" w:cs="Arial"/>
                <w:i/>
                <w:szCs w:val="24"/>
              </w:rPr>
              <w:t>(Highest)</w:t>
            </w:r>
          </w:p>
        </w:tc>
        <w:tc>
          <w:tcPr>
            <w:tcW w:w="8478" w:type="dxa"/>
            <w:shd w:val="clear" w:color="auto" w:fill="auto"/>
          </w:tcPr>
          <w:p w:rsidR="00A577BF" w:rsidRPr="00592F73" w:rsidRDefault="00A577BF" w:rsidP="00B75BD1">
            <w:pPr>
              <w:rPr>
                <w:rFonts w:ascii="Calibri" w:hAnsi="Calibri" w:cs="Arial"/>
                <w:szCs w:val="24"/>
              </w:rPr>
            </w:pPr>
            <w:r w:rsidRPr="00592F73">
              <w:rPr>
                <w:rFonts w:ascii="Calibri" w:hAnsi="Calibri" w:cs="Arial"/>
                <w:szCs w:val="24"/>
              </w:rPr>
              <w:t xml:space="preserve">This category applies when approximately 90% of students met their target(s) and approximately 25% of students exceeded their target(s). This category </w:t>
            </w:r>
            <w:proofErr w:type="gramStart"/>
            <w:r w:rsidRPr="00592F73">
              <w:rPr>
                <w:rFonts w:ascii="Calibri" w:hAnsi="Calibri" w:cs="Arial"/>
                <w:szCs w:val="24"/>
              </w:rPr>
              <w:t>should</w:t>
            </w:r>
            <w:bookmarkStart w:id="0" w:name="_GoBack"/>
            <w:bookmarkEnd w:id="0"/>
            <w:r w:rsidRPr="00592F73">
              <w:rPr>
                <w:rFonts w:ascii="Calibri" w:hAnsi="Calibri" w:cs="Arial"/>
                <w:szCs w:val="24"/>
              </w:rPr>
              <w:t xml:space="preserve"> only be selected</w:t>
            </w:r>
            <w:proofErr w:type="gramEnd"/>
            <w:r w:rsidRPr="00592F73">
              <w:rPr>
                <w:rFonts w:ascii="Calibri" w:hAnsi="Calibri" w:cs="Arial"/>
                <w:szCs w:val="24"/>
              </w:rPr>
              <w:t xml:space="preserve"> when a substantial number of students surpassed the overall level of attainment established by the target(s). Goals are very rigorous yet attainable, and differentiated (as appropriate) for all students.</w:t>
            </w:r>
          </w:p>
          <w:p w:rsidR="00A577BF" w:rsidRPr="00592F73" w:rsidRDefault="00A577BF" w:rsidP="00B75BD1">
            <w:pPr>
              <w:rPr>
                <w:rFonts w:ascii="Calibri" w:hAnsi="Calibri" w:cs="Arial"/>
                <w:szCs w:val="24"/>
              </w:rPr>
            </w:pPr>
          </w:p>
        </w:tc>
      </w:tr>
      <w:tr w:rsidR="00A577BF" w:rsidRPr="00592F73" w:rsidTr="00B75BD1">
        <w:tc>
          <w:tcPr>
            <w:tcW w:w="1098" w:type="dxa"/>
            <w:shd w:val="clear" w:color="auto" w:fill="D9D9D9"/>
            <w:vAlign w:val="center"/>
          </w:tcPr>
          <w:p w:rsidR="00A577BF" w:rsidRPr="00592F73" w:rsidRDefault="00A577BF" w:rsidP="00B75BD1">
            <w:pPr>
              <w:jc w:val="center"/>
              <w:rPr>
                <w:rFonts w:ascii="Calibri" w:hAnsi="Calibri" w:cs="Arial"/>
                <w:szCs w:val="24"/>
              </w:rPr>
            </w:pPr>
            <w:r w:rsidRPr="00592F73">
              <w:rPr>
                <w:rFonts w:ascii="Calibri" w:hAnsi="Calibri" w:cs="Arial"/>
                <w:szCs w:val="24"/>
              </w:rPr>
              <w:t>Level 3</w:t>
            </w:r>
          </w:p>
        </w:tc>
        <w:tc>
          <w:tcPr>
            <w:tcW w:w="8478" w:type="dxa"/>
            <w:shd w:val="clear" w:color="auto" w:fill="auto"/>
          </w:tcPr>
          <w:p w:rsidR="00A577BF" w:rsidRPr="00592F73" w:rsidRDefault="00A577BF" w:rsidP="00B75BD1">
            <w:pPr>
              <w:rPr>
                <w:rFonts w:ascii="Calibri" w:hAnsi="Calibri" w:cs="Arial"/>
                <w:szCs w:val="24"/>
              </w:rPr>
            </w:pPr>
            <w:r w:rsidRPr="00592F73">
              <w:rPr>
                <w:rFonts w:ascii="Calibri" w:hAnsi="Calibri" w:cs="Arial"/>
                <w:szCs w:val="24"/>
              </w:rPr>
              <w:t xml:space="preserve">This category applies when approximately 90% of students met their target(s). Results within a few points, a few percentage points, or a few students on either side of the target(s) </w:t>
            </w:r>
            <w:proofErr w:type="gramStart"/>
            <w:r w:rsidRPr="00592F73">
              <w:rPr>
                <w:rFonts w:ascii="Calibri" w:hAnsi="Calibri" w:cs="Arial"/>
                <w:szCs w:val="24"/>
              </w:rPr>
              <w:t>should be considered</w:t>
            </w:r>
            <w:proofErr w:type="gramEnd"/>
            <w:r w:rsidRPr="00592F73">
              <w:rPr>
                <w:rFonts w:ascii="Calibri" w:hAnsi="Calibri" w:cs="Arial"/>
                <w:szCs w:val="24"/>
              </w:rPr>
              <w:t xml:space="preserve"> “met”. The bar for this category should be high and it </w:t>
            </w:r>
            <w:proofErr w:type="gramStart"/>
            <w:r w:rsidRPr="00592F73">
              <w:rPr>
                <w:rFonts w:ascii="Calibri" w:hAnsi="Calibri" w:cs="Arial"/>
                <w:szCs w:val="24"/>
              </w:rPr>
              <w:t>should only be selected</w:t>
            </w:r>
            <w:proofErr w:type="gramEnd"/>
            <w:r w:rsidRPr="00592F73">
              <w:rPr>
                <w:rFonts w:ascii="Calibri" w:hAnsi="Calibri" w:cs="Arial"/>
                <w:szCs w:val="24"/>
              </w:rPr>
              <w:t xml:space="preserve"> when it is clear that all or almost all students met the overall level of attainment established by the target(s). Goals are rigorous yet attainable and differentiated (as appropriate) for all students.</w:t>
            </w:r>
          </w:p>
          <w:p w:rsidR="00A577BF" w:rsidRPr="00592F73" w:rsidRDefault="00A577BF" w:rsidP="00B75BD1">
            <w:pPr>
              <w:rPr>
                <w:rFonts w:ascii="Calibri" w:hAnsi="Calibri" w:cs="Arial"/>
                <w:szCs w:val="24"/>
              </w:rPr>
            </w:pPr>
          </w:p>
        </w:tc>
      </w:tr>
      <w:tr w:rsidR="00A577BF" w:rsidRPr="00592F73" w:rsidTr="00B75BD1">
        <w:tc>
          <w:tcPr>
            <w:tcW w:w="1098" w:type="dxa"/>
            <w:shd w:val="clear" w:color="auto" w:fill="D9D9D9"/>
            <w:vAlign w:val="center"/>
          </w:tcPr>
          <w:p w:rsidR="00A577BF" w:rsidRPr="00592F73" w:rsidRDefault="00A577BF" w:rsidP="00B75BD1">
            <w:pPr>
              <w:jc w:val="center"/>
              <w:rPr>
                <w:rFonts w:ascii="Calibri" w:hAnsi="Calibri" w:cs="Arial"/>
                <w:szCs w:val="24"/>
              </w:rPr>
            </w:pPr>
            <w:r w:rsidRPr="00592F73">
              <w:rPr>
                <w:rFonts w:ascii="Calibri" w:hAnsi="Calibri" w:cs="Arial"/>
                <w:szCs w:val="24"/>
              </w:rPr>
              <w:t>Level 2</w:t>
            </w:r>
          </w:p>
        </w:tc>
        <w:tc>
          <w:tcPr>
            <w:tcW w:w="8478" w:type="dxa"/>
            <w:shd w:val="clear" w:color="auto" w:fill="auto"/>
          </w:tcPr>
          <w:p w:rsidR="00A577BF" w:rsidRPr="00592F73" w:rsidRDefault="00A577BF" w:rsidP="00B75BD1">
            <w:pPr>
              <w:rPr>
                <w:rFonts w:ascii="Calibri" w:hAnsi="Calibri" w:cs="Arial"/>
                <w:szCs w:val="24"/>
              </w:rPr>
            </w:pPr>
            <w:r w:rsidRPr="00592F73">
              <w:rPr>
                <w:rFonts w:ascii="Calibri" w:hAnsi="Calibri" w:cs="Arial"/>
                <w:szCs w:val="24"/>
              </w:rPr>
              <w:t>This category applies when 70-89% of students met their target(s), but those that missed the target missed by more than a few points, a few percentage points or a few students. Goals are attainable but might not be rigorous or differentiated (as appropriate) for all students.</w:t>
            </w:r>
          </w:p>
          <w:p w:rsidR="00A577BF" w:rsidRPr="00592F73" w:rsidRDefault="00A577BF" w:rsidP="00B75BD1">
            <w:pPr>
              <w:rPr>
                <w:rFonts w:ascii="Calibri" w:hAnsi="Calibri" w:cs="Arial"/>
                <w:szCs w:val="24"/>
              </w:rPr>
            </w:pPr>
          </w:p>
        </w:tc>
      </w:tr>
      <w:tr w:rsidR="00A577BF" w:rsidRPr="00592F73" w:rsidTr="00B75BD1">
        <w:tc>
          <w:tcPr>
            <w:tcW w:w="1098" w:type="dxa"/>
            <w:shd w:val="clear" w:color="auto" w:fill="D9D9D9"/>
            <w:vAlign w:val="center"/>
          </w:tcPr>
          <w:p w:rsidR="00A577BF" w:rsidRPr="00592F73" w:rsidRDefault="00A577BF" w:rsidP="00B75BD1">
            <w:pPr>
              <w:jc w:val="center"/>
              <w:rPr>
                <w:rFonts w:ascii="Calibri" w:hAnsi="Calibri" w:cs="Arial"/>
                <w:szCs w:val="24"/>
              </w:rPr>
            </w:pPr>
            <w:r w:rsidRPr="00592F73">
              <w:rPr>
                <w:rFonts w:ascii="Calibri" w:hAnsi="Calibri" w:cs="Arial"/>
                <w:szCs w:val="24"/>
              </w:rPr>
              <w:t>Level 1</w:t>
            </w:r>
          </w:p>
          <w:p w:rsidR="00A577BF" w:rsidRPr="00592F73" w:rsidRDefault="00A577BF" w:rsidP="00B75BD1">
            <w:pPr>
              <w:jc w:val="center"/>
              <w:rPr>
                <w:rFonts w:ascii="Calibri" w:hAnsi="Calibri" w:cs="Arial"/>
                <w:i/>
                <w:szCs w:val="24"/>
              </w:rPr>
            </w:pPr>
            <w:r w:rsidRPr="00592F73">
              <w:rPr>
                <w:rFonts w:ascii="Calibri" w:hAnsi="Calibri" w:cs="Arial"/>
                <w:i/>
                <w:szCs w:val="24"/>
              </w:rPr>
              <w:t>(Lowest)</w:t>
            </w:r>
          </w:p>
        </w:tc>
        <w:tc>
          <w:tcPr>
            <w:tcW w:w="8478" w:type="dxa"/>
            <w:shd w:val="clear" w:color="auto" w:fill="auto"/>
          </w:tcPr>
          <w:p w:rsidR="00A577BF" w:rsidRPr="00592F73" w:rsidRDefault="00A577BF" w:rsidP="00B75BD1">
            <w:pPr>
              <w:rPr>
                <w:rFonts w:ascii="Calibri" w:hAnsi="Calibri" w:cs="Arial"/>
                <w:szCs w:val="24"/>
              </w:rPr>
            </w:pPr>
            <w:r w:rsidRPr="00592F73">
              <w:rPr>
                <w:rFonts w:ascii="Calibri" w:hAnsi="Calibri" w:cs="Arial"/>
                <w:szCs w:val="24"/>
              </w:rPr>
              <w:t xml:space="preserve">This category applies when less than 70% of students meet their target(s). If a substantial proportion of students did not meet their target(s), the SLG </w:t>
            </w:r>
            <w:proofErr w:type="gramStart"/>
            <w:r w:rsidRPr="00592F73">
              <w:rPr>
                <w:rFonts w:ascii="Calibri" w:hAnsi="Calibri" w:cs="Arial"/>
                <w:szCs w:val="24"/>
              </w:rPr>
              <w:t>was not met</w:t>
            </w:r>
            <w:proofErr w:type="gramEnd"/>
            <w:r w:rsidRPr="00592F73">
              <w:rPr>
                <w:rFonts w:ascii="Calibri" w:hAnsi="Calibri" w:cs="Arial"/>
                <w:szCs w:val="24"/>
              </w:rPr>
              <w:t xml:space="preserve">. Goals are attainable, but not rigorous. </w:t>
            </w:r>
          </w:p>
          <w:p w:rsidR="00A577BF" w:rsidRPr="00592F73" w:rsidRDefault="00A577BF" w:rsidP="00B75BD1">
            <w:pPr>
              <w:rPr>
                <w:rFonts w:ascii="Calibri" w:hAnsi="Calibri" w:cs="Arial"/>
                <w:szCs w:val="24"/>
              </w:rPr>
            </w:pPr>
          </w:p>
          <w:p w:rsidR="00A577BF" w:rsidRPr="00592F73" w:rsidRDefault="00A577BF" w:rsidP="00B75BD1">
            <w:pPr>
              <w:rPr>
                <w:rFonts w:ascii="Calibri" w:hAnsi="Calibri" w:cs="Arial"/>
                <w:szCs w:val="24"/>
              </w:rPr>
            </w:pPr>
            <w:r w:rsidRPr="00592F73">
              <w:rPr>
                <w:rFonts w:ascii="Calibri" w:hAnsi="Calibri" w:cs="Arial"/>
                <w:szCs w:val="24"/>
              </w:rPr>
              <w:t xml:space="preserve">This category also applies when results are missing or incomplete. </w:t>
            </w:r>
          </w:p>
          <w:p w:rsidR="00A577BF" w:rsidRPr="00592F73" w:rsidRDefault="00A577BF" w:rsidP="00B75BD1">
            <w:pPr>
              <w:rPr>
                <w:rFonts w:ascii="Calibri" w:hAnsi="Calibri" w:cs="Arial"/>
                <w:szCs w:val="24"/>
              </w:rPr>
            </w:pPr>
          </w:p>
        </w:tc>
      </w:tr>
    </w:tbl>
    <w:p w:rsidR="00A577BF" w:rsidRPr="00060316" w:rsidRDefault="00A577BF" w:rsidP="00A577BF">
      <w:pPr>
        <w:rPr>
          <w:rFonts w:ascii="Calibri" w:hAnsi="Calibri"/>
        </w:rPr>
      </w:pPr>
    </w:p>
    <w:p w:rsidR="00A577BF" w:rsidRDefault="00A577BF" w:rsidP="00A577BF"/>
    <w:p w:rsidR="00A577BF" w:rsidRDefault="00A577BF"/>
    <w:sectPr w:rsidR="00A577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F3" w:rsidRDefault="004D79F3" w:rsidP="004D79F3">
      <w:r>
        <w:separator/>
      </w:r>
    </w:p>
  </w:endnote>
  <w:endnote w:type="continuationSeparator" w:id="0">
    <w:p w:rsidR="004D79F3" w:rsidRDefault="004D79F3" w:rsidP="004D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73" w:rsidRDefault="00592F73">
    <w:pPr>
      <w:pStyle w:val="Footer"/>
    </w:pPr>
    <w:r>
      <w:rPr>
        <w:noProof/>
      </w:rPr>
      <w:drawing>
        <wp:anchor distT="0" distB="0" distL="114300" distR="114300" simplePos="0" relativeHeight="251661312" behindDoc="0" locked="0" layoutInCell="1" allowOverlap="1" wp14:anchorId="51FB2476" wp14:editId="2AB2AD7E">
          <wp:simplePos x="0" y="0"/>
          <wp:positionH relativeFrom="column">
            <wp:posOffset>1963420</wp:posOffset>
          </wp:positionH>
          <wp:positionV relativeFrom="paragraph">
            <wp:posOffset>-38100</wp:posOffset>
          </wp:positionV>
          <wp:extent cx="2199640" cy="466090"/>
          <wp:effectExtent l="0" t="0" r="0" b="0"/>
          <wp:wrapSquare wrapText="bothSides"/>
          <wp:docPr id="2" name="Picture 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466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F3" w:rsidRDefault="004D79F3" w:rsidP="004D79F3">
      <w:r>
        <w:separator/>
      </w:r>
    </w:p>
  </w:footnote>
  <w:footnote w:type="continuationSeparator" w:id="0">
    <w:p w:rsidR="004D79F3" w:rsidRDefault="004D79F3" w:rsidP="004D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F3" w:rsidRPr="004D79F3" w:rsidRDefault="00592F73" w:rsidP="004D79F3">
    <w:pPr>
      <w:rPr>
        <w:rFonts w:ascii="Calibri" w:hAnsi="Calibri"/>
        <w:b/>
        <w:sz w:val="32"/>
        <w:szCs w:val="32"/>
      </w:rPr>
    </w:pPr>
    <w:r w:rsidRPr="00FC584A">
      <w:rPr>
        <w:b/>
        <w:noProof/>
        <w:sz w:val="28"/>
        <w:szCs w:val="28"/>
      </w:rPr>
      <w:drawing>
        <wp:anchor distT="0" distB="0" distL="114300" distR="114300" simplePos="0" relativeHeight="251659264" behindDoc="0" locked="0" layoutInCell="1" allowOverlap="1" wp14:anchorId="3000B0D7" wp14:editId="258D0791">
          <wp:simplePos x="0" y="0"/>
          <wp:positionH relativeFrom="column">
            <wp:posOffset>5448300</wp:posOffset>
          </wp:positionH>
          <wp:positionV relativeFrom="paragraph">
            <wp:posOffset>-284480</wp:posOffset>
          </wp:positionV>
          <wp:extent cx="1141730" cy="562610"/>
          <wp:effectExtent l="0" t="0" r="0" b="8890"/>
          <wp:wrapSquare wrapText="bothSides"/>
          <wp:docPr id="1" name="Picture 1" desc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9F3" w:rsidRPr="004D79F3">
      <w:rPr>
        <w:rFonts w:ascii="Calibri" w:hAnsi="Calibri"/>
        <w:b/>
        <w:sz w:val="32"/>
        <w:szCs w:val="32"/>
      </w:rPr>
      <w:t xml:space="preserve">Oregon SLG Goal Scoring Rubric </w:t>
    </w:r>
  </w:p>
  <w:p w:rsidR="004D79F3" w:rsidRDefault="004D7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BF"/>
    <w:rsid w:val="001160BC"/>
    <w:rsid w:val="0025316F"/>
    <w:rsid w:val="00276516"/>
    <w:rsid w:val="00295E14"/>
    <w:rsid w:val="002E545A"/>
    <w:rsid w:val="00304A14"/>
    <w:rsid w:val="004D350E"/>
    <w:rsid w:val="004D79F3"/>
    <w:rsid w:val="00547985"/>
    <w:rsid w:val="00592F73"/>
    <w:rsid w:val="00A577BF"/>
    <w:rsid w:val="00BF223F"/>
    <w:rsid w:val="00C70BF0"/>
    <w:rsid w:val="00DD5EED"/>
    <w:rsid w:val="00FA6982"/>
    <w:rsid w:val="00FD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D0938-AE43-42F9-8A12-AC35FD6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BF"/>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9F3"/>
    <w:pPr>
      <w:ind w:left="720"/>
      <w:contextualSpacing/>
    </w:pPr>
    <w:rPr>
      <w:rFonts w:asciiTheme="majorHAnsi" w:eastAsia="Times New Roman" w:hAnsiTheme="majorHAnsi" w:cstheme="minorHAnsi"/>
      <w:szCs w:val="24"/>
    </w:rPr>
  </w:style>
  <w:style w:type="character" w:customStyle="1" w:styleId="ListParagraphChar">
    <w:name w:val="List Paragraph Char"/>
    <w:basedOn w:val="DefaultParagraphFont"/>
    <w:link w:val="ListParagraph"/>
    <w:uiPriority w:val="34"/>
    <w:locked/>
    <w:rsid w:val="004D79F3"/>
    <w:rPr>
      <w:rFonts w:asciiTheme="majorHAnsi" w:eastAsia="Times New Roman" w:hAnsiTheme="majorHAnsi" w:cstheme="minorHAnsi"/>
      <w:sz w:val="24"/>
      <w:szCs w:val="24"/>
    </w:rPr>
  </w:style>
  <w:style w:type="character" w:styleId="Hyperlink">
    <w:name w:val="Hyperlink"/>
    <w:basedOn w:val="DefaultParagraphFont"/>
    <w:uiPriority w:val="99"/>
    <w:unhideWhenUsed/>
    <w:rsid w:val="004D79F3"/>
    <w:rPr>
      <w:color w:val="0000FF"/>
      <w:u w:val="single"/>
    </w:rPr>
  </w:style>
  <w:style w:type="paragraph" w:styleId="Header">
    <w:name w:val="header"/>
    <w:basedOn w:val="Normal"/>
    <w:link w:val="HeaderChar"/>
    <w:uiPriority w:val="99"/>
    <w:unhideWhenUsed/>
    <w:rsid w:val="004D79F3"/>
    <w:pPr>
      <w:tabs>
        <w:tab w:val="center" w:pos="4680"/>
        <w:tab w:val="right" w:pos="9360"/>
      </w:tabs>
    </w:pPr>
  </w:style>
  <w:style w:type="character" w:customStyle="1" w:styleId="HeaderChar">
    <w:name w:val="Header Char"/>
    <w:basedOn w:val="DefaultParagraphFont"/>
    <w:link w:val="Header"/>
    <w:uiPriority w:val="99"/>
    <w:rsid w:val="004D79F3"/>
    <w:rPr>
      <w:rFonts w:ascii="Arial" w:eastAsia="Calibri" w:hAnsi="Arial" w:cs="Times New Roman"/>
      <w:sz w:val="24"/>
      <w:szCs w:val="20"/>
    </w:rPr>
  </w:style>
  <w:style w:type="paragraph" w:styleId="Footer">
    <w:name w:val="footer"/>
    <w:basedOn w:val="Normal"/>
    <w:link w:val="FooterChar"/>
    <w:uiPriority w:val="99"/>
    <w:unhideWhenUsed/>
    <w:rsid w:val="004D79F3"/>
    <w:pPr>
      <w:tabs>
        <w:tab w:val="center" w:pos="4680"/>
        <w:tab w:val="right" w:pos="9360"/>
      </w:tabs>
    </w:pPr>
  </w:style>
  <w:style w:type="character" w:customStyle="1" w:styleId="FooterChar">
    <w:name w:val="Footer Char"/>
    <w:basedOn w:val="DefaultParagraphFont"/>
    <w:link w:val="Footer"/>
    <w:uiPriority w:val="99"/>
    <w:rsid w:val="004D79F3"/>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regon.gov/ode/educator-resources/educator_effectiveness/Pages/slg.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2016-05-01T07:00:00+00:00</Estimated_x0020_Creation_x0020_Date>
    <Remediation_x0020_Date xmlns="a46da635-35ab-4168-9e0e-61b66d2ed8e3">2018-11-19T08:00:00+00:00</Remediation_x0020_Date>
    <Priority xmlns="a46da635-35ab-4168-9e0e-61b66d2ed8e3">Tier 1</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9D4D-3060-430C-BDB0-BC7605F433A3}"/>
</file>

<file path=customXml/itemProps2.xml><?xml version="1.0" encoding="utf-8"?>
<ds:datastoreItem xmlns:ds="http://schemas.openxmlformats.org/officeDocument/2006/customXml" ds:itemID="{0A100C44-4404-4992-BB91-B278AF244336}"/>
</file>

<file path=customXml/itemProps3.xml><?xml version="1.0" encoding="utf-8"?>
<ds:datastoreItem xmlns:ds="http://schemas.openxmlformats.org/officeDocument/2006/customXml" ds:itemID="{79AFC3D5-0F51-4DA3-A4A3-6B0218524410}"/>
</file>

<file path=customXml/itemProps4.xml><?xml version="1.0" encoding="utf-8"?>
<ds:datastoreItem xmlns:ds="http://schemas.openxmlformats.org/officeDocument/2006/customXml" ds:itemID="{2292B101-747C-48A7-815F-D12FD4714CE6}"/>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dc:creator>
  <cp:lastModifiedBy>DUMAS Sheli - ODE</cp:lastModifiedBy>
  <cp:revision>3</cp:revision>
  <dcterms:created xsi:type="dcterms:W3CDTF">2018-11-19T21:46:00Z</dcterms:created>
  <dcterms:modified xsi:type="dcterms:W3CDTF">2018-11-19T22:10:00Z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