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6EB" w:rsidRPr="00422CE4" w:rsidRDefault="001606EB" w:rsidP="001606EB">
      <w:pPr>
        <w:shd w:val="clear" w:color="auto" w:fill="BFBFBF"/>
        <w:rPr>
          <w:rFonts w:asciiTheme="minorHAnsi" w:hAnsiTheme="minorHAnsi" w:cs="Calibri"/>
          <w:b/>
          <w:caps/>
          <w:sz w:val="26"/>
          <w:szCs w:val="26"/>
        </w:rPr>
      </w:pPr>
      <w:r w:rsidRPr="00422CE4">
        <w:rPr>
          <w:rFonts w:asciiTheme="minorHAnsi" w:hAnsiTheme="minorHAnsi" w:cs="Calibri"/>
          <w:b/>
          <w:caps/>
          <w:sz w:val="26"/>
          <w:szCs w:val="26"/>
        </w:rPr>
        <w:t xml:space="preserve">Teacher slg Goal Setting </w:t>
      </w:r>
      <w:r w:rsidR="00302CBD">
        <w:rPr>
          <w:rFonts w:asciiTheme="minorHAnsi" w:hAnsiTheme="minorHAnsi" w:cs="Calibri"/>
          <w:b/>
          <w:caps/>
          <w:sz w:val="26"/>
          <w:szCs w:val="26"/>
        </w:rPr>
        <w:t>EXAMPLE  - Grade 1 mathematics</w:t>
      </w:r>
    </w:p>
    <w:p w:rsidR="001606EB" w:rsidRPr="00422CE4" w:rsidRDefault="001606EB" w:rsidP="001606EB">
      <w:pPr>
        <w:pStyle w:val="NoSpacing"/>
        <w:pBdr>
          <w:bottom w:val="single" w:sz="6" w:space="0" w:color="auto"/>
        </w:pBdr>
        <w:rPr>
          <w:rFonts w:asciiTheme="minorHAnsi" w:hAnsiTheme="minorHAnsi" w:cs="Calibri"/>
          <w:b/>
          <w:sz w:val="18"/>
          <w:szCs w:val="18"/>
        </w:rPr>
      </w:pPr>
    </w:p>
    <w:p w:rsidR="001606EB" w:rsidRPr="00422CE4" w:rsidRDefault="001606EB" w:rsidP="001606EB">
      <w:pPr>
        <w:pStyle w:val="NoSpacing"/>
        <w:pBdr>
          <w:bottom w:val="single" w:sz="6" w:space="0" w:color="auto"/>
        </w:pBdr>
        <w:rPr>
          <w:rFonts w:asciiTheme="minorHAnsi" w:hAnsiTheme="minorHAnsi" w:cs="Arial"/>
          <w:b/>
        </w:rPr>
      </w:pPr>
      <w:r w:rsidRPr="00422CE4">
        <w:rPr>
          <w:rFonts w:asciiTheme="minorHAnsi" w:hAnsiTheme="minorHAnsi" w:cs="Calibri"/>
          <w:b/>
          <w:sz w:val="18"/>
          <w:szCs w:val="18"/>
        </w:rPr>
        <w:t>Grade Level:</w:t>
      </w:r>
      <w:r w:rsidRPr="00422CE4">
        <w:rPr>
          <w:rFonts w:asciiTheme="minorHAnsi" w:hAnsiTheme="minorHAnsi" w:cs="Calibri"/>
          <w:b/>
          <w:sz w:val="18"/>
          <w:szCs w:val="18"/>
        </w:rPr>
        <w:tab/>
      </w:r>
      <w:r w:rsidR="00422CE4">
        <w:rPr>
          <w:rFonts w:asciiTheme="minorHAnsi" w:hAnsiTheme="minorHAnsi" w:cs="Arial"/>
          <w:b/>
        </w:rPr>
        <w:fldChar w:fldCharType="begin">
          <w:ffData>
            <w:name w:val="Check32"/>
            <w:enabled/>
            <w:calcOnExit w:val="0"/>
            <w:checkBox>
              <w:sizeAuto/>
              <w:default w:val="1"/>
            </w:checkBox>
          </w:ffData>
        </w:fldChar>
      </w:r>
      <w:bookmarkStart w:id="0" w:name="Check32"/>
      <w:r w:rsidR="00422CE4">
        <w:rPr>
          <w:rFonts w:asciiTheme="minorHAnsi" w:hAnsiTheme="minorHAnsi" w:cs="Arial"/>
          <w:b/>
        </w:rPr>
        <w:instrText xml:space="preserve"> FORMCHECKBOX </w:instrText>
      </w:r>
      <w:r w:rsidR="00596E1D">
        <w:rPr>
          <w:rFonts w:asciiTheme="minorHAnsi" w:hAnsiTheme="minorHAnsi" w:cs="Arial"/>
          <w:b/>
        </w:rPr>
      </w:r>
      <w:r w:rsidR="00596E1D">
        <w:rPr>
          <w:rFonts w:asciiTheme="minorHAnsi" w:hAnsiTheme="minorHAnsi" w:cs="Arial"/>
          <w:b/>
        </w:rPr>
        <w:fldChar w:fldCharType="separate"/>
      </w:r>
      <w:r w:rsidR="00422CE4">
        <w:rPr>
          <w:rFonts w:asciiTheme="minorHAnsi" w:hAnsiTheme="minorHAnsi" w:cs="Arial"/>
          <w:b/>
        </w:rPr>
        <w:fldChar w:fldCharType="end"/>
      </w:r>
      <w:bookmarkEnd w:id="0"/>
      <w:r w:rsidRPr="00422CE4">
        <w:rPr>
          <w:rFonts w:asciiTheme="minorHAnsi" w:hAnsiTheme="minorHAnsi" w:cs="Arial"/>
          <w:b/>
        </w:rPr>
        <w:t xml:space="preserve"> </w:t>
      </w:r>
      <w:r w:rsidRPr="00422CE4">
        <w:rPr>
          <w:rFonts w:asciiTheme="minorHAnsi" w:hAnsiTheme="minorHAnsi" w:cs="Calibri"/>
          <w:b/>
          <w:sz w:val="18"/>
          <w:szCs w:val="18"/>
        </w:rPr>
        <w:t>Elementary</w:t>
      </w:r>
      <w:r w:rsidRPr="00422CE4">
        <w:rPr>
          <w:rFonts w:asciiTheme="minorHAnsi" w:hAnsiTheme="minorHAnsi" w:cs="Calibri"/>
          <w:b/>
          <w:sz w:val="18"/>
          <w:szCs w:val="18"/>
        </w:rPr>
        <w:tab/>
      </w:r>
      <w:r w:rsidRPr="00422CE4">
        <w:rPr>
          <w:rFonts w:asciiTheme="minorHAnsi" w:hAnsiTheme="minorHAnsi" w:cs="Arial"/>
          <w:b/>
        </w:rPr>
        <w:tab/>
      </w:r>
      <w:r w:rsidRPr="00422CE4">
        <w:rPr>
          <w:rFonts w:asciiTheme="minorHAnsi" w:hAnsiTheme="minorHAnsi" w:cs="Arial"/>
          <w:b/>
        </w:rPr>
        <w:fldChar w:fldCharType="begin">
          <w:ffData>
            <w:name w:val="Check32"/>
            <w:enabled/>
            <w:calcOnExit w:val="0"/>
            <w:checkBox>
              <w:sizeAuto/>
              <w:default w:val="0"/>
            </w:checkBox>
          </w:ffData>
        </w:fldChar>
      </w:r>
      <w:r w:rsidRPr="00422CE4">
        <w:rPr>
          <w:rFonts w:asciiTheme="minorHAnsi" w:hAnsiTheme="minorHAnsi" w:cs="Arial"/>
          <w:b/>
        </w:rPr>
        <w:instrText xml:space="preserve"> FORMCHECKBOX </w:instrText>
      </w:r>
      <w:r w:rsidR="00596E1D">
        <w:rPr>
          <w:rFonts w:asciiTheme="minorHAnsi" w:hAnsiTheme="minorHAnsi" w:cs="Arial"/>
          <w:b/>
        </w:rPr>
      </w:r>
      <w:r w:rsidR="00596E1D">
        <w:rPr>
          <w:rFonts w:asciiTheme="minorHAnsi" w:hAnsiTheme="minorHAnsi" w:cs="Arial"/>
          <w:b/>
        </w:rPr>
        <w:fldChar w:fldCharType="separate"/>
      </w:r>
      <w:r w:rsidRPr="00422CE4">
        <w:rPr>
          <w:rFonts w:asciiTheme="minorHAnsi" w:hAnsiTheme="minorHAnsi" w:cs="Arial"/>
          <w:b/>
        </w:rPr>
        <w:fldChar w:fldCharType="end"/>
      </w:r>
      <w:r w:rsidRPr="00422CE4">
        <w:rPr>
          <w:rFonts w:asciiTheme="minorHAnsi" w:hAnsiTheme="minorHAnsi" w:cs="Arial"/>
          <w:b/>
        </w:rPr>
        <w:t xml:space="preserve"> </w:t>
      </w:r>
      <w:r w:rsidRPr="00422CE4">
        <w:rPr>
          <w:rFonts w:asciiTheme="minorHAnsi" w:hAnsiTheme="minorHAnsi" w:cs="Calibri"/>
          <w:b/>
          <w:sz w:val="18"/>
          <w:szCs w:val="18"/>
        </w:rPr>
        <w:t>Middle School</w:t>
      </w:r>
      <w:r w:rsidRPr="00422CE4">
        <w:rPr>
          <w:rFonts w:asciiTheme="minorHAnsi" w:hAnsiTheme="minorHAnsi" w:cs="Arial"/>
          <w:b/>
        </w:rPr>
        <w:tab/>
      </w:r>
      <w:r w:rsidRPr="00422CE4">
        <w:rPr>
          <w:rFonts w:asciiTheme="minorHAnsi" w:hAnsiTheme="minorHAnsi" w:cs="Arial"/>
          <w:b/>
        </w:rPr>
        <w:tab/>
      </w:r>
      <w:r w:rsidRPr="00422CE4">
        <w:rPr>
          <w:rFonts w:asciiTheme="minorHAnsi" w:hAnsiTheme="minorHAnsi" w:cs="Arial"/>
          <w:b/>
        </w:rPr>
        <w:fldChar w:fldCharType="begin">
          <w:ffData>
            <w:name w:val="Check32"/>
            <w:enabled/>
            <w:calcOnExit w:val="0"/>
            <w:checkBox>
              <w:sizeAuto/>
              <w:default w:val="0"/>
            </w:checkBox>
          </w:ffData>
        </w:fldChar>
      </w:r>
      <w:r w:rsidRPr="00422CE4">
        <w:rPr>
          <w:rFonts w:asciiTheme="minorHAnsi" w:hAnsiTheme="minorHAnsi" w:cs="Arial"/>
          <w:b/>
        </w:rPr>
        <w:instrText xml:space="preserve"> FORMCHECKBOX </w:instrText>
      </w:r>
      <w:r w:rsidR="00596E1D">
        <w:rPr>
          <w:rFonts w:asciiTheme="minorHAnsi" w:hAnsiTheme="minorHAnsi" w:cs="Arial"/>
          <w:b/>
        </w:rPr>
      </w:r>
      <w:r w:rsidR="00596E1D">
        <w:rPr>
          <w:rFonts w:asciiTheme="minorHAnsi" w:hAnsiTheme="minorHAnsi" w:cs="Arial"/>
          <w:b/>
        </w:rPr>
        <w:fldChar w:fldCharType="separate"/>
      </w:r>
      <w:r w:rsidRPr="00422CE4">
        <w:rPr>
          <w:rFonts w:asciiTheme="minorHAnsi" w:hAnsiTheme="minorHAnsi" w:cs="Arial"/>
          <w:b/>
        </w:rPr>
        <w:fldChar w:fldCharType="end"/>
      </w:r>
      <w:r w:rsidRPr="00422CE4">
        <w:rPr>
          <w:rFonts w:asciiTheme="minorHAnsi" w:hAnsiTheme="minorHAnsi" w:cs="Arial"/>
          <w:b/>
        </w:rPr>
        <w:t xml:space="preserve"> </w:t>
      </w:r>
      <w:r w:rsidRPr="00422CE4">
        <w:rPr>
          <w:rFonts w:asciiTheme="minorHAnsi" w:hAnsiTheme="minorHAnsi" w:cs="Calibri"/>
          <w:b/>
          <w:sz w:val="18"/>
          <w:szCs w:val="18"/>
        </w:rPr>
        <w:t>High School</w:t>
      </w:r>
    </w:p>
    <w:p w:rsidR="001606EB" w:rsidRPr="00422CE4" w:rsidRDefault="001606EB" w:rsidP="001606EB">
      <w:pPr>
        <w:pStyle w:val="NoSpacing"/>
        <w:pBdr>
          <w:bottom w:val="single" w:sz="6" w:space="0" w:color="auto"/>
        </w:pBdr>
        <w:rPr>
          <w:rFonts w:asciiTheme="minorHAnsi" w:hAnsiTheme="minorHAnsi" w:cs="Calibri"/>
          <w:b/>
          <w:sz w:val="18"/>
          <w:szCs w:val="18"/>
        </w:rPr>
      </w:pPr>
      <w:r w:rsidRPr="00422CE4">
        <w:rPr>
          <w:rFonts w:asciiTheme="minorHAnsi" w:hAnsiTheme="minorHAnsi" w:cs="Calibri"/>
          <w:b/>
          <w:sz w:val="18"/>
          <w:szCs w:val="18"/>
        </w:rPr>
        <w:t>Goal Type:</w:t>
      </w:r>
      <w:r w:rsidRPr="00422CE4">
        <w:rPr>
          <w:rFonts w:asciiTheme="minorHAnsi" w:hAnsiTheme="minorHAnsi" w:cs="Calibri"/>
          <w:b/>
          <w:sz w:val="18"/>
          <w:szCs w:val="18"/>
        </w:rPr>
        <w:tab/>
      </w:r>
      <w:r w:rsidRPr="00422CE4">
        <w:rPr>
          <w:rFonts w:asciiTheme="minorHAnsi" w:hAnsiTheme="minorHAnsi" w:cs="Arial"/>
          <w:b/>
        </w:rPr>
        <w:fldChar w:fldCharType="begin">
          <w:ffData>
            <w:name w:val="Check32"/>
            <w:enabled/>
            <w:calcOnExit w:val="0"/>
            <w:checkBox>
              <w:sizeAuto/>
              <w:default w:val="0"/>
            </w:checkBox>
          </w:ffData>
        </w:fldChar>
      </w:r>
      <w:r w:rsidRPr="00422CE4">
        <w:rPr>
          <w:rFonts w:asciiTheme="minorHAnsi" w:hAnsiTheme="minorHAnsi" w:cs="Arial"/>
          <w:b/>
        </w:rPr>
        <w:instrText xml:space="preserve"> FORMCHECKBOX </w:instrText>
      </w:r>
      <w:r w:rsidR="00596E1D">
        <w:rPr>
          <w:rFonts w:asciiTheme="minorHAnsi" w:hAnsiTheme="minorHAnsi" w:cs="Arial"/>
          <w:b/>
        </w:rPr>
      </w:r>
      <w:r w:rsidR="00596E1D">
        <w:rPr>
          <w:rFonts w:asciiTheme="minorHAnsi" w:hAnsiTheme="minorHAnsi" w:cs="Arial"/>
          <w:b/>
        </w:rPr>
        <w:fldChar w:fldCharType="separate"/>
      </w:r>
      <w:r w:rsidRPr="00422CE4">
        <w:rPr>
          <w:rFonts w:asciiTheme="minorHAnsi" w:hAnsiTheme="minorHAnsi" w:cs="Arial"/>
          <w:b/>
        </w:rPr>
        <w:fldChar w:fldCharType="end"/>
      </w:r>
      <w:r w:rsidRPr="00422CE4">
        <w:rPr>
          <w:rFonts w:asciiTheme="minorHAnsi" w:hAnsiTheme="minorHAnsi" w:cs="Arial"/>
          <w:b/>
        </w:rPr>
        <w:t xml:space="preserve"> </w:t>
      </w:r>
      <w:r w:rsidRPr="00422CE4">
        <w:rPr>
          <w:rFonts w:asciiTheme="minorHAnsi" w:hAnsiTheme="minorHAnsi" w:cs="Calibri"/>
          <w:b/>
          <w:sz w:val="18"/>
          <w:szCs w:val="18"/>
        </w:rPr>
        <w:t>Individual Goal</w:t>
      </w:r>
      <w:r w:rsidRPr="00422CE4">
        <w:rPr>
          <w:rFonts w:asciiTheme="minorHAnsi" w:hAnsiTheme="minorHAnsi" w:cs="Calibri"/>
          <w:b/>
          <w:sz w:val="18"/>
          <w:szCs w:val="18"/>
        </w:rPr>
        <w:tab/>
      </w:r>
      <w:r w:rsidR="00422CE4">
        <w:rPr>
          <w:rFonts w:asciiTheme="minorHAnsi" w:hAnsiTheme="minorHAnsi" w:cs="Arial"/>
          <w:b/>
        </w:rPr>
        <w:fldChar w:fldCharType="begin">
          <w:ffData>
            <w:name w:val=""/>
            <w:enabled/>
            <w:calcOnExit w:val="0"/>
            <w:checkBox>
              <w:sizeAuto/>
              <w:default w:val="1"/>
            </w:checkBox>
          </w:ffData>
        </w:fldChar>
      </w:r>
      <w:r w:rsidR="00422CE4">
        <w:rPr>
          <w:rFonts w:asciiTheme="minorHAnsi" w:hAnsiTheme="minorHAnsi" w:cs="Arial"/>
          <w:b/>
        </w:rPr>
        <w:instrText xml:space="preserve"> FORMCHECKBOX </w:instrText>
      </w:r>
      <w:r w:rsidR="00596E1D">
        <w:rPr>
          <w:rFonts w:asciiTheme="minorHAnsi" w:hAnsiTheme="minorHAnsi" w:cs="Arial"/>
          <w:b/>
        </w:rPr>
      </w:r>
      <w:r w:rsidR="00596E1D">
        <w:rPr>
          <w:rFonts w:asciiTheme="minorHAnsi" w:hAnsiTheme="minorHAnsi" w:cs="Arial"/>
          <w:b/>
        </w:rPr>
        <w:fldChar w:fldCharType="separate"/>
      </w:r>
      <w:r w:rsidR="00422CE4">
        <w:rPr>
          <w:rFonts w:asciiTheme="minorHAnsi" w:hAnsiTheme="minorHAnsi" w:cs="Arial"/>
          <w:b/>
        </w:rPr>
        <w:fldChar w:fldCharType="end"/>
      </w:r>
      <w:r w:rsidRPr="00422CE4">
        <w:rPr>
          <w:rFonts w:asciiTheme="minorHAnsi" w:hAnsiTheme="minorHAnsi" w:cs="Arial"/>
          <w:b/>
        </w:rPr>
        <w:t xml:space="preserve"> </w:t>
      </w:r>
      <w:r w:rsidRPr="00422CE4">
        <w:rPr>
          <w:rFonts w:asciiTheme="minorHAnsi" w:hAnsiTheme="minorHAnsi" w:cs="Calibri"/>
          <w:b/>
          <w:sz w:val="18"/>
          <w:szCs w:val="18"/>
        </w:rPr>
        <w:t>Team Goal</w:t>
      </w:r>
    </w:p>
    <w:tbl>
      <w:tblPr>
        <w:tblW w:w="1008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firstRow="1" w:lastRow="0" w:firstColumn="1" w:lastColumn="0" w:noHBand="0" w:noVBand="0"/>
      </w:tblPr>
      <w:tblGrid>
        <w:gridCol w:w="523"/>
        <w:gridCol w:w="2267"/>
        <w:gridCol w:w="7290"/>
      </w:tblGrid>
      <w:tr w:rsidR="001606EB" w:rsidRPr="00422CE4" w:rsidTr="00F73251">
        <w:trPr>
          <w:cantSplit/>
          <w:trHeight w:val="258"/>
        </w:trPr>
        <w:tc>
          <w:tcPr>
            <w:tcW w:w="10080" w:type="dxa"/>
            <w:gridSpan w:val="3"/>
            <w:tcBorders>
              <w:top w:val="double" w:sz="4" w:space="0" w:color="auto"/>
              <w:bottom w:val="nil"/>
            </w:tcBorders>
            <w:shd w:val="clear" w:color="auto" w:fill="D9D9D9"/>
            <w:vAlign w:val="center"/>
          </w:tcPr>
          <w:p w:rsidR="001606EB" w:rsidRPr="00422CE4" w:rsidRDefault="001606EB" w:rsidP="00F73251">
            <w:pPr>
              <w:jc w:val="center"/>
              <w:rPr>
                <w:rFonts w:asciiTheme="minorHAnsi" w:hAnsiTheme="minorHAnsi" w:cs="Calibri"/>
                <w:b/>
              </w:rPr>
            </w:pPr>
            <w:r w:rsidRPr="00422CE4">
              <w:rPr>
                <w:rFonts w:asciiTheme="minorHAnsi" w:hAnsiTheme="minorHAnsi" w:cs="Calibri"/>
                <w:b/>
              </w:rPr>
              <w:t>SLG GOAL 1</w:t>
            </w:r>
          </w:p>
        </w:tc>
      </w:tr>
      <w:tr w:rsidR="001606EB" w:rsidRPr="00422CE4" w:rsidTr="00F73251">
        <w:trPr>
          <w:cantSplit/>
          <w:trHeight w:val="1002"/>
        </w:trPr>
        <w:tc>
          <w:tcPr>
            <w:tcW w:w="523" w:type="dxa"/>
            <w:vMerge w:val="restart"/>
            <w:tcBorders>
              <w:top w:val="double" w:sz="4" w:space="0" w:color="auto"/>
              <w:bottom w:val="single" w:sz="4" w:space="0" w:color="auto"/>
            </w:tcBorders>
            <w:shd w:val="clear" w:color="auto" w:fill="D9D9D9"/>
            <w:textDirection w:val="btLr"/>
            <w:vAlign w:val="center"/>
          </w:tcPr>
          <w:p w:rsidR="001606EB" w:rsidRPr="00422CE4" w:rsidRDefault="00302CBD" w:rsidP="00F73251">
            <w:pPr>
              <w:ind w:left="113" w:right="113"/>
              <w:jc w:val="center"/>
              <w:rPr>
                <w:rFonts w:asciiTheme="minorHAnsi" w:hAnsiTheme="minorHAnsi" w:cs="Calibri"/>
                <w:b/>
              </w:rPr>
            </w:pPr>
            <w:proofErr w:type="spellStart"/>
            <w:r>
              <w:rPr>
                <w:rFonts w:asciiTheme="minorHAnsi" w:hAnsiTheme="minorHAnsi" w:cs="Calibri"/>
                <w:b/>
              </w:rPr>
              <w:t>que</w:t>
            </w:r>
            <w:proofErr w:type="spellEnd"/>
          </w:p>
        </w:tc>
        <w:tc>
          <w:tcPr>
            <w:tcW w:w="2267" w:type="dxa"/>
            <w:tcBorders>
              <w:top w:val="double" w:sz="4" w:space="0" w:color="auto"/>
            </w:tcBorders>
            <w:shd w:val="clear" w:color="auto" w:fill="FFFFFF"/>
            <w:vAlign w:val="center"/>
          </w:tcPr>
          <w:p w:rsidR="001606EB" w:rsidRPr="00422CE4" w:rsidRDefault="001606EB" w:rsidP="00F73251">
            <w:pPr>
              <w:rPr>
                <w:rFonts w:asciiTheme="minorHAnsi" w:hAnsiTheme="minorHAnsi" w:cs="Calibri"/>
                <w:b/>
                <w:sz w:val="20"/>
              </w:rPr>
            </w:pPr>
            <w:r w:rsidRPr="00422CE4">
              <w:rPr>
                <w:rFonts w:asciiTheme="minorHAnsi" w:hAnsiTheme="minorHAnsi" w:cs="Calibri"/>
                <w:b/>
                <w:sz w:val="20"/>
              </w:rPr>
              <w:t xml:space="preserve">Content Standards/Skills </w:t>
            </w:r>
          </w:p>
          <w:p w:rsidR="001606EB" w:rsidRPr="00422CE4" w:rsidRDefault="001606EB" w:rsidP="00F73251">
            <w:pPr>
              <w:pStyle w:val="ListParagraph"/>
              <w:ind w:left="360"/>
              <w:rPr>
                <w:rFonts w:asciiTheme="minorHAnsi" w:hAnsiTheme="minorHAnsi" w:cs="Calibri"/>
                <w:b/>
                <w:sz w:val="16"/>
                <w:szCs w:val="16"/>
              </w:rPr>
            </w:pPr>
          </w:p>
        </w:tc>
        <w:tc>
          <w:tcPr>
            <w:tcW w:w="7290" w:type="dxa"/>
            <w:tcBorders>
              <w:top w:val="double" w:sz="4" w:space="0" w:color="auto"/>
            </w:tcBorders>
            <w:vAlign w:val="center"/>
          </w:tcPr>
          <w:p w:rsidR="00603651" w:rsidRDefault="00603651" w:rsidP="004A2809">
            <w:pPr>
              <w:pStyle w:val="Default"/>
              <w:rPr>
                <w:rFonts w:asciiTheme="minorHAnsi" w:hAnsiTheme="minorHAnsi"/>
                <w:color w:val="auto"/>
                <w:sz w:val="19"/>
                <w:szCs w:val="19"/>
              </w:rPr>
            </w:pPr>
            <w:r w:rsidRPr="00302CBD">
              <w:rPr>
                <w:rFonts w:asciiTheme="minorHAnsi" w:hAnsiTheme="minorHAnsi"/>
                <w:b/>
                <w:color w:val="auto"/>
                <w:sz w:val="19"/>
                <w:szCs w:val="19"/>
              </w:rPr>
              <w:t>Op</w:t>
            </w:r>
            <w:r w:rsidR="00302CBD" w:rsidRPr="00302CBD">
              <w:rPr>
                <w:rFonts w:asciiTheme="minorHAnsi" w:hAnsiTheme="minorHAnsi"/>
                <w:b/>
                <w:color w:val="auto"/>
                <w:sz w:val="19"/>
                <w:szCs w:val="19"/>
              </w:rPr>
              <w:t>erations and Algebraic Thinking</w:t>
            </w:r>
            <w:r w:rsidR="00302CBD">
              <w:rPr>
                <w:rFonts w:asciiTheme="minorHAnsi" w:hAnsiTheme="minorHAnsi"/>
                <w:color w:val="auto"/>
                <w:sz w:val="19"/>
                <w:szCs w:val="19"/>
              </w:rPr>
              <w:t xml:space="preserve"> (</w:t>
            </w:r>
            <w:r w:rsidR="004A2809" w:rsidRPr="00403CA4">
              <w:rPr>
                <w:rFonts w:asciiTheme="minorHAnsi" w:hAnsiTheme="minorHAnsi"/>
                <w:color w:val="auto"/>
                <w:sz w:val="19"/>
                <w:szCs w:val="19"/>
              </w:rPr>
              <w:t xml:space="preserve">1.OA.1 </w:t>
            </w:r>
            <w:r>
              <w:rPr>
                <w:rFonts w:asciiTheme="minorHAnsi" w:hAnsiTheme="minorHAnsi"/>
                <w:color w:val="auto"/>
                <w:sz w:val="19"/>
                <w:szCs w:val="19"/>
              </w:rPr>
              <w:t>– 1.OA.8</w:t>
            </w:r>
            <w:r w:rsidR="00302CBD">
              <w:rPr>
                <w:rFonts w:asciiTheme="minorHAnsi" w:hAnsiTheme="minorHAnsi"/>
                <w:color w:val="auto"/>
                <w:sz w:val="19"/>
                <w:szCs w:val="19"/>
              </w:rPr>
              <w:t>)</w:t>
            </w:r>
          </w:p>
          <w:p w:rsidR="00302CBD" w:rsidRDefault="00302CBD" w:rsidP="00302CBD">
            <w:pPr>
              <w:pStyle w:val="Default"/>
              <w:numPr>
                <w:ilvl w:val="0"/>
                <w:numId w:val="1"/>
              </w:numPr>
              <w:rPr>
                <w:rFonts w:asciiTheme="minorHAnsi" w:hAnsiTheme="minorHAnsi"/>
                <w:color w:val="auto"/>
                <w:sz w:val="19"/>
                <w:szCs w:val="19"/>
              </w:rPr>
            </w:pPr>
            <w:r>
              <w:rPr>
                <w:rFonts w:asciiTheme="minorHAnsi" w:hAnsiTheme="minorHAnsi"/>
                <w:color w:val="auto"/>
                <w:sz w:val="19"/>
                <w:szCs w:val="19"/>
              </w:rPr>
              <w:t>Represent and solve problems involving addition and subtraction</w:t>
            </w:r>
          </w:p>
          <w:p w:rsidR="00302CBD" w:rsidRPr="00302CBD" w:rsidRDefault="00302CBD" w:rsidP="00302CBD">
            <w:pPr>
              <w:pStyle w:val="Default"/>
              <w:numPr>
                <w:ilvl w:val="0"/>
                <w:numId w:val="1"/>
              </w:numPr>
              <w:rPr>
                <w:rFonts w:asciiTheme="minorHAnsi" w:hAnsiTheme="minorHAnsi"/>
                <w:color w:val="auto"/>
                <w:sz w:val="19"/>
                <w:szCs w:val="19"/>
              </w:rPr>
            </w:pPr>
            <w:r w:rsidRPr="00302CBD">
              <w:rPr>
                <w:rFonts w:asciiTheme="minorHAnsi" w:hAnsiTheme="minorHAnsi"/>
                <w:color w:val="auto"/>
                <w:sz w:val="19"/>
                <w:szCs w:val="19"/>
              </w:rPr>
              <w:t>Understand and apply properties of operations and the relationship between addition and subtraction.</w:t>
            </w:r>
          </w:p>
          <w:p w:rsidR="00302CBD" w:rsidRDefault="00302CBD" w:rsidP="00302CBD">
            <w:pPr>
              <w:pStyle w:val="Default"/>
              <w:numPr>
                <w:ilvl w:val="0"/>
                <w:numId w:val="1"/>
              </w:numPr>
              <w:rPr>
                <w:rFonts w:asciiTheme="minorHAnsi" w:hAnsiTheme="minorHAnsi"/>
                <w:color w:val="auto"/>
                <w:sz w:val="19"/>
                <w:szCs w:val="19"/>
              </w:rPr>
            </w:pPr>
            <w:r>
              <w:rPr>
                <w:rFonts w:asciiTheme="minorHAnsi" w:hAnsiTheme="minorHAnsi"/>
                <w:color w:val="auto"/>
                <w:sz w:val="19"/>
                <w:szCs w:val="19"/>
              </w:rPr>
              <w:t>Add and subtract within 20</w:t>
            </w:r>
          </w:p>
          <w:p w:rsidR="00302CBD" w:rsidRPr="00302CBD" w:rsidRDefault="00302CBD" w:rsidP="00302CBD">
            <w:pPr>
              <w:pStyle w:val="Default"/>
              <w:numPr>
                <w:ilvl w:val="0"/>
                <w:numId w:val="1"/>
              </w:numPr>
              <w:rPr>
                <w:rFonts w:asciiTheme="minorHAnsi" w:hAnsiTheme="minorHAnsi"/>
                <w:color w:val="auto"/>
                <w:sz w:val="19"/>
                <w:szCs w:val="19"/>
              </w:rPr>
            </w:pPr>
            <w:r w:rsidRPr="00302CBD">
              <w:rPr>
                <w:rFonts w:asciiTheme="minorHAnsi" w:hAnsiTheme="minorHAnsi"/>
                <w:color w:val="auto"/>
                <w:sz w:val="19"/>
                <w:szCs w:val="19"/>
              </w:rPr>
              <w:t>Work with addition and subtraction equations</w:t>
            </w:r>
          </w:p>
          <w:p w:rsidR="00302CBD" w:rsidRPr="00302CBD" w:rsidRDefault="00302CBD" w:rsidP="004A2809">
            <w:pPr>
              <w:pStyle w:val="Default"/>
              <w:rPr>
                <w:rFonts w:asciiTheme="minorHAnsi" w:hAnsiTheme="minorHAnsi"/>
                <w:color w:val="auto"/>
                <w:sz w:val="19"/>
                <w:szCs w:val="19"/>
              </w:rPr>
            </w:pPr>
            <w:r w:rsidRPr="00302CBD">
              <w:rPr>
                <w:rFonts w:asciiTheme="minorHAnsi" w:hAnsiTheme="minorHAnsi"/>
                <w:b/>
                <w:color w:val="auto"/>
                <w:sz w:val="19"/>
                <w:szCs w:val="19"/>
              </w:rPr>
              <w:t>Number and Operations in Base Ten</w:t>
            </w:r>
            <w:r>
              <w:rPr>
                <w:rFonts w:asciiTheme="minorHAnsi" w:hAnsiTheme="minorHAnsi"/>
                <w:color w:val="auto"/>
                <w:sz w:val="19"/>
                <w:szCs w:val="19"/>
              </w:rPr>
              <w:t xml:space="preserve"> (</w:t>
            </w:r>
            <w:r w:rsidRPr="00302CBD">
              <w:rPr>
                <w:rFonts w:asciiTheme="minorHAnsi" w:hAnsiTheme="minorHAnsi"/>
                <w:color w:val="auto"/>
                <w:sz w:val="19"/>
                <w:szCs w:val="19"/>
              </w:rPr>
              <w:t>1NBT.1 – 1.NBT.3</w:t>
            </w:r>
            <w:r>
              <w:rPr>
                <w:rFonts w:asciiTheme="minorHAnsi" w:hAnsiTheme="minorHAnsi"/>
                <w:color w:val="auto"/>
                <w:sz w:val="19"/>
                <w:szCs w:val="19"/>
              </w:rPr>
              <w:t>)</w:t>
            </w:r>
          </w:p>
          <w:p w:rsidR="00302CBD" w:rsidRDefault="00302CBD" w:rsidP="00302CBD">
            <w:pPr>
              <w:pStyle w:val="Default"/>
              <w:numPr>
                <w:ilvl w:val="0"/>
                <w:numId w:val="2"/>
              </w:numPr>
              <w:rPr>
                <w:rFonts w:asciiTheme="minorHAnsi" w:hAnsiTheme="minorHAnsi"/>
                <w:color w:val="auto"/>
                <w:sz w:val="19"/>
                <w:szCs w:val="19"/>
              </w:rPr>
            </w:pPr>
            <w:r>
              <w:rPr>
                <w:rFonts w:asciiTheme="minorHAnsi" w:hAnsiTheme="minorHAnsi"/>
                <w:color w:val="auto"/>
                <w:sz w:val="19"/>
                <w:szCs w:val="19"/>
              </w:rPr>
              <w:t>Extend the counting sequence</w:t>
            </w:r>
          </w:p>
          <w:p w:rsidR="00302CBD" w:rsidRDefault="00302CBD" w:rsidP="00302CBD">
            <w:pPr>
              <w:pStyle w:val="Default"/>
              <w:numPr>
                <w:ilvl w:val="0"/>
                <w:numId w:val="2"/>
              </w:numPr>
              <w:rPr>
                <w:rFonts w:asciiTheme="minorHAnsi" w:hAnsiTheme="minorHAnsi"/>
                <w:color w:val="auto"/>
                <w:sz w:val="19"/>
                <w:szCs w:val="19"/>
              </w:rPr>
            </w:pPr>
            <w:r>
              <w:rPr>
                <w:rFonts w:asciiTheme="minorHAnsi" w:hAnsiTheme="minorHAnsi"/>
                <w:color w:val="auto"/>
                <w:sz w:val="19"/>
                <w:szCs w:val="19"/>
              </w:rPr>
              <w:t>Understand place value</w:t>
            </w:r>
          </w:p>
          <w:p w:rsidR="001606EB" w:rsidRPr="00403CA4" w:rsidRDefault="001606EB" w:rsidP="00302CBD">
            <w:pPr>
              <w:pStyle w:val="Default"/>
              <w:rPr>
                <w:rFonts w:asciiTheme="minorHAnsi" w:hAnsiTheme="minorHAnsi"/>
                <w:sz w:val="19"/>
                <w:szCs w:val="19"/>
              </w:rPr>
            </w:pPr>
          </w:p>
        </w:tc>
      </w:tr>
      <w:tr w:rsidR="001606EB" w:rsidRPr="00422CE4" w:rsidTr="00F73251">
        <w:trPr>
          <w:cantSplit/>
          <w:trHeight w:val="1053"/>
        </w:trPr>
        <w:tc>
          <w:tcPr>
            <w:tcW w:w="523" w:type="dxa"/>
            <w:vMerge/>
            <w:tcBorders>
              <w:top w:val="nil"/>
              <w:bottom w:val="single" w:sz="4" w:space="0" w:color="auto"/>
            </w:tcBorders>
            <w:shd w:val="clear" w:color="auto" w:fill="D9D9D9"/>
          </w:tcPr>
          <w:p w:rsidR="001606EB" w:rsidRPr="00422CE4" w:rsidRDefault="001606EB" w:rsidP="00F73251">
            <w:pPr>
              <w:rPr>
                <w:rFonts w:asciiTheme="minorHAnsi" w:hAnsiTheme="minorHAnsi" w:cs="Calibri"/>
              </w:rPr>
            </w:pPr>
          </w:p>
        </w:tc>
        <w:tc>
          <w:tcPr>
            <w:tcW w:w="2267" w:type="dxa"/>
            <w:shd w:val="clear" w:color="auto" w:fill="FFFFFF"/>
            <w:vAlign w:val="center"/>
          </w:tcPr>
          <w:p w:rsidR="001606EB" w:rsidRPr="00422CE4" w:rsidRDefault="001606EB" w:rsidP="00F73251">
            <w:pPr>
              <w:rPr>
                <w:rFonts w:asciiTheme="minorHAnsi" w:hAnsiTheme="minorHAnsi" w:cs="Calibri"/>
                <w:b/>
                <w:sz w:val="20"/>
              </w:rPr>
            </w:pPr>
            <w:r w:rsidRPr="00422CE4">
              <w:rPr>
                <w:rFonts w:asciiTheme="minorHAnsi" w:hAnsiTheme="minorHAnsi" w:cs="Calibri"/>
                <w:b/>
                <w:sz w:val="20"/>
              </w:rPr>
              <w:t>Assessments</w:t>
            </w:r>
          </w:p>
          <w:p w:rsidR="001606EB" w:rsidRPr="00422CE4" w:rsidRDefault="001606EB" w:rsidP="00F73251">
            <w:pPr>
              <w:rPr>
                <w:rFonts w:asciiTheme="minorHAnsi" w:hAnsiTheme="minorHAnsi" w:cs="Calibri"/>
                <w:b/>
              </w:rPr>
            </w:pPr>
          </w:p>
        </w:tc>
        <w:tc>
          <w:tcPr>
            <w:tcW w:w="7290" w:type="dxa"/>
            <w:vAlign w:val="center"/>
          </w:tcPr>
          <w:p w:rsidR="001606EB" w:rsidRPr="00403CA4" w:rsidRDefault="00422CE4" w:rsidP="00F73251">
            <w:pPr>
              <w:pStyle w:val="Default"/>
              <w:rPr>
                <w:rFonts w:asciiTheme="minorHAnsi" w:hAnsiTheme="minorHAnsi"/>
                <w:sz w:val="19"/>
                <w:szCs w:val="19"/>
              </w:rPr>
            </w:pPr>
            <w:r w:rsidRPr="00403CA4">
              <w:rPr>
                <w:rFonts w:asciiTheme="minorHAnsi" w:hAnsiTheme="minorHAnsi"/>
                <w:b/>
                <w:sz w:val="19"/>
                <w:szCs w:val="19"/>
              </w:rPr>
              <w:t xml:space="preserve">X </w:t>
            </w:r>
            <w:r w:rsidR="001606EB" w:rsidRPr="00403CA4">
              <w:rPr>
                <w:rFonts w:asciiTheme="minorHAnsi" w:hAnsiTheme="minorHAnsi"/>
                <w:sz w:val="19"/>
                <w:szCs w:val="19"/>
              </w:rPr>
              <w:t xml:space="preserve">Category 2 </w:t>
            </w:r>
          </w:p>
          <w:p w:rsidR="001606EB" w:rsidRPr="00403CA4" w:rsidRDefault="001606EB" w:rsidP="00F73251">
            <w:pPr>
              <w:pStyle w:val="Default"/>
              <w:rPr>
                <w:rFonts w:asciiTheme="minorHAnsi" w:hAnsiTheme="minorHAnsi"/>
                <w:sz w:val="19"/>
                <w:szCs w:val="19"/>
              </w:rPr>
            </w:pPr>
          </w:p>
          <w:p w:rsidR="00422CE4" w:rsidRPr="00403CA4" w:rsidRDefault="00422CE4" w:rsidP="00422CE4">
            <w:pPr>
              <w:pStyle w:val="Default"/>
              <w:spacing w:after="6"/>
              <w:rPr>
                <w:rFonts w:asciiTheme="minorHAnsi" w:hAnsiTheme="minorHAnsi"/>
                <w:color w:val="auto"/>
                <w:sz w:val="19"/>
                <w:szCs w:val="19"/>
              </w:rPr>
            </w:pPr>
            <w:r w:rsidRPr="00403CA4">
              <w:rPr>
                <w:rFonts w:asciiTheme="minorHAnsi" w:hAnsiTheme="minorHAnsi"/>
                <w:color w:val="auto"/>
                <w:sz w:val="19"/>
                <w:szCs w:val="19"/>
              </w:rPr>
              <w:t xml:space="preserve">1. The district mathematics assessment was collaboratively created and aligned to CCSS as well as the Response to Intervention guidelines for core instruction. The district mathematics assessment will be administered three times per year. It is administered one-on-one by the classroom teacher, our math coach, or the district testing coordinator. </w:t>
            </w:r>
          </w:p>
          <w:p w:rsidR="00422CE4" w:rsidRPr="00403CA4" w:rsidRDefault="00422CE4" w:rsidP="00422CE4">
            <w:pPr>
              <w:pStyle w:val="Default"/>
              <w:spacing w:after="8"/>
              <w:rPr>
                <w:rFonts w:asciiTheme="minorHAnsi" w:hAnsiTheme="minorHAnsi"/>
                <w:color w:val="auto"/>
                <w:sz w:val="19"/>
                <w:szCs w:val="19"/>
              </w:rPr>
            </w:pPr>
          </w:p>
          <w:p w:rsidR="00422CE4" w:rsidRPr="00403CA4" w:rsidRDefault="00422CE4" w:rsidP="00422CE4">
            <w:pPr>
              <w:pStyle w:val="Default"/>
              <w:rPr>
                <w:rFonts w:asciiTheme="minorHAnsi" w:hAnsiTheme="minorHAnsi"/>
                <w:color w:val="auto"/>
                <w:sz w:val="19"/>
                <w:szCs w:val="19"/>
              </w:rPr>
            </w:pPr>
            <w:r w:rsidRPr="00403CA4">
              <w:rPr>
                <w:rFonts w:asciiTheme="minorHAnsi" w:hAnsiTheme="minorHAnsi"/>
                <w:color w:val="auto"/>
                <w:sz w:val="19"/>
                <w:szCs w:val="19"/>
              </w:rPr>
              <w:t>2. The portfolio, its requirements, and rubric were created by the first-grade team with our math coach, and it aligns with other rubrics used throughout our elementary school. Students will be told in advance if certain tasks are eligible for portfolio submission and they will work with teachers to determine which tasks to submit for their portfolio. The portfolio will be built over the course of the year. Most work will be scored by me, the classroom teacher, though common tasks will be scored collaboratively by all three first grade teachers.</w:t>
            </w:r>
          </w:p>
          <w:p w:rsidR="001606EB" w:rsidRPr="00403CA4" w:rsidRDefault="001606EB" w:rsidP="00F73251">
            <w:pPr>
              <w:rPr>
                <w:rFonts w:asciiTheme="minorHAnsi" w:hAnsiTheme="minorHAnsi" w:cs="Calibri"/>
                <w:sz w:val="19"/>
                <w:szCs w:val="19"/>
              </w:rPr>
            </w:pPr>
          </w:p>
        </w:tc>
      </w:tr>
      <w:tr w:rsidR="001606EB" w:rsidRPr="00422CE4" w:rsidTr="00F73251">
        <w:trPr>
          <w:cantSplit/>
          <w:trHeight w:val="1053"/>
        </w:trPr>
        <w:tc>
          <w:tcPr>
            <w:tcW w:w="523" w:type="dxa"/>
            <w:vMerge/>
            <w:tcBorders>
              <w:top w:val="nil"/>
              <w:bottom w:val="single" w:sz="4" w:space="0" w:color="auto"/>
            </w:tcBorders>
            <w:shd w:val="clear" w:color="auto" w:fill="D9D9D9"/>
          </w:tcPr>
          <w:p w:rsidR="001606EB" w:rsidRPr="00422CE4" w:rsidRDefault="001606EB" w:rsidP="00F73251">
            <w:pPr>
              <w:rPr>
                <w:rFonts w:asciiTheme="minorHAnsi" w:hAnsiTheme="minorHAnsi" w:cs="Calibri"/>
              </w:rPr>
            </w:pPr>
          </w:p>
        </w:tc>
        <w:tc>
          <w:tcPr>
            <w:tcW w:w="2267" w:type="dxa"/>
            <w:shd w:val="clear" w:color="auto" w:fill="FFFFFF"/>
            <w:vAlign w:val="center"/>
          </w:tcPr>
          <w:p w:rsidR="001606EB" w:rsidRPr="00422CE4" w:rsidRDefault="001606EB" w:rsidP="00F73251">
            <w:pPr>
              <w:rPr>
                <w:rFonts w:asciiTheme="minorHAnsi" w:hAnsiTheme="minorHAnsi" w:cs="Calibri"/>
                <w:b/>
                <w:sz w:val="20"/>
              </w:rPr>
            </w:pPr>
            <w:r w:rsidRPr="00422CE4">
              <w:rPr>
                <w:rFonts w:asciiTheme="minorHAnsi" w:hAnsiTheme="minorHAnsi" w:cs="Calibri"/>
                <w:b/>
                <w:sz w:val="20"/>
              </w:rPr>
              <w:t>Context/Students</w:t>
            </w:r>
          </w:p>
          <w:p w:rsidR="001606EB" w:rsidRPr="00422CE4" w:rsidRDefault="001606EB" w:rsidP="00F73251">
            <w:pPr>
              <w:ind w:left="360"/>
              <w:rPr>
                <w:rFonts w:asciiTheme="minorHAnsi" w:hAnsiTheme="minorHAnsi" w:cs="Calibri"/>
                <w:sz w:val="18"/>
                <w:szCs w:val="18"/>
              </w:rPr>
            </w:pPr>
          </w:p>
        </w:tc>
        <w:tc>
          <w:tcPr>
            <w:tcW w:w="7290" w:type="dxa"/>
            <w:vAlign w:val="center"/>
          </w:tcPr>
          <w:p w:rsidR="001606EB" w:rsidRPr="00403CA4" w:rsidRDefault="00422CE4" w:rsidP="005945D7">
            <w:pPr>
              <w:pStyle w:val="Default"/>
              <w:rPr>
                <w:rFonts w:asciiTheme="minorHAnsi" w:hAnsiTheme="minorHAnsi"/>
                <w:color w:val="auto"/>
                <w:sz w:val="19"/>
                <w:szCs w:val="19"/>
              </w:rPr>
            </w:pPr>
            <w:r w:rsidRPr="00403CA4">
              <w:rPr>
                <w:rFonts w:asciiTheme="minorHAnsi" w:hAnsiTheme="minorHAnsi"/>
                <w:color w:val="auto"/>
                <w:sz w:val="19"/>
                <w:szCs w:val="19"/>
              </w:rPr>
              <w:t xml:space="preserve">All 56 first-grade students (all first-grade teachers will be utilizing this SLGG, with targets tiered to their individual students). </w:t>
            </w:r>
          </w:p>
        </w:tc>
      </w:tr>
      <w:tr w:rsidR="001606EB" w:rsidRPr="00422CE4" w:rsidTr="00F73251">
        <w:trPr>
          <w:cantSplit/>
          <w:trHeight w:val="1077"/>
        </w:trPr>
        <w:tc>
          <w:tcPr>
            <w:tcW w:w="523" w:type="dxa"/>
            <w:vMerge/>
            <w:tcBorders>
              <w:top w:val="nil"/>
              <w:bottom w:val="single" w:sz="4" w:space="0" w:color="auto"/>
            </w:tcBorders>
            <w:shd w:val="clear" w:color="auto" w:fill="D9D9D9"/>
          </w:tcPr>
          <w:p w:rsidR="001606EB" w:rsidRPr="00422CE4" w:rsidRDefault="001606EB" w:rsidP="00F73251">
            <w:pPr>
              <w:rPr>
                <w:rFonts w:asciiTheme="minorHAnsi" w:hAnsiTheme="minorHAnsi" w:cs="Calibri"/>
              </w:rPr>
            </w:pPr>
          </w:p>
        </w:tc>
        <w:tc>
          <w:tcPr>
            <w:tcW w:w="2267" w:type="dxa"/>
            <w:shd w:val="clear" w:color="auto" w:fill="FFFFFF"/>
            <w:vAlign w:val="center"/>
          </w:tcPr>
          <w:p w:rsidR="001606EB" w:rsidRPr="00422CE4" w:rsidRDefault="001606EB" w:rsidP="00F73251">
            <w:pPr>
              <w:rPr>
                <w:rFonts w:asciiTheme="minorHAnsi" w:hAnsiTheme="minorHAnsi" w:cs="Calibri"/>
                <w:b/>
                <w:sz w:val="20"/>
              </w:rPr>
            </w:pPr>
            <w:r w:rsidRPr="00422CE4">
              <w:rPr>
                <w:rFonts w:asciiTheme="minorHAnsi" w:hAnsiTheme="minorHAnsi" w:cs="Calibri"/>
                <w:b/>
                <w:sz w:val="20"/>
              </w:rPr>
              <w:t>Baseline Data</w:t>
            </w:r>
          </w:p>
          <w:p w:rsidR="001606EB" w:rsidRPr="00422CE4" w:rsidRDefault="001606EB" w:rsidP="00F73251">
            <w:pPr>
              <w:ind w:left="360"/>
              <w:rPr>
                <w:rFonts w:asciiTheme="minorHAnsi" w:hAnsiTheme="minorHAnsi" w:cs="Calibri"/>
                <w:sz w:val="18"/>
                <w:szCs w:val="18"/>
              </w:rPr>
            </w:pPr>
          </w:p>
        </w:tc>
        <w:tc>
          <w:tcPr>
            <w:tcW w:w="7290" w:type="dxa"/>
            <w:vAlign w:val="center"/>
          </w:tcPr>
          <w:p w:rsidR="001606EB" w:rsidRPr="00403CA4" w:rsidRDefault="00422CE4" w:rsidP="00F73251">
            <w:pPr>
              <w:pStyle w:val="ListParagraph"/>
              <w:ind w:left="0"/>
              <w:rPr>
                <w:rFonts w:asciiTheme="minorHAnsi" w:hAnsiTheme="minorHAnsi"/>
                <w:sz w:val="19"/>
                <w:szCs w:val="19"/>
              </w:rPr>
            </w:pPr>
            <w:r w:rsidRPr="00403CA4">
              <w:rPr>
                <w:rFonts w:asciiTheme="minorHAnsi" w:hAnsiTheme="minorHAnsi"/>
                <w:sz w:val="19"/>
                <w:szCs w:val="19"/>
              </w:rPr>
              <w:t>An assessment based on Kindergarten mathematics standards was administered during the first week of school. Based on that data, we were able to determine that 80% of students are entering first grade with the necessary prerequisite mathematical content and skills, specifically in the area of counting from 0-20. 20% of students are entering first grade lacking some prerequisite content and skills, specifically in knowing number names and the count sequence as well as adding and subtracting within 5.</w:t>
            </w:r>
          </w:p>
          <w:p w:rsidR="005945D7" w:rsidRPr="00403CA4" w:rsidRDefault="005945D7" w:rsidP="00F73251">
            <w:pPr>
              <w:pStyle w:val="ListParagraph"/>
              <w:ind w:left="0"/>
              <w:rPr>
                <w:rFonts w:asciiTheme="minorHAnsi" w:hAnsiTheme="minorHAnsi" w:cs="Calibri"/>
                <w:sz w:val="19"/>
                <w:szCs w:val="19"/>
              </w:rPr>
            </w:pPr>
          </w:p>
        </w:tc>
      </w:tr>
      <w:tr w:rsidR="001606EB" w:rsidRPr="00422CE4" w:rsidTr="00F73251">
        <w:trPr>
          <w:trHeight w:val="1197"/>
        </w:trPr>
        <w:tc>
          <w:tcPr>
            <w:tcW w:w="523" w:type="dxa"/>
            <w:vMerge/>
            <w:tcBorders>
              <w:top w:val="nil"/>
              <w:bottom w:val="single" w:sz="4" w:space="0" w:color="auto"/>
            </w:tcBorders>
            <w:shd w:val="clear" w:color="auto" w:fill="D9D9D9"/>
          </w:tcPr>
          <w:p w:rsidR="001606EB" w:rsidRPr="00422CE4" w:rsidRDefault="001606EB" w:rsidP="00F73251">
            <w:pPr>
              <w:rPr>
                <w:rFonts w:asciiTheme="minorHAnsi" w:hAnsiTheme="minorHAnsi" w:cs="Calibri"/>
              </w:rPr>
            </w:pPr>
          </w:p>
        </w:tc>
        <w:tc>
          <w:tcPr>
            <w:tcW w:w="2267" w:type="dxa"/>
            <w:shd w:val="clear" w:color="auto" w:fill="FFFFFF"/>
            <w:vAlign w:val="center"/>
          </w:tcPr>
          <w:p w:rsidR="001606EB" w:rsidRPr="00422CE4" w:rsidRDefault="001606EB" w:rsidP="00F73251">
            <w:pPr>
              <w:rPr>
                <w:rFonts w:asciiTheme="minorHAnsi" w:hAnsiTheme="minorHAnsi" w:cs="Calibri"/>
                <w:b/>
                <w:sz w:val="20"/>
              </w:rPr>
            </w:pPr>
            <w:r w:rsidRPr="00422CE4">
              <w:rPr>
                <w:rFonts w:asciiTheme="minorHAnsi" w:hAnsiTheme="minorHAnsi" w:cs="Calibri"/>
                <w:b/>
                <w:sz w:val="20"/>
              </w:rPr>
              <w:t>Student Growth Goal (Targets)</w:t>
            </w:r>
          </w:p>
          <w:p w:rsidR="001606EB" w:rsidRPr="00422CE4" w:rsidRDefault="001606EB" w:rsidP="00F73251">
            <w:pPr>
              <w:pStyle w:val="ListParagraph"/>
              <w:ind w:left="360"/>
              <w:rPr>
                <w:rFonts w:asciiTheme="minorHAnsi" w:hAnsiTheme="minorHAnsi" w:cs="Calibri"/>
                <w:sz w:val="16"/>
                <w:szCs w:val="16"/>
              </w:rPr>
            </w:pPr>
          </w:p>
        </w:tc>
        <w:tc>
          <w:tcPr>
            <w:tcW w:w="7290" w:type="dxa"/>
            <w:vAlign w:val="center"/>
          </w:tcPr>
          <w:p w:rsidR="00422CE4" w:rsidRPr="00403CA4" w:rsidRDefault="00422CE4" w:rsidP="00422CE4">
            <w:pPr>
              <w:pStyle w:val="Default"/>
              <w:spacing w:after="6"/>
              <w:rPr>
                <w:rFonts w:asciiTheme="minorHAnsi" w:hAnsiTheme="minorHAnsi"/>
                <w:color w:val="auto"/>
                <w:sz w:val="19"/>
                <w:szCs w:val="19"/>
              </w:rPr>
            </w:pPr>
            <w:r w:rsidRPr="00403CA4">
              <w:rPr>
                <w:rFonts w:asciiTheme="minorHAnsi" w:hAnsiTheme="minorHAnsi"/>
                <w:color w:val="auto"/>
                <w:sz w:val="19"/>
                <w:szCs w:val="19"/>
              </w:rPr>
              <w:t xml:space="preserve">1. 100% of students will reach proficiency (75% or higher) on the final administration of the district mathematics assessment (which is administered in October, February, and June). </w:t>
            </w:r>
          </w:p>
          <w:p w:rsidR="00422CE4" w:rsidRPr="00403CA4" w:rsidRDefault="00422CE4" w:rsidP="00596E1D">
            <w:pPr>
              <w:pStyle w:val="Default"/>
              <w:spacing w:after="6"/>
              <w:ind w:left="720"/>
              <w:rPr>
                <w:rFonts w:asciiTheme="minorHAnsi" w:hAnsiTheme="minorHAnsi"/>
                <w:color w:val="auto"/>
                <w:sz w:val="19"/>
                <w:szCs w:val="19"/>
              </w:rPr>
            </w:pPr>
            <w:r w:rsidRPr="00403CA4">
              <w:rPr>
                <w:rFonts w:asciiTheme="minorHAnsi" w:hAnsiTheme="minorHAnsi"/>
                <w:color w:val="auto"/>
                <w:sz w:val="19"/>
                <w:szCs w:val="19"/>
              </w:rPr>
              <w:t xml:space="preserve">a. The 80% of students who entered with the prerequisite skills will score 85% proficiency or higher. </w:t>
            </w:r>
          </w:p>
          <w:p w:rsidR="00422CE4" w:rsidRPr="00403CA4" w:rsidRDefault="00422CE4" w:rsidP="00596E1D">
            <w:pPr>
              <w:pStyle w:val="Default"/>
              <w:spacing w:after="6"/>
              <w:ind w:left="720"/>
              <w:rPr>
                <w:rFonts w:asciiTheme="minorHAnsi" w:hAnsiTheme="minorHAnsi"/>
                <w:color w:val="auto"/>
                <w:sz w:val="19"/>
                <w:szCs w:val="19"/>
              </w:rPr>
            </w:pPr>
            <w:r w:rsidRPr="00403CA4">
              <w:rPr>
                <w:rFonts w:asciiTheme="minorHAnsi" w:hAnsiTheme="minorHAnsi"/>
                <w:color w:val="auto"/>
                <w:sz w:val="19"/>
                <w:szCs w:val="19"/>
              </w:rPr>
              <w:t xml:space="preserve">b. The 20% of students who entered without the prerequisite skills will score 75% proficiency or higher. </w:t>
            </w:r>
          </w:p>
          <w:p w:rsidR="00422CE4" w:rsidRPr="00403CA4" w:rsidRDefault="00422CE4" w:rsidP="00422CE4">
            <w:pPr>
              <w:pStyle w:val="Default"/>
              <w:spacing w:after="6"/>
              <w:rPr>
                <w:rFonts w:asciiTheme="minorHAnsi" w:hAnsiTheme="minorHAnsi"/>
                <w:color w:val="auto"/>
                <w:sz w:val="19"/>
                <w:szCs w:val="19"/>
              </w:rPr>
            </w:pPr>
            <w:r w:rsidRPr="00403CA4">
              <w:rPr>
                <w:rFonts w:asciiTheme="minorHAnsi" w:hAnsiTheme="minorHAnsi"/>
                <w:color w:val="auto"/>
                <w:sz w:val="19"/>
                <w:szCs w:val="19"/>
              </w:rPr>
              <w:t xml:space="preserve">2. 100% of students will complete a portfolio that demonstrates proficiency in the critical areas of Operations and Algebraic Thinking as well as Number and Operations in Base Ten (at least 4 pieces of work per area). Portfolio can include tests, quizzes, and in-class assignments (no homework or worksheets intended for practice). At least 1 of the 4 pieces of work for each area must be a common task (used in all 3 first grade classrooms). </w:t>
            </w:r>
          </w:p>
          <w:p w:rsidR="00422CE4" w:rsidRPr="00403CA4" w:rsidRDefault="00422CE4" w:rsidP="00596E1D">
            <w:pPr>
              <w:pStyle w:val="Default"/>
              <w:spacing w:after="6"/>
              <w:ind w:left="720"/>
              <w:rPr>
                <w:rFonts w:asciiTheme="minorHAnsi" w:hAnsiTheme="minorHAnsi"/>
                <w:color w:val="auto"/>
                <w:sz w:val="19"/>
                <w:szCs w:val="19"/>
              </w:rPr>
            </w:pPr>
            <w:r w:rsidRPr="00403CA4">
              <w:rPr>
                <w:rFonts w:asciiTheme="minorHAnsi" w:hAnsiTheme="minorHAnsi"/>
                <w:color w:val="auto"/>
                <w:sz w:val="19"/>
                <w:szCs w:val="19"/>
              </w:rPr>
              <w:t>a</w:t>
            </w:r>
            <w:bookmarkStart w:id="1" w:name="_GoBack"/>
            <w:r w:rsidRPr="00403CA4">
              <w:rPr>
                <w:rFonts w:asciiTheme="minorHAnsi" w:hAnsiTheme="minorHAnsi"/>
                <w:color w:val="auto"/>
                <w:sz w:val="19"/>
                <w:szCs w:val="19"/>
              </w:rPr>
              <w:t xml:space="preserve">. For the 80% of student who entered with the prerequisite skills work must </w:t>
            </w:r>
            <w:r w:rsidRPr="00403CA4">
              <w:rPr>
                <w:rFonts w:asciiTheme="minorHAnsi" w:hAnsiTheme="minorHAnsi"/>
                <w:color w:val="auto"/>
                <w:sz w:val="19"/>
                <w:szCs w:val="19"/>
              </w:rPr>
              <w:lastRenderedPageBreak/>
              <w:t xml:space="preserve">demonstrate 85% accuracy or better to be included in the portfolio. Each student must also include a Challenge Task demonstrating their ability to stretch their learning by applying knowledge to more complicated problems. </w:t>
            </w:r>
          </w:p>
          <w:p w:rsidR="00422CE4" w:rsidRPr="00403CA4" w:rsidRDefault="00422CE4" w:rsidP="00596E1D">
            <w:pPr>
              <w:pStyle w:val="Default"/>
              <w:ind w:left="720"/>
              <w:rPr>
                <w:rFonts w:asciiTheme="minorHAnsi" w:hAnsiTheme="minorHAnsi"/>
                <w:color w:val="auto"/>
                <w:sz w:val="19"/>
                <w:szCs w:val="19"/>
              </w:rPr>
            </w:pPr>
            <w:r w:rsidRPr="00403CA4">
              <w:rPr>
                <w:rFonts w:asciiTheme="minorHAnsi" w:hAnsiTheme="minorHAnsi"/>
                <w:color w:val="auto"/>
                <w:sz w:val="19"/>
                <w:szCs w:val="19"/>
              </w:rPr>
              <w:t xml:space="preserve">b. For the 20% of students who entered without the prerequisite skills work must demonstrate 75% accuracy or better to be included in the portfolio. </w:t>
            </w:r>
          </w:p>
          <w:bookmarkEnd w:id="1"/>
          <w:p w:rsidR="001606EB" w:rsidRPr="00403CA4" w:rsidRDefault="001606EB" w:rsidP="00F73251">
            <w:pPr>
              <w:rPr>
                <w:rFonts w:asciiTheme="minorHAnsi" w:hAnsiTheme="minorHAnsi" w:cs="Calibri"/>
                <w:sz w:val="19"/>
                <w:szCs w:val="19"/>
              </w:rPr>
            </w:pPr>
          </w:p>
        </w:tc>
      </w:tr>
      <w:tr w:rsidR="001606EB" w:rsidRPr="00422CE4" w:rsidTr="00F73251">
        <w:trPr>
          <w:trHeight w:val="885"/>
        </w:trPr>
        <w:tc>
          <w:tcPr>
            <w:tcW w:w="523" w:type="dxa"/>
            <w:vMerge/>
            <w:tcBorders>
              <w:top w:val="nil"/>
              <w:bottom w:val="single" w:sz="4" w:space="0" w:color="auto"/>
            </w:tcBorders>
            <w:shd w:val="clear" w:color="auto" w:fill="D9D9D9"/>
          </w:tcPr>
          <w:p w:rsidR="001606EB" w:rsidRPr="00422CE4" w:rsidRDefault="001606EB" w:rsidP="00F73251">
            <w:pPr>
              <w:rPr>
                <w:rFonts w:asciiTheme="minorHAnsi" w:hAnsiTheme="minorHAnsi" w:cs="Calibri"/>
              </w:rPr>
            </w:pPr>
          </w:p>
        </w:tc>
        <w:tc>
          <w:tcPr>
            <w:tcW w:w="2267" w:type="dxa"/>
            <w:shd w:val="clear" w:color="auto" w:fill="FFFFFF"/>
            <w:vAlign w:val="center"/>
          </w:tcPr>
          <w:p w:rsidR="001606EB" w:rsidRPr="00422CE4" w:rsidRDefault="001606EB" w:rsidP="00F73251">
            <w:pPr>
              <w:rPr>
                <w:rFonts w:asciiTheme="minorHAnsi" w:hAnsiTheme="minorHAnsi" w:cs="Calibri"/>
                <w:b/>
                <w:sz w:val="20"/>
              </w:rPr>
            </w:pPr>
            <w:r w:rsidRPr="00422CE4">
              <w:rPr>
                <w:rFonts w:asciiTheme="minorHAnsi" w:hAnsiTheme="minorHAnsi" w:cs="Calibri"/>
                <w:b/>
                <w:sz w:val="20"/>
              </w:rPr>
              <w:t>Rationale</w:t>
            </w:r>
          </w:p>
          <w:p w:rsidR="001606EB" w:rsidRPr="00422CE4" w:rsidRDefault="001606EB" w:rsidP="00F73251">
            <w:pPr>
              <w:rPr>
                <w:rFonts w:asciiTheme="minorHAnsi" w:hAnsiTheme="minorHAnsi" w:cs="Calibri"/>
                <w:b/>
                <w:sz w:val="20"/>
              </w:rPr>
            </w:pPr>
          </w:p>
        </w:tc>
        <w:tc>
          <w:tcPr>
            <w:tcW w:w="7290" w:type="dxa"/>
            <w:vAlign w:val="center"/>
          </w:tcPr>
          <w:p w:rsidR="00422CE4" w:rsidRPr="00403CA4" w:rsidRDefault="00422CE4" w:rsidP="00422CE4">
            <w:pPr>
              <w:pStyle w:val="Default"/>
              <w:rPr>
                <w:rFonts w:asciiTheme="minorHAnsi" w:hAnsiTheme="minorHAnsi"/>
                <w:color w:val="auto"/>
                <w:sz w:val="19"/>
                <w:szCs w:val="19"/>
              </w:rPr>
            </w:pPr>
            <w:r w:rsidRPr="00403CA4">
              <w:rPr>
                <w:rFonts w:asciiTheme="minorHAnsi" w:hAnsiTheme="minorHAnsi"/>
                <w:color w:val="auto"/>
                <w:sz w:val="19"/>
                <w:szCs w:val="19"/>
              </w:rPr>
              <w:t xml:space="preserve">The objective focuses on two of the four CCSS critical areas for Grade 1: Operations and Algebraic Thinking as well as Number and Operations in Base Ten. The CCSS outline the mathematics concepts that should be the focus of instruction in Grade 1 and while each area is important for laying the foundation for future study of mathematics, these two are considered to be most predictive of future mathematics learning. Students who leave first grade with a proficient grasp of these two concepts and skills will largely be prepared to begin second grade mathematics. </w:t>
            </w:r>
          </w:p>
          <w:p w:rsidR="001606EB" w:rsidRPr="00403CA4" w:rsidRDefault="001606EB" w:rsidP="00F73251">
            <w:pPr>
              <w:rPr>
                <w:rFonts w:asciiTheme="minorHAnsi" w:hAnsiTheme="minorHAnsi" w:cs="Calibri"/>
                <w:sz w:val="19"/>
                <w:szCs w:val="19"/>
              </w:rPr>
            </w:pPr>
          </w:p>
        </w:tc>
      </w:tr>
      <w:tr w:rsidR="001606EB" w:rsidRPr="00422CE4" w:rsidTr="00F73251">
        <w:trPr>
          <w:trHeight w:val="1065"/>
        </w:trPr>
        <w:tc>
          <w:tcPr>
            <w:tcW w:w="523" w:type="dxa"/>
            <w:vMerge/>
            <w:tcBorders>
              <w:top w:val="nil"/>
              <w:bottom w:val="single" w:sz="4" w:space="0" w:color="auto"/>
            </w:tcBorders>
            <w:shd w:val="clear" w:color="auto" w:fill="D9D9D9"/>
          </w:tcPr>
          <w:p w:rsidR="001606EB" w:rsidRPr="00422CE4" w:rsidRDefault="001606EB" w:rsidP="00F73251">
            <w:pPr>
              <w:rPr>
                <w:rFonts w:asciiTheme="minorHAnsi" w:hAnsiTheme="minorHAnsi" w:cs="Calibri"/>
              </w:rPr>
            </w:pPr>
          </w:p>
        </w:tc>
        <w:tc>
          <w:tcPr>
            <w:tcW w:w="2267" w:type="dxa"/>
            <w:shd w:val="clear" w:color="auto" w:fill="FFFFFF"/>
            <w:vAlign w:val="center"/>
          </w:tcPr>
          <w:p w:rsidR="001606EB" w:rsidRPr="00422CE4" w:rsidRDefault="001606EB" w:rsidP="00F73251">
            <w:pPr>
              <w:rPr>
                <w:rFonts w:asciiTheme="minorHAnsi" w:hAnsiTheme="minorHAnsi" w:cs="Calibri"/>
                <w:b/>
                <w:sz w:val="20"/>
              </w:rPr>
            </w:pPr>
            <w:r w:rsidRPr="00422CE4">
              <w:rPr>
                <w:rFonts w:asciiTheme="minorHAnsi" w:hAnsiTheme="minorHAnsi" w:cs="Calibri"/>
                <w:b/>
                <w:sz w:val="20"/>
              </w:rPr>
              <w:t xml:space="preserve">Strategies </w:t>
            </w:r>
          </w:p>
          <w:p w:rsidR="001606EB" w:rsidRPr="00422CE4" w:rsidRDefault="001606EB" w:rsidP="00F73251">
            <w:pPr>
              <w:pStyle w:val="ColorfulList-Accent11"/>
              <w:ind w:left="360"/>
              <w:rPr>
                <w:rFonts w:asciiTheme="minorHAnsi" w:hAnsiTheme="minorHAnsi" w:cs="Calibri"/>
                <w:b/>
                <w:sz w:val="8"/>
                <w:szCs w:val="8"/>
              </w:rPr>
            </w:pPr>
          </w:p>
        </w:tc>
        <w:tc>
          <w:tcPr>
            <w:tcW w:w="7290" w:type="dxa"/>
            <w:vAlign w:val="center"/>
          </w:tcPr>
          <w:p w:rsidR="001606EB" w:rsidRPr="00422CE4" w:rsidRDefault="001606EB" w:rsidP="00F73251">
            <w:pPr>
              <w:rPr>
                <w:rFonts w:asciiTheme="minorHAnsi" w:hAnsiTheme="minorHAnsi" w:cs="Calibri"/>
                <w:sz w:val="20"/>
              </w:rPr>
            </w:pPr>
          </w:p>
        </w:tc>
      </w:tr>
      <w:tr w:rsidR="001606EB" w:rsidRPr="00422CE4" w:rsidTr="00F73251">
        <w:trPr>
          <w:trHeight w:val="705"/>
        </w:trPr>
        <w:tc>
          <w:tcPr>
            <w:tcW w:w="523" w:type="dxa"/>
            <w:vMerge/>
            <w:tcBorders>
              <w:top w:val="nil"/>
              <w:bottom w:val="single" w:sz="4" w:space="0" w:color="auto"/>
            </w:tcBorders>
            <w:shd w:val="clear" w:color="auto" w:fill="D9D9D9"/>
          </w:tcPr>
          <w:p w:rsidR="001606EB" w:rsidRPr="00422CE4" w:rsidRDefault="001606EB" w:rsidP="00F73251">
            <w:pPr>
              <w:rPr>
                <w:rFonts w:asciiTheme="minorHAnsi" w:hAnsiTheme="minorHAnsi" w:cs="Calibri"/>
                <w:b/>
              </w:rPr>
            </w:pPr>
          </w:p>
        </w:tc>
        <w:tc>
          <w:tcPr>
            <w:tcW w:w="2267" w:type="dxa"/>
            <w:tcBorders>
              <w:bottom w:val="thinThickSmallGap" w:sz="24" w:space="0" w:color="auto"/>
            </w:tcBorders>
            <w:shd w:val="clear" w:color="auto" w:fill="FFFFFF"/>
            <w:vAlign w:val="center"/>
          </w:tcPr>
          <w:p w:rsidR="001606EB" w:rsidRPr="00422CE4" w:rsidRDefault="001606EB" w:rsidP="00F73251">
            <w:pPr>
              <w:rPr>
                <w:rFonts w:asciiTheme="minorHAnsi" w:hAnsiTheme="minorHAnsi" w:cs="Calibri"/>
                <w:b/>
                <w:sz w:val="20"/>
              </w:rPr>
            </w:pPr>
            <w:r w:rsidRPr="00422CE4">
              <w:rPr>
                <w:rFonts w:asciiTheme="minorHAnsi" w:hAnsiTheme="minorHAnsi" w:cs="Calibri"/>
                <w:b/>
                <w:sz w:val="20"/>
              </w:rPr>
              <w:t>Professional Learning and Support</w:t>
            </w:r>
          </w:p>
          <w:p w:rsidR="001606EB" w:rsidRPr="00422CE4" w:rsidRDefault="001606EB" w:rsidP="00F73251">
            <w:pPr>
              <w:pStyle w:val="ColorfulList-Accent11"/>
              <w:ind w:left="360"/>
              <w:rPr>
                <w:rFonts w:asciiTheme="minorHAnsi" w:hAnsiTheme="minorHAnsi" w:cs="Calibri"/>
                <w:sz w:val="8"/>
                <w:szCs w:val="8"/>
              </w:rPr>
            </w:pPr>
          </w:p>
        </w:tc>
        <w:tc>
          <w:tcPr>
            <w:tcW w:w="7290" w:type="dxa"/>
            <w:tcBorders>
              <w:bottom w:val="thinThickSmallGap" w:sz="24" w:space="0" w:color="auto"/>
            </w:tcBorders>
            <w:vAlign w:val="center"/>
          </w:tcPr>
          <w:p w:rsidR="001606EB" w:rsidRPr="00422CE4" w:rsidRDefault="001606EB" w:rsidP="00F73251">
            <w:pPr>
              <w:rPr>
                <w:rFonts w:asciiTheme="minorHAnsi" w:hAnsiTheme="minorHAnsi" w:cs="Calibri"/>
                <w:b/>
              </w:rPr>
            </w:pPr>
          </w:p>
        </w:tc>
      </w:tr>
    </w:tbl>
    <w:p w:rsidR="00A57C7B" w:rsidRPr="00422CE4" w:rsidRDefault="00A57C7B">
      <w:pPr>
        <w:rPr>
          <w:rFonts w:asciiTheme="minorHAnsi" w:hAnsiTheme="minorHAnsi"/>
        </w:rPr>
      </w:pPr>
    </w:p>
    <w:sectPr w:rsidR="00A57C7B" w:rsidRPr="00422C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218FD"/>
    <w:multiLevelType w:val="hybridMultilevel"/>
    <w:tmpl w:val="D4D69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7387ED3"/>
    <w:multiLevelType w:val="hybridMultilevel"/>
    <w:tmpl w:val="6D9C9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6EB"/>
    <w:rsid w:val="001606EB"/>
    <w:rsid w:val="00302CBD"/>
    <w:rsid w:val="00403CA4"/>
    <w:rsid w:val="00422CE4"/>
    <w:rsid w:val="004A2809"/>
    <w:rsid w:val="005945D7"/>
    <w:rsid w:val="00596E1D"/>
    <w:rsid w:val="00603651"/>
    <w:rsid w:val="00A304D2"/>
    <w:rsid w:val="00A57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6EB"/>
    <w:pPr>
      <w:spacing w:after="0" w:line="240" w:lineRule="auto"/>
    </w:pPr>
    <w:rPr>
      <w:rFonts w:ascii="Arial" w:eastAsia="Calibri"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1606EB"/>
    <w:pPr>
      <w:spacing w:after="0" w:line="240" w:lineRule="auto"/>
    </w:pPr>
    <w:rPr>
      <w:rFonts w:ascii="Calibri" w:eastAsia="Calibri" w:hAnsi="Calibri" w:cs="Times New Roman"/>
    </w:rPr>
  </w:style>
  <w:style w:type="character" w:customStyle="1" w:styleId="NoSpacingChar">
    <w:name w:val="No Spacing Char"/>
    <w:link w:val="NoSpacing"/>
    <w:uiPriority w:val="99"/>
    <w:rsid w:val="001606EB"/>
    <w:rPr>
      <w:rFonts w:ascii="Calibri" w:eastAsia="Calibri" w:hAnsi="Calibri" w:cs="Times New Roman"/>
    </w:rPr>
  </w:style>
  <w:style w:type="paragraph" w:styleId="ListParagraph">
    <w:name w:val="List Paragraph"/>
    <w:basedOn w:val="Normal"/>
    <w:link w:val="ListParagraphChar"/>
    <w:uiPriority w:val="34"/>
    <w:qFormat/>
    <w:rsid w:val="001606EB"/>
    <w:pPr>
      <w:ind w:left="720"/>
      <w:contextualSpacing/>
    </w:pPr>
  </w:style>
  <w:style w:type="paragraph" w:customStyle="1" w:styleId="Default">
    <w:name w:val="Default"/>
    <w:rsid w:val="001606EB"/>
    <w:pPr>
      <w:autoSpaceDE w:val="0"/>
      <w:autoSpaceDN w:val="0"/>
      <w:adjustRightInd w:val="0"/>
      <w:spacing w:after="0" w:line="240" w:lineRule="auto"/>
    </w:pPr>
    <w:rPr>
      <w:rFonts w:ascii="Calibri" w:eastAsia="Calibri" w:hAnsi="Calibri" w:cs="Calibri"/>
      <w:color w:val="000000"/>
      <w:sz w:val="24"/>
      <w:szCs w:val="24"/>
    </w:rPr>
  </w:style>
  <w:style w:type="character" w:customStyle="1" w:styleId="ListParagraphChar">
    <w:name w:val="List Paragraph Char"/>
    <w:basedOn w:val="DefaultParagraphFont"/>
    <w:link w:val="ListParagraph"/>
    <w:uiPriority w:val="34"/>
    <w:locked/>
    <w:rsid w:val="001606EB"/>
    <w:rPr>
      <w:rFonts w:ascii="Arial" w:eastAsia="Calibri" w:hAnsi="Arial" w:cs="Times New Roman"/>
      <w:sz w:val="24"/>
      <w:szCs w:val="20"/>
    </w:rPr>
  </w:style>
  <w:style w:type="paragraph" w:customStyle="1" w:styleId="ColorfulList-Accent11">
    <w:name w:val="Colorful List - Accent 11"/>
    <w:basedOn w:val="Normal"/>
    <w:uiPriority w:val="99"/>
    <w:qFormat/>
    <w:rsid w:val="001606EB"/>
    <w:pPr>
      <w:ind w:left="720"/>
      <w:contextualSpacing/>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6EB"/>
    <w:pPr>
      <w:spacing w:after="0" w:line="240" w:lineRule="auto"/>
    </w:pPr>
    <w:rPr>
      <w:rFonts w:ascii="Arial" w:eastAsia="Calibri"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1606EB"/>
    <w:pPr>
      <w:spacing w:after="0" w:line="240" w:lineRule="auto"/>
    </w:pPr>
    <w:rPr>
      <w:rFonts w:ascii="Calibri" w:eastAsia="Calibri" w:hAnsi="Calibri" w:cs="Times New Roman"/>
    </w:rPr>
  </w:style>
  <w:style w:type="character" w:customStyle="1" w:styleId="NoSpacingChar">
    <w:name w:val="No Spacing Char"/>
    <w:link w:val="NoSpacing"/>
    <w:uiPriority w:val="99"/>
    <w:rsid w:val="001606EB"/>
    <w:rPr>
      <w:rFonts w:ascii="Calibri" w:eastAsia="Calibri" w:hAnsi="Calibri" w:cs="Times New Roman"/>
    </w:rPr>
  </w:style>
  <w:style w:type="paragraph" w:styleId="ListParagraph">
    <w:name w:val="List Paragraph"/>
    <w:basedOn w:val="Normal"/>
    <w:link w:val="ListParagraphChar"/>
    <w:uiPriority w:val="34"/>
    <w:qFormat/>
    <w:rsid w:val="001606EB"/>
    <w:pPr>
      <w:ind w:left="720"/>
      <w:contextualSpacing/>
    </w:pPr>
  </w:style>
  <w:style w:type="paragraph" w:customStyle="1" w:styleId="Default">
    <w:name w:val="Default"/>
    <w:rsid w:val="001606EB"/>
    <w:pPr>
      <w:autoSpaceDE w:val="0"/>
      <w:autoSpaceDN w:val="0"/>
      <w:adjustRightInd w:val="0"/>
      <w:spacing w:after="0" w:line="240" w:lineRule="auto"/>
    </w:pPr>
    <w:rPr>
      <w:rFonts w:ascii="Calibri" w:eastAsia="Calibri" w:hAnsi="Calibri" w:cs="Calibri"/>
      <w:color w:val="000000"/>
      <w:sz w:val="24"/>
      <w:szCs w:val="24"/>
    </w:rPr>
  </w:style>
  <w:style w:type="character" w:customStyle="1" w:styleId="ListParagraphChar">
    <w:name w:val="List Paragraph Char"/>
    <w:basedOn w:val="DefaultParagraphFont"/>
    <w:link w:val="ListParagraph"/>
    <w:uiPriority w:val="34"/>
    <w:locked/>
    <w:rsid w:val="001606EB"/>
    <w:rPr>
      <w:rFonts w:ascii="Arial" w:eastAsia="Calibri" w:hAnsi="Arial" w:cs="Times New Roman"/>
      <w:sz w:val="24"/>
      <w:szCs w:val="20"/>
    </w:rPr>
  </w:style>
  <w:style w:type="paragraph" w:customStyle="1" w:styleId="ColorfulList-Accent11">
    <w:name w:val="Colorful List - Accent 11"/>
    <w:basedOn w:val="Normal"/>
    <w:uiPriority w:val="99"/>
    <w:qFormat/>
    <w:rsid w:val="001606EB"/>
    <w:pPr>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D1EDF2100B64E49B1291E2901D21D48" ma:contentTypeVersion="7" ma:contentTypeDescription="Create a new document." ma:contentTypeScope="" ma:versionID="446566eb20b54b48c69742cc1c9903eb">
  <xsd:schema xmlns:xsd="http://www.w3.org/2001/XMLSchema" xmlns:xs="http://www.w3.org/2001/XMLSchema" xmlns:p="http://schemas.microsoft.com/office/2006/metadata/properties" xmlns:ns1="http://schemas.microsoft.com/sharepoint/v3" xmlns:ns2="a46da635-35ab-4168-9e0e-61b66d2ed8e3" xmlns:ns3="54031767-dd6d-417c-ab73-583408f47564" targetNamespace="http://schemas.microsoft.com/office/2006/metadata/properties" ma:root="true" ma:fieldsID="7087f3705c773f4cf2c7d9b38a145241" ns1:_="" ns2:_="" ns3:_="">
    <xsd:import namespace="http://schemas.microsoft.com/sharepoint/v3"/>
    <xsd:import namespace="a46da635-35ab-4168-9e0e-61b66d2ed8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6da635-35ab-4168-9e0e-61b66d2ed8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a46da635-35ab-4168-9e0e-61b66d2ed8e3">2018-07-05T07:00:00+00:00</Estimated_x0020_Creation_x0020_Date>
    <Remediation_x0020_Date xmlns="a46da635-35ab-4168-9e0e-61b66d2ed8e3">2018-07-05T07:00:00+00:00</Remediation_x0020_Date>
    <Priority xmlns="a46da635-35ab-4168-9e0e-61b66d2ed8e3">Tier 1</Priority>
  </documentManagement>
</p:properties>
</file>

<file path=customXml/itemProps1.xml><?xml version="1.0" encoding="utf-8"?>
<ds:datastoreItem xmlns:ds="http://schemas.openxmlformats.org/officeDocument/2006/customXml" ds:itemID="{1690A962-ED75-48F3-B55E-D45D3A0C1568}"/>
</file>

<file path=customXml/itemProps2.xml><?xml version="1.0" encoding="utf-8"?>
<ds:datastoreItem xmlns:ds="http://schemas.openxmlformats.org/officeDocument/2006/customXml" ds:itemID="{0DCDFECE-B6DE-4573-AB90-3C44B2C5812B}"/>
</file>

<file path=customXml/itemProps3.xml><?xml version="1.0" encoding="utf-8"?>
<ds:datastoreItem xmlns:ds="http://schemas.openxmlformats.org/officeDocument/2006/customXml" ds:itemID="{DFCC01BF-FB12-450C-9C84-B9B6C03E13EC}"/>
</file>

<file path=customXml/itemProps4.xml><?xml version="1.0" encoding="utf-8"?>
<ds:datastoreItem xmlns:ds="http://schemas.openxmlformats.org/officeDocument/2006/customXml" ds:itemID="{E5198BB2-1949-475B-BD16-2FDCD0F1A56A}"/>
</file>

<file path=docProps/app.xml><?xml version="1.0" encoding="utf-8"?>
<Properties xmlns="http://schemas.openxmlformats.org/officeDocument/2006/extended-properties" xmlns:vt="http://schemas.openxmlformats.org/officeDocument/2006/docPropsVTypes">
  <Template>Normal</Template>
  <TotalTime>6</TotalTime>
  <Pages>2</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Sarah</dc:creator>
  <cp:lastModifiedBy>MARTIN Sarah</cp:lastModifiedBy>
  <cp:revision>4</cp:revision>
  <dcterms:created xsi:type="dcterms:W3CDTF">2015-08-04T18:25:00Z</dcterms:created>
  <dcterms:modified xsi:type="dcterms:W3CDTF">2015-08-04T18:31:00Z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0x010100AD1EDF2100B64E49B1291E2901D21D48</vt:lpwstr>
  </property>
</Properties>
</file>