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8" w:rsidRDefault="006463A8">
      <w:bookmarkStart w:id="0" w:name="_GoBack"/>
      <w:bookmarkEnd w:id="0"/>
    </w:p>
    <w:p w:rsidR="00673F4A" w:rsidRDefault="00673F4A"/>
    <w:tbl>
      <w:tblPr>
        <w:tblW w:w="13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8"/>
        <w:gridCol w:w="990"/>
        <w:gridCol w:w="1080"/>
        <w:gridCol w:w="990"/>
        <w:gridCol w:w="3607"/>
      </w:tblGrid>
      <w:tr w:rsidR="00673F4A" w:rsidTr="00673F4A">
        <w:trPr>
          <w:trHeight w:val="507"/>
        </w:trPr>
        <w:tc>
          <w:tcPr>
            <w:tcW w:w="13705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73F4A" w:rsidRDefault="00673F4A" w:rsidP="00DB2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 Level Self-Assessment for Reading Assessment Plan</w:t>
            </w:r>
          </w:p>
        </w:tc>
      </w:tr>
      <w:tr w:rsidR="00673F4A" w:rsidTr="00673F4A">
        <w:trPr>
          <w:trHeight w:val="507"/>
        </w:trPr>
        <w:tc>
          <w:tcPr>
            <w:tcW w:w="7038" w:type="dxa"/>
            <w:vMerge w:val="restart"/>
            <w:shd w:val="clear" w:color="auto" w:fill="95D6F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73F4A" w:rsidRDefault="00673F4A" w:rsidP="00DB2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Strategies and Actions</w:t>
            </w:r>
          </w:p>
          <w:p w:rsidR="00673F4A" w:rsidRDefault="00673F4A" w:rsidP="00DB2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Recommended to Support Implementation</w:t>
            </w:r>
          </w:p>
          <w:p w:rsidR="00673F4A" w:rsidRDefault="00673F4A" w:rsidP="00DB2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 the School-Level Framework</w:t>
            </w:r>
          </w:p>
        </w:tc>
        <w:tc>
          <w:tcPr>
            <w:tcW w:w="3060" w:type="dxa"/>
            <w:gridSpan w:val="3"/>
            <w:shd w:val="clear" w:color="auto" w:fill="95D6F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73F4A" w:rsidRDefault="00673F4A" w:rsidP="00DB2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 Resources Scoring</w:t>
            </w:r>
          </w:p>
        </w:tc>
        <w:tc>
          <w:tcPr>
            <w:tcW w:w="3607" w:type="dxa"/>
            <w:vMerge w:val="restart"/>
            <w:shd w:val="clear" w:color="auto" w:fill="95D6F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73F4A" w:rsidRDefault="00673F4A" w:rsidP="00DB2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Notes/</w:t>
            </w:r>
          </w:p>
          <w:p w:rsidR="00673F4A" w:rsidRDefault="00673F4A" w:rsidP="00DB2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Time Frame</w:t>
            </w:r>
          </w:p>
        </w:tc>
      </w:tr>
      <w:tr w:rsidR="00673F4A" w:rsidTr="00673F4A">
        <w:trPr>
          <w:trHeight w:val="507"/>
        </w:trPr>
        <w:tc>
          <w:tcPr>
            <w:tcW w:w="7038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73F4A" w:rsidRDefault="00673F4A" w:rsidP="00DB23EB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shd w:val="clear" w:color="auto" w:fill="95D6F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73F4A" w:rsidRDefault="00673F4A" w:rsidP="00DB2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Fully in Place</w:t>
            </w:r>
          </w:p>
          <w:p w:rsidR="00673F4A" w:rsidRDefault="00673F4A" w:rsidP="00DB23E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80" w:type="dxa"/>
            <w:shd w:val="clear" w:color="auto" w:fill="95D6F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73F4A" w:rsidRDefault="00673F4A" w:rsidP="00DB2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Partially in Place</w:t>
            </w:r>
          </w:p>
          <w:p w:rsidR="00673F4A" w:rsidRDefault="00673F4A" w:rsidP="00DB2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90" w:type="dxa"/>
            <w:shd w:val="clear" w:color="auto" w:fill="95D6F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73F4A" w:rsidRDefault="00673F4A" w:rsidP="00DB2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 in Place</w:t>
            </w:r>
          </w:p>
          <w:p w:rsidR="00673F4A" w:rsidRDefault="00673F4A" w:rsidP="00DB23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607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73F4A" w:rsidRDefault="00673F4A" w:rsidP="00DB23EB">
            <w:pPr>
              <w:jc w:val="center"/>
              <w:rPr>
                <w:b/>
                <w:sz w:val="20"/>
              </w:rPr>
            </w:pPr>
          </w:p>
        </w:tc>
      </w:tr>
      <w:tr w:rsidR="00673F4A" w:rsidRPr="00D71468" w:rsidTr="00673F4A">
        <w:tc>
          <w:tcPr>
            <w:tcW w:w="13705" w:type="dxa"/>
            <w:gridSpan w:val="5"/>
            <w:shd w:val="clear" w:color="auto" w:fill="D9D9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73F4A" w:rsidRPr="00D71468" w:rsidRDefault="00673F4A" w:rsidP="00DB23EB">
            <w:pPr>
              <w:pStyle w:val="TablesNormal"/>
              <w:rPr>
                <w:b/>
              </w:rPr>
            </w:pPr>
            <w:r w:rsidRPr="00D71468">
              <w:rPr>
                <w:b/>
              </w:rPr>
              <w:t xml:space="preserve">II. (B) Assessments inform </w:t>
            </w:r>
            <w:r>
              <w:rPr>
                <w:b/>
              </w:rPr>
              <w:t xml:space="preserve">Standards-based </w:t>
            </w:r>
            <w:r w:rsidRPr="00D71468">
              <w:rPr>
                <w:b/>
              </w:rPr>
              <w:t xml:space="preserve">instruction </w:t>
            </w:r>
            <w:r>
              <w:rPr>
                <w:b/>
              </w:rPr>
              <w:t xml:space="preserve">aligned to the CCSS for ELA &amp; Literacy in History/Social Studies, Science, and Technical Subjects </w:t>
            </w:r>
            <w:r w:rsidRPr="00D71468">
              <w:rPr>
                <w:b/>
              </w:rPr>
              <w:t>in important, meaningful, and maintainable ways.</w:t>
            </w:r>
          </w:p>
        </w:tc>
      </w:tr>
      <w:tr w:rsidR="00673F4A" w:rsidTr="00673F4A">
        <w:tc>
          <w:tcPr>
            <w:tcW w:w="703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Pr="00193CB0" w:rsidRDefault="00673F4A" w:rsidP="00DB23EB">
            <w:pPr>
              <w:tabs>
                <w:tab w:val="left" w:pos="360"/>
                <w:tab w:val="left" w:pos="450"/>
                <w:tab w:val="left" w:pos="570"/>
              </w:tabs>
              <w:ind w:left="360" w:hanging="360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1.    </w:t>
            </w:r>
            <w:r w:rsidRPr="00F17060">
              <w:rPr>
                <w:rFonts w:cs="Arial"/>
                <w:sz w:val="18"/>
                <w:szCs w:val="18"/>
              </w:rPr>
              <w:t xml:space="preserve">The first of three </w:t>
            </w:r>
            <w:r w:rsidRPr="00F17060">
              <w:rPr>
                <w:rFonts w:cs="Arial"/>
                <w:b/>
                <w:sz w:val="18"/>
                <w:szCs w:val="18"/>
              </w:rPr>
              <w:t xml:space="preserve">screening </w:t>
            </w:r>
            <w:r w:rsidRPr="00F17060">
              <w:rPr>
                <w:rFonts w:cs="Arial"/>
                <w:sz w:val="18"/>
                <w:szCs w:val="18"/>
              </w:rPr>
              <w:t xml:space="preserve">measures is administered as early in the school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F17060">
              <w:rPr>
                <w:rFonts w:cs="Arial"/>
                <w:sz w:val="18"/>
                <w:szCs w:val="18"/>
              </w:rPr>
              <w:t>year as possible</w:t>
            </w:r>
            <w:r>
              <w:rPr>
                <w:rFonts w:cs="Arial"/>
                <w:sz w:val="18"/>
                <w:szCs w:val="18"/>
              </w:rPr>
              <w:t>,</w:t>
            </w:r>
            <w:r w:rsidRPr="00F17060">
              <w:rPr>
                <w:rFonts w:cs="Arial"/>
                <w:sz w:val="18"/>
                <w:szCs w:val="18"/>
              </w:rPr>
              <w:t xml:space="preserve"> and then periodically throughout the school year</w:t>
            </w:r>
            <w:r>
              <w:rPr>
                <w:rFonts w:cs="Arial"/>
                <w:sz w:val="18"/>
                <w:szCs w:val="18"/>
              </w:rPr>
              <w:t>,</w:t>
            </w:r>
            <w:r w:rsidRPr="00F17060">
              <w:rPr>
                <w:rFonts w:cs="Arial"/>
                <w:sz w:val="18"/>
                <w:szCs w:val="18"/>
              </w:rPr>
              <w:t xml:space="preserve"> to all students in grades K–9 (recommended for grades 10–12 as well) to </w:t>
            </w:r>
          </w:p>
          <w:p w:rsidR="00673F4A" w:rsidRPr="00F17060" w:rsidRDefault="00673F4A" w:rsidP="00673F4A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F17060">
              <w:rPr>
                <w:rFonts w:cs="Arial"/>
                <w:sz w:val="18"/>
                <w:szCs w:val="18"/>
              </w:rPr>
              <w:t xml:space="preserve">Identify each student’s level of reading performance </w:t>
            </w:r>
          </w:p>
          <w:p w:rsidR="00673F4A" w:rsidRPr="00F17060" w:rsidRDefault="00673F4A" w:rsidP="00DB23EB">
            <w:pPr>
              <w:ind w:left="720"/>
              <w:rPr>
                <w:rFonts w:cs="Arial"/>
                <w:sz w:val="18"/>
                <w:szCs w:val="18"/>
              </w:rPr>
            </w:pPr>
            <w:r w:rsidRPr="00F17060">
              <w:rPr>
                <w:rFonts w:cs="Arial"/>
                <w:sz w:val="18"/>
                <w:szCs w:val="18"/>
              </w:rPr>
              <w:t xml:space="preserve">--advanced </w:t>
            </w:r>
          </w:p>
          <w:p w:rsidR="00673F4A" w:rsidRPr="00F17060" w:rsidRDefault="00673F4A" w:rsidP="00DB23EB">
            <w:pPr>
              <w:ind w:left="720"/>
              <w:rPr>
                <w:rFonts w:cs="Arial"/>
                <w:sz w:val="18"/>
                <w:szCs w:val="18"/>
              </w:rPr>
            </w:pPr>
            <w:r w:rsidRPr="00F17060">
              <w:rPr>
                <w:rFonts w:cs="Arial"/>
                <w:sz w:val="18"/>
                <w:szCs w:val="18"/>
              </w:rPr>
              <w:t xml:space="preserve">--grade level </w:t>
            </w:r>
          </w:p>
          <w:p w:rsidR="00673F4A" w:rsidRPr="00F17060" w:rsidRDefault="00673F4A" w:rsidP="00DB23EB">
            <w:pPr>
              <w:ind w:left="720"/>
              <w:rPr>
                <w:rFonts w:cs="Arial"/>
                <w:sz w:val="18"/>
                <w:szCs w:val="18"/>
              </w:rPr>
            </w:pPr>
            <w:r w:rsidRPr="00F17060">
              <w:rPr>
                <w:rFonts w:cs="Arial"/>
                <w:sz w:val="18"/>
                <w:szCs w:val="18"/>
              </w:rPr>
              <w:t>--somewhat below grade level</w:t>
            </w:r>
          </w:p>
          <w:p w:rsidR="00673F4A" w:rsidRPr="00F17060" w:rsidRDefault="00673F4A" w:rsidP="00DB23EB">
            <w:pPr>
              <w:ind w:left="720"/>
              <w:rPr>
                <w:rFonts w:cs="Arial"/>
                <w:sz w:val="18"/>
                <w:szCs w:val="18"/>
              </w:rPr>
            </w:pPr>
            <w:r w:rsidRPr="00F17060">
              <w:rPr>
                <w:rFonts w:cs="Arial"/>
                <w:sz w:val="18"/>
                <w:szCs w:val="18"/>
              </w:rPr>
              <w:t>--significantly below grade level</w:t>
            </w:r>
          </w:p>
          <w:p w:rsidR="00673F4A" w:rsidRPr="00535DAE" w:rsidRDefault="00673F4A" w:rsidP="00673F4A">
            <w:pPr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F17060">
              <w:rPr>
                <w:rFonts w:cs="Arial"/>
                <w:sz w:val="18"/>
                <w:szCs w:val="18"/>
              </w:rPr>
              <w:t xml:space="preserve">Determine each student’s instructional needs. </w:t>
            </w:r>
          </w:p>
          <w:p w:rsidR="00673F4A" w:rsidRPr="00F17060" w:rsidRDefault="00673F4A" w:rsidP="00DB23EB">
            <w:pPr>
              <w:ind w:left="360"/>
              <w:rPr>
                <w:rFonts w:cs="Arial"/>
                <w:sz w:val="20"/>
                <w:szCs w:val="20"/>
              </w:rPr>
            </w:pPr>
            <w:r w:rsidRPr="00F17060">
              <w:rPr>
                <w:rFonts w:cs="Arial"/>
                <w:sz w:val="18"/>
                <w:szCs w:val="18"/>
              </w:rPr>
              <w:t>[</w:t>
            </w:r>
            <w:hyperlink r:id="rId8" w:history="1">
              <w:r w:rsidRPr="00F17060">
                <w:rPr>
                  <w:rStyle w:val="Hyperlink"/>
                  <w:rFonts w:cs="Arial"/>
                  <w:i/>
                  <w:iCs/>
                  <w:sz w:val="18"/>
                  <w:szCs w:val="18"/>
                </w:rPr>
                <w:t>Assessment</w:t>
              </w:r>
            </w:hyperlink>
            <w:r w:rsidRPr="00F17060">
              <w:rPr>
                <w:rFonts w:cs="Arial"/>
                <w:i/>
                <w:iCs/>
                <w:sz w:val="18"/>
                <w:szCs w:val="18"/>
              </w:rPr>
              <w:t>,</w:t>
            </w:r>
            <w:r w:rsidRPr="00F17060">
              <w:rPr>
                <w:rFonts w:cs="Arial"/>
                <w:sz w:val="18"/>
                <w:szCs w:val="18"/>
              </w:rPr>
              <w:t xml:space="preserve"> 4-6]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F17060">
              <w:rPr>
                <w:rFonts w:cs="Arial"/>
                <w:sz w:val="18"/>
                <w:szCs w:val="18"/>
              </w:rPr>
              <w:t>(x2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360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</w:tr>
      <w:tr w:rsidR="00673F4A" w:rsidTr="00673F4A">
        <w:tc>
          <w:tcPr>
            <w:tcW w:w="703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Pr="00206EF8" w:rsidRDefault="00673F4A" w:rsidP="00DB23EB">
            <w:pPr>
              <w:ind w:left="360" w:hanging="360"/>
              <w:rPr>
                <w:rFonts w:cs="Arial"/>
                <w:sz w:val="18"/>
                <w:szCs w:val="18"/>
              </w:rPr>
            </w:pPr>
            <w:r w:rsidRPr="00F17060">
              <w:rPr>
                <w:rFonts w:cs="Arial"/>
                <w:bCs/>
                <w:sz w:val="18"/>
                <w:szCs w:val="18"/>
              </w:rPr>
              <w:t xml:space="preserve">2.    </w:t>
            </w:r>
            <w:r w:rsidRPr="00F17060">
              <w:rPr>
                <w:rFonts w:cs="Arial"/>
                <w:b/>
                <w:bCs/>
                <w:sz w:val="18"/>
                <w:szCs w:val="18"/>
              </w:rPr>
              <w:t>Progress-monitoring</w:t>
            </w:r>
            <w:r w:rsidRPr="00C7333C">
              <w:rPr>
                <w:rFonts w:cs="Arial"/>
                <w:sz w:val="18"/>
                <w:szCs w:val="18"/>
              </w:rPr>
              <w:t xml:space="preserve"> measures are administered to students K-12 who are receiving reading interventions because they are at risk of reading difficulties. Measures are administered 2–4 times per month based upon each student’s level of risk; i.e., frequency is determined by level of risk. [</w:t>
            </w:r>
            <w:hyperlink r:id="rId9" w:history="1">
              <w:r w:rsidRPr="00C7333C">
                <w:rPr>
                  <w:rStyle w:val="Hyperlink"/>
                  <w:rFonts w:cs="Arial"/>
                  <w:i/>
                  <w:iCs/>
                  <w:sz w:val="18"/>
                  <w:szCs w:val="18"/>
                </w:rPr>
                <w:t>Assessment</w:t>
              </w:r>
            </w:hyperlink>
            <w:r w:rsidRPr="00C7333C">
              <w:rPr>
                <w:rFonts w:cs="Arial"/>
                <w:i/>
                <w:iCs/>
                <w:sz w:val="18"/>
                <w:szCs w:val="18"/>
              </w:rPr>
              <w:t>,</w:t>
            </w:r>
            <w:r w:rsidRPr="00C7333C">
              <w:rPr>
                <w:rFonts w:cs="Arial"/>
                <w:sz w:val="18"/>
                <w:szCs w:val="18"/>
              </w:rPr>
              <w:t xml:space="preserve"> 6-8]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360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</w:tr>
      <w:tr w:rsidR="00673F4A" w:rsidTr="00673F4A">
        <w:tc>
          <w:tcPr>
            <w:tcW w:w="703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Pr="008F2BEF" w:rsidRDefault="00673F4A" w:rsidP="00DB23EB">
            <w:pPr>
              <w:tabs>
                <w:tab w:val="left" w:pos="450"/>
              </w:tabs>
              <w:ind w:left="360" w:hanging="36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3.    </w:t>
            </w:r>
            <w:r w:rsidRPr="008F2BEF">
              <w:rPr>
                <w:rFonts w:cs="Arial"/>
                <w:b/>
                <w:bCs/>
                <w:sz w:val="18"/>
                <w:szCs w:val="18"/>
              </w:rPr>
              <w:t>Diagnostic measures</w:t>
            </w:r>
            <w:r w:rsidRPr="008F2BEF">
              <w:rPr>
                <w:rFonts w:cs="Arial"/>
                <w:sz w:val="18"/>
                <w:szCs w:val="18"/>
              </w:rPr>
              <w:t xml:space="preserve"> are used by curriculum specialists, special education teachers, and school psychologists to p</w:t>
            </w:r>
            <w:r>
              <w:rPr>
                <w:rFonts w:cs="Arial"/>
                <w:sz w:val="18"/>
                <w:szCs w:val="18"/>
              </w:rPr>
              <w:t>inpoint the possible cause(s) or</w:t>
            </w:r>
            <w:r w:rsidRPr="008F2BEF">
              <w:rPr>
                <w:rFonts w:cs="Arial"/>
                <w:sz w:val="18"/>
                <w:szCs w:val="18"/>
              </w:rPr>
              <w:t xml:space="preserve"> lack of progress of at-risk students </w:t>
            </w:r>
            <w:r>
              <w:rPr>
                <w:rFonts w:cs="Arial"/>
                <w:sz w:val="18"/>
                <w:szCs w:val="18"/>
              </w:rPr>
              <w:t xml:space="preserve">in order to </w:t>
            </w:r>
            <w:r w:rsidRPr="008F2BEF">
              <w:rPr>
                <w:rFonts w:cs="Arial"/>
                <w:sz w:val="18"/>
                <w:szCs w:val="18"/>
              </w:rPr>
              <w:t>match interventions to students’ specific needs. [</w:t>
            </w:r>
            <w:hyperlink r:id="rId10" w:history="1">
              <w:r w:rsidRPr="008F2BEF">
                <w:rPr>
                  <w:rStyle w:val="Hyperlink"/>
                  <w:rFonts w:cs="Arial"/>
                  <w:i/>
                  <w:iCs/>
                  <w:sz w:val="18"/>
                  <w:szCs w:val="18"/>
                </w:rPr>
                <w:t>Assessment</w:t>
              </w:r>
            </w:hyperlink>
            <w:r w:rsidRPr="008F2BEF">
              <w:rPr>
                <w:rFonts w:cs="Arial"/>
                <w:i/>
                <w:iCs/>
                <w:sz w:val="18"/>
                <w:szCs w:val="18"/>
              </w:rPr>
              <w:t>,</w:t>
            </w:r>
            <w:r w:rsidRPr="008F2BEF">
              <w:rPr>
                <w:rFonts w:cs="Arial"/>
                <w:sz w:val="18"/>
                <w:szCs w:val="18"/>
              </w:rPr>
              <w:t xml:space="preserve"> 10-11]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360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</w:tr>
      <w:tr w:rsidR="00673F4A" w:rsidTr="00673F4A">
        <w:tc>
          <w:tcPr>
            <w:tcW w:w="703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ind w:left="360" w:hanging="36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>S</w:t>
            </w:r>
            <w:r w:rsidRPr="00460ACD">
              <w:rPr>
                <w:sz w:val="18"/>
              </w:rPr>
              <w:t>tudent performance data</w:t>
            </w:r>
            <w:r>
              <w:rPr>
                <w:sz w:val="18"/>
              </w:rPr>
              <w:t xml:space="preserve"> is </w:t>
            </w:r>
          </w:p>
          <w:p w:rsidR="00673F4A" w:rsidRPr="00EF2BB6" w:rsidRDefault="00673F4A" w:rsidP="00673F4A">
            <w:pPr>
              <w:pStyle w:val="TablesNormal"/>
              <w:numPr>
                <w:ilvl w:val="0"/>
                <w:numId w:val="1"/>
              </w:numPr>
              <w:rPr>
                <w:sz w:val="18"/>
              </w:rPr>
            </w:pPr>
            <w:r w:rsidRPr="00EF2BB6">
              <w:rPr>
                <w:sz w:val="18"/>
              </w:rPr>
              <w:t xml:space="preserve">Displayed in meaningful formats </w:t>
            </w:r>
          </w:p>
          <w:p w:rsidR="00673F4A" w:rsidRPr="00EF2BB6" w:rsidRDefault="00673F4A" w:rsidP="00673F4A">
            <w:pPr>
              <w:pStyle w:val="TablesNormal"/>
              <w:numPr>
                <w:ilvl w:val="0"/>
                <w:numId w:val="1"/>
              </w:numPr>
              <w:rPr>
                <w:sz w:val="18"/>
              </w:rPr>
            </w:pPr>
            <w:r w:rsidRPr="00EF2BB6">
              <w:rPr>
                <w:b/>
                <w:sz w:val="18"/>
              </w:rPr>
              <w:t xml:space="preserve">Analyzed </w:t>
            </w:r>
            <w:r w:rsidRPr="00EF2BB6">
              <w:rPr>
                <w:sz w:val="18"/>
              </w:rPr>
              <w:t xml:space="preserve">and summarized </w:t>
            </w:r>
            <w:r w:rsidRPr="00EF2BB6">
              <w:rPr>
                <w:b/>
                <w:sz w:val="18"/>
              </w:rPr>
              <w:t>routinely</w:t>
            </w:r>
            <w:r w:rsidRPr="00EF2BB6">
              <w:rPr>
                <w:sz w:val="18"/>
              </w:rPr>
              <w:t xml:space="preserve"> and in a </w:t>
            </w:r>
            <w:r w:rsidRPr="00EF2BB6">
              <w:rPr>
                <w:b/>
                <w:sz w:val="18"/>
              </w:rPr>
              <w:t>timely manner</w:t>
            </w:r>
          </w:p>
          <w:p w:rsidR="00673F4A" w:rsidRPr="0076477F" w:rsidRDefault="00673F4A" w:rsidP="00DB23EB">
            <w:pPr>
              <w:pStyle w:val="TablesNormal"/>
              <w:ind w:left="360"/>
              <w:rPr>
                <w:i/>
                <w:sz w:val="18"/>
              </w:rPr>
            </w:pPr>
            <w:r>
              <w:rPr>
                <w:sz w:val="18"/>
              </w:rPr>
              <w:t>—so</w:t>
            </w:r>
            <w:r>
              <w:rPr>
                <w:i/>
                <w:sz w:val="18"/>
              </w:rPr>
              <w:t xml:space="preserve"> </w:t>
            </w:r>
            <w:r w:rsidRPr="0076477F">
              <w:rPr>
                <w:sz w:val="18"/>
              </w:rPr>
              <w:t xml:space="preserve">grade- or department-level teams can use them to evaluate and </w:t>
            </w:r>
            <w:r w:rsidRPr="001022EE">
              <w:rPr>
                <w:b/>
                <w:sz w:val="18"/>
              </w:rPr>
              <w:t xml:space="preserve">adjust instruction </w:t>
            </w:r>
            <w:r w:rsidRPr="0076477F">
              <w:rPr>
                <w:sz w:val="18"/>
              </w:rPr>
              <w:t xml:space="preserve">as needed for all students.  </w:t>
            </w:r>
          </w:p>
          <w:p w:rsidR="00673F4A" w:rsidRPr="0076477F" w:rsidRDefault="00673F4A" w:rsidP="00DB23EB">
            <w:pPr>
              <w:pStyle w:val="TablesNormal"/>
              <w:ind w:left="360"/>
              <w:rPr>
                <w:i/>
                <w:sz w:val="18"/>
              </w:rPr>
            </w:pPr>
            <w:r w:rsidRPr="0076477F">
              <w:rPr>
                <w:sz w:val="18"/>
              </w:rPr>
              <w:t>[</w:t>
            </w:r>
            <w:hyperlink r:id="rId11" w:history="1">
              <w:r w:rsidRPr="0076477F">
                <w:rPr>
                  <w:rStyle w:val="Hyperlink"/>
                  <w:i/>
                  <w:sz w:val="18"/>
                </w:rPr>
                <w:t>Assessment</w:t>
              </w:r>
            </w:hyperlink>
            <w:r w:rsidRPr="0076477F">
              <w:rPr>
                <w:i/>
                <w:color w:val="000000"/>
                <w:sz w:val="18"/>
              </w:rPr>
              <w:t>,</w:t>
            </w:r>
            <w:r w:rsidRPr="0076477F">
              <w:rPr>
                <w:color w:val="000000"/>
                <w:sz w:val="18"/>
              </w:rPr>
              <w:t>17</w:t>
            </w:r>
            <w:r w:rsidRPr="0076477F">
              <w:rPr>
                <w:i/>
                <w:color w:val="000000"/>
                <w:sz w:val="18"/>
              </w:rPr>
              <w:t xml:space="preserve">, </w:t>
            </w:r>
            <w:hyperlink r:id="rId12" w:history="1">
              <w:r w:rsidRPr="0076477F">
                <w:rPr>
                  <w:rStyle w:val="Hyperlink"/>
                  <w:i/>
                  <w:sz w:val="18"/>
                </w:rPr>
                <w:t>Commitment</w:t>
              </w:r>
            </w:hyperlink>
            <w:r w:rsidRPr="0076477F">
              <w:rPr>
                <w:i/>
                <w:color w:val="000000"/>
                <w:sz w:val="18"/>
              </w:rPr>
              <w:t xml:space="preserve">, </w:t>
            </w:r>
            <w:r w:rsidRPr="0076477F">
              <w:rPr>
                <w:color w:val="000000"/>
                <w:sz w:val="18"/>
              </w:rPr>
              <w:t>7-8</w:t>
            </w:r>
            <w:r w:rsidRPr="0076477F">
              <w:rPr>
                <w:i/>
                <w:color w:val="000000"/>
                <w:sz w:val="18"/>
              </w:rPr>
              <w:t xml:space="preserve">, </w:t>
            </w:r>
            <w:hyperlink r:id="rId13" w:history="1">
              <w:r w:rsidRPr="0076477F">
                <w:rPr>
                  <w:rStyle w:val="Hyperlink"/>
                  <w:i/>
                  <w:sz w:val="18"/>
                </w:rPr>
                <w:t>Leadership</w:t>
              </w:r>
            </w:hyperlink>
            <w:r w:rsidRPr="0076477F">
              <w:rPr>
                <w:i/>
                <w:color w:val="000000"/>
                <w:sz w:val="18"/>
              </w:rPr>
              <w:t xml:space="preserve">, </w:t>
            </w:r>
            <w:r w:rsidRPr="0076477F">
              <w:rPr>
                <w:color w:val="000000"/>
                <w:sz w:val="18"/>
              </w:rPr>
              <w:t>12-17]</w:t>
            </w:r>
            <w:r w:rsidRPr="0076477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76477F">
              <w:rPr>
                <w:sz w:val="18"/>
              </w:rPr>
              <w:t>(x2)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360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</w:tr>
      <w:tr w:rsidR="00673F4A" w:rsidTr="00673F4A">
        <w:tc>
          <w:tcPr>
            <w:tcW w:w="703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ind w:left="360" w:hanging="36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</w:r>
            <w:r w:rsidRPr="001777DD">
              <w:rPr>
                <w:b/>
                <w:sz w:val="18"/>
              </w:rPr>
              <w:t>Grade- or department-level teams</w:t>
            </w:r>
            <w:r w:rsidRPr="00460ACD">
              <w:rPr>
                <w:sz w:val="18"/>
              </w:rPr>
              <w:t xml:space="preserve"> </w:t>
            </w:r>
          </w:p>
          <w:p w:rsidR="00673F4A" w:rsidRDefault="00673F4A" w:rsidP="00673F4A">
            <w:pPr>
              <w:pStyle w:val="TablesNormal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A</w:t>
            </w:r>
            <w:r w:rsidRPr="00460ACD">
              <w:rPr>
                <w:sz w:val="18"/>
              </w:rPr>
              <w:t xml:space="preserve">nalyze the </w:t>
            </w:r>
            <w:r w:rsidRPr="00E939FD">
              <w:rPr>
                <w:sz w:val="18"/>
              </w:rPr>
              <w:t>reading and language</w:t>
            </w:r>
            <w:r w:rsidRPr="00460ACD">
              <w:rPr>
                <w:sz w:val="18"/>
              </w:rPr>
              <w:t xml:space="preserve"> performance of </w:t>
            </w:r>
            <w:r w:rsidRPr="007E7970">
              <w:rPr>
                <w:i/>
                <w:sz w:val="18"/>
              </w:rPr>
              <w:t>all</w:t>
            </w:r>
            <w:r w:rsidRPr="00460ACD">
              <w:rPr>
                <w:sz w:val="18"/>
              </w:rPr>
              <w:t xml:space="preserve"> students, including </w:t>
            </w:r>
            <w:r w:rsidRPr="00E939FD">
              <w:rPr>
                <w:b/>
                <w:sz w:val="18"/>
              </w:rPr>
              <w:t>English learners</w:t>
            </w:r>
            <w:r w:rsidRPr="00460ACD">
              <w:rPr>
                <w:sz w:val="18"/>
              </w:rPr>
              <w:t xml:space="preserve"> and </w:t>
            </w:r>
            <w:r w:rsidRPr="00E939FD">
              <w:rPr>
                <w:b/>
                <w:sz w:val="18"/>
              </w:rPr>
              <w:t>students with disabilities</w:t>
            </w:r>
          </w:p>
          <w:p w:rsidR="00673F4A" w:rsidRDefault="00673F4A" w:rsidP="00673F4A">
            <w:pPr>
              <w:pStyle w:val="TablesNormal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Create i</w:t>
            </w:r>
            <w:r w:rsidRPr="00460ACD">
              <w:rPr>
                <w:sz w:val="18"/>
              </w:rPr>
              <w:t xml:space="preserve">nstructional plans based on performance data. </w:t>
            </w:r>
          </w:p>
          <w:p w:rsidR="00673F4A" w:rsidRPr="00460ACD" w:rsidRDefault="00673F4A" w:rsidP="00DB23EB">
            <w:pPr>
              <w:pStyle w:val="TablesNormal"/>
              <w:ind w:left="360"/>
              <w:rPr>
                <w:sz w:val="18"/>
              </w:rPr>
            </w:pPr>
            <w:r>
              <w:rPr>
                <w:sz w:val="18"/>
              </w:rPr>
              <w:t>[</w:t>
            </w:r>
            <w:hyperlink r:id="rId14" w:history="1">
              <w:r w:rsidRPr="00C83C2B">
                <w:rPr>
                  <w:rStyle w:val="Hyperlink"/>
                  <w:i/>
                  <w:sz w:val="18"/>
                </w:rPr>
                <w:t>Instruction</w:t>
              </w:r>
              <w:r w:rsidRPr="00C83C2B">
                <w:rPr>
                  <w:rStyle w:val="Hyperlink"/>
                  <w:sz w:val="18"/>
                </w:rPr>
                <w:t>,</w:t>
              </w:r>
            </w:hyperlink>
            <w:r>
              <w:rPr>
                <w:sz w:val="18"/>
              </w:rPr>
              <w:t xml:space="preserve">37-41, </w:t>
            </w:r>
            <w:hyperlink r:id="rId15" w:history="1">
              <w:r w:rsidRPr="00F3191B">
                <w:rPr>
                  <w:rStyle w:val="Hyperlink"/>
                  <w:i/>
                  <w:sz w:val="18"/>
                </w:rPr>
                <w:t>Leadership</w:t>
              </w:r>
            </w:hyperlink>
            <w:r>
              <w:rPr>
                <w:i/>
                <w:color w:val="000000"/>
                <w:sz w:val="18"/>
              </w:rPr>
              <w:t xml:space="preserve">, </w:t>
            </w:r>
            <w:r w:rsidRPr="0072190F">
              <w:rPr>
                <w:color w:val="000000"/>
                <w:sz w:val="18"/>
              </w:rPr>
              <w:t>12-17</w:t>
            </w:r>
            <w:r>
              <w:rPr>
                <w:color w:val="000000"/>
                <w:sz w:val="18"/>
              </w:rPr>
              <w:t xml:space="preserve">; </w:t>
            </w:r>
            <w:hyperlink r:id="rId16" w:history="1">
              <w:r w:rsidRPr="00011E0D">
                <w:rPr>
                  <w:rStyle w:val="Hyperlink"/>
                  <w:sz w:val="18"/>
                </w:rPr>
                <w:t xml:space="preserve">Application </w:t>
              </w:r>
              <w:r>
                <w:rPr>
                  <w:rStyle w:val="Hyperlink"/>
                  <w:sz w:val="18"/>
                </w:rPr>
                <w:t xml:space="preserve">of CCSS </w:t>
              </w:r>
              <w:r w:rsidRPr="00011E0D">
                <w:rPr>
                  <w:rStyle w:val="Hyperlink"/>
                  <w:sz w:val="18"/>
                </w:rPr>
                <w:t>for English Language Learners</w:t>
              </w:r>
            </w:hyperlink>
            <w:r>
              <w:rPr>
                <w:sz w:val="18"/>
              </w:rPr>
              <w:t xml:space="preserve">;  </w:t>
            </w:r>
            <w:hyperlink r:id="rId17" w:history="1">
              <w:r w:rsidRPr="005A5375">
                <w:rPr>
                  <w:rStyle w:val="Hyperlink"/>
                  <w:sz w:val="18"/>
                </w:rPr>
                <w:t>Application of CCSS for Students  with Disabilities</w:t>
              </w:r>
            </w:hyperlink>
            <w:r>
              <w:rPr>
                <w:sz w:val="18"/>
              </w:rPr>
              <w:t xml:space="preserve"> </w:t>
            </w:r>
            <w:r w:rsidRPr="007E7970">
              <w:rPr>
                <w:color w:val="000000"/>
                <w:sz w:val="18"/>
              </w:rPr>
              <w:t>]</w:t>
            </w:r>
            <w:r w:rsidRPr="00460AC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460ACD">
              <w:rPr>
                <w:sz w:val="18"/>
              </w:rPr>
              <w:t>(x2)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360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</w:tr>
      <w:tr w:rsidR="00673F4A" w:rsidTr="00673F4A">
        <w:tc>
          <w:tcPr>
            <w:tcW w:w="7038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Pr="00460ACD" w:rsidRDefault="00673F4A" w:rsidP="00DB23EB">
            <w:pPr>
              <w:pStyle w:val="TablesNormal"/>
              <w:ind w:left="360" w:hanging="36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  <w:t xml:space="preserve">Summative data is for </w:t>
            </w:r>
            <w:r w:rsidRPr="003C1C05">
              <w:rPr>
                <w:b/>
                <w:sz w:val="18"/>
              </w:rPr>
              <w:t>decision-making</w:t>
            </w:r>
            <w:r w:rsidRPr="00460ACD">
              <w:rPr>
                <w:sz w:val="18"/>
              </w:rPr>
              <w:t xml:space="preserve"> at individual, group, and system levels at all grade levels K–12. [</w:t>
            </w:r>
            <w:hyperlink r:id="rId18" w:history="1">
              <w:r w:rsidRPr="00C83C2B">
                <w:rPr>
                  <w:rStyle w:val="Hyperlink"/>
                  <w:i/>
                  <w:sz w:val="18"/>
                </w:rPr>
                <w:t>Assessment</w:t>
              </w:r>
            </w:hyperlink>
            <w:r w:rsidRPr="00460ACD">
              <w:rPr>
                <w:i/>
                <w:color w:val="000000"/>
                <w:sz w:val="18"/>
              </w:rPr>
              <w:t>,</w:t>
            </w:r>
            <w:r w:rsidRPr="007E7970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9-10, 14-18 </w:t>
            </w:r>
            <w:r w:rsidRPr="00460ACD">
              <w:rPr>
                <w:sz w:val="18"/>
              </w:rPr>
              <w:t>] (x2)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  <w:tc>
          <w:tcPr>
            <w:tcW w:w="3607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3F4A" w:rsidRDefault="00673F4A" w:rsidP="00DB23EB">
            <w:pPr>
              <w:pStyle w:val="TablesNormal"/>
              <w:rPr>
                <w:sz w:val="18"/>
              </w:rPr>
            </w:pPr>
          </w:p>
        </w:tc>
      </w:tr>
    </w:tbl>
    <w:p w:rsidR="00673F4A" w:rsidRPr="00673F4A" w:rsidRDefault="00673F4A">
      <w:pPr>
        <w:rPr>
          <w:sz w:val="18"/>
          <w:szCs w:val="18"/>
        </w:rPr>
      </w:pPr>
      <w:r w:rsidRPr="00673F4A">
        <w:rPr>
          <w:sz w:val="18"/>
          <w:szCs w:val="18"/>
        </w:rPr>
        <w:t xml:space="preserve">You can access the full School and District Self-Assessment Tools at </w:t>
      </w:r>
      <w:hyperlink r:id="rId19" w:history="1">
        <w:r w:rsidRPr="00673F4A">
          <w:rPr>
            <w:rStyle w:val="Hyperlink"/>
            <w:sz w:val="18"/>
            <w:szCs w:val="18"/>
          </w:rPr>
          <w:t>http://www.ode.state.or.us/search/page/?id=3388</w:t>
        </w:r>
      </w:hyperlink>
      <w:r w:rsidRPr="00673F4A">
        <w:rPr>
          <w:sz w:val="18"/>
          <w:szCs w:val="18"/>
        </w:rPr>
        <w:t xml:space="preserve"> Select School Reading Tool from the menu to the right.</w:t>
      </w:r>
    </w:p>
    <w:sectPr w:rsidR="00673F4A" w:rsidRPr="00673F4A" w:rsidSect="00673F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5B1"/>
    <w:multiLevelType w:val="multilevel"/>
    <w:tmpl w:val="77BA94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F6A8B"/>
    <w:multiLevelType w:val="hybridMultilevel"/>
    <w:tmpl w:val="479A6B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915D0"/>
    <w:multiLevelType w:val="hybridMultilevel"/>
    <w:tmpl w:val="FA4AA1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4A"/>
    <w:rsid w:val="000842E1"/>
    <w:rsid w:val="006463A8"/>
    <w:rsid w:val="00673F4A"/>
    <w:rsid w:val="00817FC6"/>
    <w:rsid w:val="00A86EE8"/>
    <w:rsid w:val="00BB190F"/>
    <w:rsid w:val="00DB23EB"/>
    <w:rsid w:val="00D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B8B665-E204-40C1-B0BB-120270E6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F4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3F4A"/>
    <w:rPr>
      <w:color w:val="0000FF"/>
      <w:u w:val="single"/>
    </w:rPr>
  </w:style>
  <w:style w:type="paragraph" w:customStyle="1" w:styleId="TablesNormal">
    <w:name w:val="*Tables Normal"/>
    <w:basedOn w:val="Normal"/>
    <w:qFormat/>
    <w:rsid w:val="00673F4A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e.state.or.us/teachlearn/subjects/elarts/reading/literacy/chapter-2-assessment.pdf" TargetMode="External"/><Relationship Id="rId13" Type="http://schemas.openxmlformats.org/officeDocument/2006/relationships/hyperlink" Target="http://www.ode.state.or.us/teachlearn/subjects/elarts/reading/literacy/chapter-4-leadership.pdf" TargetMode="External"/><Relationship Id="rId18" Type="http://schemas.openxmlformats.org/officeDocument/2006/relationships/hyperlink" Target="http://www.ode.state.or.us/teachlearn/subjects/elarts/reading/literacy/chapter-2-assessment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ode.state.or.us/teachlearn/subjects/elarts/reading/literacy/chapter-6-commitment.pdf" TargetMode="External"/><Relationship Id="rId17" Type="http://schemas.openxmlformats.org/officeDocument/2006/relationships/hyperlink" Target="http://www.corestandards.org/assets/application-to-students-with-disabilitie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restandards.org/assets/application-for-english-learner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de.state.or.us/teachlearn/subjects/elarts/reading/literacy/chapter-2-assessment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ode.state.or.us/teachlearn/subjects/elarts/reading/literacy/chapter-4-leadership.pdf" TargetMode="External"/><Relationship Id="rId10" Type="http://schemas.openxmlformats.org/officeDocument/2006/relationships/hyperlink" Target="http://www.ode.state.or.us/teachlearn/subjects/elarts/reading/literacy/chapter-2-assessment.pdf" TargetMode="External"/><Relationship Id="rId19" Type="http://schemas.openxmlformats.org/officeDocument/2006/relationships/hyperlink" Target="http://www.ode.state.or.us/search/page/?id=338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ode.state.or.us/teachlearn/subjects/elarts/reading/literacy/chapter-2-assessment.pdf" TargetMode="External"/><Relationship Id="rId14" Type="http://schemas.openxmlformats.org/officeDocument/2006/relationships/hyperlink" Target="http://www.ode.state.or.us/teachlearn/subjects/elarts/reading/literacy/chapter-3-instruc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EBD80F6EFF343A082A1AF9D939F5E" ma:contentTypeVersion="7" ma:contentTypeDescription="Create a new document." ma:contentTypeScope="" ma:versionID="a93e56043d4ffc9d723a8d24e36804c0">
  <xsd:schema xmlns:xsd="http://www.w3.org/2001/XMLSchema" xmlns:xs="http://www.w3.org/2001/XMLSchema" xmlns:p="http://schemas.microsoft.com/office/2006/metadata/properties" xmlns:ns1="http://schemas.microsoft.com/sharepoint/v3" xmlns:ns2="ade45190-58ad-4205-9511-327de626788e" xmlns:ns3="54031767-dd6d-417c-ab73-583408f47564" targetNamespace="http://schemas.microsoft.com/office/2006/metadata/properties" ma:root="true" ma:fieldsID="4d0e905daf0fcf89a2dfe5f2d35fb5ab" ns1:_="" ns2:_="" ns3:_="">
    <xsd:import namespace="http://schemas.microsoft.com/sharepoint/v3"/>
    <xsd:import namespace="ade45190-58ad-4205-9511-327de626788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45190-58ad-4205-9511-327de626788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ade45190-58ad-4205-9511-327de626788e" xsi:nil="true"/>
    <Remediation_x0020_Date xmlns="ade45190-58ad-4205-9511-327de626788e">2019-04-22T07:00:00+00:00</Remediation_x0020_Date>
    <Priority xmlns="ade45190-58ad-4205-9511-327de626788e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C8E39-905B-432D-82B0-DF5CD2FA6220}"/>
</file>

<file path=customXml/itemProps2.xml><?xml version="1.0" encoding="utf-8"?>
<ds:datastoreItem xmlns:ds="http://schemas.openxmlformats.org/officeDocument/2006/customXml" ds:itemID="{24B8071B-B51F-44BC-B29A-FA7742596712}"/>
</file>

<file path=customXml/itemProps3.xml><?xml version="1.0" encoding="utf-8"?>
<ds:datastoreItem xmlns:ds="http://schemas.openxmlformats.org/officeDocument/2006/customXml" ds:itemID="{1CB7305C-3B82-46B4-8098-4903A20C2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3732</CharactersWithSpaces>
  <SharedDoc>false</SharedDoc>
  <HLinks>
    <vt:vector size="72" baseType="variant">
      <vt:variant>
        <vt:i4>7209020</vt:i4>
      </vt:variant>
      <vt:variant>
        <vt:i4>33</vt:i4>
      </vt:variant>
      <vt:variant>
        <vt:i4>0</vt:i4>
      </vt:variant>
      <vt:variant>
        <vt:i4>5</vt:i4>
      </vt:variant>
      <vt:variant>
        <vt:lpwstr>http://www.ode.state.or.us/search/page/?id=3388</vt:lpwstr>
      </vt:variant>
      <vt:variant>
        <vt:lpwstr/>
      </vt:variant>
      <vt:variant>
        <vt:i4>3866745</vt:i4>
      </vt:variant>
      <vt:variant>
        <vt:i4>30</vt:i4>
      </vt:variant>
      <vt:variant>
        <vt:i4>0</vt:i4>
      </vt:variant>
      <vt:variant>
        <vt:i4>5</vt:i4>
      </vt:variant>
      <vt:variant>
        <vt:lpwstr>http://www.ode.state.or.us/teachlearn/subjects/elarts/reading/literacy/chapter-2-assessment.pdf</vt:lpwstr>
      </vt:variant>
      <vt:variant>
        <vt:lpwstr/>
      </vt:variant>
      <vt:variant>
        <vt:i4>5439573</vt:i4>
      </vt:variant>
      <vt:variant>
        <vt:i4>27</vt:i4>
      </vt:variant>
      <vt:variant>
        <vt:i4>0</vt:i4>
      </vt:variant>
      <vt:variant>
        <vt:i4>5</vt:i4>
      </vt:variant>
      <vt:variant>
        <vt:lpwstr>http://www.corestandards.org/assets/application-to-students-with-disabilities.pdf</vt:lpwstr>
      </vt:variant>
      <vt:variant>
        <vt:lpwstr/>
      </vt:variant>
      <vt:variant>
        <vt:i4>4980737</vt:i4>
      </vt:variant>
      <vt:variant>
        <vt:i4>24</vt:i4>
      </vt:variant>
      <vt:variant>
        <vt:i4>0</vt:i4>
      </vt:variant>
      <vt:variant>
        <vt:i4>5</vt:i4>
      </vt:variant>
      <vt:variant>
        <vt:lpwstr>http://www.corestandards.org/assets/application-for-english-learners.pdf</vt:lpwstr>
      </vt:variant>
      <vt:variant>
        <vt:lpwstr/>
      </vt:variant>
      <vt:variant>
        <vt:i4>2949222</vt:i4>
      </vt:variant>
      <vt:variant>
        <vt:i4>21</vt:i4>
      </vt:variant>
      <vt:variant>
        <vt:i4>0</vt:i4>
      </vt:variant>
      <vt:variant>
        <vt:i4>5</vt:i4>
      </vt:variant>
      <vt:variant>
        <vt:lpwstr>http://www.ode.state.or.us/teachlearn/subjects/elarts/reading/literacy/chapter-4-leadership.pdf</vt:lpwstr>
      </vt:variant>
      <vt:variant>
        <vt:lpwstr/>
      </vt:variant>
      <vt:variant>
        <vt:i4>524355</vt:i4>
      </vt:variant>
      <vt:variant>
        <vt:i4>18</vt:i4>
      </vt:variant>
      <vt:variant>
        <vt:i4>0</vt:i4>
      </vt:variant>
      <vt:variant>
        <vt:i4>5</vt:i4>
      </vt:variant>
      <vt:variant>
        <vt:lpwstr>http://www.ode.state.or.us/teachlearn/subjects/elarts/reading/literacy/chapter-3-instruction.pdf</vt:lpwstr>
      </vt:variant>
      <vt:variant>
        <vt:lpwstr/>
      </vt:variant>
      <vt:variant>
        <vt:i4>2949222</vt:i4>
      </vt:variant>
      <vt:variant>
        <vt:i4>15</vt:i4>
      </vt:variant>
      <vt:variant>
        <vt:i4>0</vt:i4>
      </vt:variant>
      <vt:variant>
        <vt:i4>5</vt:i4>
      </vt:variant>
      <vt:variant>
        <vt:lpwstr>http://www.ode.state.or.us/teachlearn/subjects/elarts/reading/literacy/chapter-4-leadership.pdf</vt:lpwstr>
      </vt:variant>
      <vt:variant>
        <vt:lpwstr/>
      </vt:variant>
      <vt:variant>
        <vt:i4>3735658</vt:i4>
      </vt:variant>
      <vt:variant>
        <vt:i4>12</vt:i4>
      </vt:variant>
      <vt:variant>
        <vt:i4>0</vt:i4>
      </vt:variant>
      <vt:variant>
        <vt:i4>5</vt:i4>
      </vt:variant>
      <vt:variant>
        <vt:lpwstr>http://www.ode.state.or.us/teachlearn/subjects/elarts/reading/literacy/chapter-6-commitment.pdf</vt:lpwstr>
      </vt:variant>
      <vt:variant>
        <vt:lpwstr/>
      </vt:variant>
      <vt:variant>
        <vt:i4>3866745</vt:i4>
      </vt:variant>
      <vt:variant>
        <vt:i4>9</vt:i4>
      </vt:variant>
      <vt:variant>
        <vt:i4>0</vt:i4>
      </vt:variant>
      <vt:variant>
        <vt:i4>5</vt:i4>
      </vt:variant>
      <vt:variant>
        <vt:lpwstr>http://www.ode.state.or.us/teachlearn/subjects/elarts/reading/literacy/chapter-2-assessment.pdf</vt:lpwstr>
      </vt:variant>
      <vt:variant>
        <vt:lpwstr/>
      </vt:variant>
      <vt:variant>
        <vt:i4>3866745</vt:i4>
      </vt:variant>
      <vt:variant>
        <vt:i4>6</vt:i4>
      </vt:variant>
      <vt:variant>
        <vt:i4>0</vt:i4>
      </vt:variant>
      <vt:variant>
        <vt:i4>5</vt:i4>
      </vt:variant>
      <vt:variant>
        <vt:lpwstr>http://www.ode.state.or.us/teachlearn/subjects/elarts/reading/literacy/chapter-2-assessment.pdf</vt:lpwstr>
      </vt:variant>
      <vt:variant>
        <vt:lpwstr/>
      </vt:variant>
      <vt:variant>
        <vt:i4>3866745</vt:i4>
      </vt:variant>
      <vt:variant>
        <vt:i4>3</vt:i4>
      </vt:variant>
      <vt:variant>
        <vt:i4>0</vt:i4>
      </vt:variant>
      <vt:variant>
        <vt:i4>5</vt:i4>
      </vt:variant>
      <vt:variant>
        <vt:lpwstr>http://www.ode.state.or.us/teachlearn/subjects/elarts/reading/literacy/chapter-2-assessment.pdf</vt:lpwstr>
      </vt:variant>
      <vt:variant>
        <vt:lpwstr/>
      </vt:variant>
      <vt:variant>
        <vt:i4>3866745</vt:i4>
      </vt:variant>
      <vt:variant>
        <vt:i4>0</vt:i4>
      </vt:variant>
      <vt:variant>
        <vt:i4>0</vt:i4>
      </vt:variant>
      <vt:variant>
        <vt:i4>5</vt:i4>
      </vt:variant>
      <vt:variant>
        <vt:lpwstr>http://www.ode.state.or.us/teachlearn/subjects/elarts/reading/literacy/chapter-2-assessment.pdf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Wolfe</dc:creator>
  <cp:keywords/>
  <dc:description/>
  <cp:lastModifiedBy>ASPENGREN Kirsten - ODE</cp:lastModifiedBy>
  <cp:revision>2</cp:revision>
  <dcterms:created xsi:type="dcterms:W3CDTF">2019-04-17T20:14:00Z</dcterms:created>
  <dcterms:modified xsi:type="dcterms:W3CDTF">2019-04-17T20:14:00Z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0x01010096DEBD80F6EFF343A082A1AF9D939F5E</vt:lpwstr>
  </property>
</Properties>
</file>