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BCB" w:rsidRPr="00FC2BC1" w:rsidRDefault="00C02BCB" w:rsidP="00FC2BC1">
      <w:pPr>
        <w:pStyle w:val="Heading1"/>
      </w:pPr>
      <w:bookmarkStart w:id="0" w:name="_GoBack"/>
      <w:bookmarkEnd w:id="0"/>
      <w:r w:rsidRPr="00FC2BC1">
        <w:t>Background</w:t>
      </w:r>
    </w:p>
    <w:p w:rsidR="00C02BCB" w:rsidRDefault="00C02BCB" w:rsidP="009716E2">
      <w:pPr>
        <w:ind w:left="-270"/>
      </w:pPr>
      <w:r>
        <w:t xml:space="preserve">The Oregon Math Project represents many initiatives currently occurring in Oregon to increase the number of </w:t>
      </w:r>
      <w:proofErr w:type="gramStart"/>
      <w:r>
        <w:t>students</w:t>
      </w:r>
      <w:proofErr w:type="gramEnd"/>
      <w:r>
        <w:t xml:space="preserve"> on-track to meet graduation requirements and provide more opportunities for students to learn and apply mathematics that will prepare them for the next phase of their mathematical journey.</w:t>
      </w:r>
    </w:p>
    <w:p w:rsidR="009716E2" w:rsidRDefault="009716E2" w:rsidP="009716E2">
      <w:pPr>
        <w:ind w:left="-270"/>
      </w:pPr>
    </w:p>
    <w:p w:rsidR="00FC2BC1" w:rsidRDefault="00C02BCB" w:rsidP="00FC2BC1">
      <w:pPr>
        <w:ind w:left="-270"/>
      </w:pPr>
      <w:r>
        <w:t xml:space="preserve">The </w:t>
      </w:r>
      <w:r w:rsidRPr="008B5447">
        <w:rPr>
          <w:b/>
        </w:rPr>
        <w:t>Oregon Mathways Initiative</w:t>
      </w:r>
      <w:r w:rsidRPr="006767B5">
        <w:t xml:space="preserve"> is</w:t>
      </w:r>
      <w:r>
        <w:t xml:space="preserve"> focused on (1) refining and disseminating</w:t>
      </w:r>
      <w:r w:rsidRPr="00E84A39">
        <w:t xml:space="preserve"> best pedagogical</w:t>
      </w:r>
      <w:r>
        <w:t xml:space="preserve"> practices in secondary classrooms, (2) identifying focus content needed </w:t>
      </w:r>
      <w:proofErr w:type="gramStart"/>
      <w:r>
        <w:t>for all</w:t>
      </w:r>
      <w:proofErr w:type="gramEnd"/>
      <w:r>
        <w:t xml:space="preserve"> students to connect K-8 to postsecondary expectations, and (3) create pathway options for students to specialize in content aligned to their personal goals.  Initial work on Mathways Initiative includes identifying the vision and objectives, logic model, and theory of action </w:t>
      </w:r>
      <w:proofErr w:type="gramStart"/>
      <w:r>
        <w:t>are found</w:t>
      </w:r>
      <w:proofErr w:type="gramEnd"/>
      <w:r>
        <w:t xml:space="preserve"> on the </w:t>
      </w:r>
      <w:hyperlink r:id="rId7" w:history="1">
        <w:r w:rsidRPr="00B433CA">
          <w:rPr>
            <w:rStyle w:val="Hyperlink"/>
          </w:rPr>
          <w:t>Oregon Math Project website</w:t>
        </w:r>
      </w:hyperlink>
      <w:r>
        <w:t>.</w:t>
      </w:r>
    </w:p>
    <w:p w:rsidR="00C02BCB" w:rsidRPr="00FC2BC1" w:rsidRDefault="00C02BCB" w:rsidP="00FC2BC1">
      <w:pPr>
        <w:pStyle w:val="Heading2"/>
      </w:pPr>
      <w:r w:rsidRPr="00FC2BC1">
        <w:t>2+1 Model</w:t>
      </w:r>
    </w:p>
    <w:p w:rsidR="00C02BCB" w:rsidRDefault="00C02BCB" w:rsidP="009716E2">
      <w:pPr>
        <w:ind w:left="-270"/>
      </w:pPr>
      <w:r>
        <w:t xml:space="preserve">The </w:t>
      </w:r>
      <w:r w:rsidRPr="008B5447">
        <w:rPr>
          <w:b/>
        </w:rPr>
        <w:t xml:space="preserve">2+1 </w:t>
      </w:r>
      <w:r>
        <w:rPr>
          <w:b/>
        </w:rPr>
        <w:t xml:space="preserve">Course </w:t>
      </w:r>
      <w:r w:rsidRPr="008B5447">
        <w:rPr>
          <w:b/>
        </w:rPr>
        <w:t>Model</w:t>
      </w:r>
      <w:r>
        <w:t xml:space="preserve"> </w:t>
      </w:r>
      <w:r w:rsidRPr="006E31CB">
        <w:t>for high school mathematics breaks from the tradition of a single sequence of high school math courses to a two-credit core of high school mathematics followed by at least one credit of high school math that addresses stud</w:t>
      </w:r>
      <w:r>
        <w:t>ent interests and aspirations.</w:t>
      </w:r>
    </w:p>
    <w:p w:rsidR="00C02BCB" w:rsidRDefault="00C02BCB" w:rsidP="009716E2">
      <w:pPr>
        <w:ind w:left="-270"/>
      </w:pPr>
    </w:p>
    <w:p w:rsidR="00C02BCB" w:rsidRPr="006E31CB" w:rsidRDefault="00C02BCB" w:rsidP="009716E2">
      <w:pPr>
        <w:ind w:left="-270"/>
      </w:pPr>
      <w:r>
        <w:t xml:space="preserve">Part of this work is to identify focus content for all students.  Work on the focus content started in spring 2018 when the </w:t>
      </w:r>
      <w:r w:rsidRPr="006E31CB">
        <w:t xml:space="preserve">Oregon Department of Education (ODE) hosted a series of regional conversations across the </w:t>
      </w:r>
      <w:r>
        <w:t>S</w:t>
      </w:r>
      <w:r w:rsidRPr="006E31CB">
        <w:t>tate</w:t>
      </w:r>
      <w:r>
        <w:t xml:space="preserve">.  </w:t>
      </w:r>
      <w:r w:rsidRPr="006E31CB">
        <w:t xml:space="preserve"> </w:t>
      </w:r>
      <w:r>
        <w:t xml:space="preserve">The conversations </w:t>
      </w:r>
      <w:proofErr w:type="gramStart"/>
      <w:r>
        <w:t>were designed</w:t>
      </w:r>
      <w:proofErr w:type="gramEnd"/>
      <w:r>
        <w:t xml:space="preserve"> to</w:t>
      </w:r>
      <w:r w:rsidRPr="006E31CB">
        <w:t xml:space="preserve"> raise awareness of the Oregon Mathways project, and begin the process of identifying the common content expectations in mathematics for all Oregon graduates</w:t>
      </w:r>
      <w:r>
        <w:t xml:space="preserve">.   Activities and resources used for these focus group conversations </w:t>
      </w:r>
      <w:proofErr w:type="gramStart"/>
      <w:r>
        <w:t>can be found</w:t>
      </w:r>
      <w:proofErr w:type="gramEnd"/>
      <w:r>
        <w:t xml:space="preserve"> within the </w:t>
      </w:r>
      <w:hyperlink r:id="rId8" w:history="1">
        <w:r w:rsidRPr="008B5447">
          <w:rPr>
            <w:rStyle w:val="Hyperlink"/>
          </w:rPr>
          <w:t>Finding Focus Toolkit</w:t>
        </w:r>
      </w:hyperlink>
      <w:r>
        <w:t xml:space="preserve"> on the ODE website. </w:t>
      </w:r>
    </w:p>
    <w:p w:rsidR="00A005FE" w:rsidRPr="00A92B18" w:rsidRDefault="00C02BCB" w:rsidP="00FC2BC1">
      <w:pPr>
        <w:pStyle w:val="Heading2"/>
      </w:pPr>
      <w:r w:rsidRPr="00A92B18">
        <w:t xml:space="preserve">NCTM Essential </w:t>
      </w:r>
      <w:r w:rsidR="00AE528A" w:rsidRPr="00A92B18">
        <w:t>Concepts</w:t>
      </w:r>
      <w:r w:rsidR="00A51843" w:rsidRPr="00A92B18">
        <w:t xml:space="preserve"> and Connection to Oregon Standards</w:t>
      </w:r>
    </w:p>
    <w:p w:rsidR="002D3790" w:rsidRDefault="00A005FE" w:rsidP="009716E2">
      <w:pPr>
        <w:ind w:left="-270"/>
      </w:pPr>
      <w:r w:rsidRPr="00A005FE">
        <w:t xml:space="preserve">The following describes the worksheets in this file </w:t>
      </w:r>
      <w:r>
        <w:t>identify the</w:t>
      </w:r>
      <w:r w:rsidRPr="00A005FE">
        <w:t xml:space="preserve"> Essential Concepts presented in NCTM's Catalyzing Change in Hi</w:t>
      </w:r>
      <w:r>
        <w:t>gh School Mathematics document.  The intent of the Essential Skills is not necessarily identify course standards, but rather help in the organization of content and curriculum around essential concepts in Number, Algebra &amp; Functions, Statistics &amp; Probability, and Geometry &amp; Measurement.</w:t>
      </w:r>
      <w:r w:rsidR="002D3790">
        <w:t xml:space="preserve"> </w:t>
      </w:r>
    </w:p>
    <w:p w:rsidR="002D3790" w:rsidRDefault="002D3790" w:rsidP="009716E2">
      <w:pPr>
        <w:ind w:left="-270"/>
      </w:pPr>
    </w:p>
    <w:p w:rsidR="00A005FE" w:rsidRDefault="00A005FE" w:rsidP="009716E2">
      <w:pPr>
        <w:ind w:left="-270"/>
      </w:pPr>
      <w:r>
        <w:t xml:space="preserve">Beginning in the 2018-19 school year, the Oregon Department of Education will be engaging stakeholders to </w:t>
      </w:r>
      <w:r w:rsidR="00A51843">
        <w:t xml:space="preserve">help in aligning NCTM recommendations with the Common Core and with the results from the Finding Focus workshops in 2018 to serve as the foundation for the upcoming mathematics adoption in the 2020-21 school year. </w:t>
      </w:r>
    </w:p>
    <w:p w:rsidR="00A005FE" w:rsidRDefault="00A005FE" w:rsidP="009716E2">
      <w:pPr>
        <w:ind w:left="-270"/>
      </w:pPr>
    </w:p>
    <w:p w:rsidR="00C02BCB" w:rsidRDefault="00A51843" w:rsidP="009716E2">
      <w:pPr>
        <w:ind w:left="-270"/>
      </w:pPr>
      <w:r w:rsidRPr="00A51843">
        <w:t xml:space="preserve">These tables present the wording of the NCTM essential skills </w:t>
      </w:r>
      <w:r>
        <w:t xml:space="preserve">to support the alignment conversation moving forward. </w:t>
      </w:r>
    </w:p>
    <w:p w:rsidR="00C02BCB" w:rsidRDefault="00C02BCB"/>
    <w:p w:rsidR="00A51843" w:rsidRDefault="00A51843">
      <w:pPr>
        <w:rPr>
          <w:rFonts w:eastAsiaTheme="majorEastAsia" w:cstheme="minorHAnsi"/>
          <w:color w:val="1B75BC"/>
          <w:sz w:val="32"/>
          <w:szCs w:val="32"/>
        </w:rPr>
      </w:pPr>
      <w:r>
        <w:br w:type="page"/>
      </w:r>
    </w:p>
    <w:p w:rsidR="00A51843" w:rsidRPr="00FC2BC1" w:rsidRDefault="00A51843" w:rsidP="00FC2BC1">
      <w:pPr>
        <w:pStyle w:val="Heading1"/>
      </w:pPr>
      <w:r w:rsidRPr="00FC2BC1">
        <w:lastRenderedPageBreak/>
        <w:t>NCTM Essential Concepts in Number</w:t>
      </w:r>
      <w:r w:rsidR="00FC2BC1">
        <w:t xml:space="preserve"> (EC.N)</w:t>
      </w:r>
    </w:p>
    <w:tbl>
      <w:tblPr>
        <w:tblW w:w="135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for NCTM Essential Concepts in Number (EC.N)"/>
      </w:tblPr>
      <w:tblGrid>
        <w:gridCol w:w="1260"/>
        <w:gridCol w:w="12330"/>
      </w:tblGrid>
      <w:tr w:rsidR="00A005FE" w:rsidRPr="00A005FE" w:rsidTr="00F04B85">
        <w:trPr>
          <w:trHeight w:val="315"/>
          <w:tblHeader/>
        </w:trPr>
        <w:tc>
          <w:tcPr>
            <w:tcW w:w="1260" w:type="dxa"/>
            <w:shd w:val="clear" w:color="auto" w:fill="1B75BC"/>
            <w:noWrap/>
            <w:hideMark/>
          </w:tcPr>
          <w:p w:rsidR="00A005FE" w:rsidRPr="00FC2BC1" w:rsidRDefault="00A005FE" w:rsidP="00A005FE">
            <w:pPr>
              <w:jc w:val="center"/>
              <w:rPr>
                <w:rStyle w:val="Strong"/>
              </w:rPr>
            </w:pPr>
            <w:r w:rsidRPr="00FC2BC1">
              <w:rPr>
                <w:rStyle w:val="Strong"/>
              </w:rPr>
              <w:t>EC Code</w:t>
            </w:r>
          </w:p>
        </w:tc>
        <w:tc>
          <w:tcPr>
            <w:tcW w:w="12330" w:type="dxa"/>
            <w:shd w:val="clear" w:color="auto" w:fill="1B75BC"/>
            <w:hideMark/>
          </w:tcPr>
          <w:p w:rsidR="00A005FE" w:rsidRPr="00FC2BC1" w:rsidRDefault="00A51843" w:rsidP="00A005FE">
            <w:pPr>
              <w:jc w:val="center"/>
              <w:rPr>
                <w:rStyle w:val="Strong"/>
              </w:rPr>
            </w:pPr>
            <w:r w:rsidRPr="00FC2BC1">
              <w:rPr>
                <w:rStyle w:val="Strong"/>
              </w:rPr>
              <w:t xml:space="preserve">NCTM </w:t>
            </w:r>
            <w:r w:rsidR="00A005FE" w:rsidRPr="00FC2BC1">
              <w:rPr>
                <w:rStyle w:val="Strong"/>
              </w:rPr>
              <w:t>Essential Concept</w:t>
            </w:r>
          </w:p>
        </w:tc>
      </w:tr>
      <w:tr w:rsidR="00A005FE" w:rsidRPr="00A005FE" w:rsidTr="00F04B85">
        <w:trPr>
          <w:trHeight w:val="315"/>
          <w:tblHeader/>
        </w:trPr>
        <w:tc>
          <w:tcPr>
            <w:tcW w:w="1260" w:type="dxa"/>
            <w:shd w:val="clear" w:color="auto" w:fill="auto"/>
            <w:noWrap/>
            <w:hideMark/>
          </w:tcPr>
          <w:p w:rsidR="00A005FE" w:rsidRPr="00A005FE" w:rsidRDefault="00A005FE" w:rsidP="00A005FE">
            <w:pPr>
              <w:rPr>
                <w:rFonts w:eastAsia="Times New Roman" w:cstheme="minorHAnsi"/>
              </w:rPr>
            </w:pPr>
            <w:r w:rsidRPr="00A005FE">
              <w:rPr>
                <w:rFonts w:eastAsia="Times New Roman" w:cstheme="minorHAnsi"/>
              </w:rPr>
              <w:t>EC.N.1</w:t>
            </w:r>
          </w:p>
        </w:tc>
        <w:tc>
          <w:tcPr>
            <w:tcW w:w="12330" w:type="dxa"/>
            <w:shd w:val="clear" w:color="auto" w:fill="auto"/>
            <w:hideMark/>
          </w:tcPr>
          <w:p w:rsidR="00A005FE" w:rsidRPr="00A005FE" w:rsidRDefault="00A005FE" w:rsidP="00A005FE">
            <w:pPr>
              <w:rPr>
                <w:rFonts w:eastAsia="Times New Roman" w:cstheme="minorHAnsi"/>
                <w:sz w:val="20"/>
              </w:rPr>
            </w:pPr>
            <w:r w:rsidRPr="00A005FE">
              <w:rPr>
                <w:rFonts w:eastAsia="Times New Roman" w:cstheme="minorHAnsi"/>
                <w:sz w:val="20"/>
              </w:rPr>
              <w:t>Together, irrational numbers and rational numbers complete the real number system, representing all points on the number line.</w:t>
            </w:r>
          </w:p>
        </w:tc>
      </w:tr>
      <w:tr w:rsidR="00A005FE" w:rsidRPr="00A005FE" w:rsidTr="00F04B85">
        <w:trPr>
          <w:trHeight w:val="315"/>
          <w:tblHeader/>
        </w:trPr>
        <w:tc>
          <w:tcPr>
            <w:tcW w:w="1260" w:type="dxa"/>
            <w:shd w:val="clear" w:color="auto" w:fill="auto"/>
            <w:noWrap/>
            <w:hideMark/>
          </w:tcPr>
          <w:p w:rsidR="00A005FE" w:rsidRPr="00A005FE" w:rsidRDefault="00A005FE" w:rsidP="00A005FE">
            <w:pPr>
              <w:rPr>
                <w:rFonts w:eastAsia="Times New Roman" w:cstheme="minorHAnsi"/>
              </w:rPr>
            </w:pPr>
            <w:r w:rsidRPr="00A005FE">
              <w:rPr>
                <w:rFonts w:eastAsia="Times New Roman" w:cstheme="minorHAnsi"/>
              </w:rPr>
              <w:t>EC.N.2</w:t>
            </w:r>
          </w:p>
        </w:tc>
        <w:tc>
          <w:tcPr>
            <w:tcW w:w="12330" w:type="dxa"/>
            <w:shd w:val="clear" w:color="auto" w:fill="auto"/>
            <w:hideMark/>
          </w:tcPr>
          <w:p w:rsidR="00A005FE" w:rsidRPr="00A005FE" w:rsidRDefault="00A005FE" w:rsidP="00A005FE">
            <w:pPr>
              <w:rPr>
                <w:rFonts w:eastAsia="Times New Roman" w:cstheme="minorHAnsi"/>
                <w:sz w:val="20"/>
              </w:rPr>
            </w:pPr>
            <w:r w:rsidRPr="00A005FE">
              <w:rPr>
                <w:rFonts w:eastAsia="Times New Roman" w:cstheme="minorHAnsi"/>
                <w:sz w:val="20"/>
              </w:rPr>
              <w:t>Quantitative reasoning includes, and mathematical modeling requires, attention to units of measurement.</w:t>
            </w:r>
          </w:p>
        </w:tc>
      </w:tr>
    </w:tbl>
    <w:p w:rsidR="00FC2BC1" w:rsidRDefault="00FC2BC1" w:rsidP="0081113D"/>
    <w:p w:rsidR="00A51843" w:rsidRDefault="00A51843" w:rsidP="00FC2BC1">
      <w:pPr>
        <w:pStyle w:val="Heading1"/>
      </w:pPr>
      <w:r w:rsidRPr="00A92B18">
        <w:t>NCTM Essential Concepts in Algebra and Functions</w:t>
      </w:r>
      <w:r w:rsidR="00FC2BC1">
        <w:t xml:space="preserve"> (EC.AF)</w:t>
      </w:r>
    </w:p>
    <w:p w:rsidR="00FC2BC1" w:rsidRPr="00FC2BC1" w:rsidRDefault="00FC2BC1" w:rsidP="00FC2BC1">
      <w:pPr>
        <w:pStyle w:val="Heading2"/>
      </w:pPr>
      <w:r>
        <w:t>Focus 1: Algebra (EC.F.A)</w:t>
      </w:r>
    </w:p>
    <w:tbl>
      <w:tblPr>
        <w:tblW w:w="135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for NCTM Essential Concepts in Algebra and Functions, Focus 1: Algebra (EC.F.A)"/>
      </w:tblPr>
      <w:tblGrid>
        <w:gridCol w:w="1080"/>
        <w:gridCol w:w="12510"/>
      </w:tblGrid>
      <w:tr w:rsidR="00F04B85" w:rsidRPr="00F04B85" w:rsidTr="00513285">
        <w:trPr>
          <w:trHeight w:val="315"/>
          <w:tblHeader/>
        </w:trPr>
        <w:tc>
          <w:tcPr>
            <w:tcW w:w="1080" w:type="dxa"/>
            <w:shd w:val="clear" w:color="auto" w:fill="1B75BC"/>
            <w:noWrap/>
            <w:hideMark/>
          </w:tcPr>
          <w:p w:rsidR="00A005FE" w:rsidRPr="00F04B85" w:rsidRDefault="00A005FE" w:rsidP="00A005FE">
            <w:pPr>
              <w:jc w:val="center"/>
              <w:rPr>
                <w:rStyle w:val="Strong"/>
              </w:rPr>
            </w:pPr>
            <w:r w:rsidRPr="00F04B85">
              <w:rPr>
                <w:rStyle w:val="Strong"/>
              </w:rPr>
              <w:t>EC Code</w:t>
            </w:r>
          </w:p>
        </w:tc>
        <w:tc>
          <w:tcPr>
            <w:tcW w:w="12510" w:type="dxa"/>
            <w:shd w:val="clear" w:color="auto" w:fill="1B75BC"/>
            <w:hideMark/>
          </w:tcPr>
          <w:p w:rsidR="00A005FE" w:rsidRPr="00F04B85" w:rsidRDefault="000E0372" w:rsidP="00A005FE">
            <w:pPr>
              <w:jc w:val="center"/>
              <w:rPr>
                <w:rStyle w:val="Strong"/>
              </w:rPr>
            </w:pPr>
            <w:r w:rsidRPr="00F04B85">
              <w:rPr>
                <w:rStyle w:val="Strong"/>
              </w:rPr>
              <w:t xml:space="preserve">NCTM </w:t>
            </w:r>
            <w:r w:rsidR="00A005FE" w:rsidRPr="00F04B85">
              <w:rPr>
                <w:rStyle w:val="Strong"/>
              </w:rPr>
              <w:t>Essential Concept</w:t>
            </w:r>
          </w:p>
        </w:tc>
      </w:tr>
      <w:tr w:rsidR="00A005FE" w:rsidRPr="00A005FE" w:rsidTr="00513285">
        <w:trPr>
          <w:trHeight w:val="315"/>
          <w:tblHeader/>
        </w:trPr>
        <w:tc>
          <w:tcPr>
            <w:tcW w:w="1080" w:type="dxa"/>
            <w:shd w:val="clear" w:color="auto" w:fill="auto"/>
            <w:noWrap/>
            <w:hideMark/>
          </w:tcPr>
          <w:p w:rsidR="00A005FE" w:rsidRPr="00A005FE" w:rsidRDefault="00A005FE" w:rsidP="00A005FE">
            <w:pPr>
              <w:rPr>
                <w:rFonts w:eastAsia="Times New Roman" w:cstheme="minorHAnsi"/>
              </w:rPr>
            </w:pPr>
            <w:r w:rsidRPr="00A005FE">
              <w:rPr>
                <w:rFonts w:eastAsia="Times New Roman" w:cstheme="minorHAnsi"/>
              </w:rPr>
              <w:t>EC.AF.A.1</w:t>
            </w:r>
          </w:p>
        </w:tc>
        <w:tc>
          <w:tcPr>
            <w:tcW w:w="12510" w:type="dxa"/>
            <w:shd w:val="clear" w:color="auto" w:fill="auto"/>
            <w:hideMark/>
          </w:tcPr>
          <w:p w:rsidR="00A005FE" w:rsidRPr="00A005FE" w:rsidRDefault="00A005FE" w:rsidP="00A005FE">
            <w:pPr>
              <w:rPr>
                <w:rFonts w:eastAsia="Times New Roman" w:cstheme="minorHAnsi"/>
                <w:sz w:val="20"/>
              </w:rPr>
            </w:pPr>
            <w:r w:rsidRPr="00A005FE">
              <w:rPr>
                <w:rFonts w:eastAsia="Times New Roman" w:cstheme="minorHAnsi"/>
                <w:sz w:val="20"/>
              </w:rPr>
              <w:t xml:space="preserve">Expressions </w:t>
            </w:r>
            <w:proofErr w:type="gramStart"/>
            <w:r w:rsidRPr="00A005FE">
              <w:rPr>
                <w:rFonts w:eastAsia="Times New Roman" w:cstheme="minorHAnsi"/>
                <w:sz w:val="20"/>
              </w:rPr>
              <w:t>can be rewritten</w:t>
            </w:r>
            <w:proofErr w:type="gramEnd"/>
            <w:r w:rsidRPr="00A005FE">
              <w:rPr>
                <w:rFonts w:eastAsia="Times New Roman" w:cstheme="minorHAnsi"/>
                <w:sz w:val="20"/>
              </w:rPr>
              <w:t xml:space="preserve"> in equivalent forms by using algebraic properties, including properties of addition, multiplication, and exponentiation, to make different characteristics or features visible.</w:t>
            </w:r>
          </w:p>
        </w:tc>
      </w:tr>
      <w:tr w:rsidR="00A005FE" w:rsidRPr="00A005FE" w:rsidTr="00513285">
        <w:trPr>
          <w:trHeight w:val="315"/>
          <w:tblHeader/>
        </w:trPr>
        <w:tc>
          <w:tcPr>
            <w:tcW w:w="1080" w:type="dxa"/>
            <w:shd w:val="clear" w:color="auto" w:fill="auto"/>
            <w:noWrap/>
            <w:hideMark/>
          </w:tcPr>
          <w:p w:rsidR="00A005FE" w:rsidRPr="00A005FE" w:rsidRDefault="00A005FE" w:rsidP="00A005FE">
            <w:pPr>
              <w:rPr>
                <w:rFonts w:eastAsia="Times New Roman" w:cstheme="minorHAnsi"/>
              </w:rPr>
            </w:pPr>
            <w:r w:rsidRPr="00A005FE">
              <w:rPr>
                <w:rFonts w:eastAsia="Times New Roman" w:cstheme="minorHAnsi"/>
              </w:rPr>
              <w:t>EC.AF.A.2</w:t>
            </w:r>
          </w:p>
        </w:tc>
        <w:tc>
          <w:tcPr>
            <w:tcW w:w="12510" w:type="dxa"/>
            <w:shd w:val="clear" w:color="auto" w:fill="auto"/>
            <w:hideMark/>
          </w:tcPr>
          <w:p w:rsidR="00A005FE" w:rsidRPr="00A005FE" w:rsidRDefault="00A005FE" w:rsidP="00A005FE">
            <w:pPr>
              <w:rPr>
                <w:rFonts w:eastAsia="Times New Roman" w:cstheme="minorHAnsi"/>
                <w:sz w:val="20"/>
              </w:rPr>
            </w:pPr>
            <w:r w:rsidRPr="00A005FE">
              <w:rPr>
                <w:rFonts w:eastAsia="Times New Roman" w:cstheme="minorHAnsi"/>
                <w:sz w:val="20"/>
              </w:rPr>
              <w:t xml:space="preserve">Finding solutions to an equation, inequality, or system of equations or inequalities requires the checking of candidate solutions, whether generated analytically or graphically, to ensure that solutions </w:t>
            </w:r>
            <w:proofErr w:type="gramStart"/>
            <w:r w:rsidRPr="00A005FE">
              <w:rPr>
                <w:rFonts w:eastAsia="Times New Roman" w:cstheme="minorHAnsi"/>
                <w:sz w:val="20"/>
              </w:rPr>
              <w:t>are found</w:t>
            </w:r>
            <w:proofErr w:type="gramEnd"/>
            <w:r w:rsidRPr="00A005FE">
              <w:rPr>
                <w:rFonts w:eastAsia="Times New Roman" w:cstheme="minorHAnsi"/>
                <w:sz w:val="20"/>
              </w:rPr>
              <w:t xml:space="preserve"> and that those found are not extraneous.</w:t>
            </w:r>
          </w:p>
        </w:tc>
      </w:tr>
      <w:tr w:rsidR="00A005FE" w:rsidRPr="00A005FE" w:rsidTr="00513285">
        <w:trPr>
          <w:trHeight w:val="315"/>
          <w:tblHeader/>
        </w:trPr>
        <w:tc>
          <w:tcPr>
            <w:tcW w:w="1080" w:type="dxa"/>
            <w:shd w:val="clear" w:color="auto" w:fill="auto"/>
            <w:noWrap/>
            <w:hideMark/>
          </w:tcPr>
          <w:p w:rsidR="00A005FE" w:rsidRPr="00A005FE" w:rsidRDefault="00A005FE" w:rsidP="00A005FE">
            <w:pPr>
              <w:rPr>
                <w:rFonts w:eastAsia="Times New Roman" w:cstheme="minorHAnsi"/>
              </w:rPr>
            </w:pPr>
            <w:r w:rsidRPr="00A005FE">
              <w:rPr>
                <w:rFonts w:eastAsia="Times New Roman" w:cstheme="minorHAnsi"/>
              </w:rPr>
              <w:t>EC.AF.A.3</w:t>
            </w:r>
          </w:p>
        </w:tc>
        <w:tc>
          <w:tcPr>
            <w:tcW w:w="12510" w:type="dxa"/>
            <w:shd w:val="clear" w:color="auto" w:fill="auto"/>
            <w:hideMark/>
          </w:tcPr>
          <w:p w:rsidR="00A005FE" w:rsidRPr="00A005FE" w:rsidRDefault="00A005FE" w:rsidP="00A005FE">
            <w:pPr>
              <w:rPr>
                <w:rFonts w:eastAsia="Times New Roman" w:cstheme="minorHAnsi"/>
                <w:sz w:val="20"/>
              </w:rPr>
            </w:pPr>
            <w:r w:rsidRPr="00A005FE">
              <w:rPr>
                <w:rFonts w:eastAsia="Times New Roman" w:cstheme="minorHAnsi"/>
                <w:sz w:val="20"/>
              </w:rPr>
              <w:t>The structure of an equation or inequality (including, but not limited to, one-variable linear and quadratic equations, inequalities, and systems of linear equations in two variables) can be purposefully analyzed (with and without technology) to determine an efficient strategy to find a solution, if one exists, and then to justify the solution.</w:t>
            </w:r>
          </w:p>
        </w:tc>
      </w:tr>
      <w:tr w:rsidR="00A005FE" w:rsidRPr="00A005FE" w:rsidTr="00513285">
        <w:trPr>
          <w:trHeight w:val="315"/>
          <w:tblHeader/>
        </w:trPr>
        <w:tc>
          <w:tcPr>
            <w:tcW w:w="1080" w:type="dxa"/>
            <w:shd w:val="clear" w:color="auto" w:fill="auto"/>
            <w:noWrap/>
            <w:hideMark/>
          </w:tcPr>
          <w:p w:rsidR="00A005FE" w:rsidRPr="00A005FE" w:rsidRDefault="00A005FE" w:rsidP="00A005FE">
            <w:pPr>
              <w:rPr>
                <w:rFonts w:eastAsia="Times New Roman" w:cstheme="minorHAnsi"/>
              </w:rPr>
            </w:pPr>
            <w:r w:rsidRPr="00A005FE">
              <w:rPr>
                <w:rFonts w:eastAsia="Times New Roman" w:cstheme="minorHAnsi"/>
              </w:rPr>
              <w:t>EC.AF.A.4</w:t>
            </w:r>
          </w:p>
        </w:tc>
        <w:tc>
          <w:tcPr>
            <w:tcW w:w="12510" w:type="dxa"/>
            <w:shd w:val="clear" w:color="auto" w:fill="auto"/>
            <w:hideMark/>
          </w:tcPr>
          <w:p w:rsidR="00A005FE" w:rsidRPr="00A005FE" w:rsidRDefault="00A005FE" w:rsidP="00A005FE">
            <w:pPr>
              <w:rPr>
                <w:rFonts w:eastAsia="Times New Roman" w:cstheme="minorHAnsi"/>
                <w:sz w:val="20"/>
              </w:rPr>
            </w:pPr>
            <w:r w:rsidRPr="00A005FE">
              <w:rPr>
                <w:rFonts w:eastAsia="Times New Roman" w:cstheme="minorHAnsi"/>
                <w:sz w:val="20"/>
              </w:rPr>
              <w:t xml:space="preserve">Expressions, equations, and inequalities </w:t>
            </w:r>
            <w:proofErr w:type="gramStart"/>
            <w:r w:rsidRPr="00A005FE">
              <w:rPr>
                <w:rFonts w:eastAsia="Times New Roman" w:cstheme="minorHAnsi"/>
                <w:sz w:val="20"/>
              </w:rPr>
              <w:t>can be used</w:t>
            </w:r>
            <w:proofErr w:type="gramEnd"/>
            <w:r w:rsidRPr="00A005FE">
              <w:rPr>
                <w:rFonts w:eastAsia="Times New Roman" w:cstheme="minorHAnsi"/>
                <w:sz w:val="20"/>
              </w:rPr>
              <w:t xml:space="preserve"> to analyze and make predictions, both within mathematics and as mathematics is applied in different contexts—in particular, contexts that arise in relation to linear, quadratic, and exponential situations.</w:t>
            </w:r>
          </w:p>
        </w:tc>
      </w:tr>
    </w:tbl>
    <w:p w:rsidR="00FC2BC1" w:rsidRDefault="00FC2BC1" w:rsidP="00FC2BC1">
      <w:pPr>
        <w:pStyle w:val="Heading2"/>
      </w:pPr>
      <w:r>
        <w:t xml:space="preserve">Focus 2: </w:t>
      </w:r>
      <w:r w:rsidRPr="00A005FE">
        <w:rPr>
          <w:rFonts w:eastAsia="Times New Roman"/>
        </w:rPr>
        <w:t>Connecting Algebra to Functions</w:t>
      </w:r>
      <w:r>
        <w:rPr>
          <w:rFonts w:eastAsia="Times New Roman"/>
        </w:rPr>
        <w:t xml:space="preserve"> (EC.AF.CAF)</w:t>
      </w:r>
    </w:p>
    <w:tbl>
      <w:tblPr>
        <w:tblW w:w="135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for NCTM Essential Concepts in Algebra and Functions, Focus 2: Connecting Algebra to Functions (EC.AF.CAF)"/>
      </w:tblPr>
      <w:tblGrid>
        <w:gridCol w:w="1293"/>
        <w:gridCol w:w="12297"/>
      </w:tblGrid>
      <w:tr w:rsidR="00FC2BC1" w:rsidRPr="00A005FE" w:rsidTr="00F04B85">
        <w:trPr>
          <w:trHeight w:val="315"/>
          <w:tblHeader/>
        </w:trPr>
        <w:tc>
          <w:tcPr>
            <w:tcW w:w="1293" w:type="dxa"/>
            <w:shd w:val="clear" w:color="auto" w:fill="1B75BC"/>
            <w:noWrap/>
            <w:hideMark/>
          </w:tcPr>
          <w:p w:rsidR="00FC2BC1" w:rsidRPr="00FC2BC1" w:rsidRDefault="00FC2BC1" w:rsidP="009E70EF">
            <w:pPr>
              <w:jc w:val="center"/>
              <w:rPr>
                <w:rStyle w:val="Strong"/>
              </w:rPr>
            </w:pPr>
            <w:r w:rsidRPr="00FC2BC1">
              <w:rPr>
                <w:rStyle w:val="Strong"/>
              </w:rPr>
              <w:t>EC Code</w:t>
            </w:r>
          </w:p>
        </w:tc>
        <w:tc>
          <w:tcPr>
            <w:tcW w:w="12297" w:type="dxa"/>
            <w:shd w:val="clear" w:color="auto" w:fill="1B75BC"/>
            <w:hideMark/>
          </w:tcPr>
          <w:p w:rsidR="00FC2BC1" w:rsidRPr="00FC2BC1" w:rsidRDefault="00FC2BC1" w:rsidP="009E70EF">
            <w:pPr>
              <w:jc w:val="center"/>
              <w:rPr>
                <w:rStyle w:val="Strong"/>
              </w:rPr>
            </w:pPr>
            <w:r w:rsidRPr="00FC2BC1">
              <w:rPr>
                <w:rStyle w:val="Strong"/>
              </w:rPr>
              <w:t>NCTM Essential Concept</w:t>
            </w:r>
          </w:p>
        </w:tc>
      </w:tr>
      <w:tr w:rsidR="00FC2BC1" w:rsidRPr="00A005FE" w:rsidTr="00F04B85">
        <w:trPr>
          <w:trHeight w:val="315"/>
          <w:tblHeader/>
        </w:trPr>
        <w:tc>
          <w:tcPr>
            <w:tcW w:w="1293" w:type="dxa"/>
            <w:shd w:val="clear" w:color="auto" w:fill="auto"/>
            <w:noWrap/>
            <w:hideMark/>
          </w:tcPr>
          <w:p w:rsidR="00FC2BC1" w:rsidRPr="00A005FE" w:rsidRDefault="00FC2BC1" w:rsidP="009E70EF">
            <w:pPr>
              <w:rPr>
                <w:rFonts w:eastAsia="Times New Roman" w:cstheme="minorHAnsi"/>
              </w:rPr>
            </w:pPr>
            <w:r w:rsidRPr="00A005FE">
              <w:rPr>
                <w:rFonts w:eastAsia="Times New Roman" w:cstheme="minorHAnsi"/>
              </w:rPr>
              <w:t>EC.AF.CAF.1</w:t>
            </w:r>
          </w:p>
        </w:tc>
        <w:tc>
          <w:tcPr>
            <w:tcW w:w="12297" w:type="dxa"/>
            <w:shd w:val="clear" w:color="auto" w:fill="auto"/>
            <w:hideMark/>
          </w:tcPr>
          <w:p w:rsidR="00FC2BC1" w:rsidRPr="00A005FE" w:rsidRDefault="00FC2BC1" w:rsidP="009E70EF">
            <w:pPr>
              <w:rPr>
                <w:rFonts w:eastAsia="Times New Roman" w:cstheme="minorHAnsi"/>
                <w:sz w:val="20"/>
              </w:rPr>
            </w:pPr>
            <w:r w:rsidRPr="00A005FE">
              <w:rPr>
                <w:rFonts w:eastAsia="Times New Roman" w:cstheme="minorHAnsi"/>
                <w:sz w:val="20"/>
              </w:rPr>
              <w:t>Functions shift the emphasis from a point-by-point relationship between two variables (input/output) to considering an entire set of ordered pairs (where each first element is paired with exactly one second element) as an entity with its own features and characteristics.</w:t>
            </w:r>
          </w:p>
        </w:tc>
      </w:tr>
      <w:tr w:rsidR="00FC2BC1" w:rsidRPr="00A005FE" w:rsidTr="00F04B85">
        <w:trPr>
          <w:trHeight w:val="315"/>
          <w:tblHeader/>
        </w:trPr>
        <w:tc>
          <w:tcPr>
            <w:tcW w:w="1293" w:type="dxa"/>
            <w:shd w:val="clear" w:color="auto" w:fill="auto"/>
            <w:noWrap/>
            <w:hideMark/>
          </w:tcPr>
          <w:p w:rsidR="00FC2BC1" w:rsidRPr="00A005FE" w:rsidRDefault="00FC2BC1" w:rsidP="009E70EF">
            <w:pPr>
              <w:rPr>
                <w:rFonts w:eastAsia="Times New Roman" w:cstheme="minorHAnsi"/>
              </w:rPr>
            </w:pPr>
            <w:r w:rsidRPr="00A005FE">
              <w:rPr>
                <w:rFonts w:eastAsia="Times New Roman" w:cstheme="minorHAnsi"/>
              </w:rPr>
              <w:t>EC.AF.CAF.2</w:t>
            </w:r>
          </w:p>
        </w:tc>
        <w:tc>
          <w:tcPr>
            <w:tcW w:w="12297" w:type="dxa"/>
            <w:shd w:val="clear" w:color="auto" w:fill="auto"/>
            <w:hideMark/>
          </w:tcPr>
          <w:p w:rsidR="00FC2BC1" w:rsidRPr="00A005FE" w:rsidRDefault="00FC2BC1" w:rsidP="009E70EF">
            <w:pPr>
              <w:rPr>
                <w:rFonts w:eastAsia="Times New Roman" w:cstheme="minorHAnsi"/>
                <w:sz w:val="20"/>
              </w:rPr>
            </w:pPr>
            <w:r w:rsidRPr="00A005FE">
              <w:rPr>
                <w:rFonts w:eastAsia="Times New Roman" w:cstheme="minorHAnsi"/>
                <w:sz w:val="20"/>
              </w:rPr>
              <w:t>Graphs can be used to obtain exact or approximate solutions of equations, inequalities, and systems of equations and inequalities—including systems of linear equations in two variables and systems of linear and quadratic equations (given or obtained by using technology).</w:t>
            </w:r>
          </w:p>
        </w:tc>
      </w:tr>
    </w:tbl>
    <w:p w:rsidR="00047A8C" w:rsidRDefault="00047A8C" w:rsidP="00047A8C"/>
    <w:p w:rsidR="00047A8C" w:rsidRDefault="00047A8C" w:rsidP="00047A8C">
      <w:pPr>
        <w:rPr>
          <w:rFonts w:cstheme="minorHAnsi"/>
          <w:color w:val="000000" w:themeColor="text1"/>
          <w:sz w:val="24"/>
        </w:rPr>
      </w:pPr>
      <w:r>
        <w:br w:type="page"/>
      </w:r>
    </w:p>
    <w:p w:rsidR="00FC2BC1" w:rsidRDefault="00FC2BC1" w:rsidP="0081113D">
      <w:pPr>
        <w:pStyle w:val="Heading2"/>
      </w:pPr>
      <w:r w:rsidRPr="00FC2BC1">
        <w:lastRenderedPageBreak/>
        <w:t>Focus 3: Functions</w:t>
      </w:r>
      <w:r>
        <w:t xml:space="preserve"> (EC.AF.F)</w:t>
      </w:r>
    </w:p>
    <w:tbl>
      <w:tblPr>
        <w:tblW w:w="135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for NCTM Essential Concepts in Algebra and Functions, Focus 3: Functions (EC.AF.F)"/>
      </w:tblPr>
      <w:tblGrid>
        <w:gridCol w:w="1260"/>
        <w:gridCol w:w="12330"/>
      </w:tblGrid>
      <w:tr w:rsidR="00FC2BC1" w:rsidRPr="00A005FE" w:rsidTr="00F04B85">
        <w:trPr>
          <w:trHeight w:val="315"/>
          <w:tblHeader/>
        </w:trPr>
        <w:tc>
          <w:tcPr>
            <w:tcW w:w="1260" w:type="dxa"/>
            <w:shd w:val="clear" w:color="auto" w:fill="1B75BC"/>
            <w:noWrap/>
            <w:hideMark/>
          </w:tcPr>
          <w:p w:rsidR="00FC2BC1" w:rsidRPr="00FC2BC1" w:rsidRDefault="00FC2BC1" w:rsidP="009E70EF">
            <w:pPr>
              <w:jc w:val="center"/>
              <w:rPr>
                <w:rStyle w:val="Strong"/>
              </w:rPr>
            </w:pPr>
            <w:r w:rsidRPr="00FC2BC1">
              <w:rPr>
                <w:rStyle w:val="Strong"/>
              </w:rPr>
              <w:t>EC Code</w:t>
            </w:r>
          </w:p>
        </w:tc>
        <w:tc>
          <w:tcPr>
            <w:tcW w:w="12330" w:type="dxa"/>
            <w:shd w:val="clear" w:color="auto" w:fill="1B75BC"/>
            <w:hideMark/>
          </w:tcPr>
          <w:p w:rsidR="00FC2BC1" w:rsidRPr="00FC2BC1" w:rsidRDefault="00FC2BC1" w:rsidP="009E70EF">
            <w:pPr>
              <w:jc w:val="center"/>
              <w:rPr>
                <w:rStyle w:val="Strong"/>
              </w:rPr>
            </w:pPr>
            <w:r w:rsidRPr="00FC2BC1">
              <w:rPr>
                <w:rStyle w:val="Strong"/>
              </w:rPr>
              <w:t>NCTM Essential Concept</w:t>
            </w:r>
          </w:p>
        </w:tc>
      </w:tr>
      <w:tr w:rsidR="00FC2BC1" w:rsidRPr="00A005FE" w:rsidTr="00F04B85">
        <w:trPr>
          <w:trHeight w:val="315"/>
          <w:tblHeader/>
        </w:trPr>
        <w:tc>
          <w:tcPr>
            <w:tcW w:w="1260" w:type="dxa"/>
            <w:shd w:val="clear" w:color="auto" w:fill="auto"/>
            <w:noWrap/>
            <w:hideMark/>
          </w:tcPr>
          <w:p w:rsidR="00FC2BC1" w:rsidRPr="00A005FE" w:rsidRDefault="00FC2BC1" w:rsidP="009E70EF">
            <w:pPr>
              <w:rPr>
                <w:rFonts w:eastAsia="Times New Roman" w:cstheme="minorHAnsi"/>
              </w:rPr>
            </w:pPr>
            <w:r w:rsidRPr="00A005FE">
              <w:rPr>
                <w:rFonts w:eastAsia="Times New Roman" w:cstheme="minorHAnsi"/>
              </w:rPr>
              <w:t>EC.AF.F.1</w:t>
            </w:r>
          </w:p>
        </w:tc>
        <w:tc>
          <w:tcPr>
            <w:tcW w:w="12330" w:type="dxa"/>
            <w:shd w:val="clear" w:color="FFFFFF" w:fill="FFFFFF"/>
            <w:hideMark/>
          </w:tcPr>
          <w:p w:rsidR="00FC2BC1" w:rsidRPr="00A005FE" w:rsidRDefault="00FC2BC1" w:rsidP="009E70EF">
            <w:pPr>
              <w:rPr>
                <w:rFonts w:eastAsia="Times New Roman" w:cstheme="minorHAnsi"/>
                <w:sz w:val="20"/>
              </w:rPr>
            </w:pPr>
            <w:r w:rsidRPr="00A005FE">
              <w:rPr>
                <w:rFonts w:eastAsia="Times New Roman" w:cstheme="minorHAnsi"/>
                <w:sz w:val="20"/>
              </w:rPr>
              <w:t>Functions can be described by using a variety of representations: mapping diagrams, function notation (e.g., f(x) = x2), recursive definitions, tables, and graphs</w:t>
            </w:r>
          </w:p>
        </w:tc>
      </w:tr>
      <w:tr w:rsidR="00FC2BC1" w:rsidRPr="00A005FE" w:rsidTr="00F04B85">
        <w:trPr>
          <w:trHeight w:val="341"/>
          <w:tblHeader/>
        </w:trPr>
        <w:tc>
          <w:tcPr>
            <w:tcW w:w="1260" w:type="dxa"/>
            <w:shd w:val="clear" w:color="auto" w:fill="auto"/>
            <w:noWrap/>
            <w:hideMark/>
          </w:tcPr>
          <w:p w:rsidR="00FC2BC1" w:rsidRPr="00A005FE" w:rsidRDefault="00FC2BC1" w:rsidP="009E70EF">
            <w:pPr>
              <w:rPr>
                <w:rFonts w:eastAsia="Times New Roman" w:cstheme="minorHAnsi"/>
              </w:rPr>
            </w:pPr>
            <w:r w:rsidRPr="00A005FE">
              <w:rPr>
                <w:rFonts w:eastAsia="Times New Roman" w:cstheme="minorHAnsi"/>
              </w:rPr>
              <w:t>EC.AF.F.2</w:t>
            </w:r>
          </w:p>
        </w:tc>
        <w:tc>
          <w:tcPr>
            <w:tcW w:w="12330" w:type="dxa"/>
            <w:shd w:val="clear" w:color="auto" w:fill="auto"/>
            <w:hideMark/>
          </w:tcPr>
          <w:p w:rsidR="00FC2BC1" w:rsidRPr="00A005FE" w:rsidRDefault="00FC2BC1" w:rsidP="009E70EF">
            <w:pPr>
              <w:rPr>
                <w:rFonts w:eastAsia="Times New Roman" w:cstheme="minorHAnsi"/>
                <w:sz w:val="20"/>
              </w:rPr>
            </w:pPr>
            <w:r w:rsidRPr="00A005FE">
              <w:rPr>
                <w:rFonts w:eastAsia="Times New Roman" w:cstheme="minorHAnsi"/>
                <w:sz w:val="20"/>
              </w:rPr>
              <w:t>Functions that are members of the same family have distinguishing attributes (structure) common to all functions within that family.</w:t>
            </w:r>
          </w:p>
        </w:tc>
      </w:tr>
      <w:tr w:rsidR="00FC2BC1" w:rsidRPr="00A005FE" w:rsidTr="00F04B85">
        <w:trPr>
          <w:trHeight w:val="315"/>
          <w:tblHeader/>
        </w:trPr>
        <w:tc>
          <w:tcPr>
            <w:tcW w:w="1260" w:type="dxa"/>
            <w:shd w:val="clear" w:color="auto" w:fill="auto"/>
            <w:noWrap/>
            <w:hideMark/>
          </w:tcPr>
          <w:p w:rsidR="00FC2BC1" w:rsidRPr="00A005FE" w:rsidRDefault="00FC2BC1" w:rsidP="009E70EF">
            <w:pPr>
              <w:rPr>
                <w:rFonts w:eastAsia="Times New Roman" w:cstheme="minorHAnsi"/>
              </w:rPr>
            </w:pPr>
            <w:r w:rsidRPr="00A005FE">
              <w:rPr>
                <w:rFonts w:eastAsia="Times New Roman" w:cstheme="minorHAnsi"/>
              </w:rPr>
              <w:t>EC.AF.F.3</w:t>
            </w:r>
          </w:p>
        </w:tc>
        <w:tc>
          <w:tcPr>
            <w:tcW w:w="12330" w:type="dxa"/>
            <w:shd w:val="clear" w:color="auto" w:fill="auto"/>
            <w:hideMark/>
          </w:tcPr>
          <w:p w:rsidR="00FC2BC1" w:rsidRPr="00A005FE" w:rsidRDefault="00FC2BC1" w:rsidP="009E70EF">
            <w:pPr>
              <w:rPr>
                <w:rFonts w:eastAsia="Times New Roman" w:cstheme="minorHAnsi"/>
                <w:sz w:val="20"/>
              </w:rPr>
            </w:pPr>
            <w:r w:rsidRPr="00A005FE">
              <w:rPr>
                <w:rFonts w:eastAsia="Times New Roman" w:cstheme="minorHAnsi"/>
                <w:sz w:val="20"/>
              </w:rPr>
              <w:t xml:space="preserve">Functions can be represented </w:t>
            </w:r>
            <w:proofErr w:type="gramStart"/>
            <w:r w:rsidRPr="00A005FE">
              <w:rPr>
                <w:rFonts w:eastAsia="Times New Roman" w:cstheme="minorHAnsi"/>
                <w:sz w:val="20"/>
              </w:rPr>
              <w:t>graphically,</w:t>
            </w:r>
            <w:proofErr w:type="gramEnd"/>
            <w:r w:rsidRPr="00A005FE">
              <w:rPr>
                <w:rFonts w:eastAsia="Times New Roman" w:cstheme="minorHAnsi"/>
                <w:sz w:val="20"/>
              </w:rPr>
              <w:t xml:space="preserve"> and key features of the graphs, including zeros, intercepts, and, when relevant, rate of change, and maximum/minimum values, can be associated with and interpreted in terms of the equivalent symbolic representation.</w:t>
            </w:r>
          </w:p>
        </w:tc>
      </w:tr>
      <w:tr w:rsidR="00FC2BC1" w:rsidRPr="00A005FE" w:rsidTr="00F04B85">
        <w:trPr>
          <w:trHeight w:val="315"/>
          <w:tblHeader/>
        </w:trPr>
        <w:tc>
          <w:tcPr>
            <w:tcW w:w="1260" w:type="dxa"/>
            <w:shd w:val="clear" w:color="auto" w:fill="auto"/>
            <w:noWrap/>
            <w:hideMark/>
          </w:tcPr>
          <w:p w:rsidR="00FC2BC1" w:rsidRDefault="00FC2BC1" w:rsidP="009E70EF">
            <w:pPr>
              <w:rPr>
                <w:rFonts w:eastAsia="Times New Roman" w:cstheme="minorHAnsi"/>
              </w:rPr>
            </w:pPr>
            <w:r w:rsidRPr="00A005FE">
              <w:rPr>
                <w:rFonts w:eastAsia="Times New Roman" w:cstheme="minorHAnsi"/>
              </w:rPr>
              <w:t>EC.AF.F.4</w:t>
            </w:r>
          </w:p>
          <w:p w:rsidR="00FC2BC1" w:rsidRPr="009716E2" w:rsidRDefault="00FC2BC1" w:rsidP="009E70EF">
            <w:pPr>
              <w:tabs>
                <w:tab w:val="left" w:pos="750"/>
              </w:tabs>
              <w:rPr>
                <w:rFonts w:eastAsia="Times New Roman" w:cstheme="minorHAnsi"/>
              </w:rPr>
            </w:pPr>
            <w:r>
              <w:rPr>
                <w:rFonts w:eastAsia="Times New Roman" w:cstheme="minorHAnsi"/>
              </w:rPr>
              <w:tab/>
            </w:r>
          </w:p>
        </w:tc>
        <w:tc>
          <w:tcPr>
            <w:tcW w:w="12330" w:type="dxa"/>
            <w:shd w:val="clear" w:color="auto" w:fill="auto"/>
            <w:hideMark/>
          </w:tcPr>
          <w:p w:rsidR="00FC2BC1" w:rsidRPr="00A005FE" w:rsidRDefault="00FC2BC1" w:rsidP="009E70EF">
            <w:pPr>
              <w:rPr>
                <w:rFonts w:eastAsia="Times New Roman" w:cstheme="minorHAnsi"/>
                <w:sz w:val="20"/>
              </w:rPr>
            </w:pPr>
            <w:r w:rsidRPr="00A005FE">
              <w:rPr>
                <w:rFonts w:eastAsia="Times New Roman" w:cstheme="minorHAnsi"/>
                <w:sz w:val="20"/>
              </w:rPr>
              <w:t>Functions model a wide variety of real situations and can help students understand the processes of making and changing assumptions, assigning variables, and finding solutions to contextual problems.</w:t>
            </w:r>
          </w:p>
        </w:tc>
      </w:tr>
    </w:tbl>
    <w:p w:rsidR="00FC2BC1" w:rsidRDefault="00FC2BC1" w:rsidP="00FC2BC1"/>
    <w:p w:rsidR="00A51843" w:rsidRDefault="00A51843" w:rsidP="00CB1B95">
      <w:pPr>
        <w:pStyle w:val="Heading1"/>
        <w:rPr>
          <w:rFonts w:eastAsia="Times New Roman"/>
        </w:rPr>
      </w:pPr>
      <w:r>
        <w:t xml:space="preserve">NCTM </w:t>
      </w:r>
      <w:r w:rsidRPr="00A005FE">
        <w:rPr>
          <w:rFonts w:eastAsia="Times New Roman"/>
        </w:rPr>
        <w:t>Essential Concepts in Statistics and Probability</w:t>
      </w:r>
      <w:r w:rsidR="00047A8C">
        <w:rPr>
          <w:rFonts w:eastAsia="Times New Roman"/>
        </w:rPr>
        <w:t xml:space="preserve"> (EC.SP)</w:t>
      </w:r>
    </w:p>
    <w:p w:rsidR="00CB1B95" w:rsidRPr="00CB1B95" w:rsidRDefault="00CB1B95" w:rsidP="00047A8C">
      <w:pPr>
        <w:pStyle w:val="Heading2"/>
        <w:spacing w:before="120"/>
      </w:pPr>
      <w:r w:rsidRPr="00CB1B95">
        <w:t>Focus 1: Quantitative Literacy</w:t>
      </w:r>
      <w:r w:rsidR="00047A8C">
        <w:t xml:space="preserve"> (EC.SP.QL)</w:t>
      </w:r>
    </w:p>
    <w:tbl>
      <w:tblPr>
        <w:tblW w:w="137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for NCTM Essential Concepts in Statistics and Probability, Focus 1: Quantitative Literacy (EC.SP.QL)"/>
      </w:tblPr>
      <w:tblGrid>
        <w:gridCol w:w="1350"/>
        <w:gridCol w:w="12420"/>
      </w:tblGrid>
      <w:tr w:rsidR="00A51843" w:rsidRPr="00A51843" w:rsidTr="00F04B85">
        <w:trPr>
          <w:trHeight w:val="20"/>
          <w:tblHeader/>
        </w:trPr>
        <w:tc>
          <w:tcPr>
            <w:tcW w:w="1350" w:type="dxa"/>
            <w:shd w:val="clear" w:color="auto" w:fill="1B75BC"/>
            <w:noWrap/>
            <w:hideMark/>
          </w:tcPr>
          <w:p w:rsidR="00A51843" w:rsidRPr="00047A8C" w:rsidRDefault="00A51843" w:rsidP="00A51843">
            <w:pPr>
              <w:jc w:val="center"/>
              <w:rPr>
                <w:rStyle w:val="Strong"/>
              </w:rPr>
            </w:pPr>
            <w:r w:rsidRPr="00047A8C">
              <w:rPr>
                <w:rStyle w:val="Strong"/>
              </w:rPr>
              <w:t>EC Code</w:t>
            </w:r>
          </w:p>
        </w:tc>
        <w:tc>
          <w:tcPr>
            <w:tcW w:w="12420" w:type="dxa"/>
            <w:shd w:val="clear" w:color="auto" w:fill="1B75BC"/>
            <w:hideMark/>
          </w:tcPr>
          <w:p w:rsidR="00A51843" w:rsidRPr="00047A8C" w:rsidRDefault="000E0372" w:rsidP="00A51843">
            <w:pPr>
              <w:jc w:val="center"/>
              <w:rPr>
                <w:rStyle w:val="Strong"/>
              </w:rPr>
            </w:pPr>
            <w:r w:rsidRPr="00047A8C">
              <w:rPr>
                <w:rStyle w:val="Strong"/>
              </w:rPr>
              <w:t xml:space="preserve">NCTM </w:t>
            </w:r>
            <w:r w:rsidR="00A51843" w:rsidRPr="00047A8C">
              <w:rPr>
                <w:rStyle w:val="Strong"/>
              </w:rPr>
              <w:t>Essential Concept</w:t>
            </w:r>
          </w:p>
        </w:tc>
      </w:tr>
      <w:tr w:rsidR="00A51843" w:rsidRPr="00A005FE" w:rsidTr="00F04B85">
        <w:trPr>
          <w:trHeight w:val="20"/>
          <w:tblHeader/>
        </w:trPr>
        <w:tc>
          <w:tcPr>
            <w:tcW w:w="1350" w:type="dxa"/>
            <w:shd w:val="clear" w:color="auto" w:fill="auto"/>
            <w:noWrap/>
            <w:hideMark/>
          </w:tcPr>
          <w:p w:rsidR="00A005FE" w:rsidRPr="00A005FE" w:rsidRDefault="00A005FE" w:rsidP="00A005FE">
            <w:pPr>
              <w:rPr>
                <w:rFonts w:eastAsia="Times New Roman" w:cstheme="minorHAnsi"/>
              </w:rPr>
            </w:pPr>
            <w:r w:rsidRPr="00A005FE">
              <w:rPr>
                <w:rFonts w:eastAsia="Times New Roman" w:cstheme="minorHAnsi"/>
              </w:rPr>
              <w:t>EC.SP.QL.1</w:t>
            </w:r>
          </w:p>
        </w:tc>
        <w:tc>
          <w:tcPr>
            <w:tcW w:w="12420" w:type="dxa"/>
            <w:shd w:val="clear" w:color="auto" w:fill="auto"/>
            <w:hideMark/>
          </w:tcPr>
          <w:p w:rsidR="00A005FE" w:rsidRPr="00A005FE" w:rsidRDefault="00A005FE" w:rsidP="00A005FE">
            <w:pPr>
              <w:rPr>
                <w:rFonts w:eastAsia="Times New Roman" w:cstheme="minorHAnsi"/>
                <w:sz w:val="20"/>
              </w:rPr>
            </w:pPr>
            <w:r w:rsidRPr="00A005FE">
              <w:rPr>
                <w:rFonts w:eastAsia="Times New Roman" w:cstheme="minorHAnsi"/>
                <w:sz w:val="20"/>
              </w:rPr>
              <w:t xml:space="preserve">Mathematical and statistical reasoning about data </w:t>
            </w:r>
            <w:proofErr w:type="gramStart"/>
            <w:r w:rsidRPr="00A005FE">
              <w:rPr>
                <w:rFonts w:eastAsia="Times New Roman" w:cstheme="minorHAnsi"/>
                <w:sz w:val="20"/>
              </w:rPr>
              <w:t>can be used</w:t>
            </w:r>
            <w:proofErr w:type="gramEnd"/>
            <w:r w:rsidRPr="00A005FE">
              <w:rPr>
                <w:rFonts w:eastAsia="Times New Roman" w:cstheme="minorHAnsi"/>
                <w:sz w:val="20"/>
              </w:rPr>
              <w:t xml:space="preserve"> to evaluate conclusions and assess risks.</w:t>
            </w:r>
          </w:p>
        </w:tc>
      </w:tr>
      <w:tr w:rsidR="00A51843" w:rsidRPr="00A005FE" w:rsidTr="00F04B85">
        <w:trPr>
          <w:trHeight w:val="20"/>
          <w:tblHeader/>
        </w:trPr>
        <w:tc>
          <w:tcPr>
            <w:tcW w:w="1350" w:type="dxa"/>
            <w:shd w:val="clear" w:color="auto" w:fill="auto"/>
            <w:noWrap/>
            <w:hideMark/>
          </w:tcPr>
          <w:p w:rsidR="00A005FE" w:rsidRPr="00A005FE" w:rsidRDefault="00A005FE" w:rsidP="00A005FE">
            <w:pPr>
              <w:rPr>
                <w:rFonts w:eastAsia="Times New Roman" w:cstheme="minorHAnsi"/>
              </w:rPr>
            </w:pPr>
            <w:r w:rsidRPr="00A005FE">
              <w:rPr>
                <w:rFonts w:eastAsia="Times New Roman" w:cstheme="minorHAnsi"/>
              </w:rPr>
              <w:t>EC.SP.QL.2</w:t>
            </w:r>
          </w:p>
        </w:tc>
        <w:tc>
          <w:tcPr>
            <w:tcW w:w="12420" w:type="dxa"/>
            <w:shd w:val="clear" w:color="auto" w:fill="auto"/>
            <w:hideMark/>
          </w:tcPr>
          <w:p w:rsidR="00A005FE" w:rsidRPr="00A005FE" w:rsidRDefault="00A005FE" w:rsidP="00A005FE">
            <w:pPr>
              <w:rPr>
                <w:rFonts w:eastAsia="Times New Roman" w:cstheme="minorHAnsi"/>
                <w:sz w:val="20"/>
              </w:rPr>
            </w:pPr>
            <w:r w:rsidRPr="00A005FE">
              <w:rPr>
                <w:rFonts w:eastAsia="Times New Roman" w:cstheme="minorHAnsi"/>
                <w:sz w:val="20"/>
              </w:rPr>
              <w:t xml:space="preserve">Making and defending informed </w:t>
            </w:r>
            <w:proofErr w:type="gramStart"/>
            <w:r w:rsidRPr="00A005FE">
              <w:rPr>
                <w:rFonts w:eastAsia="Times New Roman" w:cstheme="minorHAnsi"/>
                <w:sz w:val="20"/>
              </w:rPr>
              <w:t>data-based</w:t>
            </w:r>
            <w:proofErr w:type="gramEnd"/>
            <w:r w:rsidRPr="00A005FE">
              <w:rPr>
                <w:rFonts w:eastAsia="Times New Roman" w:cstheme="minorHAnsi"/>
                <w:sz w:val="20"/>
              </w:rPr>
              <w:t xml:space="preserve"> decisions is a characteristic of a quantitatively literate person.</w:t>
            </w:r>
          </w:p>
        </w:tc>
      </w:tr>
    </w:tbl>
    <w:p w:rsidR="00047A8C" w:rsidRDefault="00047A8C" w:rsidP="00047A8C">
      <w:pPr>
        <w:pStyle w:val="Heading2"/>
        <w:spacing w:before="120"/>
      </w:pPr>
      <w:r w:rsidRPr="00047A8C">
        <w:t>Focus 2: Visualizing and Summarizing Data</w:t>
      </w:r>
      <w:r>
        <w:t xml:space="preserve"> (EC.SP.VSD)</w:t>
      </w:r>
    </w:p>
    <w:tbl>
      <w:tblPr>
        <w:tblW w:w="137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for NCTM Essential Concepts in Statistics and Probability, Focus 2: Visualizing and Summarizing Data (EC.SP.VSD)"/>
      </w:tblPr>
      <w:tblGrid>
        <w:gridCol w:w="1350"/>
        <w:gridCol w:w="12420"/>
      </w:tblGrid>
      <w:tr w:rsidR="00047A8C" w:rsidRPr="00A51843" w:rsidTr="00F04B85">
        <w:trPr>
          <w:trHeight w:val="20"/>
          <w:tblHeader/>
        </w:trPr>
        <w:tc>
          <w:tcPr>
            <w:tcW w:w="1350" w:type="dxa"/>
            <w:shd w:val="clear" w:color="auto" w:fill="1B75BC"/>
            <w:noWrap/>
            <w:hideMark/>
          </w:tcPr>
          <w:p w:rsidR="00047A8C" w:rsidRPr="00047A8C" w:rsidRDefault="00047A8C" w:rsidP="009E70EF">
            <w:pPr>
              <w:jc w:val="center"/>
              <w:rPr>
                <w:rStyle w:val="Strong"/>
              </w:rPr>
            </w:pPr>
            <w:r w:rsidRPr="00047A8C">
              <w:rPr>
                <w:rStyle w:val="Strong"/>
              </w:rPr>
              <w:t>EC Code</w:t>
            </w:r>
          </w:p>
        </w:tc>
        <w:tc>
          <w:tcPr>
            <w:tcW w:w="12420" w:type="dxa"/>
            <w:shd w:val="clear" w:color="auto" w:fill="1B75BC"/>
            <w:hideMark/>
          </w:tcPr>
          <w:p w:rsidR="00047A8C" w:rsidRPr="00047A8C" w:rsidRDefault="00047A8C" w:rsidP="009E70EF">
            <w:pPr>
              <w:jc w:val="center"/>
              <w:rPr>
                <w:rStyle w:val="Strong"/>
              </w:rPr>
            </w:pPr>
            <w:r w:rsidRPr="00047A8C">
              <w:rPr>
                <w:rStyle w:val="Strong"/>
              </w:rPr>
              <w:t>NCTM Essential Concept</w:t>
            </w:r>
          </w:p>
        </w:tc>
      </w:tr>
      <w:tr w:rsidR="00047A8C" w:rsidRPr="00A005FE" w:rsidTr="00F04B85">
        <w:trPr>
          <w:trHeight w:val="20"/>
          <w:tblHeader/>
        </w:trPr>
        <w:tc>
          <w:tcPr>
            <w:tcW w:w="1350"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EC.SP.VSD.1</w:t>
            </w:r>
          </w:p>
        </w:tc>
        <w:tc>
          <w:tcPr>
            <w:tcW w:w="12420"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 xml:space="preserve">Data arise from a context and come in two types: quantitative (continuous or discrete) and categorical. Technology </w:t>
            </w:r>
            <w:proofErr w:type="gramStart"/>
            <w:r w:rsidRPr="00A005FE">
              <w:rPr>
                <w:rFonts w:eastAsia="Times New Roman" w:cstheme="minorHAnsi"/>
                <w:sz w:val="20"/>
              </w:rPr>
              <w:t>can be used</w:t>
            </w:r>
            <w:proofErr w:type="gramEnd"/>
            <w:r w:rsidRPr="00A005FE">
              <w:rPr>
                <w:rFonts w:eastAsia="Times New Roman" w:cstheme="minorHAnsi"/>
                <w:sz w:val="20"/>
              </w:rPr>
              <w:t xml:space="preserve"> to “clean” and organize data, including very large data sets, into a useful and manageable structure—a first step in any analysis of data.</w:t>
            </w:r>
          </w:p>
        </w:tc>
      </w:tr>
      <w:tr w:rsidR="00047A8C" w:rsidRPr="00A005FE" w:rsidTr="00F04B85">
        <w:trPr>
          <w:trHeight w:val="20"/>
          <w:tblHeader/>
        </w:trPr>
        <w:tc>
          <w:tcPr>
            <w:tcW w:w="1350"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EC.SP.VSD.2</w:t>
            </w:r>
          </w:p>
        </w:tc>
        <w:tc>
          <w:tcPr>
            <w:tcW w:w="12420"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Distributions of quantitative data (continuous or discrete) in one variable should be described in the context of the data with respect to what is typical (the shape, with appropriate measures of center and variability, including standard deviation) and what is not (outliers), and these characteristics can be used to compare two or more subgroups with respect to a variable.</w:t>
            </w:r>
          </w:p>
        </w:tc>
      </w:tr>
      <w:tr w:rsidR="00047A8C" w:rsidRPr="00A005FE" w:rsidTr="00F04B85">
        <w:trPr>
          <w:trHeight w:val="20"/>
          <w:tblHeader/>
        </w:trPr>
        <w:tc>
          <w:tcPr>
            <w:tcW w:w="1350"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EC.SP.VSD.3</w:t>
            </w:r>
          </w:p>
        </w:tc>
        <w:tc>
          <w:tcPr>
            <w:tcW w:w="12420"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 xml:space="preserve">The association between two categorical variables </w:t>
            </w:r>
            <w:proofErr w:type="gramStart"/>
            <w:r w:rsidRPr="00A005FE">
              <w:rPr>
                <w:rFonts w:eastAsia="Times New Roman" w:cstheme="minorHAnsi"/>
                <w:sz w:val="20"/>
              </w:rPr>
              <w:t>is typically represented</w:t>
            </w:r>
            <w:proofErr w:type="gramEnd"/>
            <w:r w:rsidRPr="00A005FE">
              <w:rPr>
                <w:rFonts w:eastAsia="Times New Roman" w:cstheme="minorHAnsi"/>
                <w:sz w:val="20"/>
              </w:rPr>
              <w:t xml:space="preserve"> by using two-way tables and segmented bar graphs.</w:t>
            </w:r>
          </w:p>
        </w:tc>
      </w:tr>
      <w:tr w:rsidR="00047A8C" w:rsidRPr="00A005FE" w:rsidTr="00F04B85">
        <w:trPr>
          <w:trHeight w:val="20"/>
          <w:tblHeader/>
        </w:trPr>
        <w:tc>
          <w:tcPr>
            <w:tcW w:w="1350"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EC.SP.VSD.4</w:t>
            </w:r>
          </w:p>
        </w:tc>
        <w:tc>
          <w:tcPr>
            <w:tcW w:w="12420"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Scatterplots, including plots over time, can reveal patterns, trends, clusters, and gaps that are useful in analyzing the association between two contextual variables.</w:t>
            </w:r>
          </w:p>
        </w:tc>
      </w:tr>
      <w:tr w:rsidR="00047A8C" w:rsidRPr="00A005FE" w:rsidTr="00F04B85">
        <w:trPr>
          <w:trHeight w:val="20"/>
          <w:tblHeader/>
        </w:trPr>
        <w:tc>
          <w:tcPr>
            <w:tcW w:w="1350"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EC.SP.VSD.5</w:t>
            </w:r>
          </w:p>
        </w:tc>
        <w:tc>
          <w:tcPr>
            <w:tcW w:w="12420"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Analyzing the association between two quantitative variables should involve statistical procedures, such as examining (with technology) the sum of squared deviations in fitting a linear model, analyzing residuals for patterns, generating a least-squares regression line and finding a correlation coefficient, and differentiating between correlation and causation.</w:t>
            </w:r>
          </w:p>
        </w:tc>
      </w:tr>
      <w:tr w:rsidR="00047A8C" w:rsidRPr="00A005FE" w:rsidTr="00F04B85">
        <w:trPr>
          <w:trHeight w:val="332"/>
          <w:tblHeader/>
        </w:trPr>
        <w:tc>
          <w:tcPr>
            <w:tcW w:w="1350"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EC.SP.VSD.6</w:t>
            </w:r>
          </w:p>
        </w:tc>
        <w:tc>
          <w:tcPr>
            <w:tcW w:w="12420"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 xml:space="preserve">Data-analysis techniques </w:t>
            </w:r>
            <w:proofErr w:type="gramStart"/>
            <w:r w:rsidRPr="00A005FE">
              <w:rPr>
                <w:rFonts w:eastAsia="Times New Roman" w:cstheme="minorHAnsi"/>
                <w:sz w:val="20"/>
              </w:rPr>
              <w:t>can be used</w:t>
            </w:r>
            <w:proofErr w:type="gramEnd"/>
            <w:r w:rsidRPr="00A005FE">
              <w:rPr>
                <w:rFonts w:eastAsia="Times New Roman" w:cstheme="minorHAnsi"/>
                <w:sz w:val="20"/>
              </w:rPr>
              <w:t xml:space="preserve"> to develop models of contextual situations and to generate and evaluate possible solutions to real problems involving those contexts.</w:t>
            </w:r>
          </w:p>
        </w:tc>
      </w:tr>
    </w:tbl>
    <w:p w:rsidR="00047A8C" w:rsidRDefault="00047A8C" w:rsidP="00047A8C"/>
    <w:p w:rsidR="00047A8C" w:rsidRDefault="00047A8C" w:rsidP="00047A8C">
      <w:pPr>
        <w:pStyle w:val="Heading2"/>
      </w:pPr>
      <w:r>
        <w:br w:type="page"/>
      </w:r>
      <w:r w:rsidRPr="00A005FE">
        <w:lastRenderedPageBreak/>
        <w:t>Focus 3: Statistical Inference</w:t>
      </w:r>
      <w:r>
        <w:t xml:space="preserve"> (EC.SP.SI)</w:t>
      </w:r>
    </w:p>
    <w:tbl>
      <w:tblPr>
        <w:tblW w:w="137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for NCTM Essential Concepts in Statistics and Probability, Focus 3: Statistical Inference (EC.SP.I)"/>
      </w:tblPr>
      <w:tblGrid>
        <w:gridCol w:w="1350"/>
        <w:gridCol w:w="12420"/>
      </w:tblGrid>
      <w:tr w:rsidR="00047A8C" w:rsidRPr="00047A8C" w:rsidTr="00F04B85">
        <w:trPr>
          <w:trHeight w:val="20"/>
          <w:tblHeader/>
        </w:trPr>
        <w:tc>
          <w:tcPr>
            <w:tcW w:w="1350" w:type="dxa"/>
            <w:shd w:val="clear" w:color="auto" w:fill="1B75BC"/>
            <w:noWrap/>
            <w:hideMark/>
          </w:tcPr>
          <w:p w:rsidR="00047A8C" w:rsidRPr="00047A8C" w:rsidRDefault="00047A8C" w:rsidP="00047A8C">
            <w:pPr>
              <w:jc w:val="center"/>
              <w:rPr>
                <w:rStyle w:val="Strong"/>
              </w:rPr>
            </w:pPr>
            <w:r w:rsidRPr="00047A8C">
              <w:rPr>
                <w:rStyle w:val="Strong"/>
              </w:rPr>
              <w:t>EC Code</w:t>
            </w:r>
          </w:p>
        </w:tc>
        <w:tc>
          <w:tcPr>
            <w:tcW w:w="12420" w:type="dxa"/>
            <w:shd w:val="clear" w:color="auto" w:fill="1B75BC"/>
            <w:hideMark/>
          </w:tcPr>
          <w:p w:rsidR="00047A8C" w:rsidRPr="00047A8C" w:rsidRDefault="00047A8C" w:rsidP="00047A8C">
            <w:pPr>
              <w:jc w:val="center"/>
              <w:rPr>
                <w:rStyle w:val="Strong"/>
              </w:rPr>
            </w:pPr>
            <w:r w:rsidRPr="00047A8C">
              <w:rPr>
                <w:rStyle w:val="Strong"/>
              </w:rPr>
              <w:t>NCTM Essential Concept</w:t>
            </w:r>
          </w:p>
        </w:tc>
      </w:tr>
      <w:tr w:rsidR="00047A8C" w:rsidRPr="00A005FE" w:rsidTr="00F04B85">
        <w:trPr>
          <w:trHeight w:val="20"/>
          <w:tblHeader/>
        </w:trPr>
        <w:tc>
          <w:tcPr>
            <w:tcW w:w="1350"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EC.SP.SI.1</w:t>
            </w:r>
          </w:p>
        </w:tc>
        <w:tc>
          <w:tcPr>
            <w:tcW w:w="12420"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Study designs are of three main types: sample survey, experiment, and observational study.</w:t>
            </w:r>
          </w:p>
        </w:tc>
      </w:tr>
      <w:tr w:rsidR="00047A8C" w:rsidRPr="00A005FE" w:rsidTr="00F04B85">
        <w:trPr>
          <w:trHeight w:val="20"/>
          <w:tblHeader/>
        </w:trPr>
        <w:tc>
          <w:tcPr>
            <w:tcW w:w="1350"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EC.SP.SI.2</w:t>
            </w:r>
          </w:p>
        </w:tc>
        <w:tc>
          <w:tcPr>
            <w:tcW w:w="12420"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The role of randomization is different in randomly selecting samples and in randomly assigning subjects to experimental treatment groups.</w:t>
            </w:r>
          </w:p>
        </w:tc>
      </w:tr>
      <w:tr w:rsidR="00047A8C" w:rsidRPr="00A005FE" w:rsidTr="00F04B85">
        <w:trPr>
          <w:trHeight w:val="20"/>
          <w:tblHeader/>
        </w:trPr>
        <w:tc>
          <w:tcPr>
            <w:tcW w:w="1350"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EC.SP.SI.3</w:t>
            </w:r>
          </w:p>
        </w:tc>
        <w:tc>
          <w:tcPr>
            <w:tcW w:w="12420"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The scope and validity of statistical inferences are dependent on the role of randomization in the study design.</w:t>
            </w:r>
          </w:p>
        </w:tc>
      </w:tr>
      <w:tr w:rsidR="00047A8C" w:rsidRPr="00A005FE" w:rsidTr="00F04B85">
        <w:trPr>
          <w:trHeight w:val="20"/>
          <w:tblHeader/>
        </w:trPr>
        <w:tc>
          <w:tcPr>
            <w:tcW w:w="1350"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EC.SP.SI.4</w:t>
            </w:r>
          </w:p>
        </w:tc>
        <w:tc>
          <w:tcPr>
            <w:tcW w:w="12420"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Bias, such as sampling, response, or nonresponse bias, may occur in surveys, yielding results that are not representative of the population of interest.</w:t>
            </w:r>
          </w:p>
        </w:tc>
      </w:tr>
      <w:tr w:rsidR="00047A8C" w:rsidRPr="00A005FE" w:rsidTr="00F04B85">
        <w:trPr>
          <w:trHeight w:val="20"/>
          <w:tblHeader/>
        </w:trPr>
        <w:tc>
          <w:tcPr>
            <w:tcW w:w="1350"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EC.SP.SI.5</w:t>
            </w:r>
          </w:p>
        </w:tc>
        <w:tc>
          <w:tcPr>
            <w:tcW w:w="12420"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The larger the sample size, the less the expected variability in the sampling distribution of a sample statistic.</w:t>
            </w:r>
          </w:p>
        </w:tc>
      </w:tr>
      <w:tr w:rsidR="00047A8C" w:rsidRPr="00A005FE" w:rsidTr="00F04B85">
        <w:trPr>
          <w:trHeight w:val="20"/>
          <w:tblHeader/>
        </w:trPr>
        <w:tc>
          <w:tcPr>
            <w:tcW w:w="1350"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EC.SP.SI.6</w:t>
            </w:r>
          </w:p>
        </w:tc>
        <w:tc>
          <w:tcPr>
            <w:tcW w:w="12420"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The sampling distribution of a sample statistic formed from repeated samples for a given sample size drawn from a population can be used to identify typical behavior for that statistic. Examining several such sampling distributions leads to estimating a set of plausible values for the population parameter, using the margin of error as a measure that describes the sampling variability.</w:t>
            </w:r>
          </w:p>
        </w:tc>
      </w:tr>
    </w:tbl>
    <w:p w:rsidR="00047A8C" w:rsidRDefault="00047A8C" w:rsidP="00047A8C">
      <w:pPr>
        <w:pStyle w:val="Heading2"/>
        <w:spacing w:before="120"/>
      </w:pPr>
      <w:r w:rsidRPr="00A005FE">
        <w:t>Focus 4: Probability</w:t>
      </w:r>
      <w:r>
        <w:t xml:space="preserve"> (EC.SP.P)</w:t>
      </w:r>
    </w:p>
    <w:tbl>
      <w:tblPr>
        <w:tblW w:w="137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for NCTM Essential Concepts in Statistics and Probability, Focus 4: Probability (EC.SP.P)"/>
      </w:tblPr>
      <w:tblGrid>
        <w:gridCol w:w="1350"/>
        <w:gridCol w:w="12420"/>
      </w:tblGrid>
      <w:tr w:rsidR="00047A8C" w:rsidRPr="00047A8C" w:rsidTr="00B85D84">
        <w:trPr>
          <w:trHeight w:val="20"/>
          <w:tblHeader/>
        </w:trPr>
        <w:tc>
          <w:tcPr>
            <w:tcW w:w="1350" w:type="dxa"/>
            <w:shd w:val="clear" w:color="auto" w:fill="1B75BC"/>
            <w:noWrap/>
            <w:hideMark/>
          </w:tcPr>
          <w:p w:rsidR="00047A8C" w:rsidRPr="00047A8C" w:rsidRDefault="00047A8C" w:rsidP="009E70EF">
            <w:pPr>
              <w:jc w:val="center"/>
              <w:rPr>
                <w:rStyle w:val="Strong"/>
              </w:rPr>
            </w:pPr>
            <w:r w:rsidRPr="00047A8C">
              <w:rPr>
                <w:rStyle w:val="Strong"/>
              </w:rPr>
              <w:t>EC Code</w:t>
            </w:r>
          </w:p>
        </w:tc>
        <w:tc>
          <w:tcPr>
            <w:tcW w:w="12420" w:type="dxa"/>
            <w:shd w:val="clear" w:color="auto" w:fill="1B75BC"/>
            <w:hideMark/>
          </w:tcPr>
          <w:p w:rsidR="00047A8C" w:rsidRPr="00047A8C" w:rsidRDefault="00047A8C" w:rsidP="009E70EF">
            <w:pPr>
              <w:jc w:val="center"/>
              <w:rPr>
                <w:rStyle w:val="Strong"/>
              </w:rPr>
            </w:pPr>
            <w:r w:rsidRPr="00047A8C">
              <w:rPr>
                <w:rStyle w:val="Strong"/>
              </w:rPr>
              <w:t>NCTM Essential Concept</w:t>
            </w:r>
          </w:p>
        </w:tc>
      </w:tr>
      <w:tr w:rsidR="00047A8C" w:rsidRPr="00A005FE" w:rsidTr="00B85D84">
        <w:trPr>
          <w:trHeight w:val="20"/>
          <w:tblHeader/>
        </w:trPr>
        <w:tc>
          <w:tcPr>
            <w:tcW w:w="1350"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EC.SP.P.1</w:t>
            </w:r>
          </w:p>
        </w:tc>
        <w:tc>
          <w:tcPr>
            <w:tcW w:w="12420"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 xml:space="preserve">Two events are independent if the occurrence of one event does not affect the probability of the other event. Determining whether two events are independent </w:t>
            </w:r>
            <w:proofErr w:type="gramStart"/>
            <w:r w:rsidRPr="00A005FE">
              <w:rPr>
                <w:rFonts w:eastAsia="Times New Roman" w:cstheme="minorHAnsi"/>
                <w:sz w:val="20"/>
              </w:rPr>
              <w:t>can be used</w:t>
            </w:r>
            <w:proofErr w:type="gramEnd"/>
            <w:r w:rsidRPr="00A005FE">
              <w:rPr>
                <w:rFonts w:eastAsia="Times New Roman" w:cstheme="minorHAnsi"/>
                <w:sz w:val="20"/>
              </w:rPr>
              <w:t xml:space="preserve"> for finding and understanding probabilities.</w:t>
            </w:r>
          </w:p>
        </w:tc>
      </w:tr>
      <w:tr w:rsidR="00047A8C" w:rsidRPr="00A005FE" w:rsidTr="00B85D84">
        <w:trPr>
          <w:trHeight w:val="20"/>
          <w:tblHeader/>
        </w:trPr>
        <w:tc>
          <w:tcPr>
            <w:tcW w:w="1350"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EC.SP.P.2</w:t>
            </w:r>
          </w:p>
        </w:tc>
        <w:tc>
          <w:tcPr>
            <w:tcW w:w="12420"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Conditional probabilities—that is, those probabilities that are “conditioned” by some known information—</w:t>
            </w:r>
            <w:proofErr w:type="gramStart"/>
            <w:r w:rsidRPr="00A005FE">
              <w:rPr>
                <w:rFonts w:eastAsia="Times New Roman" w:cstheme="minorHAnsi"/>
                <w:sz w:val="20"/>
              </w:rPr>
              <w:t>can be computed</w:t>
            </w:r>
            <w:proofErr w:type="gramEnd"/>
            <w:r w:rsidRPr="00A005FE">
              <w:rPr>
                <w:rFonts w:eastAsia="Times New Roman" w:cstheme="minorHAnsi"/>
                <w:sz w:val="20"/>
              </w:rPr>
              <w:t xml:space="preserve"> from data organized in contingency tables. Conditions or assumptions may affect the computation of a probability.</w:t>
            </w:r>
          </w:p>
        </w:tc>
      </w:tr>
    </w:tbl>
    <w:p w:rsidR="00047A8C" w:rsidRDefault="00047A8C" w:rsidP="00047A8C"/>
    <w:p w:rsidR="00C02BCB" w:rsidRDefault="00C02BCB" w:rsidP="00047A8C">
      <w:pPr>
        <w:pStyle w:val="Heading1"/>
        <w:rPr>
          <w:rFonts w:eastAsia="Times New Roman"/>
        </w:rPr>
      </w:pPr>
      <w:r>
        <w:rPr>
          <w:rFonts w:eastAsia="Times New Roman"/>
        </w:rPr>
        <w:t xml:space="preserve">NCTM </w:t>
      </w:r>
      <w:r w:rsidRPr="00A005FE">
        <w:rPr>
          <w:rFonts w:eastAsia="Times New Roman"/>
        </w:rPr>
        <w:t>Essential Concepts in Geometry and Measurement</w:t>
      </w:r>
      <w:r w:rsidR="00047A8C">
        <w:rPr>
          <w:rFonts w:eastAsia="Times New Roman"/>
        </w:rPr>
        <w:t xml:space="preserve"> (EC.GM)</w:t>
      </w:r>
    </w:p>
    <w:p w:rsidR="00047A8C" w:rsidRPr="00047A8C" w:rsidRDefault="00047A8C" w:rsidP="00047A8C">
      <w:pPr>
        <w:pStyle w:val="Heading2"/>
      </w:pPr>
      <w:r w:rsidRPr="00A005FE">
        <w:rPr>
          <w:rFonts w:eastAsia="Times New Roman"/>
        </w:rPr>
        <w:t>Focus 1: Measurement</w:t>
      </w:r>
      <w:r>
        <w:rPr>
          <w:rFonts w:eastAsia="Times New Roman"/>
        </w:rPr>
        <w:t xml:space="preserve"> (EC.GM.M)</w:t>
      </w:r>
    </w:p>
    <w:tbl>
      <w:tblPr>
        <w:tblW w:w="137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for NCTM Essential Concepts in Geometry and Measurement, Focus 1: Measurement (EC.GM.M)"/>
      </w:tblPr>
      <w:tblGrid>
        <w:gridCol w:w="1576"/>
        <w:gridCol w:w="12194"/>
      </w:tblGrid>
      <w:tr w:rsidR="00C02BCB" w:rsidRPr="00047A8C" w:rsidTr="00B85D84">
        <w:trPr>
          <w:trHeight w:val="20"/>
          <w:tblHeader/>
        </w:trPr>
        <w:tc>
          <w:tcPr>
            <w:tcW w:w="1576" w:type="dxa"/>
            <w:shd w:val="clear" w:color="auto" w:fill="1B75BC"/>
            <w:noWrap/>
            <w:hideMark/>
          </w:tcPr>
          <w:p w:rsidR="00C02BCB" w:rsidRPr="00047A8C" w:rsidRDefault="00C02BCB" w:rsidP="00B34587">
            <w:pPr>
              <w:jc w:val="center"/>
              <w:rPr>
                <w:rStyle w:val="Strong"/>
                <w:b w:val="0"/>
              </w:rPr>
            </w:pPr>
            <w:r w:rsidRPr="00047A8C">
              <w:rPr>
                <w:rStyle w:val="Strong"/>
                <w:b w:val="0"/>
              </w:rPr>
              <w:t>EC Code</w:t>
            </w:r>
          </w:p>
        </w:tc>
        <w:tc>
          <w:tcPr>
            <w:tcW w:w="12194" w:type="dxa"/>
            <w:shd w:val="clear" w:color="auto" w:fill="1B75BC"/>
            <w:hideMark/>
          </w:tcPr>
          <w:p w:rsidR="00C02BCB" w:rsidRPr="00047A8C" w:rsidRDefault="000E0372" w:rsidP="00B34587">
            <w:pPr>
              <w:jc w:val="center"/>
              <w:rPr>
                <w:rStyle w:val="Strong"/>
                <w:b w:val="0"/>
              </w:rPr>
            </w:pPr>
            <w:r w:rsidRPr="00047A8C">
              <w:rPr>
                <w:rStyle w:val="Strong"/>
                <w:b w:val="0"/>
              </w:rPr>
              <w:t xml:space="preserve">NCTM </w:t>
            </w:r>
            <w:r w:rsidR="00C02BCB" w:rsidRPr="00047A8C">
              <w:rPr>
                <w:rStyle w:val="Strong"/>
                <w:b w:val="0"/>
              </w:rPr>
              <w:t>Essential Concept</w:t>
            </w:r>
          </w:p>
        </w:tc>
      </w:tr>
      <w:tr w:rsidR="00C02BCB" w:rsidRPr="00A005FE" w:rsidTr="00B85D84">
        <w:trPr>
          <w:trHeight w:val="20"/>
          <w:tblHeader/>
        </w:trPr>
        <w:tc>
          <w:tcPr>
            <w:tcW w:w="1576" w:type="dxa"/>
            <w:shd w:val="clear" w:color="auto" w:fill="auto"/>
            <w:noWrap/>
            <w:hideMark/>
          </w:tcPr>
          <w:p w:rsidR="00A005FE" w:rsidRPr="00A005FE" w:rsidRDefault="00A005FE" w:rsidP="00A005FE">
            <w:pPr>
              <w:rPr>
                <w:rFonts w:eastAsia="Times New Roman" w:cstheme="minorHAnsi"/>
              </w:rPr>
            </w:pPr>
            <w:r w:rsidRPr="00A005FE">
              <w:rPr>
                <w:rFonts w:eastAsia="Times New Roman" w:cstheme="minorHAnsi"/>
              </w:rPr>
              <w:t>EC.GM.M.1</w:t>
            </w:r>
          </w:p>
        </w:tc>
        <w:tc>
          <w:tcPr>
            <w:tcW w:w="12194" w:type="dxa"/>
            <w:shd w:val="clear" w:color="auto" w:fill="auto"/>
            <w:hideMark/>
          </w:tcPr>
          <w:p w:rsidR="00A005FE" w:rsidRPr="00A005FE" w:rsidRDefault="00A005FE" w:rsidP="00A005FE">
            <w:pPr>
              <w:rPr>
                <w:rFonts w:eastAsia="Times New Roman" w:cstheme="minorHAnsi"/>
                <w:sz w:val="20"/>
              </w:rPr>
            </w:pPr>
            <w:r w:rsidRPr="00A005FE">
              <w:rPr>
                <w:rFonts w:eastAsia="Times New Roman" w:cstheme="minorHAnsi"/>
                <w:sz w:val="20"/>
              </w:rPr>
              <w:t xml:space="preserve">Areas and volumes of figures </w:t>
            </w:r>
            <w:proofErr w:type="gramStart"/>
            <w:r w:rsidRPr="00A005FE">
              <w:rPr>
                <w:rFonts w:eastAsia="Times New Roman" w:cstheme="minorHAnsi"/>
                <w:sz w:val="20"/>
              </w:rPr>
              <w:t>can be computed</w:t>
            </w:r>
            <w:proofErr w:type="gramEnd"/>
            <w:r w:rsidRPr="00A005FE">
              <w:rPr>
                <w:rFonts w:eastAsia="Times New Roman" w:cstheme="minorHAnsi"/>
                <w:sz w:val="20"/>
              </w:rPr>
              <w:t xml:space="preserve"> by determining how the figure might be obtained from simpler figures by dissection and recombining.</w:t>
            </w:r>
          </w:p>
        </w:tc>
      </w:tr>
      <w:tr w:rsidR="00C02BCB" w:rsidRPr="00A005FE" w:rsidTr="00B85D84">
        <w:trPr>
          <w:trHeight w:val="20"/>
          <w:tblHeader/>
        </w:trPr>
        <w:tc>
          <w:tcPr>
            <w:tcW w:w="1576" w:type="dxa"/>
            <w:shd w:val="clear" w:color="auto" w:fill="auto"/>
            <w:noWrap/>
            <w:hideMark/>
          </w:tcPr>
          <w:p w:rsidR="00A005FE" w:rsidRPr="00A005FE" w:rsidRDefault="00A005FE" w:rsidP="00A005FE">
            <w:pPr>
              <w:rPr>
                <w:rFonts w:eastAsia="Times New Roman" w:cstheme="minorHAnsi"/>
              </w:rPr>
            </w:pPr>
            <w:r w:rsidRPr="00A005FE">
              <w:rPr>
                <w:rFonts w:eastAsia="Times New Roman" w:cstheme="minorHAnsi"/>
              </w:rPr>
              <w:t>EC.GM.M.2</w:t>
            </w:r>
          </w:p>
        </w:tc>
        <w:tc>
          <w:tcPr>
            <w:tcW w:w="12194" w:type="dxa"/>
            <w:shd w:val="clear" w:color="auto" w:fill="auto"/>
            <w:hideMark/>
          </w:tcPr>
          <w:p w:rsidR="00A005FE" w:rsidRPr="00A005FE" w:rsidRDefault="00A005FE" w:rsidP="00A005FE">
            <w:pPr>
              <w:rPr>
                <w:rFonts w:eastAsia="Times New Roman" w:cstheme="minorHAnsi"/>
                <w:sz w:val="20"/>
              </w:rPr>
            </w:pPr>
            <w:r w:rsidRPr="00A005FE">
              <w:rPr>
                <w:rFonts w:eastAsia="Times New Roman" w:cstheme="minorHAnsi"/>
                <w:sz w:val="20"/>
              </w:rPr>
              <w:t>Constructing approximations of measurements with different tools, including technology, can support an understanding of measurement.</w:t>
            </w:r>
          </w:p>
        </w:tc>
      </w:tr>
      <w:tr w:rsidR="00C02BCB" w:rsidRPr="00A005FE" w:rsidTr="00B85D84">
        <w:trPr>
          <w:trHeight w:val="20"/>
          <w:tblHeader/>
        </w:trPr>
        <w:tc>
          <w:tcPr>
            <w:tcW w:w="1576" w:type="dxa"/>
            <w:shd w:val="clear" w:color="auto" w:fill="auto"/>
            <w:noWrap/>
            <w:hideMark/>
          </w:tcPr>
          <w:p w:rsidR="00A005FE" w:rsidRPr="00A005FE" w:rsidRDefault="00A005FE" w:rsidP="00A005FE">
            <w:pPr>
              <w:rPr>
                <w:rFonts w:eastAsia="Times New Roman" w:cstheme="minorHAnsi"/>
              </w:rPr>
            </w:pPr>
            <w:r w:rsidRPr="00A005FE">
              <w:rPr>
                <w:rFonts w:eastAsia="Times New Roman" w:cstheme="minorHAnsi"/>
              </w:rPr>
              <w:t>EC.GM.M.3</w:t>
            </w:r>
          </w:p>
        </w:tc>
        <w:tc>
          <w:tcPr>
            <w:tcW w:w="12194" w:type="dxa"/>
            <w:shd w:val="clear" w:color="auto" w:fill="auto"/>
            <w:hideMark/>
          </w:tcPr>
          <w:p w:rsidR="00A005FE" w:rsidRPr="00A005FE" w:rsidRDefault="00A005FE" w:rsidP="00A005FE">
            <w:pPr>
              <w:rPr>
                <w:rFonts w:eastAsia="Times New Roman" w:cstheme="minorHAnsi"/>
                <w:sz w:val="20"/>
              </w:rPr>
            </w:pPr>
            <w:r w:rsidRPr="00A005FE">
              <w:rPr>
                <w:rFonts w:eastAsia="Times New Roman" w:cstheme="minorHAnsi"/>
                <w:sz w:val="20"/>
              </w:rPr>
              <w:t xml:space="preserve">When an object is the image of a known object under a similarity transformation, a length, area, or volume on the image </w:t>
            </w:r>
            <w:proofErr w:type="gramStart"/>
            <w:r w:rsidRPr="00A005FE">
              <w:rPr>
                <w:rFonts w:eastAsia="Times New Roman" w:cstheme="minorHAnsi"/>
                <w:sz w:val="20"/>
              </w:rPr>
              <w:t>can be computed</w:t>
            </w:r>
            <w:proofErr w:type="gramEnd"/>
            <w:r w:rsidRPr="00A005FE">
              <w:rPr>
                <w:rFonts w:eastAsia="Times New Roman" w:cstheme="minorHAnsi"/>
                <w:sz w:val="20"/>
              </w:rPr>
              <w:t xml:space="preserve"> by using proportional relationships.</w:t>
            </w:r>
          </w:p>
        </w:tc>
      </w:tr>
    </w:tbl>
    <w:p w:rsidR="00F04B85" w:rsidRDefault="00F04B85" w:rsidP="00F04B85"/>
    <w:p w:rsidR="00F04B85" w:rsidRDefault="00F04B85" w:rsidP="00F04B85">
      <w:pPr>
        <w:rPr>
          <w:rFonts w:cstheme="minorHAnsi"/>
          <w:color w:val="000000" w:themeColor="text1"/>
          <w:sz w:val="24"/>
        </w:rPr>
      </w:pPr>
      <w:r>
        <w:br w:type="page"/>
      </w:r>
    </w:p>
    <w:p w:rsidR="00273275" w:rsidRDefault="00047A8C" w:rsidP="00047A8C">
      <w:pPr>
        <w:pStyle w:val="Heading2"/>
      </w:pPr>
      <w:r w:rsidRPr="00A005FE">
        <w:lastRenderedPageBreak/>
        <w:t>Focus 2: Transformations</w:t>
      </w:r>
      <w:r>
        <w:t xml:space="preserve"> (EC.GM.T)</w:t>
      </w:r>
    </w:p>
    <w:tbl>
      <w:tblPr>
        <w:tblW w:w="137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for NCTM Essential Concepts in Geometry and Measurement, Focus 2: Transformations (EC.GM.T)"/>
      </w:tblPr>
      <w:tblGrid>
        <w:gridCol w:w="1576"/>
        <w:gridCol w:w="12194"/>
      </w:tblGrid>
      <w:tr w:rsidR="00047A8C" w:rsidRPr="00047A8C" w:rsidTr="00B85D84">
        <w:trPr>
          <w:trHeight w:val="20"/>
          <w:tblHeader/>
        </w:trPr>
        <w:tc>
          <w:tcPr>
            <w:tcW w:w="1576" w:type="dxa"/>
            <w:shd w:val="clear" w:color="auto" w:fill="1B75BC"/>
            <w:noWrap/>
            <w:hideMark/>
          </w:tcPr>
          <w:p w:rsidR="00047A8C" w:rsidRPr="00047A8C" w:rsidRDefault="00047A8C" w:rsidP="009E70EF">
            <w:pPr>
              <w:jc w:val="center"/>
              <w:rPr>
                <w:rStyle w:val="Strong"/>
                <w:b w:val="0"/>
              </w:rPr>
            </w:pPr>
            <w:r w:rsidRPr="00047A8C">
              <w:rPr>
                <w:rStyle w:val="Strong"/>
                <w:b w:val="0"/>
              </w:rPr>
              <w:t>EC Code</w:t>
            </w:r>
          </w:p>
        </w:tc>
        <w:tc>
          <w:tcPr>
            <w:tcW w:w="12194" w:type="dxa"/>
            <w:shd w:val="clear" w:color="auto" w:fill="1B75BC"/>
            <w:hideMark/>
          </w:tcPr>
          <w:p w:rsidR="00047A8C" w:rsidRPr="00047A8C" w:rsidRDefault="00047A8C" w:rsidP="009E70EF">
            <w:pPr>
              <w:jc w:val="center"/>
              <w:rPr>
                <w:rStyle w:val="Strong"/>
                <w:b w:val="0"/>
              </w:rPr>
            </w:pPr>
            <w:r w:rsidRPr="00047A8C">
              <w:rPr>
                <w:rStyle w:val="Strong"/>
                <w:b w:val="0"/>
              </w:rPr>
              <w:t>NCTM Essential Concept</w:t>
            </w:r>
          </w:p>
        </w:tc>
      </w:tr>
      <w:tr w:rsidR="00047A8C" w:rsidRPr="00A005FE" w:rsidTr="00B85D84">
        <w:trPr>
          <w:trHeight w:val="20"/>
          <w:tblHeader/>
        </w:trPr>
        <w:tc>
          <w:tcPr>
            <w:tcW w:w="1576"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EC.GM.T.1</w:t>
            </w:r>
          </w:p>
        </w:tc>
        <w:tc>
          <w:tcPr>
            <w:tcW w:w="12194"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 xml:space="preserve">Applying geometric transformations to figures provides opportunities for describing the attributes of the figures preserved by the transformation and for describing symmetries by examining when a figure </w:t>
            </w:r>
            <w:proofErr w:type="gramStart"/>
            <w:r w:rsidRPr="00A005FE">
              <w:rPr>
                <w:rFonts w:eastAsia="Times New Roman" w:cstheme="minorHAnsi"/>
                <w:sz w:val="20"/>
              </w:rPr>
              <w:t>can be mapped</w:t>
            </w:r>
            <w:proofErr w:type="gramEnd"/>
            <w:r w:rsidRPr="00A005FE">
              <w:rPr>
                <w:rFonts w:eastAsia="Times New Roman" w:cstheme="minorHAnsi"/>
                <w:sz w:val="20"/>
              </w:rPr>
              <w:t xml:space="preserve"> onto itself.</w:t>
            </w:r>
          </w:p>
        </w:tc>
      </w:tr>
      <w:tr w:rsidR="00047A8C" w:rsidRPr="00A005FE" w:rsidTr="00B85D84">
        <w:trPr>
          <w:trHeight w:val="20"/>
          <w:tblHeader/>
        </w:trPr>
        <w:tc>
          <w:tcPr>
            <w:tcW w:w="1576"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EC.GM.T.2</w:t>
            </w:r>
          </w:p>
        </w:tc>
        <w:tc>
          <w:tcPr>
            <w:tcW w:w="12194"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Showing that two figures are congruent involves showing that there is a rigid motion (translation, rotation, reflection, or glide reflection) or, equivalently, a sequence of rigid motions that maps one figure to the other.</w:t>
            </w:r>
          </w:p>
        </w:tc>
      </w:tr>
      <w:tr w:rsidR="00047A8C" w:rsidRPr="00A005FE" w:rsidTr="00B85D84">
        <w:trPr>
          <w:trHeight w:val="20"/>
          <w:tblHeader/>
        </w:trPr>
        <w:tc>
          <w:tcPr>
            <w:tcW w:w="1576"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EC.GM.T.3</w:t>
            </w:r>
          </w:p>
        </w:tc>
        <w:tc>
          <w:tcPr>
            <w:tcW w:w="12194"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Showing that two figures are similar involves finding a similarity transformation (dilation or composite of a dilation with a rigid motion) or, equivalently, a sequence of similarity transformations that maps one figure onto the other.</w:t>
            </w:r>
          </w:p>
        </w:tc>
      </w:tr>
      <w:tr w:rsidR="00047A8C" w:rsidRPr="00A005FE" w:rsidTr="00B85D84">
        <w:trPr>
          <w:trHeight w:val="20"/>
          <w:tblHeader/>
        </w:trPr>
        <w:tc>
          <w:tcPr>
            <w:tcW w:w="1576"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EC.GM.T.4</w:t>
            </w:r>
          </w:p>
        </w:tc>
        <w:tc>
          <w:tcPr>
            <w:tcW w:w="12194"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Transformations in geometry serve as a connection with algebra, both through the concept of functions and through the analysis of graphs of functions as geometric figures.</w:t>
            </w:r>
          </w:p>
        </w:tc>
      </w:tr>
    </w:tbl>
    <w:p w:rsidR="00047A8C" w:rsidRPr="00A005FE" w:rsidRDefault="00047A8C" w:rsidP="00047A8C">
      <w:pPr>
        <w:pStyle w:val="Heading2"/>
      </w:pPr>
      <w:r w:rsidRPr="00A005FE">
        <w:t>Focus 3: Geometric Arguments, Reasoning, and Proof</w:t>
      </w:r>
      <w:r w:rsidR="00B85D84">
        <w:t xml:space="preserve"> (EC.GM.GARP)</w:t>
      </w:r>
    </w:p>
    <w:tbl>
      <w:tblPr>
        <w:tblW w:w="137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for NCTM Essential Concepts in Geometry and Measurement, Focus 3: Geometric Arguments, Reasoning, and Proof (EC.GM.GARP)"/>
      </w:tblPr>
      <w:tblGrid>
        <w:gridCol w:w="1576"/>
        <w:gridCol w:w="12194"/>
      </w:tblGrid>
      <w:tr w:rsidR="00047A8C" w:rsidRPr="00047A8C" w:rsidTr="00B85D84">
        <w:trPr>
          <w:trHeight w:val="20"/>
          <w:tblHeader/>
        </w:trPr>
        <w:tc>
          <w:tcPr>
            <w:tcW w:w="1576" w:type="dxa"/>
            <w:shd w:val="clear" w:color="auto" w:fill="1B75BC"/>
            <w:noWrap/>
            <w:hideMark/>
          </w:tcPr>
          <w:p w:rsidR="00047A8C" w:rsidRPr="00047A8C" w:rsidRDefault="00047A8C" w:rsidP="009E70EF">
            <w:pPr>
              <w:jc w:val="center"/>
              <w:rPr>
                <w:rStyle w:val="Strong"/>
                <w:b w:val="0"/>
              </w:rPr>
            </w:pPr>
            <w:r w:rsidRPr="00047A8C">
              <w:rPr>
                <w:rStyle w:val="Strong"/>
                <w:b w:val="0"/>
              </w:rPr>
              <w:t>EC Code</w:t>
            </w:r>
          </w:p>
        </w:tc>
        <w:tc>
          <w:tcPr>
            <w:tcW w:w="12194" w:type="dxa"/>
            <w:shd w:val="clear" w:color="auto" w:fill="1B75BC"/>
            <w:hideMark/>
          </w:tcPr>
          <w:p w:rsidR="00047A8C" w:rsidRPr="00047A8C" w:rsidRDefault="00047A8C" w:rsidP="009E70EF">
            <w:pPr>
              <w:jc w:val="center"/>
              <w:rPr>
                <w:rStyle w:val="Strong"/>
                <w:b w:val="0"/>
              </w:rPr>
            </w:pPr>
            <w:r w:rsidRPr="00047A8C">
              <w:rPr>
                <w:rStyle w:val="Strong"/>
                <w:b w:val="0"/>
              </w:rPr>
              <w:t>NCTM Essential Concept</w:t>
            </w:r>
          </w:p>
        </w:tc>
      </w:tr>
      <w:tr w:rsidR="00047A8C" w:rsidRPr="00A005FE" w:rsidTr="00B85D84">
        <w:trPr>
          <w:trHeight w:val="20"/>
          <w:tblHeader/>
        </w:trPr>
        <w:tc>
          <w:tcPr>
            <w:tcW w:w="1576"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EC.GM.GARP.1</w:t>
            </w:r>
          </w:p>
        </w:tc>
        <w:tc>
          <w:tcPr>
            <w:tcW w:w="12194"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 xml:space="preserve">Proof is the means by which we demonstrate whether a statement is true or false mathematically, and proofs </w:t>
            </w:r>
            <w:proofErr w:type="gramStart"/>
            <w:r w:rsidRPr="00A005FE">
              <w:rPr>
                <w:rFonts w:eastAsia="Times New Roman" w:cstheme="minorHAnsi"/>
                <w:sz w:val="20"/>
              </w:rPr>
              <w:t>can be communicated</w:t>
            </w:r>
            <w:proofErr w:type="gramEnd"/>
            <w:r w:rsidRPr="00A005FE">
              <w:rPr>
                <w:rFonts w:eastAsia="Times New Roman" w:cstheme="minorHAnsi"/>
                <w:sz w:val="20"/>
              </w:rPr>
              <w:t xml:space="preserve"> in a variety of ways (e.g., two-column, paragraph).</w:t>
            </w:r>
          </w:p>
        </w:tc>
      </w:tr>
      <w:tr w:rsidR="00047A8C" w:rsidRPr="00A005FE" w:rsidTr="00B85D84">
        <w:trPr>
          <w:trHeight w:val="20"/>
          <w:tblHeader/>
        </w:trPr>
        <w:tc>
          <w:tcPr>
            <w:tcW w:w="1576"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EC.GM.GARP.2</w:t>
            </w:r>
          </w:p>
        </w:tc>
        <w:tc>
          <w:tcPr>
            <w:tcW w:w="12194"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Using technology to construct and explore figures with constraints provides an opportunity to explore the independence and dependence of assumptions and conjectures.</w:t>
            </w:r>
          </w:p>
        </w:tc>
      </w:tr>
      <w:tr w:rsidR="00047A8C" w:rsidRPr="00A005FE" w:rsidTr="00B85D84">
        <w:trPr>
          <w:trHeight w:val="20"/>
          <w:tblHeader/>
        </w:trPr>
        <w:tc>
          <w:tcPr>
            <w:tcW w:w="1576"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EC.GM.GARP.3</w:t>
            </w:r>
          </w:p>
        </w:tc>
        <w:tc>
          <w:tcPr>
            <w:tcW w:w="12194"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Proofs of theorems can sometimes be made with transformations, coordinates, or algebra; all approaches can be useful, and in some cases one may provide a more accessible or understandable argument than another.</w:t>
            </w:r>
          </w:p>
        </w:tc>
      </w:tr>
    </w:tbl>
    <w:p w:rsidR="00047A8C" w:rsidRDefault="00F04B85" w:rsidP="00F04B85">
      <w:pPr>
        <w:pStyle w:val="Heading2"/>
      </w:pPr>
      <w:r w:rsidRPr="00F04B85">
        <w:t>Focus 4: Solving Applied Problems and Modeling in Geometry</w:t>
      </w:r>
      <w:r w:rsidR="00B85D84">
        <w:t xml:space="preserve"> (EC.GM.SAPM)</w:t>
      </w:r>
    </w:p>
    <w:tbl>
      <w:tblPr>
        <w:tblW w:w="137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for NCTM Essential Concepts in Geometry and Measurement, Focus 4: Solving Applied Problems in Modeling and Geometry (EC.GM.SAPM)"/>
      </w:tblPr>
      <w:tblGrid>
        <w:gridCol w:w="1576"/>
        <w:gridCol w:w="12194"/>
      </w:tblGrid>
      <w:tr w:rsidR="00047A8C" w:rsidRPr="00047A8C" w:rsidTr="00B85D84">
        <w:trPr>
          <w:trHeight w:val="20"/>
          <w:tblHeader/>
        </w:trPr>
        <w:tc>
          <w:tcPr>
            <w:tcW w:w="1576" w:type="dxa"/>
            <w:shd w:val="clear" w:color="auto" w:fill="1B75BC"/>
            <w:noWrap/>
            <w:hideMark/>
          </w:tcPr>
          <w:p w:rsidR="00047A8C" w:rsidRPr="00047A8C" w:rsidRDefault="00047A8C" w:rsidP="009E70EF">
            <w:pPr>
              <w:jc w:val="center"/>
              <w:rPr>
                <w:rStyle w:val="Strong"/>
                <w:b w:val="0"/>
              </w:rPr>
            </w:pPr>
            <w:r w:rsidRPr="00047A8C">
              <w:rPr>
                <w:rStyle w:val="Strong"/>
                <w:b w:val="0"/>
              </w:rPr>
              <w:t>EC Code</w:t>
            </w:r>
          </w:p>
        </w:tc>
        <w:tc>
          <w:tcPr>
            <w:tcW w:w="12194" w:type="dxa"/>
            <w:shd w:val="clear" w:color="auto" w:fill="1B75BC"/>
            <w:hideMark/>
          </w:tcPr>
          <w:p w:rsidR="00047A8C" w:rsidRPr="00047A8C" w:rsidRDefault="00047A8C" w:rsidP="009E70EF">
            <w:pPr>
              <w:jc w:val="center"/>
              <w:rPr>
                <w:rStyle w:val="Strong"/>
                <w:b w:val="0"/>
              </w:rPr>
            </w:pPr>
            <w:r w:rsidRPr="00047A8C">
              <w:rPr>
                <w:rStyle w:val="Strong"/>
                <w:b w:val="0"/>
              </w:rPr>
              <w:t>NCTM Essential Concept</w:t>
            </w:r>
          </w:p>
        </w:tc>
      </w:tr>
      <w:tr w:rsidR="00047A8C" w:rsidRPr="00A005FE" w:rsidTr="00B85D84">
        <w:trPr>
          <w:trHeight w:val="20"/>
          <w:tblHeader/>
        </w:trPr>
        <w:tc>
          <w:tcPr>
            <w:tcW w:w="1576"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EC.GM.SAPM.1</w:t>
            </w:r>
          </w:p>
        </w:tc>
        <w:tc>
          <w:tcPr>
            <w:tcW w:w="12194"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Recognizing congruence, similarity, symmetry, measurement opportunities, and other geometric ideas, including right triangle trigonometry in real-world contexts, provides a means of building understanding of these concepts and is a powerful tool for solving problems related to the physical world in which we live.</w:t>
            </w:r>
          </w:p>
        </w:tc>
      </w:tr>
      <w:tr w:rsidR="00047A8C" w:rsidRPr="00A005FE" w:rsidTr="00B85D84">
        <w:trPr>
          <w:trHeight w:val="20"/>
          <w:tblHeader/>
        </w:trPr>
        <w:tc>
          <w:tcPr>
            <w:tcW w:w="1576" w:type="dxa"/>
            <w:shd w:val="clear" w:color="auto" w:fill="auto"/>
            <w:noWrap/>
            <w:hideMark/>
          </w:tcPr>
          <w:p w:rsidR="00047A8C" w:rsidRPr="00A005FE" w:rsidRDefault="00047A8C" w:rsidP="009E70EF">
            <w:pPr>
              <w:rPr>
                <w:rFonts w:eastAsia="Times New Roman" w:cstheme="minorHAnsi"/>
              </w:rPr>
            </w:pPr>
            <w:r w:rsidRPr="00A005FE">
              <w:rPr>
                <w:rFonts w:eastAsia="Times New Roman" w:cstheme="minorHAnsi"/>
              </w:rPr>
              <w:t>EC.GM.SAPM.2</w:t>
            </w:r>
          </w:p>
        </w:tc>
        <w:tc>
          <w:tcPr>
            <w:tcW w:w="12194" w:type="dxa"/>
            <w:shd w:val="clear" w:color="auto" w:fill="auto"/>
            <w:hideMark/>
          </w:tcPr>
          <w:p w:rsidR="00047A8C" w:rsidRPr="00A005FE" w:rsidRDefault="00047A8C" w:rsidP="009E70EF">
            <w:pPr>
              <w:rPr>
                <w:rFonts w:eastAsia="Times New Roman" w:cstheme="minorHAnsi"/>
                <w:sz w:val="20"/>
              </w:rPr>
            </w:pPr>
            <w:r w:rsidRPr="00A005FE">
              <w:rPr>
                <w:rFonts w:eastAsia="Times New Roman" w:cstheme="minorHAnsi"/>
                <w:sz w:val="20"/>
              </w:rPr>
              <w:t>Experiencing the mathematical modeling cycle in problems involving geometric concepts, from the simplification of the real problem through the solving of the simplified problem, the interpretation of its solution, and the checking of the solution’s feasibility, introduces geometric techniques, tools, and points of view that are valuable to problem solving.</w:t>
            </w:r>
          </w:p>
        </w:tc>
      </w:tr>
    </w:tbl>
    <w:p w:rsidR="00047A8C" w:rsidRPr="00A005FE" w:rsidRDefault="00047A8C">
      <w:pPr>
        <w:rPr>
          <w:rFonts w:cstheme="minorHAnsi"/>
        </w:rPr>
      </w:pPr>
    </w:p>
    <w:sectPr w:rsidR="00047A8C" w:rsidRPr="00A005FE" w:rsidSect="003715BE">
      <w:headerReference w:type="default" r:id="rId9"/>
      <w:footerReference w:type="default" r:id="rId10"/>
      <w:pgSz w:w="15840" w:h="12240" w:orient="landscape" w:code="1"/>
      <w:pgMar w:top="1152" w:right="1440" w:bottom="1260" w:left="144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5FE" w:rsidRDefault="00A005FE" w:rsidP="00A005FE">
      <w:r>
        <w:separator/>
      </w:r>
    </w:p>
  </w:endnote>
  <w:endnote w:type="continuationSeparator" w:id="0">
    <w:p w:rsidR="00A005FE" w:rsidRDefault="00A005FE" w:rsidP="00A0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Pr>
      <w:id w:val="-800079013"/>
      <w:docPartObj>
        <w:docPartGallery w:val="Page Numbers (Bottom of Page)"/>
        <w:docPartUnique/>
      </w:docPartObj>
    </w:sdtPr>
    <w:sdtEndPr/>
    <w:sdtContent>
      <w:sdt>
        <w:sdtPr>
          <w:rPr>
            <w:rFonts w:cstheme="minorHAnsi"/>
          </w:rPr>
          <w:id w:val="-293293750"/>
          <w:docPartObj>
            <w:docPartGallery w:val="Page Numbers (Top of Page)"/>
            <w:docPartUnique/>
          </w:docPartObj>
        </w:sdtPr>
        <w:sdtEndPr/>
        <w:sdtContent>
          <w:p w:rsidR="003715BE" w:rsidRPr="003715BE" w:rsidRDefault="003715BE" w:rsidP="00C02BCB">
            <w:pPr>
              <w:pStyle w:val="Footer"/>
              <w:tabs>
                <w:tab w:val="clear" w:pos="9360"/>
                <w:tab w:val="right" w:pos="12960"/>
              </w:tabs>
              <w:rPr>
                <w:rFonts w:cstheme="minorHAnsi"/>
                <w:sz w:val="20"/>
              </w:rPr>
            </w:pPr>
            <w:r>
              <w:rPr>
                <w:noProof/>
              </w:rPr>
              <w:drawing>
                <wp:anchor distT="0" distB="0" distL="114300" distR="114300" simplePos="0" relativeHeight="251667968" behindDoc="0" locked="0" layoutInCell="1" allowOverlap="1">
                  <wp:simplePos x="0" y="0"/>
                  <wp:positionH relativeFrom="column">
                    <wp:posOffset>7058025</wp:posOffset>
                  </wp:positionH>
                  <wp:positionV relativeFrom="paragraph">
                    <wp:posOffset>4445</wp:posOffset>
                  </wp:positionV>
                  <wp:extent cx="1487805" cy="457200"/>
                  <wp:effectExtent l="0" t="0" r="0" b="0"/>
                  <wp:wrapNone/>
                  <wp:docPr id="12" name="Picture 12" descr="Oregon Math Proj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457200"/>
                          </a:xfrm>
                          <a:prstGeom prst="rect">
                            <a:avLst/>
                          </a:prstGeom>
                          <a:noFill/>
                        </pic:spPr>
                      </pic:pic>
                    </a:graphicData>
                  </a:graphic>
                  <wp14:sizeRelH relativeFrom="page">
                    <wp14:pctWidth>0</wp14:pctWidth>
                  </wp14:sizeRelH>
                  <wp14:sizeRelV relativeFrom="page">
                    <wp14:pctHeight>0</wp14:pctHeight>
                  </wp14:sizeRelV>
                </wp:anchor>
              </w:drawing>
            </w:r>
            <w:r w:rsidR="00C02BCB" w:rsidRPr="003715BE">
              <w:rPr>
                <w:rFonts w:cstheme="minorHAnsi"/>
                <w:sz w:val="20"/>
              </w:rPr>
              <w:t xml:space="preserve">NCTM Essential </w:t>
            </w:r>
            <w:r w:rsidR="00AE528A">
              <w:rPr>
                <w:rFonts w:cstheme="minorHAnsi"/>
                <w:sz w:val="20"/>
              </w:rPr>
              <w:t>Concepts</w:t>
            </w:r>
            <w:r w:rsidR="00C02BCB" w:rsidRPr="003715BE">
              <w:rPr>
                <w:rFonts w:cstheme="minorHAnsi"/>
                <w:sz w:val="20"/>
              </w:rPr>
              <w:t xml:space="preserve"> (2018) </w:t>
            </w:r>
          </w:p>
          <w:p w:rsidR="00C02BCB" w:rsidRPr="00C02BCB" w:rsidRDefault="00C02BCB" w:rsidP="00C02BCB">
            <w:pPr>
              <w:pStyle w:val="Footer"/>
              <w:tabs>
                <w:tab w:val="clear" w:pos="9360"/>
                <w:tab w:val="right" w:pos="12960"/>
              </w:tabs>
              <w:rPr>
                <w:rFonts w:cstheme="minorHAnsi"/>
              </w:rPr>
            </w:pPr>
            <w:r w:rsidRPr="003715BE">
              <w:rPr>
                <w:rFonts w:cstheme="minorHAnsi"/>
                <w:sz w:val="20"/>
              </w:rPr>
              <w:t xml:space="preserve">Page </w:t>
            </w:r>
            <w:r w:rsidRPr="003715BE">
              <w:rPr>
                <w:rFonts w:cstheme="minorHAnsi"/>
                <w:b/>
                <w:bCs/>
                <w:sz w:val="20"/>
              </w:rPr>
              <w:fldChar w:fldCharType="begin"/>
            </w:r>
            <w:r w:rsidRPr="003715BE">
              <w:rPr>
                <w:rFonts w:cstheme="minorHAnsi"/>
                <w:b/>
                <w:bCs/>
                <w:sz w:val="20"/>
              </w:rPr>
              <w:instrText xml:space="preserve"> PAGE </w:instrText>
            </w:r>
            <w:r w:rsidRPr="003715BE">
              <w:rPr>
                <w:rFonts w:cstheme="minorHAnsi"/>
                <w:b/>
                <w:bCs/>
                <w:sz w:val="20"/>
              </w:rPr>
              <w:fldChar w:fldCharType="separate"/>
            </w:r>
            <w:r w:rsidR="006860B1">
              <w:rPr>
                <w:rFonts w:cstheme="minorHAnsi"/>
                <w:b/>
                <w:bCs/>
                <w:noProof/>
                <w:sz w:val="20"/>
              </w:rPr>
              <w:t>2</w:t>
            </w:r>
            <w:r w:rsidRPr="003715BE">
              <w:rPr>
                <w:rFonts w:cstheme="minorHAnsi"/>
                <w:b/>
                <w:bCs/>
                <w:sz w:val="20"/>
              </w:rPr>
              <w:fldChar w:fldCharType="end"/>
            </w:r>
            <w:r w:rsidRPr="003715BE">
              <w:rPr>
                <w:rFonts w:cstheme="minorHAnsi"/>
                <w:sz w:val="20"/>
              </w:rPr>
              <w:t xml:space="preserve"> of </w:t>
            </w:r>
            <w:r w:rsidRPr="003715BE">
              <w:rPr>
                <w:rFonts w:cstheme="minorHAnsi"/>
                <w:b/>
                <w:bCs/>
                <w:sz w:val="20"/>
              </w:rPr>
              <w:fldChar w:fldCharType="begin"/>
            </w:r>
            <w:r w:rsidRPr="003715BE">
              <w:rPr>
                <w:rFonts w:cstheme="minorHAnsi"/>
                <w:b/>
                <w:bCs/>
                <w:sz w:val="20"/>
              </w:rPr>
              <w:instrText xml:space="preserve"> NUMPAGES  </w:instrText>
            </w:r>
            <w:r w:rsidRPr="003715BE">
              <w:rPr>
                <w:rFonts w:cstheme="minorHAnsi"/>
                <w:b/>
                <w:bCs/>
                <w:sz w:val="20"/>
              </w:rPr>
              <w:fldChar w:fldCharType="separate"/>
            </w:r>
            <w:r w:rsidR="006860B1">
              <w:rPr>
                <w:rFonts w:cstheme="minorHAnsi"/>
                <w:b/>
                <w:bCs/>
                <w:noProof/>
                <w:sz w:val="20"/>
              </w:rPr>
              <w:t>5</w:t>
            </w:r>
            <w:r w:rsidRPr="003715BE">
              <w:rPr>
                <w:rFonts w:cstheme="minorHAnsi"/>
                <w:b/>
                <w:bCs/>
                <w:sz w:val="20"/>
              </w:rPr>
              <w:fldChar w:fldCharType="end"/>
            </w:r>
          </w:p>
        </w:sdtContent>
      </w:sdt>
    </w:sdtContent>
  </w:sdt>
  <w:p w:rsidR="00C02BCB" w:rsidRDefault="00C02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5FE" w:rsidRDefault="00A005FE" w:rsidP="00A005FE">
      <w:r>
        <w:separator/>
      </w:r>
    </w:p>
  </w:footnote>
  <w:footnote w:type="continuationSeparator" w:id="0">
    <w:p w:rsidR="00A005FE" w:rsidRDefault="00A005FE" w:rsidP="00A00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C1" w:rsidRPr="00FC2BC1" w:rsidRDefault="00FC2BC1" w:rsidP="00FC2BC1">
    <w:pPr>
      <w:pStyle w:val="Subtitle"/>
      <w:spacing w:after="0" w:line="240" w:lineRule="auto"/>
      <w:ind w:left="-270"/>
      <w:rPr>
        <w:rStyle w:val="TitleChar"/>
        <w:b w:val="0"/>
      </w:rPr>
    </w:pPr>
    <w:r w:rsidRPr="00FC2BC1">
      <w:rPr>
        <w:rStyle w:val="TitleChar"/>
        <w:b w:val="0"/>
      </w:rPr>
      <w:t>2020 High School Math Standards Project</w:t>
    </w:r>
  </w:p>
  <w:p w:rsidR="009716E2" w:rsidRPr="00FC2BC1" w:rsidRDefault="009716E2" w:rsidP="00FC2BC1">
    <w:pPr>
      <w:pStyle w:val="Heading2"/>
      <w:spacing w:before="120" w:after="0"/>
    </w:pPr>
    <w:r w:rsidRPr="00FC2BC1">
      <w:t xml:space="preserve">NCTM Essential </w:t>
    </w:r>
    <w:r w:rsidR="00AE528A" w:rsidRPr="00FC2BC1">
      <w:t>Concepts</w:t>
    </w:r>
    <w:r w:rsidRPr="00FC2BC1">
      <w:t xml:space="preserve"> from Catalyzing Change (2018)</w:t>
    </w:r>
  </w:p>
  <w:p w:rsidR="00C02BCB" w:rsidRDefault="006860B1" w:rsidP="009716E2">
    <w:pPr>
      <w:pStyle w:val="Header"/>
    </w:pPr>
    <w:r>
      <w:pict>
        <v:rect id="_x0000_i1025" style="width:309.95pt;height:.05pt" o:hrpct="984"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FE"/>
    <w:rsid w:val="00047A8C"/>
    <w:rsid w:val="000E0372"/>
    <w:rsid w:val="00163082"/>
    <w:rsid w:val="00273275"/>
    <w:rsid w:val="002D3790"/>
    <w:rsid w:val="003715BE"/>
    <w:rsid w:val="00513285"/>
    <w:rsid w:val="005864C4"/>
    <w:rsid w:val="00641DF3"/>
    <w:rsid w:val="006860B1"/>
    <w:rsid w:val="00716DC4"/>
    <w:rsid w:val="00736DF5"/>
    <w:rsid w:val="007E093D"/>
    <w:rsid w:val="0081113D"/>
    <w:rsid w:val="0084749F"/>
    <w:rsid w:val="008D2ACD"/>
    <w:rsid w:val="00944C28"/>
    <w:rsid w:val="009716E2"/>
    <w:rsid w:val="00A005FE"/>
    <w:rsid w:val="00A51843"/>
    <w:rsid w:val="00A92B18"/>
    <w:rsid w:val="00AE528A"/>
    <w:rsid w:val="00B85D84"/>
    <w:rsid w:val="00C02BCB"/>
    <w:rsid w:val="00CB1B95"/>
    <w:rsid w:val="00E17D9B"/>
    <w:rsid w:val="00E955D3"/>
    <w:rsid w:val="00F04B85"/>
    <w:rsid w:val="00F31488"/>
    <w:rsid w:val="00FC2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5:chartTrackingRefBased/>
  <w15:docId w15:val="{D060A040-7F15-487C-AF23-4B94B2AC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5FE"/>
  </w:style>
  <w:style w:type="paragraph" w:styleId="Heading1">
    <w:name w:val="heading 1"/>
    <w:basedOn w:val="Normal"/>
    <w:next w:val="Normal"/>
    <w:link w:val="Heading1Char"/>
    <w:uiPriority w:val="9"/>
    <w:qFormat/>
    <w:rsid w:val="00FC2BC1"/>
    <w:pPr>
      <w:keepNext/>
      <w:keepLines/>
      <w:spacing w:before="120" w:after="120"/>
      <w:ind w:left="-180" w:right="-540"/>
      <w:jc w:val="center"/>
      <w:outlineLvl w:val="0"/>
    </w:pPr>
    <w:rPr>
      <w:rFonts w:eastAsiaTheme="majorEastAsia" w:cstheme="minorHAnsi"/>
      <w:b/>
      <w:color w:val="1B75BC"/>
      <w:sz w:val="28"/>
      <w:szCs w:val="32"/>
    </w:rPr>
  </w:style>
  <w:style w:type="paragraph" w:styleId="Heading2">
    <w:name w:val="heading 2"/>
    <w:basedOn w:val="Normal"/>
    <w:next w:val="Normal"/>
    <w:link w:val="Heading2Char"/>
    <w:uiPriority w:val="9"/>
    <w:unhideWhenUsed/>
    <w:qFormat/>
    <w:rsid w:val="00FC2BC1"/>
    <w:pPr>
      <w:spacing w:before="200" w:after="80"/>
      <w:ind w:left="-274"/>
      <w:outlineLvl w:val="1"/>
    </w:pPr>
    <w:rPr>
      <w:rFonts w:cstheme="minorHAns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0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5FE"/>
    <w:pPr>
      <w:tabs>
        <w:tab w:val="center" w:pos="4680"/>
        <w:tab w:val="right" w:pos="9360"/>
      </w:tabs>
    </w:pPr>
  </w:style>
  <w:style w:type="character" w:customStyle="1" w:styleId="HeaderChar">
    <w:name w:val="Header Char"/>
    <w:basedOn w:val="DefaultParagraphFont"/>
    <w:link w:val="Header"/>
    <w:uiPriority w:val="99"/>
    <w:rsid w:val="00A005FE"/>
  </w:style>
  <w:style w:type="paragraph" w:styleId="Footer">
    <w:name w:val="footer"/>
    <w:basedOn w:val="Normal"/>
    <w:link w:val="FooterChar"/>
    <w:uiPriority w:val="99"/>
    <w:unhideWhenUsed/>
    <w:rsid w:val="00A005FE"/>
    <w:pPr>
      <w:tabs>
        <w:tab w:val="center" w:pos="4680"/>
        <w:tab w:val="right" w:pos="9360"/>
      </w:tabs>
    </w:pPr>
  </w:style>
  <w:style w:type="character" w:customStyle="1" w:styleId="FooterChar">
    <w:name w:val="Footer Char"/>
    <w:basedOn w:val="DefaultParagraphFont"/>
    <w:link w:val="Footer"/>
    <w:uiPriority w:val="99"/>
    <w:rsid w:val="00A005FE"/>
  </w:style>
  <w:style w:type="character" w:customStyle="1" w:styleId="Heading1Char">
    <w:name w:val="Heading 1 Char"/>
    <w:basedOn w:val="DefaultParagraphFont"/>
    <w:link w:val="Heading1"/>
    <w:uiPriority w:val="9"/>
    <w:rsid w:val="00FC2BC1"/>
    <w:rPr>
      <w:rFonts w:eastAsiaTheme="majorEastAsia" w:cstheme="minorHAnsi"/>
      <w:b/>
      <w:color w:val="1B75BC"/>
      <w:sz w:val="28"/>
      <w:szCs w:val="32"/>
    </w:rPr>
  </w:style>
  <w:style w:type="character" w:styleId="Hyperlink">
    <w:name w:val="Hyperlink"/>
    <w:basedOn w:val="DefaultParagraphFont"/>
    <w:uiPriority w:val="99"/>
    <w:unhideWhenUsed/>
    <w:rsid w:val="00C02BCB"/>
    <w:rPr>
      <w:color w:val="0000FF" w:themeColor="hyperlink"/>
      <w:u w:val="single"/>
    </w:rPr>
  </w:style>
  <w:style w:type="paragraph" w:styleId="Title">
    <w:name w:val="Title"/>
    <w:basedOn w:val="Heading1"/>
    <w:next w:val="Normal"/>
    <w:link w:val="TitleChar"/>
    <w:uiPriority w:val="10"/>
    <w:qFormat/>
    <w:rsid w:val="00A92B18"/>
    <w:pPr>
      <w:keepNext w:val="0"/>
      <w:keepLines w:val="0"/>
      <w:spacing w:before="0" w:after="0"/>
    </w:pPr>
    <w:rPr>
      <w:rFonts w:asciiTheme="majorHAnsi" w:eastAsiaTheme="minorHAnsi" w:hAnsiTheme="majorHAnsi" w:cstheme="minorBidi"/>
      <w:b w:val="0"/>
      <w:noProof/>
      <w:sz w:val="32"/>
      <w:szCs w:val="22"/>
    </w:rPr>
  </w:style>
  <w:style w:type="character" w:customStyle="1" w:styleId="TitleChar">
    <w:name w:val="Title Char"/>
    <w:basedOn w:val="DefaultParagraphFont"/>
    <w:link w:val="Title"/>
    <w:uiPriority w:val="10"/>
    <w:rsid w:val="00A92B18"/>
    <w:rPr>
      <w:rFonts w:asciiTheme="majorHAnsi" w:hAnsiTheme="majorHAnsi"/>
      <w:b/>
      <w:noProof/>
      <w:color w:val="1B75BC"/>
      <w:sz w:val="32"/>
    </w:rPr>
  </w:style>
  <w:style w:type="paragraph" w:styleId="Subtitle">
    <w:name w:val="Subtitle"/>
    <w:basedOn w:val="Heading2"/>
    <w:next w:val="Normal"/>
    <w:link w:val="SubtitleChar"/>
    <w:uiPriority w:val="11"/>
    <w:qFormat/>
    <w:rsid w:val="009716E2"/>
    <w:pPr>
      <w:spacing w:before="0" w:after="200" w:line="276" w:lineRule="auto"/>
      <w:ind w:left="720"/>
    </w:pPr>
    <w:rPr>
      <w:rFonts w:cstheme="minorBidi"/>
      <w:b w:val="0"/>
      <w:color w:val="auto"/>
      <w:sz w:val="22"/>
    </w:rPr>
  </w:style>
  <w:style w:type="character" w:customStyle="1" w:styleId="SubtitleChar">
    <w:name w:val="Subtitle Char"/>
    <w:basedOn w:val="DefaultParagraphFont"/>
    <w:link w:val="Subtitle"/>
    <w:uiPriority w:val="11"/>
    <w:rsid w:val="009716E2"/>
    <w:rPr>
      <w:b/>
    </w:rPr>
  </w:style>
  <w:style w:type="character" w:customStyle="1" w:styleId="Heading2Char">
    <w:name w:val="Heading 2 Char"/>
    <w:basedOn w:val="DefaultParagraphFont"/>
    <w:link w:val="Heading2"/>
    <w:uiPriority w:val="9"/>
    <w:rsid w:val="00FC2BC1"/>
    <w:rPr>
      <w:rFonts w:cstheme="minorHAnsi"/>
      <w:b/>
      <w:color w:val="000000" w:themeColor="text1"/>
      <w:sz w:val="24"/>
    </w:rPr>
  </w:style>
  <w:style w:type="character" w:styleId="Strong">
    <w:name w:val="Strong"/>
    <w:basedOn w:val="DefaultParagraphFont"/>
    <w:uiPriority w:val="22"/>
    <w:qFormat/>
    <w:rsid w:val="00FC2BC1"/>
    <w:rPr>
      <w:b/>
      <w:b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622574">
      <w:bodyDiv w:val="1"/>
      <w:marLeft w:val="0"/>
      <w:marRight w:val="0"/>
      <w:marTop w:val="0"/>
      <w:marBottom w:val="0"/>
      <w:divBdr>
        <w:top w:val="none" w:sz="0" w:space="0" w:color="auto"/>
        <w:left w:val="none" w:sz="0" w:space="0" w:color="auto"/>
        <w:bottom w:val="none" w:sz="0" w:space="0" w:color="auto"/>
        <w:right w:val="none" w:sz="0" w:space="0" w:color="auto"/>
      </w:divBdr>
    </w:div>
    <w:div w:id="1490949814">
      <w:bodyDiv w:val="1"/>
      <w:marLeft w:val="0"/>
      <w:marRight w:val="0"/>
      <w:marTop w:val="0"/>
      <w:marBottom w:val="0"/>
      <w:divBdr>
        <w:top w:val="none" w:sz="0" w:space="0" w:color="auto"/>
        <w:left w:val="none" w:sz="0" w:space="0" w:color="auto"/>
        <w:bottom w:val="none" w:sz="0" w:space="0" w:color="auto"/>
        <w:right w:val="none" w:sz="0" w:space="0" w:color="auto"/>
      </w:divBdr>
    </w:div>
    <w:div w:id="171535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educator-resources/standards/mathematics/Documents/Finding%20Focus%20Toolkit.docx"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regon.gov/ode/educator-resources/standards/mathematics/Pages/Oregon-Math-Projec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7A34422E9F444A66E2AD5A9CEA856" ma:contentTypeVersion="8" ma:contentTypeDescription="Create a new document." ma:contentTypeScope="" ma:versionID="3270c7a33a401281c6a4ae54adadce9f">
  <xsd:schema xmlns:xsd="http://www.w3.org/2001/XMLSchema" xmlns:xs="http://www.w3.org/2001/XMLSchema" xmlns:p="http://schemas.microsoft.com/office/2006/metadata/properties" xmlns:ns1="http://schemas.microsoft.com/sharepoint/v3" xmlns:ns2="deb2c2fb-1e3f-4583-bd3d-0a14ccee2e69" xmlns:ns3="54031767-dd6d-417c-ab73-583408f47564" targetNamespace="http://schemas.microsoft.com/office/2006/metadata/properties" ma:root="true" ma:fieldsID="4b81e50753eda006097a97a37faf2831" ns1:_="" ns2:_="" ns3:_="">
    <xsd:import namespace="http://schemas.microsoft.com/sharepoint/v3"/>
    <xsd:import namespace="deb2c2fb-1e3f-4583-bd3d-0a14ccee2e6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b2c2fb-1e3f-4583-bd3d-0a14ccee2e6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deb2c2fb-1e3f-4583-bd3d-0a14ccee2e69">New</Priority>
    <Estimated_x0020_Creation_x0020_Date xmlns="deb2c2fb-1e3f-4583-bd3d-0a14ccee2e69" xsi:nil="true"/>
    <Remediation_x0020_Date xmlns="deb2c2fb-1e3f-4583-bd3d-0a14ccee2e69">2019-01-28T08:00:00+00:00</Remediation_x0020_Date>
  </documentManagement>
</p:properties>
</file>

<file path=customXml/itemProps1.xml><?xml version="1.0" encoding="utf-8"?>
<ds:datastoreItem xmlns:ds="http://schemas.openxmlformats.org/officeDocument/2006/customXml" ds:itemID="{26D1880C-9137-4DA2-895B-E42DA93751D7}"/>
</file>

<file path=customXml/itemProps2.xml><?xml version="1.0" encoding="utf-8"?>
<ds:datastoreItem xmlns:ds="http://schemas.openxmlformats.org/officeDocument/2006/customXml" ds:itemID="{A7135573-164C-4670-AD96-D119CD16FE8C}"/>
</file>

<file path=customXml/itemProps3.xml><?xml version="1.0" encoding="utf-8"?>
<ds:datastoreItem xmlns:ds="http://schemas.openxmlformats.org/officeDocument/2006/customXml" ds:itemID="{1FA44070-F3BA-43D9-98CF-37C37D50FCDE}"/>
</file>

<file path=customXml/itemProps4.xml><?xml version="1.0" encoding="utf-8"?>
<ds:datastoreItem xmlns:ds="http://schemas.openxmlformats.org/officeDocument/2006/customXml" ds:itemID="{9D6643A6-95C0-4A0F-82F6-8E103C442213}"/>
</file>

<file path=docProps/app.xml><?xml version="1.0" encoding="utf-8"?>
<Properties xmlns="http://schemas.openxmlformats.org/officeDocument/2006/extended-properties" xmlns:vt="http://schemas.openxmlformats.org/officeDocument/2006/docPropsVTypes">
  <Template>Normal</Template>
  <TotalTime>0</TotalTime>
  <Pages>5</Pages>
  <Words>1886</Words>
  <Characters>10755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NCTM Essential Concepts 2018</dc:title>
  <dc:subject/>
  <dc:creator>FREED Mark - ODE</dc:creator>
  <cp:keywords/>
  <dc:description/>
  <cp:lastModifiedBy>NELSON Terri - ODE</cp:lastModifiedBy>
  <cp:revision>2</cp:revision>
  <cp:lastPrinted>2019-01-02T19:28:00Z</cp:lastPrinted>
  <dcterms:created xsi:type="dcterms:W3CDTF">2019-01-28T16:44:00Z</dcterms:created>
  <dcterms:modified xsi:type="dcterms:W3CDTF">2019-01-28T16:44:00Z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0x01010055B7A34422E9F444A66E2AD5A9CEA856</vt:lpwstr>
  </property>
</Properties>
</file>