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02"/>
        <w:tblW w:w="14130" w:type="dxa"/>
        <w:tblLook w:val="04A0" w:firstRow="1" w:lastRow="0" w:firstColumn="1" w:lastColumn="0" w:noHBand="0" w:noVBand="1"/>
      </w:tblPr>
      <w:tblGrid>
        <w:gridCol w:w="2700"/>
        <w:gridCol w:w="3780"/>
        <w:gridCol w:w="7650"/>
      </w:tblGrid>
      <w:tr w:rsidR="00CB19FB" w:rsidRPr="00B91383" w:rsidTr="002F7C59">
        <w:trPr>
          <w:trHeight w:val="440"/>
        </w:trPr>
        <w:tc>
          <w:tcPr>
            <w:tcW w:w="2700" w:type="dxa"/>
            <w:shd w:val="clear" w:color="auto" w:fill="8CAF47"/>
          </w:tcPr>
          <w:p w:rsidR="00CB19FB" w:rsidRDefault="00CB19FB" w:rsidP="002F7C59"/>
        </w:tc>
        <w:tc>
          <w:tcPr>
            <w:tcW w:w="11430" w:type="dxa"/>
            <w:gridSpan w:val="2"/>
            <w:shd w:val="clear" w:color="auto" w:fill="8CAF47"/>
          </w:tcPr>
          <w:p w:rsidR="00CB19FB" w:rsidRPr="00B91383" w:rsidRDefault="00CB19FB" w:rsidP="002F7C59">
            <w:pPr>
              <w:rPr>
                <w:b/>
                <w:color w:val="FFFFFF" w:themeColor="background1"/>
              </w:rPr>
            </w:pPr>
            <w:r w:rsidRPr="00B91383">
              <w:rPr>
                <w:b/>
                <w:color w:val="FFFFFF" w:themeColor="background1"/>
              </w:rPr>
              <w:t>SECTION 1: Alignment to the 2016 Oregon Health Standards</w:t>
            </w:r>
          </w:p>
        </w:tc>
      </w:tr>
      <w:tr w:rsidR="0023582E" w:rsidTr="002F7C59">
        <w:trPr>
          <w:trHeight w:val="260"/>
        </w:trPr>
        <w:tc>
          <w:tcPr>
            <w:tcW w:w="2700" w:type="dxa"/>
            <w:vMerge w:val="restart"/>
          </w:tcPr>
          <w:p w:rsidR="0023582E" w:rsidRPr="00DB5078" w:rsidRDefault="0023582E" w:rsidP="002F7C59">
            <w:pPr>
              <w:rPr>
                <w:rFonts w:cstheme="minorHAnsi"/>
                <w:b/>
                <w:sz w:val="20"/>
                <w:szCs w:val="20"/>
              </w:rPr>
            </w:pPr>
            <w:r w:rsidRPr="00DB5078">
              <w:rPr>
                <w:rFonts w:cstheme="minorHAnsi"/>
                <w:b/>
                <w:sz w:val="20"/>
                <w:szCs w:val="20"/>
              </w:rPr>
              <w:t>Criterion 1</w:t>
            </w:r>
            <w:r>
              <w:rPr>
                <w:rFonts w:cstheme="minorHAnsi"/>
                <w:b/>
                <w:sz w:val="20"/>
                <w:szCs w:val="20"/>
              </w:rPr>
              <w:t xml:space="preserve"> &amp; 2</w:t>
            </w:r>
            <w:r w:rsidRPr="00DB5078">
              <w:rPr>
                <w:rFonts w:cstheme="minorHAnsi"/>
                <w:b/>
                <w:sz w:val="20"/>
                <w:szCs w:val="20"/>
              </w:rPr>
              <w:t>: FOCUS</w:t>
            </w:r>
          </w:p>
          <w:p w:rsidR="0023582E" w:rsidRPr="00DB5078" w:rsidRDefault="0023582E" w:rsidP="002F7C59">
            <w:pPr>
              <w:rPr>
                <w:rFonts w:cstheme="minorHAnsi"/>
                <w:b/>
                <w:sz w:val="20"/>
                <w:szCs w:val="20"/>
              </w:rPr>
            </w:pPr>
          </w:p>
          <w:p w:rsidR="0023582E" w:rsidRPr="00DB5078" w:rsidRDefault="0023582E" w:rsidP="002F7C59">
            <w:pPr>
              <w:rPr>
                <w:rFonts w:cstheme="minorHAnsi"/>
                <w:sz w:val="20"/>
                <w:szCs w:val="20"/>
              </w:rPr>
            </w:pPr>
            <w:r>
              <w:rPr>
                <w:rFonts w:ascii="Calibri" w:hAnsi="Calibri"/>
                <w:color w:val="000000"/>
              </w:rPr>
              <w:t>Materials focus on in-depth learning of health education core standards, performance indicators, and best practices. Materials provide differentiated instructional strategies and learning experiences built on researched-based and theoretical approaches that are multicultural, age-appropriate, and developmentally-appropriate.</w:t>
            </w:r>
          </w:p>
          <w:p w:rsidR="0023582E" w:rsidRPr="00DB5078" w:rsidRDefault="0023582E" w:rsidP="002F7C59">
            <w:pPr>
              <w:rPr>
                <w:rFonts w:cstheme="minorHAnsi"/>
                <w:b/>
                <w:sz w:val="20"/>
                <w:szCs w:val="20"/>
              </w:rPr>
            </w:pPr>
          </w:p>
          <w:p w:rsidR="003537EB" w:rsidRPr="00DB5078" w:rsidRDefault="003537EB" w:rsidP="003537EB">
            <w:pPr>
              <w:rPr>
                <w:rFonts w:cstheme="minorHAnsi"/>
                <w:b/>
                <w:sz w:val="20"/>
                <w:szCs w:val="20"/>
              </w:rPr>
            </w:pPr>
            <w:r w:rsidRPr="00DB5078">
              <w:rPr>
                <w:rFonts w:cstheme="minorHAnsi"/>
                <w:b/>
                <w:sz w:val="20"/>
                <w:szCs w:val="20"/>
              </w:rPr>
              <w:t>4: Meets all criteria</w:t>
            </w:r>
          </w:p>
          <w:p w:rsidR="003537EB" w:rsidRPr="00DB5078" w:rsidRDefault="003537EB" w:rsidP="003537EB">
            <w:pPr>
              <w:rPr>
                <w:rFonts w:cstheme="minorHAnsi"/>
                <w:b/>
                <w:sz w:val="20"/>
                <w:szCs w:val="20"/>
              </w:rPr>
            </w:pPr>
            <w:r>
              <w:rPr>
                <w:rFonts w:cstheme="minorHAnsi"/>
                <w:b/>
                <w:sz w:val="20"/>
                <w:szCs w:val="20"/>
              </w:rPr>
              <w:t xml:space="preserve">    (12</w:t>
            </w:r>
            <w:r w:rsidRPr="00DB5078">
              <w:rPr>
                <w:rFonts w:cstheme="minorHAnsi"/>
                <w:b/>
                <w:sz w:val="20"/>
                <w:szCs w:val="20"/>
              </w:rPr>
              <w:t xml:space="preserve"> points)</w:t>
            </w:r>
          </w:p>
          <w:p w:rsidR="003537EB" w:rsidRPr="00DB5078" w:rsidRDefault="003537EB" w:rsidP="003537EB">
            <w:pPr>
              <w:rPr>
                <w:rFonts w:cstheme="minorHAnsi"/>
                <w:b/>
                <w:sz w:val="20"/>
                <w:szCs w:val="20"/>
              </w:rPr>
            </w:pPr>
            <w:r w:rsidRPr="00DB5078">
              <w:rPr>
                <w:rFonts w:cstheme="minorHAnsi"/>
                <w:b/>
                <w:sz w:val="20"/>
                <w:szCs w:val="20"/>
              </w:rPr>
              <w:t>3: Adheres to the criteria</w:t>
            </w:r>
          </w:p>
          <w:p w:rsidR="003537EB" w:rsidRPr="00DB5078" w:rsidRDefault="003537EB" w:rsidP="003537EB">
            <w:pPr>
              <w:rPr>
                <w:rFonts w:cstheme="minorHAnsi"/>
                <w:b/>
                <w:sz w:val="20"/>
                <w:szCs w:val="20"/>
              </w:rPr>
            </w:pPr>
            <w:r>
              <w:rPr>
                <w:rFonts w:cstheme="minorHAnsi"/>
                <w:b/>
                <w:sz w:val="20"/>
                <w:szCs w:val="20"/>
              </w:rPr>
              <w:t xml:space="preserve">    (9</w:t>
            </w:r>
            <w:r w:rsidRPr="00DB5078">
              <w:rPr>
                <w:rFonts w:cstheme="minorHAnsi"/>
                <w:b/>
                <w:sz w:val="20"/>
                <w:szCs w:val="20"/>
              </w:rPr>
              <w:t>-</w:t>
            </w:r>
            <w:r>
              <w:rPr>
                <w:rFonts w:cstheme="minorHAnsi"/>
                <w:b/>
                <w:sz w:val="20"/>
                <w:szCs w:val="20"/>
              </w:rPr>
              <w:t>11</w:t>
            </w:r>
            <w:r w:rsidRPr="00DB5078">
              <w:rPr>
                <w:rFonts w:cstheme="minorHAnsi"/>
                <w:b/>
                <w:sz w:val="20"/>
                <w:szCs w:val="20"/>
              </w:rPr>
              <w:t xml:space="preserve"> points, no zeros)</w:t>
            </w:r>
          </w:p>
          <w:p w:rsidR="003537EB" w:rsidRPr="00DB5078" w:rsidRDefault="003537EB" w:rsidP="003537EB">
            <w:pPr>
              <w:rPr>
                <w:rFonts w:cstheme="minorHAnsi"/>
                <w:b/>
                <w:sz w:val="20"/>
                <w:szCs w:val="20"/>
              </w:rPr>
            </w:pPr>
            <w:r w:rsidRPr="00DB5078">
              <w:rPr>
                <w:rFonts w:cstheme="minorHAnsi"/>
                <w:b/>
                <w:sz w:val="20"/>
                <w:szCs w:val="20"/>
              </w:rPr>
              <w:t>2: Sometimes adheres to the criteria</w:t>
            </w:r>
          </w:p>
          <w:p w:rsidR="003537EB" w:rsidRPr="00DB5078" w:rsidRDefault="003537EB" w:rsidP="003537EB">
            <w:pPr>
              <w:rPr>
                <w:rFonts w:cstheme="minorHAnsi"/>
                <w:b/>
                <w:sz w:val="20"/>
                <w:szCs w:val="20"/>
              </w:rPr>
            </w:pPr>
            <w:r>
              <w:rPr>
                <w:rFonts w:cstheme="minorHAnsi"/>
                <w:b/>
                <w:sz w:val="20"/>
                <w:szCs w:val="20"/>
              </w:rPr>
              <w:t xml:space="preserve">    (6-8</w:t>
            </w:r>
            <w:r w:rsidRPr="00DB5078">
              <w:rPr>
                <w:rFonts w:cstheme="minorHAnsi"/>
                <w:b/>
                <w:sz w:val="20"/>
                <w:szCs w:val="20"/>
              </w:rPr>
              <w:t xml:space="preserve"> points)</w:t>
            </w:r>
          </w:p>
          <w:p w:rsidR="003537EB" w:rsidRPr="00DB5078" w:rsidRDefault="003537EB" w:rsidP="003537EB">
            <w:pPr>
              <w:rPr>
                <w:rFonts w:cstheme="minorHAnsi"/>
                <w:b/>
                <w:sz w:val="20"/>
                <w:szCs w:val="20"/>
              </w:rPr>
            </w:pPr>
            <w:r w:rsidRPr="00DB5078">
              <w:rPr>
                <w:rFonts w:cstheme="minorHAnsi"/>
                <w:b/>
                <w:sz w:val="20"/>
                <w:szCs w:val="20"/>
              </w:rPr>
              <w:t>1: Occasionally adheres to the criteria</w:t>
            </w:r>
          </w:p>
          <w:p w:rsidR="003537EB" w:rsidRPr="00DB5078" w:rsidRDefault="003537EB" w:rsidP="003537EB">
            <w:pPr>
              <w:rPr>
                <w:rFonts w:cstheme="minorHAnsi"/>
                <w:b/>
                <w:sz w:val="20"/>
                <w:szCs w:val="20"/>
              </w:rPr>
            </w:pPr>
            <w:r>
              <w:rPr>
                <w:rFonts w:cstheme="minorHAnsi"/>
                <w:b/>
                <w:sz w:val="20"/>
                <w:szCs w:val="20"/>
              </w:rPr>
              <w:t xml:space="preserve">    (3-5</w:t>
            </w:r>
            <w:r w:rsidRPr="00DB5078">
              <w:rPr>
                <w:rFonts w:cstheme="minorHAnsi"/>
                <w:b/>
                <w:sz w:val="20"/>
                <w:szCs w:val="20"/>
              </w:rPr>
              <w:t xml:space="preserve"> points)</w:t>
            </w:r>
          </w:p>
          <w:p w:rsidR="003537EB" w:rsidRPr="00DB5078" w:rsidRDefault="003537EB" w:rsidP="003537EB">
            <w:pPr>
              <w:rPr>
                <w:rFonts w:cstheme="minorHAnsi"/>
                <w:b/>
                <w:sz w:val="20"/>
                <w:szCs w:val="20"/>
              </w:rPr>
            </w:pPr>
            <w:r w:rsidRPr="00DB5078">
              <w:rPr>
                <w:rFonts w:cstheme="minorHAnsi"/>
                <w:b/>
                <w:sz w:val="20"/>
                <w:szCs w:val="20"/>
              </w:rPr>
              <w:t>0: Does not meet the criteria</w:t>
            </w:r>
          </w:p>
          <w:p w:rsidR="0023582E" w:rsidRPr="00DB5078" w:rsidRDefault="0023582E" w:rsidP="002F7C59">
            <w:pPr>
              <w:rPr>
                <w:rFonts w:cstheme="minorHAnsi"/>
                <w:sz w:val="20"/>
                <w:szCs w:val="20"/>
              </w:rPr>
            </w:pPr>
          </w:p>
          <w:p w:rsidR="0023582E" w:rsidRPr="00DB5078" w:rsidRDefault="0023582E" w:rsidP="002F7C59">
            <w:pPr>
              <w:rPr>
                <w:b/>
                <w:sz w:val="20"/>
                <w:szCs w:val="20"/>
              </w:rPr>
            </w:pPr>
            <w:r w:rsidRPr="00DB5078">
              <w:rPr>
                <w:rFonts w:cstheme="minorHAnsi"/>
                <w:b/>
                <w:sz w:val="20"/>
                <w:szCs w:val="20"/>
              </w:rPr>
              <w:t xml:space="preserve">Final Comments and </w:t>
            </w:r>
            <w:r w:rsidRPr="00DB5078">
              <w:rPr>
                <w:b/>
                <w:sz w:val="20"/>
                <w:szCs w:val="20"/>
              </w:rPr>
              <w:t xml:space="preserve">Suggestions for </w:t>
            </w:r>
          </w:p>
          <w:p w:rsidR="0023582E" w:rsidRPr="00DB5078" w:rsidRDefault="0023582E" w:rsidP="002F7C59">
            <w:pPr>
              <w:rPr>
                <w:b/>
              </w:rPr>
            </w:pPr>
            <w:r w:rsidRPr="00DB5078">
              <w:rPr>
                <w:b/>
                <w:sz w:val="20"/>
                <w:szCs w:val="20"/>
              </w:rPr>
              <w:t>Improvement</w:t>
            </w:r>
            <w:r>
              <w:rPr>
                <w:b/>
                <w:sz w:val="20"/>
                <w:szCs w:val="20"/>
              </w:rPr>
              <w:t>:</w:t>
            </w:r>
          </w:p>
        </w:tc>
        <w:tc>
          <w:tcPr>
            <w:tcW w:w="3780" w:type="dxa"/>
          </w:tcPr>
          <w:p w:rsidR="0023582E" w:rsidRDefault="0023582E" w:rsidP="002F7C59">
            <w:r>
              <w:t>Quality Indicators</w:t>
            </w:r>
          </w:p>
        </w:tc>
        <w:tc>
          <w:tcPr>
            <w:tcW w:w="7650" w:type="dxa"/>
          </w:tcPr>
          <w:p w:rsidR="0023582E" w:rsidRDefault="0023582E" w:rsidP="002F7C59">
            <w:r>
              <w:t>EXAMPLES IN TEXT (PROVIDED BY PUBLISHER)</w:t>
            </w:r>
          </w:p>
        </w:tc>
      </w:tr>
      <w:tr w:rsidR="003537EB" w:rsidTr="0023582E">
        <w:trPr>
          <w:trHeight w:val="1689"/>
        </w:trPr>
        <w:tc>
          <w:tcPr>
            <w:tcW w:w="2700" w:type="dxa"/>
            <w:vMerge/>
          </w:tcPr>
          <w:p w:rsidR="003537EB" w:rsidRDefault="003537EB" w:rsidP="003537EB"/>
        </w:tc>
        <w:tc>
          <w:tcPr>
            <w:tcW w:w="3780" w:type="dxa"/>
          </w:tcPr>
          <w:p w:rsidR="003537EB" w:rsidRDefault="003537EB" w:rsidP="00A56FE9">
            <w:r w:rsidRPr="009907F5">
              <w:rPr>
                <w:b/>
              </w:rPr>
              <w:t>1a.</w:t>
            </w:r>
            <w:r w:rsidR="00A56FE9">
              <w:t xml:space="preserve"> In each 6</w:t>
            </w:r>
            <w:r>
              <w:t>-</w:t>
            </w:r>
            <w:r w:rsidR="00A56FE9">
              <w:t>8</w:t>
            </w:r>
            <w:r>
              <w:t xml:space="preserve"> grade level, materials focus on in-depth learning of health education core standards and performance indicators, and address best practices. </w:t>
            </w:r>
          </w:p>
        </w:tc>
        <w:tc>
          <w:tcPr>
            <w:tcW w:w="7650" w:type="dxa"/>
            <w:vMerge w:val="restart"/>
          </w:tcPr>
          <w:p w:rsidR="003537EB" w:rsidRDefault="003537EB" w:rsidP="003537EB">
            <w:r>
              <w:t>Examples for Criterion 1:</w:t>
            </w:r>
          </w:p>
          <w:sdt>
            <w:sdtPr>
              <w:id w:val="-100880134"/>
              <w:placeholder>
                <w:docPart w:val="DefaultPlaceholder_1082065158"/>
              </w:placeholder>
              <w:showingPlcHdr/>
              <w:text/>
            </w:sdtPr>
            <w:sdtEndPr/>
            <w:sdtContent>
              <w:p w:rsidR="003537EB" w:rsidRDefault="00A30339" w:rsidP="003537EB">
                <w:r w:rsidRPr="0058543A">
                  <w:rPr>
                    <w:rStyle w:val="PlaceholderText"/>
                  </w:rPr>
                  <w:t>Click here to enter text.</w:t>
                </w:r>
              </w:p>
            </w:sdtContent>
          </w:sdt>
          <w:p w:rsidR="00A30339" w:rsidRDefault="00A30339" w:rsidP="003537EB"/>
          <w:p w:rsidR="003537EB" w:rsidRDefault="003537EB" w:rsidP="003537EB">
            <w:r>
              <w:t>Examples for Criterion 2:</w:t>
            </w:r>
          </w:p>
          <w:sdt>
            <w:sdtPr>
              <w:id w:val="-2071566919"/>
              <w:placeholder>
                <w:docPart w:val="DefaultPlaceholder_1082065158"/>
              </w:placeholder>
              <w:showingPlcHdr/>
              <w:text/>
            </w:sdtPr>
            <w:sdtEndPr/>
            <w:sdtContent>
              <w:p w:rsidR="00A30339" w:rsidRDefault="00A30339" w:rsidP="003537EB">
                <w:r w:rsidRPr="0058543A">
                  <w:rPr>
                    <w:rStyle w:val="PlaceholderText"/>
                  </w:rPr>
                  <w:t>Click here to enter text.</w:t>
                </w:r>
              </w:p>
            </w:sdtContent>
          </w:sdt>
        </w:tc>
      </w:tr>
      <w:tr w:rsidR="003537EB" w:rsidTr="002F7C59">
        <w:trPr>
          <w:trHeight w:val="1689"/>
        </w:trPr>
        <w:tc>
          <w:tcPr>
            <w:tcW w:w="2700" w:type="dxa"/>
            <w:vMerge/>
          </w:tcPr>
          <w:p w:rsidR="003537EB" w:rsidRDefault="003537EB" w:rsidP="003537EB"/>
        </w:tc>
        <w:tc>
          <w:tcPr>
            <w:tcW w:w="3780" w:type="dxa"/>
          </w:tcPr>
          <w:p w:rsidR="003537EB" w:rsidRDefault="003537EB" w:rsidP="003537EB">
            <w:r w:rsidRPr="009907F5">
              <w:rPr>
                <w:b/>
              </w:rPr>
              <w:t>1b.</w:t>
            </w:r>
            <w:r>
              <w:rPr>
                <w:b/>
              </w:rPr>
              <w:t xml:space="preserve"> </w:t>
            </w:r>
            <w:r>
              <w:t>Materials engage in the development of the knowledge and skills to develop confidence to become health literate individuals.</w:t>
            </w:r>
          </w:p>
        </w:tc>
        <w:tc>
          <w:tcPr>
            <w:tcW w:w="7650" w:type="dxa"/>
            <w:vMerge/>
          </w:tcPr>
          <w:p w:rsidR="003537EB" w:rsidRDefault="003537EB" w:rsidP="003537EB"/>
        </w:tc>
      </w:tr>
      <w:tr w:rsidR="003537EB" w:rsidTr="002F7C59">
        <w:trPr>
          <w:trHeight w:val="1689"/>
        </w:trPr>
        <w:tc>
          <w:tcPr>
            <w:tcW w:w="2700" w:type="dxa"/>
            <w:vMerge/>
          </w:tcPr>
          <w:p w:rsidR="003537EB" w:rsidRDefault="003537EB" w:rsidP="003537EB"/>
        </w:tc>
        <w:tc>
          <w:tcPr>
            <w:tcW w:w="3780" w:type="dxa"/>
          </w:tcPr>
          <w:p w:rsidR="003537EB" w:rsidRDefault="003537EB" w:rsidP="003537EB">
            <w:r w:rsidRPr="009907F5">
              <w:rPr>
                <w:b/>
              </w:rPr>
              <w:t>1c.</w:t>
            </w:r>
            <w:r>
              <w:t xml:space="preserve"> Materials facilitate deeper understanding and application to experience healthful living.</w:t>
            </w:r>
          </w:p>
          <w:p w:rsidR="003537EB" w:rsidRDefault="003537EB" w:rsidP="003537EB"/>
          <w:p w:rsidR="003537EB" w:rsidRPr="00966F45" w:rsidRDefault="003537EB" w:rsidP="003537EB">
            <w:pPr>
              <w:jc w:val="center"/>
            </w:pPr>
          </w:p>
        </w:tc>
        <w:tc>
          <w:tcPr>
            <w:tcW w:w="7650" w:type="dxa"/>
            <w:vMerge/>
          </w:tcPr>
          <w:p w:rsidR="003537EB" w:rsidRDefault="003537EB" w:rsidP="003537EB"/>
        </w:tc>
      </w:tr>
      <w:tr w:rsidR="003537EB" w:rsidTr="002F7C59">
        <w:trPr>
          <w:trHeight w:val="1689"/>
        </w:trPr>
        <w:tc>
          <w:tcPr>
            <w:tcW w:w="2700" w:type="dxa"/>
            <w:vMerge/>
          </w:tcPr>
          <w:p w:rsidR="003537EB" w:rsidRDefault="003537EB" w:rsidP="003537EB"/>
        </w:tc>
        <w:tc>
          <w:tcPr>
            <w:tcW w:w="3780" w:type="dxa"/>
          </w:tcPr>
          <w:p w:rsidR="003537EB" w:rsidRDefault="003537EB" w:rsidP="003537EB">
            <w:r w:rsidRPr="009907F5">
              <w:rPr>
                <w:b/>
              </w:rPr>
              <w:t>2a.</w:t>
            </w:r>
            <w:r>
              <w:t xml:space="preserve"> In each </w:t>
            </w:r>
            <w:r w:rsidR="00A56FE9">
              <w:t>6-8</w:t>
            </w:r>
            <w:r>
              <w:t xml:space="preserve"> grade level, m</w:t>
            </w:r>
            <w:r>
              <w:rPr>
                <w:rFonts w:ascii="Calibri" w:hAnsi="Calibri"/>
                <w:color w:val="000000"/>
              </w:rPr>
              <w:t>aterials provide differentiated instructional strategies and learning experiences built on researched-based and theoretical approaches.</w:t>
            </w:r>
          </w:p>
        </w:tc>
        <w:tc>
          <w:tcPr>
            <w:tcW w:w="7650" w:type="dxa"/>
            <w:vMerge/>
          </w:tcPr>
          <w:p w:rsidR="003537EB" w:rsidRDefault="003537EB" w:rsidP="003537EB"/>
        </w:tc>
      </w:tr>
      <w:tr w:rsidR="003537EB" w:rsidTr="002F7C59">
        <w:trPr>
          <w:trHeight w:val="1689"/>
        </w:trPr>
        <w:tc>
          <w:tcPr>
            <w:tcW w:w="2700" w:type="dxa"/>
            <w:vMerge/>
          </w:tcPr>
          <w:p w:rsidR="003537EB" w:rsidRDefault="003537EB" w:rsidP="003537EB"/>
        </w:tc>
        <w:tc>
          <w:tcPr>
            <w:tcW w:w="3780" w:type="dxa"/>
          </w:tcPr>
          <w:p w:rsidR="003537EB" w:rsidRDefault="003537EB" w:rsidP="003537EB">
            <w:r w:rsidRPr="009907F5">
              <w:rPr>
                <w:b/>
              </w:rPr>
              <w:t>2b&amp;c.</w:t>
            </w:r>
            <w:r>
              <w:t xml:space="preserve"> Materials provide multicultural, age-appropriate, and developmentally-appropriate academic content.</w:t>
            </w:r>
          </w:p>
        </w:tc>
        <w:tc>
          <w:tcPr>
            <w:tcW w:w="7650" w:type="dxa"/>
            <w:vMerge/>
          </w:tcPr>
          <w:p w:rsidR="003537EB" w:rsidRDefault="003537EB" w:rsidP="003537EB"/>
        </w:tc>
      </w:tr>
    </w:tbl>
    <w:p w:rsidR="003740B4" w:rsidRDefault="003740B4"/>
    <w:tbl>
      <w:tblPr>
        <w:tblStyle w:val="TableGrid"/>
        <w:tblpPr w:leftFromText="180" w:rightFromText="180" w:horzAnchor="margin" w:tblpXSpec="center" w:tblpY="-402"/>
        <w:tblW w:w="14130" w:type="dxa"/>
        <w:tblLook w:val="04A0" w:firstRow="1" w:lastRow="0" w:firstColumn="1" w:lastColumn="0" w:noHBand="0" w:noVBand="1"/>
      </w:tblPr>
      <w:tblGrid>
        <w:gridCol w:w="2700"/>
        <w:gridCol w:w="11430"/>
      </w:tblGrid>
      <w:tr w:rsidR="00CB19FB" w:rsidRPr="00B91383" w:rsidTr="0049350D">
        <w:trPr>
          <w:trHeight w:val="440"/>
        </w:trPr>
        <w:tc>
          <w:tcPr>
            <w:tcW w:w="2700" w:type="dxa"/>
            <w:shd w:val="clear" w:color="auto" w:fill="365F91"/>
          </w:tcPr>
          <w:p w:rsidR="00CB19FB" w:rsidRDefault="00CB19FB" w:rsidP="002F7C59"/>
        </w:tc>
        <w:tc>
          <w:tcPr>
            <w:tcW w:w="11430" w:type="dxa"/>
            <w:shd w:val="clear" w:color="auto" w:fill="365F91"/>
            <w:vAlign w:val="center"/>
          </w:tcPr>
          <w:p w:rsidR="00CB19FB" w:rsidRPr="00B91383" w:rsidRDefault="00CB19FB" w:rsidP="00C71472">
            <w:pPr>
              <w:rPr>
                <w:b/>
                <w:color w:val="FFFFFF" w:themeColor="background1"/>
              </w:rPr>
            </w:pPr>
            <w:r w:rsidRPr="00B91383">
              <w:rPr>
                <w:b/>
                <w:color w:val="FFFFFF" w:themeColor="background1"/>
              </w:rPr>
              <w:t xml:space="preserve">SECTION </w:t>
            </w:r>
            <w:r w:rsidR="00C71472">
              <w:rPr>
                <w:b/>
                <w:color w:val="FFFFFF" w:themeColor="background1"/>
              </w:rPr>
              <w:t>I</w:t>
            </w:r>
            <w:r w:rsidRPr="00B91383">
              <w:rPr>
                <w:b/>
                <w:color w:val="FFFFFF" w:themeColor="background1"/>
              </w:rPr>
              <w:t>: Alignment to the 2016 Oregon Health Standards</w:t>
            </w:r>
          </w:p>
        </w:tc>
      </w:tr>
    </w:tbl>
    <w:tbl>
      <w:tblPr>
        <w:tblStyle w:val="TableGrid"/>
        <w:tblW w:w="14040" w:type="dxa"/>
        <w:tblInd w:w="-432" w:type="dxa"/>
        <w:tblLook w:val="04A0" w:firstRow="1" w:lastRow="0" w:firstColumn="1" w:lastColumn="0" w:noHBand="0" w:noVBand="1"/>
      </w:tblPr>
      <w:tblGrid>
        <w:gridCol w:w="2700"/>
        <w:gridCol w:w="3780"/>
        <w:gridCol w:w="7560"/>
      </w:tblGrid>
      <w:tr w:rsidR="003740B4" w:rsidTr="0049350D">
        <w:trPr>
          <w:trHeight w:val="350"/>
        </w:trPr>
        <w:tc>
          <w:tcPr>
            <w:tcW w:w="2700" w:type="dxa"/>
            <w:shd w:val="clear" w:color="auto" w:fill="365F91"/>
          </w:tcPr>
          <w:p w:rsidR="003740B4" w:rsidRDefault="003740B4" w:rsidP="003740B4"/>
        </w:tc>
        <w:tc>
          <w:tcPr>
            <w:tcW w:w="11340" w:type="dxa"/>
            <w:gridSpan w:val="2"/>
            <w:shd w:val="clear" w:color="auto" w:fill="365F91"/>
            <w:vAlign w:val="center"/>
          </w:tcPr>
          <w:p w:rsidR="003740B4" w:rsidRPr="00B91383" w:rsidRDefault="00C71472" w:rsidP="003740B4">
            <w:pPr>
              <w:rPr>
                <w:b/>
                <w:color w:val="FFFFFF" w:themeColor="background1"/>
              </w:rPr>
            </w:pPr>
            <w:r>
              <w:rPr>
                <w:b/>
                <w:color w:val="FFFFFF" w:themeColor="background1"/>
              </w:rPr>
              <w:t>SECTION I</w:t>
            </w:r>
            <w:r w:rsidR="00593BF7" w:rsidRPr="00B91383">
              <w:rPr>
                <w:b/>
                <w:color w:val="FFFFFF" w:themeColor="background1"/>
              </w:rPr>
              <w:t>: Alignment to the 2016 Oregon Health Standards</w:t>
            </w:r>
          </w:p>
        </w:tc>
      </w:tr>
      <w:tr w:rsidR="0023582E" w:rsidTr="003740B4">
        <w:trPr>
          <w:trHeight w:val="242"/>
        </w:trPr>
        <w:tc>
          <w:tcPr>
            <w:tcW w:w="2700" w:type="dxa"/>
            <w:vMerge w:val="restart"/>
          </w:tcPr>
          <w:p w:rsidR="0023582E" w:rsidRPr="00DB5078" w:rsidRDefault="0023582E" w:rsidP="003740B4">
            <w:pPr>
              <w:rPr>
                <w:rFonts w:cstheme="minorHAnsi"/>
                <w:b/>
                <w:sz w:val="20"/>
                <w:szCs w:val="20"/>
              </w:rPr>
            </w:pPr>
            <w:r w:rsidRPr="00DB5078">
              <w:rPr>
                <w:rFonts w:cstheme="minorHAnsi"/>
                <w:b/>
                <w:sz w:val="20"/>
                <w:szCs w:val="20"/>
              </w:rPr>
              <w:t xml:space="preserve">Criterion </w:t>
            </w:r>
            <w:r>
              <w:rPr>
                <w:rFonts w:cstheme="minorHAnsi"/>
                <w:b/>
                <w:sz w:val="20"/>
                <w:szCs w:val="20"/>
              </w:rPr>
              <w:t>3 &amp; 4</w:t>
            </w:r>
            <w:r w:rsidRPr="00DB5078">
              <w:rPr>
                <w:rFonts w:cstheme="minorHAnsi"/>
                <w:b/>
                <w:sz w:val="20"/>
                <w:szCs w:val="20"/>
              </w:rPr>
              <w:t xml:space="preserve">: </w:t>
            </w:r>
            <w:r>
              <w:rPr>
                <w:rFonts w:cstheme="minorHAnsi"/>
                <w:b/>
                <w:sz w:val="20"/>
                <w:szCs w:val="20"/>
              </w:rPr>
              <w:t>RIGOR</w:t>
            </w:r>
          </w:p>
          <w:p w:rsidR="0023582E" w:rsidRPr="00DB5078" w:rsidRDefault="0023582E" w:rsidP="003740B4">
            <w:pPr>
              <w:rPr>
                <w:rFonts w:cstheme="minorHAnsi"/>
                <w:b/>
                <w:sz w:val="20"/>
                <w:szCs w:val="20"/>
              </w:rPr>
            </w:pPr>
          </w:p>
          <w:p w:rsidR="0023582E" w:rsidRDefault="0023582E" w:rsidP="003740B4">
            <w:pPr>
              <w:rPr>
                <w:rFonts w:ascii="Calibri" w:hAnsi="Calibri"/>
                <w:color w:val="000000"/>
              </w:rPr>
            </w:pPr>
            <w:r>
              <w:rPr>
                <w:rFonts w:ascii="Calibri" w:hAnsi="Calibri"/>
                <w:color w:val="000000"/>
              </w:rPr>
              <w:t xml:space="preserve">Supports and guides age-appropriate, in-depth instruction to develop health literate students. Materials support a conceptual understanding of health literacy through knowledge and skills. </w:t>
            </w:r>
          </w:p>
          <w:p w:rsidR="0023582E" w:rsidRPr="00DB5078" w:rsidRDefault="0023582E" w:rsidP="003740B4">
            <w:pPr>
              <w:rPr>
                <w:rFonts w:cstheme="minorHAnsi"/>
                <w:b/>
                <w:sz w:val="20"/>
                <w:szCs w:val="20"/>
              </w:rPr>
            </w:pPr>
          </w:p>
          <w:p w:rsidR="0023582E" w:rsidRPr="00DB5078" w:rsidRDefault="0023582E" w:rsidP="003740B4">
            <w:pPr>
              <w:rPr>
                <w:rFonts w:cstheme="minorHAnsi"/>
                <w:b/>
                <w:sz w:val="20"/>
                <w:szCs w:val="20"/>
              </w:rPr>
            </w:pPr>
            <w:r w:rsidRPr="00DB5078">
              <w:rPr>
                <w:rFonts w:cstheme="minorHAnsi"/>
                <w:b/>
                <w:sz w:val="20"/>
                <w:szCs w:val="20"/>
              </w:rPr>
              <w:t>4: Meets all criteria</w:t>
            </w:r>
          </w:p>
          <w:p w:rsidR="0023582E" w:rsidRPr="00DB5078" w:rsidRDefault="0023582E" w:rsidP="003740B4">
            <w:pPr>
              <w:rPr>
                <w:rFonts w:cstheme="minorHAnsi"/>
                <w:b/>
                <w:sz w:val="20"/>
                <w:szCs w:val="20"/>
              </w:rPr>
            </w:pPr>
            <w:r w:rsidRPr="00DB5078">
              <w:rPr>
                <w:rFonts w:cstheme="minorHAnsi"/>
                <w:b/>
                <w:sz w:val="20"/>
                <w:szCs w:val="20"/>
              </w:rPr>
              <w:t xml:space="preserve">    (8 points)</w:t>
            </w:r>
          </w:p>
          <w:p w:rsidR="0023582E" w:rsidRPr="00DB5078" w:rsidRDefault="0023582E" w:rsidP="003740B4">
            <w:pPr>
              <w:rPr>
                <w:rFonts w:cstheme="minorHAnsi"/>
                <w:b/>
                <w:sz w:val="20"/>
                <w:szCs w:val="20"/>
              </w:rPr>
            </w:pPr>
            <w:r w:rsidRPr="00DB5078">
              <w:rPr>
                <w:rFonts w:cstheme="minorHAnsi"/>
                <w:b/>
                <w:sz w:val="20"/>
                <w:szCs w:val="20"/>
              </w:rPr>
              <w:t>3: Adheres to the criteria</w:t>
            </w:r>
          </w:p>
          <w:p w:rsidR="0023582E" w:rsidRPr="00DB5078" w:rsidRDefault="0023582E" w:rsidP="003740B4">
            <w:pPr>
              <w:rPr>
                <w:rFonts w:cstheme="minorHAnsi"/>
                <w:b/>
                <w:sz w:val="20"/>
                <w:szCs w:val="20"/>
              </w:rPr>
            </w:pPr>
            <w:r w:rsidRPr="00DB5078">
              <w:rPr>
                <w:rFonts w:cstheme="minorHAnsi"/>
                <w:b/>
                <w:sz w:val="20"/>
                <w:szCs w:val="20"/>
              </w:rPr>
              <w:t xml:space="preserve">    (6-7 points, no zeros)</w:t>
            </w:r>
          </w:p>
          <w:p w:rsidR="0023582E" w:rsidRPr="00DB5078" w:rsidRDefault="0023582E" w:rsidP="003740B4">
            <w:pPr>
              <w:rPr>
                <w:rFonts w:cstheme="minorHAnsi"/>
                <w:b/>
                <w:sz w:val="20"/>
                <w:szCs w:val="20"/>
              </w:rPr>
            </w:pPr>
            <w:r w:rsidRPr="00DB5078">
              <w:rPr>
                <w:rFonts w:cstheme="minorHAnsi"/>
                <w:b/>
                <w:sz w:val="20"/>
                <w:szCs w:val="20"/>
              </w:rPr>
              <w:t>2: Sometimes adheres to the criteria</w:t>
            </w:r>
          </w:p>
          <w:p w:rsidR="0023582E" w:rsidRPr="00DB5078" w:rsidRDefault="0023582E" w:rsidP="003740B4">
            <w:pPr>
              <w:rPr>
                <w:rFonts w:cstheme="minorHAnsi"/>
                <w:b/>
                <w:sz w:val="20"/>
                <w:szCs w:val="20"/>
              </w:rPr>
            </w:pPr>
            <w:r w:rsidRPr="00DB5078">
              <w:rPr>
                <w:rFonts w:cstheme="minorHAnsi"/>
                <w:b/>
                <w:sz w:val="20"/>
                <w:szCs w:val="20"/>
              </w:rPr>
              <w:t xml:space="preserve">    (4-5 points)</w:t>
            </w:r>
          </w:p>
          <w:p w:rsidR="0023582E" w:rsidRPr="00DB5078" w:rsidRDefault="0023582E" w:rsidP="003740B4">
            <w:pPr>
              <w:rPr>
                <w:rFonts w:cstheme="minorHAnsi"/>
                <w:b/>
                <w:sz w:val="20"/>
                <w:szCs w:val="20"/>
              </w:rPr>
            </w:pPr>
            <w:r w:rsidRPr="00DB5078">
              <w:rPr>
                <w:rFonts w:cstheme="minorHAnsi"/>
                <w:b/>
                <w:sz w:val="20"/>
                <w:szCs w:val="20"/>
              </w:rPr>
              <w:t>1: Occasionally adheres to the criteria</w:t>
            </w:r>
          </w:p>
          <w:p w:rsidR="0023582E" w:rsidRPr="00DB5078" w:rsidRDefault="0023582E" w:rsidP="003740B4">
            <w:pPr>
              <w:rPr>
                <w:rFonts w:cstheme="minorHAnsi"/>
                <w:b/>
                <w:sz w:val="20"/>
                <w:szCs w:val="20"/>
              </w:rPr>
            </w:pPr>
            <w:r w:rsidRPr="00DB5078">
              <w:rPr>
                <w:rFonts w:cstheme="minorHAnsi"/>
                <w:b/>
                <w:sz w:val="20"/>
                <w:szCs w:val="20"/>
              </w:rPr>
              <w:t xml:space="preserve">    (1-3 points)</w:t>
            </w:r>
          </w:p>
          <w:p w:rsidR="0023582E" w:rsidRPr="00DB5078" w:rsidRDefault="0023582E" w:rsidP="003740B4">
            <w:pPr>
              <w:rPr>
                <w:rFonts w:cstheme="minorHAnsi"/>
                <w:b/>
                <w:sz w:val="20"/>
                <w:szCs w:val="20"/>
              </w:rPr>
            </w:pPr>
            <w:r w:rsidRPr="00DB5078">
              <w:rPr>
                <w:rFonts w:cstheme="minorHAnsi"/>
                <w:b/>
                <w:sz w:val="20"/>
                <w:szCs w:val="20"/>
              </w:rPr>
              <w:t>0: Does not meet the criteria</w:t>
            </w:r>
          </w:p>
          <w:p w:rsidR="0023582E" w:rsidRPr="00DB5078" w:rsidRDefault="0023582E" w:rsidP="003740B4">
            <w:pPr>
              <w:rPr>
                <w:rFonts w:cstheme="minorHAnsi"/>
                <w:sz w:val="20"/>
                <w:szCs w:val="20"/>
              </w:rPr>
            </w:pPr>
          </w:p>
          <w:p w:rsidR="0023582E" w:rsidRPr="00DB5078" w:rsidRDefault="0023582E" w:rsidP="003740B4">
            <w:pPr>
              <w:rPr>
                <w:b/>
                <w:sz w:val="20"/>
                <w:szCs w:val="20"/>
              </w:rPr>
            </w:pPr>
            <w:r w:rsidRPr="00DB5078">
              <w:rPr>
                <w:rFonts w:cstheme="minorHAnsi"/>
                <w:b/>
                <w:sz w:val="20"/>
                <w:szCs w:val="20"/>
              </w:rPr>
              <w:t xml:space="preserve">Final Comments and </w:t>
            </w:r>
            <w:r w:rsidRPr="00DB5078">
              <w:rPr>
                <w:b/>
                <w:sz w:val="20"/>
                <w:szCs w:val="20"/>
              </w:rPr>
              <w:t xml:space="preserve">Suggestions for </w:t>
            </w:r>
          </w:p>
          <w:p w:rsidR="0023582E" w:rsidRDefault="0023582E" w:rsidP="003740B4">
            <w:r w:rsidRPr="00DB5078">
              <w:rPr>
                <w:b/>
                <w:sz w:val="20"/>
                <w:szCs w:val="20"/>
              </w:rPr>
              <w:t>Improvement</w:t>
            </w:r>
            <w:r>
              <w:rPr>
                <w:b/>
                <w:sz w:val="20"/>
                <w:szCs w:val="20"/>
              </w:rPr>
              <w:t>:</w:t>
            </w:r>
          </w:p>
        </w:tc>
        <w:tc>
          <w:tcPr>
            <w:tcW w:w="3780" w:type="dxa"/>
          </w:tcPr>
          <w:p w:rsidR="0023582E" w:rsidRDefault="0023582E" w:rsidP="003740B4">
            <w:r>
              <w:t>Quality Indicators</w:t>
            </w:r>
          </w:p>
        </w:tc>
        <w:tc>
          <w:tcPr>
            <w:tcW w:w="7560" w:type="dxa"/>
          </w:tcPr>
          <w:p w:rsidR="0023582E" w:rsidRDefault="0023582E" w:rsidP="003740B4">
            <w:r>
              <w:t>EXAMPLES IN TEXT (PROVIDED BY PUBLISHER)</w:t>
            </w:r>
          </w:p>
        </w:tc>
      </w:tr>
      <w:tr w:rsidR="003537EB" w:rsidTr="0023582E">
        <w:trPr>
          <w:trHeight w:val="2022"/>
        </w:trPr>
        <w:tc>
          <w:tcPr>
            <w:tcW w:w="2700" w:type="dxa"/>
            <w:vMerge/>
          </w:tcPr>
          <w:p w:rsidR="003537EB" w:rsidRDefault="003537EB" w:rsidP="003740B4"/>
        </w:tc>
        <w:tc>
          <w:tcPr>
            <w:tcW w:w="3780" w:type="dxa"/>
          </w:tcPr>
          <w:p w:rsidR="003537EB" w:rsidRDefault="003537EB" w:rsidP="007F3AF4">
            <w:r w:rsidRPr="009907F5">
              <w:rPr>
                <w:b/>
              </w:rPr>
              <w:t>3.</w:t>
            </w:r>
            <w:r>
              <w:t xml:space="preserve"> In each </w:t>
            </w:r>
            <w:r w:rsidR="00A56FE9">
              <w:t>6-8</w:t>
            </w:r>
            <w:r>
              <w:t xml:space="preserve"> grade level, materials support a conceptual understanding of health literacy in the various dimensions of health (i.e., physical, mental, social, emotional, and environmental health)</w:t>
            </w:r>
          </w:p>
        </w:tc>
        <w:tc>
          <w:tcPr>
            <w:tcW w:w="7560" w:type="dxa"/>
            <w:vMerge w:val="restart"/>
          </w:tcPr>
          <w:p w:rsidR="003537EB" w:rsidRDefault="003537EB" w:rsidP="003740B4">
            <w:r>
              <w:t>Examples for Criterion 3:</w:t>
            </w:r>
          </w:p>
          <w:sdt>
            <w:sdtPr>
              <w:id w:val="-1267456184"/>
              <w:placeholder>
                <w:docPart w:val="DefaultPlaceholder_1082065158"/>
              </w:placeholder>
              <w:showingPlcHdr/>
              <w:text/>
            </w:sdtPr>
            <w:sdtEndPr/>
            <w:sdtContent>
              <w:p w:rsidR="003537EB" w:rsidRDefault="00A30339" w:rsidP="003740B4">
                <w:r w:rsidRPr="0058543A">
                  <w:rPr>
                    <w:rStyle w:val="PlaceholderText"/>
                  </w:rPr>
                  <w:t>Click here to enter text.</w:t>
                </w:r>
              </w:p>
            </w:sdtContent>
          </w:sdt>
          <w:p w:rsidR="003537EB" w:rsidRDefault="003537EB" w:rsidP="003740B4">
            <w:r>
              <w:t>Examples for Criterion 4:</w:t>
            </w:r>
          </w:p>
          <w:sdt>
            <w:sdtPr>
              <w:id w:val="-1760441081"/>
              <w:placeholder>
                <w:docPart w:val="DefaultPlaceholder_1082065158"/>
              </w:placeholder>
              <w:showingPlcHdr/>
              <w:text/>
            </w:sdtPr>
            <w:sdtEndPr/>
            <w:sdtContent>
              <w:p w:rsidR="00A30339" w:rsidRDefault="00A30339" w:rsidP="003740B4">
                <w:r w:rsidRPr="0058543A">
                  <w:rPr>
                    <w:rStyle w:val="PlaceholderText"/>
                  </w:rPr>
                  <w:t>Click here to enter text.</w:t>
                </w:r>
              </w:p>
            </w:sdtContent>
          </w:sdt>
        </w:tc>
      </w:tr>
      <w:tr w:rsidR="003537EB" w:rsidTr="003740B4">
        <w:trPr>
          <w:trHeight w:val="2021"/>
        </w:trPr>
        <w:tc>
          <w:tcPr>
            <w:tcW w:w="2700" w:type="dxa"/>
            <w:vMerge/>
          </w:tcPr>
          <w:p w:rsidR="003537EB" w:rsidRDefault="003537EB" w:rsidP="003740B4"/>
        </w:tc>
        <w:tc>
          <w:tcPr>
            <w:tcW w:w="3780" w:type="dxa"/>
          </w:tcPr>
          <w:p w:rsidR="003537EB" w:rsidRDefault="003537EB" w:rsidP="007F3AF4">
            <w:r w:rsidRPr="009907F5">
              <w:rPr>
                <w:b/>
              </w:rPr>
              <w:t>4a.</w:t>
            </w:r>
            <w:r>
              <w:t xml:space="preserve"> </w:t>
            </w:r>
            <w:r>
              <w:rPr>
                <w:rFonts w:ascii="Calibri" w:hAnsi="Calibri"/>
                <w:color w:val="000000"/>
              </w:rPr>
              <w:t>Materials support a conceptual understanding of health literacy through knowledge and skills</w:t>
            </w:r>
            <w:r>
              <w:t xml:space="preserve"> including </w:t>
            </w:r>
            <w:r w:rsidRPr="009907F5">
              <w:rPr>
                <w:b/>
              </w:rPr>
              <w:t>health-promoting decisions</w:t>
            </w:r>
            <w:r>
              <w:rPr>
                <w:b/>
              </w:rPr>
              <w:t>.</w:t>
            </w:r>
          </w:p>
        </w:tc>
        <w:tc>
          <w:tcPr>
            <w:tcW w:w="7560" w:type="dxa"/>
            <w:vMerge/>
          </w:tcPr>
          <w:p w:rsidR="003537EB" w:rsidRDefault="003537EB" w:rsidP="003740B4"/>
        </w:tc>
      </w:tr>
      <w:tr w:rsidR="003537EB" w:rsidTr="003740B4">
        <w:trPr>
          <w:trHeight w:val="2021"/>
        </w:trPr>
        <w:tc>
          <w:tcPr>
            <w:tcW w:w="2700" w:type="dxa"/>
            <w:vMerge/>
          </w:tcPr>
          <w:p w:rsidR="003537EB" w:rsidRDefault="003537EB" w:rsidP="003740B4"/>
        </w:tc>
        <w:tc>
          <w:tcPr>
            <w:tcW w:w="3780" w:type="dxa"/>
          </w:tcPr>
          <w:p w:rsidR="003537EB" w:rsidRDefault="003537EB" w:rsidP="007F3AF4">
            <w:r w:rsidRPr="009907F5">
              <w:rPr>
                <w:b/>
              </w:rPr>
              <w:t>4b.</w:t>
            </w:r>
            <w:r>
              <w:rPr>
                <w:rFonts w:ascii="Calibri" w:hAnsi="Calibri"/>
                <w:color w:val="000000"/>
              </w:rPr>
              <w:t xml:space="preserve"> Materials support a conceptual understanding of health literacy through knowledge and skills including </w:t>
            </w:r>
            <w:r>
              <w:t xml:space="preserve"> </w:t>
            </w:r>
            <w:r w:rsidRPr="009907F5">
              <w:rPr>
                <w:b/>
              </w:rPr>
              <w:t>health-enhancing behaviors</w:t>
            </w:r>
            <w:r>
              <w:rPr>
                <w:b/>
              </w:rPr>
              <w:t>.</w:t>
            </w:r>
          </w:p>
        </w:tc>
        <w:tc>
          <w:tcPr>
            <w:tcW w:w="7560" w:type="dxa"/>
            <w:vMerge/>
          </w:tcPr>
          <w:p w:rsidR="003537EB" w:rsidRDefault="003537EB" w:rsidP="003740B4"/>
        </w:tc>
      </w:tr>
      <w:tr w:rsidR="003537EB" w:rsidTr="003740B4">
        <w:trPr>
          <w:trHeight w:val="2021"/>
        </w:trPr>
        <w:tc>
          <w:tcPr>
            <w:tcW w:w="2700" w:type="dxa"/>
            <w:vMerge/>
          </w:tcPr>
          <w:p w:rsidR="003537EB" w:rsidRDefault="003537EB" w:rsidP="003740B4"/>
        </w:tc>
        <w:tc>
          <w:tcPr>
            <w:tcW w:w="3780" w:type="dxa"/>
          </w:tcPr>
          <w:p w:rsidR="003537EB" w:rsidRDefault="003537EB" w:rsidP="007F3AF4">
            <w:r w:rsidRPr="009907F5">
              <w:rPr>
                <w:b/>
              </w:rPr>
              <w:t>4c.</w:t>
            </w:r>
            <w:r>
              <w:t xml:space="preserve"> </w:t>
            </w:r>
            <w:r>
              <w:rPr>
                <w:rFonts w:ascii="Calibri" w:hAnsi="Calibri"/>
                <w:color w:val="000000"/>
              </w:rPr>
              <w:t>Materials support a conceptual understanding of health literacy through knowledge and skills</w:t>
            </w:r>
            <w:r>
              <w:t xml:space="preserve"> including </w:t>
            </w:r>
            <w:r w:rsidRPr="009907F5">
              <w:rPr>
                <w:b/>
              </w:rPr>
              <w:t>advocating for personal, family, and community health.</w:t>
            </w:r>
          </w:p>
        </w:tc>
        <w:tc>
          <w:tcPr>
            <w:tcW w:w="7560" w:type="dxa"/>
            <w:vMerge/>
          </w:tcPr>
          <w:p w:rsidR="003537EB" w:rsidRDefault="003537EB" w:rsidP="003740B4"/>
        </w:tc>
      </w:tr>
    </w:tbl>
    <w:p w:rsidR="00DB5078" w:rsidRDefault="00DB5078" w:rsidP="003740B4"/>
    <w:tbl>
      <w:tblPr>
        <w:tblStyle w:val="TableGrid"/>
        <w:tblW w:w="14040" w:type="dxa"/>
        <w:tblInd w:w="-432" w:type="dxa"/>
        <w:tblLook w:val="04A0" w:firstRow="1" w:lastRow="0" w:firstColumn="1" w:lastColumn="0" w:noHBand="0" w:noVBand="1"/>
      </w:tblPr>
      <w:tblGrid>
        <w:gridCol w:w="2700"/>
        <w:gridCol w:w="3780"/>
        <w:gridCol w:w="7560"/>
      </w:tblGrid>
      <w:tr w:rsidR="00593BF7" w:rsidTr="0049350D">
        <w:trPr>
          <w:trHeight w:val="350"/>
        </w:trPr>
        <w:tc>
          <w:tcPr>
            <w:tcW w:w="2700" w:type="dxa"/>
            <w:shd w:val="clear" w:color="auto" w:fill="365F91"/>
          </w:tcPr>
          <w:p w:rsidR="00593BF7" w:rsidRDefault="00593BF7" w:rsidP="003740B4"/>
        </w:tc>
        <w:tc>
          <w:tcPr>
            <w:tcW w:w="11340" w:type="dxa"/>
            <w:gridSpan w:val="2"/>
            <w:shd w:val="clear" w:color="auto" w:fill="365F91"/>
            <w:vAlign w:val="center"/>
          </w:tcPr>
          <w:p w:rsidR="00593BF7" w:rsidRDefault="00593BF7" w:rsidP="00C71472">
            <w:r w:rsidRPr="00B91383">
              <w:rPr>
                <w:b/>
                <w:color w:val="FFFFFF" w:themeColor="background1"/>
              </w:rPr>
              <w:t xml:space="preserve">SECTION </w:t>
            </w:r>
            <w:r w:rsidR="00C71472">
              <w:rPr>
                <w:b/>
                <w:color w:val="FFFFFF" w:themeColor="background1"/>
              </w:rPr>
              <w:t>I</w:t>
            </w:r>
            <w:r w:rsidRPr="00B91383">
              <w:rPr>
                <w:b/>
                <w:color w:val="FFFFFF" w:themeColor="background1"/>
              </w:rPr>
              <w:t>: Alignment to the 2016 Oregon Health Standards</w:t>
            </w:r>
          </w:p>
        </w:tc>
      </w:tr>
      <w:tr w:rsidR="00261F2B" w:rsidTr="00593BF7">
        <w:trPr>
          <w:trHeight w:val="242"/>
        </w:trPr>
        <w:tc>
          <w:tcPr>
            <w:tcW w:w="2700" w:type="dxa"/>
            <w:vMerge w:val="restart"/>
          </w:tcPr>
          <w:p w:rsidR="00261F2B" w:rsidRPr="00DB5078" w:rsidRDefault="00261F2B" w:rsidP="00593BF7">
            <w:pPr>
              <w:rPr>
                <w:rFonts w:cstheme="minorHAnsi"/>
                <w:b/>
                <w:sz w:val="20"/>
                <w:szCs w:val="20"/>
              </w:rPr>
            </w:pPr>
            <w:r w:rsidRPr="00DB5078">
              <w:rPr>
                <w:rFonts w:cstheme="minorHAnsi"/>
                <w:b/>
                <w:sz w:val="20"/>
                <w:szCs w:val="20"/>
              </w:rPr>
              <w:t xml:space="preserve">Criterion </w:t>
            </w:r>
            <w:r>
              <w:rPr>
                <w:rFonts w:cstheme="minorHAnsi"/>
                <w:b/>
                <w:sz w:val="20"/>
                <w:szCs w:val="20"/>
              </w:rPr>
              <w:t>5, 6, &amp; 7</w:t>
            </w:r>
            <w:r w:rsidRPr="00DB5078">
              <w:rPr>
                <w:rFonts w:cstheme="minorHAnsi"/>
                <w:b/>
                <w:sz w:val="20"/>
                <w:szCs w:val="20"/>
              </w:rPr>
              <w:t xml:space="preserve">: </w:t>
            </w:r>
            <w:r>
              <w:rPr>
                <w:rFonts w:cstheme="minorHAnsi"/>
                <w:b/>
                <w:sz w:val="20"/>
                <w:szCs w:val="20"/>
              </w:rPr>
              <w:t>RIGOR</w:t>
            </w:r>
          </w:p>
          <w:p w:rsidR="00261F2B" w:rsidRPr="00DB5078" w:rsidRDefault="00261F2B" w:rsidP="00593BF7">
            <w:pPr>
              <w:rPr>
                <w:rFonts w:cstheme="minorHAnsi"/>
                <w:b/>
                <w:sz w:val="20"/>
                <w:szCs w:val="20"/>
              </w:rPr>
            </w:pPr>
          </w:p>
          <w:p w:rsidR="00261F2B" w:rsidRDefault="00261F2B" w:rsidP="00593BF7">
            <w:pPr>
              <w:rPr>
                <w:rFonts w:ascii="Calibri" w:hAnsi="Calibri"/>
                <w:color w:val="000000"/>
              </w:rPr>
            </w:pPr>
            <w:r>
              <w:rPr>
                <w:rFonts w:ascii="Calibri" w:hAnsi="Calibri"/>
                <w:color w:val="000000"/>
              </w:rPr>
              <w:t>Health education materials reflect</w:t>
            </w:r>
            <w:r w:rsidR="00873E24">
              <w:rPr>
                <w:rFonts w:ascii="Calibri" w:hAnsi="Calibri"/>
                <w:color w:val="000000"/>
              </w:rPr>
              <w:t xml:space="preserve"> the growing body of research. Materials p</w:t>
            </w:r>
            <w:r>
              <w:rPr>
                <w:rFonts w:ascii="Calibri" w:hAnsi="Calibri"/>
                <w:color w:val="000000"/>
              </w:rPr>
              <w:t xml:space="preserve">rovide flexibility and differentiation for individual student needs. </w:t>
            </w:r>
            <w:r w:rsidR="00873E24">
              <w:rPr>
                <w:rFonts w:ascii="Calibri" w:hAnsi="Calibri"/>
                <w:color w:val="000000"/>
              </w:rPr>
              <w:t>Materials p</w:t>
            </w:r>
            <w:r>
              <w:rPr>
                <w:rFonts w:ascii="Calibri" w:hAnsi="Calibri"/>
                <w:color w:val="000000"/>
              </w:rPr>
              <w:t>rovide multiple opportunities for students to practice, discuss, and reflect.</w:t>
            </w:r>
          </w:p>
          <w:p w:rsidR="00261F2B" w:rsidRPr="00DB5078" w:rsidRDefault="00261F2B" w:rsidP="00593BF7">
            <w:pPr>
              <w:rPr>
                <w:rFonts w:cstheme="minorHAnsi"/>
                <w:b/>
                <w:sz w:val="20"/>
                <w:szCs w:val="20"/>
              </w:rPr>
            </w:pPr>
          </w:p>
          <w:p w:rsidR="00A56FE9" w:rsidRPr="00DB5078" w:rsidRDefault="00A56FE9" w:rsidP="00A56FE9">
            <w:pPr>
              <w:rPr>
                <w:rFonts w:cstheme="minorHAnsi"/>
                <w:b/>
                <w:sz w:val="20"/>
                <w:szCs w:val="20"/>
              </w:rPr>
            </w:pPr>
            <w:r w:rsidRPr="00DB5078">
              <w:rPr>
                <w:rFonts w:cstheme="minorHAnsi"/>
                <w:b/>
                <w:sz w:val="20"/>
                <w:szCs w:val="20"/>
              </w:rPr>
              <w:t>4: Meets all criteria</w:t>
            </w:r>
          </w:p>
          <w:p w:rsidR="00A56FE9" w:rsidRPr="00DB5078" w:rsidRDefault="00A56FE9" w:rsidP="00A56FE9">
            <w:pPr>
              <w:rPr>
                <w:rFonts w:cstheme="minorHAnsi"/>
                <w:b/>
                <w:sz w:val="20"/>
                <w:szCs w:val="20"/>
              </w:rPr>
            </w:pPr>
            <w:r>
              <w:rPr>
                <w:rFonts w:cstheme="minorHAnsi"/>
                <w:b/>
                <w:sz w:val="20"/>
                <w:szCs w:val="20"/>
              </w:rPr>
              <w:t xml:space="preserve">    (10</w:t>
            </w:r>
            <w:r w:rsidRPr="00DB5078">
              <w:rPr>
                <w:rFonts w:cstheme="minorHAnsi"/>
                <w:b/>
                <w:sz w:val="20"/>
                <w:szCs w:val="20"/>
              </w:rPr>
              <w:t xml:space="preserve"> points)</w:t>
            </w:r>
          </w:p>
          <w:p w:rsidR="00A56FE9" w:rsidRPr="00DB5078" w:rsidRDefault="00A56FE9" w:rsidP="00A56FE9">
            <w:pPr>
              <w:rPr>
                <w:rFonts w:cstheme="minorHAnsi"/>
                <w:b/>
                <w:sz w:val="20"/>
                <w:szCs w:val="20"/>
              </w:rPr>
            </w:pPr>
            <w:r w:rsidRPr="00DB5078">
              <w:rPr>
                <w:rFonts w:cstheme="minorHAnsi"/>
                <w:b/>
                <w:sz w:val="20"/>
                <w:szCs w:val="20"/>
              </w:rPr>
              <w:t>3: Adheres to the criteria</w:t>
            </w:r>
          </w:p>
          <w:p w:rsidR="00A56FE9" w:rsidRPr="00DB5078" w:rsidRDefault="00A56FE9" w:rsidP="00A56FE9">
            <w:pPr>
              <w:rPr>
                <w:rFonts w:cstheme="minorHAnsi"/>
                <w:b/>
                <w:sz w:val="20"/>
                <w:szCs w:val="20"/>
              </w:rPr>
            </w:pPr>
            <w:r>
              <w:rPr>
                <w:rFonts w:cstheme="minorHAnsi"/>
                <w:b/>
                <w:sz w:val="20"/>
                <w:szCs w:val="20"/>
              </w:rPr>
              <w:t xml:space="preserve">    (7-9</w:t>
            </w:r>
            <w:r w:rsidRPr="00DB5078">
              <w:rPr>
                <w:rFonts w:cstheme="minorHAnsi"/>
                <w:b/>
                <w:sz w:val="20"/>
                <w:szCs w:val="20"/>
              </w:rPr>
              <w:t xml:space="preserve"> points, no zeros)</w:t>
            </w:r>
          </w:p>
          <w:p w:rsidR="00A56FE9" w:rsidRPr="00DB5078" w:rsidRDefault="00A56FE9" w:rsidP="00A56FE9">
            <w:pPr>
              <w:rPr>
                <w:rFonts w:cstheme="minorHAnsi"/>
                <w:b/>
                <w:sz w:val="20"/>
                <w:szCs w:val="20"/>
              </w:rPr>
            </w:pPr>
            <w:r w:rsidRPr="00DB5078">
              <w:rPr>
                <w:rFonts w:cstheme="minorHAnsi"/>
                <w:b/>
                <w:sz w:val="20"/>
                <w:szCs w:val="20"/>
              </w:rPr>
              <w:t>2: Sometimes adheres to the criteria</w:t>
            </w:r>
          </w:p>
          <w:p w:rsidR="00A56FE9" w:rsidRPr="00DB5078" w:rsidRDefault="00A56FE9" w:rsidP="00A56FE9">
            <w:pPr>
              <w:rPr>
                <w:rFonts w:cstheme="minorHAnsi"/>
                <w:b/>
                <w:sz w:val="20"/>
                <w:szCs w:val="20"/>
              </w:rPr>
            </w:pPr>
            <w:r>
              <w:rPr>
                <w:rFonts w:cstheme="minorHAnsi"/>
                <w:b/>
                <w:sz w:val="20"/>
                <w:szCs w:val="20"/>
              </w:rPr>
              <w:t xml:space="preserve">    (5</w:t>
            </w:r>
            <w:r w:rsidRPr="00DB5078">
              <w:rPr>
                <w:rFonts w:cstheme="minorHAnsi"/>
                <w:b/>
                <w:sz w:val="20"/>
                <w:szCs w:val="20"/>
              </w:rPr>
              <w:t>-</w:t>
            </w:r>
            <w:r>
              <w:rPr>
                <w:rFonts w:cstheme="minorHAnsi"/>
                <w:b/>
                <w:sz w:val="20"/>
                <w:szCs w:val="20"/>
              </w:rPr>
              <w:t>6</w:t>
            </w:r>
            <w:r w:rsidRPr="00DB5078">
              <w:rPr>
                <w:rFonts w:cstheme="minorHAnsi"/>
                <w:b/>
                <w:sz w:val="20"/>
                <w:szCs w:val="20"/>
              </w:rPr>
              <w:t xml:space="preserve"> points)</w:t>
            </w:r>
          </w:p>
          <w:p w:rsidR="00A56FE9" w:rsidRPr="00DB5078" w:rsidRDefault="00A56FE9" w:rsidP="00A56FE9">
            <w:pPr>
              <w:rPr>
                <w:rFonts w:cstheme="minorHAnsi"/>
                <w:b/>
                <w:sz w:val="20"/>
                <w:szCs w:val="20"/>
              </w:rPr>
            </w:pPr>
            <w:r w:rsidRPr="00DB5078">
              <w:rPr>
                <w:rFonts w:cstheme="minorHAnsi"/>
                <w:b/>
                <w:sz w:val="20"/>
                <w:szCs w:val="20"/>
              </w:rPr>
              <w:t>1: Occasionally adheres to the criteria</w:t>
            </w:r>
          </w:p>
          <w:p w:rsidR="00A56FE9" w:rsidRPr="00DB5078" w:rsidRDefault="00A56FE9" w:rsidP="00A56FE9">
            <w:pPr>
              <w:rPr>
                <w:rFonts w:cstheme="minorHAnsi"/>
                <w:b/>
                <w:sz w:val="20"/>
                <w:szCs w:val="20"/>
              </w:rPr>
            </w:pPr>
            <w:r>
              <w:rPr>
                <w:rFonts w:cstheme="minorHAnsi"/>
                <w:b/>
                <w:sz w:val="20"/>
                <w:szCs w:val="20"/>
              </w:rPr>
              <w:t xml:space="preserve">    (1-4</w:t>
            </w:r>
            <w:r w:rsidRPr="00DB5078">
              <w:rPr>
                <w:rFonts w:cstheme="minorHAnsi"/>
                <w:b/>
                <w:sz w:val="20"/>
                <w:szCs w:val="20"/>
              </w:rPr>
              <w:t xml:space="preserve"> points)</w:t>
            </w:r>
          </w:p>
          <w:p w:rsidR="00A56FE9" w:rsidRPr="00DB5078" w:rsidRDefault="00A56FE9" w:rsidP="00A56FE9">
            <w:pPr>
              <w:rPr>
                <w:rFonts w:cstheme="minorHAnsi"/>
                <w:b/>
                <w:sz w:val="20"/>
                <w:szCs w:val="20"/>
              </w:rPr>
            </w:pPr>
            <w:r w:rsidRPr="00DB5078">
              <w:rPr>
                <w:rFonts w:cstheme="minorHAnsi"/>
                <w:b/>
                <w:sz w:val="20"/>
                <w:szCs w:val="20"/>
              </w:rPr>
              <w:t>0: Does not meet the criteria</w:t>
            </w:r>
          </w:p>
          <w:p w:rsidR="00261F2B" w:rsidRPr="00DB5078" w:rsidRDefault="00261F2B" w:rsidP="00593BF7">
            <w:pPr>
              <w:rPr>
                <w:rFonts w:cstheme="minorHAnsi"/>
                <w:sz w:val="20"/>
                <w:szCs w:val="20"/>
              </w:rPr>
            </w:pPr>
          </w:p>
          <w:p w:rsidR="00261F2B" w:rsidRPr="00DB5078" w:rsidRDefault="00261F2B" w:rsidP="00593BF7">
            <w:pPr>
              <w:rPr>
                <w:b/>
                <w:sz w:val="20"/>
                <w:szCs w:val="20"/>
              </w:rPr>
            </w:pPr>
            <w:r w:rsidRPr="00DB5078">
              <w:rPr>
                <w:rFonts w:cstheme="minorHAnsi"/>
                <w:b/>
                <w:sz w:val="20"/>
                <w:szCs w:val="20"/>
              </w:rPr>
              <w:t xml:space="preserve">Final Comments and </w:t>
            </w:r>
            <w:r w:rsidRPr="00DB5078">
              <w:rPr>
                <w:b/>
                <w:sz w:val="20"/>
                <w:szCs w:val="20"/>
              </w:rPr>
              <w:t xml:space="preserve">Suggestions for </w:t>
            </w:r>
          </w:p>
          <w:p w:rsidR="00261F2B" w:rsidRDefault="00261F2B" w:rsidP="00593BF7">
            <w:r w:rsidRPr="00DB5078">
              <w:rPr>
                <w:b/>
                <w:sz w:val="20"/>
                <w:szCs w:val="20"/>
              </w:rPr>
              <w:t>Improvement</w:t>
            </w:r>
            <w:r>
              <w:rPr>
                <w:b/>
                <w:sz w:val="20"/>
                <w:szCs w:val="20"/>
              </w:rPr>
              <w:t>:</w:t>
            </w:r>
          </w:p>
        </w:tc>
        <w:tc>
          <w:tcPr>
            <w:tcW w:w="3780" w:type="dxa"/>
          </w:tcPr>
          <w:p w:rsidR="00261F2B" w:rsidRDefault="00261F2B" w:rsidP="003740B4">
            <w:r>
              <w:t>Quality Indicators</w:t>
            </w:r>
          </w:p>
        </w:tc>
        <w:tc>
          <w:tcPr>
            <w:tcW w:w="7560" w:type="dxa"/>
          </w:tcPr>
          <w:p w:rsidR="00261F2B" w:rsidRDefault="00261F2B" w:rsidP="003740B4">
            <w:r>
              <w:t>EXAMPLES IN TEXT (PROVIDED BY PUBLISHER)</w:t>
            </w:r>
          </w:p>
        </w:tc>
      </w:tr>
      <w:tr w:rsidR="003537EB" w:rsidTr="00261F2B">
        <w:trPr>
          <w:trHeight w:val="1412"/>
        </w:trPr>
        <w:tc>
          <w:tcPr>
            <w:tcW w:w="2700" w:type="dxa"/>
            <w:vMerge/>
          </w:tcPr>
          <w:p w:rsidR="003537EB" w:rsidRDefault="003537EB" w:rsidP="003740B4"/>
        </w:tc>
        <w:tc>
          <w:tcPr>
            <w:tcW w:w="3780" w:type="dxa"/>
          </w:tcPr>
          <w:p w:rsidR="003537EB" w:rsidRDefault="003537EB" w:rsidP="007F3AF4">
            <w:r w:rsidRPr="00ED2030">
              <w:rPr>
                <w:b/>
              </w:rPr>
              <w:t>5a&amp;c.</w:t>
            </w:r>
            <w:r>
              <w:t xml:space="preserve"> In each </w:t>
            </w:r>
            <w:r w:rsidR="00A56FE9">
              <w:t>6-8</w:t>
            </w:r>
            <w:r>
              <w:t xml:space="preserve"> grade level, materials emphasize teaching functional knowledge and skills that shape and support group norms which value healthy lifestyles.</w:t>
            </w:r>
          </w:p>
          <w:p w:rsidR="003537EB" w:rsidRDefault="003537EB" w:rsidP="007F3AF4"/>
        </w:tc>
        <w:tc>
          <w:tcPr>
            <w:tcW w:w="7560" w:type="dxa"/>
            <w:vMerge w:val="restart"/>
          </w:tcPr>
          <w:p w:rsidR="003537EB" w:rsidRDefault="003537EB" w:rsidP="003740B4">
            <w:r>
              <w:t>Examples for Criterion 5:</w:t>
            </w:r>
          </w:p>
          <w:sdt>
            <w:sdtPr>
              <w:id w:val="1345977330"/>
              <w:placeholder>
                <w:docPart w:val="DefaultPlaceholder_1082065158"/>
              </w:placeholder>
              <w:showingPlcHdr/>
              <w:text/>
            </w:sdtPr>
            <w:sdtEndPr/>
            <w:sdtContent>
              <w:p w:rsidR="003537EB" w:rsidRDefault="00A30339" w:rsidP="003740B4">
                <w:r w:rsidRPr="0058543A">
                  <w:rPr>
                    <w:rStyle w:val="PlaceholderText"/>
                  </w:rPr>
                  <w:t>Click here to enter text.</w:t>
                </w:r>
              </w:p>
            </w:sdtContent>
          </w:sdt>
          <w:p w:rsidR="003537EB" w:rsidRDefault="003537EB" w:rsidP="003740B4"/>
          <w:p w:rsidR="003537EB" w:rsidRDefault="003537EB" w:rsidP="003740B4">
            <w:r>
              <w:t>Examples for Criterion 6:</w:t>
            </w:r>
          </w:p>
          <w:sdt>
            <w:sdtPr>
              <w:id w:val="-1748726926"/>
              <w:placeholder>
                <w:docPart w:val="DefaultPlaceholder_1082065158"/>
              </w:placeholder>
              <w:showingPlcHdr/>
              <w:text/>
            </w:sdtPr>
            <w:sdtEndPr/>
            <w:sdtContent>
              <w:p w:rsidR="003537EB" w:rsidRDefault="00A30339" w:rsidP="003740B4">
                <w:r w:rsidRPr="0058543A">
                  <w:rPr>
                    <w:rStyle w:val="PlaceholderText"/>
                  </w:rPr>
                  <w:t>Click here to enter text.</w:t>
                </w:r>
              </w:p>
            </w:sdtContent>
          </w:sdt>
          <w:p w:rsidR="00A30339" w:rsidRDefault="00A30339" w:rsidP="003740B4"/>
          <w:p w:rsidR="003537EB" w:rsidRDefault="003537EB" w:rsidP="003740B4">
            <w:r>
              <w:t>Examples for Criterion 7:</w:t>
            </w:r>
          </w:p>
          <w:sdt>
            <w:sdtPr>
              <w:id w:val="-781494614"/>
              <w:placeholder>
                <w:docPart w:val="DefaultPlaceholder_1082065158"/>
              </w:placeholder>
              <w:showingPlcHdr/>
              <w:text/>
            </w:sdtPr>
            <w:sdtEndPr/>
            <w:sdtContent>
              <w:p w:rsidR="003537EB" w:rsidRDefault="00A30339" w:rsidP="003740B4">
                <w:r w:rsidRPr="0058543A">
                  <w:rPr>
                    <w:rStyle w:val="PlaceholderText"/>
                  </w:rPr>
                  <w:t>Click here to enter text.</w:t>
                </w:r>
              </w:p>
            </w:sdtContent>
          </w:sdt>
        </w:tc>
      </w:tr>
      <w:tr w:rsidR="003537EB" w:rsidTr="00261F2B">
        <w:trPr>
          <w:trHeight w:val="1718"/>
        </w:trPr>
        <w:tc>
          <w:tcPr>
            <w:tcW w:w="2700" w:type="dxa"/>
            <w:vMerge/>
          </w:tcPr>
          <w:p w:rsidR="003537EB" w:rsidRDefault="003537EB" w:rsidP="003740B4"/>
        </w:tc>
        <w:tc>
          <w:tcPr>
            <w:tcW w:w="3780" w:type="dxa"/>
          </w:tcPr>
          <w:p w:rsidR="003537EB" w:rsidRDefault="003537EB" w:rsidP="007F3AF4">
            <w:r w:rsidRPr="00ED2030">
              <w:rPr>
                <w:b/>
              </w:rPr>
              <w:t>5b&amp;d.</w:t>
            </w:r>
            <w:r>
              <w:t xml:space="preserve"> Materials recognize individual values and beliefs that support healthy behaviors as well as developing the essential health skills necessary to adopt, practice, and maintain health-enhancing behaviors.</w:t>
            </w:r>
          </w:p>
        </w:tc>
        <w:tc>
          <w:tcPr>
            <w:tcW w:w="7560" w:type="dxa"/>
            <w:vMerge/>
          </w:tcPr>
          <w:p w:rsidR="003537EB" w:rsidRDefault="003537EB" w:rsidP="003740B4"/>
        </w:tc>
      </w:tr>
      <w:tr w:rsidR="003537EB" w:rsidTr="00261F2B">
        <w:trPr>
          <w:trHeight w:val="1682"/>
        </w:trPr>
        <w:tc>
          <w:tcPr>
            <w:tcW w:w="2700" w:type="dxa"/>
            <w:vMerge/>
          </w:tcPr>
          <w:p w:rsidR="003537EB" w:rsidRDefault="003537EB" w:rsidP="003740B4"/>
        </w:tc>
        <w:tc>
          <w:tcPr>
            <w:tcW w:w="3780" w:type="dxa"/>
          </w:tcPr>
          <w:p w:rsidR="003537EB" w:rsidRDefault="003537EB" w:rsidP="007F3AF4">
            <w:r w:rsidRPr="00ED2030">
              <w:rPr>
                <w:b/>
              </w:rPr>
              <w:t>5e&amp;f.</w:t>
            </w:r>
            <w:r>
              <w:t xml:space="preserve"> Materials are medically, scientifically, and environmentally current and researched-based that provide opportunities for students to connect with adults and other resources in the community. </w:t>
            </w:r>
          </w:p>
        </w:tc>
        <w:tc>
          <w:tcPr>
            <w:tcW w:w="7560" w:type="dxa"/>
            <w:vMerge/>
          </w:tcPr>
          <w:p w:rsidR="003537EB" w:rsidRDefault="003537EB" w:rsidP="003740B4"/>
        </w:tc>
      </w:tr>
      <w:tr w:rsidR="003537EB" w:rsidTr="00593BF7">
        <w:trPr>
          <w:trHeight w:val="1599"/>
        </w:trPr>
        <w:tc>
          <w:tcPr>
            <w:tcW w:w="2700" w:type="dxa"/>
            <w:vMerge/>
          </w:tcPr>
          <w:p w:rsidR="003537EB" w:rsidRDefault="003537EB" w:rsidP="003740B4"/>
        </w:tc>
        <w:tc>
          <w:tcPr>
            <w:tcW w:w="3780" w:type="dxa"/>
          </w:tcPr>
          <w:p w:rsidR="003537EB" w:rsidRDefault="003537EB" w:rsidP="007F3AF4">
            <w:r w:rsidRPr="00ED2030">
              <w:rPr>
                <w:b/>
              </w:rPr>
              <w:t>6.</w:t>
            </w:r>
            <w:r>
              <w:t xml:space="preserve"> In each </w:t>
            </w:r>
            <w:r w:rsidR="00A56FE9">
              <w:t>6-8</w:t>
            </w:r>
            <w:r>
              <w:t xml:space="preserve"> grade level, materials provide flexibility and differentiation for individual student needs.</w:t>
            </w:r>
          </w:p>
        </w:tc>
        <w:tc>
          <w:tcPr>
            <w:tcW w:w="7560" w:type="dxa"/>
            <w:vMerge/>
          </w:tcPr>
          <w:p w:rsidR="003537EB" w:rsidRDefault="003537EB" w:rsidP="003740B4"/>
        </w:tc>
      </w:tr>
      <w:tr w:rsidR="003537EB" w:rsidTr="00593BF7">
        <w:trPr>
          <w:trHeight w:val="1599"/>
        </w:trPr>
        <w:tc>
          <w:tcPr>
            <w:tcW w:w="2700" w:type="dxa"/>
            <w:vMerge/>
          </w:tcPr>
          <w:p w:rsidR="003537EB" w:rsidRDefault="003537EB" w:rsidP="003740B4"/>
        </w:tc>
        <w:tc>
          <w:tcPr>
            <w:tcW w:w="3780" w:type="dxa"/>
          </w:tcPr>
          <w:p w:rsidR="003537EB" w:rsidRDefault="003537EB" w:rsidP="007F3AF4">
            <w:r w:rsidRPr="00ED2030">
              <w:rPr>
                <w:b/>
              </w:rPr>
              <w:t>7.</w:t>
            </w:r>
            <w:r>
              <w:t xml:space="preserve"> In each </w:t>
            </w:r>
            <w:r w:rsidR="00A56FE9">
              <w:t>6-8</w:t>
            </w:r>
            <w:r>
              <w:t xml:space="preserve"> grade level, materials provide multiple opportunities for students to practice, discuss, and reflect.</w:t>
            </w:r>
          </w:p>
          <w:p w:rsidR="003537EB" w:rsidRDefault="003537EB" w:rsidP="007F3AF4"/>
          <w:p w:rsidR="003537EB" w:rsidRDefault="003537EB" w:rsidP="007F3AF4"/>
          <w:p w:rsidR="003537EB" w:rsidRDefault="003537EB" w:rsidP="007F3AF4"/>
        </w:tc>
        <w:tc>
          <w:tcPr>
            <w:tcW w:w="7560" w:type="dxa"/>
            <w:vMerge/>
          </w:tcPr>
          <w:p w:rsidR="003537EB" w:rsidRDefault="003537EB" w:rsidP="003740B4"/>
        </w:tc>
      </w:tr>
      <w:tr w:rsidR="00593BF7" w:rsidTr="0049350D">
        <w:trPr>
          <w:trHeight w:val="350"/>
        </w:trPr>
        <w:tc>
          <w:tcPr>
            <w:tcW w:w="2700" w:type="dxa"/>
            <w:shd w:val="clear" w:color="auto" w:fill="365F91"/>
          </w:tcPr>
          <w:p w:rsidR="00593BF7" w:rsidRDefault="00593BF7" w:rsidP="003740B4"/>
        </w:tc>
        <w:tc>
          <w:tcPr>
            <w:tcW w:w="11340" w:type="dxa"/>
            <w:gridSpan w:val="2"/>
            <w:shd w:val="clear" w:color="auto" w:fill="365F91"/>
            <w:vAlign w:val="center"/>
          </w:tcPr>
          <w:p w:rsidR="00593BF7" w:rsidRDefault="00593BF7" w:rsidP="00C71472">
            <w:r w:rsidRPr="00B91383">
              <w:rPr>
                <w:b/>
                <w:color w:val="FFFFFF" w:themeColor="background1"/>
              </w:rPr>
              <w:t xml:space="preserve">SECTION </w:t>
            </w:r>
            <w:r w:rsidR="00C71472">
              <w:rPr>
                <w:b/>
                <w:color w:val="FFFFFF" w:themeColor="background1"/>
              </w:rPr>
              <w:t>I</w:t>
            </w:r>
            <w:r w:rsidRPr="00B91383">
              <w:rPr>
                <w:b/>
                <w:color w:val="FFFFFF" w:themeColor="background1"/>
              </w:rPr>
              <w:t>: Alignment to the 2016 Oregon Health Standards</w:t>
            </w:r>
          </w:p>
        </w:tc>
      </w:tr>
      <w:tr w:rsidR="00261F2B" w:rsidTr="00593BF7">
        <w:trPr>
          <w:trHeight w:val="242"/>
        </w:trPr>
        <w:tc>
          <w:tcPr>
            <w:tcW w:w="2700" w:type="dxa"/>
            <w:vMerge w:val="restart"/>
          </w:tcPr>
          <w:p w:rsidR="00261F2B" w:rsidRPr="00DB5078" w:rsidRDefault="00261F2B" w:rsidP="00593BF7">
            <w:pPr>
              <w:rPr>
                <w:rFonts w:cstheme="minorHAnsi"/>
                <w:b/>
                <w:sz w:val="20"/>
                <w:szCs w:val="20"/>
              </w:rPr>
            </w:pPr>
            <w:r w:rsidRPr="00DB5078">
              <w:rPr>
                <w:rFonts w:cstheme="minorHAnsi"/>
                <w:b/>
                <w:sz w:val="20"/>
                <w:szCs w:val="20"/>
              </w:rPr>
              <w:t xml:space="preserve">Criterion </w:t>
            </w:r>
            <w:r>
              <w:rPr>
                <w:rFonts w:cstheme="minorHAnsi"/>
                <w:b/>
                <w:sz w:val="20"/>
                <w:szCs w:val="20"/>
              </w:rPr>
              <w:t>8, 9, &amp; 10</w:t>
            </w:r>
            <w:r w:rsidRPr="00DB5078">
              <w:rPr>
                <w:rFonts w:cstheme="minorHAnsi"/>
                <w:b/>
                <w:sz w:val="20"/>
                <w:szCs w:val="20"/>
              </w:rPr>
              <w:t xml:space="preserve">: </w:t>
            </w:r>
            <w:r>
              <w:rPr>
                <w:rFonts w:cstheme="minorHAnsi"/>
                <w:b/>
                <w:sz w:val="20"/>
                <w:szCs w:val="20"/>
              </w:rPr>
              <w:t>COHERENCE</w:t>
            </w:r>
          </w:p>
          <w:p w:rsidR="00261F2B" w:rsidRPr="00DB5078" w:rsidRDefault="00261F2B" w:rsidP="00593BF7">
            <w:pPr>
              <w:rPr>
                <w:rFonts w:cstheme="minorHAnsi"/>
                <w:b/>
                <w:sz w:val="20"/>
                <w:szCs w:val="20"/>
              </w:rPr>
            </w:pPr>
          </w:p>
          <w:p w:rsidR="00261F2B" w:rsidRDefault="00261F2B" w:rsidP="00593BF7">
            <w:pPr>
              <w:rPr>
                <w:rFonts w:ascii="Calibri" w:hAnsi="Calibri"/>
                <w:color w:val="000000"/>
              </w:rPr>
            </w:pPr>
            <w:r>
              <w:rPr>
                <w:rFonts w:ascii="Calibri" w:hAnsi="Calibri"/>
                <w:color w:val="000000"/>
              </w:rPr>
              <w:t>Learning experiences form a coherent, age-appropriate, and developmentally-appropriate progression in which each K-12 student builds competencies and proficiencies within and between grade-levels, aligned with Oregon State Health Education Standards and Performance Indicators. Integrates the interdependence of health-enhancing knowledge and skills as they relate to responsible personal and social behaviors within society. Uses a variety of instructional strategies and sequencing that provide multiple developmentally-appropriate opportunities and adequate time for student learning.</w:t>
            </w:r>
          </w:p>
          <w:p w:rsidR="00261F2B" w:rsidRPr="00DB5078" w:rsidRDefault="00261F2B" w:rsidP="00593BF7">
            <w:pPr>
              <w:rPr>
                <w:rFonts w:cstheme="minorHAnsi"/>
                <w:b/>
                <w:sz w:val="20"/>
                <w:szCs w:val="20"/>
              </w:rPr>
            </w:pPr>
          </w:p>
          <w:p w:rsidR="00A56FE9" w:rsidRPr="00DB5078" w:rsidRDefault="00A56FE9" w:rsidP="00A56FE9">
            <w:pPr>
              <w:rPr>
                <w:rFonts w:cstheme="minorHAnsi"/>
                <w:b/>
                <w:sz w:val="20"/>
                <w:szCs w:val="20"/>
              </w:rPr>
            </w:pPr>
            <w:r w:rsidRPr="00DB5078">
              <w:rPr>
                <w:rFonts w:cstheme="minorHAnsi"/>
                <w:b/>
                <w:sz w:val="20"/>
                <w:szCs w:val="20"/>
              </w:rPr>
              <w:t>4: Meets all criteria</w:t>
            </w:r>
          </w:p>
          <w:p w:rsidR="00A56FE9" w:rsidRPr="00DB5078" w:rsidRDefault="00A56FE9" w:rsidP="00A56FE9">
            <w:pPr>
              <w:rPr>
                <w:rFonts w:cstheme="minorHAnsi"/>
                <w:b/>
                <w:sz w:val="20"/>
                <w:szCs w:val="20"/>
              </w:rPr>
            </w:pPr>
            <w:r w:rsidRPr="00DB5078">
              <w:rPr>
                <w:rFonts w:cstheme="minorHAnsi"/>
                <w:b/>
                <w:sz w:val="20"/>
                <w:szCs w:val="20"/>
              </w:rPr>
              <w:t xml:space="preserve">    (</w:t>
            </w:r>
            <w:r>
              <w:rPr>
                <w:rFonts w:cstheme="minorHAnsi"/>
                <w:b/>
                <w:sz w:val="20"/>
                <w:szCs w:val="20"/>
              </w:rPr>
              <w:t>6</w:t>
            </w:r>
            <w:r w:rsidRPr="00DB5078">
              <w:rPr>
                <w:rFonts w:cstheme="minorHAnsi"/>
                <w:b/>
                <w:sz w:val="20"/>
                <w:szCs w:val="20"/>
              </w:rPr>
              <w:t xml:space="preserve"> points)</w:t>
            </w:r>
          </w:p>
          <w:p w:rsidR="00A56FE9" w:rsidRPr="00DB5078" w:rsidRDefault="00A56FE9" w:rsidP="00A56FE9">
            <w:pPr>
              <w:rPr>
                <w:rFonts w:cstheme="minorHAnsi"/>
                <w:b/>
                <w:sz w:val="20"/>
                <w:szCs w:val="20"/>
              </w:rPr>
            </w:pPr>
            <w:r w:rsidRPr="00DB5078">
              <w:rPr>
                <w:rFonts w:cstheme="minorHAnsi"/>
                <w:b/>
                <w:sz w:val="20"/>
                <w:szCs w:val="20"/>
              </w:rPr>
              <w:t>3: Adheres to the criteria</w:t>
            </w:r>
          </w:p>
          <w:p w:rsidR="00A56FE9" w:rsidRPr="00DB5078" w:rsidRDefault="00A56FE9" w:rsidP="00A56FE9">
            <w:pPr>
              <w:rPr>
                <w:rFonts w:cstheme="minorHAnsi"/>
                <w:b/>
                <w:sz w:val="20"/>
                <w:szCs w:val="20"/>
              </w:rPr>
            </w:pPr>
            <w:r>
              <w:rPr>
                <w:rFonts w:cstheme="minorHAnsi"/>
                <w:b/>
                <w:sz w:val="20"/>
                <w:szCs w:val="20"/>
              </w:rPr>
              <w:t xml:space="preserve">    (4</w:t>
            </w:r>
            <w:r w:rsidRPr="00DB5078">
              <w:rPr>
                <w:rFonts w:cstheme="minorHAnsi"/>
                <w:b/>
                <w:sz w:val="20"/>
                <w:szCs w:val="20"/>
              </w:rPr>
              <w:t>-</w:t>
            </w:r>
            <w:r>
              <w:rPr>
                <w:rFonts w:cstheme="minorHAnsi"/>
                <w:b/>
                <w:sz w:val="20"/>
                <w:szCs w:val="20"/>
              </w:rPr>
              <w:t>5</w:t>
            </w:r>
            <w:r w:rsidRPr="00DB5078">
              <w:rPr>
                <w:rFonts w:cstheme="minorHAnsi"/>
                <w:b/>
                <w:sz w:val="20"/>
                <w:szCs w:val="20"/>
              </w:rPr>
              <w:t xml:space="preserve"> points, no zeros)</w:t>
            </w:r>
          </w:p>
          <w:p w:rsidR="00A56FE9" w:rsidRPr="00DB5078" w:rsidRDefault="00A56FE9" w:rsidP="00A56FE9">
            <w:pPr>
              <w:rPr>
                <w:rFonts w:cstheme="minorHAnsi"/>
                <w:b/>
                <w:sz w:val="20"/>
                <w:szCs w:val="20"/>
              </w:rPr>
            </w:pPr>
            <w:r w:rsidRPr="00DB5078">
              <w:rPr>
                <w:rFonts w:cstheme="minorHAnsi"/>
                <w:b/>
                <w:sz w:val="20"/>
                <w:szCs w:val="20"/>
              </w:rPr>
              <w:t>2: Sometimes adheres to the criteria</w:t>
            </w:r>
          </w:p>
          <w:p w:rsidR="00A56FE9" w:rsidRPr="00DB5078" w:rsidRDefault="00A56FE9" w:rsidP="00A56FE9">
            <w:pPr>
              <w:rPr>
                <w:rFonts w:cstheme="minorHAnsi"/>
                <w:b/>
                <w:sz w:val="20"/>
                <w:szCs w:val="20"/>
              </w:rPr>
            </w:pPr>
            <w:r>
              <w:rPr>
                <w:rFonts w:cstheme="minorHAnsi"/>
                <w:b/>
                <w:sz w:val="20"/>
                <w:szCs w:val="20"/>
              </w:rPr>
              <w:t xml:space="preserve">    (3</w:t>
            </w:r>
            <w:r w:rsidRPr="00DB5078">
              <w:rPr>
                <w:rFonts w:cstheme="minorHAnsi"/>
                <w:b/>
                <w:sz w:val="20"/>
                <w:szCs w:val="20"/>
              </w:rPr>
              <w:t xml:space="preserve"> points)</w:t>
            </w:r>
          </w:p>
          <w:p w:rsidR="00A56FE9" w:rsidRPr="00DB5078" w:rsidRDefault="00A56FE9" w:rsidP="00A56FE9">
            <w:pPr>
              <w:rPr>
                <w:rFonts w:cstheme="minorHAnsi"/>
                <w:b/>
                <w:sz w:val="20"/>
                <w:szCs w:val="20"/>
              </w:rPr>
            </w:pPr>
            <w:r w:rsidRPr="00DB5078">
              <w:rPr>
                <w:rFonts w:cstheme="minorHAnsi"/>
                <w:b/>
                <w:sz w:val="20"/>
                <w:szCs w:val="20"/>
              </w:rPr>
              <w:t>1: Occasionally adheres to the criteria</w:t>
            </w:r>
          </w:p>
          <w:p w:rsidR="00A56FE9" w:rsidRPr="00DB5078" w:rsidRDefault="00A56FE9" w:rsidP="00A56FE9">
            <w:pPr>
              <w:rPr>
                <w:rFonts w:cstheme="minorHAnsi"/>
                <w:b/>
                <w:sz w:val="20"/>
                <w:szCs w:val="20"/>
              </w:rPr>
            </w:pPr>
            <w:r w:rsidRPr="00DB5078">
              <w:rPr>
                <w:rFonts w:cstheme="minorHAnsi"/>
                <w:b/>
                <w:sz w:val="20"/>
                <w:szCs w:val="20"/>
              </w:rPr>
              <w:t xml:space="preserve">    (1-</w:t>
            </w:r>
            <w:r>
              <w:rPr>
                <w:rFonts w:cstheme="minorHAnsi"/>
                <w:b/>
                <w:sz w:val="20"/>
                <w:szCs w:val="20"/>
              </w:rPr>
              <w:t>2</w:t>
            </w:r>
            <w:r w:rsidRPr="00DB5078">
              <w:rPr>
                <w:rFonts w:cstheme="minorHAnsi"/>
                <w:b/>
                <w:sz w:val="20"/>
                <w:szCs w:val="20"/>
              </w:rPr>
              <w:t xml:space="preserve"> points)</w:t>
            </w:r>
          </w:p>
          <w:p w:rsidR="00A56FE9" w:rsidRPr="00DB5078" w:rsidRDefault="00A56FE9" w:rsidP="00A56FE9">
            <w:pPr>
              <w:rPr>
                <w:rFonts w:cstheme="minorHAnsi"/>
                <w:b/>
                <w:sz w:val="20"/>
                <w:szCs w:val="20"/>
              </w:rPr>
            </w:pPr>
            <w:r w:rsidRPr="00DB5078">
              <w:rPr>
                <w:rFonts w:cstheme="minorHAnsi"/>
                <w:b/>
                <w:sz w:val="20"/>
                <w:szCs w:val="20"/>
              </w:rPr>
              <w:t>0: Does not meet the criteria</w:t>
            </w:r>
          </w:p>
          <w:p w:rsidR="00261F2B" w:rsidRPr="00DB5078" w:rsidRDefault="00261F2B" w:rsidP="00593BF7">
            <w:pPr>
              <w:rPr>
                <w:rFonts w:cstheme="minorHAnsi"/>
                <w:sz w:val="20"/>
                <w:szCs w:val="20"/>
              </w:rPr>
            </w:pPr>
          </w:p>
          <w:p w:rsidR="00261F2B" w:rsidRPr="00DB5078" w:rsidRDefault="00261F2B" w:rsidP="00593BF7">
            <w:pPr>
              <w:rPr>
                <w:b/>
                <w:sz w:val="20"/>
                <w:szCs w:val="20"/>
              </w:rPr>
            </w:pPr>
            <w:r w:rsidRPr="00DB5078">
              <w:rPr>
                <w:rFonts w:cstheme="minorHAnsi"/>
                <w:b/>
                <w:sz w:val="20"/>
                <w:szCs w:val="20"/>
              </w:rPr>
              <w:t xml:space="preserve">Final Comments and </w:t>
            </w:r>
            <w:r w:rsidRPr="00DB5078">
              <w:rPr>
                <w:b/>
                <w:sz w:val="20"/>
                <w:szCs w:val="20"/>
              </w:rPr>
              <w:t xml:space="preserve">Suggestions for </w:t>
            </w:r>
          </w:p>
          <w:p w:rsidR="00261F2B" w:rsidRDefault="00261F2B" w:rsidP="00593BF7">
            <w:r w:rsidRPr="00DB5078">
              <w:rPr>
                <w:b/>
                <w:sz w:val="20"/>
                <w:szCs w:val="20"/>
              </w:rPr>
              <w:t>Improvement</w:t>
            </w:r>
            <w:r>
              <w:rPr>
                <w:b/>
                <w:sz w:val="20"/>
                <w:szCs w:val="20"/>
              </w:rPr>
              <w:t>:</w:t>
            </w:r>
          </w:p>
        </w:tc>
        <w:tc>
          <w:tcPr>
            <w:tcW w:w="3780" w:type="dxa"/>
          </w:tcPr>
          <w:p w:rsidR="00261F2B" w:rsidRDefault="00261F2B" w:rsidP="003740B4">
            <w:r>
              <w:lastRenderedPageBreak/>
              <w:t>Quality Indicators</w:t>
            </w:r>
          </w:p>
        </w:tc>
        <w:tc>
          <w:tcPr>
            <w:tcW w:w="7560" w:type="dxa"/>
          </w:tcPr>
          <w:p w:rsidR="00261F2B" w:rsidRDefault="00261F2B" w:rsidP="003740B4">
            <w:r>
              <w:t>EXAMPLES IN TEXT (PROVIDED BY PUBLISHER)</w:t>
            </w:r>
          </w:p>
        </w:tc>
      </w:tr>
      <w:tr w:rsidR="00A56FE9" w:rsidTr="00261F2B">
        <w:trPr>
          <w:trHeight w:val="3690"/>
        </w:trPr>
        <w:tc>
          <w:tcPr>
            <w:tcW w:w="2700" w:type="dxa"/>
            <w:vMerge/>
          </w:tcPr>
          <w:p w:rsidR="00A56FE9" w:rsidRDefault="00A56FE9" w:rsidP="003740B4"/>
        </w:tc>
        <w:tc>
          <w:tcPr>
            <w:tcW w:w="3780" w:type="dxa"/>
          </w:tcPr>
          <w:p w:rsidR="00A56FE9" w:rsidRDefault="00A56FE9" w:rsidP="007F3AF4">
            <w:r w:rsidRPr="00ED2030">
              <w:rPr>
                <w:b/>
              </w:rPr>
              <w:t>8a&amp;b.</w:t>
            </w:r>
            <w:r>
              <w:t xml:space="preserve"> Where appropriate, health education concepts are integrated with other content area instruction. Instructional content includes current data, trends, and information related to authentic examples in students’ lives. </w:t>
            </w:r>
          </w:p>
        </w:tc>
        <w:tc>
          <w:tcPr>
            <w:tcW w:w="7560" w:type="dxa"/>
            <w:vMerge w:val="restart"/>
          </w:tcPr>
          <w:p w:rsidR="00A56FE9" w:rsidRDefault="00A56FE9" w:rsidP="003740B4">
            <w:r>
              <w:t>Examples for Criterion 8:</w:t>
            </w:r>
          </w:p>
          <w:sdt>
            <w:sdtPr>
              <w:id w:val="304900334"/>
              <w:placeholder>
                <w:docPart w:val="DefaultPlaceholder_1082065158"/>
              </w:placeholder>
              <w:showingPlcHdr/>
              <w:text/>
            </w:sdtPr>
            <w:sdtEndPr/>
            <w:sdtContent>
              <w:p w:rsidR="00A56FE9" w:rsidRDefault="00A30339" w:rsidP="003740B4">
                <w:r w:rsidRPr="0058543A">
                  <w:rPr>
                    <w:rStyle w:val="PlaceholderText"/>
                  </w:rPr>
                  <w:t>Click here to enter text.</w:t>
                </w:r>
              </w:p>
            </w:sdtContent>
          </w:sdt>
          <w:p w:rsidR="00A30339" w:rsidRDefault="00A30339" w:rsidP="003740B4"/>
          <w:p w:rsidR="00A56FE9" w:rsidRDefault="00A56FE9" w:rsidP="003740B4">
            <w:r>
              <w:t>Examples for Criterion 9:</w:t>
            </w:r>
          </w:p>
          <w:sdt>
            <w:sdtPr>
              <w:id w:val="-749188896"/>
              <w:placeholder>
                <w:docPart w:val="DefaultPlaceholder_1082065158"/>
              </w:placeholder>
              <w:showingPlcHdr/>
              <w:text/>
            </w:sdtPr>
            <w:sdtEndPr/>
            <w:sdtContent>
              <w:p w:rsidR="00A56FE9" w:rsidRDefault="00A30339" w:rsidP="003740B4">
                <w:r w:rsidRPr="0058543A">
                  <w:rPr>
                    <w:rStyle w:val="PlaceholderText"/>
                  </w:rPr>
                  <w:t>Click here to enter text.</w:t>
                </w:r>
              </w:p>
            </w:sdtContent>
          </w:sdt>
          <w:p w:rsidR="00A56FE9" w:rsidRDefault="00A56FE9" w:rsidP="003740B4"/>
          <w:p w:rsidR="00A56FE9" w:rsidRDefault="00A56FE9" w:rsidP="003740B4">
            <w:r>
              <w:t xml:space="preserve">Examples for Criterion 10: </w:t>
            </w:r>
          </w:p>
          <w:sdt>
            <w:sdtPr>
              <w:id w:val="-1912384360"/>
              <w:placeholder>
                <w:docPart w:val="DefaultPlaceholder_1082065158"/>
              </w:placeholder>
              <w:showingPlcHdr/>
              <w:text/>
            </w:sdtPr>
            <w:sdtEndPr/>
            <w:sdtContent>
              <w:p w:rsidR="00A30339" w:rsidRDefault="00A30339" w:rsidP="003740B4">
                <w:r w:rsidRPr="0058543A">
                  <w:rPr>
                    <w:rStyle w:val="PlaceholderText"/>
                  </w:rPr>
                  <w:t>Click here to enter text.</w:t>
                </w:r>
              </w:p>
            </w:sdtContent>
          </w:sdt>
        </w:tc>
      </w:tr>
      <w:tr w:rsidR="00A56FE9" w:rsidTr="00593BF7">
        <w:trPr>
          <w:trHeight w:val="3690"/>
        </w:trPr>
        <w:tc>
          <w:tcPr>
            <w:tcW w:w="2700" w:type="dxa"/>
            <w:vMerge/>
          </w:tcPr>
          <w:p w:rsidR="00A56FE9" w:rsidRDefault="00A56FE9" w:rsidP="003740B4"/>
        </w:tc>
        <w:tc>
          <w:tcPr>
            <w:tcW w:w="3780" w:type="dxa"/>
          </w:tcPr>
          <w:p w:rsidR="00A56FE9" w:rsidRDefault="00A56FE9" w:rsidP="007F3AF4">
            <w:r w:rsidRPr="00ED2030">
              <w:rPr>
                <w:b/>
              </w:rPr>
              <w:t>9.</w:t>
            </w:r>
            <w:r>
              <w:t xml:space="preserve"> In each 6-8 grade level, materials integrate the interdependence of health-enhancing knowledge and skills as they relate to responsible personal and social behaviors within society. </w:t>
            </w:r>
          </w:p>
        </w:tc>
        <w:tc>
          <w:tcPr>
            <w:tcW w:w="7560" w:type="dxa"/>
            <w:vMerge/>
          </w:tcPr>
          <w:p w:rsidR="00A56FE9" w:rsidRDefault="00A56FE9" w:rsidP="003740B4"/>
        </w:tc>
      </w:tr>
      <w:tr w:rsidR="00A56FE9" w:rsidTr="00593BF7">
        <w:trPr>
          <w:trHeight w:val="3690"/>
        </w:trPr>
        <w:tc>
          <w:tcPr>
            <w:tcW w:w="2700" w:type="dxa"/>
            <w:vMerge/>
          </w:tcPr>
          <w:p w:rsidR="00A56FE9" w:rsidRDefault="00A56FE9" w:rsidP="003740B4"/>
        </w:tc>
        <w:tc>
          <w:tcPr>
            <w:tcW w:w="3780" w:type="dxa"/>
          </w:tcPr>
          <w:p w:rsidR="00A56FE9" w:rsidRDefault="00A56FE9" w:rsidP="007F3AF4">
            <w:r w:rsidRPr="00ED2030">
              <w:rPr>
                <w:b/>
              </w:rPr>
              <w:t>10.</w:t>
            </w:r>
            <w:r>
              <w:t xml:space="preserve"> In each 6-8 grade level, materials u</w:t>
            </w:r>
            <w:r>
              <w:rPr>
                <w:rFonts w:ascii="Calibri" w:hAnsi="Calibri"/>
                <w:color w:val="000000"/>
              </w:rPr>
              <w:t>se a variety of instructional strategies and sequencing that provide multiple developmentally-appropriate opportunities and adequate time for student learning.</w:t>
            </w:r>
          </w:p>
        </w:tc>
        <w:tc>
          <w:tcPr>
            <w:tcW w:w="7560" w:type="dxa"/>
            <w:vMerge/>
          </w:tcPr>
          <w:p w:rsidR="00A56FE9" w:rsidRDefault="00A56FE9" w:rsidP="003740B4"/>
        </w:tc>
      </w:tr>
    </w:tbl>
    <w:p w:rsidR="00261F2B" w:rsidRDefault="00261F2B" w:rsidP="003740B4"/>
    <w:p w:rsidR="00261F2B" w:rsidRDefault="00261F2B">
      <w:r>
        <w:br w:type="page"/>
      </w:r>
    </w:p>
    <w:tbl>
      <w:tblPr>
        <w:tblStyle w:val="TableGrid"/>
        <w:tblW w:w="14040" w:type="dxa"/>
        <w:tblInd w:w="-432" w:type="dxa"/>
        <w:tblLook w:val="04A0" w:firstRow="1" w:lastRow="0" w:firstColumn="1" w:lastColumn="0" w:noHBand="0" w:noVBand="1"/>
      </w:tblPr>
      <w:tblGrid>
        <w:gridCol w:w="14040"/>
      </w:tblGrid>
      <w:tr w:rsidR="00C71472" w:rsidTr="0049350D">
        <w:trPr>
          <w:trHeight w:val="440"/>
        </w:trPr>
        <w:tc>
          <w:tcPr>
            <w:tcW w:w="14040" w:type="dxa"/>
            <w:shd w:val="clear" w:color="auto" w:fill="365F91"/>
          </w:tcPr>
          <w:p w:rsidR="00C71472" w:rsidRPr="00C71472" w:rsidRDefault="00C71472" w:rsidP="003740B4">
            <w:pPr>
              <w:rPr>
                <w:b/>
                <w:color w:val="FFFFFF" w:themeColor="background1"/>
              </w:rPr>
            </w:pPr>
            <w:r w:rsidRPr="00C71472">
              <w:rPr>
                <w:b/>
                <w:color w:val="FFFFFF" w:themeColor="background1"/>
              </w:rPr>
              <w:lastRenderedPageBreak/>
              <w:t>SECTION II: Instructional Supports</w:t>
            </w:r>
          </w:p>
          <w:p w:rsidR="00C71472" w:rsidRDefault="00C71472" w:rsidP="003740B4">
            <w:r w:rsidRPr="00C71472">
              <w:rPr>
                <w:b/>
                <w:color w:val="FFFFFF" w:themeColor="background1"/>
              </w:rPr>
              <w:t>Supporting Criteria</w:t>
            </w:r>
          </w:p>
        </w:tc>
      </w:tr>
      <w:tr w:rsidR="00C71472" w:rsidTr="00C71472">
        <w:trPr>
          <w:trHeight w:val="440"/>
        </w:trPr>
        <w:tc>
          <w:tcPr>
            <w:tcW w:w="14040" w:type="dxa"/>
            <w:vAlign w:val="center"/>
          </w:tcPr>
          <w:p w:rsidR="00C71472" w:rsidRDefault="00C71472" w:rsidP="003740B4">
            <w:r>
              <w:t xml:space="preserve">Rate each indicator in Section II according to whether it is met, partially  met, or not met. Award points for each indicator as shown. </w:t>
            </w:r>
          </w:p>
        </w:tc>
      </w:tr>
    </w:tbl>
    <w:p w:rsidR="00995C36" w:rsidRDefault="00995C36" w:rsidP="003740B4"/>
    <w:tbl>
      <w:tblPr>
        <w:tblStyle w:val="TableGrid"/>
        <w:tblW w:w="14040" w:type="dxa"/>
        <w:tblInd w:w="-432" w:type="dxa"/>
        <w:tblLook w:val="04A0" w:firstRow="1" w:lastRow="0" w:firstColumn="1" w:lastColumn="0" w:noHBand="0" w:noVBand="1"/>
      </w:tblPr>
      <w:tblGrid>
        <w:gridCol w:w="8010"/>
        <w:gridCol w:w="6030"/>
      </w:tblGrid>
      <w:tr w:rsidR="008E4886" w:rsidTr="003E1603">
        <w:tc>
          <w:tcPr>
            <w:tcW w:w="14040" w:type="dxa"/>
            <w:gridSpan w:val="2"/>
            <w:shd w:val="clear" w:color="auto" w:fill="BFBFBF" w:themeFill="background1" w:themeFillShade="BF"/>
            <w:vAlign w:val="center"/>
          </w:tcPr>
          <w:p w:rsidR="008E4886" w:rsidRDefault="008E4886" w:rsidP="003740B4">
            <w:r w:rsidRPr="00956564">
              <w:rPr>
                <w:b/>
              </w:rPr>
              <w:t>II – INDICATORS OF QUALITY: Student Engagement</w:t>
            </w:r>
          </w:p>
        </w:tc>
      </w:tr>
      <w:tr w:rsidR="00956564" w:rsidTr="0049350D">
        <w:trPr>
          <w:trHeight w:val="359"/>
        </w:trPr>
        <w:tc>
          <w:tcPr>
            <w:tcW w:w="8010" w:type="dxa"/>
            <w:shd w:val="clear" w:color="auto" w:fill="B8CCE4"/>
            <w:vAlign w:val="center"/>
          </w:tcPr>
          <w:p w:rsidR="00956564" w:rsidRPr="00956564" w:rsidRDefault="00956564" w:rsidP="003740B4">
            <w:pPr>
              <w:rPr>
                <w:i/>
              </w:rPr>
            </w:pPr>
            <w:r w:rsidRPr="00956564">
              <w:rPr>
                <w:i/>
              </w:rPr>
              <w:t xml:space="preserve">11. Engages students in authentic and meaningful learning experiences that: </w:t>
            </w:r>
          </w:p>
        </w:tc>
        <w:tc>
          <w:tcPr>
            <w:tcW w:w="6030" w:type="dxa"/>
            <w:shd w:val="clear" w:color="auto" w:fill="B8CCE4"/>
          </w:tcPr>
          <w:p w:rsidR="00956564" w:rsidRDefault="00956564" w:rsidP="003740B4">
            <w:r>
              <w:t>EXAMPLES IN TEXT (PROVIDED BY PUBLISHER)</w:t>
            </w:r>
          </w:p>
        </w:tc>
      </w:tr>
      <w:tr w:rsidR="00956564" w:rsidTr="008E4886">
        <w:trPr>
          <w:trHeight w:val="350"/>
        </w:trPr>
        <w:tc>
          <w:tcPr>
            <w:tcW w:w="8010" w:type="dxa"/>
            <w:vAlign w:val="center"/>
          </w:tcPr>
          <w:p w:rsidR="00956564" w:rsidRDefault="00956564" w:rsidP="00956564">
            <w:pPr>
              <w:pStyle w:val="ListParagraph"/>
              <w:numPr>
                <w:ilvl w:val="0"/>
                <w:numId w:val="1"/>
              </w:numPr>
            </w:pPr>
            <w:r>
              <w:t xml:space="preserve">Reflect lifelong health education practices. </w:t>
            </w:r>
          </w:p>
        </w:tc>
        <w:sdt>
          <w:sdtPr>
            <w:id w:val="1936706880"/>
            <w:placeholder>
              <w:docPart w:val="DefaultPlaceholder_1082065158"/>
            </w:placeholder>
            <w:showingPlcHdr/>
            <w:text/>
          </w:sdtPr>
          <w:sdtEndPr/>
          <w:sdtContent>
            <w:tc>
              <w:tcPr>
                <w:tcW w:w="6030" w:type="dxa"/>
                <w:vMerge w:val="restart"/>
              </w:tcPr>
              <w:p w:rsidR="00956564" w:rsidRDefault="00C467AA" w:rsidP="003740B4">
                <w:r w:rsidRPr="0058543A">
                  <w:rPr>
                    <w:rStyle w:val="PlaceholderText"/>
                  </w:rPr>
                  <w:t>Click here to enter text.</w:t>
                </w:r>
              </w:p>
            </w:tc>
          </w:sdtContent>
        </w:sdt>
      </w:tr>
      <w:tr w:rsidR="00956564" w:rsidTr="008E4886">
        <w:trPr>
          <w:trHeight w:val="341"/>
        </w:trPr>
        <w:tc>
          <w:tcPr>
            <w:tcW w:w="8010" w:type="dxa"/>
            <w:vAlign w:val="center"/>
          </w:tcPr>
          <w:p w:rsidR="00956564" w:rsidRDefault="00956564" w:rsidP="00956564">
            <w:pPr>
              <w:pStyle w:val="ListParagraph"/>
              <w:numPr>
                <w:ilvl w:val="0"/>
                <w:numId w:val="1"/>
              </w:numPr>
            </w:pPr>
            <w:r>
              <w:t>Support instruction to develop health literate students (i.e., physical, mental, social, emotional, and environmental health).</w:t>
            </w:r>
          </w:p>
        </w:tc>
        <w:tc>
          <w:tcPr>
            <w:tcW w:w="6030" w:type="dxa"/>
            <w:vMerge/>
          </w:tcPr>
          <w:p w:rsidR="00956564" w:rsidRDefault="00956564" w:rsidP="003740B4"/>
        </w:tc>
      </w:tr>
      <w:tr w:rsidR="00956564" w:rsidTr="008E4886">
        <w:trPr>
          <w:trHeight w:val="350"/>
        </w:trPr>
        <w:tc>
          <w:tcPr>
            <w:tcW w:w="8010" w:type="dxa"/>
            <w:vAlign w:val="center"/>
          </w:tcPr>
          <w:p w:rsidR="00956564" w:rsidRDefault="00956564" w:rsidP="00956564">
            <w:pPr>
              <w:pStyle w:val="ListParagraph"/>
              <w:numPr>
                <w:ilvl w:val="0"/>
                <w:numId w:val="1"/>
              </w:numPr>
            </w:pPr>
            <w:r>
              <w:t>Provide opportunities for students to personalize and internalize learning to support health literacy.</w:t>
            </w:r>
          </w:p>
        </w:tc>
        <w:tc>
          <w:tcPr>
            <w:tcW w:w="6030" w:type="dxa"/>
            <w:vMerge/>
          </w:tcPr>
          <w:p w:rsidR="00956564" w:rsidRDefault="00956564" w:rsidP="003740B4"/>
        </w:tc>
      </w:tr>
      <w:tr w:rsidR="00956564" w:rsidTr="008E4886">
        <w:trPr>
          <w:trHeight w:val="359"/>
        </w:trPr>
        <w:tc>
          <w:tcPr>
            <w:tcW w:w="8010" w:type="dxa"/>
            <w:vAlign w:val="center"/>
          </w:tcPr>
          <w:p w:rsidR="00956564" w:rsidRDefault="00956564" w:rsidP="00956564">
            <w:pPr>
              <w:pStyle w:val="ListParagraph"/>
              <w:numPr>
                <w:ilvl w:val="0"/>
                <w:numId w:val="1"/>
              </w:numPr>
            </w:pPr>
            <w:r>
              <w:t>Are student-centered.</w:t>
            </w:r>
          </w:p>
        </w:tc>
        <w:tc>
          <w:tcPr>
            <w:tcW w:w="6030" w:type="dxa"/>
            <w:vMerge/>
          </w:tcPr>
          <w:p w:rsidR="00956564" w:rsidRDefault="00956564" w:rsidP="003740B4"/>
        </w:tc>
      </w:tr>
      <w:tr w:rsidR="00956564" w:rsidTr="008E4886">
        <w:trPr>
          <w:trHeight w:val="350"/>
        </w:trPr>
        <w:tc>
          <w:tcPr>
            <w:tcW w:w="8010" w:type="dxa"/>
            <w:vAlign w:val="center"/>
          </w:tcPr>
          <w:p w:rsidR="00956564" w:rsidRDefault="00956564" w:rsidP="00956564">
            <w:pPr>
              <w:pStyle w:val="ListParagraph"/>
              <w:numPr>
                <w:ilvl w:val="0"/>
                <w:numId w:val="1"/>
              </w:numPr>
            </w:pPr>
            <w:r>
              <w:t>Provide opportunities for students to relate health behaviors to life, home, school, and careers as health literate citizens.</w:t>
            </w:r>
          </w:p>
        </w:tc>
        <w:tc>
          <w:tcPr>
            <w:tcW w:w="6030" w:type="dxa"/>
            <w:vMerge/>
          </w:tcPr>
          <w:p w:rsidR="00956564" w:rsidRDefault="00956564" w:rsidP="003740B4"/>
        </w:tc>
      </w:tr>
      <w:tr w:rsidR="00956564" w:rsidTr="008E4886">
        <w:trPr>
          <w:trHeight w:val="494"/>
        </w:trPr>
        <w:tc>
          <w:tcPr>
            <w:tcW w:w="8010" w:type="dxa"/>
            <w:vAlign w:val="center"/>
          </w:tcPr>
          <w:p w:rsidR="00956564" w:rsidRDefault="00956564" w:rsidP="00956564">
            <w:pPr>
              <w:pStyle w:val="ListParagraph"/>
              <w:numPr>
                <w:ilvl w:val="0"/>
                <w:numId w:val="1"/>
              </w:numPr>
            </w:pPr>
            <w:r>
              <w:t>Include representation of diverse people and cultures.</w:t>
            </w:r>
          </w:p>
        </w:tc>
        <w:tc>
          <w:tcPr>
            <w:tcW w:w="6030" w:type="dxa"/>
            <w:vMerge/>
          </w:tcPr>
          <w:p w:rsidR="00956564" w:rsidRDefault="00956564" w:rsidP="003740B4"/>
        </w:tc>
      </w:tr>
      <w:tr w:rsidR="00956564" w:rsidTr="0049350D">
        <w:trPr>
          <w:trHeight w:val="593"/>
        </w:trPr>
        <w:tc>
          <w:tcPr>
            <w:tcW w:w="8010" w:type="dxa"/>
            <w:shd w:val="clear" w:color="auto" w:fill="B8CCE4"/>
            <w:vAlign w:val="center"/>
          </w:tcPr>
          <w:p w:rsidR="00956564" w:rsidRPr="00AF2D1B" w:rsidRDefault="00956564" w:rsidP="00956564">
            <w:pPr>
              <w:rPr>
                <w:i/>
              </w:rPr>
            </w:pPr>
            <w:r w:rsidRPr="00AF2D1B">
              <w:rPr>
                <w:i/>
              </w:rPr>
              <w:t>Additional Indicators of Student Engagement:</w:t>
            </w:r>
          </w:p>
        </w:tc>
        <w:tc>
          <w:tcPr>
            <w:tcW w:w="6030" w:type="dxa"/>
            <w:shd w:val="clear" w:color="auto" w:fill="B8CCE4"/>
          </w:tcPr>
          <w:p w:rsidR="00956564" w:rsidRDefault="00956564" w:rsidP="003740B4">
            <w:r>
              <w:t>EXAMPLES IN TEXT (PROVIDED BY PUBLISHER)</w:t>
            </w:r>
          </w:p>
        </w:tc>
      </w:tr>
      <w:tr w:rsidR="00AF2D1B" w:rsidTr="008E4886">
        <w:trPr>
          <w:trHeight w:val="1367"/>
        </w:trPr>
        <w:tc>
          <w:tcPr>
            <w:tcW w:w="8010" w:type="dxa"/>
            <w:vAlign w:val="center"/>
          </w:tcPr>
          <w:p w:rsidR="00AF2D1B" w:rsidRDefault="00AF2D1B" w:rsidP="00AF2D1B">
            <w:r>
              <w:t xml:space="preserve">12. Facilitate deeper understanding of practices, skills, and functional knowledge by building upon prior knowledge. </w:t>
            </w:r>
          </w:p>
        </w:tc>
        <w:sdt>
          <w:sdtPr>
            <w:id w:val="-2066470610"/>
            <w:placeholder>
              <w:docPart w:val="DefaultPlaceholder_1082065158"/>
            </w:placeholder>
            <w:showingPlcHdr/>
            <w:text/>
          </w:sdtPr>
          <w:sdtEndPr/>
          <w:sdtContent>
            <w:tc>
              <w:tcPr>
                <w:tcW w:w="6030" w:type="dxa"/>
                <w:vMerge w:val="restart"/>
              </w:tcPr>
              <w:p w:rsidR="00AF2D1B" w:rsidRDefault="00C467AA" w:rsidP="003740B4">
                <w:r w:rsidRPr="0058543A">
                  <w:rPr>
                    <w:rStyle w:val="PlaceholderText"/>
                  </w:rPr>
                  <w:t>Click here to enter text.</w:t>
                </w:r>
              </w:p>
            </w:tc>
          </w:sdtContent>
        </w:sdt>
      </w:tr>
      <w:tr w:rsidR="00AF2D1B" w:rsidTr="008E4886">
        <w:trPr>
          <w:trHeight w:val="1700"/>
        </w:trPr>
        <w:tc>
          <w:tcPr>
            <w:tcW w:w="8010" w:type="dxa"/>
            <w:vAlign w:val="center"/>
          </w:tcPr>
          <w:p w:rsidR="00AF2D1B" w:rsidRDefault="00AF2D1B" w:rsidP="00AF2D1B">
            <w:r>
              <w:t xml:space="preserve">13. Provides frequent opportunities for students to recognize, develop, demonstrate, apply, and exhibit their knowledge and skills. </w:t>
            </w:r>
          </w:p>
        </w:tc>
        <w:tc>
          <w:tcPr>
            <w:tcW w:w="6030" w:type="dxa"/>
            <w:vMerge/>
          </w:tcPr>
          <w:p w:rsidR="00AF2D1B" w:rsidRDefault="00AF2D1B" w:rsidP="003740B4"/>
        </w:tc>
      </w:tr>
    </w:tbl>
    <w:p w:rsidR="00C71472" w:rsidRDefault="00C71472" w:rsidP="00AF2D1B">
      <w:pPr>
        <w:tabs>
          <w:tab w:val="left" w:pos="1842"/>
        </w:tabs>
      </w:pPr>
    </w:p>
    <w:tbl>
      <w:tblPr>
        <w:tblStyle w:val="TableGrid"/>
        <w:tblW w:w="14040" w:type="dxa"/>
        <w:tblInd w:w="-432" w:type="dxa"/>
        <w:tblLook w:val="04A0" w:firstRow="1" w:lastRow="0" w:firstColumn="1" w:lastColumn="0" w:noHBand="0" w:noVBand="1"/>
      </w:tblPr>
      <w:tblGrid>
        <w:gridCol w:w="14040"/>
      </w:tblGrid>
      <w:tr w:rsidR="00AF2D1B" w:rsidTr="0049350D">
        <w:trPr>
          <w:trHeight w:val="530"/>
        </w:trPr>
        <w:tc>
          <w:tcPr>
            <w:tcW w:w="14040" w:type="dxa"/>
            <w:shd w:val="clear" w:color="auto" w:fill="365F91"/>
          </w:tcPr>
          <w:p w:rsidR="00AF2D1B" w:rsidRDefault="003231FB" w:rsidP="00AF2D1B">
            <w:pPr>
              <w:tabs>
                <w:tab w:val="left" w:pos="1842"/>
              </w:tabs>
              <w:rPr>
                <w:b/>
                <w:color w:val="FFFFFF" w:themeColor="background1"/>
              </w:rPr>
            </w:pPr>
            <w:r>
              <w:rPr>
                <w:b/>
                <w:color w:val="FFFFFF" w:themeColor="background1"/>
              </w:rPr>
              <w:lastRenderedPageBreak/>
              <w:t>SECTION II: Instructional Supports</w:t>
            </w:r>
          </w:p>
          <w:p w:rsidR="003231FB" w:rsidRPr="003231FB" w:rsidRDefault="0055229A" w:rsidP="00AF2D1B">
            <w:pPr>
              <w:tabs>
                <w:tab w:val="left" w:pos="1842"/>
              </w:tabs>
              <w:rPr>
                <w:b/>
                <w:color w:val="FFFFFF" w:themeColor="background1"/>
              </w:rPr>
            </w:pPr>
            <w:r>
              <w:rPr>
                <w:b/>
                <w:color w:val="FFFFFF" w:themeColor="background1"/>
              </w:rPr>
              <w:t>Key</w:t>
            </w:r>
            <w:r w:rsidR="003231FB">
              <w:rPr>
                <w:b/>
                <w:color w:val="FFFFFF" w:themeColor="background1"/>
              </w:rPr>
              <w:t xml:space="preserve"> Criteria</w:t>
            </w:r>
          </w:p>
        </w:tc>
      </w:tr>
      <w:tr w:rsidR="00AF2D1B" w:rsidTr="003231FB">
        <w:trPr>
          <w:trHeight w:val="512"/>
        </w:trPr>
        <w:tc>
          <w:tcPr>
            <w:tcW w:w="14040" w:type="dxa"/>
            <w:vAlign w:val="center"/>
          </w:tcPr>
          <w:p w:rsidR="00AF2D1B" w:rsidRDefault="003231FB" w:rsidP="00AF2D1B">
            <w:pPr>
              <w:tabs>
                <w:tab w:val="left" w:pos="1842"/>
              </w:tabs>
            </w:pPr>
            <w:r>
              <w:t>Rate each indicator in Section II according to whether it is met, partially met, or not met. Award points for each indicator as shown.</w:t>
            </w:r>
          </w:p>
        </w:tc>
      </w:tr>
    </w:tbl>
    <w:p w:rsidR="00AF2D1B" w:rsidRDefault="00AF2D1B" w:rsidP="00AF2D1B">
      <w:pPr>
        <w:tabs>
          <w:tab w:val="left" w:pos="1842"/>
        </w:tabs>
      </w:pPr>
    </w:p>
    <w:tbl>
      <w:tblPr>
        <w:tblStyle w:val="TableGrid"/>
        <w:tblW w:w="14040" w:type="dxa"/>
        <w:tblInd w:w="-432" w:type="dxa"/>
        <w:tblLook w:val="04A0" w:firstRow="1" w:lastRow="0" w:firstColumn="1" w:lastColumn="0" w:noHBand="0" w:noVBand="1"/>
      </w:tblPr>
      <w:tblGrid>
        <w:gridCol w:w="8010"/>
        <w:gridCol w:w="6030"/>
      </w:tblGrid>
      <w:tr w:rsidR="008E4886" w:rsidRPr="00AF3FB7" w:rsidTr="00074960">
        <w:tc>
          <w:tcPr>
            <w:tcW w:w="14040" w:type="dxa"/>
            <w:gridSpan w:val="2"/>
            <w:shd w:val="clear" w:color="auto" w:fill="BFBFBF" w:themeFill="background1" w:themeFillShade="BF"/>
          </w:tcPr>
          <w:p w:rsidR="008E4886" w:rsidRPr="00AF3FB7" w:rsidRDefault="008E4886" w:rsidP="00AF2D1B">
            <w:pPr>
              <w:tabs>
                <w:tab w:val="left" w:pos="1842"/>
              </w:tabs>
              <w:rPr>
                <w:sz w:val="20"/>
                <w:szCs w:val="20"/>
              </w:rPr>
            </w:pPr>
            <w:r w:rsidRPr="00AF3FB7">
              <w:rPr>
                <w:b/>
                <w:sz w:val="20"/>
                <w:szCs w:val="20"/>
              </w:rPr>
              <w:t>II – INDICATORS OF QUALITY: Differentiated Instruction</w:t>
            </w:r>
          </w:p>
        </w:tc>
      </w:tr>
      <w:tr w:rsidR="003231FB" w:rsidRPr="00AF3FB7" w:rsidTr="0049350D">
        <w:tc>
          <w:tcPr>
            <w:tcW w:w="8010" w:type="dxa"/>
            <w:shd w:val="clear" w:color="auto" w:fill="B8CCE4"/>
            <w:vAlign w:val="center"/>
          </w:tcPr>
          <w:p w:rsidR="003231FB" w:rsidRPr="00AF3FB7" w:rsidRDefault="0055229A" w:rsidP="00AF2D1B">
            <w:pPr>
              <w:tabs>
                <w:tab w:val="left" w:pos="1842"/>
              </w:tabs>
              <w:rPr>
                <w:i/>
                <w:sz w:val="20"/>
                <w:szCs w:val="20"/>
              </w:rPr>
            </w:pPr>
            <w:r w:rsidRPr="00AF3FB7">
              <w:rPr>
                <w:i/>
                <w:sz w:val="20"/>
                <w:szCs w:val="20"/>
              </w:rPr>
              <w:t>14. Provides guidance for teachers to support learning activities that are culturally responsive/relevant. Supports could include:</w:t>
            </w:r>
          </w:p>
        </w:tc>
        <w:tc>
          <w:tcPr>
            <w:tcW w:w="6030" w:type="dxa"/>
            <w:shd w:val="clear" w:color="auto" w:fill="B8CCE4"/>
          </w:tcPr>
          <w:p w:rsidR="003231FB" w:rsidRPr="00AF3FB7" w:rsidRDefault="003231FB" w:rsidP="00AF2D1B">
            <w:pPr>
              <w:tabs>
                <w:tab w:val="left" w:pos="1842"/>
              </w:tabs>
              <w:rPr>
                <w:sz w:val="20"/>
                <w:szCs w:val="20"/>
              </w:rPr>
            </w:pPr>
            <w:r w:rsidRPr="00AF3FB7">
              <w:rPr>
                <w:sz w:val="20"/>
                <w:szCs w:val="20"/>
              </w:rPr>
              <w:t>EXAMPLES IN TEXT (PROVIDED BY PUBLISHER)</w:t>
            </w:r>
          </w:p>
        </w:tc>
      </w:tr>
      <w:tr w:rsidR="0055229A" w:rsidRPr="00AF3FB7" w:rsidTr="008E4886">
        <w:tc>
          <w:tcPr>
            <w:tcW w:w="8010" w:type="dxa"/>
            <w:vAlign w:val="center"/>
          </w:tcPr>
          <w:p w:rsidR="0055229A" w:rsidRPr="00AF3FB7" w:rsidRDefault="0055229A" w:rsidP="0055229A">
            <w:pPr>
              <w:pStyle w:val="ListParagraph"/>
              <w:numPr>
                <w:ilvl w:val="0"/>
                <w:numId w:val="2"/>
              </w:numPr>
              <w:tabs>
                <w:tab w:val="left" w:pos="1842"/>
              </w:tabs>
              <w:rPr>
                <w:sz w:val="20"/>
                <w:szCs w:val="20"/>
              </w:rPr>
            </w:pPr>
            <w:r w:rsidRPr="00AF3FB7">
              <w:rPr>
                <w:sz w:val="20"/>
                <w:szCs w:val="20"/>
              </w:rPr>
              <w:t>Suggestions for how to promote equitable instruction by providing materials free of culturally-biased information and making connections to culture, home, neighborhood, and community.</w:t>
            </w:r>
          </w:p>
        </w:tc>
        <w:sdt>
          <w:sdtPr>
            <w:rPr>
              <w:sz w:val="20"/>
              <w:szCs w:val="20"/>
            </w:rPr>
            <w:id w:val="668982908"/>
            <w:placeholder>
              <w:docPart w:val="DefaultPlaceholder_1082065158"/>
            </w:placeholder>
            <w:showingPlcHdr/>
            <w:text/>
          </w:sdtPr>
          <w:sdtEndPr/>
          <w:sdtContent>
            <w:tc>
              <w:tcPr>
                <w:tcW w:w="6030" w:type="dxa"/>
                <w:vMerge w:val="restart"/>
              </w:tcPr>
              <w:p w:rsidR="0055229A" w:rsidRPr="00AF3FB7" w:rsidRDefault="00C467AA" w:rsidP="00AF2D1B">
                <w:pPr>
                  <w:tabs>
                    <w:tab w:val="left" w:pos="1842"/>
                  </w:tabs>
                  <w:rPr>
                    <w:sz w:val="20"/>
                    <w:szCs w:val="20"/>
                  </w:rPr>
                </w:pPr>
                <w:r w:rsidRPr="0058543A">
                  <w:rPr>
                    <w:rStyle w:val="PlaceholderText"/>
                  </w:rPr>
                  <w:t>Click here to enter text.</w:t>
                </w:r>
              </w:p>
            </w:tc>
          </w:sdtContent>
        </w:sdt>
      </w:tr>
      <w:tr w:rsidR="0055229A" w:rsidRPr="00AF3FB7" w:rsidTr="008E4886">
        <w:tc>
          <w:tcPr>
            <w:tcW w:w="8010" w:type="dxa"/>
            <w:vAlign w:val="center"/>
          </w:tcPr>
          <w:p w:rsidR="0055229A" w:rsidRPr="00AF3FB7" w:rsidRDefault="0055229A" w:rsidP="0055229A">
            <w:pPr>
              <w:pStyle w:val="ListParagraph"/>
              <w:numPr>
                <w:ilvl w:val="0"/>
                <w:numId w:val="2"/>
              </w:numPr>
              <w:tabs>
                <w:tab w:val="left" w:pos="1842"/>
              </w:tabs>
              <w:rPr>
                <w:sz w:val="20"/>
                <w:szCs w:val="20"/>
              </w:rPr>
            </w:pPr>
            <w:r w:rsidRPr="00AF3FB7">
              <w:rPr>
                <w:sz w:val="20"/>
                <w:szCs w:val="20"/>
              </w:rPr>
              <w:t>Appropriate scaffolding, interventions, and supports including integrated and appropriate reading, writing, listening, and speaking alternatives (e.g., translations, picture support, graphic organizers, diagrams) that neither sacrifice health education content nor ignore language development for English language learners, cognitive and emotional development as well as diverse learning capabilities and learning styles.</w:t>
            </w:r>
          </w:p>
        </w:tc>
        <w:tc>
          <w:tcPr>
            <w:tcW w:w="6030" w:type="dxa"/>
            <w:vMerge/>
          </w:tcPr>
          <w:p w:rsidR="0055229A" w:rsidRPr="00AF3FB7" w:rsidRDefault="0055229A" w:rsidP="00AF2D1B">
            <w:pPr>
              <w:tabs>
                <w:tab w:val="left" w:pos="1842"/>
              </w:tabs>
              <w:rPr>
                <w:sz w:val="20"/>
                <w:szCs w:val="20"/>
              </w:rPr>
            </w:pPr>
          </w:p>
        </w:tc>
      </w:tr>
      <w:tr w:rsidR="0055229A" w:rsidRPr="00AF3FB7" w:rsidTr="008E4886">
        <w:tc>
          <w:tcPr>
            <w:tcW w:w="8010" w:type="dxa"/>
            <w:vAlign w:val="center"/>
          </w:tcPr>
          <w:p w:rsidR="0055229A" w:rsidRPr="00AF3FB7" w:rsidRDefault="0055229A" w:rsidP="0055229A">
            <w:pPr>
              <w:pStyle w:val="ListParagraph"/>
              <w:numPr>
                <w:ilvl w:val="0"/>
                <w:numId w:val="2"/>
              </w:numPr>
              <w:tabs>
                <w:tab w:val="left" w:pos="1842"/>
              </w:tabs>
              <w:rPr>
                <w:sz w:val="20"/>
                <w:szCs w:val="20"/>
              </w:rPr>
            </w:pPr>
            <w:r w:rsidRPr="00AF3FB7">
              <w:rPr>
                <w:sz w:val="20"/>
                <w:szCs w:val="20"/>
              </w:rPr>
              <w:t>Resources that allow digital and print materials to provide various levels of readability and accessibility.</w:t>
            </w:r>
          </w:p>
        </w:tc>
        <w:tc>
          <w:tcPr>
            <w:tcW w:w="6030" w:type="dxa"/>
            <w:vMerge/>
          </w:tcPr>
          <w:p w:rsidR="0055229A" w:rsidRPr="00AF3FB7" w:rsidRDefault="0055229A" w:rsidP="00AF2D1B">
            <w:pPr>
              <w:tabs>
                <w:tab w:val="left" w:pos="1842"/>
              </w:tabs>
              <w:rPr>
                <w:sz w:val="20"/>
                <w:szCs w:val="20"/>
              </w:rPr>
            </w:pPr>
          </w:p>
        </w:tc>
      </w:tr>
      <w:tr w:rsidR="0055229A" w:rsidRPr="00AF3FB7" w:rsidTr="008E4886">
        <w:tc>
          <w:tcPr>
            <w:tcW w:w="8010" w:type="dxa"/>
            <w:vAlign w:val="center"/>
          </w:tcPr>
          <w:p w:rsidR="0055229A" w:rsidRPr="00AF3FB7" w:rsidRDefault="0055229A" w:rsidP="0055229A">
            <w:pPr>
              <w:pStyle w:val="ListParagraph"/>
              <w:numPr>
                <w:ilvl w:val="0"/>
                <w:numId w:val="2"/>
              </w:numPr>
              <w:tabs>
                <w:tab w:val="left" w:pos="1842"/>
              </w:tabs>
              <w:rPr>
                <w:sz w:val="20"/>
                <w:szCs w:val="20"/>
              </w:rPr>
            </w:pPr>
            <w:r w:rsidRPr="00AF3FB7">
              <w:rPr>
                <w:sz w:val="20"/>
                <w:szCs w:val="20"/>
              </w:rPr>
              <w:t>Modifications and extensions for all students, including those performing above their grade level, to develop a deep understanding of the practices, standards, best practices, and performance indicators.</w:t>
            </w:r>
          </w:p>
        </w:tc>
        <w:tc>
          <w:tcPr>
            <w:tcW w:w="6030" w:type="dxa"/>
            <w:vMerge/>
          </w:tcPr>
          <w:p w:rsidR="0055229A" w:rsidRPr="00AF3FB7" w:rsidRDefault="0055229A" w:rsidP="00AF2D1B">
            <w:pPr>
              <w:tabs>
                <w:tab w:val="left" w:pos="1842"/>
              </w:tabs>
              <w:rPr>
                <w:sz w:val="20"/>
                <w:szCs w:val="20"/>
              </w:rPr>
            </w:pPr>
          </w:p>
        </w:tc>
      </w:tr>
      <w:tr w:rsidR="0055229A" w:rsidRPr="00AF3FB7" w:rsidTr="008E4886">
        <w:tc>
          <w:tcPr>
            <w:tcW w:w="8010" w:type="dxa"/>
            <w:vAlign w:val="center"/>
          </w:tcPr>
          <w:p w:rsidR="0055229A" w:rsidRPr="00AF3FB7" w:rsidRDefault="0055229A" w:rsidP="0055229A">
            <w:pPr>
              <w:pStyle w:val="ListParagraph"/>
              <w:numPr>
                <w:ilvl w:val="0"/>
                <w:numId w:val="2"/>
              </w:numPr>
              <w:tabs>
                <w:tab w:val="left" w:pos="1842"/>
              </w:tabs>
              <w:rPr>
                <w:sz w:val="20"/>
                <w:szCs w:val="20"/>
              </w:rPr>
            </w:pPr>
            <w:r w:rsidRPr="00AF3FB7">
              <w:rPr>
                <w:sz w:val="20"/>
                <w:szCs w:val="20"/>
              </w:rPr>
              <w:t>Technology and digital media to support, extend, and enhance learning experiences.</w:t>
            </w:r>
          </w:p>
        </w:tc>
        <w:tc>
          <w:tcPr>
            <w:tcW w:w="6030" w:type="dxa"/>
            <w:vMerge/>
          </w:tcPr>
          <w:p w:rsidR="0055229A" w:rsidRPr="00AF3FB7" w:rsidRDefault="0055229A" w:rsidP="00AF2D1B">
            <w:pPr>
              <w:tabs>
                <w:tab w:val="left" w:pos="1842"/>
              </w:tabs>
              <w:rPr>
                <w:sz w:val="20"/>
                <w:szCs w:val="20"/>
              </w:rPr>
            </w:pPr>
          </w:p>
        </w:tc>
      </w:tr>
      <w:tr w:rsidR="0055229A" w:rsidRPr="00AF3FB7" w:rsidTr="008E4886">
        <w:tc>
          <w:tcPr>
            <w:tcW w:w="8010" w:type="dxa"/>
            <w:vAlign w:val="center"/>
          </w:tcPr>
          <w:p w:rsidR="0055229A" w:rsidRPr="00AF3FB7" w:rsidRDefault="0055229A" w:rsidP="0055229A">
            <w:pPr>
              <w:pStyle w:val="ListParagraph"/>
              <w:numPr>
                <w:ilvl w:val="0"/>
                <w:numId w:val="2"/>
              </w:numPr>
              <w:tabs>
                <w:tab w:val="left" w:pos="1842"/>
              </w:tabs>
              <w:rPr>
                <w:sz w:val="20"/>
                <w:szCs w:val="20"/>
              </w:rPr>
            </w:pPr>
            <w:r w:rsidRPr="00AF3FB7">
              <w:rPr>
                <w:sz w:val="20"/>
                <w:szCs w:val="20"/>
              </w:rPr>
              <w:t>Materials in multiple language formats including translation services for specific language needs.</w:t>
            </w:r>
          </w:p>
        </w:tc>
        <w:tc>
          <w:tcPr>
            <w:tcW w:w="6030" w:type="dxa"/>
            <w:vMerge/>
          </w:tcPr>
          <w:p w:rsidR="0055229A" w:rsidRPr="00AF3FB7" w:rsidRDefault="0055229A" w:rsidP="00AF2D1B">
            <w:pPr>
              <w:tabs>
                <w:tab w:val="left" w:pos="1842"/>
              </w:tabs>
              <w:rPr>
                <w:sz w:val="20"/>
                <w:szCs w:val="20"/>
              </w:rPr>
            </w:pPr>
          </w:p>
        </w:tc>
      </w:tr>
      <w:tr w:rsidR="0055229A" w:rsidRPr="00AF3FB7" w:rsidTr="0049350D">
        <w:tc>
          <w:tcPr>
            <w:tcW w:w="8010" w:type="dxa"/>
            <w:shd w:val="clear" w:color="auto" w:fill="B8CCE4"/>
            <w:vAlign w:val="center"/>
          </w:tcPr>
          <w:p w:rsidR="0055229A" w:rsidRPr="00AF3FB7" w:rsidRDefault="0055229A" w:rsidP="0055229A">
            <w:pPr>
              <w:pStyle w:val="ListParagraph"/>
              <w:tabs>
                <w:tab w:val="left" w:pos="1842"/>
              </w:tabs>
              <w:rPr>
                <w:sz w:val="20"/>
                <w:szCs w:val="20"/>
              </w:rPr>
            </w:pPr>
          </w:p>
        </w:tc>
        <w:tc>
          <w:tcPr>
            <w:tcW w:w="6030" w:type="dxa"/>
            <w:shd w:val="clear" w:color="auto" w:fill="B8CCE4"/>
          </w:tcPr>
          <w:p w:rsidR="0055229A" w:rsidRPr="00AF3FB7" w:rsidRDefault="0055229A" w:rsidP="00AF2D1B">
            <w:pPr>
              <w:tabs>
                <w:tab w:val="left" w:pos="1842"/>
              </w:tabs>
              <w:rPr>
                <w:sz w:val="20"/>
                <w:szCs w:val="20"/>
              </w:rPr>
            </w:pPr>
            <w:r w:rsidRPr="00AF3FB7">
              <w:rPr>
                <w:sz w:val="20"/>
                <w:szCs w:val="20"/>
              </w:rPr>
              <w:t>EXAMPLES IN TEXT (PROVIDED BY PUBLISHER)</w:t>
            </w:r>
          </w:p>
        </w:tc>
      </w:tr>
      <w:tr w:rsidR="0055229A" w:rsidRPr="00AF3FB7" w:rsidTr="008E4886">
        <w:trPr>
          <w:trHeight w:val="539"/>
        </w:trPr>
        <w:tc>
          <w:tcPr>
            <w:tcW w:w="8010" w:type="dxa"/>
            <w:vAlign w:val="center"/>
          </w:tcPr>
          <w:p w:rsidR="0055229A" w:rsidRPr="00AF3FB7" w:rsidRDefault="0055229A" w:rsidP="0055229A">
            <w:pPr>
              <w:tabs>
                <w:tab w:val="left" w:pos="1842"/>
              </w:tabs>
              <w:rPr>
                <w:sz w:val="20"/>
                <w:szCs w:val="20"/>
              </w:rPr>
            </w:pPr>
            <w:r w:rsidRPr="00AF3FB7">
              <w:rPr>
                <w:sz w:val="20"/>
                <w:szCs w:val="20"/>
              </w:rPr>
              <w:t>15. Includes grade-level appropriate academic and content-specific vocabulary and visual representations when appropriate.</w:t>
            </w:r>
          </w:p>
        </w:tc>
        <w:sdt>
          <w:sdtPr>
            <w:rPr>
              <w:sz w:val="20"/>
              <w:szCs w:val="20"/>
            </w:rPr>
            <w:id w:val="-1227288102"/>
            <w:placeholder>
              <w:docPart w:val="DefaultPlaceholder_1082065158"/>
            </w:placeholder>
            <w:showingPlcHdr/>
            <w:text/>
          </w:sdtPr>
          <w:sdtEndPr/>
          <w:sdtContent>
            <w:tc>
              <w:tcPr>
                <w:tcW w:w="6030" w:type="dxa"/>
                <w:vMerge w:val="restart"/>
              </w:tcPr>
              <w:p w:rsidR="0055229A" w:rsidRPr="00AF3FB7" w:rsidRDefault="00C467AA" w:rsidP="00AF2D1B">
                <w:pPr>
                  <w:tabs>
                    <w:tab w:val="left" w:pos="1842"/>
                  </w:tabs>
                  <w:rPr>
                    <w:sz w:val="20"/>
                    <w:szCs w:val="20"/>
                  </w:rPr>
                </w:pPr>
                <w:r w:rsidRPr="0058543A">
                  <w:rPr>
                    <w:rStyle w:val="PlaceholderText"/>
                  </w:rPr>
                  <w:t>Click here to enter text.</w:t>
                </w:r>
              </w:p>
            </w:tc>
          </w:sdtContent>
        </w:sdt>
      </w:tr>
      <w:tr w:rsidR="0055229A" w:rsidRPr="00AF3FB7" w:rsidTr="008E4886">
        <w:trPr>
          <w:trHeight w:val="755"/>
        </w:trPr>
        <w:tc>
          <w:tcPr>
            <w:tcW w:w="8010" w:type="dxa"/>
            <w:vAlign w:val="center"/>
          </w:tcPr>
          <w:p w:rsidR="0055229A" w:rsidRPr="00AF3FB7" w:rsidRDefault="0055229A" w:rsidP="0055229A">
            <w:pPr>
              <w:tabs>
                <w:tab w:val="left" w:pos="1842"/>
              </w:tabs>
              <w:rPr>
                <w:sz w:val="20"/>
                <w:szCs w:val="20"/>
              </w:rPr>
            </w:pPr>
            <w:r w:rsidRPr="00AF3FB7">
              <w:rPr>
                <w:sz w:val="20"/>
                <w:szCs w:val="20"/>
              </w:rPr>
              <w:t>16. Includes grade-level appropriate informational text (e.g., digital and print resources) that supports conceptual understanding of the Oregon State Health Education Standards and Performance Indicators.</w:t>
            </w:r>
          </w:p>
        </w:tc>
        <w:tc>
          <w:tcPr>
            <w:tcW w:w="6030" w:type="dxa"/>
            <w:vMerge/>
          </w:tcPr>
          <w:p w:rsidR="0055229A" w:rsidRPr="00AF3FB7" w:rsidRDefault="0055229A" w:rsidP="00AF2D1B">
            <w:pPr>
              <w:tabs>
                <w:tab w:val="left" w:pos="1842"/>
              </w:tabs>
              <w:rPr>
                <w:sz w:val="20"/>
                <w:szCs w:val="20"/>
              </w:rPr>
            </w:pPr>
          </w:p>
        </w:tc>
      </w:tr>
      <w:tr w:rsidR="0055229A" w:rsidRPr="00AF3FB7" w:rsidTr="008E4886">
        <w:trPr>
          <w:trHeight w:val="917"/>
        </w:trPr>
        <w:tc>
          <w:tcPr>
            <w:tcW w:w="8010" w:type="dxa"/>
            <w:vAlign w:val="center"/>
          </w:tcPr>
          <w:p w:rsidR="0055229A" w:rsidRPr="00AF3FB7" w:rsidRDefault="0055229A" w:rsidP="0055229A">
            <w:pPr>
              <w:tabs>
                <w:tab w:val="left" w:pos="1842"/>
              </w:tabs>
              <w:rPr>
                <w:sz w:val="20"/>
                <w:szCs w:val="20"/>
              </w:rPr>
            </w:pPr>
            <w:r w:rsidRPr="00AF3FB7">
              <w:rPr>
                <w:sz w:val="20"/>
                <w:szCs w:val="20"/>
              </w:rPr>
              <w:t xml:space="preserve">17. Provides a well-articulated scope and sequence that aligns with Oregon State Health Education Standards and Performance Indicators. </w:t>
            </w:r>
          </w:p>
        </w:tc>
        <w:tc>
          <w:tcPr>
            <w:tcW w:w="6030" w:type="dxa"/>
            <w:vMerge/>
          </w:tcPr>
          <w:p w:rsidR="0055229A" w:rsidRPr="00AF3FB7" w:rsidRDefault="0055229A" w:rsidP="00AF2D1B">
            <w:pPr>
              <w:tabs>
                <w:tab w:val="left" w:pos="1842"/>
              </w:tabs>
              <w:rPr>
                <w:sz w:val="20"/>
                <w:szCs w:val="20"/>
              </w:rPr>
            </w:pPr>
          </w:p>
        </w:tc>
      </w:tr>
    </w:tbl>
    <w:p w:rsidR="003231FB" w:rsidRDefault="003231FB" w:rsidP="00AF2D1B">
      <w:pPr>
        <w:tabs>
          <w:tab w:val="left" w:pos="1842"/>
        </w:tabs>
      </w:pPr>
    </w:p>
    <w:tbl>
      <w:tblPr>
        <w:tblStyle w:val="TableGrid"/>
        <w:tblW w:w="14040" w:type="dxa"/>
        <w:tblInd w:w="-432" w:type="dxa"/>
        <w:tblLook w:val="04A0" w:firstRow="1" w:lastRow="0" w:firstColumn="1" w:lastColumn="0" w:noHBand="0" w:noVBand="1"/>
      </w:tblPr>
      <w:tblGrid>
        <w:gridCol w:w="14040"/>
      </w:tblGrid>
      <w:tr w:rsidR="00904718" w:rsidTr="0049350D">
        <w:trPr>
          <w:trHeight w:val="530"/>
        </w:trPr>
        <w:tc>
          <w:tcPr>
            <w:tcW w:w="14040" w:type="dxa"/>
            <w:shd w:val="clear" w:color="auto" w:fill="365F91"/>
          </w:tcPr>
          <w:p w:rsidR="00904718" w:rsidRDefault="00904718" w:rsidP="00AF2D1B">
            <w:pPr>
              <w:tabs>
                <w:tab w:val="left" w:pos="1842"/>
              </w:tabs>
              <w:rPr>
                <w:b/>
                <w:color w:val="FFFFFF" w:themeColor="background1"/>
              </w:rPr>
            </w:pPr>
            <w:r>
              <w:rPr>
                <w:b/>
                <w:color w:val="FFFFFF" w:themeColor="background1"/>
              </w:rPr>
              <w:lastRenderedPageBreak/>
              <w:t>SECTION II: Instructional Supports</w:t>
            </w:r>
          </w:p>
          <w:p w:rsidR="00904718" w:rsidRPr="00904718" w:rsidRDefault="00904718" w:rsidP="00AF2D1B">
            <w:pPr>
              <w:tabs>
                <w:tab w:val="left" w:pos="1842"/>
              </w:tabs>
              <w:rPr>
                <w:b/>
                <w:color w:val="FFFFFF" w:themeColor="background1"/>
              </w:rPr>
            </w:pPr>
            <w:r>
              <w:rPr>
                <w:b/>
                <w:color w:val="FFFFFF" w:themeColor="background1"/>
              </w:rPr>
              <w:t>Supporting Criteria</w:t>
            </w:r>
          </w:p>
        </w:tc>
      </w:tr>
      <w:tr w:rsidR="00904718" w:rsidTr="00904718">
        <w:trPr>
          <w:trHeight w:val="512"/>
        </w:trPr>
        <w:tc>
          <w:tcPr>
            <w:tcW w:w="14040" w:type="dxa"/>
            <w:vAlign w:val="center"/>
          </w:tcPr>
          <w:p w:rsidR="00904718" w:rsidRDefault="00904718" w:rsidP="00AF2D1B">
            <w:pPr>
              <w:tabs>
                <w:tab w:val="left" w:pos="1842"/>
              </w:tabs>
            </w:pPr>
            <w:r>
              <w:t>Rate each indicator in Section II according to whether it is met, partially met, or not met. Award points for each indicator as shown.</w:t>
            </w:r>
          </w:p>
        </w:tc>
      </w:tr>
    </w:tbl>
    <w:p w:rsidR="00AF3FB7" w:rsidRDefault="00AF3FB7" w:rsidP="00AF2D1B">
      <w:pPr>
        <w:tabs>
          <w:tab w:val="left" w:pos="1842"/>
        </w:tabs>
      </w:pPr>
    </w:p>
    <w:tbl>
      <w:tblPr>
        <w:tblStyle w:val="TableGrid"/>
        <w:tblW w:w="14040" w:type="dxa"/>
        <w:tblInd w:w="-432" w:type="dxa"/>
        <w:tblLook w:val="04A0" w:firstRow="1" w:lastRow="0" w:firstColumn="1" w:lastColumn="0" w:noHBand="0" w:noVBand="1"/>
      </w:tblPr>
      <w:tblGrid>
        <w:gridCol w:w="8012"/>
        <w:gridCol w:w="6028"/>
      </w:tblGrid>
      <w:tr w:rsidR="008E4886" w:rsidTr="00D27FB5">
        <w:tc>
          <w:tcPr>
            <w:tcW w:w="14040" w:type="dxa"/>
            <w:gridSpan w:val="2"/>
            <w:shd w:val="clear" w:color="auto" w:fill="BFBFBF" w:themeFill="background1" w:themeFillShade="BF"/>
            <w:vAlign w:val="center"/>
          </w:tcPr>
          <w:p w:rsidR="008E4886" w:rsidRDefault="008E4886" w:rsidP="00AF2D1B">
            <w:pPr>
              <w:tabs>
                <w:tab w:val="left" w:pos="1842"/>
              </w:tabs>
            </w:pPr>
            <w:r w:rsidRPr="00904718">
              <w:rPr>
                <w:b/>
              </w:rPr>
              <w:t>II – INDICATORS OF QUALITY: Extensions &amp; Educator Supports</w:t>
            </w:r>
          </w:p>
        </w:tc>
      </w:tr>
      <w:tr w:rsidR="00904718" w:rsidTr="0049350D">
        <w:tc>
          <w:tcPr>
            <w:tcW w:w="8012" w:type="dxa"/>
            <w:shd w:val="clear" w:color="auto" w:fill="B8CCE4"/>
            <w:vAlign w:val="center"/>
          </w:tcPr>
          <w:p w:rsidR="00904718" w:rsidRDefault="00904718" w:rsidP="00AF2D1B">
            <w:pPr>
              <w:tabs>
                <w:tab w:val="left" w:pos="1842"/>
              </w:tabs>
            </w:pPr>
          </w:p>
        </w:tc>
        <w:tc>
          <w:tcPr>
            <w:tcW w:w="6028" w:type="dxa"/>
            <w:shd w:val="clear" w:color="auto" w:fill="B8CCE4"/>
          </w:tcPr>
          <w:p w:rsidR="00904718" w:rsidRDefault="00904718" w:rsidP="00AF2D1B">
            <w:pPr>
              <w:tabs>
                <w:tab w:val="left" w:pos="1842"/>
              </w:tabs>
            </w:pPr>
            <w:r>
              <w:t>EXAMPLES IN TEXT (PROVIDED BY PUBLISHER)</w:t>
            </w:r>
          </w:p>
        </w:tc>
      </w:tr>
      <w:tr w:rsidR="001B50EF" w:rsidTr="008E4886">
        <w:trPr>
          <w:trHeight w:val="638"/>
        </w:trPr>
        <w:tc>
          <w:tcPr>
            <w:tcW w:w="8012" w:type="dxa"/>
            <w:vAlign w:val="center"/>
          </w:tcPr>
          <w:p w:rsidR="001B50EF" w:rsidRDefault="001B50EF" w:rsidP="00AF2D1B">
            <w:pPr>
              <w:tabs>
                <w:tab w:val="left" w:pos="1842"/>
              </w:tabs>
            </w:pPr>
            <w:r>
              <w:t>18. Digital and print materials are consistently formatted, visually focused, and organized for efficient use.</w:t>
            </w:r>
          </w:p>
        </w:tc>
        <w:sdt>
          <w:sdtPr>
            <w:id w:val="710382684"/>
            <w:placeholder>
              <w:docPart w:val="DefaultPlaceholder_1082065158"/>
            </w:placeholder>
            <w:showingPlcHdr/>
            <w:text/>
          </w:sdtPr>
          <w:sdtEndPr/>
          <w:sdtContent>
            <w:tc>
              <w:tcPr>
                <w:tcW w:w="6028" w:type="dxa"/>
                <w:vMerge w:val="restart"/>
              </w:tcPr>
              <w:p w:rsidR="001B50EF" w:rsidRDefault="00C467AA" w:rsidP="00AF2D1B">
                <w:pPr>
                  <w:tabs>
                    <w:tab w:val="left" w:pos="1842"/>
                  </w:tabs>
                </w:pPr>
                <w:r w:rsidRPr="0058543A">
                  <w:rPr>
                    <w:rStyle w:val="PlaceholderText"/>
                  </w:rPr>
                  <w:t>Click here to enter text.</w:t>
                </w:r>
              </w:p>
            </w:tc>
          </w:sdtContent>
        </w:sdt>
      </w:tr>
      <w:tr w:rsidR="001B50EF" w:rsidTr="008E4886">
        <w:trPr>
          <w:trHeight w:val="341"/>
        </w:trPr>
        <w:tc>
          <w:tcPr>
            <w:tcW w:w="8012" w:type="dxa"/>
            <w:vAlign w:val="center"/>
          </w:tcPr>
          <w:p w:rsidR="001B50EF" w:rsidRDefault="001B50EF" w:rsidP="00AF2D1B">
            <w:pPr>
              <w:tabs>
                <w:tab w:val="left" w:pos="1842"/>
              </w:tabs>
            </w:pPr>
            <w:r>
              <w:t>19. Provides virtual lab, simulations, and video-based learning experiences.</w:t>
            </w:r>
          </w:p>
        </w:tc>
        <w:tc>
          <w:tcPr>
            <w:tcW w:w="6028" w:type="dxa"/>
            <w:vMerge/>
          </w:tcPr>
          <w:p w:rsidR="001B50EF" w:rsidRDefault="001B50EF" w:rsidP="00AF2D1B">
            <w:pPr>
              <w:tabs>
                <w:tab w:val="left" w:pos="1842"/>
              </w:tabs>
            </w:pPr>
          </w:p>
        </w:tc>
      </w:tr>
      <w:tr w:rsidR="001B50EF" w:rsidTr="008E4886">
        <w:trPr>
          <w:trHeight w:val="620"/>
        </w:trPr>
        <w:tc>
          <w:tcPr>
            <w:tcW w:w="8012" w:type="dxa"/>
            <w:vAlign w:val="center"/>
          </w:tcPr>
          <w:p w:rsidR="001B50EF" w:rsidRDefault="001B50EF" w:rsidP="00AF2D1B">
            <w:pPr>
              <w:tabs>
                <w:tab w:val="left" w:pos="1842"/>
              </w:tabs>
            </w:pPr>
            <w:r>
              <w:t>20. Allow teachers to access, revise, and print from digital sources (e.g., readings, activities, assessments, rubrics).</w:t>
            </w:r>
          </w:p>
        </w:tc>
        <w:tc>
          <w:tcPr>
            <w:tcW w:w="6028" w:type="dxa"/>
            <w:vMerge/>
          </w:tcPr>
          <w:p w:rsidR="001B50EF" w:rsidRDefault="001B50EF" w:rsidP="00AF2D1B">
            <w:pPr>
              <w:tabs>
                <w:tab w:val="left" w:pos="1842"/>
              </w:tabs>
            </w:pPr>
          </w:p>
        </w:tc>
      </w:tr>
      <w:tr w:rsidR="001B50EF" w:rsidTr="008E4886">
        <w:trPr>
          <w:trHeight w:val="629"/>
        </w:trPr>
        <w:tc>
          <w:tcPr>
            <w:tcW w:w="8012" w:type="dxa"/>
            <w:vAlign w:val="center"/>
          </w:tcPr>
          <w:p w:rsidR="001B50EF" w:rsidRDefault="001B50EF" w:rsidP="00AF2D1B">
            <w:pPr>
              <w:tabs>
                <w:tab w:val="left" w:pos="1842"/>
              </w:tabs>
            </w:pPr>
            <w:r>
              <w:t>21. Supplies and equipment, when provided, are high quality (e.g., durable, dependable) and organized for efficient use.</w:t>
            </w:r>
          </w:p>
        </w:tc>
        <w:tc>
          <w:tcPr>
            <w:tcW w:w="6028" w:type="dxa"/>
            <w:vMerge/>
          </w:tcPr>
          <w:p w:rsidR="001B50EF" w:rsidRDefault="001B50EF" w:rsidP="00AF2D1B">
            <w:pPr>
              <w:tabs>
                <w:tab w:val="left" w:pos="1842"/>
              </w:tabs>
            </w:pPr>
          </w:p>
        </w:tc>
      </w:tr>
      <w:tr w:rsidR="001B50EF" w:rsidTr="008E4886">
        <w:trPr>
          <w:trHeight w:val="611"/>
        </w:trPr>
        <w:tc>
          <w:tcPr>
            <w:tcW w:w="8012" w:type="dxa"/>
            <w:vAlign w:val="center"/>
          </w:tcPr>
          <w:p w:rsidR="001B50EF" w:rsidRDefault="001B50EF" w:rsidP="00AF2D1B">
            <w:pPr>
              <w:tabs>
                <w:tab w:val="left" w:pos="1842"/>
              </w:tabs>
            </w:pPr>
            <w:r>
              <w:t>22. Provide comprehensive lists that identify by learning experience all consumable and non-consumable materials aligned for both instruction and assessment.</w:t>
            </w:r>
          </w:p>
        </w:tc>
        <w:tc>
          <w:tcPr>
            <w:tcW w:w="6028" w:type="dxa"/>
            <w:vMerge/>
          </w:tcPr>
          <w:p w:rsidR="001B50EF" w:rsidRDefault="001B50EF" w:rsidP="00AF2D1B">
            <w:pPr>
              <w:tabs>
                <w:tab w:val="left" w:pos="1842"/>
              </w:tabs>
            </w:pPr>
          </w:p>
        </w:tc>
      </w:tr>
      <w:tr w:rsidR="001B50EF" w:rsidTr="008E4886">
        <w:trPr>
          <w:trHeight w:val="890"/>
        </w:trPr>
        <w:tc>
          <w:tcPr>
            <w:tcW w:w="8012" w:type="dxa"/>
            <w:vAlign w:val="center"/>
          </w:tcPr>
          <w:p w:rsidR="001B50EF" w:rsidRDefault="001B50EF" w:rsidP="00AF2D1B">
            <w:pPr>
              <w:tabs>
                <w:tab w:val="left" w:pos="1842"/>
              </w:tabs>
            </w:pPr>
            <w:r>
              <w:t>23. Use scientifically- and medically-accurate and grade-appropriate health education information, vocabulary, models, and representations to support health literate students.</w:t>
            </w:r>
          </w:p>
        </w:tc>
        <w:tc>
          <w:tcPr>
            <w:tcW w:w="6028" w:type="dxa"/>
            <w:vMerge/>
          </w:tcPr>
          <w:p w:rsidR="001B50EF" w:rsidRDefault="001B50EF" w:rsidP="00AF2D1B">
            <w:pPr>
              <w:tabs>
                <w:tab w:val="left" w:pos="1842"/>
              </w:tabs>
            </w:pPr>
          </w:p>
        </w:tc>
      </w:tr>
      <w:tr w:rsidR="001B50EF" w:rsidTr="008E4886">
        <w:trPr>
          <w:trHeight w:val="359"/>
        </w:trPr>
        <w:tc>
          <w:tcPr>
            <w:tcW w:w="8012" w:type="dxa"/>
            <w:vAlign w:val="center"/>
          </w:tcPr>
          <w:p w:rsidR="001B50EF" w:rsidRDefault="001B50EF" w:rsidP="00AF2D1B">
            <w:pPr>
              <w:tabs>
                <w:tab w:val="left" w:pos="1842"/>
              </w:tabs>
            </w:pPr>
            <w:r>
              <w:t>24. Adhere to safety laws, rules, and regulations.</w:t>
            </w:r>
          </w:p>
        </w:tc>
        <w:tc>
          <w:tcPr>
            <w:tcW w:w="6028" w:type="dxa"/>
            <w:vMerge/>
          </w:tcPr>
          <w:p w:rsidR="001B50EF" w:rsidRDefault="001B50EF" w:rsidP="00AF2D1B">
            <w:pPr>
              <w:tabs>
                <w:tab w:val="left" w:pos="1842"/>
              </w:tabs>
            </w:pPr>
          </w:p>
        </w:tc>
      </w:tr>
      <w:tr w:rsidR="001B50EF" w:rsidTr="008E4886">
        <w:trPr>
          <w:trHeight w:val="530"/>
        </w:trPr>
        <w:tc>
          <w:tcPr>
            <w:tcW w:w="8012" w:type="dxa"/>
            <w:vAlign w:val="center"/>
          </w:tcPr>
          <w:p w:rsidR="001B50EF" w:rsidRDefault="001B50EF" w:rsidP="00AF2D1B">
            <w:pPr>
              <w:tabs>
                <w:tab w:val="left" w:pos="1842"/>
              </w:tabs>
            </w:pPr>
            <w:r>
              <w:t>25. Provides ongoing and embedded professional learning for implementation and continued use of the instructional materials.</w:t>
            </w:r>
          </w:p>
        </w:tc>
        <w:tc>
          <w:tcPr>
            <w:tcW w:w="6028" w:type="dxa"/>
            <w:vMerge/>
          </w:tcPr>
          <w:p w:rsidR="001B50EF" w:rsidRDefault="001B50EF" w:rsidP="00AF2D1B">
            <w:pPr>
              <w:tabs>
                <w:tab w:val="left" w:pos="1842"/>
              </w:tabs>
            </w:pPr>
          </w:p>
        </w:tc>
      </w:tr>
      <w:tr w:rsidR="001B50EF" w:rsidTr="008E4886">
        <w:trPr>
          <w:trHeight w:val="530"/>
        </w:trPr>
        <w:tc>
          <w:tcPr>
            <w:tcW w:w="8012" w:type="dxa"/>
            <w:vAlign w:val="center"/>
          </w:tcPr>
          <w:p w:rsidR="001B50EF" w:rsidRDefault="001B50EF" w:rsidP="00AF2D1B">
            <w:pPr>
              <w:tabs>
                <w:tab w:val="left" w:pos="1842"/>
              </w:tabs>
            </w:pPr>
            <w:r>
              <w:t>26. Material outcomes/goals are aligned with the Oregon State Health Education Standards and Performance Indicators.</w:t>
            </w:r>
          </w:p>
        </w:tc>
        <w:tc>
          <w:tcPr>
            <w:tcW w:w="6028" w:type="dxa"/>
            <w:vMerge/>
          </w:tcPr>
          <w:p w:rsidR="001B50EF" w:rsidRDefault="001B50EF" w:rsidP="00AF2D1B">
            <w:pPr>
              <w:tabs>
                <w:tab w:val="left" w:pos="1842"/>
              </w:tabs>
            </w:pPr>
          </w:p>
        </w:tc>
      </w:tr>
      <w:tr w:rsidR="001B50EF" w:rsidTr="008E4886">
        <w:trPr>
          <w:trHeight w:val="791"/>
        </w:trPr>
        <w:tc>
          <w:tcPr>
            <w:tcW w:w="8012" w:type="dxa"/>
            <w:vAlign w:val="center"/>
          </w:tcPr>
          <w:p w:rsidR="001B50EF" w:rsidRDefault="001B50EF" w:rsidP="00AF2D1B">
            <w:pPr>
              <w:tabs>
                <w:tab w:val="left" w:pos="1842"/>
              </w:tabs>
            </w:pPr>
            <w:r>
              <w:t>27. Instructional materials are evaluated and revised with classroom instructor input, at least annually, and materials are updated and available to teachers and other facilitators.</w:t>
            </w:r>
          </w:p>
        </w:tc>
        <w:tc>
          <w:tcPr>
            <w:tcW w:w="6028" w:type="dxa"/>
            <w:vMerge/>
          </w:tcPr>
          <w:p w:rsidR="001B50EF" w:rsidRDefault="001B50EF" w:rsidP="00AF2D1B">
            <w:pPr>
              <w:tabs>
                <w:tab w:val="left" w:pos="1842"/>
              </w:tabs>
            </w:pPr>
          </w:p>
        </w:tc>
      </w:tr>
      <w:tr w:rsidR="001B50EF" w:rsidTr="008E4886">
        <w:trPr>
          <w:trHeight w:val="440"/>
        </w:trPr>
        <w:tc>
          <w:tcPr>
            <w:tcW w:w="8012" w:type="dxa"/>
            <w:vAlign w:val="center"/>
          </w:tcPr>
          <w:p w:rsidR="001B50EF" w:rsidRDefault="001B50EF" w:rsidP="00AF2D1B">
            <w:pPr>
              <w:tabs>
                <w:tab w:val="left" w:pos="1842"/>
              </w:tabs>
            </w:pPr>
            <w:r>
              <w:t>28. Material learning targets are aligned with Oregon State Health Education Standards and Performance Indicators.</w:t>
            </w:r>
          </w:p>
        </w:tc>
        <w:tc>
          <w:tcPr>
            <w:tcW w:w="6028" w:type="dxa"/>
            <w:vMerge/>
          </w:tcPr>
          <w:p w:rsidR="001B50EF" w:rsidRDefault="001B50EF" w:rsidP="00AF2D1B">
            <w:pPr>
              <w:tabs>
                <w:tab w:val="left" w:pos="1842"/>
              </w:tabs>
            </w:pPr>
          </w:p>
        </w:tc>
      </w:tr>
      <w:tr w:rsidR="001B50EF" w:rsidTr="008E4886">
        <w:trPr>
          <w:trHeight w:val="323"/>
        </w:trPr>
        <w:tc>
          <w:tcPr>
            <w:tcW w:w="8012" w:type="dxa"/>
            <w:vAlign w:val="center"/>
          </w:tcPr>
          <w:p w:rsidR="001B50EF" w:rsidRDefault="001B50EF" w:rsidP="00AF2D1B">
            <w:pPr>
              <w:tabs>
                <w:tab w:val="left" w:pos="1842"/>
              </w:tabs>
            </w:pPr>
            <w:r>
              <w:t xml:space="preserve">29. Materials are adaptable for different lengths of instructional time. </w:t>
            </w:r>
          </w:p>
        </w:tc>
        <w:tc>
          <w:tcPr>
            <w:tcW w:w="6028" w:type="dxa"/>
            <w:vMerge/>
          </w:tcPr>
          <w:p w:rsidR="001B50EF" w:rsidRDefault="001B50EF" w:rsidP="00AF2D1B">
            <w:pPr>
              <w:tabs>
                <w:tab w:val="left" w:pos="1842"/>
              </w:tabs>
            </w:pPr>
          </w:p>
        </w:tc>
      </w:tr>
      <w:tr w:rsidR="002D5B00" w:rsidTr="0049350D">
        <w:trPr>
          <w:trHeight w:val="440"/>
        </w:trPr>
        <w:tc>
          <w:tcPr>
            <w:tcW w:w="14040" w:type="dxa"/>
            <w:gridSpan w:val="2"/>
            <w:shd w:val="clear" w:color="auto" w:fill="365F91"/>
            <w:vAlign w:val="center"/>
          </w:tcPr>
          <w:p w:rsidR="002D5B00" w:rsidRDefault="002D5B00" w:rsidP="00AF2D1B">
            <w:pPr>
              <w:tabs>
                <w:tab w:val="left" w:pos="1842"/>
              </w:tabs>
              <w:rPr>
                <w:b/>
                <w:color w:val="FFFFFF" w:themeColor="background1"/>
              </w:rPr>
            </w:pPr>
            <w:r>
              <w:rPr>
                <w:b/>
                <w:color w:val="FFFFFF" w:themeColor="background1"/>
              </w:rPr>
              <w:lastRenderedPageBreak/>
              <w:t>SECTION III: Monitoring Student Progress</w:t>
            </w:r>
          </w:p>
          <w:p w:rsidR="002D5B00" w:rsidRPr="002D5B00" w:rsidRDefault="002D5B00" w:rsidP="00AF2D1B">
            <w:pPr>
              <w:tabs>
                <w:tab w:val="left" w:pos="1842"/>
              </w:tabs>
              <w:rPr>
                <w:b/>
                <w:color w:val="FFFFFF" w:themeColor="background1"/>
              </w:rPr>
            </w:pPr>
            <w:r>
              <w:rPr>
                <w:b/>
                <w:color w:val="FFFFFF" w:themeColor="background1"/>
              </w:rPr>
              <w:t>Supporting Criteria</w:t>
            </w:r>
          </w:p>
        </w:tc>
      </w:tr>
      <w:tr w:rsidR="002D5B00" w:rsidTr="008E4886">
        <w:trPr>
          <w:trHeight w:val="422"/>
        </w:trPr>
        <w:tc>
          <w:tcPr>
            <w:tcW w:w="14040" w:type="dxa"/>
            <w:gridSpan w:val="2"/>
            <w:vAlign w:val="center"/>
          </w:tcPr>
          <w:p w:rsidR="002D5B00" w:rsidRDefault="002D5B00" w:rsidP="00AF2D1B">
            <w:pPr>
              <w:tabs>
                <w:tab w:val="left" w:pos="1842"/>
              </w:tabs>
            </w:pPr>
            <w:r>
              <w:t>Rate each indicator in Section III according to whether it is met, partially met, or not met. Award points for each indicator as shown.</w:t>
            </w:r>
          </w:p>
        </w:tc>
      </w:tr>
    </w:tbl>
    <w:p w:rsidR="001B50EF" w:rsidRDefault="001B50EF" w:rsidP="00AF2D1B">
      <w:pPr>
        <w:tabs>
          <w:tab w:val="left" w:pos="1842"/>
        </w:tabs>
      </w:pPr>
    </w:p>
    <w:tbl>
      <w:tblPr>
        <w:tblStyle w:val="TableGrid"/>
        <w:tblW w:w="14040" w:type="dxa"/>
        <w:tblInd w:w="-432" w:type="dxa"/>
        <w:tblLook w:val="04A0" w:firstRow="1" w:lastRow="0" w:firstColumn="1" w:lastColumn="0" w:noHBand="0" w:noVBand="1"/>
      </w:tblPr>
      <w:tblGrid>
        <w:gridCol w:w="8010"/>
        <w:gridCol w:w="6030"/>
      </w:tblGrid>
      <w:tr w:rsidR="002D5B00" w:rsidTr="008E4886">
        <w:trPr>
          <w:trHeight w:val="386"/>
        </w:trPr>
        <w:tc>
          <w:tcPr>
            <w:tcW w:w="14040" w:type="dxa"/>
            <w:gridSpan w:val="2"/>
            <w:shd w:val="clear" w:color="auto" w:fill="BFBFBF" w:themeFill="background1" w:themeFillShade="BF"/>
            <w:vAlign w:val="center"/>
          </w:tcPr>
          <w:p w:rsidR="002D5B00" w:rsidRDefault="002D5B00" w:rsidP="00AF2D1B">
            <w:pPr>
              <w:tabs>
                <w:tab w:val="left" w:pos="1842"/>
              </w:tabs>
            </w:pPr>
            <w:r w:rsidRPr="002D5B00">
              <w:rPr>
                <w:b/>
              </w:rPr>
              <w:t>III – INDICATORS OF QUALITY: Monitoring Student Progress</w:t>
            </w:r>
          </w:p>
        </w:tc>
      </w:tr>
      <w:tr w:rsidR="002D5B00" w:rsidTr="0049350D">
        <w:trPr>
          <w:trHeight w:val="377"/>
        </w:trPr>
        <w:tc>
          <w:tcPr>
            <w:tcW w:w="8010" w:type="dxa"/>
            <w:shd w:val="clear" w:color="auto" w:fill="B8CCE4"/>
            <w:vAlign w:val="center"/>
          </w:tcPr>
          <w:p w:rsidR="002D5B00" w:rsidRDefault="002D5B00" w:rsidP="00AF2D1B">
            <w:pPr>
              <w:tabs>
                <w:tab w:val="left" w:pos="1842"/>
              </w:tabs>
            </w:pPr>
            <w:r>
              <w:t xml:space="preserve">The instructional materials support monitoring student progress: </w:t>
            </w:r>
          </w:p>
        </w:tc>
        <w:tc>
          <w:tcPr>
            <w:tcW w:w="6030" w:type="dxa"/>
            <w:shd w:val="clear" w:color="auto" w:fill="B8CCE4"/>
          </w:tcPr>
          <w:p w:rsidR="002D5B00" w:rsidRDefault="002D5B00" w:rsidP="00AF2D1B">
            <w:pPr>
              <w:tabs>
                <w:tab w:val="left" w:pos="1842"/>
              </w:tabs>
            </w:pPr>
            <w:r>
              <w:t>EXAMPLES IN TEXT (PROVIDED BY PUBLISHER)</w:t>
            </w:r>
          </w:p>
        </w:tc>
      </w:tr>
      <w:tr w:rsidR="002D5B00" w:rsidTr="008E4886">
        <w:trPr>
          <w:trHeight w:val="683"/>
        </w:trPr>
        <w:tc>
          <w:tcPr>
            <w:tcW w:w="8010" w:type="dxa"/>
            <w:vAlign w:val="center"/>
          </w:tcPr>
          <w:p w:rsidR="002D5B00" w:rsidRDefault="002D5B00" w:rsidP="00AF2D1B">
            <w:pPr>
              <w:tabs>
                <w:tab w:val="left" w:pos="1842"/>
              </w:tabs>
            </w:pPr>
            <w:r>
              <w:t>30. Elicits direct, observable evidence of student understanding of health literacy as it relates to content standards.</w:t>
            </w:r>
          </w:p>
        </w:tc>
        <w:sdt>
          <w:sdtPr>
            <w:id w:val="-553841293"/>
            <w:placeholder>
              <w:docPart w:val="DefaultPlaceholder_1082065158"/>
            </w:placeholder>
            <w:showingPlcHdr/>
            <w:text/>
          </w:sdtPr>
          <w:sdtEndPr/>
          <w:sdtContent>
            <w:tc>
              <w:tcPr>
                <w:tcW w:w="6030" w:type="dxa"/>
                <w:vMerge w:val="restart"/>
              </w:tcPr>
              <w:p w:rsidR="002D5B00" w:rsidRDefault="00C467AA" w:rsidP="00AF2D1B">
                <w:pPr>
                  <w:tabs>
                    <w:tab w:val="left" w:pos="1842"/>
                  </w:tabs>
                </w:pPr>
                <w:r w:rsidRPr="0058543A">
                  <w:rPr>
                    <w:rStyle w:val="PlaceholderText"/>
                  </w:rPr>
                  <w:t>Click here to enter text.</w:t>
                </w:r>
              </w:p>
            </w:tc>
          </w:sdtContent>
        </w:sdt>
      </w:tr>
      <w:tr w:rsidR="002D5B00" w:rsidTr="008E4886">
        <w:trPr>
          <w:trHeight w:val="971"/>
        </w:trPr>
        <w:tc>
          <w:tcPr>
            <w:tcW w:w="8010" w:type="dxa"/>
            <w:vAlign w:val="center"/>
          </w:tcPr>
          <w:p w:rsidR="002D5B00" w:rsidRDefault="002D5B00" w:rsidP="00AF2D1B">
            <w:pPr>
              <w:tabs>
                <w:tab w:val="left" w:pos="1842"/>
              </w:tabs>
            </w:pPr>
            <w:r>
              <w:t>31. Includes customizable and aligned rubric scoring guidelines, and exemplars that provide guidance for assessing student performance to support teachers in planning instruction and providing ongoing feedback to students.</w:t>
            </w:r>
          </w:p>
        </w:tc>
        <w:tc>
          <w:tcPr>
            <w:tcW w:w="6030" w:type="dxa"/>
            <w:vMerge/>
          </w:tcPr>
          <w:p w:rsidR="002D5B00" w:rsidRDefault="002D5B00" w:rsidP="00AF2D1B">
            <w:pPr>
              <w:tabs>
                <w:tab w:val="left" w:pos="1842"/>
              </w:tabs>
            </w:pPr>
          </w:p>
        </w:tc>
      </w:tr>
      <w:tr w:rsidR="002D5B00" w:rsidTr="008E4886">
        <w:trPr>
          <w:trHeight w:val="719"/>
        </w:trPr>
        <w:tc>
          <w:tcPr>
            <w:tcW w:w="8010" w:type="dxa"/>
            <w:vAlign w:val="center"/>
          </w:tcPr>
          <w:p w:rsidR="002D5B00" w:rsidRDefault="002D5B00" w:rsidP="00AF2D1B">
            <w:pPr>
              <w:tabs>
                <w:tab w:val="left" w:pos="1842"/>
              </w:tabs>
            </w:pPr>
            <w:r>
              <w:t>32. Uses varied modalities of instruction and assessments that are developmentally-appropriate and reflect authentic experiences in students’ lives.</w:t>
            </w:r>
          </w:p>
        </w:tc>
        <w:tc>
          <w:tcPr>
            <w:tcW w:w="6030" w:type="dxa"/>
            <w:vMerge/>
          </w:tcPr>
          <w:p w:rsidR="002D5B00" w:rsidRDefault="002D5B00" w:rsidP="00AF2D1B">
            <w:pPr>
              <w:tabs>
                <w:tab w:val="left" w:pos="1842"/>
              </w:tabs>
            </w:pPr>
          </w:p>
        </w:tc>
      </w:tr>
      <w:tr w:rsidR="002D5B00" w:rsidTr="008E4886">
        <w:trPr>
          <w:trHeight w:val="971"/>
        </w:trPr>
        <w:tc>
          <w:tcPr>
            <w:tcW w:w="8010" w:type="dxa"/>
            <w:vAlign w:val="center"/>
          </w:tcPr>
          <w:p w:rsidR="002D5B00" w:rsidRDefault="002D5B00" w:rsidP="00AF2D1B">
            <w:pPr>
              <w:tabs>
                <w:tab w:val="left" w:pos="1842"/>
              </w:tabs>
            </w:pPr>
            <w:r>
              <w:t>33. Provides multiple opportunities for students to demonstrate, reflect, and receive feedback on development of health literacy practices and skills aligned to Oregon State Health Education Standards and Performance Indicators.</w:t>
            </w:r>
          </w:p>
        </w:tc>
        <w:tc>
          <w:tcPr>
            <w:tcW w:w="6030" w:type="dxa"/>
            <w:vMerge/>
          </w:tcPr>
          <w:p w:rsidR="002D5B00" w:rsidRDefault="002D5B00" w:rsidP="00AF2D1B">
            <w:pPr>
              <w:tabs>
                <w:tab w:val="left" w:pos="1842"/>
              </w:tabs>
            </w:pPr>
          </w:p>
        </w:tc>
      </w:tr>
      <w:tr w:rsidR="002D5B00" w:rsidTr="008E4886">
        <w:trPr>
          <w:trHeight w:val="719"/>
        </w:trPr>
        <w:tc>
          <w:tcPr>
            <w:tcW w:w="8010" w:type="dxa"/>
            <w:vAlign w:val="center"/>
          </w:tcPr>
          <w:p w:rsidR="002D5B00" w:rsidRDefault="002D5B00" w:rsidP="00AF2D1B">
            <w:pPr>
              <w:tabs>
                <w:tab w:val="left" w:pos="1842"/>
              </w:tabs>
            </w:pPr>
            <w:r>
              <w:t>34. Assesses student proficiency using vocabulary, examples, and applications that are accessible, diverse, and developmentally-appropriate for all students.</w:t>
            </w:r>
          </w:p>
        </w:tc>
        <w:tc>
          <w:tcPr>
            <w:tcW w:w="6030" w:type="dxa"/>
            <w:vMerge/>
          </w:tcPr>
          <w:p w:rsidR="002D5B00" w:rsidRDefault="002D5B00" w:rsidP="00AF2D1B">
            <w:pPr>
              <w:tabs>
                <w:tab w:val="left" w:pos="1842"/>
              </w:tabs>
            </w:pPr>
          </w:p>
        </w:tc>
      </w:tr>
      <w:tr w:rsidR="002D5B00" w:rsidTr="008E4886">
        <w:trPr>
          <w:trHeight w:val="971"/>
        </w:trPr>
        <w:tc>
          <w:tcPr>
            <w:tcW w:w="8010" w:type="dxa"/>
            <w:vAlign w:val="center"/>
          </w:tcPr>
          <w:p w:rsidR="002D5B00" w:rsidRDefault="002D5B00" w:rsidP="00AF2D1B">
            <w:pPr>
              <w:tabs>
                <w:tab w:val="left" w:pos="1842"/>
              </w:tabs>
            </w:pPr>
            <w:r>
              <w:t xml:space="preserve">35. Includes data and assessments which are available in digital form on multiple </w:t>
            </w:r>
            <w:r w:rsidR="00913D17">
              <w:t>platforms, easy to customize and revise, and aligned to the Oregon Health Education Standards and Performance Indicators.</w:t>
            </w:r>
          </w:p>
        </w:tc>
        <w:tc>
          <w:tcPr>
            <w:tcW w:w="6030" w:type="dxa"/>
            <w:vMerge/>
          </w:tcPr>
          <w:p w:rsidR="002D5B00" w:rsidRDefault="002D5B00" w:rsidP="00AF2D1B">
            <w:pPr>
              <w:tabs>
                <w:tab w:val="left" w:pos="1842"/>
              </w:tabs>
            </w:pPr>
          </w:p>
        </w:tc>
      </w:tr>
      <w:tr w:rsidR="002D5B00" w:rsidTr="008E4886">
        <w:trPr>
          <w:trHeight w:val="449"/>
        </w:trPr>
        <w:tc>
          <w:tcPr>
            <w:tcW w:w="8010" w:type="dxa"/>
            <w:vAlign w:val="center"/>
          </w:tcPr>
          <w:p w:rsidR="002D5B00" w:rsidRDefault="002D5B00" w:rsidP="00913D17">
            <w:pPr>
              <w:tabs>
                <w:tab w:val="left" w:pos="1842"/>
              </w:tabs>
            </w:pPr>
            <w:r>
              <w:t>36.</w:t>
            </w:r>
            <w:r w:rsidR="00913D17">
              <w:t xml:space="preserve"> Provides teachers with  options for gathering, analyzing, and displaying data.</w:t>
            </w:r>
          </w:p>
        </w:tc>
        <w:tc>
          <w:tcPr>
            <w:tcW w:w="6030" w:type="dxa"/>
            <w:vMerge/>
          </w:tcPr>
          <w:p w:rsidR="002D5B00" w:rsidRDefault="002D5B00" w:rsidP="00AF2D1B">
            <w:pPr>
              <w:tabs>
                <w:tab w:val="left" w:pos="1842"/>
              </w:tabs>
            </w:pPr>
          </w:p>
        </w:tc>
      </w:tr>
      <w:tr w:rsidR="002D5B00" w:rsidTr="008E4886">
        <w:trPr>
          <w:trHeight w:val="701"/>
        </w:trPr>
        <w:tc>
          <w:tcPr>
            <w:tcW w:w="8010" w:type="dxa"/>
            <w:vAlign w:val="center"/>
          </w:tcPr>
          <w:p w:rsidR="002D5B00" w:rsidRDefault="002D5B00" w:rsidP="00AF2D1B">
            <w:pPr>
              <w:tabs>
                <w:tab w:val="left" w:pos="1842"/>
              </w:tabs>
            </w:pPr>
            <w:r>
              <w:t>37.</w:t>
            </w:r>
            <w:r w:rsidR="00913D17">
              <w:t xml:space="preserve"> Provides formative and summative assessments that are performance-based and designed to measure students’ health literacy and skill performance. </w:t>
            </w:r>
          </w:p>
        </w:tc>
        <w:tc>
          <w:tcPr>
            <w:tcW w:w="6030" w:type="dxa"/>
            <w:vMerge/>
          </w:tcPr>
          <w:p w:rsidR="002D5B00" w:rsidRDefault="002D5B00" w:rsidP="00AF2D1B">
            <w:pPr>
              <w:tabs>
                <w:tab w:val="left" w:pos="1842"/>
              </w:tabs>
            </w:pPr>
          </w:p>
        </w:tc>
      </w:tr>
    </w:tbl>
    <w:p w:rsidR="002D5B00" w:rsidRPr="00956564" w:rsidRDefault="002D5B00" w:rsidP="00AF2D1B">
      <w:pPr>
        <w:tabs>
          <w:tab w:val="left" w:pos="1842"/>
        </w:tabs>
      </w:pPr>
    </w:p>
    <w:sectPr w:rsidR="002D5B00" w:rsidRPr="00956564" w:rsidSect="00B91383">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78" w:rsidRDefault="00DB5078" w:rsidP="00DB5078">
      <w:pPr>
        <w:spacing w:after="0" w:line="240" w:lineRule="auto"/>
      </w:pPr>
      <w:r>
        <w:separator/>
      </w:r>
    </w:p>
  </w:endnote>
  <w:endnote w:type="continuationSeparator" w:id="0">
    <w:p w:rsidR="00DB5078" w:rsidRDefault="00DB5078" w:rsidP="00DB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17" w:rsidRDefault="00913D17" w:rsidP="00913D17">
    <w:pPr>
      <w:pStyle w:val="Footer"/>
      <w:tabs>
        <w:tab w:val="clear" w:pos="9360"/>
        <w:tab w:val="left" w:pos="6865"/>
      </w:tabs>
      <w:ind w:left="-540" w:right="-540"/>
    </w:pPr>
    <w:r w:rsidRPr="00DB5078">
      <w:rPr>
        <w:spacing w:val="-20"/>
      </w:rPr>
      <w:t xml:space="preserve">This worksheet is based on the </w:t>
    </w:r>
    <w:hyperlink r:id="rId1" w:history="1">
      <w:r w:rsidRPr="00DB5078">
        <w:rPr>
          <w:rStyle w:val="Hyperlink"/>
          <w:spacing w:val="-20"/>
        </w:rPr>
        <w:t>Oregon Adopted Criteria for Health Education</w:t>
      </w:r>
    </w:hyperlink>
    <w:r w:rsidRPr="00DB5078">
      <w:rPr>
        <w:spacing w:val="-20"/>
      </w:rPr>
      <w:t xml:space="preserve"> (2016).</w:t>
    </w:r>
    <w:r>
      <w:rPr>
        <w:spacing w:val="-20"/>
      </w:rPr>
      <w:tab/>
    </w:r>
    <w:r>
      <w:rPr>
        <w:spacing w:val="-20"/>
      </w:rPr>
      <w:tab/>
    </w:r>
    <w:r>
      <w:rPr>
        <w:spacing w:val="-20"/>
      </w:rPr>
      <w:tab/>
    </w:r>
    <w:r>
      <w:rPr>
        <w:spacing w:val="-20"/>
      </w:rPr>
      <w:tab/>
    </w:r>
    <w:r>
      <w:rPr>
        <w:spacing w:val="-20"/>
      </w:rPr>
      <w:tab/>
    </w:r>
    <w:r>
      <w:rPr>
        <w:spacing w:val="-20"/>
      </w:rPr>
      <w:tab/>
    </w:r>
    <w:r>
      <w:rPr>
        <w:spacing w:val="-20"/>
      </w:rPr>
      <w:tab/>
    </w:r>
    <w:r>
      <w:rPr>
        <w:spacing w:val="-20"/>
      </w:rPr>
      <w:tab/>
    </w:r>
    <w:sdt>
      <w:sdtPr>
        <w:id w:val="1627507417"/>
        <w:docPartObj>
          <w:docPartGallery w:val="Page Numbers (Bottom of Page)"/>
          <w:docPartUnique/>
        </w:docPartObj>
      </w:sdtPr>
      <w:sdtEndPr/>
      <w:sdtContent>
        <w:sdt>
          <w:sdtPr>
            <w:id w:val="860082579"/>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sidR="00351EC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EC7">
              <w:rPr>
                <w:b/>
                <w:bCs/>
                <w:noProof/>
              </w:rPr>
              <w:t>9</w:t>
            </w:r>
            <w:r>
              <w:rPr>
                <w:b/>
                <w:bCs/>
                <w:sz w:val="24"/>
                <w:szCs w:val="24"/>
              </w:rPr>
              <w:fldChar w:fldCharType="end"/>
            </w:r>
          </w:sdtContent>
        </w:sdt>
      </w:sdtContent>
    </w:sdt>
  </w:p>
  <w:p w:rsidR="00913D17" w:rsidRDefault="00913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78" w:rsidRDefault="00DB5078" w:rsidP="00DB5078">
      <w:pPr>
        <w:spacing w:after="0" w:line="240" w:lineRule="auto"/>
      </w:pPr>
      <w:r>
        <w:separator/>
      </w:r>
    </w:p>
  </w:footnote>
  <w:footnote w:type="continuationSeparator" w:id="0">
    <w:p w:rsidR="00DB5078" w:rsidRDefault="00DB5078" w:rsidP="00DB5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FB9"/>
    <w:multiLevelType w:val="hybridMultilevel"/>
    <w:tmpl w:val="65DAE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2D2AFB"/>
    <w:multiLevelType w:val="hybridMultilevel"/>
    <w:tmpl w:val="D2629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1" w:cryptProviderType="rsaFull" w:cryptAlgorithmClass="hash" w:cryptAlgorithmType="typeAny" w:cryptAlgorithmSid="4" w:cryptSpinCount="100000" w:hash="+XRvioNr6sHxbcs10h35rTeKp/A=" w:salt="xYPWO2nwR/NcxRYD7eCvE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83"/>
    <w:rsid w:val="00000FB5"/>
    <w:rsid w:val="00024D95"/>
    <w:rsid w:val="00033A0C"/>
    <w:rsid w:val="0004561B"/>
    <w:rsid w:val="000605FE"/>
    <w:rsid w:val="00071E42"/>
    <w:rsid w:val="00077856"/>
    <w:rsid w:val="000A6F3D"/>
    <w:rsid w:val="000C7E00"/>
    <w:rsid w:val="000D2B63"/>
    <w:rsid w:val="000E43E9"/>
    <w:rsid w:val="00101920"/>
    <w:rsid w:val="001041B7"/>
    <w:rsid w:val="001244A7"/>
    <w:rsid w:val="00130827"/>
    <w:rsid w:val="001366F8"/>
    <w:rsid w:val="00163A0E"/>
    <w:rsid w:val="00166DD9"/>
    <w:rsid w:val="00184E22"/>
    <w:rsid w:val="001A0204"/>
    <w:rsid w:val="001B0239"/>
    <w:rsid w:val="001B50EF"/>
    <w:rsid w:val="001B6237"/>
    <w:rsid w:val="001C6FE5"/>
    <w:rsid w:val="001D32BB"/>
    <w:rsid w:val="001F59C2"/>
    <w:rsid w:val="0021249A"/>
    <w:rsid w:val="002159E8"/>
    <w:rsid w:val="00221E01"/>
    <w:rsid w:val="00227183"/>
    <w:rsid w:val="0023582E"/>
    <w:rsid w:val="00242F3D"/>
    <w:rsid w:val="00261F2B"/>
    <w:rsid w:val="00292308"/>
    <w:rsid w:val="002A794C"/>
    <w:rsid w:val="002B479D"/>
    <w:rsid w:val="002C4338"/>
    <w:rsid w:val="002D5B00"/>
    <w:rsid w:val="002F5FB2"/>
    <w:rsid w:val="00316343"/>
    <w:rsid w:val="003219E7"/>
    <w:rsid w:val="003231FB"/>
    <w:rsid w:val="00330247"/>
    <w:rsid w:val="00351EC7"/>
    <w:rsid w:val="003537EB"/>
    <w:rsid w:val="003740B4"/>
    <w:rsid w:val="003779C5"/>
    <w:rsid w:val="003953F6"/>
    <w:rsid w:val="00396452"/>
    <w:rsid w:val="003E6424"/>
    <w:rsid w:val="003F0B5C"/>
    <w:rsid w:val="00402243"/>
    <w:rsid w:val="00426A5B"/>
    <w:rsid w:val="00431BA0"/>
    <w:rsid w:val="00442DFE"/>
    <w:rsid w:val="00450F7E"/>
    <w:rsid w:val="00463A29"/>
    <w:rsid w:val="00464781"/>
    <w:rsid w:val="00472A44"/>
    <w:rsid w:val="004761AD"/>
    <w:rsid w:val="0049350D"/>
    <w:rsid w:val="004A4261"/>
    <w:rsid w:val="004C12CF"/>
    <w:rsid w:val="004D6BDC"/>
    <w:rsid w:val="00502300"/>
    <w:rsid w:val="00502423"/>
    <w:rsid w:val="0051199B"/>
    <w:rsid w:val="00522F74"/>
    <w:rsid w:val="005335E8"/>
    <w:rsid w:val="0055229A"/>
    <w:rsid w:val="00565A08"/>
    <w:rsid w:val="00593BF7"/>
    <w:rsid w:val="005B4306"/>
    <w:rsid w:val="005C2728"/>
    <w:rsid w:val="006048D7"/>
    <w:rsid w:val="0062569C"/>
    <w:rsid w:val="00626F30"/>
    <w:rsid w:val="006337FE"/>
    <w:rsid w:val="00640933"/>
    <w:rsid w:val="00674B77"/>
    <w:rsid w:val="006853B1"/>
    <w:rsid w:val="00690B6B"/>
    <w:rsid w:val="006A0615"/>
    <w:rsid w:val="006C3F20"/>
    <w:rsid w:val="006D47BA"/>
    <w:rsid w:val="006D6F28"/>
    <w:rsid w:val="007055A7"/>
    <w:rsid w:val="00717124"/>
    <w:rsid w:val="00721719"/>
    <w:rsid w:val="007551CC"/>
    <w:rsid w:val="007C4B99"/>
    <w:rsid w:val="007E6267"/>
    <w:rsid w:val="007F75FD"/>
    <w:rsid w:val="0080028A"/>
    <w:rsid w:val="00807A05"/>
    <w:rsid w:val="00816A88"/>
    <w:rsid w:val="00853560"/>
    <w:rsid w:val="00857657"/>
    <w:rsid w:val="00860418"/>
    <w:rsid w:val="00873E24"/>
    <w:rsid w:val="00884403"/>
    <w:rsid w:val="00884BFA"/>
    <w:rsid w:val="008C10E7"/>
    <w:rsid w:val="008E4886"/>
    <w:rsid w:val="00904718"/>
    <w:rsid w:val="00913C88"/>
    <w:rsid w:val="00913D17"/>
    <w:rsid w:val="00915DCB"/>
    <w:rsid w:val="00923305"/>
    <w:rsid w:val="00924946"/>
    <w:rsid w:val="00950779"/>
    <w:rsid w:val="00956564"/>
    <w:rsid w:val="00992D18"/>
    <w:rsid w:val="00995C36"/>
    <w:rsid w:val="009C2961"/>
    <w:rsid w:val="009C2DA4"/>
    <w:rsid w:val="009C67B0"/>
    <w:rsid w:val="009E00DE"/>
    <w:rsid w:val="009F2A8E"/>
    <w:rsid w:val="009F6F60"/>
    <w:rsid w:val="00A07083"/>
    <w:rsid w:val="00A30339"/>
    <w:rsid w:val="00A31F8E"/>
    <w:rsid w:val="00A34ABF"/>
    <w:rsid w:val="00A56FE9"/>
    <w:rsid w:val="00A60645"/>
    <w:rsid w:val="00A62845"/>
    <w:rsid w:val="00A93C28"/>
    <w:rsid w:val="00AA0FE6"/>
    <w:rsid w:val="00AD2099"/>
    <w:rsid w:val="00AE4CA3"/>
    <w:rsid w:val="00AE721B"/>
    <w:rsid w:val="00AF0725"/>
    <w:rsid w:val="00AF2D1B"/>
    <w:rsid w:val="00AF3FB7"/>
    <w:rsid w:val="00B14FC5"/>
    <w:rsid w:val="00B16A8A"/>
    <w:rsid w:val="00B2325C"/>
    <w:rsid w:val="00B50079"/>
    <w:rsid w:val="00B523F0"/>
    <w:rsid w:val="00B6460E"/>
    <w:rsid w:val="00B91383"/>
    <w:rsid w:val="00B966A1"/>
    <w:rsid w:val="00BA31A1"/>
    <w:rsid w:val="00BE4E82"/>
    <w:rsid w:val="00BF4E8F"/>
    <w:rsid w:val="00BF560E"/>
    <w:rsid w:val="00C27006"/>
    <w:rsid w:val="00C37915"/>
    <w:rsid w:val="00C40949"/>
    <w:rsid w:val="00C4548D"/>
    <w:rsid w:val="00C467AA"/>
    <w:rsid w:val="00C63DE5"/>
    <w:rsid w:val="00C67A5F"/>
    <w:rsid w:val="00C71472"/>
    <w:rsid w:val="00C82EA5"/>
    <w:rsid w:val="00C96E92"/>
    <w:rsid w:val="00CA5065"/>
    <w:rsid w:val="00CA5495"/>
    <w:rsid w:val="00CB19FB"/>
    <w:rsid w:val="00CB3AF7"/>
    <w:rsid w:val="00CC032C"/>
    <w:rsid w:val="00CD5A36"/>
    <w:rsid w:val="00CF72C9"/>
    <w:rsid w:val="00D024D0"/>
    <w:rsid w:val="00D0289E"/>
    <w:rsid w:val="00D13C35"/>
    <w:rsid w:val="00D72EE6"/>
    <w:rsid w:val="00D754CF"/>
    <w:rsid w:val="00D80240"/>
    <w:rsid w:val="00D86781"/>
    <w:rsid w:val="00DA3265"/>
    <w:rsid w:val="00DB5078"/>
    <w:rsid w:val="00DB7CC3"/>
    <w:rsid w:val="00DD089A"/>
    <w:rsid w:val="00DD4C15"/>
    <w:rsid w:val="00DD73A6"/>
    <w:rsid w:val="00DF6FB0"/>
    <w:rsid w:val="00E2132F"/>
    <w:rsid w:val="00E21B9E"/>
    <w:rsid w:val="00E54AA1"/>
    <w:rsid w:val="00E63241"/>
    <w:rsid w:val="00E70958"/>
    <w:rsid w:val="00E86D2B"/>
    <w:rsid w:val="00EA07D7"/>
    <w:rsid w:val="00EA7568"/>
    <w:rsid w:val="00EC28BA"/>
    <w:rsid w:val="00ED356E"/>
    <w:rsid w:val="00EE43DD"/>
    <w:rsid w:val="00EF354F"/>
    <w:rsid w:val="00EF52D6"/>
    <w:rsid w:val="00EF7080"/>
    <w:rsid w:val="00F0497B"/>
    <w:rsid w:val="00F24DCE"/>
    <w:rsid w:val="00F26961"/>
    <w:rsid w:val="00F4080F"/>
    <w:rsid w:val="00F4098B"/>
    <w:rsid w:val="00F43187"/>
    <w:rsid w:val="00F45F7E"/>
    <w:rsid w:val="00F52739"/>
    <w:rsid w:val="00F752A6"/>
    <w:rsid w:val="00FB4C09"/>
    <w:rsid w:val="00FC4A74"/>
    <w:rsid w:val="00FD2698"/>
    <w:rsid w:val="00FF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78"/>
  </w:style>
  <w:style w:type="paragraph" w:styleId="Footer">
    <w:name w:val="footer"/>
    <w:basedOn w:val="Normal"/>
    <w:link w:val="FooterChar"/>
    <w:uiPriority w:val="99"/>
    <w:unhideWhenUsed/>
    <w:rsid w:val="00DB5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78"/>
  </w:style>
  <w:style w:type="paragraph" w:styleId="BalloonText">
    <w:name w:val="Balloon Text"/>
    <w:basedOn w:val="Normal"/>
    <w:link w:val="BalloonTextChar"/>
    <w:uiPriority w:val="99"/>
    <w:semiHidden/>
    <w:unhideWhenUsed/>
    <w:rsid w:val="00DB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78"/>
    <w:rPr>
      <w:rFonts w:ascii="Tahoma" w:hAnsi="Tahoma" w:cs="Tahoma"/>
      <w:sz w:val="16"/>
      <w:szCs w:val="16"/>
    </w:rPr>
  </w:style>
  <w:style w:type="character" w:styleId="Hyperlink">
    <w:name w:val="Hyperlink"/>
    <w:basedOn w:val="DefaultParagraphFont"/>
    <w:uiPriority w:val="99"/>
    <w:unhideWhenUsed/>
    <w:rsid w:val="00DB5078"/>
    <w:rPr>
      <w:color w:val="0000FF" w:themeColor="hyperlink"/>
      <w:u w:val="single"/>
    </w:rPr>
  </w:style>
  <w:style w:type="paragraph" w:styleId="ListParagraph">
    <w:name w:val="List Paragraph"/>
    <w:basedOn w:val="Normal"/>
    <w:uiPriority w:val="34"/>
    <w:qFormat/>
    <w:rsid w:val="00956564"/>
    <w:pPr>
      <w:ind w:left="720"/>
      <w:contextualSpacing/>
    </w:pPr>
  </w:style>
  <w:style w:type="character" w:styleId="PlaceholderText">
    <w:name w:val="Placeholder Text"/>
    <w:basedOn w:val="DefaultParagraphFont"/>
    <w:uiPriority w:val="99"/>
    <w:semiHidden/>
    <w:rsid w:val="00A303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78"/>
  </w:style>
  <w:style w:type="paragraph" w:styleId="Footer">
    <w:name w:val="footer"/>
    <w:basedOn w:val="Normal"/>
    <w:link w:val="FooterChar"/>
    <w:uiPriority w:val="99"/>
    <w:unhideWhenUsed/>
    <w:rsid w:val="00DB5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78"/>
  </w:style>
  <w:style w:type="paragraph" w:styleId="BalloonText">
    <w:name w:val="Balloon Text"/>
    <w:basedOn w:val="Normal"/>
    <w:link w:val="BalloonTextChar"/>
    <w:uiPriority w:val="99"/>
    <w:semiHidden/>
    <w:unhideWhenUsed/>
    <w:rsid w:val="00DB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78"/>
    <w:rPr>
      <w:rFonts w:ascii="Tahoma" w:hAnsi="Tahoma" w:cs="Tahoma"/>
      <w:sz w:val="16"/>
      <w:szCs w:val="16"/>
    </w:rPr>
  </w:style>
  <w:style w:type="character" w:styleId="Hyperlink">
    <w:name w:val="Hyperlink"/>
    <w:basedOn w:val="DefaultParagraphFont"/>
    <w:uiPriority w:val="99"/>
    <w:unhideWhenUsed/>
    <w:rsid w:val="00DB5078"/>
    <w:rPr>
      <w:color w:val="0000FF" w:themeColor="hyperlink"/>
      <w:u w:val="single"/>
    </w:rPr>
  </w:style>
  <w:style w:type="paragraph" w:styleId="ListParagraph">
    <w:name w:val="List Paragraph"/>
    <w:basedOn w:val="Normal"/>
    <w:uiPriority w:val="34"/>
    <w:qFormat/>
    <w:rsid w:val="00956564"/>
    <w:pPr>
      <w:ind w:left="720"/>
      <w:contextualSpacing/>
    </w:pPr>
  </w:style>
  <w:style w:type="character" w:styleId="PlaceholderText">
    <w:name w:val="Placeholder Text"/>
    <w:basedOn w:val="DefaultParagraphFont"/>
    <w:uiPriority w:val="99"/>
    <w:semiHidden/>
    <w:rsid w:val="00A303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oregon.gov/ode/educator-resources/teachingcontent/instructional-materials/Documents/Criteria-for-Instructional-Materials-in-Health-Educ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3BE29A2-2173-4FD1-B70F-2B20EEA8FC8C}"/>
      </w:docPartPr>
      <w:docPartBody>
        <w:p w:rsidR="005F2BB1" w:rsidRDefault="00A41850">
          <w:r w:rsidRPr="005854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50"/>
    <w:rsid w:val="005F2BB1"/>
    <w:rsid w:val="00A4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5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f8cca4d9-050d-4afb-bade-626262a121bd">New</Priority>
    <Remediation_x0020_Date xmlns="f8cca4d9-050d-4afb-bade-626262a121bd">2018-06-28T05:44:12+00:00</Remediation_x0020_Date>
    <Estimated_x0020_Creation_x0020_Date xmlns="f8cca4d9-050d-4afb-bade-626262a12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26D6015BDD45468DC5CCFBD726BD3C" ma:contentTypeVersion="7" ma:contentTypeDescription="Create a new document." ma:contentTypeScope="" ma:versionID="54c36d6d3d1d3ecdf079e9a4ab199866">
  <xsd:schema xmlns:xsd="http://www.w3.org/2001/XMLSchema" xmlns:xs="http://www.w3.org/2001/XMLSchema" xmlns:p="http://schemas.microsoft.com/office/2006/metadata/properties" xmlns:ns1="http://schemas.microsoft.com/sharepoint/v3" xmlns:ns2="f8cca4d9-050d-4afb-bade-626262a121bd" xmlns:ns3="54031767-dd6d-417c-ab73-583408f47564" targetNamespace="http://schemas.microsoft.com/office/2006/metadata/properties" ma:root="true" ma:fieldsID="3f5986c854c958878e2b855714a4409e" ns1:_="" ns2:_="" ns3:_="">
    <xsd:import namespace="http://schemas.microsoft.com/sharepoint/v3"/>
    <xsd:import namespace="f8cca4d9-050d-4afb-bade-626262a121b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a4d9-050d-4afb-bade-626262a121b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B44FD-3402-44E1-AD61-FAEB6AAD123F}"/>
</file>

<file path=customXml/itemProps2.xml><?xml version="1.0" encoding="utf-8"?>
<ds:datastoreItem xmlns:ds="http://schemas.openxmlformats.org/officeDocument/2006/customXml" ds:itemID="{9E978385-E1F7-44F4-AE4A-CACEADC73D76}"/>
</file>

<file path=customXml/itemProps3.xml><?xml version="1.0" encoding="utf-8"?>
<ds:datastoreItem xmlns:ds="http://schemas.openxmlformats.org/officeDocument/2006/customXml" ds:itemID="{F97588BB-EA6F-43A9-88D9-EF9D3FC55F79}"/>
</file>

<file path=customXml/itemProps4.xml><?xml version="1.0" encoding="utf-8"?>
<ds:datastoreItem xmlns:ds="http://schemas.openxmlformats.org/officeDocument/2006/customXml" ds:itemID="{0C1BD515-DE1E-4EB4-A103-4C1128E319AF}"/>
</file>

<file path=docProps/app.xml><?xml version="1.0" encoding="utf-8"?>
<Properties xmlns="http://schemas.openxmlformats.org/officeDocument/2006/extended-properties" xmlns:vt="http://schemas.openxmlformats.org/officeDocument/2006/docPropsVTypes">
  <Template>Normal</Template>
  <TotalTime>14</TotalTime>
  <Pages>9</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WARTZ Jeremy - ODE</dc:creator>
  <cp:lastModifiedBy>WARTZ Jeremy - ODE</cp:lastModifiedBy>
  <cp:revision>12</cp:revision>
  <cp:lastPrinted>2017-04-11T18:33:00Z</cp:lastPrinted>
  <dcterms:created xsi:type="dcterms:W3CDTF">2017-04-11T18:44:00Z</dcterms:created>
  <dcterms:modified xsi:type="dcterms:W3CDTF">2017-04-21T20:25:00Z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0x0101000E26D6015BDD45468DC5CCFBD726BD3C</vt:lpwstr>
  </property>
</Properties>
</file>