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EFD" w:rsidRPr="008433DC" w:rsidRDefault="0086638B" w:rsidP="00654EFD">
      <w:pPr>
        <w:pStyle w:val="Heading1"/>
        <w:rPr>
          <w:rFonts w:ascii="Arial" w:hAnsi="Arial" w:cs="Arial"/>
          <w:b/>
          <w:color w:val="auto"/>
        </w:rPr>
      </w:pPr>
      <w:r w:rsidRPr="008433DC">
        <w:rPr>
          <w:rFonts w:ascii="Arial" w:hAnsi="Arial" w:cs="Arial"/>
          <w:b/>
          <w:color w:val="auto"/>
        </w:rPr>
        <w:t xml:space="preserve">Appendix A: </w:t>
      </w:r>
    </w:p>
    <w:p w:rsidR="00B00F77" w:rsidRPr="00370A9A" w:rsidRDefault="0086638B" w:rsidP="00654EFD">
      <w:pPr>
        <w:rPr>
          <w:sz w:val="28"/>
          <w:szCs w:val="28"/>
          <w:u w:val="single"/>
        </w:rPr>
      </w:pPr>
      <w:r w:rsidRPr="00370A9A">
        <w:rPr>
          <w:sz w:val="28"/>
          <w:szCs w:val="28"/>
          <w:u w:val="single"/>
        </w:rPr>
        <w:t>Career Exploration Action Team Summary | 2021-2022</w:t>
      </w:r>
    </w:p>
    <w:p w:rsidR="0086638B" w:rsidRDefault="0086638B" w:rsidP="0086638B">
      <w:pPr>
        <w:pStyle w:val="NoSpacing"/>
      </w:pPr>
    </w:p>
    <w:p w:rsidR="0086638B" w:rsidRDefault="0086638B" w:rsidP="0086638B">
      <w:r>
        <w:t>The four goals of the Career Exploration Action Team are:</w:t>
      </w:r>
    </w:p>
    <w:p w:rsidR="0086638B" w:rsidRDefault="0086638B" w:rsidP="0086638B"/>
    <w:p w:rsidR="0086638B" w:rsidRDefault="0086638B" w:rsidP="0086638B">
      <w:pPr>
        <w:numPr>
          <w:ilvl w:val="0"/>
          <w:numId w:val="1"/>
        </w:numPr>
      </w:pPr>
      <w:r>
        <w:t>Provide learners with career experiences earlier in secondary grades.</w:t>
      </w:r>
    </w:p>
    <w:p w:rsidR="0086638B" w:rsidRDefault="0086638B" w:rsidP="0086638B">
      <w:pPr>
        <w:numPr>
          <w:ilvl w:val="0"/>
          <w:numId w:val="1"/>
        </w:numPr>
      </w:pPr>
      <w:r>
        <w:t>Develop systems and support for Oregon career education for all learners.</w:t>
      </w:r>
    </w:p>
    <w:p w:rsidR="0086638B" w:rsidRDefault="0086638B" w:rsidP="0086638B">
      <w:pPr>
        <w:numPr>
          <w:ilvl w:val="0"/>
          <w:numId w:val="1"/>
        </w:numPr>
      </w:pPr>
      <w:r>
        <w:t>Build a scope and sequence for career exploration and development, map resources and assets, and integrate with comprehensive counseling programs and community college guided pathways.</w:t>
      </w:r>
    </w:p>
    <w:p w:rsidR="0086638B" w:rsidRDefault="0086638B" w:rsidP="0086638B">
      <w:pPr>
        <w:numPr>
          <w:ilvl w:val="0"/>
          <w:numId w:val="1"/>
        </w:numPr>
      </w:pPr>
      <w:r>
        <w:t>Provide K-12, postsecondary</w:t>
      </w:r>
      <w:r w:rsidR="00192080">
        <w:t>,</w:t>
      </w:r>
      <w:r>
        <w:t xml:space="preserve"> and adult learners systems of support and professional learning about career opportunities and the paths to entering those careers in Oregon.</w:t>
      </w:r>
    </w:p>
    <w:p w:rsidR="0086638B" w:rsidRDefault="0086638B" w:rsidP="0086638B"/>
    <w:p w:rsidR="0086638B" w:rsidRPr="00673573" w:rsidRDefault="0086638B" w:rsidP="0086638B">
      <w:pPr>
        <w:rPr>
          <w:b/>
          <w:sz w:val="24"/>
          <w:szCs w:val="24"/>
        </w:rPr>
      </w:pPr>
      <w:r w:rsidRPr="00673573">
        <w:rPr>
          <w:b/>
          <w:sz w:val="24"/>
          <w:szCs w:val="24"/>
        </w:rPr>
        <w:t>2021-2022 State Level Accomplishments</w:t>
      </w:r>
    </w:p>
    <w:p w:rsidR="0086638B" w:rsidRDefault="003B4521" w:rsidP="008433DC">
      <w:pPr>
        <w:pStyle w:val="ListParagraph"/>
        <w:widowControl w:val="0"/>
        <w:numPr>
          <w:ilvl w:val="0"/>
          <w:numId w:val="10"/>
        </w:numPr>
      </w:pPr>
      <w:r>
        <w:t>T</w:t>
      </w:r>
      <w:r w:rsidR="0086638B">
        <w:t>he work of Career Connected Learning Workgroups in identifying and creating tools and resources to be housed on the CCL Resource Hub</w:t>
      </w:r>
      <w:r>
        <w:t xml:space="preserve"> has resulted in major progress toward the development of systems and support for expansion of career related learning at middle grades</w:t>
      </w:r>
      <w:r w:rsidR="0086638B">
        <w:t>. (Strategy 1.2)</w:t>
      </w:r>
    </w:p>
    <w:p w:rsidR="0086638B" w:rsidRDefault="00BA6509" w:rsidP="008433DC">
      <w:pPr>
        <w:pStyle w:val="ListParagraph"/>
        <w:widowControl w:val="0"/>
        <w:numPr>
          <w:ilvl w:val="0"/>
          <w:numId w:val="10"/>
        </w:numPr>
      </w:pPr>
      <w:r>
        <w:t xml:space="preserve">Programs and partnerships have </w:t>
      </w:r>
      <w:r w:rsidR="0044082F">
        <w:t>included</w:t>
      </w:r>
      <w:r>
        <w:t xml:space="preserve">: </w:t>
      </w:r>
      <w:r w:rsidR="0086638B">
        <w:t>Integration of CCL work and enhanced Partnerships with CTE/STEM Network, Counseling Programs Leadership Network, Workforce Talent Development Board, Essential Employability Skills Taskforce and Subcommittee, SB 744 Graduation Requirements, HB 2166 Social Emotional Learning, Postsecondary Transitions, College and Career Readiness (state</w:t>
      </w:r>
      <w:r w:rsidR="00192080">
        <w:t>wide programs and definition), community colleges and state colleges and u</w:t>
      </w:r>
      <w:r w:rsidR="0086638B">
        <w:t>niversities. (</w:t>
      </w:r>
      <w:r>
        <w:t>Upon request, we can provide</w:t>
      </w:r>
      <w:r w:rsidR="0086638B">
        <w:t xml:space="preserve"> a list of the individual programs/projects completed with many of these partners</w:t>
      </w:r>
      <w:r>
        <w:t>—</w:t>
      </w:r>
      <w:r w:rsidR="0086638B">
        <w:t>i</w:t>
      </w:r>
      <w:r>
        <w:t>.</w:t>
      </w:r>
      <w:r w:rsidR="0086638B">
        <w:t>e</w:t>
      </w:r>
      <w:r>
        <w:t>.</w:t>
      </w:r>
      <w:r w:rsidR="0086638B">
        <w:t>, Career Journey Videos, Oregon CIS, YouScience, etc.) (Strategies 3.2, 4.2)</w:t>
      </w:r>
    </w:p>
    <w:p w:rsidR="0086638B" w:rsidRDefault="003B4521" w:rsidP="008433DC">
      <w:pPr>
        <w:pStyle w:val="ListParagraph"/>
        <w:widowControl w:val="0"/>
        <w:numPr>
          <w:ilvl w:val="0"/>
          <w:numId w:val="10"/>
        </w:numPr>
      </w:pPr>
      <w:r>
        <w:t>Planning</w:t>
      </w:r>
      <w:r w:rsidR="0086638B">
        <w:t xml:space="preserve"> and development that occurred in the last 12 months has pre-positioned the agency and our partners for success with the initiatives and projects that are about to come to fruition with implementation of ESSER Funding and additional Perkins and </w:t>
      </w:r>
      <w:bookmarkStart w:id="0" w:name="_GoBack"/>
      <w:bookmarkEnd w:id="0"/>
      <w:r w:rsidR="0086638B">
        <w:t>Federal Title Funds. (1.2b, 1.2a, 2.1b, 2.1c, 2.1d, 3.1b, 3.1c, 3.2b, 4.1b, 4.1c, 4.2a)</w:t>
      </w:r>
    </w:p>
    <w:p w:rsidR="0086638B" w:rsidRDefault="003B4521" w:rsidP="008433DC">
      <w:pPr>
        <w:pStyle w:val="ListParagraph"/>
        <w:widowControl w:val="0"/>
        <w:numPr>
          <w:ilvl w:val="0"/>
          <w:numId w:val="10"/>
        </w:numPr>
      </w:pPr>
      <w:r>
        <w:t>We have e</w:t>
      </w:r>
      <w:r w:rsidR="0086638B">
        <w:t xml:space="preserve">xpanded </w:t>
      </w:r>
      <w:r w:rsidR="00192080">
        <w:t>the</w:t>
      </w:r>
      <w:r w:rsidR="0086638B">
        <w:t xml:space="preserve"> CCL Team internally at ODE</w:t>
      </w:r>
      <w:r>
        <w:t>.</w:t>
      </w:r>
      <w:r w:rsidR="0086638B">
        <w:t xml:space="preserve"> </w:t>
      </w:r>
      <w:r>
        <w:t>A</w:t>
      </w:r>
      <w:r w:rsidR="0086638B">
        <w:t>dditionally</w:t>
      </w:r>
      <w:r>
        <w:t>, we have</w:t>
      </w:r>
      <w:r w:rsidR="0086638B">
        <w:t xml:space="preserve"> motivated cross-agency connections and conversations about coordinating and aligning work, avoiding duplication of efforts, creating common language and understanding, and collaborati</w:t>
      </w:r>
      <w:r>
        <w:t>ng</w:t>
      </w:r>
      <w:r w:rsidR="0086638B">
        <w:t xml:space="preserve"> in developing resources and support for CCL. (Goal 2; Strategies 2.1, 3.1, 3.2, 4.2; Action Items 2.1d, 2.1e, 3.1a, 4.1b, 4.2d, 4.4a)</w:t>
      </w:r>
    </w:p>
    <w:p w:rsidR="0086638B" w:rsidRDefault="0086638B" w:rsidP="0086638B">
      <w:pPr>
        <w:widowControl w:val="0"/>
        <w:spacing w:line="240" w:lineRule="auto"/>
      </w:pPr>
    </w:p>
    <w:p w:rsidR="0086638B" w:rsidRDefault="0086638B" w:rsidP="0086638B">
      <w:pPr>
        <w:widowControl w:val="0"/>
        <w:spacing w:line="240" w:lineRule="auto"/>
      </w:pPr>
    </w:p>
    <w:p w:rsidR="0086638B" w:rsidRPr="00673573" w:rsidRDefault="0086638B" w:rsidP="0086638B">
      <w:pPr>
        <w:rPr>
          <w:b/>
          <w:sz w:val="24"/>
          <w:szCs w:val="24"/>
        </w:rPr>
      </w:pPr>
      <w:r w:rsidRPr="00673573">
        <w:rPr>
          <w:b/>
          <w:sz w:val="24"/>
          <w:szCs w:val="24"/>
        </w:rPr>
        <w:t xml:space="preserve">2021-2022 Local Level Accomplishments </w:t>
      </w:r>
    </w:p>
    <w:p w:rsidR="0086638B" w:rsidRPr="00673573" w:rsidRDefault="0086638B" w:rsidP="008433DC">
      <w:pPr>
        <w:pStyle w:val="ListParagraph"/>
        <w:widowControl w:val="0"/>
        <w:numPr>
          <w:ilvl w:val="0"/>
          <w:numId w:val="9"/>
        </w:numPr>
      </w:pPr>
      <w:r w:rsidRPr="0044082F">
        <w:t>YouScience</w:t>
      </w:r>
      <w:r w:rsidRPr="008433DC">
        <w:rPr>
          <w:b/>
        </w:rPr>
        <w:t xml:space="preserve"> </w:t>
      </w:r>
      <w:r w:rsidRPr="00673573">
        <w:t xml:space="preserve">assessments </w:t>
      </w:r>
      <w:r w:rsidR="00BA6509">
        <w:t xml:space="preserve">have grown </w:t>
      </w:r>
      <w:r w:rsidRPr="00673573">
        <w:t>by 240% in the region.</w:t>
      </w:r>
    </w:p>
    <w:p w:rsidR="0086638B" w:rsidRPr="00673573" w:rsidRDefault="008053A6" w:rsidP="008433DC">
      <w:pPr>
        <w:pStyle w:val="ListParagraph"/>
        <w:widowControl w:val="0"/>
        <w:numPr>
          <w:ilvl w:val="0"/>
          <w:numId w:val="9"/>
        </w:numPr>
      </w:pPr>
      <w:r>
        <w:t>Our</w:t>
      </w:r>
      <w:r w:rsidR="0086638B" w:rsidRPr="00673573">
        <w:t xml:space="preserve"> greatest regional successes this year are the integration of </w:t>
      </w:r>
      <w:r w:rsidR="0086638B" w:rsidRPr="0044082F">
        <w:t>YouScience</w:t>
      </w:r>
      <w:r w:rsidR="0086638B" w:rsidRPr="00673573">
        <w:t xml:space="preserve">, our focus </w:t>
      </w:r>
      <w:r w:rsidR="0086638B" w:rsidRPr="00673573">
        <w:lastRenderedPageBreak/>
        <w:t xml:space="preserve">on </w:t>
      </w:r>
      <w:r w:rsidR="0086638B" w:rsidRPr="0044082F">
        <w:t xml:space="preserve">CCL </w:t>
      </w:r>
      <w:r w:rsidR="0086638B" w:rsidRPr="00673573">
        <w:t>and collaboration with the Central Oregon STEM Hub, and the ability to add staffing. YouScience has allowed us to branch out and reach down to middle school more effectively than in the past. Our department has been laser-focused on Career Connected Learning in collaboration with the Central Oregon STEM Hub</w:t>
      </w:r>
      <w:r>
        <w:t>,</w:t>
      </w:r>
      <w:r w:rsidR="0086638B" w:rsidRPr="00673573">
        <w:t xml:space="preserve"> which has allowed us to braid funds and provide additional opportunities for students. With this movement of YouScience and CCL, we have been able to add additional staff for </w:t>
      </w:r>
      <w:r>
        <w:t>20</w:t>
      </w:r>
      <w:r w:rsidR="0086638B" w:rsidRPr="00673573">
        <w:t>22-</w:t>
      </w:r>
      <w:r>
        <w:t>20</w:t>
      </w:r>
      <w:r w:rsidR="0086638B" w:rsidRPr="00673573">
        <w:t xml:space="preserve">23 in the form of a </w:t>
      </w:r>
      <w:r w:rsidR="0086638B" w:rsidRPr="0044082F">
        <w:t xml:space="preserve">Career Navigation Specialist </w:t>
      </w:r>
      <w:r w:rsidR="0086638B" w:rsidRPr="00673573">
        <w:t>which will provide support to our school and shore up the integration of CCL/career navigation.</w:t>
      </w:r>
    </w:p>
    <w:p w:rsidR="0086638B" w:rsidRPr="00673573" w:rsidRDefault="008053A6" w:rsidP="008433DC">
      <w:pPr>
        <w:pStyle w:val="ListParagraph"/>
        <w:numPr>
          <w:ilvl w:val="0"/>
          <w:numId w:val="9"/>
        </w:numPr>
      </w:pPr>
      <w:r>
        <w:t>We have added</w:t>
      </w:r>
      <w:r w:rsidR="0086638B" w:rsidRPr="00673573">
        <w:t xml:space="preserve"> middle school </w:t>
      </w:r>
      <w:r>
        <w:t>STEAM</w:t>
      </w:r>
      <w:r w:rsidRPr="00673573">
        <w:t xml:space="preserve"> </w:t>
      </w:r>
      <w:r w:rsidR="0086638B" w:rsidRPr="00673573">
        <w:t xml:space="preserve">teachers </w:t>
      </w:r>
      <w:r>
        <w:t>to</w:t>
      </w:r>
      <w:r w:rsidR="0086638B" w:rsidRPr="00673573">
        <w:t xml:space="preserve"> the CTE mix</w:t>
      </w:r>
      <w:r>
        <w:t>, and look forward to their involvement in furthering</w:t>
      </w:r>
      <w:r w:rsidR="0086638B" w:rsidRPr="00673573">
        <w:t xml:space="preserve"> </w:t>
      </w:r>
      <w:r w:rsidR="0086638B" w:rsidRPr="0044082F">
        <w:t>career exposure</w:t>
      </w:r>
      <w:r w:rsidR="0086638B" w:rsidRPr="008433DC">
        <w:rPr>
          <w:b/>
        </w:rPr>
        <w:t xml:space="preserve"> </w:t>
      </w:r>
      <w:r w:rsidR="0086638B" w:rsidRPr="00673573">
        <w:t>and linking their work with the CTE programs at the high school</w:t>
      </w:r>
      <w:r w:rsidR="00192080">
        <w:t xml:space="preserve"> level</w:t>
      </w:r>
      <w:r w:rsidR="0086638B" w:rsidRPr="00673573">
        <w:t>.</w:t>
      </w:r>
    </w:p>
    <w:p w:rsidR="0086638B" w:rsidRDefault="0086638B" w:rsidP="0086638B">
      <w:pPr>
        <w:spacing w:line="240" w:lineRule="auto"/>
        <w:rPr>
          <w:sz w:val="20"/>
          <w:szCs w:val="20"/>
        </w:rPr>
      </w:pPr>
    </w:p>
    <w:p w:rsidR="00CA18B7" w:rsidRPr="008433DC" w:rsidRDefault="0086638B" w:rsidP="008433DC">
      <w:pPr>
        <w:spacing w:line="240" w:lineRule="auto"/>
        <w:rPr>
          <w:b/>
          <w:sz w:val="24"/>
          <w:szCs w:val="24"/>
        </w:rPr>
      </w:pPr>
      <w:r w:rsidRPr="00673573">
        <w:rPr>
          <w:b/>
          <w:sz w:val="24"/>
          <w:szCs w:val="24"/>
        </w:rPr>
        <w:t>Moving into 2022-2023</w:t>
      </w:r>
    </w:p>
    <w:p w:rsidR="008433DC" w:rsidRDefault="008433DC" w:rsidP="00CA18B7">
      <w:pPr>
        <w:widowControl w:val="0"/>
        <w:spacing w:line="360" w:lineRule="auto"/>
      </w:pPr>
    </w:p>
    <w:p w:rsidR="00BA6509" w:rsidRDefault="00BA6509" w:rsidP="00CA18B7">
      <w:pPr>
        <w:widowControl w:val="0"/>
        <w:spacing w:line="360" w:lineRule="auto"/>
      </w:pPr>
      <w:r>
        <w:t>Efforts in the next year include the following:</w:t>
      </w:r>
    </w:p>
    <w:p w:rsidR="0086638B" w:rsidRDefault="0086638B" w:rsidP="008433DC">
      <w:pPr>
        <w:pStyle w:val="ListParagraph"/>
        <w:widowControl w:val="0"/>
        <w:numPr>
          <w:ilvl w:val="0"/>
          <w:numId w:val="8"/>
        </w:numPr>
      </w:pPr>
      <w:r>
        <w:t>Fusing and integrating all the new internal and external partners in the work of CCL.</w:t>
      </w:r>
    </w:p>
    <w:p w:rsidR="0086638B" w:rsidRDefault="0086638B" w:rsidP="008433DC">
      <w:pPr>
        <w:pStyle w:val="ListParagraph"/>
        <w:widowControl w:val="0"/>
        <w:numPr>
          <w:ilvl w:val="0"/>
          <w:numId w:val="8"/>
        </w:numPr>
      </w:pPr>
      <w:r>
        <w:t>Continued efforts in building out tools and resources through our partnerships with CCL Workgroups. (Goal 3)</w:t>
      </w:r>
    </w:p>
    <w:p w:rsidR="0086638B" w:rsidRDefault="0086638B" w:rsidP="008433DC">
      <w:pPr>
        <w:pStyle w:val="ListParagraph"/>
        <w:widowControl w:val="0"/>
        <w:numPr>
          <w:ilvl w:val="0"/>
          <w:numId w:val="8"/>
        </w:numPr>
      </w:pPr>
      <w:r>
        <w:t>Building out the CCL Resource Hub and providing high quality professional development in the use and implementation of newly available tools and resources. (Strategy 1.2, Action Item 1.2a &amp; b; Strategy 4.1, Action Item 4.1c )</w:t>
      </w:r>
    </w:p>
    <w:p w:rsidR="0086638B" w:rsidRDefault="0086638B" w:rsidP="0086638B">
      <w:pPr>
        <w:widowControl w:val="0"/>
        <w:spacing w:line="240" w:lineRule="auto"/>
      </w:pPr>
    </w:p>
    <w:p w:rsidR="00BA6509" w:rsidRDefault="00BA6509" w:rsidP="0086638B">
      <w:pPr>
        <w:widowControl w:val="0"/>
        <w:spacing w:line="240" w:lineRule="auto"/>
        <w:rPr>
          <w:b/>
          <w:sz w:val="24"/>
          <w:szCs w:val="24"/>
        </w:rPr>
      </w:pPr>
    </w:p>
    <w:p w:rsidR="00E97E35" w:rsidRPr="00E01704" w:rsidRDefault="0086638B" w:rsidP="0086638B">
      <w:pPr>
        <w:widowControl w:val="0"/>
        <w:spacing w:line="240" w:lineRule="auto"/>
        <w:rPr>
          <w:b/>
        </w:rPr>
      </w:pPr>
      <w:r w:rsidRPr="00E01704">
        <w:rPr>
          <w:b/>
          <w:sz w:val="24"/>
          <w:szCs w:val="24"/>
        </w:rPr>
        <w:t xml:space="preserve">Current </w:t>
      </w:r>
      <w:r w:rsidR="00E01704" w:rsidRPr="00E01704">
        <w:rPr>
          <w:b/>
          <w:sz w:val="24"/>
          <w:szCs w:val="24"/>
        </w:rPr>
        <w:t>Action Plan</w:t>
      </w:r>
      <w:r w:rsidR="00E01704">
        <w:rPr>
          <w:b/>
          <w:sz w:val="24"/>
          <w:szCs w:val="24"/>
        </w:rPr>
        <w:t>:</w:t>
      </w:r>
    </w:p>
    <w:p w:rsidR="00AE3561" w:rsidRDefault="00AE3561" w:rsidP="0086638B">
      <w:pPr>
        <w:widowControl w:val="0"/>
        <w:spacing w:line="240" w:lineRule="auto"/>
        <w:rPr>
          <w:b/>
        </w:rPr>
      </w:pPr>
    </w:p>
    <w:p w:rsidR="00AE3561" w:rsidRPr="00991B80" w:rsidRDefault="00AE3561" w:rsidP="008433DC">
      <w:pPr>
        <w:pStyle w:val="NoSpacing"/>
        <w:spacing w:line="276" w:lineRule="auto"/>
        <w:rPr>
          <w:rFonts w:ascii="Arial" w:hAnsi="Arial" w:cs="Arial"/>
          <w:b/>
          <w:sz w:val="22"/>
          <w:szCs w:val="22"/>
        </w:rPr>
      </w:pPr>
      <w:r>
        <w:rPr>
          <w:rFonts w:ascii="Arial" w:hAnsi="Arial" w:cs="Arial"/>
          <w:b/>
          <w:sz w:val="22"/>
          <w:szCs w:val="22"/>
        </w:rPr>
        <w:t xml:space="preserve">Goal 1 — </w:t>
      </w:r>
      <w:r w:rsidRPr="00991B80">
        <w:rPr>
          <w:rFonts w:ascii="Arial" w:hAnsi="Arial" w:cs="Arial"/>
          <w:b/>
          <w:sz w:val="22"/>
          <w:szCs w:val="22"/>
        </w:rPr>
        <w:t>Provide learners with career experiences earlier in secondary grades.</w:t>
      </w:r>
      <w:r>
        <w:rPr>
          <w:rFonts w:ascii="Arial" w:hAnsi="Arial" w:cs="Arial"/>
          <w:b/>
          <w:sz w:val="22"/>
          <w:szCs w:val="22"/>
        </w:rPr>
        <w:t xml:space="preserve"> </w:t>
      </w:r>
    </w:p>
    <w:p w:rsidR="00AE3561" w:rsidRPr="00991B80" w:rsidRDefault="00AE3561" w:rsidP="008433DC">
      <w:pPr>
        <w:pStyle w:val="NoSpacing"/>
        <w:numPr>
          <w:ilvl w:val="0"/>
          <w:numId w:val="5"/>
        </w:numPr>
        <w:spacing w:line="276" w:lineRule="auto"/>
        <w:rPr>
          <w:rFonts w:ascii="Arial" w:hAnsi="Arial" w:cs="Arial"/>
          <w:sz w:val="22"/>
          <w:szCs w:val="22"/>
        </w:rPr>
      </w:pPr>
      <w:r>
        <w:rPr>
          <w:rFonts w:ascii="Arial" w:hAnsi="Arial" w:cs="Arial"/>
          <w:sz w:val="22"/>
          <w:szCs w:val="22"/>
        </w:rPr>
        <w:t xml:space="preserve">Strategy 1.1 — </w:t>
      </w:r>
      <w:r w:rsidRPr="00991B80">
        <w:rPr>
          <w:rFonts w:ascii="Arial" w:hAnsi="Arial" w:cs="Arial"/>
          <w:sz w:val="22"/>
          <w:szCs w:val="22"/>
        </w:rPr>
        <w:t>Align existing middle school opportunities with high school POSs.</w:t>
      </w:r>
    </w:p>
    <w:p w:rsidR="00AE3561" w:rsidRPr="00991B80" w:rsidRDefault="00AE3561" w:rsidP="008433DC">
      <w:pPr>
        <w:pStyle w:val="NoSpacing"/>
        <w:numPr>
          <w:ilvl w:val="0"/>
          <w:numId w:val="5"/>
        </w:numPr>
        <w:spacing w:line="276" w:lineRule="auto"/>
        <w:rPr>
          <w:rFonts w:ascii="Arial" w:hAnsi="Arial" w:cs="Arial"/>
          <w:sz w:val="22"/>
          <w:szCs w:val="22"/>
        </w:rPr>
      </w:pPr>
      <w:r>
        <w:rPr>
          <w:rFonts w:ascii="Arial" w:hAnsi="Arial" w:cs="Arial"/>
          <w:sz w:val="22"/>
          <w:szCs w:val="22"/>
        </w:rPr>
        <w:t xml:space="preserve">Strategy 1.2 — </w:t>
      </w:r>
      <w:r w:rsidRPr="00991B80">
        <w:rPr>
          <w:rFonts w:ascii="Arial" w:hAnsi="Arial" w:cs="Arial"/>
          <w:sz w:val="22"/>
          <w:szCs w:val="22"/>
        </w:rPr>
        <w:t>Develop systems and support for expansion of career related learning at middle grades.</w:t>
      </w:r>
    </w:p>
    <w:p w:rsidR="00AE3561" w:rsidRPr="00991B80" w:rsidRDefault="00AE3561" w:rsidP="008433DC">
      <w:pPr>
        <w:pStyle w:val="NoSpacing"/>
        <w:spacing w:line="276" w:lineRule="auto"/>
        <w:rPr>
          <w:rFonts w:ascii="Arial" w:hAnsi="Arial" w:cs="Arial"/>
          <w:sz w:val="22"/>
          <w:szCs w:val="22"/>
        </w:rPr>
      </w:pPr>
    </w:p>
    <w:p w:rsidR="00AE3561" w:rsidRPr="00991B80" w:rsidRDefault="00AE3561" w:rsidP="008433DC">
      <w:pPr>
        <w:pStyle w:val="NoSpacing"/>
        <w:spacing w:line="276" w:lineRule="auto"/>
        <w:rPr>
          <w:rFonts w:ascii="Arial" w:hAnsi="Arial" w:cs="Arial"/>
          <w:b/>
          <w:sz w:val="22"/>
          <w:szCs w:val="22"/>
        </w:rPr>
      </w:pPr>
      <w:r w:rsidRPr="00991B80">
        <w:rPr>
          <w:rFonts w:ascii="Arial" w:hAnsi="Arial" w:cs="Arial"/>
          <w:b/>
          <w:sz w:val="22"/>
          <w:szCs w:val="22"/>
        </w:rPr>
        <w:t>Goal 2 — Develop systems and support for Oregon career education for all learners.</w:t>
      </w:r>
    </w:p>
    <w:p w:rsidR="00AE3561" w:rsidRDefault="00AE3561" w:rsidP="008433DC">
      <w:pPr>
        <w:pStyle w:val="NoSpacing"/>
        <w:numPr>
          <w:ilvl w:val="0"/>
          <w:numId w:val="6"/>
        </w:numPr>
        <w:spacing w:line="276" w:lineRule="auto"/>
        <w:rPr>
          <w:rFonts w:ascii="Arial" w:hAnsi="Arial" w:cs="Arial"/>
          <w:sz w:val="22"/>
          <w:szCs w:val="22"/>
        </w:rPr>
      </w:pPr>
      <w:r>
        <w:rPr>
          <w:rFonts w:ascii="Arial" w:hAnsi="Arial" w:cs="Arial"/>
          <w:sz w:val="22"/>
          <w:szCs w:val="22"/>
        </w:rPr>
        <w:t>Strategy 2.2 — Use CTE local needs assessment and community partner gatherings.</w:t>
      </w:r>
    </w:p>
    <w:p w:rsidR="00AE3561" w:rsidRDefault="00AE3561" w:rsidP="008433DC">
      <w:pPr>
        <w:pStyle w:val="NoSpacing"/>
        <w:spacing w:line="276" w:lineRule="auto"/>
        <w:rPr>
          <w:rFonts w:ascii="Arial" w:hAnsi="Arial" w:cs="Arial"/>
          <w:sz w:val="22"/>
          <w:szCs w:val="22"/>
        </w:rPr>
      </w:pPr>
    </w:p>
    <w:p w:rsidR="00AE3561" w:rsidRPr="000E5714" w:rsidRDefault="00AE3561" w:rsidP="008433DC">
      <w:pPr>
        <w:pStyle w:val="NoSpacing"/>
        <w:spacing w:line="276" w:lineRule="auto"/>
        <w:rPr>
          <w:rFonts w:ascii="Arial" w:hAnsi="Arial" w:cs="Arial"/>
          <w:b/>
          <w:sz w:val="22"/>
          <w:szCs w:val="22"/>
        </w:rPr>
      </w:pPr>
      <w:r w:rsidRPr="000E5714">
        <w:rPr>
          <w:rFonts w:ascii="Arial" w:hAnsi="Arial" w:cs="Arial"/>
          <w:b/>
          <w:sz w:val="22"/>
          <w:szCs w:val="22"/>
        </w:rPr>
        <w:t>Goal 3 — Build a scope and sequence for career exploration and development, map resources and assets, and integrate with comprehensive counseling programs and community college guided pathways.</w:t>
      </w:r>
    </w:p>
    <w:p w:rsidR="00AE3561" w:rsidRDefault="00AE3561" w:rsidP="008433DC">
      <w:pPr>
        <w:pStyle w:val="NoSpacing"/>
        <w:numPr>
          <w:ilvl w:val="0"/>
          <w:numId w:val="6"/>
        </w:numPr>
        <w:spacing w:line="276" w:lineRule="auto"/>
        <w:rPr>
          <w:rFonts w:ascii="Arial" w:hAnsi="Arial" w:cs="Arial"/>
          <w:sz w:val="22"/>
          <w:szCs w:val="22"/>
        </w:rPr>
      </w:pPr>
      <w:r>
        <w:rPr>
          <w:rFonts w:ascii="Arial" w:hAnsi="Arial" w:cs="Arial"/>
          <w:sz w:val="22"/>
          <w:szCs w:val="22"/>
        </w:rPr>
        <w:t>Strategy 3.1 — Create a PK-20 scope and sequence for Oregon career education system.</w:t>
      </w:r>
    </w:p>
    <w:p w:rsidR="00AE3561" w:rsidRDefault="00AE3561" w:rsidP="008433DC">
      <w:pPr>
        <w:pStyle w:val="NoSpacing"/>
        <w:numPr>
          <w:ilvl w:val="0"/>
          <w:numId w:val="6"/>
        </w:numPr>
        <w:spacing w:line="276" w:lineRule="auto"/>
        <w:rPr>
          <w:rFonts w:ascii="Arial" w:hAnsi="Arial" w:cs="Arial"/>
          <w:sz w:val="22"/>
          <w:szCs w:val="22"/>
        </w:rPr>
      </w:pPr>
      <w:r>
        <w:rPr>
          <w:rFonts w:ascii="Arial" w:hAnsi="Arial" w:cs="Arial"/>
          <w:sz w:val="22"/>
          <w:szCs w:val="22"/>
        </w:rPr>
        <w:t>Strategy 3.2 — Collaborate and align strategies and initiatives of career education across offices and agencies.</w:t>
      </w:r>
    </w:p>
    <w:p w:rsidR="00CA18B7" w:rsidRDefault="00CA18B7" w:rsidP="008433DC">
      <w:pPr>
        <w:pStyle w:val="NoSpacing"/>
        <w:spacing w:line="276" w:lineRule="auto"/>
        <w:rPr>
          <w:rFonts w:ascii="Arial" w:hAnsi="Arial" w:cs="Arial"/>
          <w:b/>
          <w:sz w:val="22"/>
          <w:szCs w:val="22"/>
        </w:rPr>
      </w:pPr>
    </w:p>
    <w:p w:rsidR="00AE3561" w:rsidRPr="000E5714" w:rsidRDefault="00AE3561" w:rsidP="008433DC">
      <w:pPr>
        <w:pStyle w:val="NoSpacing"/>
        <w:spacing w:line="276" w:lineRule="auto"/>
        <w:rPr>
          <w:rFonts w:ascii="Arial" w:hAnsi="Arial" w:cs="Arial"/>
          <w:b/>
          <w:sz w:val="22"/>
          <w:szCs w:val="22"/>
        </w:rPr>
      </w:pPr>
      <w:r w:rsidRPr="000E5714">
        <w:rPr>
          <w:rFonts w:ascii="Arial" w:hAnsi="Arial" w:cs="Arial"/>
          <w:b/>
          <w:sz w:val="22"/>
          <w:szCs w:val="22"/>
        </w:rPr>
        <w:lastRenderedPageBreak/>
        <w:t>Goal 4 — Provide K-12, postsecondary, and adult learners systems of support and professional learning about career opportunities and the paths to entering those careers in Oregon.</w:t>
      </w:r>
    </w:p>
    <w:p w:rsidR="00AE3561" w:rsidRDefault="00AE3561" w:rsidP="008433DC">
      <w:pPr>
        <w:pStyle w:val="NoSpacing"/>
        <w:numPr>
          <w:ilvl w:val="0"/>
          <w:numId w:val="7"/>
        </w:numPr>
        <w:spacing w:line="276" w:lineRule="auto"/>
        <w:rPr>
          <w:rFonts w:ascii="Arial" w:hAnsi="Arial" w:cs="Arial"/>
          <w:sz w:val="22"/>
          <w:szCs w:val="22"/>
        </w:rPr>
      </w:pPr>
      <w:r>
        <w:rPr>
          <w:rFonts w:ascii="Arial" w:hAnsi="Arial" w:cs="Arial"/>
          <w:sz w:val="22"/>
          <w:szCs w:val="22"/>
        </w:rPr>
        <w:t>Strategy 4.1 — Communicate and promote Oregon career education scope and sequence.</w:t>
      </w:r>
    </w:p>
    <w:p w:rsidR="00AE3561" w:rsidRDefault="00AE3561" w:rsidP="008433DC">
      <w:pPr>
        <w:pStyle w:val="NoSpacing"/>
        <w:numPr>
          <w:ilvl w:val="0"/>
          <w:numId w:val="7"/>
        </w:numPr>
        <w:spacing w:line="276" w:lineRule="auto"/>
        <w:rPr>
          <w:rFonts w:ascii="Arial" w:hAnsi="Arial" w:cs="Arial"/>
          <w:sz w:val="22"/>
          <w:szCs w:val="22"/>
        </w:rPr>
      </w:pPr>
      <w:r>
        <w:rPr>
          <w:rFonts w:ascii="Arial" w:hAnsi="Arial" w:cs="Arial"/>
          <w:sz w:val="22"/>
          <w:szCs w:val="22"/>
        </w:rPr>
        <w:t>Strategy 4.2 — Partner to implement CCL.</w:t>
      </w:r>
    </w:p>
    <w:p w:rsidR="00AE3561" w:rsidRDefault="001933A8" w:rsidP="008433DC">
      <w:pPr>
        <w:pStyle w:val="NoSpacing"/>
        <w:numPr>
          <w:ilvl w:val="0"/>
          <w:numId w:val="7"/>
        </w:numPr>
        <w:spacing w:line="276" w:lineRule="auto"/>
        <w:rPr>
          <w:rFonts w:ascii="Arial" w:hAnsi="Arial" w:cs="Arial"/>
          <w:sz w:val="22"/>
          <w:szCs w:val="22"/>
        </w:rPr>
      </w:pPr>
      <w:r>
        <w:rPr>
          <w:rFonts w:ascii="Arial" w:hAnsi="Arial" w:cs="Arial"/>
          <w:sz w:val="22"/>
          <w:szCs w:val="22"/>
        </w:rPr>
        <w:t>Strategy 4.3</w:t>
      </w:r>
      <w:r w:rsidR="00AE3561">
        <w:rPr>
          <w:rFonts w:ascii="Arial" w:hAnsi="Arial" w:cs="Arial"/>
          <w:sz w:val="22"/>
          <w:szCs w:val="22"/>
        </w:rPr>
        <w:t xml:space="preserve"> — Improve delivery of CCL to all learners.</w:t>
      </w:r>
    </w:p>
    <w:p w:rsidR="00AE3561" w:rsidRDefault="00AE3561" w:rsidP="0086638B">
      <w:pPr>
        <w:widowControl w:val="0"/>
        <w:spacing w:line="240" w:lineRule="auto"/>
        <w:rPr>
          <w:b/>
        </w:rPr>
      </w:pPr>
    </w:p>
    <w:p w:rsidR="0086638B" w:rsidRDefault="0086638B" w:rsidP="0086638B">
      <w:pPr>
        <w:widowControl w:val="0"/>
        <w:spacing w:line="240" w:lineRule="auto"/>
        <w:rPr>
          <w:sz w:val="20"/>
          <w:szCs w:val="20"/>
        </w:rPr>
      </w:pPr>
    </w:p>
    <w:p w:rsidR="0086638B" w:rsidRDefault="0086638B" w:rsidP="00673573">
      <w:pPr>
        <w:pStyle w:val="NoSpacing"/>
      </w:pPr>
    </w:p>
    <w:sectPr w:rsidR="008663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A72" w:rsidRDefault="00145A72" w:rsidP="00145A72">
      <w:pPr>
        <w:spacing w:line="240" w:lineRule="auto"/>
      </w:pPr>
      <w:r>
        <w:separator/>
      </w:r>
    </w:p>
  </w:endnote>
  <w:endnote w:type="continuationSeparator" w:id="0">
    <w:p w:rsidR="00145A72" w:rsidRDefault="00145A72" w:rsidP="00145A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A72" w:rsidRDefault="00145A72" w:rsidP="00145A72">
    <w:pPr>
      <w:pStyle w:val="Footer"/>
    </w:pPr>
  </w:p>
  <w:p w:rsidR="00145A72" w:rsidRDefault="00145A72" w:rsidP="00145A72">
    <w:pPr>
      <w:pStyle w:val="Footer"/>
    </w:pPr>
  </w:p>
  <w:sdt>
    <w:sdtPr>
      <w:rPr>
        <w:b/>
        <w:color w:val="1F497D"/>
      </w:rPr>
      <w:id w:val="-738242606"/>
      <w:docPartObj>
        <w:docPartGallery w:val="Page Numbers (Bottom of Page)"/>
        <w:docPartUnique/>
      </w:docPartObj>
    </w:sdtPr>
    <w:sdtEndPr>
      <w:rPr>
        <w:noProof/>
        <w:color w:val="auto"/>
      </w:rPr>
    </w:sdtEndPr>
    <w:sdtContent>
      <w:p w:rsidR="00145A72" w:rsidRPr="00791E16" w:rsidRDefault="00145A72" w:rsidP="00145A72">
        <w:pPr>
          <w:pStyle w:val="Footer"/>
          <w:jc w:val="right"/>
          <w:rPr>
            <w:b/>
          </w:rPr>
        </w:pPr>
        <w:r w:rsidRPr="00791E16">
          <w:rPr>
            <w:b/>
          </w:rPr>
          <w:t xml:space="preserve">Page </w:t>
        </w:r>
        <w:r w:rsidRPr="00791E16">
          <w:rPr>
            <w:b/>
          </w:rPr>
          <w:fldChar w:fldCharType="begin"/>
        </w:r>
        <w:r w:rsidRPr="00791E16">
          <w:rPr>
            <w:b/>
          </w:rPr>
          <w:instrText xml:space="preserve"> PAGE   \* MERGEFORMAT </w:instrText>
        </w:r>
        <w:r w:rsidRPr="00791E16">
          <w:rPr>
            <w:b/>
          </w:rPr>
          <w:fldChar w:fldCharType="separate"/>
        </w:r>
        <w:r>
          <w:rPr>
            <w:b/>
            <w:noProof/>
          </w:rPr>
          <w:t>2</w:t>
        </w:r>
        <w:r w:rsidRPr="00791E16">
          <w:rPr>
            <w:b/>
            <w:noProof/>
          </w:rPr>
          <w:fldChar w:fldCharType="end"/>
        </w:r>
        <w:r w:rsidRPr="00791E16">
          <w:rPr>
            <w:b/>
            <w:noProof/>
          </w:rPr>
          <w:t xml:space="preserve"> | August 2022</w:t>
        </w:r>
      </w:p>
    </w:sdtContent>
  </w:sdt>
  <w:p w:rsidR="00145A72" w:rsidRPr="00145A72" w:rsidRDefault="00145A72" w:rsidP="00145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A72" w:rsidRDefault="00145A72" w:rsidP="00145A72">
      <w:pPr>
        <w:spacing w:line="240" w:lineRule="auto"/>
      </w:pPr>
      <w:r>
        <w:separator/>
      </w:r>
    </w:p>
  </w:footnote>
  <w:footnote w:type="continuationSeparator" w:id="0">
    <w:p w:rsidR="00145A72" w:rsidRDefault="00145A72" w:rsidP="00145A7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E0449"/>
    <w:multiLevelType w:val="hybridMultilevel"/>
    <w:tmpl w:val="13FA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274AB"/>
    <w:multiLevelType w:val="hybridMultilevel"/>
    <w:tmpl w:val="C652E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D11736"/>
    <w:multiLevelType w:val="hybridMultilevel"/>
    <w:tmpl w:val="6378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D0978"/>
    <w:multiLevelType w:val="hybridMultilevel"/>
    <w:tmpl w:val="F788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5949C0"/>
    <w:multiLevelType w:val="hybridMultilevel"/>
    <w:tmpl w:val="06BC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83D20"/>
    <w:multiLevelType w:val="hybridMultilevel"/>
    <w:tmpl w:val="4504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445C6"/>
    <w:multiLevelType w:val="multilevel"/>
    <w:tmpl w:val="E1785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F6D6A89"/>
    <w:multiLevelType w:val="hybridMultilevel"/>
    <w:tmpl w:val="973A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D2CD3"/>
    <w:multiLevelType w:val="hybridMultilevel"/>
    <w:tmpl w:val="B1C2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8544B2"/>
    <w:multiLevelType w:val="hybridMultilevel"/>
    <w:tmpl w:val="4B8E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9"/>
  </w:num>
  <w:num w:numId="5">
    <w:abstractNumId w:val="5"/>
  </w:num>
  <w:num w:numId="6">
    <w:abstractNumId w:val="0"/>
  </w:num>
  <w:num w:numId="7">
    <w:abstractNumId w:val="3"/>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8B"/>
    <w:rsid w:val="00057FD8"/>
    <w:rsid w:val="00071A5B"/>
    <w:rsid w:val="0009345E"/>
    <w:rsid w:val="000A5756"/>
    <w:rsid w:val="000C14A2"/>
    <w:rsid w:val="000D36B7"/>
    <w:rsid w:val="000E7BC7"/>
    <w:rsid w:val="00145A72"/>
    <w:rsid w:val="00187FD9"/>
    <w:rsid w:val="00192080"/>
    <w:rsid w:val="001933A8"/>
    <w:rsid w:val="0022037B"/>
    <w:rsid w:val="00223DAF"/>
    <w:rsid w:val="00295954"/>
    <w:rsid w:val="002B3FA3"/>
    <w:rsid w:val="002D37BB"/>
    <w:rsid w:val="00300E2F"/>
    <w:rsid w:val="003367CC"/>
    <w:rsid w:val="00346621"/>
    <w:rsid w:val="00370A9A"/>
    <w:rsid w:val="0038567A"/>
    <w:rsid w:val="003A5E26"/>
    <w:rsid w:val="003B4521"/>
    <w:rsid w:val="003E5AD4"/>
    <w:rsid w:val="003F6983"/>
    <w:rsid w:val="004024D8"/>
    <w:rsid w:val="004159AA"/>
    <w:rsid w:val="0044082F"/>
    <w:rsid w:val="00465BAE"/>
    <w:rsid w:val="004B38C1"/>
    <w:rsid w:val="005110C4"/>
    <w:rsid w:val="00532D27"/>
    <w:rsid w:val="00617A1A"/>
    <w:rsid w:val="00652D06"/>
    <w:rsid w:val="00654EFD"/>
    <w:rsid w:val="00673573"/>
    <w:rsid w:val="00712E0C"/>
    <w:rsid w:val="008053A6"/>
    <w:rsid w:val="008433DC"/>
    <w:rsid w:val="0086638B"/>
    <w:rsid w:val="009C3549"/>
    <w:rsid w:val="00A00D35"/>
    <w:rsid w:val="00A1287D"/>
    <w:rsid w:val="00AB351A"/>
    <w:rsid w:val="00AD1307"/>
    <w:rsid w:val="00AE3561"/>
    <w:rsid w:val="00B00F77"/>
    <w:rsid w:val="00B01343"/>
    <w:rsid w:val="00B04F92"/>
    <w:rsid w:val="00B3764B"/>
    <w:rsid w:val="00B556B7"/>
    <w:rsid w:val="00B56B6A"/>
    <w:rsid w:val="00B96DC1"/>
    <w:rsid w:val="00BA6509"/>
    <w:rsid w:val="00C24790"/>
    <w:rsid w:val="00C26B6D"/>
    <w:rsid w:val="00CA18B7"/>
    <w:rsid w:val="00CB1057"/>
    <w:rsid w:val="00CB56F4"/>
    <w:rsid w:val="00D93014"/>
    <w:rsid w:val="00DD212E"/>
    <w:rsid w:val="00E01704"/>
    <w:rsid w:val="00E13D62"/>
    <w:rsid w:val="00E513C7"/>
    <w:rsid w:val="00E70EDF"/>
    <w:rsid w:val="00E73AC0"/>
    <w:rsid w:val="00E90494"/>
    <w:rsid w:val="00E97E35"/>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B0C8C-B8D2-490B-8AA0-AB0DC08B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638B"/>
    <w:pPr>
      <w:spacing w:after="0"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86638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638B"/>
    <w:pPr>
      <w:spacing w:after="0"/>
    </w:pPr>
  </w:style>
  <w:style w:type="character" w:customStyle="1" w:styleId="Heading1Char">
    <w:name w:val="Heading 1 Char"/>
    <w:basedOn w:val="DefaultParagraphFont"/>
    <w:link w:val="Heading1"/>
    <w:uiPriority w:val="9"/>
    <w:rsid w:val="0086638B"/>
    <w:rPr>
      <w:rFonts w:asciiTheme="majorHAnsi" w:eastAsiaTheme="majorEastAsia" w:hAnsiTheme="majorHAnsi" w:cstheme="majorBidi"/>
      <w:color w:val="365F91" w:themeColor="accent1" w:themeShade="BF"/>
      <w:sz w:val="32"/>
      <w:szCs w:val="32"/>
      <w:lang w:val="en"/>
    </w:rPr>
  </w:style>
  <w:style w:type="paragraph" w:styleId="ListParagraph">
    <w:name w:val="List Paragraph"/>
    <w:basedOn w:val="Normal"/>
    <w:uiPriority w:val="34"/>
    <w:qFormat/>
    <w:rsid w:val="00E513C7"/>
    <w:pPr>
      <w:ind w:left="720"/>
      <w:contextualSpacing/>
    </w:pPr>
  </w:style>
  <w:style w:type="paragraph" w:styleId="Header">
    <w:name w:val="header"/>
    <w:basedOn w:val="Normal"/>
    <w:link w:val="HeaderChar"/>
    <w:uiPriority w:val="99"/>
    <w:unhideWhenUsed/>
    <w:rsid w:val="00145A72"/>
    <w:pPr>
      <w:tabs>
        <w:tab w:val="center" w:pos="4680"/>
        <w:tab w:val="right" w:pos="9360"/>
      </w:tabs>
      <w:spacing w:line="240" w:lineRule="auto"/>
    </w:pPr>
  </w:style>
  <w:style w:type="character" w:customStyle="1" w:styleId="HeaderChar">
    <w:name w:val="Header Char"/>
    <w:basedOn w:val="DefaultParagraphFont"/>
    <w:link w:val="Header"/>
    <w:uiPriority w:val="99"/>
    <w:rsid w:val="00145A72"/>
    <w:rPr>
      <w:rFonts w:ascii="Arial" w:eastAsia="Arial" w:hAnsi="Arial" w:cs="Arial"/>
      <w:sz w:val="22"/>
      <w:szCs w:val="22"/>
      <w:lang w:val="en"/>
    </w:rPr>
  </w:style>
  <w:style w:type="paragraph" w:styleId="Footer">
    <w:name w:val="footer"/>
    <w:basedOn w:val="Normal"/>
    <w:link w:val="FooterChar"/>
    <w:uiPriority w:val="99"/>
    <w:unhideWhenUsed/>
    <w:rsid w:val="00145A72"/>
    <w:pPr>
      <w:tabs>
        <w:tab w:val="center" w:pos="4680"/>
        <w:tab w:val="right" w:pos="9360"/>
      </w:tabs>
      <w:spacing w:line="240" w:lineRule="auto"/>
    </w:pPr>
  </w:style>
  <w:style w:type="character" w:customStyle="1" w:styleId="FooterChar">
    <w:name w:val="Footer Char"/>
    <w:basedOn w:val="DefaultParagraphFont"/>
    <w:link w:val="Footer"/>
    <w:uiPriority w:val="99"/>
    <w:rsid w:val="00145A72"/>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2022-09-12T17:08:59+00:00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E08A5410-B8B3-4E10-9D5A-7F1E72F80D0B}"/>
</file>

<file path=customXml/itemProps2.xml><?xml version="1.0" encoding="utf-8"?>
<ds:datastoreItem xmlns:ds="http://schemas.openxmlformats.org/officeDocument/2006/customXml" ds:itemID="{83000F74-A983-40BB-BBE5-5EAA6123E68A}"/>
</file>

<file path=customXml/itemProps3.xml><?xml version="1.0" encoding="utf-8"?>
<ds:datastoreItem xmlns:ds="http://schemas.openxmlformats.org/officeDocument/2006/customXml" ds:itemID="{8EFF0D38-46CA-4795-BBA7-35C6E9D96206}"/>
</file>

<file path=docProps/app.xml><?xml version="1.0" encoding="utf-8"?>
<Properties xmlns="http://schemas.openxmlformats.org/officeDocument/2006/extended-properties" xmlns:vt="http://schemas.openxmlformats.org/officeDocument/2006/docPropsVTypes">
  <Template>Normal</Template>
  <TotalTime>5657</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CATTERALL Linda * ODE</dc:creator>
  <cp:keywords/>
  <dc:description/>
  <cp:lastModifiedBy>SIMEONE Linda * ODE</cp:lastModifiedBy>
  <cp:revision>10</cp:revision>
  <cp:lastPrinted>2022-08-26T21:38:00Z</cp:lastPrinted>
  <dcterms:created xsi:type="dcterms:W3CDTF">2022-08-26T21:32:00Z</dcterms:created>
  <dcterms:modified xsi:type="dcterms:W3CDTF">2022-09-09T20:49:00Z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