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0609C" w14:textId="45CCAE69" w:rsidR="00C06C43" w:rsidRPr="00791E16" w:rsidRDefault="00F56002" w:rsidP="00D41AED">
      <w:pPr>
        <w:pStyle w:val="Heading1"/>
        <w:rPr>
          <w:color w:val="auto"/>
        </w:rPr>
      </w:pPr>
      <w:bookmarkStart w:id="0" w:name="_vz5uhd3l6dso" w:colFirst="0" w:colLast="0"/>
      <w:bookmarkEnd w:id="0"/>
      <w:r w:rsidRPr="00791E16">
        <w:rPr>
          <w:color w:val="auto"/>
        </w:rPr>
        <w:t>Appendix</w:t>
      </w:r>
      <w:r w:rsidR="00472DBE" w:rsidRPr="00791E16">
        <w:rPr>
          <w:color w:val="auto"/>
        </w:rPr>
        <w:t xml:space="preserve"> H</w:t>
      </w:r>
      <w:r w:rsidRPr="00791E16">
        <w:rPr>
          <w:color w:val="auto"/>
        </w:rPr>
        <w:t>: Performance Targets</w:t>
      </w:r>
    </w:p>
    <w:p w14:paraId="2E871199" w14:textId="77777777" w:rsidR="00F56002" w:rsidRPr="00791E16" w:rsidRDefault="00F56002" w:rsidP="009B2977">
      <w:pPr>
        <w:pStyle w:val="Heading2"/>
        <w:rPr>
          <w:color w:val="auto"/>
        </w:rPr>
      </w:pPr>
      <w:r w:rsidRPr="00791E16">
        <w:rPr>
          <w:color w:val="auto"/>
        </w:rPr>
        <w:t>S</w:t>
      </w:r>
      <w:r w:rsidR="00D41AED" w:rsidRPr="00791E16">
        <w:rPr>
          <w:color w:val="auto"/>
        </w:rPr>
        <w:t>econdary Indicators</w:t>
      </w:r>
    </w:p>
    <w:tbl>
      <w:tblPr>
        <w:tblStyle w:val="TableGrid"/>
        <w:tblW w:w="0" w:type="auto"/>
        <w:tblLayout w:type="fixed"/>
        <w:tblLook w:val="04A0" w:firstRow="1" w:lastRow="0" w:firstColumn="1" w:lastColumn="0" w:noHBand="0" w:noVBand="1"/>
        <w:tblCaption w:val="Secondary Indicators"/>
      </w:tblPr>
      <w:tblGrid>
        <w:gridCol w:w="2155"/>
        <w:gridCol w:w="1299"/>
        <w:gridCol w:w="1474"/>
        <w:gridCol w:w="1474"/>
        <w:gridCol w:w="1474"/>
        <w:gridCol w:w="1474"/>
      </w:tblGrid>
      <w:tr w:rsidR="00F56002" w14:paraId="48678DBA" w14:textId="77777777" w:rsidTr="003006C6">
        <w:trPr>
          <w:trHeight w:val="1052"/>
          <w:tblHeader/>
        </w:trPr>
        <w:tc>
          <w:tcPr>
            <w:tcW w:w="2155" w:type="dxa"/>
            <w:shd w:val="clear" w:color="auto" w:fill="1F497D" w:themeFill="text2"/>
            <w:vAlign w:val="center"/>
          </w:tcPr>
          <w:p w14:paraId="0EBAD4A8" w14:textId="77777777" w:rsidR="00F56002" w:rsidRPr="00F56002" w:rsidRDefault="00F56002" w:rsidP="00F56002">
            <w:pPr>
              <w:jc w:val="center"/>
              <w:rPr>
                <w:b/>
                <w:color w:val="FFFFFF" w:themeColor="background1"/>
                <w:sz w:val="20"/>
                <w:szCs w:val="20"/>
              </w:rPr>
            </w:pPr>
            <w:r w:rsidRPr="00F56002">
              <w:rPr>
                <w:b/>
                <w:color w:val="FFFFFF" w:themeColor="background1"/>
                <w:sz w:val="20"/>
                <w:szCs w:val="20"/>
              </w:rPr>
              <w:t>Indicators</w:t>
            </w:r>
          </w:p>
        </w:tc>
        <w:tc>
          <w:tcPr>
            <w:tcW w:w="1299" w:type="dxa"/>
            <w:shd w:val="clear" w:color="auto" w:fill="1F497D" w:themeFill="text2"/>
            <w:vAlign w:val="center"/>
          </w:tcPr>
          <w:p w14:paraId="307CDBBE" w14:textId="77777777" w:rsidR="00F56002" w:rsidRPr="00F56002" w:rsidRDefault="00F56002" w:rsidP="00F56002">
            <w:pPr>
              <w:jc w:val="center"/>
              <w:rPr>
                <w:b/>
                <w:color w:val="FFFFFF" w:themeColor="background1"/>
                <w:sz w:val="20"/>
                <w:szCs w:val="20"/>
              </w:rPr>
            </w:pPr>
            <w:r w:rsidRPr="00F56002">
              <w:rPr>
                <w:b/>
                <w:color w:val="FFFFFF" w:themeColor="background1"/>
                <w:sz w:val="20"/>
                <w:szCs w:val="20"/>
              </w:rPr>
              <w:t>Baseline Level*</w:t>
            </w:r>
          </w:p>
        </w:tc>
        <w:tc>
          <w:tcPr>
            <w:tcW w:w="1474" w:type="dxa"/>
            <w:shd w:val="clear" w:color="auto" w:fill="1F497D" w:themeFill="text2"/>
            <w:vAlign w:val="center"/>
          </w:tcPr>
          <w:p w14:paraId="4106D008" w14:textId="77777777" w:rsidR="00F56002" w:rsidRPr="00F56002" w:rsidRDefault="00F56002" w:rsidP="00F56002">
            <w:pPr>
              <w:jc w:val="center"/>
              <w:rPr>
                <w:b/>
                <w:color w:val="FFFFFF" w:themeColor="background1"/>
                <w:sz w:val="20"/>
                <w:szCs w:val="20"/>
              </w:rPr>
            </w:pPr>
            <w:r w:rsidRPr="00F56002">
              <w:rPr>
                <w:b/>
                <w:color w:val="FFFFFF" w:themeColor="background1"/>
                <w:sz w:val="20"/>
                <w:szCs w:val="20"/>
              </w:rPr>
              <w:t>FY 2020 Performance Levels</w:t>
            </w:r>
          </w:p>
        </w:tc>
        <w:tc>
          <w:tcPr>
            <w:tcW w:w="1474" w:type="dxa"/>
            <w:shd w:val="clear" w:color="auto" w:fill="1F497D" w:themeFill="text2"/>
            <w:vAlign w:val="center"/>
          </w:tcPr>
          <w:p w14:paraId="3D678BBD" w14:textId="77777777" w:rsidR="00F56002" w:rsidRPr="00F56002" w:rsidRDefault="00F56002" w:rsidP="00F56002">
            <w:pPr>
              <w:jc w:val="center"/>
              <w:rPr>
                <w:b/>
                <w:color w:val="FFFFFF" w:themeColor="background1"/>
                <w:sz w:val="20"/>
                <w:szCs w:val="20"/>
              </w:rPr>
            </w:pPr>
            <w:r w:rsidRPr="00F56002">
              <w:rPr>
                <w:b/>
                <w:color w:val="FFFFFF" w:themeColor="background1"/>
                <w:sz w:val="20"/>
                <w:szCs w:val="20"/>
              </w:rPr>
              <w:t>FY 2021</w:t>
            </w:r>
          </w:p>
          <w:p w14:paraId="48689A6A" w14:textId="77777777" w:rsidR="00F56002" w:rsidRPr="00F56002" w:rsidRDefault="00F56002" w:rsidP="00F56002">
            <w:pPr>
              <w:jc w:val="center"/>
              <w:rPr>
                <w:b/>
                <w:color w:val="FFFFFF" w:themeColor="background1"/>
                <w:sz w:val="20"/>
                <w:szCs w:val="20"/>
              </w:rPr>
            </w:pPr>
            <w:r w:rsidRPr="00F56002">
              <w:rPr>
                <w:b/>
                <w:color w:val="FFFFFF" w:themeColor="background1"/>
                <w:sz w:val="20"/>
                <w:szCs w:val="20"/>
              </w:rPr>
              <w:t>Performance Levels</w:t>
            </w:r>
          </w:p>
        </w:tc>
        <w:tc>
          <w:tcPr>
            <w:tcW w:w="1474" w:type="dxa"/>
            <w:shd w:val="clear" w:color="auto" w:fill="1F497D" w:themeFill="text2"/>
            <w:vAlign w:val="center"/>
          </w:tcPr>
          <w:p w14:paraId="6FF8BCA8" w14:textId="77777777" w:rsidR="00F56002" w:rsidRPr="00F56002" w:rsidRDefault="00F56002" w:rsidP="00F56002">
            <w:pPr>
              <w:jc w:val="center"/>
              <w:rPr>
                <w:b/>
                <w:color w:val="FFFFFF" w:themeColor="background1"/>
                <w:sz w:val="20"/>
                <w:szCs w:val="20"/>
              </w:rPr>
            </w:pPr>
            <w:r w:rsidRPr="00F56002">
              <w:rPr>
                <w:b/>
                <w:color w:val="FFFFFF" w:themeColor="background1"/>
                <w:sz w:val="20"/>
                <w:szCs w:val="20"/>
              </w:rPr>
              <w:t>FY 2022</w:t>
            </w:r>
          </w:p>
          <w:p w14:paraId="346A654E" w14:textId="77777777" w:rsidR="00F56002" w:rsidRPr="00F56002" w:rsidRDefault="00F56002" w:rsidP="00F56002">
            <w:pPr>
              <w:jc w:val="center"/>
              <w:rPr>
                <w:b/>
                <w:color w:val="FFFFFF" w:themeColor="background1"/>
                <w:sz w:val="20"/>
                <w:szCs w:val="20"/>
              </w:rPr>
            </w:pPr>
            <w:r w:rsidRPr="00F56002">
              <w:rPr>
                <w:b/>
                <w:color w:val="FFFFFF" w:themeColor="background1"/>
                <w:sz w:val="20"/>
                <w:szCs w:val="20"/>
              </w:rPr>
              <w:t>Performance Levels</w:t>
            </w:r>
          </w:p>
        </w:tc>
        <w:tc>
          <w:tcPr>
            <w:tcW w:w="1474" w:type="dxa"/>
            <w:shd w:val="clear" w:color="auto" w:fill="1F497D" w:themeFill="text2"/>
            <w:vAlign w:val="center"/>
          </w:tcPr>
          <w:p w14:paraId="70BD26F1" w14:textId="77777777" w:rsidR="00F56002" w:rsidRPr="00F56002" w:rsidRDefault="00F56002" w:rsidP="00F56002">
            <w:pPr>
              <w:jc w:val="center"/>
              <w:rPr>
                <w:b/>
                <w:color w:val="FFFFFF" w:themeColor="background1"/>
                <w:sz w:val="20"/>
                <w:szCs w:val="20"/>
              </w:rPr>
            </w:pPr>
            <w:r w:rsidRPr="00F56002">
              <w:rPr>
                <w:b/>
                <w:color w:val="FFFFFF" w:themeColor="background1"/>
                <w:sz w:val="20"/>
                <w:szCs w:val="20"/>
              </w:rPr>
              <w:t>FY 2023</w:t>
            </w:r>
          </w:p>
          <w:p w14:paraId="238BE1F1" w14:textId="77777777" w:rsidR="00F56002" w:rsidRPr="00F56002" w:rsidRDefault="00F56002" w:rsidP="00F56002">
            <w:pPr>
              <w:jc w:val="center"/>
              <w:rPr>
                <w:b/>
                <w:color w:val="FFFFFF" w:themeColor="background1"/>
                <w:sz w:val="20"/>
                <w:szCs w:val="20"/>
              </w:rPr>
            </w:pPr>
            <w:r w:rsidRPr="00F56002">
              <w:rPr>
                <w:b/>
                <w:color w:val="FFFFFF" w:themeColor="background1"/>
                <w:sz w:val="20"/>
                <w:szCs w:val="20"/>
              </w:rPr>
              <w:t>Performance Levels</w:t>
            </w:r>
          </w:p>
        </w:tc>
      </w:tr>
      <w:tr w:rsidR="00F56002" w14:paraId="3F98EA40" w14:textId="77777777" w:rsidTr="00D41AED">
        <w:tc>
          <w:tcPr>
            <w:tcW w:w="2155" w:type="dxa"/>
          </w:tcPr>
          <w:p w14:paraId="47B4F4BB" w14:textId="77777777" w:rsidR="00F56002" w:rsidRDefault="00F56002" w:rsidP="00D41AED">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1S1: Four-Year Graduation Rate</w:t>
            </w:r>
          </w:p>
        </w:tc>
        <w:tc>
          <w:tcPr>
            <w:tcW w:w="1299" w:type="dxa"/>
          </w:tcPr>
          <w:p w14:paraId="041D93D0" w14:textId="77777777" w:rsidR="00F56002" w:rsidRDefault="00F56002" w:rsidP="00F56002">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91.00%</w:t>
            </w:r>
          </w:p>
        </w:tc>
        <w:tc>
          <w:tcPr>
            <w:tcW w:w="1474" w:type="dxa"/>
          </w:tcPr>
          <w:p w14:paraId="7DBC38EC"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91.00%</w:t>
            </w:r>
          </w:p>
          <w:p w14:paraId="38E0B5F0"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89.50%</w:t>
            </w:r>
          </w:p>
        </w:tc>
        <w:tc>
          <w:tcPr>
            <w:tcW w:w="1474" w:type="dxa"/>
          </w:tcPr>
          <w:p w14:paraId="1FB089F0"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91.50%</w:t>
            </w:r>
          </w:p>
          <w:p w14:paraId="52A8762E"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90.00%</w:t>
            </w:r>
          </w:p>
        </w:tc>
        <w:tc>
          <w:tcPr>
            <w:tcW w:w="1474" w:type="dxa"/>
          </w:tcPr>
          <w:p w14:paraId="23CAB32E"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92.00%</w:t>
            </w:r>
          </w:p>
          <w:p w14:paraId="3248B7D7"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90.50%</w:t>
            </w:r>
          </w:p>
        </w:tc>
        <w:tc>
          <w:tcPr>
            <w:tcW w:w="1474" w:type="dxa"/>
          </w:tcPr>
          <w:p w14:paraId="2AC17B90"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92.50%</w:t>
            </w:r>
          </w:p>
          <w:p w14:paraId="5BAE0F97"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91.00%</w:t>
            </w:r>
          </w:p>
        </w:tc>
      </w:tr>
      <w:tr w:rsidR="00F56002" w14:paraId="7D52277B" w14:textId="77777777" w:rsidTr="00D41AED">
        <w:tc>
          <w:tcPr>
            <w:tcW w:w="2155" w:type="dxa"/>
          </w:tcPr>
          <w:p w14:paraId="685F5D48" w14:textId="77777777" w:rsidR="00F56002" w:rsidRDefault="00F56002" w:rsidP="00D41AED">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1S2: Extended Graduation Rate</w:t>
            </w:r>
          </w:p>
        </w:tc>
        <w:tc>
          <w:tcPr>
            <w:tcW w:w="1299" w:type="dxa"/>
          </w:tcPr>
          <w:p w14:paraId="2D8A90AA" w14:textId="77777777" w:rsidR="00F56002" w:rsidRDefault="00F56002" w:rsidP="00F56002">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92.00%.</w:t>
            </w:r>
          </w:p>
        </w:tc>
        <w:tc>
          <w:tcPr>
            <w:tcW w:w="1474" w:type="dxa"/>
          </w:tcPr>
          <w:p w14:paraId="37DC86C0"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92.00%</w:t>
            </w:r>
          </w:p>
          <w:p w14:paraId="222A480C"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90.00%</w:t>
            </w:r>
          </w:p>
        </w:tc>
        <w:tc>
          <w:tcPr>
            <w:tcW w:w="1474" w:type="dxa"/>
          </w:tcPr>
          <w:p w14:paraId="4B1AB519"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92.50%</w:t>
            </w:r>
          </w:p>
          <w:p w14:paraId="5AA25786"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90.50%</w:t>
            </w:r>
          </w:p>
        </w:tc>
        <w:tc>
          <w:tcPr>
            <w:tcW w:w="1474" w:type="dxa"/>
          </w:tcPr>
          <w:p w14:paraId="2104888C"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93.00%</w:t>
            </w:r>
          </w:p>
          <w:p w14:paraId="45F726AB"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91.00%</w:t>
            </w:r>
          </w:p>
        </w:tc>
        <w:tc>
          <w:tcPr>
            <w:tcW w:w="1474" w:type="dxa"/>
          </w:tcPr>
          <w:p w14:paraId="359356B9"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93.50%</w:t>
            </w:r>
          </w:p>
          <w:p w14:paraId="7072C08F"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91.50%</w:t>
            </w:r>
          </w:p>
        </w:tc>
      </w:tr>
      <w:tr w:rsidR="00F56002" w14:paraId="4B883713" w14:textId="77777777" w:rsidTr="00D41AED">
        <w:tc>
          <w:tcPr>
            <w:tcW w:w="2155" w:type="dxa"/>
          </w:tcPr>
          <w:p w14:paraId="53C18B80" w14:textId="77777777" w:rsidR="00F56002" w:rsidRDefault="00F56002" w:rsidP="00D41AED">
            <w:pPr>
              <w:widowControl w:val="0"/>
              <w:spacing w:before="69" w:line="206" w:lineRule="auto"/>
              <w:ind w:left="178"/>
              <w:rPr>
                <w:rFonts w:ascii="Calibri" w:eastAsia="Calibri" w:hAnsi="Calibri" w:cs="Calibri"/>
                <w:sz w:val="19"/>
                <w:szCs w:val="19"/>
              </w:rPr>
            </w:pPr>
            <w:r>
              <w:rPr>
                <w:rFonts w:ascii="Calibri" w:eastAsia="Calibri" w:hAnsi="Calibri" w:cs="Calibri"/>
                <w:color w:val="231F20"/>
                <w:sz w:val="19"/>
                <w:szCs w:val="19"/>
              </w:rPr>
              <w:t>2S1: Academic Proficiency in Reading Language Arts</w:t>
            </w:r>
          </w:p>
        </w:tc>
        <w:tc>
          <w:tcPr>
            <w:tcW w:w="1299" w:type="dxa"/>
          </w:tcPr>
          <w:p w14:paraId="4311840B" w14:textId="77777777" w:rsidR="00F56002" w:rsidRDefault="00F56002" w:rsidP="00F56002">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80.00%</w:t>
            </w:r>
          </w:p>
        </w:tc>
        <w:tc>
          <w:tcPr>
            <w:tcW w:w="1474" w:type="dxa"/>
          </w:tcPr>
          <w:p w14:paraId="12036BF9"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80.00%</w:t>
            </w:r>
          </w:p>
          <w:p w14:paraId="2851D7FF"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68.00%</w:t>
            </w:r>
          </w:p>
        </w:tc>
        <w:tc>
          <w:tcPr>
            <w:tcW w:w="1474" w:type="dxa"/>
          </w:tcPr>
          <w:p w14:paraId="66D80F60"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80.50%</w:t>
            </w:r>
          </w:p>
          <w:p w14:paraId="09D2C97E"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64.40%</w:t>
            </w:r>
          </w:p>
        </w:tc>
        <w:tc>
          <w:tcPr>
            <w:tcW w:w="1474" w:type="dxa"/>
          </w:tcPr>
          <w:p w14:paraId="7688A4A9"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81.00%</w:t>
            </w:r>
          </w:p>
          <w:p w14:paraId="7321E8F1"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72.90%</w:t>
            </w:r>
          </w:p>
        </w:tc>
        <w:tc>
          <w:tcPr>
            <w:tcW w:w="1474" w:type="dxa"/>
          </w:tcPr>
          <w:p w14:paraId="76F267FF"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81.50%</w:t>
            </w:r>
          </w:p>
          <w:p w14:paraId="4C8CAAFB"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77.43%</w:t>
            </w:r>
          </w:p>
        </w:tc>
      </w:tr>
      <w:tr w:rsidR="00F56002" w14:paraId="0CCAAABC" w14:textId="77777777" w:rsidTr="00D41AED">
        <w:tc>
          <w:tcPr>
            <w:tcW w:w="2155" w:type="dxa"/>
          </w:tcPr>
          <w:p w14:paraId="43B5B037" w14:textId="77777777" w:rsidR="00F56002" w:rsidRDefault="00F56002" w:rsidP="00D41AED">
            <w:pPr>
              <w:widowControl w:val="0"/>
              <w:spacing w:before="69" w:line="206" w:lineRule="auto"/>
              <w:ind w:left="178"/>
              <w:rPr>
                <w:rFonts w:ascii="Calibri" w:eastAsia="Calibri" w:hAnsi="Calibri" w:cs="Calibri"/>
                <w:sz w:val="19"/>
                <w:szCs w:val="19"/>
              </w:rPr>
            </w:pPr>
            <w:r>
              <w:rPr>
                <w:rFonts w:ascii="Calibri" w:eastAsia="Calibri" w:hAnsi="Calibri" w:cs="Calibri"/>
                <w:color w:val="231F20"/>
                <w:sz w:val="19"/>
                <w:szCs w:val="19"/>
              </w:rPr>
              <w:t>2S2: Academic Pro</w:t>
            </w:r>
            <w:r w:rsidR="00D41AED">
              <w:rPr>
                <w:rFonts w:ascii="Calibri" w:eastAsia="Calibri" w:hAnsi="Calibri" w:cs="Calibri"/>
                <w:color w:val="231F20"/>
                <w:sz w:val="19"/>
                <w:szCs w:val="19"/>
              </w:rPr>
              <w:t xml:space="preserve">ficiency in </w:t>
            </w:r>
            <w:r>
              <w:rPr>
                <w:rFonts w:ascii="Calibri" w:eastAsia="Calibri" w:hAnsi="Calibri" w:cs="Calibri"/>
                <w:color w:val="231F20"/>
                <w:sz w:val="19"/>
                <w:szCs w:val="19"/>
              </w:rPr>
              <w:t>Mathematics</w:t>
            </w:r>
          </w:p>
        </w:tc>
        <w:tc>
          <w:tcPr>
            <w:tcW w:w="1299" w:type="dxa"/>
          </w:tcPr>
          <w:p w14:paraId="2C35FF6E" w14:textId="77777777" w:rsidR="00F56002" w:rsidRDefault="00F56002" w:rsidP="00F56002">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42.00%</w:t>
            </w:r>
          </w:p>
        </w:tc>
        <w:tc>
          <w:tcPr>
            <w:tcW w:w="1474" w:type="dxa"/>
          </w:tcPr>
          <w:p w14:paraId="2E94E372"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42.00%</w:t>
            </w:r>
          </w:p>
          <w:p w14:paraId="20E66701"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35.70%</w:t>
            </w:r>
          </w:p>
        </w:tc>
        <w:tc>
          <w:tcPr>
            <w:tcW w:w="1474" w:type="dxa"/>
          </w:tcPr>
          <w:p w14:paraId="420A5BFE"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43.00%</w:t>
            </w:r>
          </w:p>
          <w:p w14:paraId="2277F5D1"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34.40%</w:t>
            </w:r>
          </w:p>
        </w:tc>
        <w:tc>
          <w:tcPr>
            <w:tcW w:w="1474" w:type="dxa"/>
          </w:tcPr>
          <w:p w14:paraId="6F1E24E5"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44.00%</w:t>
            </w:r>
          </w:p>
          <w:p w14:paraId="727A5A74"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39.60%</w:t>
            </w:r>
          </w:p>
        </w:tc>
        <w:tc>
          <w:tcPr>
            <w:tcW w:w="1474" w:type="dxa"/>
          </w:tcPr>
          <w:p w14:paraId="5AECF852"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45.00%</w:t>
            </w:r>
          </w:p>
          <w:p w14:paraId="4FFF3615"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42.75%</w:t>
            </w:r>
          </w:p>
        </w:tc>
      </w:tr>
      <w:tr w:rsidR="00F56002" w14:paraId="3B3D76DA" w14:textId="77777777" w:rsidTr="00D41AED">
        <w:tc>
          <w:tcPr>
            <w:tcW w:w="2155" w:type="dxa"/>
          </w:tcPr>
          <w:p w14:paraId="56049F60" w14:textId="77777777" w:rsidR="00F56002" w:rsidRDefault="00F56002" w:rsidP="00D41AED">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2S3: Academic Proficiency in Science</w:t>
            </w:r>
          </w:p>
        </w:tc>
        <w:tc>
          <w:tcPr>
            <w:tcW w:w="1299" w:type="dxa"/>
          </w:tcPr>
          <w:p w14:paraId="0A62FEBE" w14:textId="77777777" w:rsidR="00F56002" w:rsidRDefault="00F56002" w:rsidP="00F56002">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54.00%</w:t>
            </w:r>
          </w:p>
        </w:tc>
        <w:tc>
          <w:tcPr>
            <w:tcW w:w="1474" w:type="dxa"/>
          </w:tcPr>
          <w:p w14:paraId="12D382D6"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54.00%</w:t>
            </w:r>
          </w:p>
          <w:p w14:paraId="574F0DFA"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45.90%</w:t>
            </w:r>
          </w:p>
        </w:tc>
        <w:tc>
          <w:tcPr>
            <w:tcW w:w="1474" w:type="dxa"/>
          </w:tcPr>
          <w:p w14:paraId="0ED81F8B"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55.00%</w:t>
            </w:r>
          </w:p>
          <w:p w14:paraId="143EC44E"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44.00%</w:t>
            </w:r>
          </w:p>
        </w:tc>
        <w:tc>
          <w:tcPr>
            <w:tcW w:w="1474" w:type="dxa"/>
          </w:tcPr>
          <w:p w14:paraId="46FDAFA4"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56.00%</w:t>
            </w:r>
          </w:p>
          <w:p w14:paraId="0D47EF1D"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50.40%</w:t>
            </w:r>
          </w:p>
        </w:tc>
        <w:tc>
          <w:tcPr>
            <w:tcW w:w="1474" w:type="dxa"/>
          </w:tcPr>
          <w:p w14:paraId="1BACD86B"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57.00%</w:t>
            </w:r>
          </w:p>
          <w:p w14:paraId="50F75324"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54.15%</w:t>
            </w:r>
          </w:p>
        </w:tc>
      </w:tr>
      <w:tr w:rsidR="00F56002" w14:paraId="428C9905" w14:textId="77777777" w:rsidTr="00D41AED">
        <w:tc>
          <w:tcPr>
            <w:tcW w:w="2155" w:type="dxa"/>
          </w:tcPr>
          <w:p w14:paraId="40055CD1" w14:textId="77777777" w:rsidR="00F56002" w:rsidRDefault="00F56002" w:rsidP="00D41AED">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3S1: Postsecondary Placement</w:t>
            </w:r>
          </w:p>
        </w:tc>
        <w:tc>
          <w:tcPr>
            <w:tcW w:w="1299" w:type="dxa"/>
          </w:tcPr>
          <w:p w14:paraId="28C68CAD" w14:textId="77777777" w:rsidR="00F56002" w:rsidRDefault="00F56002" w:rsidP="00F56002">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58.00%</w:t>
            </w:r>
          </w:p>
        </w:tc>
        <w:tc>
          <w:tcPr>
            <w:tcW w:w="1474" w:type="dxa"/>
          </w:tcPr>
          <w:p w14:paraId="640F9F03"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58.00%</w:t>
            </w:r>
          </w:p>
          <w:p w14:paraId="465431F2"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49.30%</w:t>
            </w:r>
          </w:p>
        </w:tc>
        <w:tc>
          <w:tcPr>
            <w:tcW w:w="1474" w:type="dxa"/>
          </w:tcPr>
          <w:p w14:paraId="270CF46C"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59.00%</w:t>
            </w:r>
          </w:p>
          <w:p w14:paraId="37098F1A"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47.20%</w:t>
            </w:r>
          </w:p>
        </w:tc>
        <w:tc>
          <w:tcPr>
            <w:tcW w:w="1474" w:type="dxa"/>
          </w:tcPr>
          <w:p w14:paraId="04C3B74F"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62.00%</w:t>
            </w:r>
          </w:p>
          <w:p w14:paraId="635C0386"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55.80%</w:t>
            </w:r>
          </w:p>
        </w:tc>
        <w:tc>
          <w:tcPr>
            <w:tcW w:w="1474" w:type="dxa"/>
          </w:tcPr>
          <w:p w14:paraId="5C0023DD"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63.00%</w:t>
            </w:r>
          </w:p>
          <w:p w14:paraId="0C6CBC9D"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59.85%</w:t>
            </w:r>
          </w:p>
        </w:tc>
      </w:tr>
      <w:tr w:rsidR="00F56002" w14:paraId="55997B28" w14:textId="77777777" w:rsidTr="00D41AED">
        <w:tc>
          <w:tcPr>
            <w:tcW w:w="2155" w:type="dxa"/>
          </w:tcPr>
          <w:p w14:paraId="26D72152" w14:textId="57C5B7DD" w:rsidR="00F56002" w:rsidRDefault="00632327" w:rsidP="00D41AED">
            <w:pPr>
              <w:widowControl w:val="0"/>
              <w:spacing w:before="69" w:line="206" w:lineRule="auto"/>
              <w:ind w:left="178"/>
              <w:rPr>
                <w:rFonts w:ascii="Calibri" w:eastAsia="Calibri" w:hAnsi="Calibri" w:cs="Calibri"/>
                <w:sz w:val="19"/>
                <w:szCs w:val="19"/>
              </w:rPr>
            </w:pPr>
            <w:r>
              <w:rPr>
                <w:rFonts w:ascii="Calibri" w:eastAsia="Calibri" w:hAnsi="Calibri" w:cs="Calibri"/>
                <w:color w:val="231F20"/>
                <w:sz w:val="19"/>
                <w:szCs w:val="19"/>
              </w:rPr>
              <w:t>4S1: Nont</w:t>
            </w:r>
            <w:r w:rsidR="00F56002">
              <w:rPr>
                <w:rFonts w:ascii="Calibri" w:eastAsia="Calibri" w:hAnsi="Calibri" w:cs="Calibri"/>
                <w:color w:val="231F20"/>
                <w:sz w:val="19"/>
                <w:szCs w:val="19"/>
              </w:rPr>
              <w:t>raditional Program Enrollment</w:t>
            </w:r>
          </w:p>
        </w:tc>
        <w:tc>
          <w:tcPr>
            <w:tcW w:w="1299" w:type="dxa"/>
          </w:tcPr>
          <w:p w14:paraId="26260BBA" w14:textId="77777777" w:rsidR="00F56002" w:rsidRDefault="00F56002" w:rsidP="00F56002">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27.50%</w:t>
            </w:r>
          </w:p>
        </w:tc>
        <w:tc>
          <w:tcPr>
            <w:tcW w:w="1474" w:type="dxa"/>
          </w:tcPr>
          <w:p w14:paraId="1C9C963F" w14:textId="77777777" w:rsidR="00F56002" w:rsidRDefault="00F56002" w:rsidP="00F56002">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27.50%</w:t>
            </w:r>
          </w:p>
        </w:tc>
        <w:tc>
          <w:tcPr>
            <w:tcW w:w="1474" w:type="dxa"/>
          </w:tcPr>
          <w:p w14:paraId="3E3CA0CA" w14:textId="77777777" w:rsidR="00F56002" w:rsidRDefault="00F56002" w:rsidP="00F56002">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28.00%</w:t>
            </w:r>
          </w:p>
        </w:tc>
        <w:tc>
          <w:tcPr>
            <w:tcW w:w="1474" w:type="dxa"/>
          </w:tcPr>
          <w:p w14:paraId="36F13E2C" w14:textId="77777777" w:rsidR="00F56002" w:rsidRDefault="00F56002" w:rsidP="00F56002">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28.50%</w:t>
            </w:r>
          </w:p>
        </w:tc>
        <w:tc>
          <w:tcPr>
            <w:tcW w:w="1474" w:type="dxa"/>
          </w:tcPr>
          <w:p w14:paraId="5FEB0130" w14:textId="77777777" w:rsidR="00F56002" w:rsidRDefault="00F56002" w:rsidP="00F56002">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29.00%</w:t>
            </w:r>
          </w:p>
        </w:tc>
      </w:tr>
      <w:tr w:rsidR="00F56002" w14:paraId="78B5AC5C" w14:textId="77777777" w:rsidTr="00D41AED">
        <w:tc>
          <w:tcPr>
            <w:tcW w:w="2155" w:type="dxa"/>
          </w:tcPr>
          <w:p w14:paraId="7C169CDF" w14:textId="77777777" w:rsidR="00F56002" w:rsidRDefault="00F56002" w:rsidP="00D41AED">
            <w:pPr>
              <w:widowControl w:val="0"/>
              <w:spacing w:before="69" w:line="206" w:lineRule="auto"/>
              <w:ind w:left="178"/>
              <w:rPr>
                <w:rFonts w:ascii="Calibri" w:eastAsia="Calibri" w:hAnsi="Calibri" w:cs="Calibri"/>
                <w:sz w:val="11"/>
                <w:szCs w:val="11"/>
              </w:rPr>
            </w:pPr>
            <w:r>
              <w:rPr>
                <w:rFonts w:ascii="Calibri" w:eastAsia="Calibri" w:hAnsi="Calibri" w:cs="Calibri"/>
                <w:color w:val="231F20"/>
                <w:sz w:val="19"/>
                <w:szCs w:val="19"/>
              </w:rPr>
              <w:t>5S3: Program Quality – Participated in Work-Based Learning</w:t>
            </w:r>
            <w:r>
              <w:rPr>
                <w:rFonts w:ascii="Calibri" w:eastAsia="Calibri" w:hAnsi="Calibri" w:cs="Calibri"/>
                <w:color w:val="231F20"/>
                <w:sz w:val="18"/>
                <w:szCs w:val="18"/>
                <w:vertAlign w:val="superscript"/>
              </w:rPr>
              <w:footnoteReference w:id="1"/>
            </w:r>
          </w:p>
        </w:tc>
        <w:tc>
          <w:tcPr>
            <w:tcW w:w="1299" w:type="dxa"/>
          </w:tcPr>
          <w:p w14:paraId="0A8D1412" w14:textId="77777777" w:rsidR="00F56002" w:rsidRDefault="00F56002" w:rsidP="00F56002">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10.00%</w:t>
            </w:r>
          </w:p>
        </w:tc>
        <w:tc>
          <w:tcPr>
            <w:tcW w:w="1474" w:type="dxa"/>
          </w:tcPr>
          <w:p w14:paraId="6147B028"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10.00%</w:t>
            </w:r>
          </w:p>
          <w:p w14:paraId="163DE286" w14:textId="342DD16D" w:rsidR="00F56002" w:rsidRDefault="002240A1"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 xml:space="preserve">  </w:t>
            </w:r>
            <w:r w:rsidR="00F56002">
              <w:rPr>
                <w:rFonts w:ascii="Calibri" w:eastAsia="Calibri" w:hAnsi="Calibri" w:cs="Calibri"/>
                <w:b/>
                <w:color w:val="FF0000"/>
                <w:sz w:val="19"/>
                <w:szCs w:val="19"/>
              </w:rPr>
              <w:t>5.00%</w:t>
            </w:r>
          </w:p>
        </w:tc>
        <w:tc>
          <w:tcPr>
            <w:tcW w:w="1474" w:type="dxa"/>
          </w:tcPr>
          <w:p w14:paraId="5F27E90C"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15.00%</w:t>
            </w:r>
          </w:p>
          <w:p w14:paraId="19245E4F"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12.00%</w:t>
            </w:r>
          </w:p>
        </w:tc>
        <w:tc>
          <w:tcPr>
            <w:tcW w:w="1474" w:type="dxa"/>
          </w:tcPr>
          <w:p w14:paraId="2342B439"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23.00%</w:t>
            </w:r>
          </w:p>
          <w:p w14:paraId="5108B909"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20.00%</w:t>
            </w:r>
          </w:p>
        </w:tc>
        <w:tc>
          <w:tcPr>
            <w:tcW w:w="1474" w:type="dxa"/>
          </w:tcPr>
          <w:p w14:paraId="56AF6F4D" w14:textId="77777777" w:rsidR="00F56002" w:rsidRDefault="00F56002" w:rsidP="00F56002">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31.00%</w:t>
            </w:r>
          </w:p>
          <w:p w14:paraId="234DBF6E" w14:textId="77777777" w:rsidR="00F56002" w:rsidRDefault="00F56002" w:rsidP="00F56002">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25.00%</w:t>
            </w:r>
          </w:p>
        </w:tc>
      </w:tr>
    </w:tbl>
    <w:p w14:paraId="6CA2379C" w14:textId="77777777" w:rsidR="00F56002" w:rsidRDefault="00F56002" w:rsidP="00F56002"/>
    <w:p w14:paraId="263C54FC" w14:textId="698A639B" w:rsidR="00D41AED" w:rsidRPr="00791E16" w:rsidRDefault="002240A1" w:rsidP="009B2977">
      <w:pPr>
        <w:pStyle w:val="Heading2"/>
        <w:rPr>
          <w:color w:val="auto"/>
        </w:rPr>
      </w:pPr>
      <w:r w:rsidRPr="00791E16">
        <w:rPr>
          <w:color w:val="auto"/>
        </w:rPr>
        <w:t>Posts</w:t>
      </w:r>
      <w:r w:rsidR="00D41AED" w:rsidRPr="00791E16">
        <w:rPr>
          <w:color w:val="auto"/>
        </w:rPr>
        <w:t>econdary Indicators</w:t>
      </w:r>
    </w:p>
    <w:tbl>
      <w:tblPr>
        <w:tblStyle w:val="TableGrid"/>
        <w:tblW w:w="0" w:type="auto"/>
        <w:tblLayout w:type="fixed"/>
        <w:tblLook w:val="04A0" w:firstRow="1" w:lastRow="0" w:firstColumn="1" w:lastColumn="0" w:noHBand="0" w:noVBand="1"/>
        <w:tblCaption w:val="Post-Secondary Indicators"/>
      </w:tblPr>
      <w:tblGrid>
        <w:gridCol w:w="2155"/>
        <w:gridCol w:w="1299"/>
        <w:gridCol w:w="1474"/>
        <w:gridCol w:w="1474"/>
        <w:gridCol w:w="1474"/>
        <w:gridCol w:w="1474"/>
      </w:tblGrid>
      <w:tr w:rsidR="00D41AED" w14:paraId="27278336" w14:textId="77777777" w:rsidTr="003006C6">
        <w:trPr>
          <w:trHeight w:val="1052"/>
          <w:tblHeader/>
        </w:trPr>
        <w:tc>
          <w:tcPr>
            <w:tcW w:w="2155" w:type="dxa"/>
            <w:shd w:val="clear" w:color="auto" w:fill="1F497D" w:themeFill="text2"/>
            <w:vAlign w:val="center"/>
          </w:tcPr>
          <w:p w14:paraId="7394FE04" w14:textId="77777777" w:rsidR="00D41AED" w:rsidRPr="00F56002" w:rsidRDefault="00D41AED" w:rsidP="009B25BC">
            <w:pPr>
              <w:jc w:val="center"/>
              <w:rPr>
                <w:b/>
                <w:color w:val="FFFFFF" w:themeColor="background1"/>
                <w:sz w:val="20"/>
                <w:szCs w:val="20"/>
              </w:rPr>
            </w:pPr>
            <w:r w:rsidRPr="00F56002">
              <w:rPr>
                <w:b/>
                <w:color w:val="FFFFFF" w:themeColor="background1"/>
                <w:sz w:val="20"/>
                <w:szCs w:val="20"/>
              </w:rPr>
              <w:t>Indicators</w:t>
            </w:r>
          </w:p>
        </w:tc>
        <w:tc>
          <w:tcPr>
            <w:tcW w:w="1299" w:type="dxa"/>
            <w:shd w:val="clear" w:color="auto" w:fill="1F497D" w:themeFill="text2"/>
            <w:vAlign w:val="center"/>
          </w:tcPr>
          <w:p w14:paraId="35E1E1AE" w14:textId="77777777" w:rsidR="00D41AED" w:rsidRPr="00F56002" w:rsidRDefault="00D41AED" w:rsidP="009B25BC">
            <w:pPr>
              <w:jc w:val="center"/>
              <w:rPr>
                <w:b/>
                <w:color w:val="FFFFFF" w:themeColor="background1"/>
                <w:sz w:val="20"/>
                <w:szCs w:val="20"/>
              </w:rPr>
            </w:pPr>
            <w:r w:rsidRPr="00F56002">
              <w:rPr>
                <w:b/>
                <w:color w:val="FFFFFF" w:themeColor="background1"/>
                <w:sz w:val="20"/>
                <w:szCs w:val="20"/>
              </w:rPr>
              <w:t>Baseline Level*</w:t>
            </w:r>
          </w:p>
        </w:tc>
        <w:tc>
          <w:tcPr>
            <w:tcW w:w="1474" w:type="dxa"/>
            <w:shd w:val="clear" w:color="auto" w:fill="1F497D" w:themeFill="text2"/>
            <w:vAlign w:val="center"/>
          </w:tcPr>
          <w:p w14:paraId="359B9E5D" w14:textId="77777777" w:rsidR="00D41AED" w:rsidRPr="00F56002" w:rsidRDefault="00D41AED" w:rsidP="009B25BC">
            <w:pPr>
              <w:jc w:val="center"/>
              <w:rPr>
                <w:b/>
                <w:color w:val="FFFFFF" w:themeColor="background1"/>
                <w:sz w:val="20"/>
                <w:szCs w:val="20"/>
              </w:rPr>
            </w:pPr>
            <w:r w:rsidRPr="00F56002">
              <w:rPr>
                <w:b/>
                <w:color w:val="FFFFFF" w:themeColor="background1"/>
                <w:sz w:val="20"/>
                <w:szCs w:val="20"/>
              </w:rPr>
              <w:t>FY 2020 Performance Levels</w:t>
            </w:r>
          </w:p>
        </w:tc>
        <w:tc>
          <w:tcPr>
            <w:tcW w:w="1474" w:type="dxa"/>
            <w:shd w:val="clear" w:color="auto" w:fill="1F497D" w:themeFill="text2"/>
            <w:vAlign w:val="center"/>
          </w:tcPr>
          <w:p w14:paraId="2E171A92" w14:textId="77777777" w:rsidR="00D41AED" w:rsidRPr="00F56002" w:rsidRDefault="00D41AED" w:rsidP="009B25BC">
            <w:pPr>
              <w:jc w:val="center"/>
              <w:rPr>
                <w:b/>
                <w:color w:val="FFFFFF" w:themeColor="background1"/>
                <w:sz w:val="20"/>
                <w:szCs w:val="20"/>
              </w:rPr>
            </w:pPr>
            <w:r w:rsidRPr="00F56002">
              <w:rPr>
                <w:b/>
                <w:color w:val="FFFFFF" w:themeColor="background1"/>
                <w:sz w:val="20"/>
                <w:szCs w:val="20"/>
              </w:rPr>
              <w:t>FY 2021</w:t>
            </w:r>
          </w:p>
          <w:p w14:paraId="47632323" w14:textId="77777777" w:rsidR="00D41AED" w:rsidRPr="00F56002" w:rsidRDefault="00D41AED" w:rsidP="009B25BC">
            <w:pPr>
              <w:jc w:val="center"/>
              <w:rPr>
                <w:b/>
                <w:color w:val="FFFFFF" w:themeColor="background1"/>
                <w:sz w:val="20"/>
                <w:szCs w:val="20"/>
              </w:rPr>
            </w:pPr>
            <w:r w:rsidRPr="00F56002">
              <w:rPr>
                <w:b/>
                <w:color w:val="FFFFFF" w:themeColor="background1"/>
                <w:sz w:val="20"/>
                <w:szCs w:val="20"/>
              </w:rPr>
              <w:t>Performance Levels</w:t>
            </w:r>
          </w:p>
        </w:tc>
        <w:tc>
          <w:tcPr>
            <w:tcW w:w="1474" w:type="dxa"/>
            <w:shd w:val="clear" w:color="auto" w:fill="1F497D" w:themeFill="text2"/>
            <w:vAlign w:val="center"/>
          </w:tcPr>
          <w:p w14:paraId="4147D639" w14:textId="77777777" w:rsidR="00D41AED" w:rsidRPr="00F56002" w:rsidRDefault="00D41AED" w:rsidP="009B25BC">
            <w:pPr>
              <w:jc w:val="center"/>
              <w:rPr>
                <w:b/>
                <w:color w:val="FFFFFF" w:themeColor="background1"/>
                <w:sz w:val="20"/>
                <w:szCs w:val="20"/>
              </w:rPr>
            </w:pPr>
            <w:r w:rsidRPr="00F56002">
              <w:rPr>
                <w:b/>
                <w:color w:val="FFFFFF" w:themeColor="background1"/>
                <w:sz w:val="20"/>
                <w:szCs w:val="20"/>
              </w:rPr>
              <w:t>FY 2022</w:t>
            </w:r>
          </w:p>
          <w:p w14:paraId="7BF220BF" w14:textId="77777777" w:rsidR="00D41AED" w:rsidRPr="00F56002" w:rsidRDefault="00D41AED" w:rsidP="009B25BC">
            <w:pPr>
              <w:jc w:val="center"/>
              <w:rPr>
                <w:b/>
                <w:color w:val="FFFFFF" w:themeColor="background1"/>
                <w:sz w:val="20"/>
                <w:szCs w:val="20"/>
              </w:rPr>
            </w:pPr>
            <w:r w:rsidRPr="00F56002">
              <w:rPr>
                <w:b/>
                <w:color w:val="FFFFFF" w:themeColor="background1"/>
                <w:sz w:val="20"/>
                <w:szCs w:val="20"/>
              </w:rPr>
              <w:t>Performance Levels</w:t>
            </w:r>
          </w:p>
        </w:tc>
        <w:tc>
          <w:tcPr>
            <w:tcW w:w="1474" w:type="dxa"/>
            <w:shd w:val="clear" w:color="auto" w:fill="1F497D" w:themeFill="text2"/>
            <w:vAlign w:val="center"/>
          </w:tcPr>
          <w:p w14:paraId="12DF29A3" w14:textId="77777777" w:rsidR="00D41AED" w:rsidRPr="00F56002" w:rsidRDefault="00D41AED" w:rsidP="009B25BC">
            <w:pPr>
              <w:jc w:val="center"/>
              <w:rPr>
                <w:b/>
                <w:color w:val="FFFFFF" w:themeColor="background1"/>
                <w:sz w:val="20"/>
                <w:szCs w:val="20"/>
              </w:rPr>
            </w:pPr>
            <w:r w:rsidRPr="00F56002">
              <w:rPr>
                <w:b/>
                <w:color w:val="FFFFFF" w:themeColor="background1"/>
                <w:sz w:val="20"/>
                <w:szCs w:val="20"/>
              </w:rPr>
              <w:t>FY 2023</w:t>
            </w:r>
          </w:p>
          <w:p w14:paraId="164D1B93" w14:textId="77777777" w:rsidR="00D41AED" w:rsidRPr="00F56002" w:rsidRDefault="00D41AED" w:rsidP="009B25BC">
            <w:pPr>
              <w:jc w:val="center"/>
              <w:rPr>
                <w:b/>
                <w:color w:val="FFFFFF" w:themeColor="background1"/>
                <w:sz w:val="20"/>
                <w:szCs w:val="20"/>
              </w:rPr>
            </w:pPr>
            <w:r w:rsidRPr="00F56002">
              <w:rPr>
                <w:b/>
                <w:color w:val="FFFFFF" w:themeColor="background1"/>
                <w:sz w:val="20"/>
                <w:szCs w:val="20"/>
              </w:rPr>
              <w:t>Performance Levels</w:t>
            </w:r>
          </w:p>
        </w:tc>
      </w:tr>
      <w:tr w:rsidR="00D41AED" w14:paraId="22A0218B" w14:textId="77777777" w:rsidTr="009B25BC">
        <w:tc>
          <w:tcPr>
            <w:tcW w:w="2155" w:type="dxa"/>
          </w:tcPr>
          <w:p w14:paraId="31E179EC" w14:textId="77777777" w:rsidR="00D41AED" w:rsidRDefault="00D41AED" w:rsidP="00D41AED">
            <w:pPr>
              <w:widowControl w:val="0"/>
              <w:spacing w:before="69" w:line="206" w:lineRule="auto"/>
              <w:ind w:left="178" w:right="-15"/>
              <w:rPr>
                <w:rFonts w:ascii="Calibri" w:eastAsia="Calibri" w:hAnsi="Calibri" w:cs="Calibri"/>
                <w:sz w:val="19"/>
                <w:szCs w:val="19"/>
              </w:rPr>
            </w:pPr>
            <w:r>
              <w:rPr>
                <w:rFonts w:ascii="Calibri" w:eastAsia="Calibri" w:hAnsi="Calibri" w:cs="Calibri"/>
                <w:color w:val="231F20"/>
                <w:sz w:val="19"/>
                <w:szCs w:val="19"/>
              </w:rPr>
              <w:t>1P1: Postsecondary Retention and Placement</w:t>
            </w:r>
          </w:p>
        </w:tc>
        <w:tc>
          <w:tcPr>
            <w:tcW w:w="1299" w:type="dxa"/>
          </w:tcPr>
          <w:p w14:paraId="320F1B44" w14:textId="77777777" w:rsidR="00D41AED" w:rsidRDefault="00D41AED" w:rsidP="00D41AED">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78.50%</w:t>
            </w:r>
          </w:p>
        </w:tc>
        <w:tc>
          <w:tcPr>
            <w:tcW w:w="1474" w:type="dxa"/>
          </w:tcPr>
          <w:p w14:paraId="0895D2F4" w14:textId="77777777" w:rsidR="00D41AED" w:rsidRDefault="00D41AED" w:rsidP="00D41AED">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78.50%</w:t>
            </w:r>
          </w:p>
          <w:p w14:paraId="76CA868C" w14:textId="77777777" w:rsidR="00D41AED" w:rsidRDefault="00D41AED" w:rsidP="00D41AED">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62.80%</w:t>
            </w:r>
          </w:p>
        </w:tc>
        <w:tc>
          <w:tcPr>
            <w:tcW w:w="1474" w:type="dxa"/>
          </w:tcPr>
          <w:p w14:paraId="529893A2" w14:textId="77777777" w:rsidR="00D41AED" w:rsidRDefault="00D41AED" w:rsidP="00D41AED">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79.00%</w:t>
            </w:r>
          </w:p>
          <w:p w14:paraId="4264818C" w14:textId="77777777" w:rsidR="00D41AED" w:rsidRDefault="00D41AED" w:rsidP="00D41AED">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63.20%</w:t>
            </w:r>
          </w:p>
        </w:tc>
        <w:tc>
          <w:tcPr>
            <w:tcW w:w="1474" w:type="dxa"/>
          </w:tcPr>
          <w:p w14:paraId="24CAAD94" w14:textId="77777777" w:rsidR="00D41AED" w:rsidRDefault="00D41AED" w:rsidP="00D41AED">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79.50%</w:t>
            </w:r>
          </w:p>
          <w:p w14:paraId="0E71D8D1" w14:textId="77777777" w:rsidR="00D41AED" w:rsidRDefault="00D41AED" w:rsidP="00D41AED">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67.60%</w:t>
            </w:r>
          </w:p>
        </w:tc>
        <w:tc>
          <w:tcPr>
            <w:tcW w:w="1474" w:type="dxa"/>
          </w:tcPr>
          <w:p w14:paraId="4097796E" w14:textId="77777777" w:rsidR="00D41AED" w:rsidRDefault="00D41AED" w:rsidP="00D41AED">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80.00%</w:t>
            </w:r>
          </w:p>
          <w:p w14:paraId="0E1A50F3" w14:textId="77777777" w:rsidR="00D41AED" w:rsidRDefault="00D41AED" w:rsidP="00D41AED">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72.00%</w:t>
            </w:r>
          </w:p>
        </w:tc>
      </w:tr>
      <w:tr w:rsidR="00D41AED" w14:paraId="78B37C6A" w14:textId="77777777" w:rsidTr="009B25BC">
        <w:tc>
          <w:tcPr>
            <w:tcW w:w="2155" w:type="dxa"/>
          </w:tcPr>
          <w:p w14:paraId="74338BDD" w14:textId="77777777" w:rsidR="00D41AED" w:rsidRDefault="00D41AED" w:rsidP="00D41AED">
            <w:pPr>
              <w:widowControl w:val="0"/>
              <w:spacing w:before="69" w:line="206" w:lineRule="auto"/>
              <w:ind w:left="178" w:right="-15"/>
              <w:rPr>
                <w:rFonts w:ascii="Calibri" w:eastAsia="Calibri" w:hAnsi="Calibri" w:cs="Calibri"/>
                <w:sz w:val="19"/>
                <w:szCs w:val="19"/>
              </w:rPr>
            </w:pPr>
            <w:r>
              <w:rPr>
                <w:rFonts w:ascii="Calibri" w:eastAsia="Calibri" w:hAnsi="Calibri" w:cs="Calibri"/>
                <w:color w:val="231F20"/>
                <w:sz w:val="19"/>
                <w:szCs w:val="19"/>
              </w:rPr>
              <w:t>2P1: Earned Recognized Postsecondary Credential</w:t>
            </w:r>
          </w:p>
        </w:tc>
        <w:tc>
          <w:tcPr>
            <w:tcW w:w="1299" w:type="dxa"/>
          </w:tcPr>
          <w:p w14:paraId="78898A3A" w14:textId="77777777" w:rsidR="00D41AED" w:rsidRDefault="00D41AED" w:rsidP="00D41AED">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48.75%</w:t>
            </w:r>
          </w:p>
        </w:tc>
        <w:tc>
          <w:tcPr>
            <w:tcW w:w="1474" w:type="dxa"/>
          </w:tcPr>
          <w:p w14:paraId="4F88D778" w14:textId="77777777" w:rsidR="00D41AED" w:rsidRDefault="00D41AED" w:rsidP="00D41AED">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48.75%</w:t>
            </w:r>
          </w:p>
          <w:p w14:paraId="4FBEEEEF" w14:textId="77777777" w:rsidR="00D41AED" w:rsidRDefault="00D41AED" w:rsidP="00D41AED">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39.00%</w:t>
            </w:r>
          </w:p>
        </w:tc>
        <w:tc>
          <w:tcPr>
            <w:tcW w:w="1474" w:type="dxa"/>
          </w:tcPr>
          <w:p w14:paraId="6AE12695" w14:textId="77777777" w:rsidR="00D41AED" w:rsidRDefault="00D41AED" w:rsidP="00D41AED">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49.25%</w:t>
            </w:r>
          </w:p>
          <w:p w14:paraId="5A920136" w14:textId="77777777" w:rsidR="00D41AED" w:rsidRDefault="00D41AED" w:rsidP="00D41AED">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39.40%</w:t>
            </w:r>
          </w:p>
        </w:tc>
        <w:tc>
          <w:tcPr>
            <w:tcW w:w="1474" w:type="dxa"/>
          </w:tcPr>
          <w:p w14:paraId="2E4561CA" w14:textId="77777777" w:rsidR="00D41AED" w:rsidRDefault="00D41AED" w:rsidP="00D41AED">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49.75%</w:t>
            </w:r>
          </w:p>
          <w:p w14:paraId="36C54ED0" w14:textId="77777777" w:rsidR="00D41AED" w:rsidRDefault="00D41AED" w:rsidP="00D41AED">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42.30%</w:t>
            </w:r>
          </w:p>
        </w:tc>
        <w:tc>
          <w:tcPr>
            <w:tcW w:w="1474" w:type="dxa"/>
          </w:tcPr>
          <w:p w14:paraId="4A6D3F87" w14:textId="77777777" w:rsidR="00D41AED" w:rsidRDefault="00D41AED" w:rsidP="00D41AED">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50.25%</w:t>
            </w:r>
          </w:p>
          <w:p w14:paraId="5C2B0033" w14:textId="77777777" w:rsidR="00D41AED" w:rsidRDefault="00D41AED" w:rsidP="00D41AED">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45.20%</w:t>
            </w:r>
          </w:p>
        </w:tc>
      </w:tr>
      <w:tr w:rsidR="00D41AED" w14:paraId="64E32624" w14:textId="77777777" w:rsidTr="009B25BC">
        <w:tc>
          <w:tcPr>
            <w:tcW w:w="2155" w:type="dxa"/>
          </w:tcPr>
          <w:p w14:paraId="18B8F12F" w14:textId="5F84DC0B" w:rsidR="00D41AED" w:rsidRDefault="00632327" w:rsidP="00D41AED">
            <w:pPr>
              <w:widowControl w:val="0"/>
              <w:spacing w:before="69" w:line="206" w:lineRule="auto"/>
              <w:ind w:left="178" w:right="-15"/>
              <w:rPr>
                <w:rFonts w:ascii="Calibri" w:eastAsia="Calibri" w:hAnsi="Calibri" w:cs="Calibri"/>
                <w:sz w:val="19"/>
                <w:szCs w:val="19"/>
              </w:rPr>
            </w:pPr>
            <w:r>
              <w:rPr>
                <w:rFonts w:ascii="Calibri" w:eastAsia="Calibri" w:hAnsi="Calibri" w:cs="Calibri"/>
                <w:color w:val="231F20"/>
                <w:sz w:val="19"/>
                <w:szCs w:val="19"/>
              </w:rPr>
              <w:t>3P1: Nont</w:t>
            </w:r>
            <w:r w:rsidR="00D41AED">
              <w:rPr>
                <w:rFonts w:ascii="Calibri" w:eastAsia="Calibri" w:hAnsi="Calibri" w:cs="Calibri"/>
                <w:color w:val="231F20"/>
                <w:sz w:val="19"/>
                <w:szCs w:val="19"/>
              </w:rPr>
              <w:t>raditional Program Enrollment</w:t>
            </w:r>
          </w:p>
        </w:tc>
        <w:tc>
          <w:tcPr>
            <w:tcW w:w="1299" w:type="dxa"/>
          </w:tcPr>
          <w:p w14:paraId="0A096986" w14:textId="77777777" w:rsidR="00D41AED" w:rsidRDefault="00D41AED" w:rsidP="00D41AED">
            <w:pPr>
              <w:widowControl w:val="0"/>
              <w:spacing w:before="44"/>
              <w:ind w:left="178"/>
              <w:rPr>
                <w:rFonts w:ascii="Calibri" w:eastAsia="Calibri" w:hAnsi="Calibri" w:cs="Calibri"/>
                <w:sz w:val="19"/>
                <w:szCs w:val="19"/>
              </w:rPr>
            </w:pPr>
            <w:r>
              <w:rPr>
                <w:rFonts w:ascii="Calibri" w:eastAsia="Calibri" w:hAnsi="Calibri" w:cs="Calibri"/>
                <w:color w:val="231F20"/>
                <w:sz w:val="19"/>
                <w:szCs w:val="19"/>
              </w:rPr>
              <w:t>18.00%</w:t>
            </w:r>
          </w:p>
        </w:tc>
        <w:tc>
          <w:tcPr>
            <w:tcW w:w="1474" w:type="dxa"/>
          </w:tcPr>
          <w:p w14:paraId="2621FE2B" w14:textId="77777777" w:rsidR="00D41AED" w:rsidRDefault="00D41AED" w:rsidP="00D41AED">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18.00%</w:t>
            </w:r>
          </w:p>
          <w:p w14:paraId="01206BDA" w14:textId="77777777" w:rsidR="00D41AED" w:rsidRDefault="00D41AED" w:rsidP="00D41AED">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16.00%</w:t>
            </w:r>
          </w:p>
        </w:tc>
        <w:tc>
          <w:tcPr>
            <w:tcW w:w="1474" w:type="dxa"/>
          </w:tcPr>
          <w:p w14:paraId="53D62E76" w14:textId="77777777" w:rsidR="00D41AED" w:rsidRDefault="00D41AED" w:rsidP="00D41AED">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18.50%</w:t>
            </w:r>
          </w:p>
          <w:p w14:paraId="5AC13B69" w14:textId="77777777" w:rsidR="00D41AED" w:rsidRDefault="00D41AED" w:rsidP="00D41AED">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16.40%</w:t>
            </w:r>
          </w:p>
        </w:tc>
        <w:tc>
          <w:tcPr>
            <w:tcW w:w="1474" w:type="dxa"/>
          </w:tcPr>
          <w:p w14:paraId="42110895" w14:textId="77777777" w:rsidR="00D41AED" w:rsidRDefault="00D41AED" w:rsidP="00D41AED">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19.00%</w:t>
            </w:r>
          </w:p>
          <w:p w14:paraId="22830303" w14:textId="77777777" w:rsidR="00D41AED" w:rsidRDefault="00D41AED" w:rsidP="00D41AED">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17.90%</w:t>
            </w:r>
          </w:p>
        </w:tc>
        <w:tc>
          <w:tcPr>
            <w:tcW w:w="1474" w:type="dxa"/>
          </w:tcPr>
          <w:p w14:paraId="17175D7D" w14:textId="77777777" w:rsidR="00D41AED" w:rsidRDefault="00D41AED" w:rsidP="00D41AED">
            <w:pPr>
              <w:widowControl w:val="0"/>
              <w:spacing w:before="44"/>
              <w:ind w:left="178"/>
              <w:rPr>
                <w:rFonts w:ascii="Calibri" w:eastAsia="Calibri" w:hAnsi="Calibri" w:cs="Calibri"/>
                <w:color w:val="231F20"/>
                <w:sz w:val="19"/>
                <w:szCs w:val="19"/>
              </w:rPr>
            </w:pPr>
            <w:r>
              <w:rPr>
                <w:rFonts w:ascii="Calibri" w:eastAsia="Calibri" w:hAnsi="Calibri" w:cs="Calibri"/>
                <w:color w:val="231F20"/>
                <w:sz w:val="19"/>
                <w:szCs w:val="19"/>
              </w:rPr>
              <w:t>19.50%</w:t>
            </w:r>
          </w:p>
          <w:p w14:paraId="766A3E40" w14:textId="77777777" w:rsidR="00D41AED" w:rsidRDefault="00D41AED" w:rsidP="00D41AED">
            <w:pPr>
              <w:widowControl w:val="0"/>
              <w:spacing w:before="44"/>
              <w:ind w:left="178"/>
              <w:rPr>
                <w:rFonts w:ascii="Calibri" w:eastAsia="Calibri" w:hAnsi="Calibri" w:cs="Calibri"/>
                <w:b/>
                <w:color w:val="FF0000"/>
                <w:sz w:val="19"/>
                <w:szCs w:val="19"/>
              </w:rPr>
            </w:pPr>
            <w:r>
              <w:rPr>
                <w:rFonts w:ascii="Calibri" w:eastAsia="Calibri" w:hAnsi="Calibri" w:cs="Calibri"/>
                <w:b/>
                <w:color w:val="FF0000"/>
                <w:sz w:val="19"/>
                <w:szCs w:val="19"/>
              </w:rPr>
              <w:t>19.40%</w:t>
            </w:r>
          </w:p>
        </w:tc>
      </w:tr>
    </w:tbl>
    <w:p w14:paraId="793B2DE2" w14:textId="77777777" w:rsidR="00C06C43" w:rsidRDefault="00C06C43">
      <w:pPr>
        <w:widowControl w:val="0"/>
        <w:spacing w:before="2" w:line="240" w:lineRule="auto"/>
      </w:pPr>
    </w:p>
    <w:p w14:paraId="6E5C2C23" w14:textId="0DC95BF8" w:rsidR="00C06C43" w:rsidRDefault="00F56002">
      <w:pPr>
        <w:widowControl w:val="0"/>
        <w:spacing w:before="43" w:line="240" w:lineRule="auto"/>
        <w:rPr>
          <w:sz w:val="18"/>
          <w:szCs w:val="18"/>
        </w:rPr>
      </w:pPr>
      <w:r>
        <w:rPr>
          <w:sz w:val="18"/>
          <w:szCs w:val="18"/>
        </w:rPr>
        <w:t>*Note: The Baseline Levels represent the initial baselines for each metric regardless of adjustments made due to C</w:t>
      </w:r>
      <w:r w:rsidR="00A12251">
        <w:rPr>
          <w:sz w:val="18"/>
          <w:szCs w:val="18"/>
        </w:rPr>
        <w:t>OVID</w:t>
      </w:r>
      <w:r>
        <w:rPr>
          <w:sz w:val="18"/>
          <w:szCs w:val="18"/>
        </w:rPr>
        <w:t>-19.</w:t>
      </w:r>
    </w:p>
    <w:p w14:paraId="6116306D" w14:textId="77777777" w:rsidR="00C06C43" w:rsidRPr="006C4483" w:rsidRDefault="00F56002">
      <w:pPr>
        <w:rPr>
          <w:sz w:val="24"/>
          <w:szCs w:val="24"/>
        </w:rPr>
      </w:pPr>
      <w:r w:rsidRPr="006C4483">
        <w:rPr>
          <w:b/>
          <w:i/>
          <w:color w:val="FF0000"/>
          <w:sz w:val="24"/>
          <w:szCs w:val="24"/>
        </w:rPr>
        <w:lastRenderedPageBreak/>
        <w:t>Adjusted Performance Levels and Rationale in RED</w:t>
      </w:r>
    </w:p>
    <w:p w14:paraId="5465FC88" w14:textId="77777777" w:rsidR="006C4483" w:rsidRDefault="006C4483" w:rsidP="006C4483">
      <w:pPr>
        <w:rPr>
          <w:i/>
          <w:color w:val="FF0000"/>
        </w:rPr>
      </w:pPr>
    </w:p>
    <w:p w14:paraId="2B4CAD3A" w14:textId="00D9E2E8" w:rsidR="00C06C43" w:rsidRPr="006C4483" w:rsidRDefault="00F56002" w:rsidP="006C4483">
      <w:pPr>
        <w:rPr>
          <w:i/>
          <w:color w:val="FF0000"/>
        </w:rPr>
      </w:pPr>
      <w:r w:rsidRPr="006C4483">
        <w:rPr>
          <w:i/>
          <w:color w:val="FF0000"/>
        </w:rPr>
        <w:t>Oregon experienced unprecedented challenges over the last year and a half that have significantly disrupted learning</w:t>
      </w:r>
      <w:r w:rsidR="00A12251">
        <w:rPr>
          <w:i/>
          <w:color w:val="FF0000"/>
        </w:rPr>
        <w:t>,</w:t>
      </w:r>
      <w:r w:rsidRPr="006C4483">
        <w:rPr>
          <w:i/>
          <w:color w:val="FF0000"/>
        </w:rPr>
        <w:t xml:space="preserve"> including COVID-19 and statewide fires. Due to these challenges, access to CTE and other learning experiences has been inconsistent</w:t>
      </w:r>
      <w:r w:rsidR="00A12251">
        <w:rPr>
          <w:i/>
          <w:color w:val="FF0000"/>
        </w:rPr>
        <w:t>;</w:t>
      </w:r>
      <w:r w:rsidRPr="006C4483">
        <w:rPr>
          <w:i/>
          <w:color w:val="FF0000"/>
        </w:rPr>
        <w:t xml:space="preserve"> as a result</w:t>
      </w:r>
      <w:r w:rsidR="00A12251">
        <w:rPr>
          <w:i/>
          <w:color w:val="FF0000"/>
        </w:rPr>
        <w:t>,</w:t>
      </w:r>
      <w:r w:rsidRPr="006C4483">
        <w:rPr>
          <w:i/>
          <w:color w:val="FF0000"/>
        </w:rPr>
        <w:t xml:space="preserve"> Oregon has adjusted the state determined performance targets accordingly.</w:t>
      </w:r>
    </w:p>
    <w:p w14:paraId="62D8E659" w14:textId="77777777" w:rsidR="006C4483" w:rsidRDefault="006C4483" w:rsidP="006C4483">
      <w:pPr>
        <w:rPr>
          <w:i/>
          <w:color w:val="FF0000"/>
        </w:rPr>
      </w:pPr>
    </w:p>
    <w:p w14:paraId="379E4590" w14:textId="766DC195" w:rsidR="00C06C43" w:rsidRPr="006C4483" w:rsidRDefault="00F56002" w:rsidP="006C4483">
      <w:pPr>
        <w:rPr>
          <w:i/>
          <w:color w:val="FF0000"/>
        </w:rPr>
      </w:pPr>
      <w:r w:rsidRPr="006C4483">
        <w:rPr>
          <w:i/>
          <w:color w:val="FF0000"/>
        </w:rPr>
        <w:t xml:space="preserve">The following steps were taken to ensure </w:t>
      </w:r>
      <w:r w:rsidR="00DF5432">
        <w:rPr>
          <w:i/>
          <w:color w:val="FF0000"/>
        </w:rPr>
        <w:t>community partner</w:t>
      </w:r>
      <w:r w:rsidR="00D41AED" w:rsidRPr="006C4483">
        <w:rPr>
          <w:i/>
          <w:color w:val="FF0000"/>
        </w:rPr>
        <w:t xml:space="preserve"> feedback and buy</w:t>
      </w:r>
      <w:r w:rsidR="00A12251">
        <w:rPr>
          <w:i/>
          <w:color w:val="FF0000"/>
        </w:rPr>
        <w:t>-</w:t>
      </w:r>
      <w:r w:rsidR="00D41AED" w:rsidRPr="006C4483">
        <w:rPr>
          <w:i/>
          <w:color w:val="FF0000"/>
        </w:rPr>
        <w:t>in</w:t>
      </w:r>
      <w:r w:rsidRPr="006C4483">
        <w:rPr>
          <w:i/>
          <w:color w:val="FF0000"/>
        </w:rPr>
        <w:t>:</w:t>
      </w:r>
    </w:p>
    <w:p w14:paraId="4DDF87B1" w14:textId="34AF62A1" w:rsidR="00C06C43" w:rsidRPr="006C4483" w:rsidRDefault="00F56002" w:rsidP="006C4483">
      <w:pPr>
        <w:numPr>
          <w:ilvl w:val="0"/>
          <w:numId w:val="1"/>
        </w:numPr>
        <w:rPr>
          <w:i/>
          <w:color w:val="FF0000"/>
        </w:rPr>
      </w:pPr>
      <w:r w:rsidRPr="006C4483">
        <w:rPr>
          <w:i/>
          <w:color w:val="FF0000"/>
        </w:rPr>
        <w:t xml:space="preserve">The Data and Accountability workgroup convened to address any questions or concerns they had. These </w:t>
      </w:r>
      <w:r w:rsidR="00DF5432">
        <w:rPr>
          <w:i/>
          <w:color w:val="FF0000"/>
        </w:rPr>
        <w:t>community partner</w:t>
      </w:r>
      <w:r w:rsidRPr="006C4483">
        <w:rPr>
          <w:i/>
          <w:color w:val="FF0000"/>
        </w:rPr>
        <w:t xml:space="preserve">s expressed gratitude for the adjustments and appreciated the understanding and flexibility provided by the proposed target adjustments. </w:t>
      </w:r>
    </w:p>
    <w:p w14:paraId="13657E1A" w14:textId="69E640E1" w:rsidR="00C06C43" w:rsidRPr="006C4483" w:rsidRDefault="00F56002" w:rsidP="006C4483">
      <w:pPr>
        <w:numPr>
          <w:ilvl w:val="0"/>
          <w:numId w:val="1"/>
        </w:numPr>
        <w:rPr>
          <w:i/>
          <w:color w:val="FF0000"/>
        </w:rPr>
      </w:pPr>
      <w:r w:rsidRPr="006C4483">
        <w:rPr>
          <w:i/>
          <w:color w:val="FF0000"/>
        </w:rPr>
        <w:t xml:space="preserve">An announcement was posted to the ODE website, and was emailed to </w:t>
      </w:r>
      <w:r w:rsidR="00DF5432">
        <w:rPr>
          <w:i/>
          <w:color w:val="FF0000"/>
        </w:rPr>
        <w:t>community partner</w:t>
      </w:r>
      <w:r w:rsidRPr="006C4483">
        <w:rPr>
          <w:i/>
          <w:color w:val="FF0000"/>
        </w:rPr>
        <w:t>s that were involved in the development of the original Oregon CTE State Plan.  The announcement stated the proposed changes and notification for the process to provide public comment.</w:t>
      </w:r>
    </w:p>
    <w:p w14:paraId="37A35508" w14:textId="73EEACD8" w:rsidR="00C06C43" w:rsidRPr="006C4483" w:rsidRDefault="00F56002" w:rsidP="006C4483">
      <w:pPr>
        <w:numPr>
          <w:ilvl w:val="0"/>
          <w:numId w:val="1"/>
        </w:numPr>
        <w:rPr>
          <w:i/>
          <w:color w:val="FF0000"/>
        </w:rPr>
      </w:pPr>
      <w:r w:rsidRPr="006C4483">
        <w:rPr>
          <w:i/>
          <w:color w:val="FF0000"/>
        </w:rPr>
        <w:t>At public meetings</w:t>
      </w:r>
      <w:r w:rsidR="00A12251">
        <w:rPr>
          <w:i/>
          <w:color w:val="FF0000"/>
        </w:rPr>
        <w:t>,</w:t>
      </w:r>
      <w:r w:rsidRPr="006C4483">
        <w:rPr>
          <w:i/>
          <w:color w:val="FF0000"/>
        </w:rPr>
        <w:t xml:space="preserve"> the new proposed target was discussed in order to gain public comment on our revised performance targets</w:t>
      </w:r>
      <w:r w:rsidR="00A12251">
        <w:rPr>
          <w:i/>
          <w:color w:val="FF0000"/>
        </w:rPr>
        <w:t>.</w:t>
      </w:r>
      <w:r w:rsidRPr="006C4483">
        <w:rPr>
          <w:i/>
          <w:color w:val="FF0000"/>
        </w:rPr>
        <w:t xml:space="preserve"> </w:t>
      </w:r>
    </w:p>
    <w:p w14:paraId="1001E67B" w14:textId="7CDF0A9F" w:rsidR="00C06C43" w:rsidRPr="006C4483" w:rsidRDefault="00F56002" w:rsidP="006C4483">
      <w:pPr>
        <w:numPr>
          <w:ilvl w:val="0"/>
          <w:numId w:val="1"/>
        </w:numPr>
        <w:rPr>
          <w:i/>
          <w:color w:val="FF0000"/>
        </w:rPr>
      </w:pPr>
      <w:r w:rsidRPr="006C4483">
        <w:rPr>
          <w:i/>
          <w:color w:val="FF0000"/>
        </w:rPr>
        <w:t xml:space="preserve">The Public Comment </w:t>
      </w:r>
      <w:r w:rsidR="002240A1">
        <w:rPr>
          <w:i/>
          <w:color w:val="FF0000"/>
        </w:rPr>
        <w:t>period was open from March 19-</w:t>
      </w:r>
      <w:r w:rsidRPr="006C4483">
        <w:rPr>
          <w:i/>
          <w:color w:val="FF0000"/>
        </w:rPr>
        <w:t xml:space="preserve">April 19, 2021. </w:t>
      </w:r>
    </w:p>
    <w:p w14:paraId="27B11B72" w14:textId="2EB0A098" w:rsidR="00C06C43" w:rsidRDefault="00F56002" w:rsidP="006C4483">
      <w:pPr>
        <w:numPr>
          <w:ilvl w:val="0"/>
          <w:numId w:val="1"/>
        </w:numPr>
        <w:rPr>
          <w:i/>
          <w:color w:val="FF0000"/>
        </w:rPr>
      </w:pPr>
      <w:r w:rsidRPr="006C4483">
        <w:rPr>
          <w:i/>
          <w:color w:val="FF0000"/>
        </w:rPr>
        <w:t xml:space="preserve">A Public Hearing </w:t>
      </w:r>
      <w:r w:rsidR="00A12251">
        <w:rPr>
          <w:i/>
          <w:color w:val="FF0000"/>
        </w:rPr>
        <w:t xml:space="preserve">was held </w:t>
      </w:r>
      <w:r w:rsidRPr="006C4483">
        <w:rPr>
          <w:i/>
          <w:color w:val="FF0000"/>
        </w:rPr>
        <w:t>on April 14, 2021</w:t>
      </w:r>
      <w:r w:rsidR="00A12251">
        <w:rPr>
          <w:i/>
          <w:color w:val="FF0000"/>
        </w:rPr>
        <w:t>,</w:t>
      </w:r>
      <w:r w:rsidR="002240A1">
        <w:rPr>
          <w:i/>
          <w:color w:val="FF0000"/>
        </w:rPr>
        <w:t xml:space="preserve"> from 3:00-</w:t>
      </w:r>
      <w:r w:rsidRPr="006C4483">
        <w:rPr>
          <w:i/>
          <w:color w:val="FF0000"/>
        </w:rPr>
        <w:t xml:space="preserve">4:00 PM. </w:t>
      </w:r>
      <w:r w:rsidR="000B053D">
        <w:rPr>
          <w:i/>
          <w:color w:val="FF0000"/>
        </w:rPr>
        <w:t>Neither</w:t>
      </w:r>
      <w:r w:rsidRPr="006C4483">
        <w:rPr>
          <w:i/>
          <w:color w:val="FF0000"/>
        </w:rPr>
        <w:t xml:space="preserve"> the public comment period </w:t>
      </w:r>
      <w:r w:rsidR="000B053D">
        <w:rPr>
          <w:i/>
          <w:color w:val="FF0000"/>
        </w:rPr>
        <w:t>nor</w:t>
      </w:r>
      <w:r w:rsidRPr="006C4483">
        <w:rPr>
          <w:i/>
          <w:color w:val="FF0000"/>
        </w:rPr>
        <w:t xml:space="preserve"> the hearin</w:t>
      </w:r>
      <w:r w:rsidR="000B053D">
        <w:rPr>
          <w:i/>
          <w:color w:val="FF0000"/>
        </w:rPr>
        <w:t>g yielded</w:t>
      </w:r>
      <w:r w:rsidR="005801C8" w:rsidRPr="006C4483">
        <w:rPr>
          <w:i/>
          <w:color w:val="FF0000"/>
        </w:rPr>
        <w:t xml:space="preserve"> further responses.</w:t>
      </w:r>
    </w:p>
    <w:p w14:paraId="1A311B89" w14:textId="77777777" w:rsidR="006C4483" w:rsidRPr="006C4483" w:rsidRDefault="006C4483" w:rsidP="006C4483">
      <w:pPr>
        <w:rPr>
          <w:i/>
          <w:color w:val="FF0000"/>
        </w:rPr>
      </w:pPr>
    </w:p>
    <w:p w14:paraId="5076B4A9" w14:textId="77777777" w:rsidR="00C06C43" w:rsidRPr="00791E16" w:rsidRDefault="00F56002" w:rsidP="009B2977">
      <w:pPr>
        <w:pStyle w:val="Heading2"/>
        <w:rPr>
          <w:color w:val="auto"/>
        </w:rPr>
      </w:pPr>
      <w:bookmarkStart w:id="1" w:name="_dnlr0390c9qk" w:colFirst="0" w:colLast="0"/>
      <w:bookmarkEnd w:id="1"/>
      <w:r w:rsidRPr="00791E16">
        <w:rPr>
          <w:color w:val="auto"/>
        </w:rPr>
        <w:t>Overview of Secondary Performance Indicators</w:t>
      </w:r>
    </w:p>
    <w:p w14:paraId="74FDA5D6" w14:textId="77777777" w:rsidR="00C06C43" w:rsidRDefault="00F56002" w:rsidP="000814E5">
      <w:pPr>
        <w:widowControl w:val="0"/>
        <w:spacing w:before="71"/>
      </w:pPr>
      <w:r>
        <w:rPr>
          <w:color w:val="231F20"/>
        </w:rPr>
        <w:t>Data collection and reporting has been part of CTE since 1998. Specific indicators have changed over time, but the importance of using data to inform decisions has been consistent. Both secondary and postsecondary institutions routinely report student data as a required component of their CTE programs. ODE and HECC report that data for statewide accountability and planning.</w:t>
      </w:r>
    </w:p>
    <w:p w14:paraId="41CFF8E8" w14:textId="77777777" w:rsidR="00C06C43" w:rsidRDefault="00C06C43" w:rsidP="000814E5">
      <w:pPr>
        <w:widowControl w:val="0"/>
        <w:rPr>
          <w:rFonts w:ascii="Calibri" w:eastAsia="Calibri" w:hAnsi="Calibri" w:cs="Calibri"/>
          <w:sz w:val="20"/>
          <w:szCs w:val="20"/>
        </w:rPr>
      </w:pPr>
    </w:p>
    <w:p w14:paraId="628CA0FD" w14:textId="2AB8AC8C" w:rsidR="00C06C43" w:rsidRDefault="00F56002" w:rsidP="000814E5">
      <w:pPr>
        <w:widowControl w:val="0"/>
        <w:spacing w:before="2"/>
      </w:pPr>
      <w:r>
        <w:t>Perkins V requires annual reporting of eight performance indicators at the secondary level. Five of the indicators are equivalent to what was required under Perkins IV. Extended Graduation Rate, Academic Proficiency in Science</w:t>
      </w:r>
      <w:r w:rsidR="009B25BC">
        <w:t>,</w:t>
      </w:r>
      <w:r>
        <w:t xml:space="preserve"> and Program Quality are new indicators under Perkins V. Technical Skill Attainment, an indicator under Perkins IV, is no longer required.</w:t>
      </w:r>
    </w:p>
    <w:p w14:paraId="4808F967" w14:textId="77777777" w:rsidR="00C06C43" w:rsidRDefault="00C06C43" w:rsidP="000814E5">
      <w:pPr>
        <w:widowControl w:val="0"/>
        <w:spacing w:before="2"/>
      </w:pPr>
    </w:p>
    <w:p w14:paraId="1B54C90D" w14:textId="232A8A0B" w:rsidR="00C06C43" w:rsidRDefault="00F56002" w:rsidP="000814E5">
      <w:pPr>
        <w:widowControl w:val="0"/>
        <w:spacing w:before="2"/>
      </w:pPr>
      <w:r>
        <w:t xml:space="preserve">This document includes the proposed indicator targets for the next four years. Targets reflect analysis of previous data, when available, factoring in a </w:t>
      </w:r>
      <w:r w:rsidR="00D67343">
        <w:t>change in the definition for a secondary CTE c</w:t>
      </w:r>
      <w:r>
        <w:t>oncentrator. As part of the federal requirements, Oregon does not have the option to change the performance indicators, but we may choose our targets.</w:t>
      </w:r>
    </w:p>
    <w:p w14:paraId="1EB1A907" w14:textId="77777777" w:rsidR="00C06C43" w:rsidRDefault="00C06C43">
      <w:pPr>
        <w:widowControl w:val="0"/>
        <w:spacing w:before="2" w:line="240" w:lineRule="auto"/>
      </w:pPr>
    </w:p>
    <w:p w14:paraId="20AE38F4" w14:textId="77777777" w:rsidR="00C06C43" w:rsidRDefault="00F56002" w:rsidP="00E101B7">
      <w:pPr>
        <w:pStyle w:val="Heading3"/>
      </w:pPr>
      <w:r>
        <w:t>Secondary CTE Concentrator</w:t>
      </w:r>
    </w:p>
    <w:p w14:paraId="56CBA016" w14:textId="77777777" w:rsidR="00C06C43" w:rsidRDefault="00F56002" w:rsidP="000814E5">
      <w:pPr>
        <w:widowControl w:val="0"/>
        <w:spacing w:before="2"/>
      </w:pPr>
      <w:r>
        <w:t>The Perkins V legislation defines a secondary CTE concentrator as a student who has taken at least two courses in a single CTE Program of Study. Oregon proposes the following operational definition:</w:t>
      </w:r>
    </w:p>
    <w:p w14:paraId="5CC955B7" w14:textId="77777777" w:rsidR="00C06C43" w:rsidRDefault="00C06C43" w:rsidP="000814E5">
      <w:pPr>
        <w:widowControl w:val="0"/>
        <w:spacing w:before="2"/>
      </w:pPr>
    </w:p>
    <w:p w14:paraId="32EA32A3" w14:textId="77777777" w:rsidR="00C06C43" w:rsidRDefault="00F56002" w:rsidP="000814E5">
      <w:pPr>
        <w:widowControl w:val="0"/>
        <w:spacing w:before="2"/>
        <w:rPr>
          <w:i/>
        </w:rPr>
      </w:pPr>
      <w:r>
        <w:rPr>
          <w:i/>
        </w:rPr>
        <w:t>A secondary CTE concentrator is a student who earns at least two credits in a single CTE Program of Study. One of those credits must be earned through a course or courses identified as intermediate or advanced.</w:t>
      </w:r>
      <w:r>
        <w:rPr>
          <w:i/>
          <w:vertAlign w:val="superscript"/>
        </w:rPr>
        <w:footnoteReference w:id="2"/>
      </w:r>
    </w:p>
    <w:p w14:paraId="5DA552EE" w14:textId="77777777" w:rsidR="00C06C43" w:rsidRDefault="00C06C43" w:rsidP="000814E5">
      <w:pPr>
        <w:widowControl w:val="0"/>
        <w:spacing w:before="2"/>
      </w:pPr>
    </w:p>
    <w:p w14:paraId="2A6B6BC0" w14:textId="7DA52A42" w:rsidR="00C06C43" w:rsidRDefault="00F56002" w:rsidP="000814E5">
      <w:pPr>
        <w:widowControl w:val="0"/>
        <w:spacing w:before="2"/>
      </w:pPr>
      <w:r>
        <w:t>This definition, recommended by a workgroup of employers and educators, uses the term “credits” as a proxy for courses to allow for parity in schools using different grading periods (e.g.</w:t>
      </w:r>
      <w:r w:rsidR="009B25BC">
        <w:t>,</w:t>
      </w:r>
      <w:r>
        <w:t xml:space="preserve"> trimester and semester). The definition significantly changes the student count in Perkins V as compared to Perkins IV by doubling the number of credits needed to become a concentrator from one to two. The number of secondary CTE concentrators using the new definition will decrease by 45 to 55 percent</w:t>
      </w:r>
      <w:r w:rsidR="009B25BC">
        <w:t>,</w:t>
      </w:r>
      <w:r>
        <w:t xml:space="preserve"> but will also reflect students who have more intentional participation in CTE, in line with congressional intent.</w:t>
      </w:r>
    </w:p>
    <w:p w14:paraId="76115ED1" w14:textId="77777777" w:rsidR="00C06C43" w:rsidRDefault="00C06C43" w:rsidP="000814E5">
      <w:pPr>
        <w:widowControl w:val="0"/>
        <w:spacing w:before="2"/>
      </w:pPr>
    </w:p>
    <w:p w14:paraId="136F6F5D" w14:textId="7AA0C282" w:rsidR="00C06C43" w:rsidRDefault="00F56002" w:rsidP="000814E5">
      <w:pPr>
        <w:widowControl w:val="0"/>
        <w:spacing w:before="2"/>
      </w:pPr>
      <w:r>
        <w:t>For the last four years, the number of credits contained within a CTE Program of Study has increased. The primary driver of the trend has been the Secondary Career Pathways incentive funding. To receive that funding, a program must have at least three credits available to students. Programs receive funding based on the number of students who earn at least three credits, making the Perkins V concentrator definition a solid intermediate measure. Research related to course-taking patterns in CTE demonstrates that an increased number of CTE credits earned by students in a single program increases the likelihood of graduation and future earnings. As a result of the incentive funds, about 93% of all approved programs have at least three credits.</w:t>
      </w:r>
    </w:p>
    <w:p w14:paraId="35100AF1" w14:textId="77777777" w:rsidR="00C06C43" w:rsidRDefault="00C06C43">
      <w:pPr>
        <w:widowControl w:val="0"/>
        <w:spacing w:before="2" w:line="240" w:lineRule="auto"/>
      </w:pPr>
    </w:p>
    <w:p w14:paraId="43809651" w14:textId="77777777" w:rsidR="00C06C43" w:rsidRDefault="00F56002" w:rsidP="00E101B7">
      <w:pPr>
        <w:pStyle w:val="Heading3"/>
      </w:pPr>
      <w:r>
        <w:t>Course-Level Descriptors</w:t>
      </w:r>
    </w:p>
    <w:p w14:paraId="3713884E" w14:textId="77777777" w:rsidR="00C06C43" w:rsidRDefault="00F56002" w:rsidP="000814E5">
      <w:pPr>
        <w:widowControl w:val="0"/>
        <w:spacing w:before="2"/>
      </w:pPr>
      <w:r>
        <w:t>The secondary CTE concentrator definition includes a course-level descriptor. The descriptor emphasizes the importance of creating a course sequence within a CTE Program of Study. National research has demonstrated the positive impact of CTE on student outcomes when taught through a sequence of courses rather than a number of loosely connected electives. Under Perkins V, course-level descriptors will be:</w:t>
      </w:r>
    </w:p>
    <w:p w14:paraId="0360DAE0" w14:textId="77777777" w:rsidR="00C06C43" w:rsidRDefault="00C06C43" w:rsidP="000814E5">
      <w:pPr>
        <w:widowControl w:val="0"/>
        <w:spacing w:before="2"/>
      </w:pPr>
    </w:p>
    <w:p w14:paraId="35B9823E" w14:textId="77777777" w:rsidR="00C06C43" w:rsidRDefault="00F56002" w:rsidP="000814E5">
      <w:pPr>
        <w:widowControl w:val="0"/>
        <w:numPr>
          <w:ilvl w:val="0"/>
          <w:numId w:val="2"/>
        </w:numPr>
        <w:spacing w:before="2"/>
      </w:pPr>
      <w:r>
        <w:t>Introductory Course – A course that focuses on raising career awareness and learning basic professional and technical skills associated with the CTE Program of Study. The course helps develop student interest rather than technical proficiency in a CTE Program of Study.</w:t>
      </w:r>
    </w:p>
    <w:p w14:paraId="28C64736" w14:textId="77777777" w:rsidR="00C06C43" w:rsidRDefault="00F56002" w:rsidP="000814E5">
      <w:pPr>
        <w:widowControl w:val="0"/>
        <w:numPr>
          <w:ilvl w:val="0"/>
          <w:numId w:val="2"/>
        </w:numPr>
      </w:pPr>
      <w:r>
        <w:t>Intermediate Course – A course that focuses on exploring careers and learning specific technical and professional skills. The course builds on basic skills and moves toward technical proficiency in preparation for a career.</w:t>
      </w:r>
    </w:p>
    <w:p w14:paraId="59A6AF6B" w14:textId="77777777" w:rsidR="00C06C43" w:rsidRDefault="00F56002" w:rsidP="000814E5">
      <w:pPr>
        <w:widowControl w:val="0"/>
        <w:numPr>
          <w:ilvl w:val="0"/>
          <w:numId w:val="2"/>
        </w:numPr>
      </w:pPr>
      <w:r>
        <w:t>Advanced Course – A course that focuses on preparing for a career and refining specific technical and professional skills. The course integrates multiple skills through project-based instruction and/or work-based learning. These courses focus on preparing students for entry-level work or postsecondary programs.</w:t>
      </w:r>
    </w:p>
    <w:p w14:paraId="6AA47CAD" w14:textId="4936343F" w:rsidR="00C06C43" w:rsidRDefault="00C06C43">
      <w:pPr>
        <w:widowControl w:val="0"/>
        <w:spacing w:before="2" w:line="240" w:lineRule="auto"/>
      </w:pPr>
    </w:p>
    <w:p w14:paraId="3F7F33BF" w14:textId="77777777" w:rsidR="000814E5" w:rsidRDefault="000814E5">
      <w:pPr>
        <w:widowControl w:val="0"/>
        <w:spacing w:before="2" w:line="240" w:lineRule="auto"/>
      </w:pPr>
    </w:p>
    <w:p w14:paraId="434FECC3" w14:textId="77777777" w:rsidR="00C06C43" w:rsidRDefault="00F56002" w:rsidP="00E101B7">
      <w:pPr>
        <w:pStyle w:val="Heading3"/>
      </w:pPr>
      <w:r>
        <w:t>Attention to Equity</w:t>
      </w:r>
    </w:p>
    <w:p w14:paraId="6C3ACE9A" w14:textId="4EEF6B2C" w:rsidR="00C06C43" w:rsidRDefault="00F56002" w:rsidP="000814E5">
      <w:pPr>
        <w:widowControl w:val="0"/>
        <w:spacing w:before="2"/>
      </w:pPr>
      <w:r>
        <w:t>Perkins V requires disaggregation of data to reveal any impact on different student groups. Initial data analysis indicated that reducing the number of students captured in the data had no significant impact on demographic distribution. Our statewide Perkins performance targets have the opportunity to provide information to local education entities to identify gaps that may exist for historically and currently marginalized students so these students can engage in CTE and benefit from career education training. Currently, at the state level CTE concentrators mirror the demographic distribution of all students. We do not see a significant change in demographics of CTE concentrators when we shift to a more rigorous definition.</w:t>
      </w:r>
    </w:p>
    <w:p w14:paraId="2714DB04" w14:textId="77777777" w:rsidR="00C06C43" w:rsidRDefault="00C06C43" w:rsidP="000814E5">
      <w:pPr>
        <w:widowControl w:val="0"/>
        <w:spacing w:before="2"/>
      </w:pPr>
    </w:p>
    <w:p w14:paraId="62EBC4AA" w14:textId="0F4DE55C" w:rsidR="00C06C43" w:rsidRDefault="00F56002" w:rsidP="000814E5">
      <w:pPr>
        <w:widowControl w:val="0"/>
        <w:spacing w:before="2"/>
      </w:pPr>
      <w:r>
        <w:t xml:space="preserve">The change in the secondary CTE concentrator definition has the potential to make it more difficult for students with disabilities and English learners who might have scheduling conflicts with other support courses to become CTE concentrators. The </w:t>
      </w:r>
      <w:r w:rsidR="000B053D">
        <w:t>state will need to ensure train</w:t>
      </w:r>
      <w:r>
        <w:t>ing and support for local education providers to create schedules and CTE courses that are accessible to all students, particularly those who have been historically excluded from quality career education opportunities.</w:t>
      </w:r>
    </w:p>
    <w:p w14:paraId="09E49F47" w14:textId="77777777" w:rsidR="00C06C43" w:rsidRDefault="00C06C43">
      <w:pPr>
        <w:widowControl w:val="0"/>
        <w:spacing w:before="2" w:line="240" w:lineRule="auto"/>
      </w:pPr>
    </w:p>
    <w:p w14:paraId="22BF2164" w14:textId="6648FC4B" w:rsidR="00C06C43" w:rsidRDefault="00F56002">
      <w:pPr>
        <w:widowControl w:val="0"/>
        <w:spacing w:before="2" w:line="240" w:lineRule="auto"/>
        <w:rPr>
          <w:b/>
        </w:rPr>
      </w:pPr>
      <w:r w:rsidRPr="00B45007">
        <w:rPr>
          <w:b/>
        </w:rPr>
        <w:t>Performance Indicators and Targets</w:t>
      </w:r>
    </w:p>
    <w:p w14:paraId="1903C987" w14:textId="77777777" w:rsidR="00B45007" w:rsidRPr="00B45007" w:rsidRDefault="00B45007">
      <w:pPr>
        <w:widowControl w:val="0"/>
        <w:spacing w:before="2" w:line="240" w:lineRule="auto"/>
        <w:rPr>
          <w:b/>
        </w:rPr>
      </w:pPr>
    </w:p>
    <w:p w14:paraId="1970AE74" w14:textId="349F3C2A" w:rsidR="00C06C43" w:rsidRDefault="00F56002" w:rsidP="000814E5">
      <w:pPr>
        <w:widowControl w:val="0"/>
        <w:spacing w:before="2"/>
      </w:pPr>
      <w:r>
        <w:t>Each of the performance indicators that follow includes</w:t>
      </w:r>
      <w:r w:rsidR="00814BE5">
        <w:t>:</w:t>
      </w:r>
    </w:p>
    <w:p w14:paraId="12E169AA" w14:textId="3ECB45B1" w:rsidR="00C06C43" w:rsidRDefault="00814BE5" w:rsidP="000814E5">
      <w:pPr>
        <w:widowControl w:val="0"/>
        <w:numPr>
          <w:ilvl w:val="0"/>
          <w:numId w:val="3"/>
        </w:numPr>
        <w:spacing w:before="2"/>
      </w:pPr>
      <w:r>
        <w:t>A</w:t>
      </w:r>
      <w:r w:rsidR="00435F05">
        <w:t xml:space="preserve"> </w:t>
      </w:r>
      <w:r w:rsidR="00F56002">
        <w:t>brief summary of the indicator</w:t>
      </w:r>
    </w:p>
    <w:p w14:paraId="6C9F6A35" w14:textId="131B485C" w:rsidR="00C06C43" w:rsidRDefault="00814BE5" w:rsidP="000814E5">
      <w:pPr>
        <w:widowControl w:val="0"/>
        <w:numPr>
          <w:ilvl w:val="0"/>
          <w:numId w:val="3"/>
        </w:numPr>
      </w:pPr>
      <w:r>
        <w:t>T</w:t>
      </w:r>
      <w:r w:rsidR="00435F05">
        <w:t xml:space="preserve">he </w:t>
      </w:r>
      <w:r w:rsidR="00F56002">
        <w:t>data definition of the numerator and denominator used to calculate the indicator</w:t>
      </w:r>
    </w:p>
    <w:p w14:paraId="3ABA7016" w14:textId="15FF01C5" w:rsidR="00C06C43" w:rsidRDefault="00814BE5" w:rsidP="000814E5">
      <w:pPr>
        <w:widowControl w:val="0"/>
        <w:numPr>
          <w:ilvl w:val="0"/>
          <w:numId w:val="3"/>
        </w:numPr>
      </w:pPr>
      <w:r>
        <w:t>T</w:t>
      </w:r>
      <w:r w:rsidR="00435F05">
        <w:t xml:space="preserve">he </w:t>
      </w:r>
      <w:r w:rsidR="00F56002">
        <w:t>proposed targets</w:t>
      </w:r>
    </w:p>
    <w:p w14:paraId="1D6AC726" w14:textId="240A886E" w:rsidR="00C06C43" w:rsidRDefault="00814BE5" w:rsidP="000814E5">
      <w:pPr>
        <w:widowControl w:val="0"/>
        <w:numPr>
          <w:ilvl w:val="0"/>
          <w:numId w:val="3"/>
        </w:numPr>
      </w:pPr>
      <w:r>
        <w:t>A</w:t>
      </w:r>
      <w:r w:rsidR="00435F05">
        <w:t xml:space="preserve"> </w:t>
      </w:r>
      <w:r w:rsidR="00F56002">
        <w:t>r</w:t>
      </w:r>
      <w:r>
        <w:t>ationale for the chosen targets</w:t>
      </w:r>
    </w:p>
    <w:p w14:paraId="2466B767" w14:textId="77777777" w:rsidR="00C06C43" w:rsidRPr="00791E16" w:rsidRDefault="00C06C43">
      <w:pPr>
        <w:widowControl w:val="0"/>
        <w:spacing w:before="2" w:line="240" w:lineRule="auto"/>
      </w:pPr>
    </w:p>
    <w:p w14:paraId="13969F8C" w14:textId="77777777" w:rsidR="00C06C43" w:rsidRPr="00791E16" w:rsidRDefault="00F56002" w:rsidP="009B2977">
      <w:pPr>
        <w:pStyle w:val="Heading2"/>
        <w:rPr>
          <w:color w:val="auto"/>
        </w:rPr>
      </w:pPr>
      <w:r w:rsidRPr="00791E16">
        <w:rPr>
          <w:color w:val="auto"/>
        </w:rPr>
        <w:t>1S1: Four-Year Graduation Rate</w:t>
      </w:r>
    </w:p>
    <w:p w14:paraId="14736905" w14:textId="67CBD36D" w:rsidR="00C06C43" w:rsidRDefault="00F56002" w:rsidP="000814E5">
      <w:pPr>
        <w:widowControl w:val="0"/>
        <w:spacing w:before="2"/>
      </w:pPr>
      <w:r w:rsidRPr="000F5E8F">
        <w:rPr>
          <w:b/>
        </w:rPr>
        <w:t>The percentage of secondary CTE concentrators who graduate within four years</w:t>
      </w:r>
      <w:r w:rsidR="00E01360">
        <w:t>—</w:t>
      </w:r>
      <w:r>
        <w:t>This indicator uses the same definition for a high school graduate as the one used to determine overall state four-year graduation rates.</w:t>
      </w:r>
    </w:p>
    <w:p w14:paraId="2A90B045" w14:textId="77777777" w:rsidR="00C06C43" w:rsidRDefault="00C06C43" w:rsidP="000814E5">
      <w:pPr>
        <w:widowControl w:val="0"/>
        <w:spacing w:before="2"/>
      </w:pPr>
    </w:p>
    <w:p w14:paraId="0BC71D8A" w14:textId="77777777" w:rsidR="00C06C43" w:rsidRDefault="00F56002" w:rsidP="000814E5">
      <w:pPr>
        <w:widowControl w:val="0"/>
        <w:spacing w:before="2"/>
      </w:pPr>
      <w:r>
        <w:t>Numerator: # of CTE concentrators who graduate high school (regular diploma, modified diploma, or post-graduate scholars), as measured by the four-year adjusted cohort graduation rate.</w:t>
      </w:r>
    </w:p>
    <w:p w14:paraId="70C4DBC5" w14:textId="77777777" w:rsidR="00C06C43" w:rsidRDefault="00C06C43" w:rsidP="000814E5">
      <w:pPr>
        <w:widowControl w:val="0"/>
        <w:spacing w:before="2"/>
      </w:pPr>
    </w:p>
    <w:p w14:paraId="4B300DF3" w14:textId="6B423E89" w:rsidR="00C06C43" w:rsidRDefault="00F56002" w:rsidP="000814E5">
      <w:pPr>
        <w:widowControl w:val="0"/>
        <w:spacing w:before="2"/>
      </w:pPr>
      <w:r>
        <w:t>Denominator: # of CTE concentrators in the state adjusted four-year cohort in the reporting year. The adjusted four-year cohort includes students who were first enrolled in high school four years prior to August of the reporting year</w:t>
      </w:r>
      <w:r w:rsidR="00E01360">
        <w:t>,</w:t>
      </w:r>
      <w:r>
        <w:t xml:space="preserve"> plus those students who transf</w:t>
      </w:r>
      <w:r w:rsidR="00DF5432">
        <w:t>erred into the cohort within tho</w:t>
      </w:r>
      <w:r>
        <w:t>se four years and minus those students who transferred out of the cohort within those four years.</w:t>
      </w:r>
    </w:p>
    <w:p w14:paraId="0D940703" w14:textId="6CC198B5" w:rsidR="00C06C43" w:rsidRDefault="00C06C43">
      <w:pPr>
        <w:widowControl w:val="0"/>
        <w:spacing w:before="2" w:line="240" w:lineRule="auto"/>
      </w:pPr>
    </w:p>
    <w:p w14:paraId="5A0C50E9" w14:textId="511DCC00" w:rsidR="000814E5" w:rsidRDefault="000814E5">
      <w:pPr>
        <w:widowControl w:val="0"/>
        <w:spacing w:before="2" w:line="240" w:lineRule="auto"/>
      </w:pPr>
    </w:p>
    <w:p w14:paraId="7F280173" w14:textId="1C03D65C" w:rsidR="000814E5" w:rsidRDefault="000814E5">
      <w:pPr>
        <w:widowControl w:val="0"/>
        <w:spacing w:before="2" w:line="240" w:lineRule="auto"/>
      </w:pPr>
    </w:p>
    <w:p w14:paraId="5A433667" w14:textId="244A54D7" w:rsidR="000814E5" w:rsidRDefault="000814E5">
      <w:pPr>
        <w:widowControl w:val="0"/>
        <w:spacing w:before="2" w:line="240" w:lineRule="auto"/>
      </w:pPr>
    </w:p>
    <w:p w14:paraId="52A57C78" w14:textId="77777777" w:rsidR="000814E5" w:rsidRDefault="000814E5">
      <w:pPr>
        <w:widowControl w:val="0"/>
        <w:spacing w:before="2" w:line="240" w:lineRule="auto"/>
      </w:pPr>
    </w:p>
    <w:p w14:paraId="02DDA881" w14:textId="77777777" w:rsidR="00C06C43" w:rsidRPr="005801C8" w:rsidRDefault="00F56002" w:rsidP="00E101B7">
      <w:pPr>
        <w:pStyle w:val="Heading3"/>
      </w:pPr>
      <w:r w:rsidRPr="005801C8">
        <w:t>Proposed Targets</w:t>
      </w:r>
    </w:p>
    <w:p w14:paraId="0C960900" w14:textId="77777777" w:rsidR="00C06C43" w:rsidRDefault="00C06C43">
      <w:pPr>
        <w:widowControl w:val="0"/>
        <w:spacing w:before="3" w:line="240" w:lineRule="auto"/>
        <w:rPr>
          <w:rFonts w:ascii="Calibri" w:eastAsia="Calibri" w:hAnsi="Calibri" w:cs="Calibri"/>
          <w:b/>
          <w:sz w:val="8"/>
          <w:szCs w:val="8"/>
        </w:rPr>
      </w:pPr>
    </w:p>
    <w:tbl>
      <w:tblPr>
        <w:tblStyle w:val="a0"/>
        <w:tblW w:w="4840" w:type="dxa"/>
        <w:tblInd w:w="215"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Look w:val="0000" w:firstRow="0" w:lastRow="0" w:firstColumn="0" w:lastColumn="0" w:noHBand="0" w:noVBand="0"/>
        <w:tblCaption w:val="Four-Year Graduation Rate Proposed Targets"/>
      </w:tblPr>
      <w:tblGrid>
        <w:gridCol w:w="2420"/>
        <w:gridCol w:w="2420"/>
      </w:tblGrid>
      <w:tr w:rsidR="00C06C43" w14:paraId="0A926D04" w14:textId="77777777" w:rsidTr="003006C6">
        <w:trPr>
          <w:trHeight w:val="682"/>
          <w:tblHeader/>
        </w:trPr>
        <w:tc>
          <w:tcPr>
            <w:tcW w:w="2420" w:type="dxa"/>
            <w:shd w:val="clear" w:color="auto" w:fill="1B75BC"/>
            <w:vAlign w:val="center"/>
          </w:tcPr>
          <w:p w14:paraId="2EAC29E4" w14:textId="573CA709" w:rsidR="00C06C43" w:rsidRPr="00A6001C" w:rsidRDefault="00F56002" w:rsidP="00A6001C">
            <w:pPr>
              <w:widowControl w:val="0"/>
              <w:spacing w:line="240" w:lineRule="auto"/>
              <w:jc w:val="center"/>
              <w:rPr>
                <w:rFonts w:ascii="Calibri" w:eastAsia="Calibri" w:hAnsi="Calibri" w:cs="Calibri"/>
                <w:b/>
                <w:sz w:val="24"/>
                <w:szCs w:val="24"/>
              </w:rPr>
            </w:pPr>
            <w:r w:rsidRPr="00A6001C">
              <w:rPr>
                <w:rFonts w:ascii="Calibri" w:eastAsia="Calibri" w:hAnsi="Calibri" w:cs="Calibri"/>
                <w:b/>
                <w:color w:val="FFFFFF"/>
                <w:sz w:val="24"/>
                <w:szCs w:val="24"/>
              </w:rPr>
              <w:t>School Year</w:t>
            </w:r>
          </w:p>
        </w:tc>
        <w:tc>
          <w:tcPr>
            <w:tcW w:w="2420" w:type="dxa"/>
            <w:shd w:val="clear" w:color="auto" w:fill="1B75BC"/>
            <w:vAlign w:val="center"/>
          </w:tcPr>
          <w:p w14:paraId="4CE50F8D" w14:textId="2A3B5740" w:rsidR="00C06C43" w:rsidRPr="00A6001C" w:rsidRDefault="00F56002" w:rsidP="00A6001C">
            <w:pPr>
              <w:widowControl w:val="0"/>
              <w:spacing w:line="240" w:lineRule="auto"/>
              <w:jc w:val="center"/>
              <w:rPr>
                <w:rFonts w:ascii="Calibri" w:eastAsia="Calibri" w:hAnsi="Calibri" w:cs="Calibri"/>
                <w:b/>
                <w:sz w:val="24"/>
                <w:szCs w:val="24"/>
              </w:rPr>
            </w:pPr>
            <w:r w:rsidRPr="00A6001C">
              <w:rPr>
                <w:rFonts w:ascii="Calibri" w:eastAsia="Calibri" w:hAnsi="Calibri" w:cs="Calibri"/>
                <w:b/>
                <w:color w:val="FFFFFF"/>
                <w:sz w:val="24"/>
                <w:szCs w:val="24"/>
              </w:rPr>
              <w:t>Target</w:t>
            </w:r>
          </w:p>
        </w:tc>
      </w:tr>
      <w:tr w:rsidR="00C06C43" w14:paraId="195CD299" w14:textId="77777777">
        <w:trPr>
          <w:trHeight w:val="307"/>
        </w:trPr>
        <w:tc>
          <w:tcPr>
            <w:tcW w:w="2420" w:type="dxa"/>
            <w:tcBorders>
              <w:left w:val="single" w:sz="6" w:space="0" w:color="929497"/>
              <w:bottom w:val="single" w:sz="6" w:space="0" w:color="929497"/>
              <w:right w:val="single" w:sz="6" w:space="0" w:color="929497"/>
            </w:tcBorders>
          </w:tcPr>
          <w:p w14:paraId="2E6CEF4C" w14:textId="77777777" w:rsidR="00C06C43" w:rsidRDefault="00F56002">
            <w:pPr>
              <w:widowControl w:val="0"/>
              <w:spacing w:before="44" w:line="240" w:lineRule="auto"/>
              <w:ind w:right="734"/>
              <w:jc w:val="right"/>
              <w:rPr>
                <w:rFonts w:ascii="Calibri" w:eastAsia="Calibri" w:hAnsi="Calibri" w:cs="Calibri"/>
                <w:sz w:val="19"/>
                <w:szCs w:val="19"/>
              </w:rPr>
            </w:pPr>
            <w:r>
              <w:rPr>
                <w:rFonts w:ascii="Calibri" w:eastAsia="Calibri" w:hAnsi="Calibri" w:cs="Calibri"/>
                <w:color w:val="231F20"/>
                <w:sz w:val="19"/>
                <w:szCs w:val="19"/>
              </w:rPr>
              <w:t>2019-2020</w:t>
            </w:r>
          </w:p>
        </w:tc>
        <w:tc>
          <w:tcPr>
            <w:tcW w:w="2420" w:type="dxa"/>
            <w:tcBorders>
              <w:left w:val="single" w:sz="6" w:space="0" w:color="929497"/>
              <w:bottom w:val="single" w:sz="6" w:space="0" w:color="929497"/>
              <w:right w:val="single" w:sz="6" w:space="0" w:color="929497"/>
            </w:tcBorders>
          </w:tcPr>
          <w:p w14:paraId="2424FCF8" w14:textId="77777777" w:rsidR="00C06C43" w:rsidRDefault="00F56002">
            <w:pPr>
              <w:widowControl w:val="0"/>
              <w:spacing w:before="44" w:line="240" w:lineRule="auto"/>
              <w:ind w:right="864"/>
              <w:jc w:val="right"/>
              <w:rPr>
                <w:rFonts w:ascii="Calibri" w:eastAsia="Calibri" w:hAnsi="Calibri" w:cs="Calibri"/>
                <w:color w:val="231F20"/>
                <w:sz w:val="19"/>
                <w:szCs w:val="19"/>
              </w:rPr>
            </w:pPr>
            <w:r>
              <w:rPr>
                <w:rFonts w:ascii="Calibri" w:eastAsia="Calibri" w:hAnsi="Calibri" w:cs="Calibri"/>
                <w:color w:val="231F20"/>
                <w:sz w:val="19"/>
                <w:szCs w:val="19"/>
              </w:rPr>
              <w:t>91.00%</w:t>
            </w:r>
          </w:p>
          <w:p w14:paraId="3A097F13" w14:textId="77777777" w:rsidR="00C06C43" w:rsidRDefault="00F56002">
            <w:pPr>
              <w:widowControl w:val="0"/>
              <w:spacing w:before="44" w:line="240" w:lineRule="auto"/>
              <w:ind w:right="864"/>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89.50%</w:t>
            </w:r>
          </w:p>
        </w:tc>
      </w:tr>
      <w:tr w:rsidR="00C06C43" w14:paraId="7F7AEB50" w14:textId="77777777">
        <w:trPr>
          <w:trHeight w:val="307"/>
        </w:trPr>
        <w:tc>
          <w:tcPr>
            <w:tcW w:w="2420" w:type="dxa"/>
            <w:tcBorders>
              <w:top w:val="single" w:sz="6" w:space="0" w:color="929497"/>
              <w:left w:val="single" w:sz="6" w:space="0" w:color="929497"/>
              <w:bottom w:val="single" w:sz="6" w:space="0" w:color="929497"/>
              <w:right w:val="single" w:sz="6" w:space="0" w:color="929497"/>
            </w:tcBorders>
          </w:tcPr>
          <w:p w14:paraId="1907F121" w14:textId="77777777" w:rsidR="00C06C43" w:rsidRDefault="00F56002">
            <w:pPr>
              <w:widowControl w:val="0"/>
              <w:spacing w:before="44" w:line="240" w:lineRule="auto"/>
              <w:ind w:right="734"/>
              <w:jc w:val="right"/>
              <w:rPr>
                <w:rFonts w:ascii="Calibri" w:eastAsia="Calibri" w:hAnsi="Calibri" w:cs="Calibri"/>
                <w:sz w:val="19"/>
                <w:szCs w:val="19"/>
              </w:rPr>
            </w:pPr>
            <w:r>
              <w:rPr>
                <w:rFonts w:ascii="Calibri" w:eastAsia="Calibri" w:hAnsi="Calibri" w:cs="Calibri"/>
                <w:color w:val="231F20"/>
                <w:sz w:val="19"/>
                <w:szCs w:val="19"/>
              </w:rPr>
              <w:t>2020-2021</w:t>
            </w:r>
          </w:p>
        </w:tc>
        <w:tc>
          <w:tcPr>
            <w:tcW w:w="2420" w:type="dxa"/>
            <w:tcBorders>
              <w:top w:val="single" w:sz="6" w:space="0" w:color="929497"/>
              <w:left w:val="single" w:sz="6" w:space="0" w:color="929497"/>
              <w:bottom w:val="single" w:sz="6" w:space="0" w:color="929497"/>
              <w:right w:val="single" w:sz="6" w:space="0" w:color="929497"/>
            </w:tcBorders>
          </w:tcPr>
          <w:p w14:paraId="60BA45A5" w14:textId="77777777" w:rsidR="00C06C43" w:rsidRDefault="00F56002">
            <w:pPr>
              <w:widowControl w:val="0"/>
              <w:spacing w:before="44" w:line="240" w:lineRule="auto"/>
              <w:ind w:right="864"/>
              <w:jc w:val="right"/>
              <w:rPr>
                <w:rFonts w:ascii="Calibri" w:eastAsia="Calibri" w:hAnsi="Calibri" w:cs="Calibri"/>
                <w:color w:val="231F20"/>
                <w:sz w:val="19"/>
                <w:szCs w:val="19"/>
              </w:rPr>
            </w:pPr>
            <w:r>
              <w:rPr>
                <w:rFonts w:ascii="Calibri" w:eastAsia="Calibri" w:hAnsi="Calibri" w:cs="Calibri"/>
                <w:color w:val="231F20"/>
                <w:sz w:val="19"/>
                <w:szCs w:val="19"/>
              </w:rPr>
              <w:t>91.50%</w:t>
            </w:r>
          </w:p>
          <w:p w14:paraId="650EAFCB" w14:textId="77777777" w:rsidR="00C06C43" w:rsidRDefault="00F56002">
            <w:pPr>
              <w:widowControl w:val="0"/>
              <w:spacing w:before="44" w:line="240" w:lineRule="auto"/>
              <w:ind w:right="864"/>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90.00%</w:t>
            </w:r>
          </w:p>
        </w:tc>
      </w:tr>
      <w:tr w:rsidR="00C06C43" w14:paraId="0795CD69" w14:textId="77777777">
        <w:trPr>
          <w:trHeight w:val="307"/>
        </w:trPr>
        <w:tc>
          <w:tcPr>
            <w:tcW w:w="2420" w:type="dxa"/>
            <w:tcBorders>
              <w:top w:val="single" w:sz="6" w:space="0" w:color="929497"/>
              <w:left w:val="single" w:sz="6" w:space="0" w:color="929497"/>
              <w:bottom w:val="single" w:sz="6" w:space="0" w:color="929497"/>
              <w:right w:val="single" w:sz="6" w:space="0" w:color="929497"/>
            </w:tcBorders>
          </w:tcPr>
          <w:p w14:paraId="29A263D6" w14:textId="77777777" w:rsidR="00C06C43" w:rsidRDefault="00F56002">
            <w:pPr>
              <w:widowControl w:val="0"/>
              <w:spacing w:before="44" w:line="240" w:lineRule="auto"/>
              <w:ind w:right="734"/>
              <w:jc w:val="right"/>
              <w:rPr>
                <w:rFonts w:ascii="Calibri" w:eastAsia="Calibri" w:hAnsi="Calibri" w:cs="Calibri"/>
                <w:sz w:val="19"/>
                <w:szCs w:val="19"/>
              </w:rPr>
            </w:pPr>
            <w:r>
              <w:rPr>
                <w:rFonts w:ascii="Calibri" w:eastAsia="Calibri" w:hAnsi="Calibri" w:cs="Calibri"/>
                <w:color w:val="231F20"/>
                <w:sz w:val="19"/>
                <w:szCs w:val="19"/>
              </w:rPr>
              <w:t>2021-2022</w:t>
            </w:r>
          </w:p>
        </w:tc>
        <w:tc>
          <w:tcPr>
            <w:tcW w:w="2420" w:type="dxa"/>
            <w:tcBorders>
              <w:top w:val="single" w:sz="6" w:space="0" w:color="929497"/>
              <w:left w:val="single" w:sz="6" w:space="0" w:color="929497"/>
              <w:bottom w:val="single" w:sz="6" w:space="0" w:color="929497"/>
              <w:right w:val="single" w:sz="6" w:space="0" w:color="929497"/>
            </w:tcBorders>
          </w:tcPr>
          <w:p w14:paraId="55DCC150" w14:textId="77777777" w:rsidR="00C06C43" w:rsidRDefault="00F56002">
            <w:pPr>
              <w:widowControl w:val="0"/>
              <w:spacing w:before="44" w:line="240" w:lineRule="auto"/>
              <w:ind w:right="864"/>
              <w:jc w:val="right"/>
              <w:rPr>
                <w:rFonts w:ascii="Calibri" w:eastAsia="Calibri" w:hAnsi="Calibri" w:cs="Calibri"/>
                <w:color w:val="231F20"/>
                <w:sz w:val="19"/>
                <w:szCs w:val="19"/>
              </w:rPr>
            </w:pPr>
            <w:r>
              <w:rPr>
                <w:rFonts w:ascii="Calibri" w:eastAsia="Calibri" w:hAnsi="Calibri" w:cs="Calibri"/>
                <w:color w:val="231F20"/>
                <w:sz w:val="19"/>
                <w:szCs w:val="19"/>
              </w:rPr>
              <w:t>92.00%</w:t>
            </w:r>
          </w:p>
          <w:p w14:paraId="10F0F93A" w14:textId="77777777" w:rsidR="00C06C43" w:rsidRDefault="00F56002">
            <w:pPr>
              <w:widowControl w:val="0"/>
              <w:spacing w:before="44" w:line="240" w:lineRule="auto"/>
              <w:ind w:right="864"/>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90.50%</w:t>
            </w:r>
          </w:p>
        </w:tc>
      </w:tr>
      <w:tr w:rsidR="00C06C43" w14:paraId="01E9F439" w14:textId="77777777">
        <w:trPr>
          <w:trHeight w:val="307"/>
        </w:trPr>
        <w:tc>
          <w:tcPr>
            <w:tcW w:w="2420" w:type="dxa"/>
            <w:tcBorders>
              <w:top w:val="single" w:sz="6" w:space="0" w:color="929497"/>
              <w:left w:val="single" w:sz="6" w:space="0" w:color="929497"/>
              <w:bottom w:val="single" w:sz="6" w:space="0" w:color="929497"/>
              <w:right w:val="single" w:sz="6" w:space="0" w:color="929497"/>
            </w:tcBorders>
          </w:tcPr>
          <w:p w14:paraId="18F5F67C" w14:textId="77777777" w:rsidR="00C06C43" w:rsidRDefault="00F56002">
            <w:pPr>
              <w:widowControl w:val="0"/>
              <w:spacing w:before="44" w:line="240" w:lineRule="auto"/>
              <w:ind w:right="734"/>
              <w:jc w:val="right"/>
              <w:rPr>
                <w:rFonts w:ascii="Calibri" w:eastAsia="Calibri" w:hAnsi="Calibri" w:cs="Calibri"/>
                <w:sz w:val="19"/>
                <w:szCs w:val="19"/>
              </w:rPr>
            </w:pPr>
            <w:r>
              <w:rPr>
                <w:rFonts w:ascii="Calibri" w:eastAsia="Calibri" w:hAnsi="Calibri" w:cs="Calibri"/>
                <w:color w:val="231F20"/>
                <w:sz w:val="19"/>
                <w:szCs w:val="19"/>
              </w:rPr>
              <w:t>2022-2023</w:t>
            </w:r>
          </w:p>
        </w:tc>
        <w:tc>
          <w:tcPr>
            <w:tcW w:w="2420" w:type="dxa"/>
            <w:tcBorders>
              <w:top w:val="single" w:sz="6" w:space="0" w:color="929497"/>
              <w:left w:val="single" w:sz="6" w:space="0" w:color="929497"/>
              <w:bottom w:val="single" w:sz="6" w:space="0" w:color="929497"/>
              <w:right w:val="single" w:sz="6" w:space="0" w:color="929497"/>
            </w:tcBorders>
          </w:tcPr>
          <w:p w14:paraId="2EFDB582" w14:textId="77777777" w:rsidR="00C06C43" w:rsidRDefault="00F56002">
            <w:pPr>
              <w:widowControl w:val="0"/>
              <w:spacing w:before="44" w:line="240" w:lineRule="auto"/>
              <w:ind w:right="864"/>
              <w:jc w:val="right"/>
              <w:rPr>
                <w:rFonts w:ascii="Calibri" w:eastAsia="Calibri" w:hAnsi="Calibri" w:cs="Calibri"/>
                <w:color w:val="231F20"/>
                <w:sz w:val="19"/>
                <w:szCs w:val="19"/>
              </w:rPr>
            </w:pPr>
            <w:r>
              <w:rPr>
                <w:rFonts w:ascii="Calibri" w:eastAsia="Calibri" w:hAnsi="Calibri" w:cs="Calibri"/>
                <w:color w:val="231F20"/>
                <w:sz w:val="19"/>
                <w:szCs w:val="19"/>
              </w:rPr>
              <w:t>92.50%</w:t>
            </w:r>
          </w:p>
          <w:p w14:paraId="56291A7C" w14:textId="77777777" w:rsidR="00C06C43" w:rsidRDefault="00F56002">
            <w:pPr>
              <w:widowControl w:val="0"/>
              <w:spacing w:before="44" w:line="240" w:lineRule="auto"/>
              <w:ind w:right="864"/>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91.00%</w:t>
            </w:r>
          </w:p>
        </w:tc>
      </w:tr>
    </w:tbl>
    <w:p w14:paraId="074AD4C6" w14:textId="11206609" w:rsidR="00C06C43" w:rsidRDefault="00C06C43" w:rsidP="00BC51FC">
      <w:pPr>
        <w:widowControl w:val="0"/>
        <w:spacing w:before="74" w:line="240" w:lineRule="auto"/>
      </w:pPr>
    </w:p>
    <w:p w14:paraId="22F71DAB" w14:textId="77777777" w:rsidR="00BC51FC" w:rsidRDefault="00BC51FC" w:rsidP="00BC51FC">
      <w:pPr>
        <w:widowControl w:val="0"/>
        <w:spacing w:before="74" w:line="240" w:lineRule="auto"/>
      </w:pPr>
    </w:p>
    <w:p w14:paraId="5CD16DE5" w14:textId="77777777" w:rsidR="00C06C43" w:rsidRDefault="00F56002" w:rsidP="00E101B7">
      <w:pPr>
        <w:pStyle w:val="Heading3"/>
      </w:pPr>
      <w:r>
        <w:t>Rationale</w:t>
      </w:r>
    </w:p>
    <w:p w14:paraId="6971E357" w14:textId="77777777" w:rsidR="00C06C43" w:rsidRDefault="00F56002" w:rsidP="000814E5">
      <w:pPr>
        <w:widowControl w:val="0"/>
        <w:spacing w:before="74"/>
      </w:pPr>
      <w:r>
        <w:t>The four-year graduation rate for CTE concentrators has consistently exceeded the statewide average for all students. Historically, the four-year graduation rate has hovered around 90%. The impact of a change in the definition for a secondary CTE concentrator under Perkins V appears to be about a 1.5% increase. The expectation is that increases in graduation rate will slow as it approaches 100%. For these reasons the targets start near current levels with small increases each year.</w:t>
      </w:r>
    </w:p>
    <w:p w14:paraId="512B6682" w14:textId="77777777" w:rsidR="00C06C43" w:rsidRDefault="00C06C43" w:rsidP="000814E5">
      <w:pPr>
        <w:widowControl w:val="0"/>
        <w:spacing w:before="74"/>
        <w:rPr>
          <w:b/>
          <w:i/>
          <w:color w:val="FF0000"/>
        </w:rPr>
      </w:pPr>
    </w:p>
    <w:p w14:paraId="37F7D8A7" w14:textId="0E58E274" w:rsidR="00E101B7" w:rsidRDefault="00F56002" w:rsidP="000814E5">
      <w:pPr>
        <w:widowControl w:val="0"/>
        <w:spacing w:before="74"/>
        <w:rPr>
          <w:b/>
          <w:i/>
          <w:color w:val="FF0000"/>
        </w:rPr>
      </w:pPr>
      <w:r>
        <w:rPr>
          <w:b/>
          <w:i/>
          <w:color w:val="FF0000"/>
        </w:rPr>
        <w:t>Rationale for adjusted targets: Oregon anticipates CTE concentrators to continue to graduate at high rates; however, due to disruptions in Oregon’s education system there may be a slight reduction.</w:t>
      </w:r>
    </w:p>
    <w:p w14:paraId="21FB52C8" w14:textId="77777777" w:rsidR="00C06C43" w:rsidRDefault="00C06C43">
      <w:pPr>
        <w:widowControl w:val="0"/>
        <w:spacing w:before="74" w:line="240" w:lineRule="auto"/>
      </w:pPr>
    </w:p>
    <w:p w14:paraId="41A38079" w14:textId="77777777" w:rsidR="00C06C43" w:rsidRPr="00791E16" w:rsidRDefault="00F56002" w:rsidP="009B2977">
      <w:pPr>
        <w:pStyle w:val="Heading2"/>
        <w:rPr>
          <w:color w:val="auto"/>
        </w:rPr>
      </w:pPr>
      <w:r w:rsidRPr="00791E16">
        <w:rPr>
          <w:color w:val="auto"/>
        </w:rPr>
        <w:t>1S2: Extended Graduation Rate</w:t>
      </w:r>
    </w:p>
    <w:p w14:paraId="4CB67C7B" w14:textId="3213DD42" w:rsidR="00C06C43" w:rsidRDefault="00F56002" w:rsidP="000814E5">
      <w:r w:rsidRPr="000F5E8F">
        <w:rPr>
          <w:b/>
        </w:rPr>
        <w:t>The percentage of secondary CTE concentrators who graduate within five years</w:t>
      </w:r>
      <w:r w:rsidR="00E01360">
        <w:t>—</w:t>
      </w:r>
      <w:r>
        <w:t>This indicator uses the same definition for a high school graduate as the one used to determine overall state five-year graduation rates.</w:t>
      </w:r>
    </w:p>
    <w:p w14:paraId="22C5F9BA" w14:textId="77777777" w:rsidR="009B2977" w:rsidRDefault="009B2977" w:rsidP="000814E5"/>
    <w:p w14:paraId="0FD25640" w14:textId="77777777" w:rsidR="00C06C43" w:rsidRDefault="00F56002" w:rsidP="000814E5">
      <w:r>
        <w:t>Numerator: # of CTE concentrators who graduate high school (regular diploma, modified diploma, or post-graduate scholars), as measured by the five-year adjusted cohort graduation rate</w:t>
      </w:r>
    </w:p>
    <w:p w14:paraId="13438761" w14:textId="78D9D7FB" w:rsidR="00C06C43" w:rsidRDefault="00C06C43" w:rsidP="000814E5"/>
    <w:p w14:paraId="20AD5B92" w14:textId="419A6CC6" w:rsidR="00C06C43" w:rsidRDefault="00F56002" w:rsidP="000814E5">
      <w:r>
        <w:t>Denominator: # of CTE concentrators in the state adjusted five-year cohort in the reporting year. The adjusted five-year cohort includes students who were first enrolled in high school five years prior to August of the reporting year</w:t>
      </w:r>
      <w:r w:rsidR="00E01360">
        <w:t>,</w:t>
      </w:r>
      <w:r>
        <w:t xml:space="preserve"> plus those students who transf</w:t>
      </w:r>
      <w:r w:rsidR="00DF5432">
        <w:t>erred into the cohort within tho</w:t>
      </w:r>
      <w:r>
        <w:t>se five years and minus those students who transferred out of the cohort within those five years.</w:t>
      </w:r>
    </w:p>
    <w:p w14:paraId="359EC6E2" w14:textId="74F99E36" w:rsidR="00C06C43" w:rsidRDefault="00C06C43">
      <w:pPr>
        <w:widowControl w:val="0"/>
        <w:spacing w:before="74" w:line="240" w:lineRule="auto"/>
      </w:pPr>
    </w:p>
    <w:p w14:paraId="2737762E" w14:textId="77777777" w:rsidR="000814E5" w:rsidRDefault="000814E5">
      <w:pPr>
        <w:widowControl w:val="0"/>
        <w:spacing w:before="74" w:line="240" w:lineRule="auto"/>
      </w:pPr>
    </w:p>
    <w:p w14:paraId="27409396" w14:textId="77777777" w:rsidR="00C06C43" w:rsidRDefault="00F56002" w:rsidP="00E101B7">
      <w:pPr>
        <w:pStyle w:val="Heading3"/>
      </w:pPr>
      <w:r>
        <w:t>Proposed Targets</w:t>
      </w:r>
    </w:p>
    <w:p w14:paraId="736A9FE8" w14:textId="77777777" w:rsidR="00C06C43" w:rsidRDefault="00C06C43">
      <w:pPr>
        <w:widowControl w:val="0"/>
        <w:spacing w:line="240" w:lineRule="auto"/>
      </w:pPr>
    </w:p>
    <w:tbl>
      <w:tblPr>
        <w:tblStyle w:val="a1"/>
        <w:tblW w:w="4840" w:type="dxa"/>
        <w:tblInd w:w="215"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Look w:val="0000" w:firstRow="0" w:lastRow="0" w:firstColumn="0" w:lastColumn="0" w:noHBand="0" w:noVBand="0"/>
        <w:tblCaption w:val="Extended Graduation Rate Proposed Targets"/>
      </w:tblPr>
      <w:tblGrid>
        <w:gridCol w:w="2420"/>
        <w:gridCol w:w="2420"/>
      </w:tblGrid>
      <w:tr w:rsidR="00C06C43" w14:paraId="5F02890A" w14:textId="77777777" w:rsidTr="003006C6">
        <w:trPr>
          <w:trHeight w:val="705"/>
          <w:tblHeader/>
        </w:trPr>
        <w:tc>
          <w:tcPr>
            <w:tcW w:w="2420" w:type="dxa"/>
            <w:shd w:val="clear" w:color="auto" w:fill="1B75BC"/>
            <w:vAlign w:val="center"/>
          </w:tcPr>
          <w:p w14:paraId="05AEFFA2" w14:textId="494A71E4" w:rsidR="00C06C43" w:rsidRPr="00BC51FC" w:rsidRDefault="00F56002" w:rsidP="00227166">
            <w:pPr>
              <w:widowControl w:val="0"/>
              <w:spacing w:line="240" w:lineRule="auto"/>
              <w:jc w:val="center"/>
              <w:rPr>
                <w:rFonts w:ascii="Calibri" w:eastAsia="Calibri" w:hAnsi="Calibri" w:cs="Calibri"/>
                <w:b/>
                <w:sz w:val="24"/>
                <w:szCs w:val="24"/>
              </w:rPr>
            </w:pPr>
            <w:r w:rsidRPr="00BC51FC">
              <w:rPr>
                <w:rFonts w:ascii="Calibri" w:eastAsia="Calibri" w:hAnsi="Calibri" w:cs="Calibri"/>
                <w:b/>
                <w:color w:val="FFFFFF"/>
                <w:sz w:val="24"/>
                <w:szCs w:val="24"/>
              </w:rPr>
              <w:t>School Year</w:t>
            </w:r>
          </w:p>
        </w:tc>
        <w:tc>
          <w:tcPr>
            <w:tcW w:w="2420" w:type="dxa"/>
            <w:shd w:val="clear" w:color="auto" w:fill="1B75BC"/>
            <w:vAlign w:val="center"/>
          </w:tcPr>
          <w:p w14:paraId="2591A20D" w14:textId="77777777" w:rsidR="00C06C43" w:rsidRPr="00BC51FC" w:rsidRDefault="00F56002" w:rsidP="00227166">
            <w:pPr>
              <w:widowControl w:val="0"/>
              <w:spacing w:line="240" w:lineRule="auto"/>
              <w:jc w:val="center"/>
              <w:rPr>
                <w:rFonts w:ascii="Calibri" w:eastAsia="Calibri" w:hAnsi="Calibri" w:cs="Calibri"/>
                <w:b/>
                <w:sz w:val="24"/>
                <w:szCs w:val="24"/>
              </w:rPr>
            </w:pPr>
            <w:r w:rsidRPr="00BC51FC">
              <w:rPr>
                <w:rFonts w:ascii="Calibri" w:eastAsia="Calibri" w:hAnsi="Calibri" w:cs="Calibri"/>
                <w:b/>
                <w:color w:val="FFFFFF"/>
                <w:sz w:val="24"/>
                <w:szCs w:val="24"/>
              </w:rPr>
              <w:t>Target</w:t>
            </w:r>
          </w:p>
        </w:tc>
      </w:tr>
      <w:tr w:rsidR="00C06C43" w14:paraId="28F9A2C0" w14:textId="77777777" w:rsidTr="00B20955">
        <w:trPr>
          <w:trHeight w:val="307"/>
        </w:trPr>
        <w:tc>
          <w:tcPr>
            <w:tcW w:w="2420" w:type="dxa"/>
            <w:tcBorders>
              <w:left w:val="single" w:sz="6" w:space="0" w:color="929497"/>
              <w:bottom w:val="single" w:sz="6" w:space="0" w:color="929497"/>
              <w:right w:val="single" w:sz="6" w:space="0" w:color="929497"/>
            </w:tcBorders>
            <w:shd w:val="clear" w:color="auto" w:fill="FFFFFF" w:themeFill="background1"/>
          </w:tcPr>
          <w:p w14:paraId="7F5026EF" w14:textId="77777777" w:rsidR="00C06C43" w:rsidRDefault="00F56002">
            <w:pPr>
              <w:widowControl w:val="0"/>
              <w:spacing w:before="44" w:line="240" w:lineRule="auto"/>
              <w:ind w:right="734"/>
              <w:jc w:val="right"/>
              <w:rPr>
                <w:rFonts w:ascii="Calibri" w:eastAsia="Calibri" w:hAnsi="Calibri" w:cs="Calibri"/>
                <w:sz w:val="19"/>
                <w:szCs w:val="19"/>
              </w:rPr>
            </w:pPr>
            <w:r>
              <w:rPr>
                <w:rFonts w:ascii="Calibri" w:eastAsia="Calibri" w:hAnsi="Calibri" w:cs="Calibri"/>
                <w:color w:val="231F20"/>
                <w:sz w:val="19"/>
                <w:szCs w:val="19"/>
              </w:rPr>
              <w:t>2019-2020</w:t>
            </w:r>
          </w:p>
        </w:tc>
        <w:tc>
          <w:tcPr>
            <w:tcW w:w="2420" w:type="dxa"/>
            <w:tcBorders>
              <w:left w:val="single" w:sz="6" w:space="0" w:color="929497"/>
              <w:bottom w:val="single" w:sz="6" w:space="0" w:color="929497"/>
              <w:right w:val="single" w:sz="6" w:space="0" w:color="929497"/>
            </w:tcBorders>
            <w:shd w:val="clear" w:color="auto" w:fill="FFFFFF" w:themeFill="background1"/>
          </w:tcPr>
          <w:p w14:paraId="40F2AB04" w14:textId="77777777" w:rsidR="00C06C43" w:rsidRDefault="00F56002">
            <w:pPr>
              <w:widowControl w:val="0"/>
              <w:spacing w:before="44" w:line="240" w:lineRule="auto"/>
              <w:ind w:right="864"/>
              <w:jc w:val="right"/>
              <w:rPr>
                <w:rFonts w:ascii="Calibri" w:eastAsia="Calibri" w:hAnsi="Calibri" w:cs="Calibri"/>
                <w:color w:val="231F20"/>
                <w:sz w:val="19"/>
                <w:szCs w:val="19"/>
              </w:rPr>
            </w:pPr>
            <w:r>
              <w:rPr>
                <w:rFonts w:ascii="Calibri" w:eastAsia="Calibri" w:hAnsi="Calibri" w:cs="Calibri"/>
                <w:color w:val="231F20"/>
                <w:sz w:val="19"/>
                <w:szCs w:val="19"/>
              </w:rPr>
              <w:t>92.00%</w:t>
            </w:r>
          </w:p>
          <w:p w14:paraId="38978C99" w14:textId="77777777" w:rsidR="00C06C43" w:rsidRDefault="00F56002">
            <w:pPr>
              <w:widowControl w:val="0"/>
              <w:spacing w:before="44" w:line="240" w:lineRule="auto"/>
              <w:ind w:right="864"/>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90.00%</w:t>
            </w:r>
          </w:p>
        </w:tc>
      </w:tr>
      <w:tr w:rsidR="00C06C43" w14:paraId="0CBB9BA1" w14:textId="77777777" w:rsidTr="00B20955">
        <w:trPr>
          <w:trHeight w:val="307"/>
        </w:trPr>
        <w:tc>
          <w:tcPr>
            <w:tcW w:w="2420"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0BE55913" w14:textId="77777777" w:rsidR="00C06C43" w:rsidRDefault="00F56002">
            <w:pPr>
              <w:widowControl w:val="0"/>
              <w:spacing w:before="44" w:line="240" w:lineRule="auto"/>
              <w:ind w:right="734"/>
              <w:jc w:val="right"/>
              <w:rPr>
                <w:rFonts w:ascii="Calibri" w:eastAsia="Calibri" w:hAnsi="Calibri" w:cs="Calibri"/>
                <w:sz w:val="19"/>
                <w:szCs w:val="19"/>
              </w:rPr>
            </w:pPr>
            <w:r>
              <w:rPr>
                <w:rFonts w:ascii="Calibri" w:eastAsia="Calibri" w:hAnsi="Calibri" w:cs="Calibri"/>
                <w:color w:val="231F20"/>
                <w:sz w:val="19"/>
                <w:szCs w:val="19"/>
              </w:rPr>
              <w:t>2020-2021</w:t>
            </w:r>
          </w:p>
        </w:tc>
        <w:tc>
          <w:tcPr>
            <w:tcW w:w="2420"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7896DFA7" w14:textId="77777777" w:rsidR="00C06C43" w:rsidRDefault="00F56002">
            <w:pPr>
              <w:widowControl w:val="0"/>
              <w:spacing w:before="44" w:line="240" w:lineRule="auto"/>
              <w:ind w:right="864"/>
              <w:jc w:val="right"/>
              <w:rPr>
                <w:rFonts w:ascii="Calibri" w:eastAsia="Calibri" w:hAnsi="Calibri" w:cs="Calibri"/>
                <w:color w:val="231F20"/>
                <w:sz w:val="19"/>
                <w:szCs w:val="19"/>
              </w:rPr>
            </w:pPr>
            <w:r>
              <w:rPr>
                <w:rFonts w:ascii="Calibri" w:eastAsia="Calibri" w:hAnsi="Calibri" w:cs="Calibri"/>
                <w:color w:val="231F20"/>
                <w:sz w:val="19"/>
                <w:szCs w:val="19"/>
              </w:rPr>
              <w:t>92.50%</w:t>
            </w:r>
          </w:p>
          <w:p w14:paraId="4F0EFAE2" w14:textId="77777777" w:rsidR="00C06C43" w:rsidRDefault="00F56002">
            <w:pPr>
              <w:widowControl w:val="0"/>
              <w:spacing w:before="44" w:line="240" w:lineRule="auto"/>
              <w:ind w:right="864"/>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90.50%</w:t>
            </w:r>
          </w:p>
        </w:tc>
      </w:tr>
      <w:tr w:rsidR="00C06C43" w14:paraId="64D66E88" w14:textId="77777777" w:rsidTr="00B20955">
        <w:trPr>
          <w:trHeight w:val="307"/>
        </w:trPr>
        <w:tc>
          <w:tcPr>
            <w:tcW w:w="2420"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144E15B4" w14:textId="77777777" w:rsidR="00C06C43" w:rsidRDefault="00F56002">
            <w:pPr>
              <w:widowControl w:val="0"/>
              <w:spacing w:before="44" w:line="240" w:lineRule="auto"/>
              <w:ind w:right="734"/>
              <w:jc w:val="right"/>
              <w:rPr>
                <w:rFonts w:ascii="Calibri" w:eastAsia="Calibri" w:hAnsi="Calibri" w:cs="Calibri"/>
                <w:sz w:val="19"/>
                <w:szCs w:val="19"/>
              </w:rPr>
            </w:pPr>
            <w:r>
              <w:rPr>
                <w:rFonts w:ascii="Calibri" w:eastAsia="Calibri" w:hAnsi="Calibri" w:cs="Calibri"/>
                <w:color w:val="231F20"/>
                <w:sz w:val="19"/>
                <w:szCs w:val="19"/>
              </w:rPr>
              <w:t>2021-2022</w:t>
            </w:r>
          </w:p>
        </w:tc>
        <w:tc>
          <w:tcPr>
            <w:tcW w:w="2420"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12A3664C" w14:textId="77777777" w:rsidR="00C06C43" w:rsidRDefault="00F56002">
            <w:pPr>
              <w:widowControl w:val="0"/>
              <w:spacing w:before="44" w:line="240" w:lineRule="auto"/>
              <w:ind w:right="864"/>
              <w:jc w:val="right"/>
              <w:rPr>
                <w:rFonts w:ascii="Calibri" w:eastAsia="Calibri" w:hAnsi="Calibri" w:cs="Calibri"/>
                <w:color w:val="231F20"/>
                <w:sz w:val="19"/>
                <w:szCs w:val="19"/>
              </w:rPr>
            </w:pPr>
            <w:r>
              <w:rPr>
                <w:rFonts w:ascii="Calibri" w:eastAsia="Calibri" w:hAnsi="Calibri" w:cs="Calibri"/>
                <w:color w:val="231F20"/>
                <w:sz w:val="19"/>
                <w:szCs w:val="19"/>
              </w:rPr>
              <w:t>93.00%</w:t>
            </w:r>
          </w:p>
          <w:p w14:paraId="2198252A" w14:textId="77777777" w:rsidR="00C06C43" w:rsidRDefault="00F56002">
            <w:pPr>
              <w:widowControl w:val="0"/>
              <w:spacing w:before="44" w:line="240" w:lineRule="auto"/>
              <w:ind w:right="864"/>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91.00%</w:t>
            </w:r>
          </w:p>
        </w:tc>
      </w:tr>
      <w:tr w:rsidR="00C06C43" w14:paraId="45CCB547" w14:textId="77777777" w:rsidTr="00B20955">
        <w:trPr>
          <w:trHeight w:val="305"/>
        </w:trPr>
        <w:tc>
          <w:tcPr>
            <w:tcW w:w="2420" w:type="dxa"/>
            <w:tcBorders>
              <w:top w:val="single" w:sz="6" w:space="0" w:color="929497"/>
              <w:left w:val="single" w:sz="6" w:space="0" w:color="929497"/>
              <w:bottom w:val="single" w:sz="8" w:space="0" w:color="1B75BC"/>
              <w:right w:val="single" w:sz="6" w:space="0" w:color="929497"/>
            </w:tcBorders>
            <w:shd w:val="clear" w:color="auto" w:fill="FFFFFF" w:themeFill="background1"/>
          </w:tcPr>
          <w:p w14:paraId="115B530B" w14:textId="77777777" w:rsidR="00C06C43" w:rsidRDefault="00F56002">
            <w:pPr>
              <w:widowControl w:val="0"/>
              <w:spacing w:before="44" w:line="240" w:lineRule="auto"/>
              <w:ind w:right="734"/>
              <w:jc w:val="right"/>
              <w:rPr>
                <w:rFonts w:ascii="Calibri" w:eastAsia="Calibri" w:hAnsi="Calibri" w:cs="Calibri"/>
                <w:sz w:val="19"/>
                <w:szCs w:val="19"/>
              </w:rPr>
            </w:pPr>
            <w:r>
              <w:rPr>
                <w:rFonts w:ascii="Calibri" w:eastAsia="Calibri" w:hAnsi="Calibri" w:cs="Calibri"/>
                <w:color w:val="231F20"/>
                <w:sz w:val="19"/>
                <w:szCs w:val="19"/>
              </w:rPr>
              <w:t>2022-2023</w:t>
            </w:r>
          </w:p>
        </w:tc>
        <w:tc>
          <w:tcPr>
            <w:tcW w:w="2420" w:type="dxa"/>
            <w:tcBorders>
              <w:top w:val="single" w:sz="6" w:space="0" w:color="929497"/>
              <w:left w:val="single" w:sz="6" w:space="0" w:color="929497"/>
              <w:bottom w:val="single" w:sz="8" w:space="0" w:color="1B75BC"/>
              <w:right w:val="single" w:sz="6" w:space="0" w:color="929497"/>
            </w:tcBorders>
            <w:shd w:val="clear" w:color="auto" w:fill="FFFFFF" w:themeFill="background1"/>
          </w:tcPr>
          <w:p w14:paraId="778D753B" w14:textId="77777777" w:rsidR="00C06C43" w:rsidRDefault="00F56002">
            <w:pPr>
              <w:widowControl w:val="0"/>
              <w:spacing w:before="44" w:line="240" w:lineRule="auto"/>
              <w:ind w:right="864"/>
              <w:jc w:val="right"/>
              <w:rPr>
                <w:rFonts w:ascii="Calibri" w:eastAsia="Calibri" w:hAnsi="Calibri" w:cs="Calibri"/>
                <w:color w:val="231F20"/>
                <w:sz w:val="19"/>
                <w:szCs w:val="19"/>
              </w:rPr>
            </w:pPr>
            <w:r>
              <w:rPr>
                <w:rFonts w:ascii="Calibri" w:eastAsia="Calibri" w:hAnsi="Calibri" w:cs="Calibri"/>
                <w:color w:val="231F20"/>
                <w:sz w:val="19"/>
                <w:szCs w:val="19"/>
              </w:rPr>
              <w:t>93.50%</w:t>
            </w:r>
          </w:p>
          <w:p w14:paraId="08D74708" w14:textId="77777777" w:rsidR="00C06C43" w:rsidRDefault="00F56002">
            <w:pPr>
              <w:widowControl w:val="0"/>
              <w:spacing w:before="44" w:line="240" w:lineRule="auto"/>
              <w:ind w:right="864"/>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91.50%</w:t>
            </w:r>
          </w:p>
        </w:tc>
      </w:tr>
    </w:tbl>
    <w:p w14:paraId="5DBB4CE4" w14:textId="77777777" w:rsidR="00C06C43" w:rsidRDefault="00C06C43" w:rsidP="009B2977">
      <w:pPr>
        <w:widowControl w:val="0"/>
        <w:spacing w:before="74" w:line="240" w:lineRule="auto"/>
      </w:pPr>
    </w:p>
    <w:p w14:paraId="7581BBDD" w14:textId="77777777" w:rsidR="00C06C43" w:rsidRDefault="00F56002" w:rsidP="00E101B7">
      <w:pPr>
        <w:pStyle w:val="Heading3"/>
      </w:pPr>
      <w:r>
        <w:t>Rationale</w:t>
      </w:r>
    </w:p>
    <w:p w14:paraId="0D1102DA" w14:textId="3F1BFBCD" w:rsidR="00C06C43" w:rsidRDefault="00F56002" w:rsidP="000814E5">
      <w:pPr>
        <w:widowControl w:val="0"/>
        <w:spacing w:before="74"/>
      </w:pPr>
      <w:r>
        <w:t>This is a new measure under Perkins V</w:t>
      </w:r>
      <w:r w:rsidR="00E01360">
        <w:t>;</w:t>
      </w:r>
      <w:r>
        <w:t xml:space="preserve"> however</w:t>
      </w:r>
      <w:r w:rsidR="00E01360">
        <w:t>,</w:t>
      </w:r>
      <w:r>
        <w:t xml:space="preserve"> it is reported as part of ESSA. This graduation rate for all students typically exceeds the four-year rate by about 1%. The proposed target for this indicator reflects that 1% increase.</w:t>
      </w:r>
    </w:p>
    <w:p w14:paraId="60A71885" w14:textId="77777777" w:rsidR="00C06C43" w:rsidRDefault="00C06C43" w:rsidP="000814E5">
      <w:pPr>
        <w:widowControl w:val="0"/>
        <w:spacing w:before="74"/>
      </w:pPr>
    </w:p>
    <w:p w14:paraId="0564906B" w14:textId="77777777" w:rsidR="00C06C43" w:rsidRDefault="00F56002" w:rsidP="000814E5">
      <w:pPr>
        <w:widowControl w:val="0"/>
        <w:spacing w:before="74"/>
        <w:rPr>
          <w:b/>
          <w:i/>
          <w:color w:val="FF0000"/>
        </w:rPr>
      </w:pPr>
      <w:r>
        <w:rPr>
          <w:b/>
          <w:i/>
          <w:color w:val="FF0000"/>
        </w:rPr>
        <w:t>Rationale for adjusted targets: Oregon anticipates CTE concentrators to continue to graduate at high rates; however, due to disruptions in Oregon’s education system there may be a slight reduction.</w:t>
      </w:r>
    </w:p>
    <w:p w14:paraId="7E051423" w14:textId="1D876EFA" w:rsidR="00C06C43" w:rsidRDefault="00C06C43">
      <w:pPr>
        <w:widowControl w:val="0"/>
        <w:spacing w:before="74" w:line="240" w:lineRule="auto"/>
      </w:pPr>
    </w:p>
    <w:p w14:paraId="6FB930B4" w14:textId="77777777" w:rsidR="00E101B7" w:rsidRDefault="00E101B7">
      <w:pPr>
        <w:widowControl w:val="0"/>
        <w:spacing w:before="74" w:line="240" w:lineRule="auto"/>
      </w:pPr>
    </w:p>
    <w:p w14:paraId="23E2768E" w14:textId="6C73F542" w:rsidR="00C06C43" w:rsidRPr="00791E16" w:rsidRDefault="00F56002" w:rsidP="009B2977">
      <w:pPr>
        <w:pStyle w:val="Heading2"/>
        <w:rPr>
          <w:color w:val="auto"/>
        </w:rPr>
      </w:pPr>
      <w:r w:rsidRPr="00791E16">
        <w:rPr>
          <w:color w:val="auto"/>
        </w:rPr>
        <w:t>2S1: A</w:t>
      </w:r>
      <w:r w:rsidR="00B45007" w:rsidRPr="00791E16">
        <w:rPr>
          <w:color w:val="auto"/>
        </w:rPr>
        <w:t>cademic Proficiency in Reading/</w:t>
      </w:r>
      <w:r w:rsidRPr="00791E16">
        <w:rPr>
          <w:color w:val="auto"/>
        </w:rPr>
        <w:t>Language Arts</w:t>
      </w:r>
    </w:p>
    <w:p w14:paraId="41EAF888" w14:textId="5A4682AB" w:rsidR="00C06C43" w:rsidRDefault="00F56002" w:rsidP="000814E5">
      <w:pPr>
        <w:widowControl w:val="0"/>
      </w:pPr>
      <w:r w:rsidRPr="000F5E8F">
        <w:rPr>
          <w:b/>
        </w:rPr>
        <w:t>The percentage of secondary CTE concentrators who demonstrate proficiency in reading/language arts as measured by the statewide assessment</w:t>
      </w:r>
      <w:r w:rsidR="002240A1" w:rsidRPr="00DF5432">
        <w:t>—</w:t>
      </w:r>
      <w:r>
        <w:t>This data is reported in the year that the student takes the assessment. In Oregon, statewide assessments are administered during the 11th grade.</w:t>
      </w:r>
      <w:r>
        <w:rPr>
          <w:vertAlign w:val="superscript"/>
        </w:rPr>
        <w:footnoteReference w:id="3"/>
      </w:r>
    </w:p>
    <w:p w14:paraId="6E4D562A" w14:textId="77777777" w:rsidR="00C06C43" w:rsidRDefault="00C06C43" w:rsidP="000814E5">
      <w:pPr>
        <w:widowControl w:val="0"/>
      </w:pPr>
    </w:p>
    <w:p w14:paraId="2ABB8E27" w14:textId="0ED0043E" w:rsidR="00C06C43" w:rsidRDefault="00F56002" w:rsidP="000814E5">
      <w:pPr>
        <w:widowControl w:val="0"/>
      </w:pPr>
      <w:r>
        <w:t xml:space="preserve">Numerator: # of CTE concentrators who have met the proficient or advanced level on Oregon’s </w:t>
      </w:r>
      <w:r>
        <w:rPr>
          <w:b/>
        </w:rPr>
        <w:t>reading/language arts</w:t>
      </w:r>
      <w:r>
        <w:t xml:space="preserve"> assessment administered under Section 111(b)(3) of the Elementary and Secondary Education Act (ESEA) as amended by the No Child Left Behind Act.</w:t>
      </w:r>
    </w:p>
    <w:p w14:paraId="5D3F6868" w14:textId="77777777" w:rsidR="009B2977" w:rsidRDefault="009B2977" w:rsidP="000814E5">
      <w:pPr>
        <w:widowControl w:val="0"/>
      </w:pPr>
    </w:p>
    <w:p w14:paraId="2A1AD76A" w14:textId="68590C0B" w:rsidR="00C06C43" w:rsidRDefault="00F56002" w:rsidP="000814E5">
      <w:pPr>
        <w:widowControl w:val="0"/>
        <w:rPr>
          <w:b/>
        </w:rPr>
      </w:pPr>
      <w:r>
        <w:t xml:space="preserve">Denominator: # of CTE concentrators who took the ESEA assessment in </w:t>
      </w:r>
      <w:r>
        <w:rPr>
          <w:b/>
        </w:rPr>
        <w:t>reading/language arts</w:t>
      </w:r>
      <w:r w:rsidR="009B2977">
        <w:rPr>
          <w:b/>
        </w:rPr>
        <w:t>.</w:t>
      </w:r>
    </w:p>
    <w:p w14:paraId="3B2FE979" w14:textId="5671A846" w:rsidR="009B2977" w:rsidRDefault="009B2977" w:rsidP="009B2977">
      <w:pPr>
        <w:widowControl w:val="0"/>
        <w:spacing w:line="240" w:lineRule="auto"/>
        <w:rPr>
          <w:b/>
        </w:rPr>
      </w:pPr>
    </w:p>
    <w:p w14:paraId="61517512" w14:textId="77777777" w:rsidR="000814E5" w:rsidRPr="009B2977" w:rsidRDefault="000814E5" w:rsidP="009B2977">
      <w:pPr>
        <w:widowControl w:val="0"/>
        <w:spacing w:line="240" w:lineRule="auto"/>
        <w:rPr>
          <w:b/>
        </w:rPr>
      </w:pPr>
    </w:p>
    <w:p w14:paraId="62C6CBF5" w14:textId="77777777" w:rsidR="00C06C43" w:rsidRDefault="00F56002" w:rsidP="00E101B7">
      <w:pPr>
        <w:pStyle w:val="Heading3"/>
      </w:pPr>
      <w:r>
        <w:t>Proposed Targets</w:t>
      </w:r>
    </w:p>
    <w:p w14:paraId="7F8B56A8" w14:textId="77777777" w:rsidR="00C06C43" w:rsidRDefault="00C06C43">
      <w:pPr>
        <w:widowControl w:val="0"/>
        <w:spacing w:before="3" w:line="240" w:lineRule="auto"/>
        <w:rPr>
          <w:rFonts w:ascii="Calibri" w:eastAsia="Calibri" w:hAnsi="Calibri" w:cs="Calibri"/>
          <w:b/>
          <w:sz w:val="8"/>
          <w:szCs w:val="8"/>
        </w:rPr>
      </w:pPr>
    </w:p>
    <w:tbl>
      <w:tblPr>
        <w:tblStyle w:val="a2"/>
        <w:tblW w:w="4840" w:type="dxa"/>
        <w:tblInd w:w="215"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Look w:val="0000" w:firstRow="0" w:lastRow="0" w:firstColumn="0" w:lastColumn="0" w:noHBand="0" w:noVBand="0"/>
        <w:tblCaption w:val="Academic Proficiency in Reading / Literature Proposed Targets"/>
      </w:tblPr>
      <w:tblGrid>
        <w:gridCol w:w="2420"/>
        <w:gridCol w:w="2420"/>
      </w:tblGrid>
      <w:tr w:rsidR="00C06C43" w14:paraId="3EA35E83" w14:textId="77777777" w:rsidTr="003006C6">
        <w:trPr>
          <w:trHeight w:val="705"/>
          <w:tblHeader/>
        </w:trPr>
        <w:tc>
          <w:tcPr>
            <w:tcW w:w="2420" w:type="dxa"/>
            <w:shd w:val="clear" w:color="auto" w:fill="1B75BC"/>
            <w:vAlign w:val="center"/>
          </w:tcPr>
          <w:p w14:paraId="51585998" w14:textId="1E1D2BB4" w:rsidR="00C06C43" w:rsidRPr="00F91153" w:rsidRDefault="00F56002" w:rsidP="00F91153">
            <w:pPr>
              <w:widowControl w:val="0"/>
              <w:spacing w:line="240" w:lineRule="auto"/>
              <w:jc w:val="center"/>
              <w:rPr>
                <w:rFonts w:ascii="Calibri" w:eastAsia="Calibri" w:hAnsi="Calibri" w:cs="Calibri"/>
                <w:b/>
                <w:sz w:val="24"/>
                <w:szCs w:val="24"/>
              </w:rPr>
            </w:pPr>
            <w:r w:rsidRPr="00F91153">
              <w:rPr>
                <w:rFonts w:ascii="Calibri" w:eastAsia="Calibri" w:hAnsi="Calibri" w:cs="Calibri"/>
                <w:b/>
                <w:color w:val="FFFFFF"/>
                <w:sz w:val="24"/>
                <w:szCs w:val="24"/>
              </w:rPr>
              <w:t>School Year</w:t>
            </w:r>
          </w:p>
        </w:tc>
        <w:tc>
          <w:tcPr>
            <w:tcW w:w="2420" w:type="dxa"/>
            <w:shd w:val="clear" w:color="auto" w:fill="1B75BC"/>
            <w:vAlign w:val="center"/>
          </w:tcPr>
          <w:p w14:paraId="4571ED24" w14:textId="77777777" w:rsidR="00C06C43" w:rsidRPr="00F91153" w:rsidRDefault="00F56002" w:rsidP="00F91153">
            <w:pPr>
              <w:widowControl w:val="0"/>
              <w:spacing w:line="240" w:lineRule="auto"/>
              <w:jc w:val="center"/>
              <w:rPr>
                <w:rFonts w:ascii="Calibri" w:eastAsia="Calibri" w:hAnsi="Calibri" w:cs="Calibri"/>
                <w:b/>
                <w:sz w:val="24"/>
                <w:szCs w:val="24"/>
              </w:rPr>
            </w:pPr>
            <w:r w:rsidRPr="00F91153">
              <w:rPr>
                <w:rFonts w:ascii="Calibri" w:eastAsia="Calibri" w:hAnsi="Calibri" w:cs="Calibri"/>
                <w:b/>
                <w:color w:val="FFFFFF"/>
                <w:sz w:val="24"/>
                <w:szCs w:val="24"/>
              </w:rPr>
              <w:t>Target</w:t>
            </w:r>
          </w:p>
        </w:tc>
      </w:tr>
      <w:tr w:rsidR="00C06C43" w14:paraId="3E38AB06" w14:textId="77777777" w:rsidTr="00B20955">
        <w:trPr>
          <w:trHeight w:val="307"/>
        </w:trPr>
        <w:tc>
          <w:tcPr>
            <w:tcW w:w="2420" w:type="dxa"/>
            <w:tcBorders>
              <w:left w:val="single" w:sz="6" w:space="0" w:color="929497"/>
              <w:bottom w:val="single" w:sz="6" w:space="0" w:color="929497"/>
              <w:right w:val="single" w:sz="6" w:space="0" w:color="929497"/>
            </w:tcBorders>
            <w:shd w:val="clear" w:color="auto" w:fill="FFFFFF" w:themeFill="background1"/>
          </w:tcPr>
          <w:p w14:paraId="1C6D98AA" w14:textId="77777777" w:rsidR="00C06C43" w:rsidRDefault="00F56002">
            <w:pPr>
              <w:widowControl w:val="0"/>
              <w:spacing w:before="44" w:line="240" w:lineRule="auto"/>
              <w:ind w:right="734"/>
              <w:jc w:val="right"/>
              <w:rPr>
                <w:rFonts w:ascii="Calibri" w:eastAsia="Calibri" w:hAnsi="Calibri" w:cs="Calibri"/>
                <w:sz w:val="19"/>
                <w:szCs w:val="19"/>
              </w:rPr>
            </w:pPr>
            <w:r>
              <w:rPr>
                <w:rFonts w:ascii="Calibri" w:eastAsia="Calibri" w:hAnsi="Calibri" w:cs="Calibri"/>
                <w:color w:val="231F20"/>
                <w:sz w:val="19"/>
                <w:szCs w:val="19"/>
              </w:rPr>
              <w:t>2019-2020</w:t>
            </w:r>
          </w:p>
        </w:tc>
        <w:tc>
          <w:tcPr>
            <w:tcW w:w="2420" w:type="dxa"/>
            <w:tcBorders>
              <w:left w:val="single" w:sz="6" w:space="0" w:color="929497"/>
              <w:bottom w:val="single" w:sz="6" w:space="0" w:color="929497"/>
              <w:right w:val="single" w:sz="6" w:space="0" w:color="929497"/>
            </w:tcBorders>
            <w:shd w:val="clear" w:color="auto" w:fill="FFFFFF" w:themeFill="background1"/>
          </w:tcPr>
          <w:p w14:paraId="338679C4" w14:textId="77777777" w:rsidR="00C06C43" w:rsidRDefault="00F56002">
            <w:pPr>
              <w:widowControl w:val="0"/>
              <w:spacing w:before="44" w:line="240" w:lineRule="auto"/>
              <w:ind w:right="864"/>
              <w:jc w:val="right"/>
              <w:rPr>
                <w:rFonts w:ascii="Calibri" w:eastAsia="Calibri" w:hAnsi="Calibri" w:cs="Calibri"/>
                <w:color w:val="231F20"/>
                <w:sz w:val="19"/>
                <w:szCs w:val="19"/>
              </w:rPr>
            </w:pPr>
            <w:r>
              <w:rPr>
                <w:rFonts w:ascii="Calibri" w:eastAsia="Calibri" w:hAnsi="Calibri" w:cs="Calibri"/>
                <w:color w:val="231F20"/>
                <w:sz w:val="19"/>
                <w:szCs w:val="19"/>
              </w:rPr>
              <w:t>80.00%</w:t>
            </w:r>
          </w:p>
          <w:p w14:paraId="48FA1D09" w14:textId="77777777" w:rsidR="00C06C43" w:rsidRDefault="00F56002">
            <w:pPr>
              <w:widowControl w:val="0"/>
              <w:spacing w:before="44" w:line="240" w:lineRule="auto"/>
              <w:ind w:right="864"/>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68.00%</w:t>
            </w:r>
          </w:p>
        </w:tc>
      </w:tr>
      <w:tr w:rsidR="00C06C43" w14:paraId="0A95556E" w14:textId="77777777" w:rsidTr="00B20955">
        <w:trPr>
          <w:trHeight w:val="307"/>
        </w:trPr>
        <w:tc>
          <w:tcPr>
            <w:tcW w:w="2420"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1F05ED55" w14:textId="77777777" w:rsidR="00C06C43" w:rsidRDefault="00F56002">
            <w:pPr>
              <w:widowControl w:val="0"/>
              <w:spacing w:before="44" w:line="240" w:lineRule="auto"/>
              <w:ind w:right="734"/>
              <w:jc w:val="right"/>
              <w:rPr>
                <w:rFonts w:ascii="Calibri" w:eastAsia="Calibri" w:hAnsi="Calibri" w:cs="Calibri"/>
                <w:sz w:val="19"/>
                <w:szCs w:val="19"/>
              </w:rPr>
            </w:pPr>
            <w:r>
              <w:rPr>
                <w:rFonts w:ascii="Calibri" w:eastAsia="Calibri" w:hAnsi="Calibri" w:cs="Calibri"/>
                <w:color w:val="231F20"/>
                <w:sz w:val="19"/>
                <w:szCs w:val="19"/>
              </w:rPr>
              <w:t>2020-2021</w:t>
            </w:r>
          </w:p>
        </w:tc>
        <w:tc>
          <w:tcPr>
            <w:tcW w:w="2420"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416E9BCA" w14:textId="77777777" w:rsidR="00C06C43" w:rsidRDefault="00F56002">
            <w:pPr>
              <w:widowControl w:val="0"/>
              <w:spacing w:before="44" w:line="240" w:lineRule="auto"/>
              <w:ind w:right="864"/>
              <w:jc w:val="right"/>
              <w:rPr>
                <w:rFonts w:ascii="Calibri" w:eastAsia="Calibri" w:hAnsi="Calibri" w:cs="Calibri"/>
                <w:color w:val="231F20"/>
                <w:sz w:val="19"/>
                <w:szCs w:val="19"/>
              </w:rPr>
            </w:pPr>
            <w:r>
              <w:rPr>
                <w:rFonts w:ascii="Calibri" w:eastAsia="Calibri" w:hAnsi="Calibri" w:cs="Calibri"/>
                <w:color w:val="231F20"/>
                <w:sz w:val="19"/>
                <w:szCs w:val="19"/>
              </w:rPr>
              <w:t>80.50%</w:t>
            </w:r>
          </w:p>
          <w:p w14:paraId="4B5B59EA" w14:textId="77777777" w:rsidR="00C06C43" w:rsidRDefault="00F56002">
            <w:pPr>
              <w:widowControl w:val="0"/>
              <w:spacing w:before="44" w:line="240" w:lineRule="auto"/>
              <w:ind w:right="864"/>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64.40%</w:t>
            </w:r>
          </w:p>
        </w:tc>
      </w:tr>
      <w:tr w:rsidR="00C06C43" w14:paraId="05700822" w14:textId="77777777" w:rsidTr="00B20955">
        <w:trPr>
          <w:trHeight w:val="307"/>
        </w:trPr>
        <w:tc>
          <w:tcPr>
            <w:tcW w:w="2420"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1DFB1443" w14:textId="77777777" w:rsidR="00C06C43" w:rsidRDefault="00F56002">
            <w:pPr>
              <w:widowControl w:val="0"/>
              <w:spacing w:before="44" w:line="240" w:lineRule="auto"/>
              <w:ind w:right="734"/>
              <w:jc w:val="right"/>
              <w:rPr>
                <w:rFonts w:ascii="Calibri" w:eastAsia="Calibri" w:hAnsi="Calibri" w:cs="Calibri"/>
                <w:sz w:val="19"/>
                <w:szCs w:val="19"/>
              </w:rPr>
            </w:pPr>
            <w:r>
              <w:rPr>
                <w:rFonts w:ascii="Calibri" w:eastAsia="Calibri" w:hAnsi="Calibri" w:cs="Calibri"/>
                <w:color w:val="231F20"/>
                <w:sz w:val="19"/>
                <w:szCs w:val="19"/>
              </w:rPr>
              <w:t>2021-2022</w:t>
            </w:r>
          </w:p>
        </w:tc>
        <w:tc>
          <w:tcPr>
            <w:tcW w:w="2420"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444503C4" w14:textId="77777777" w:rsidR="00C06C43" w:rsidRDefault="00F56002">
            <w:pPr>
              <w:widowControl w:val="0"/>
              <w:spacing w:before="44" w:line="240" w:lineRule="auto"/>
              <w:ind w:right="864"/>
              <w:jc w:val="right"/>
              <w:rPr>
                <w:rFonts w:ascii="Calibri" w:eastAsia="Calibri" w:hAnsi="Calibri" w:cs="Calibri"/>
                <w:color w:val="231F20"/>
                <w:sz w:val="19"/>
                <w:szCs w:val="19"/>
              </w:rPr>
            </w:pPr>
            <w:r>
              <w:rPr>
                <w:rFonts w:ascii="Calibri" w:eastAsia="Calibri" w:hAnsi="Calibri" w:cs="Calibri"/>
                <w:color w:val="231F20"/>
                <w:sz w:val="19"/>
                <w:szCs w:val="19"/>
              </w:rPr>
              <w:t>81.00%</w:t>
            </w:r>
          </w:p>
          <w:p w14:paraId="26AE3D3D" w14:textId="77777777" w:rsidR="00C06C43" w:rsidRDefault="00F56002">
            <w:pPr>
              <w:widowControl w:val="0"/>
              <w:spacing w:before="44" w:line="240" w:lineRule="auto"/>
              <w:ind w:right="864"/>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72.90%</w:t>
            </w:r>
          </w:p>
        </w:tc>
      </w:tr>
      <w:tr w:rsidR="00C06C43" w14:paraId="65BA89AB" w14:textId="77777777" w:rsidTr="00B20955">
        <w:trPr>
          <w:trHeight w:val="305"/>
        </w:trPr>
        <w:tc>
          <w:tcPr>
            <w:tcW w:w="2420" w:type="dxa"/>
            <w:tcBorders>
              <w:top w:val="single" w:sz="6" w:space="0" w:color="929497"/>
              <w:left w:val="single" w:sz="6" w:space="0" w:color="929497"/>
              <w:bottom w:val="single" w:sz="8" w:space="0" w:color="1B75BC"/>
              <w:right w:val="single" w:sz="6" w:space="0" w:color="929497"/>
            </w:tcBorders>
            <w:shd w:val="clear" w:color="auto" w:fill="FFFFFF" w:themeFill="background1"/>
          </w:tcPr>
          <w:p w14:paraId="35F4B1F4" w14:textId="77777777" w:rsidR="00C06C43" w:rsidRDefault="00F56002">
            <w:pPr>
              <w:widowControl w:val="0"/>
              <w:spacing w:before="44" w:line="240" w:lineRule="auto"/>
              <w:ind w:right="734"/>
              <w:jc w:val="right"/>
              <w:rPr>
                <w:rFonts w:ascii="Calibri" w:eastAsia="Calibri" w:hAnsi="Calibri" w:cs="Calibri"/>
                <w:sz w:val="19"/>
                <w:szCs w:val="19"/>
              </w:rPr>
            </w:pPr>
            <w:r>
              <w:rPr>
                <w:rFonts w:ascii="Calibri" w:eastAsia="Calibri" w:hAnsi="Calibri" w:cs="Calibri"/>
                <w:color w:val="231F20"/>
                <w:sz w:val="19"/>
                <w:szCs w:val="19"/>
              </w:rPr>
              <w:t>2022-2023</w:t>
            </w:r>
          </w:p>
        </w:tc>
        <w:tc>
          <w:tcPr>
            <w:tcW w:w="2420" w:type="dxa"/>
            <w:tcBorders>
              <w:top w:val="single" w:sz="6" w:space="0" w:color="929497"/>
              <w:left w:val="single" w:sz="6" w:space="0" w:color="929497"/>
              <w:bottom w:val="single" w:sz="8" w:space="0" w:color="1B75BC"/>
              <w:right w:val="single" w:sz="6" w:space="0" w:color="929497"/>
            </w:tcBorders>
            <w:shd w:val="clear" w:color="auto" w:fill="FFFFFF" w:themeFill="background1"/>
          </w:tcPr>
          <w:p w14:paraId="075BC0ED" w14:textId="77777777" w:rsidR="00C06C43" w:rsidRDefault="00F56002">
            <w:pPr>
              <w:widowControl w:val="0"/>
              <w:spacing w:before="44" w:line="240" w:lineRule="auto"/>
              <w:ind w:right="864"/>
              <w:jc w:val="right"/>
              <w:rPr>
                <w:rFonts w:ascii="Calibri" w:eastAsia="Calibri" w:hAnsi="Calibri" w:cs="Calibri"/>
                <w:color w:val="231F20"/>
                <w:sz w:val="19"/>
                <w:szCs w:val="19"/>
              </w:rPr>
            </w:pPr>
            <w:r>
              <w:rPr>
                <w:rFonts w:ascii="Calibri" w:eastAsia="Calibri" w:hAnsi="Calibri" w:cs="Calibri"/>
                <w:color w:val="231F20"/>
                <w:sz w:val="19"/>
                <w:szCs w:val="19"/>
              </w:rPr>
              <w:t>81.50%</w:t>
            </w:r>
          </w:p>
          <w:p w14:paraId="6604EB0F" w14:textId="77777777" w:rsidR="00C06C43" w:rsidRDefault="00F56002">
            <w:pPr>
              <w:widowControl w:val="0"/>
              <w:spacing w:before="44" w:line="240" w:lineRule="auto"/>
              <w:ind w:right="864"/>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77.43%</w:t>
            </w:r>
          </w:p>
        </w:tc>
      </w:tr>
    </w:tbl>
    <w:p w14:paraId="4040628D" w14:textId="77777777" w:rsidR="00C06C43" w:rsidRDefault="00C06C43">
      <w:pPr>
        <w:widowControl w:val="0"/>
        <w:spacing w:before="74" w:line="240" w:lineRule="auto"/>
      </w:pPr>
    </w:p>
    <w:p w14:paraId="0111979D" w14:textId="77777777" w:rsidR="00C06C43" w:rsidRDefault="00F56002" w:rsidP="00E101B7">
      <w:pPr>
        <w:pStyle w:val="Heading3"/>
      </w:pPr>
      <w:r>
        <w:t>Rationale</w:t>
      </w:r>
    </w:p>
    <w:p w14:paraId="1AF21417" w14:textId="3324820F" w:rsidR="00C06C43" w:rsidRDefault="00F56002" w:rsidP="000814E5">
      <w:pPr>
        <w:widowControl w:val="0"/>
        <w:spacing w:before="74"/>
      </w:pPr>
      <w:r>
        <w:t xml:space="preserve">The most recent data for this target </w:t>
      </w:r>
      <w:r w:rsidR="00D67343">
        <w:t>increases by 2.5% when the new secondary CTE c</w:t>
      </w:r>
      <w:r>
        <w:t>oncentrator definition is applied. However, over the last three years this indicator has decreased by approximately the same amount for both CTE concentrators and the general student population. In addition, Oregon is experiencing a reduction in the number of students who take the statewide assessment. Consequently, the proposed target starts at the same level used in Perkins IV</w:t>
      </w:r>
      <w:r w:rsidR="00863477">
        <w:t>,</w:t>
      </w:r>
      <w:r>
        <w:t xml:space="preserve"> increasing by 1.5 percentage points after four years.</w:t>
      </w:r>
    </w:p>
    <w:p w14:paraId="244C574F" w14:textId="32803FED" w:rsidR="00C06C43" w:rsidRDefault="00F56002" w:rsidP="000814E5">
      <w:pPr>
        <w:widowControl w:val="0"/>
        <w:spacing w:before="202"/>
        <w:rPr>
          <w:b/>
          <w:i/>
          <w:color w:val="FF0000"/>
        </w:rPr>
      </w:pPr>
      <w:r>
        <w:rPr>
          <w:b/>
          <w:i/>
          <w:color w:val="FF0000"/>
        </w:rPr>
        <w:t xml:space="preserve">Rationale for adjusted targets: These metrics are tied to state assessments.  Oregon received a waiver for the statewide assessments, and while learning continues, performance on these </w:t>
      </w:r>
      <w:r w:rsidR="009B2977">
        <w:rPr>
          <w:b/>
          <w:i/>
          <w:color w:val="FF0000"/>
        </w:rPr>
        <w:t>state assessments is uncertain.</w:t>
      </w:r>
    </w:p>
    <w:p w14:paraId="7D21467A" w14:textId="77777777" w:rsidR="009B2977" w:rsidRDefault="009B2977">
      <w:pPr>
        <w:widowControl w:val="0"/>
        <w:spacing w:before="202" w:line="240" w:lineRule="auto"/>
        <w:rPr>
          <w:b/>
          <w:i/>
          <w:color w:val="FF0000"/>
        </w:rPr>
      </w:pPr>
    </w:p>
    <w:p w14:paraId="1FBE476B" w14:textId="77777777" w:rsidR="00C06C43" w:rsidRDefault="00F56002" w:rsidP="009B2977">
      <w:pPr>
        <w:pStyle w:val="Heading2"/>
      </w:pPr>
      <w:r>
        <w:t>2S2: Academic Proficiency in Mathematics</w:t>
      </w:r>
    </w:p>
    <w:p w14:paraId="61C6A5EA" w14:textId="79384B28" w:rsidR="00C06C43" w:rsidRDefault="00F56002" w:rsidP="000814E5">
      <w:pPr>
        <w:widowControl w:val="0"/>
      </w:pPr>
      <w:r w:rsidRPr="000F5E8F">
        <w:rPr>
          <w:b/>
        </w:rPr>
        <w:t>The percentage of secondary CTE concentrators who demonstrate proficiency in mathematics as measured by the statewide assessment</w:t>
      </w:r>
      <w:r w:rsidR="00863477">
        <w:t>—</w:t>
      </w:r>
      <w:r>
        <w:t>This data is reported in the year that the student takes the assessment. In Oregon, statewide assessments are administered during the 11th grade.</w:t>
      </w:r>
    </w:p>
    <w:p w14:paraId="1CD7FE3E" w14:textId="77777777" w:rsidR="00C06C43" w:rsidRDefault="00C06C43" w:rsidP="000814E5">
      <w:pPr>
        <w:widowControl w:val="0"/>
      </w:pPr>
    </w:p>
    <w:p w14:paraId="25414A25" w14:textId="77777777" w:rsidR="00C06C43" w:rsidRDefault="00F56002" w:rsidP="000814E5">
      <w:pPr>
        <w:widowControl w:val="0"/>
      </w:pPr>
      <w:r>
        <w:t xml:space="preserve">Numerator: # of CTE concentrators who have met the proficient or advanced level on Oregon’s </w:t>
      </w:r>
      <w:r>
        <w:rPr>
          <w:b/>
        </w:rPr>
        <w:t>mathematics</w:t>
      </w:r>
      <w:r>
        <w:t xml:space="preserve"> assessment administered under Section 111(b)(3) of the Elementary and Secondary Education Act (ESEA) as amended by the No Child Left Behind Act.</w:t>
      </w:r>
    </w:p>
    <w:p w14:paraId="54C63B11" w14:textId="77777777" w:rsidR="00C06C43" w:rsidRDefault="00C06C43" w:rsidP="000814E5">
      <w:pPr>
        <w:widowControl w:val="0"/>
      </w:pPr>
    </w:p>
    <w:p w14:paraId="2805403B" w14:textId="00BE8A6F" w:rsidR="00C06C43" w:rsidRDefault="00F56002" w:rsidP="000814E5">
      <w:pPr>
        <w:widowControl w:val="0"/>
        <w:rPr>
          <w:b/>
        </w:rPr>
      </w:pPr>
      <w:r>
        <w:t xml:space="preserve">Denominator: # of CTE concentrators who took the ESEA assessment in </w:t>
      </w:r>
      <w:r>
        <w:rPr>
          <w:b/>
        </w:rPr>
        <w:t>mathematics</w:t>
      </w:r>
      <w:r w:rsidR="009B2977">
        <w:rPr>
          <w:b/>
        </w:rPr>
        <w:t>.</w:t>
      </w:r>
    </w:p>
    <w:p w14:paraId="28D1690A" w14:textId="77777777" w:rsidR="009B2977" w:rsidRPr="009B2977" w:rsidRDefault="009B2977" w:rsidP="009B2977">
      <w:pPr>
        <w:widowControl w:val="0"/>
        <w:spacing w:line="240" w:lineRule="auto"/>
        <w:rPr>
          <w:b/>
        </w:rPr>
      </w:pPr>
    </w:p>
    <w:p w14:paraId="3F925EF8" w14:textId="77777777" w:rsidR="000814E5" w:rsidRDefault="000814E5" w:rsidP="00E101B7">
      <w:pPr>
        <w:pStyle w:val="Heading3"/>
      </w:pPr>
    </w:p>
    <w:p w14:paraId="1B02F2FC" w14:textId="77777777" w:rsidR="000814E5" w:rsidRDefault="000814E5" w:rsidP="00E101B7">
      <w:pPr>
        <w:pStyle w:val="Heading3"/>
      </w:pPr>
    </w:p>
    <w:p w14:paraId="2716B520" w14:textId="77777777" w:rsidR="000814E5" w:rsidRDefault="000814E5" w:rsidP="00E101B7">
      <w:pPr>
        <w:pStyle w:val="Heading3"/>
      </w:pPr>
    </w:p>
    <w:p w14:paraId="2913835E" w14:textId="77777777" w:rsidR="000814E5" w:rsidRDefault="000814E5" w:rsidP="00E101B7">
      <w:pPr>
        <w:pStyle w:val="Heading3"/>
      </w:pPr>
    </w:p>
    <w:p w14:paraId="6BD982DB" w14:textId="77777777" w:rsidR="000814E5" w:rsidRDefault="000814E5" w:rsidP="00E101B7">
      <w:pPr>
        <w:pStyle w:val="Heading3"/>
      </w:pPr>
    </w:p>
    <w:p w14:paraId="6C7DCEF4" w14:textId="5C7411BE" w:rsidR="00C06C43" w:rsidRPr="00E101B7" w:rsidRDefault="00F56002" w:rsidP="00E101B7">
      <w:pPr>
        <w:pStyle w:val="Heading3"/>
      </w:pPr>
      <w:r w:rsidRPr="00E101B7">
        <w:t>Proposed Targets</w:t>
      </w:r>
    </w:p>
    <w:p w14:paraId="31795756" w14:textId="77777777" w:rsidR="00C06C43" w:rsidRDefault="00C06C43">
      <w:pPr>
        <w:widowControl w:val="0"/>
        <w:spacing w:before="3" w:line="240" w:lineRule="auto"/>
        <w:rPr>
          <w:rFonts w:ascii="Calibri" w:eastAsia="Calibri" w:hAnsi="Calibri" w:cs="Calibri"/>
          <w:b/>
          <w:sz w:val="8"/>
          <w:szCs w:val="8"/>
        </w:rPr>
      </w:pPr>
    </w:p>
    <w:tbl>
      <w:tblPr>
        <w:tblStyle w:val="a3"/>
        <w:tblW w:w="4848" w:type="dxa"/>
        <w:tblInd w:w="215"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Look w:val="0000" w:firstRow="0" w:lastRow="0" w:firstColumn="0" w:lastColumn="0" w:noHBand="0" w:noVBand="0"/>
        <w:tblCaption w:val="Academic Proficiency in Mathematics Proposed Targets"/>
      </w:tblPr>
      <w:tblGrid>
        <w:gridCol w:w="2424"/>
        <w:gridCol w:w="2424"/>
      </w:tblGrid>
      <w:tr w:rsidR="00C06C43" w14:paraId="07C407AA" w14:textId="77777777" w:rsidTr="003006C6">
        <w:trPr>
          <w:trHeight w:val="705"/>
          <w:tblHeader/>
        </w:trPr>
        <w:tc>
          <w:tcPr>
            <w:tcW w:w="2424" w:type="dxa"/>
            <w:shd w:val="clear" w:color="auto" w:fill="1B75BC"/>
            <w:vAlign w:val="center"/>
          </w:tcPr>
          <w:p w14:paraId="174C251A" w14:textId="349AD25C" w:rsidR="00C06C43" w:rsidRPr="00B20955" w:rsidRDefault="00F56002" w:rsidP="00B20955">
            <w:pPr>
              <w:widowControl w:val="0"/>
              <w:spacing w:line="240" w:lineRule="auto"/>
              <w:jc w:val="center"/>
              <w:rPr>
                <w:rFonts w:ascii="Calibri" w:eastAsia="Calibri" w:hAnsi="Calibri" w:cs="Calibri"/>
                <w:b/>
                <w:sz w:val="24"/>
                <w:szCs w:val="24"/>
              </w:rPr>
            </w:pPr>
            <w:r w:rsidRPr="00B20955">
              <w:rPr>
                <w:rFonts w:ascii="Calibri" w:eastAsia="Calibri" w:hAnsi="Calibri" w:cs="Calibri"/>
                <w:b/>
                <w:color w:val="FFFFFF"/>
                <w:sz w:val="24"/>
                <w:szCs w:val="24"/>
              </w:rPr>
              <w:t>School Year</w:t>
            </w:r>
          </w:p>
        </w:tc>
        <w:tc>
          <w:tcPr>
            <w:tcW w:w="2424" w:type="dxa"/>
            <w:shd w:val="clear" w:color="auto" w:fill="1B75BC"/>
            <w:vAlign w:val="center"/>
          </w:tcPr>
          <w:p w14:paraId="5F3823D8" w14:textId="77777777" w:rsidR="00C06C43" w:rsidRPr="00B20955" w:rsidRDefault="00F56002" w:rsidP="00B20955">
            <w:pPr>
              <w:widowControl w:val="0"/>
              <w:spacing w:line="240" w:lineRule="auto"/>
              <w:jc w:val="center"/>
              <w:rPr>
                <w:rFonts w:ascii="Calibri" w:eastAsia="Calibri" w:hAnsi="Calibri" w:cs="Calibri"/>
                <w:b/>
                <w:sz w:val="24"/>
                <w:szCs w:val="24"/>
              </w:rPr>
            </w:pPr>
            <w:r w:rsidRPr="00B20955">
              <w:rPr>
                <w:rFonts w:ascii="Calibri" w:eastAsia="Calibri" w:hAnsi="Calibri" w:cs="Calibri"/>
                <w:b/>
                <w:color w:val="FFFFFF"/>
                <w:sz w:val="24"/>
                <w:szCs w:val="24"/>
              </w:rPr>
              <w:t>Target</w:t>
            </w:r>
          </w:p>
        </w:tc>
      </w:tr>
      <w:tr w:rsidR="00C06C43" w14:paraId="3024E21E" w14:textId="77777777">
        <w:trPr>
          <w:trHeight w:val="307"/>
        </w:trPr>
        <w:tc>
          <w:tcPr>
            <w:tcW w:w="2424" w:type="dxa"/>
            <w:tcBorders>
              <w:left w:val="single" w:sz="6" w:space="0" w:color="929497"/>
              <w:bottom w:val="single" w:sz="6" w:space="0" w:color="929497"/>
              <w:right w:val="single" w:sz="6" w:space="0" w:color="929497"/>
            </w:tcBorders>
          </w:tcPr>
          <w:p w14:paraId="0666B158"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2019-2020</w:t>
            </w:r>
          </w:p>
        </w:tc>
        <w:tc>
          <w:tcPr>
            <w:tcW w:w="2424" w:type="dxa"/>
            <w:tcBorders>
              <w:left w:val="single" w:sz="6" w:space="0" w:color="929497"/>
              <w:bottom w:val="single" w:sz="6" w:space="0" w:color="929497"/>
              <w:right w:val="single" w:sz="6" w:space="0" w:color="929497"/>
            </w:tcBorders>
          </w:tcPr>
          <w:p w14:paraId="2CAE335E"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42.00%</w:t>
            </w:r>
          </w:p>
          <w:p w14:paraId="31F5720B" w14:textId="77777777" w:rsidR="00C06C43" w:rsidRDefault="00F56002">
            <w:pPr>
              <w:widowControl w:val="0"/>
              <w:spacing w:before="44" w:line="240" w:lineRule="auto"/>
              <w:ind w:right="866"/>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35.70%</w:t>
            </w:r>
          </w:p>
        </w:tc>
      </w:tr>
      <w:tr w:rsidR="00C06C43" w14:paraId="5395A967" w14:textId="77777777">
        <w:trPr>
          <w:trHeight w:val="307"/>
        </w:trPr>
        <w:tc>
          <w:tcPr>
            <w:tcW w:w="2424" w:type="dxa"/>
            <w:tcBorders>
              <w:top w:val="single" w:sz="6" w:space="0" w:color="929497"/>
              <w:left w:val="single" w:sz="6" w:space="0" w:color="929497"/>
              <w:bottom w:val="single" w:sz="6" w:space="0" w:color="929497"/>
              <w:right w:val="single" w:sz="6" w:space="0" w:color="929497"/>
            </w:tcBorders>
          </w:tcPr>
          <w:p w14:paraId="120375BD"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2020-2021</w:t>
            </w:r>
          </w:p>
        </w:tc>
        <w:tc>
          <w:tcPr>
            <w:tcW w:w="2424" w:type="dxa"/>
            <w:tcBorders>
              <w:top w:val="single" w:sz="6" w:space="0" w:color="929497"/>
              <w:left w:val="single" w:sz="6" w:space="0" w:color="929497"/>
              <w:bottom w:val="single" w:sz="6" w:space="0" w:color="929497"/>
              <w:right w:val="single" w:sz="6" w:space="0" w:color="929497"/>
            </w:tcBorders>
          </w:tcPr>
          <w:p w14:paraId="29C88929"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43.00%</w:t>
            </w:r>
          </w:p>
          <w:p w14:paraId="0D42B7E6" w14:textId="77777777" w:rsidR="00C06C43" w:rsidRDefault="00F56002">
            <w:pPr>
              <w:widowControl w:val="0"/>
              <w:spacing w:before="44" w:line="240" w:lineRule="auto"/>
              <w:ind w:right="866"/>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34.40%</w:t>
            </w:r>
          </w:p>
        </w:tc>
      </w:tr>
      <w:tr w:rsidR="00C06C43" w14:paraId="4293EED6" w14:textId="77777777">
        <w:trPr>
          <w:trHeight w:val="307"/>
        </w:trPr>
        <w:tc>
          <w:tcPr>
            <w:tcW w:w="2424" w:type="dxa"/>
            <w:tcBorders>
              <w:top w:val="single" w:sz="6" w:space="0" w:color="929497"/>
              <w:left w:val="single" w:sz="6" w:space="0" w:color="929497"/>
              <w:bottom w:val="single" w:sz="6" w:space="0" w:color="929497"/>
              <w:right w:val="single" w:sz="6" w:space="0" w:color="929497"/>
            </w:tcBorders>
          </w:tcPr>
          <w:p w14:paraId="2F90ACC2"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2021-2022</w:t>
            </w:r>
          </w:p>
        </w:tc>
        <w:tc>
          <w:tcPr>
            <w:tcW w:w="2424" w:type="dxa"/>
            <w:tcBorders>
              <w:top w:val="single" w:sz="6" w:space="0" w:color="929497"/>
              <w:left w:val="single" w:sz="6" w:space="0" w:color="929497"/>
              <w:bottom w:val="single" w:sz="6" w:space="0" w:color="929497"/>
              <w:right w:val="single" w:sz="6" w:space="0" w:color="929497"/>
            </w:tcBorders>
          </w:tcPr>
          <w:p w14:paraId="5C406E3C"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44.00%</w:t>
            </w:r>
          </w:p>
          <w:p w14:paraId="2ED1D2E2" w14:textId="77777777" w:rsidR="00C06C43" w:rsidRDefault="00F56002">
            <w:pPr>
              <w:widowControl w:val="0"/>
              <w:spacing w:before="44" w:line="240" w:lineRule="auto"/>
              <w:ind w:right="866"/>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39.60%</w:t>
            </w:r>
          </w:p>
        </w:tc>
      </w:tr>
      <w:tr w:rsidR="00C06C43" w14:paraId="3C5B545C" w14:textId="77777777">
        <w:trPr>
          <w:trHeight w:val="305"/>
        </w:trPr>
        <w:tc>
          <w:tcPr>
            <w:tcW w:w="2424" w:type="dxa"/>
            <w:tcBorders>
              <w:top w:val="single" w:sz="6" w:space="0" w:color="929497"/>
              <w:left w:val="single" w:sz="6" w:space="0" w:color="929497"/>
              <w:bottom w:val="single" w:sz="8" w:space="0" w:color="1B75BC"/>
              <w:right w:val="single" w:sz="6" w:space="0" w:color="929497"/>
            </w:tcBorders>
          </w:tcPr>
          <w:p w14:paraId="403E4D33"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2022-2023</w:t>
            </w:r>
          </w:p>
        </w:tc>
        <w:tc>
          <w:tcPr>
            <w:tcW w:w="2424" w:type="dxa"/>
            <w:tcBorders>
              <w:top w:val="single" w:sz="6" w:space="0" w:color="929497"/>
              <w:left w:val="single" w:sz="6" w:space="0" w:color="929497"/>
              <w:bottom w:val="single" w:sz="8" w:space="0" w:color="1B75BC"/>
              <w:right w:val="single" w:sz="6" w:space="0" w:color="929497"/>
            </w:tcBorders>
          </w:tcPr>
          <w:p w14:paraId="312485FB"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45.00%</w:t>
            </w:r>
          </w:p>
          <w:p w14:paraId="6134A99A" w14:textId="77777777" w:rsidR="00C06C43" w:rsidRDefault="00F56002">
            <w:pPr>
              <w:widowControl w:val="0"/>
              <w:spacing w:before="44" w:line="240" w:lineRule="auto"/>
              <w:ind w:right="866"/>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42.75%</w:t>
            </w:r>
          </w:p>
        </w:tc>
      </w:tr>
    </w:tbl>
    <w:p w14:paraId="16C017FA" w14:textId="77777777" w:rsidR="00C06C43" w:rsidRDefault="00C06C43">
      <w:pPr>
        <w:widowControl w:val="0"/>
        <w:spacing w:before="74" w:line="240" w:lineRule="auto"/>
      </w:pPr>
    </w:p>
    <w:p w14:paraId="6264A164" w14:textId="77777777" w:rsidR="00C06C43" w:rsidRDefault="00F56002" w:rsidP="00E101B7">
      <w:pPr>
        <w:pStyle w:val="Heading3"/>
      </w:pPr>
      <w:r>
        <w:t>Rationale</w:t>
      </w:r>
    </w:p>
    <w:p w14:paraId="499075C9" w14:textId="2CACD349" w:rsidR="00C06C43" w:rsidRDefault="00F56002" w:rsidP="000814E5">
      <w:pPr>
        <w:widowControl w:val="0"/>
        <w:spacing w:before="74"/>
      </w:pPr>
      <w:r>
        <w:t>The most recent data for this target increases by 2.5% when the new secondary CTE concentrator definition is applied. However, over the past three years this indicator has decreased significantly for secondary CTE concentrators and the general student population. In addition, Oregon is experiencing a reduction in the number of students who take the statewide assessment. Consequently, the proposed target starts at the previous actual value</w:t>
      </w:r>
      <w:r w:rsidR="00863477">
        <w:t>,</w:t>
      </w:r>
      <w:r>
        <w:t xml:space="preserve"> increasing by 3.0 percentage points after four years.</w:t>
      </w:r>
    </w:p>
    <w:p w14:paraId="46036E8B" w14:textId="71F1A441" w:rsidR="00C06C43" w:rsidRDefault="00F56002" w:rsidP="000814E5">
      <w:pPr>
        <w:widowControl w:val="0"/>
        <w:spacing w:before="202"/>
        <w:rPr>
          <w:b/>
          <w:i/>
          <w:color w:val="FF0000"/>
        </w:rPr>
      </w:pPr>
      <w:r>
        <w:rPr>
          <w:b/>
          <w:i/>
          <w:color w:val="FF0000"/>
        </w:rPr>
        <w:t xml:space="preserve">Rationale for adjusted targets: These metrics are also tied to state assessments.  Oregon received a waiver for the statewide assessments, and while learning continues, performance on these </w:t>
      </w:r>
      <w:r w:rsidR="00E101B7">
        <w:rPr>
          <w:b/>
          <w:i/>
          <w:color w:val="FF0000"/>
        </w:rPr>
        <w:t>state assessments is uncertain.</w:t>
      </w:r>
    </w:p>
    <w:p w14:paraId="0CB4B220" w14:textId="2FAC91DD" w:rsidR="00C06C43" w:rsidRDefault="00C06C43">
      <w:pPr>
        <w:widowControl w:val="0"/>
        <w:spacing w:before="74" w:line="240" w:lineRule="auto"/>
      </w:pPr>
    </w:p>
    <w:p w14:paraId="0B22311F" w14:textId="77777777" w:rsidR="00C06C43" w:rsidRDefault="00F56002" w:rsidP="009B2977">
      <w:pPr>
        <w:pStyle w:val="Heading2"/>
      </w:pPr>
      <w:r>
        <w:t>2S3: Academic Proficiency in Science</w:t>
      </w:r>
    </w:p>
    <w:p w14:paraId="39C32E48" w14:textId="730D75C9" w:rsidR="00C06C43" w:rsidRDefault="00F56002" w:rsidP="000814E5">
      <w:pPr>
        <w:widowControl w:val="0"/>
      </w:pPr>
      <w:r w:rsidRPr="000F5E8F">
        <w:rPr>
          <w:b/>
        </w:rPr>
        <w:t>The percentage of secondary CTE concentrators who demonstrate proficiency in science as measured by the statewide assessment</w:t>
      </w:r>
      <w:r w:rsidR="00863477">
        <w:t>—</w:t>
      </w:r>
      <w:r>
        <w:t>This data is reported in the year that the student takes the assessment. In Oregon, statewide assessments are administered during the 11th grade.</w:t>
      </w:r>
    </w:p>
    <w:p w14:paraId="0FD34698" w14:textId="77777777" w:rsidR="00C06C43" w:rsidRDefault="00C06C43" w:rsidP="000814E5">
      <w:pPr>
        <w:widowControl w:val="0"/>
      </w:pPr>
    </w:p>
    <w:p w14:paraId="3747DECE" w14:textId="77777777" w:rsidR="00C06C43" w:rsidRDefault="00F56002" w:rsidP="000814E5">
      <w:pPr>
        <w:widowControl w:val="0"/>
      </w:pPr>
      <w:r>
        <w:t xml:space="preserve">Numerator: # of CTE concentrators who have met the proficient or advanced level on Oregon’s </w:t>
      </w:r>
      <w:r>
        <w:rPr>
          <w:b/>
        </w:rPr>
        <w:t>science</w:t>
      </w:r>
      <w:r>
        <w:t xml:space="preserve"> assessment administered under Section 111(b)(3) of the Elementary and Secondary Education Act (ESEA) as amended by the No Child Left Behind Act.</w:t>
      </w:r>
    </w:p>
    <w:p w14:paraId="5B3B5768" w14:textId="77777777" w:rsidR="00C06C43" w:rsidRDefault="00C06C43" w:rsidP="000814E5">
      <w:pPr>
        <w:widowControl w:val="0"/>
      </w:pPr>
    </w:p>
    <w:p w14:paraId="0E951111" w14:textId="4A4A37FF" w:rsidR="00C06C43" w:rsidRDefault="00F56002" w:rsidP="000814E5">
      <w:pPr>
        <w:widowControl w:val="0"/>
        <w:rPr>
          <w:b/>
        </w:rPr>
      </w:pPr>
      <w:r>
        <w:t xml:space="preserve">Denominator: # of CTE concentrators who took the ESEA assessment in </w:t>
      </w:r>
      <w:r>
        <w:rPr>
          <w:b/>
        </w:rPr>
        <w:t>science</w:t>
      </w:r>
      <w:r w:rsidR="00D71094">
        <w:rPr>
          <w:b/>
        </w:rPr>
        <w:t>.</w:t>
      </w:r>
    </w:p>
    <w:p w14:paraId="07BC7C51" w14:textId="77777777" w:rsidR="00C06C43" w:rsidRDefault="00C06C43">
      <w:pPr>
        <w:widowControl w:val="0"/>
        <w:spacing w:before="74" w:line="240" w:lineRule="auto"/>
      </w:pPr>
    </w:p>
    <w:p w14:paraId="1492FCEC" w14:textId="77777777" w:rsidR="000814E5" w:rsidRDefault="000814E5" w:rsidP="00E101B7">
      <w:pPr>
        <w:pStyle w:val="Heading3"/>
      </w:pPr>
    </w:p>
    <w:p w14:paraId="5C94E9EF" w14:textId="77777777" w:rsidR="000814E5" w:rsidRDefault="000814E5" w:rsidP="00E101B7">
      <w:pPr>
        <w:pStyle w:val="Heading3"/>
      </w:pPr>
    </w:p>
    <w:p w14:paraId="5B92CCDA" w14:textId="77777777" w:rsidR="000814E5" w:rsidRDefault="000814E5" w:rsidP="00E101B7">
      <w:pPr>
        <w:pStyle w:val="Heading3"/>
      </w:pPr>
    </w:p>
    <w:p w14:paraId="43924698" w14:textId="77777777" w:rsidR="000814E5" w:rsidRDefault="000814E5" w:rsidP="00E101B7">
      <w:pPr>
        <w:pStyle w:val="Heading3"/>
      </w:pPr>
    </w:p>
    <w:p w14:paraId="54A74B14" w14:textId="77777777" w:rsidR="000814E5" w:rsidRDefault="000814E5" w:rsidP="00E101B7">
      <w:pPr>
        <w:pStyle w:val="Heading3"/>
      </w:pPr>
    </w:p>
    <w:p w14:paraId="64F9D94F" w14:textId="10E8F90E" w:rsidR="00C06C43" w:rsidRPr="00D71094" w:rsidRDefault="00F56002" w:rsidP="00E101B7">
      <w:pPr>
        <w:pStyle w:val="Heading3"/>
      </w:pPr>
      <w:r w:rsidRPr="00D71094">
        <w:t>Proposed Targets</w:t>
      </w:r>
    </w:p>
    <w:p w14:paraId="60129A24" w14:textId="77777777" w:rsidR="00C06C43" w:rsidRDefault="00C06C43">
      <w:pPr>
        <w:widowControl w:val="0"/>
        <w:spacing w:before="2" w:line="240" w:lineRule="auto"/>
        <w:rPr>
          <w:rFonts w:ascii="Calibri" w:eastAsia="Calibri" w:hAnsi="Calibri" w:cs="Calibri"/>
          <w:b/>
          <w:sz w:val="8"/>
          <w:szCs w:val="8"/>
        </w:rPr>
      </w:pPr>
    </w:p>
    <w:tbl>
      <w:tblPr>
        <w:tblStyle w:val="a4"/>
        <w:tblW w:w="4848" w:type="dxa"/>
        <w:tblInd w:w="215"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Look w:val="0000" w:firstRow="0" w:lastRow="0" w:firstColumn="0" w:lastColumn="0" w:noHBand="0" w:noVBand="0"/>
        <w:tblCaption w:val="Academic Proficiency in Science Proposed Targets"/>
      </w:tblPr>
      <w:tblGrid>
        <w:gridCol w:w="2424"/>
        <w:gridCol w:w="2424"/>
      </w:tblGrid>
      <w:tr w:rsidR="00C06C43" w14:paraId="083534D7" w14:textId="77777777" w:rsidTr="003006C6">
        <w:trPr>
          <w:trHeight w:val="705"/>
          <w:tblHeader/>
        </w:trPr>
        <w:tc>
          <w:tcPr>
            <w:tcW w:w="2424" w:type="dxa"/>
            <w:shd w:val="clear" w:color="auto" w:fill="1B75BC"/>
            <w:vAlign w:val="center"/>
          </w:tcPr>
          <w:p w14:paraId="3A900829" w14:textId="605CF366" w:rsidR="00C06C43" w:rsidRPr="00D71094" w:rsidRDefault="00F56002" w:rsidP="0098257A">
            <w:pPr>
              <w:widowControl w:val="0"/>
              <w:spacing w:line="240" w:lineRule="auto"/>
              <w:jc w:val="center"/>
              <w:rPr>
                <w:rFonts w:ascii="Calibri" w:eastAsia="Calibri" w:hAnsi="Calibri" w:cs="Calibri"/>
                <w:b/>
                <w:sz w:val="24"/>
                <w:szCs w:val="24"/>
              </w:rPr>
            </w:pPr>
            <w:r w:rsidRPr="00D71094">
              <w:rPr>
                <w:rFonts w:ascii="Calibri" w:eastAsia="Calibri" w:hAnsi="Calibri" w:cs="Calibri"/>
                <w:b/>
                <w:color w:val="FFFFFF"/>
                <w:sz w:val="24"/>
                <w:szCs w:val="24"/>
              </w:rPr>
              <w:t>School Year</w:t>
            </w:r>
          </w:p>
        </w:tc>
        <w:tc>
          <w:tcPr>
            <w:tcW w:w="2424" w:type="dxa"/>
            <w:shd w:val="clear" w:color="auto" w:fill="1B75BC"/>
            <w:vAlign w:val="center"/>
          </w:tcPr>
          <w:p w14:paraId="4295CF0E" w14:textId="77777777" w:rsidR="00C06C43" w:rsidRPr="00D71094" w:rsidRDefault="00F56002" w:rsidP="0098257A">
            <w:pPr>
              <w:widowControl w:val="0"/>
              <w:spacing w:line="240" w:lineRule="auto"/>
              <w:jc w:val="center"/>
              <w:rPr>
                <w:rFonts w:ascii="Calibri" w:eastAsia="Calibri" w:hAnsi="Calibri" w:cs="Calibri"/>
                <w:b/>
                <w:sz w:val="24"/>
                <w:szCs w:val="24"/>
              </w:rPr>
            </w:pPr>
            <w:r w:rsidRPr="00D71094">
              <w:rPr>
                <w:rFonts w:ascii="Calibri" w:eastAsia="Calibri" w:hAnsi="Calibri" w:cs="Calibri"/>
                <w:b/>
                <w:color w:val="FFFFFF"/>
                <w:sz w:val="24"/>
                <w:szCs w:val="24"/>
              </w:rPr>
              <w:t>Target</w:t>
            </w:r>
          </w:p>
        </w:tc>
      </w:tr>
      <w:tr w:rsidR="00C06C43" w14:paraId="49220A9E" w14:textId="77777777">
        <w:trPr>
          <w:trHeight w:val="307"/>
        </w:trPr>
        <w:tc>
          <w:tcPr>
            <w:tcW w:w="2424" w:type="dxa"/>
            <w:tcBorders>
              <w:left w:val="single" w:sz="6" w:space="0" w:color="929497"/>
              <w:bottom w:val="single" w:sz="6" w:space="0" w:color="929497"/>
              <w:right w:val="single" w:sz="6" w:space="0" w:color="929497"/>
            </w:tcBorders>
          </w:tcPr>
          <w:p w14:paraId="7C38CD08"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2019-2020</w:t>
            </w:r>
          </w:p>
        </w:tc>
        <w:tc>
          <w:tcPr>
            <w:tcW w:w="2424" w:type="dxa"/>
            <w:tcBorders>
              <w:left w:val="single" w:sz="6" w:space="0" w:color="929497"/>
              <w:bottom w:val="single" w:sz="6" w:space="0" w:color="929497"/>
              <w:right w:val="single" w:sz="6" w:space="0" w:color="929497"/>
            </w:tcBorders>
          </w:tcPr>
          <w:p w14:paraId="2A1E9D33"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54.00%</w:t>
            </w:r>
          </w:p>
          <w:p w14:paraId="73817994" w14:textId="77777777" w:rsidR="00C06C43" w:rsidRDefault="00F56002">
            <w:pPr>
              <w:widowControl w:val="0"/>
              <w:spacing w:before="44" w:line="240" w:lineRule="auto"/>
              <w:ind w:right="866"/>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45.90%</w:t>
            </w:r>
          </w:p>
        </w:tc>
      </w:tr>
      <w:tr w:rsidR="00C06C43" w14:paraId="48ABD8A6" w14:textId="77777777">
        <w:trPr>
          <w:trHeight w:val="307"/>
        </w:trPr>
        <w:tc>
          <w:tcPr>
            <w:tcW w:w="2424" w:type="dxa"/>
            <w:tcBorders>
              <w:top w:val="single" w:sz="6" w:space="0" w:color="929497"/>
              <w:left w:val="single" w:sz="6" w:space="0" w:color="929497"/>
              <w:bottom w:val="single" w:sz="6" w:space="0" w:color="929497"/>
              <w:right w:val="single" w:sz="6" w:space="0" w:color="929497"/>
            </w:tcBorders>
          </w:tcPr>
          <w:p w14:paraId="39FE1FF2"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2020-2021</w:t>
            </w:r>
          </w:p>
        </w:tc>
        <w:tc>
          <w:tcPr>
            <w:tcW w:w="2424" w:type="dxa"/>
            <w:tcBorders>
              <w:top w:val="single" w:sz="6" w:space="0" w:color="929497"/>
              <w:left w:val="single" w:sz="6" w:space="0" w:color="929497"/>
              <w:bottom w:val="single" w:sz="6" w:space="0" w:color="929497"/>
              <w:right w:val="single" w:sz="6" w:space="0" w:color="929497"/>
            </w:tcBorders>
          </w:tcPr>
          <w:p w14:paraId="651C6ADE"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55.00%</w:t>
            </w:r>
          </w:p>
          <w:p w14:paraId="0E3CAC54" w14:textId="77777777" w:rsidR="00C06C43" w:rsidRDefault="00F56002">
            <w:pPr>
              <w:widowControl w:val="0"/>
              <w:spacing w:before="44" w:line="240" w:lineRule="auto"/>
              <w:ind w:right="866"/>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44.00%</w:t>
            </w:r>
          </w:p>
        </w:tc>
      </w:tr>
      <w:tr w:rsidR="00C06C43" w14:paraId="126B9FF3" w14:textId="77777777">
        <w:trPr>
          <w:trHeight w:val="307"/>
        </w:trPr>
        <w:tc>
          <w:tcPr>
            <w:tcW w:w="2424" w:type="dxa"/>
            <w:tcBorders>
              <w:top w:val="single" w:sz="6" w:space="0" w:color="929497"/>
              <w:left w:val="single" w:sz="6" w:space="0" w:color="929497"/>
              <w:bottom w:val="single" w:sz="6" w:space="0" w:color="929497"/>
              <w:right w:val="single" w:sz="6" w:space="0" w:color="929497"/>
            </w:tcBorders>
          </w:tcPr>
          <w:p w14:paraId="03A332BF"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2021-2022</w:t>
            </w:r>
          </w:p>
        </w:tc>
        <w:tc>
          <w:tcPr>
            <w:tcW w:w="2424" w:type="dxa"/>
            <w:tcBorders>
              <w:top w:val="single" w:sz="6" w:space="0" w:color="929497"/>
              <w:left w:val="single" w:sz="6" w:space="0" w:color="929497"/>
              <w:bottom w:val="single" w:sz="6" w:space="0" w:color="929497"/>
              <w:right w:val="single" w:sz="6" w:space="0" w:color="929497"/>
            </w:tcBorders>
          </w:tcPr>
          <w:p w14:paraId="26DE8615"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56.00%</w:t>
            </w:r>
          </w:p>
          <w:p w14:paraId="41CA8C0D" w14:textId="77777777" w:rsidR="00C06C43" w:rsidRDefault="00F56002">
            <w:pPr>
              <w:widowControl w:val="0"/>
              <w:spacing w:before="44" w:line="240" w:lineRule="auto"/>
              <w:ind w:right="866"/>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50.40%</w:t>
            </w:r>
          </w:p>
        </w:tc>
      </w:tr>
      <w:tr w:rsidR="00C06C43" w14:paraId="5ACA1CD3" w14:textId="77777777">
        <w:trPr>
          <w:trHeight w:val="305"/>
        </w:trPr>
        <w:tc>
          <w:tcPr>
            <w:tcW w:w="2424" w:type="dxa"/>
            <w:tcBorders>
              <w:top w:val="single" w:sz="6" w:space="0" w:color="929497"/>
              <w:left w:val="single" w:sz="6" w:space="0" w:color="929497"/>
              <w:bottom w:val="single" w:sz="8" w:space="0" w:color="1B75BC"/>
              <w:right w:val="single" w:sz="6" w:space="0" w:color="929497"/>
            </w:tcBorders>
          </w:tcPr>
          <w:p w14:paraId="45E3DCDB"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2022-2023</w:t>
            </w:r>
          </w:p>
        </w:tc>
        <w:tc>
          <w:tcPr>
            <w:tcW w:w="2424" w:type="dxa"/>
            <w:tcBorders>
              <w:top w:val="single" w:sz="6" w:space="0" w:color="929497"/>
              <w:left w:val="single" w:sz="6" w:space="0" w:color="929497"/>
              <w:bottom w:val="single" w:sz="8" w:space="0" w:color="1B75BC"/>
              <w:right w:val="single" w:sz="6" w:space="0" w:color="929497"/>
            </w:tcBorders>
          </w:tcPr>
          <w:p w14:paraId="519CA482"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57.00%</w:t>
            </w:r>
          </w:p>
          <w:p w14:paraId="015FFF19" w14:textId="77777777" w:rsidR="00C06C43" w:rsidRDefault="00F56002">
            <w:pPr>
              <w:widowControl w:val="0"/>
              <w:spacing w:before="44" w:line="240" w:lineRule="auto"/>
              <w:ind w:right="866"/>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54.15%</w:t>
            </w:r>
          </w:p>
        </w:tc>
      </w:tr>
    </w:tbl>
    <w:p w14:paraId="7055F4EB" w14:textId="77777777" w:rsidR="00E101B7" w:rsidRDefault="00E101B7" w:rsidP="00E101B7"/>
    <w:p w14:paraId="79C93802" w14:textId="75A259A5" w:rsidR="00C06C43" w:rsidRDefault="00F56002" w:rsidP="00E101B7">
      <w:pPr>
        <w:pStyle w:val="Heading3"/>
      </w:pPr>
      <w:r>
        <w:t>Rationale</w:t>
      </w:r>
    </w:p>
    <w:p w14:paraId="5A6355A8" w14:textId="72D65E3D" w:rsidR="00C06C43" w:rsidRDefault="00F56002" w:rsidP="000814E5">
      <w:pPr>
        <w:widowControl w:val="0"/>
        <w:spacing w:before="202"/>
      </w:pPr>
      <w:r>
        <w:t>This is a new performance indicator under Perkins V using data from a new statewide assessment. In addition, the statewide assessment in science is new. The initial target is set at a level equal to the high school performance in 2018-2019. CTE Programs of Study in Career Clusters such as Agriculture and Health</w:t>
      </w:r>
      <w:r w:rsidR="00381CEC">
        <w:t xml:space="preserve"> </w:t>
      </w:r>
      <w:r>
        <w:t>Sciences have significant connections to science content, justifying the proposed growth.</w:t>
      </w:r>
    </w:p>
    <w:p w14:paraId="2FD9F715" w14:textId="77777777" w:rsidR="00C06C43" w:rsidRDefault="00F56002" w:rsidP="000814E5">
      <w:pPr>
        <w:widowControl w:val="0"/>
        <w:spacing w:before="202"/>
        <w:rPr>
          <w:b/>
          <w:i/>
          <w:color w:val="FF0000"/>
        </w:rPr>
      </w:pPr>
      <w:r>
        <w:rPr>
          <w:b/>
          <w:i/>
          <w:color w:val="FF0000"/>
        </w:rPr>
        <w:t>Rationale for adjusted targets: These metrics are tied to state assessments.  Oregon received a waiver for the statewide assessments, and while learning continues, performance on these state assessments is uncertain. We are adjusting by 15-20%.</w:t>
      </w:r>
    </w:p>
    <w:p w14:paraId="57E8AD6E" w14:textId="77777777" w:rsidR="00C06C43" w:rsidRDefault="00C06C43">
      <w:pPr>
        <w:widowControl w:val="0"/>
        <w:spacing w:before="202" w:line="240" w:lineRule="auto"/>
      </w:pPr>
    </w:p>
    <w:p w14:paraId="145235C5" w14:textId="77777777" w:rsidR="00C06C43" w:rsidRPr="00791E16" w:rsidRDefault="00F56002" w:rsidP="00E101B7">
      <w:pPr>
        <w:pStyle w:val="Heading2"/>
        <w:rPr>
          <w:color w:val="auto"/>
        </w:rPr>
      </w:pPr>
      <w:r w:rsidRPr="00791E16">
        <w:rPr>
          <w:color w:val="auto"/>
        </w:rPr>
        <w:t>3S1: Postsecondary Placement</w:t>
      </w:r>
    </w:p>
    <w:p w14:paraId="30E5941E" w14:textId="77777777" w:rsidR="00C06C43" w:rsidRPr="000F5E8F" w:rsidRDefault="00F56002" w:rsidP="000814E5">
      <w:pPr>
        <w:widowControl w:val="0"/>
        <w:rPr>
          <w:b/>
        </w:rPr>
      </w:pPr>
      <w:r w:rsidRPr="000F5E8F">
        <w:rPr>
          <w:b/>
        </w:rPr>
        <w:t>The percentage of CTE concentrators who, in the second quarter after exiting from secondary education, are in postsecondary education; are in advanced training, military service, or a service program; or are employed.</w:t>
      </w:r>
    </w:p>
    <w:p w14:paraId="3C1411F7" w14:textId="77777777" w:rsidR="00E101B7" w:rsidRDefault="00E101B7" w:rsidP="000814E5">
      <w:pPr>
        <w:widowControl w:val="0"/>
      </w:pPr>
    </w:p>
    <w:p w14:paraId="72701CA9" w14:textId="57FB9CD0" w:rsidR="00C06C43" w:rsidRDefault="00F56002" w:rsidP="000814E5">
      <w:pPr>
        <w:widowControl w:val="0"/>
      </w:pPr>
      <w:r>
        <w:t>Numerator: # of CTE concentrators who, in the second quarter after exiting from secondary education, are in postsecondary education; are in advance</w:t>
      </w:r>
      <w:r w:rsidR="00863477">
        <w:t>d</w:t>
      </w:r>
      <w:r>
        <w:t xml:space="preserve"> training, military service, or a service program that receives assistance under Title I of the National and Community Services Act of 1990 (42 U.S.C. 12511 et sec.); are volunteers as described in section 5(a) of the Peace Corps Act (22 U.S.C. 2504(a)); or are employed</w:t>
      </w:r>
    </w:p>
    <w:p w14:paraId="4421CF40" w14:textId="77777777" w:rsidR="00E101B7" w:rsidRDefault="00E101B7" w:rsidP="000814E5">
      <w:pPr>
        <w:widowControl w:val="0"/>
      </w:pPr>
    </w:p>
    <w:p w14:paraId="7520AA81" w14:textId="70901391" w:rsidR="00B20955" w:rsidRDefault="00F56002" w:rsidP="000814E5">
      <w:pPr>
        <w:widowControl w:val="0"/>
      </w:pPr>
      <w:r>
        <w:t>Denominator: # of CTE concentrators who exited secondary education during the reporting year.</w:t>
      </w:r>
    </w:p>
    <w:p w14:paraId="193FF79F" w14:textId="77777777" w:rsidR="00E101B7" w:rsidRDefault="00E101B7" w:rsidP="00E101B7">
      <w:pPr>
        <w:widowControl w:val="0"/>
        <w:spacing w:line="240" w:lineRule="auto"/>
      </w:pPr>
    </w:p>
    <w:p w14:paraId="54C678A0" w14:textId="77777777" w:rsidR="00B20955" w:rsidRDefault="00B20955">
      <w:pPr>
        <w:rPr>
          <w:b/>
          <w:color w:val="595959" w:themeColor="text1" w:themeTint="A6"/>
          <w:sz w:val="24"/>
          <w:szCs w:val="24"/>
        </w:rPr>
      </w:pPr>
      <w:r>
        <w:br w:type="page"/>
      </w:r>
    </w:p>
    <w:p w14:paraId="314F02F6" w14:textId="7F254B4B" w:rsidR="00C06C43" w:rsidRDefault="00F56002" w:rsidP="00E101B7">
      <w:pPr>
        <w:pStyle w:val="Heading3"/>
      </w:pPr>
      <w:r>
        <w:lastRenderedPageBreak/>
        <w:t>Proposed Targets</w:t>
      </w:r>
    </w:p>
    <w:p w14:paraId="3F316285" w14:textId="77777777" w:rsidR="00C06C43" w:rsidRDefault="00C06C43">
      <w:pPr>
        <w:widowControl w:val="0"/>
        <w:spacing w:before="2" w:line="240" w:lineRule="auto"/>
        <w:rPr>
          <w:rFonts w:ascii="Calibri" w:eastAsia="Calibri" w:hAnsi="Calibri" w:cs="Calibri"/>
          <w:b/>
          <w:sz w:val="8"/>
          <w:szCs w:val="8"/>
        </w:rPr>
      </w:pPr>
    </w:p>
    <w:tbl>
      <w:tblPr>
        <w:tblStyle w:val="a5"/>
        <w:tblW w:w="4848" w:type="dxa"/>
        <w:tblInd w:w="215"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Look w:val="0000" w:firstRow="0" w:lastRow="0" w:firstColumn="0" w:lastColumn="0" w:noHBand="0" w:noVBand="0"/>
        <w:tblCaption w:val="Postsecondary Placement Proposed Targets"/>
      </w:tblPr>
      <w:tblGrid>
        <w:gridCol w:w="2424"/>
        <w:gridCol w:w="2424"/>
      </w:tblGrid>
      <w:tr w:rsidR="00C06C43" w14:paraId="423929A5" w14:textId="77777777" w:rsidTr="00B20955">
        <w:trPr>
          <w:trHeight w:val="705"/>
          <w:tblHeader/>
        </w:trPr>
        <w:tc>
          <w:tcPr>
            <w:tcW w:w="2424" w:type="dxa"/>
            <w:shd w:val="clear" w:color="auto" w:fill="1B75BC"/>
            <w:vAlign w:val="center"/>
          </w:tcPr>
          <w:p w14:paraId="05DC7DEC" w14:textId="492682C5" w:rsidR="00C06C43" w:rsidRPr="0098257A" w:rsidRDefault="00F56002" w:rsidP="0098257A">
            <w:pPr>
              <w:widowControl w:val="0"/>
              <w:spacing w:line="240" w:lineRule="auto"/>
              <w:jc w:val="center"/>
              <w:rPr>
                <w:rFonts w:ascii="Calibri" w:eastAsia="Calibri" w:hAnsi="Calibri" w:cs="Calibri"/>
                <w:b/>
                <w:sz w:val="24"/>
                <w:szCs w:val="24"/>
              </w:rPr>
            </w:pPr>
            <w:r w:rsidRPr="0098257A">
              <w:rPr>
                <w:rFonts w:ascii="Calibri" w:eastAsia="Calibri" w:hAnsi="Calibri" w:cs="Calibri"/>
                <w:b/>
                <w:color w:val="FFFFFF"/>
                <w:sz w:val="24"/>
                <w:szCs w:val="24"/>
              </w:rPr>
              <w:t>School Year</w:t>
            </w:r>
          </w:p>
        </w:tc>
        <w:tc>
          <w:tcPr>
            <w:tcW w:w="2424" w:type="dxa"/>
            <w:shd w:val="clear" w:color="auto" w:fill="1B75BC"/>
            <w:vAlign w:val="center"/>
          </w:tcPr>
          <w:p w14:paraId="76D771E4" w14:textId="77777777" w:rsidR="00C06C43" w:rsidRPr="0098257A" w:rsidRDefault="00F56002" w:rsidP="0098257A">
            <w:pPr>
              <w:widowControl w:val="0"/>
              <w:spacing w:line="240" w:lineRule="auto"/>
              <w:jc w:val="center"/>
              <w:rPr>
                <w:rFonts w:ascii="Calibri" w:eastAsia="Calibri" w:hAnsi="Calibri" w:cs="Calibri"/>
                <w:b/>
                <w:sz w:val="24"/>
                <w:szCs w:val="24"/>
              </w:rPr>
            </w:pPr>
            <w:r w:rsidRPr="0098257A">
              <w:rPr>
                <w:rFonts w:ascii="Calibri" w:eastAsia="Calibri" w:hAnsi="Calibri" w:cs="Calibri"/>
                <w:b/>
                <w:color w:val="FFFFFF"/>
                <w:sz w:val="24"/>
                <w:szCs w:val="24"/>
              </w:rPr>
              <w:t>Target</w:t>
            </w:r>
          </w:p>
        </w:tc>
      </w:tr>
      <w:tr w:rsidR="00C06C43" w14:paraId="06410E97" w14:textId="77777777">
        <w:trPr>
          <w:trHeight w:val="307"/>
        </w:trPr>
        <w:tc>
          <w:tcPr>
            <w:tcW w:w="2424" w:type="dxa"/>
            <w:tcBorders>
              <w:left w:val="single" w:sz="6" w:space="0" w:color="929497"/>
              <w:bottom w:val="single" w:sz="6" w:space="0" w:color="929497"/>
              <w:right w:val="single" w:sz="6" w:space="0" w:color="929497"/>
            </w:tcBorders>
          </w:tcPr>
          <w:p w14:paraId="25FF757C"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2019-2020</w:t>
            </w:r>
          </w:p>
        </w:tc>
        <w:tc>
          <w:tcPr>
            <w:tcW w:w="2424" w:type="dxa"/>
            <w:tcBorders>
              <w:left w:val="single" w:sz="6" w:space="0" w:color="929497"/>
              <w:bottom w:val="single" w:sz="6" w:space="0" w:color="929497"/>
              <w:right w:val="single" w:sz="6" w:space="0" w:color="929497"/>
            </w:tcBorders>
          </w:tcPr>
          <w:p w14:paraId="544AE804"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60.00%</w:t>
            </w:r>
          </w:p>
          <w:p w14:paraId="58B3D6B7" w14:textId="77777777" w:rsidR="00C06C43" w:rsidRDefault="00F56002">
            <w:pPr>
              <w:widowControl w:val="0"/>
              <w:spacing w:before="44" w:line="240" w:lineRule="auto"/>
              <w:ind w:right="866"/>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49.30%</w:t>
            </w:r>
          </w:p>
        </w:tc>
      </w:tr>
      <w:tr w:rsidR="00C06C43" w14:paraId="53791532" w14:textId="77777777">
        <w:trPr>
          <w:trHeight w:val="307"/>
        </w:trPr>
        <w:tc>
          <w:tcPr>
            <w:tcW w:w="2424" w:type="dxa"/>
            <w:tcBorders>
              <w:top w:val="single" w:sz="6" w:space="0" w:color="929497"/>
              <w:left w:val="single" w:sz="6" w:space="0" w:color="929497"/>
              <w:bottom w:val="single" w:sz="6" w:space="0" w:color="929497"/>
              <w:right w:val="single" w:sz="6" w:space="0" w:color="929497"/>
            </w:tcBorders>
          </w:tcPr>
          <w:p w14:paraId="08D95DBF"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2020-2021</w:t>
            </w:r>
          </w:p>
        </w:tc>
        <w:tc>
          <w:tcPr>
            <w:tcW w:w="2424" w:type="dxa"/>
            <w:tcBorders>
              <w:top w:val="single" w:sz="6" w:space="0" w:color="929497"/>
              <w:left w:val="single" w:sz="6" w:space="0" w:color="929497"/>
              <w:bottom w:val="single" w:sz="6" w:space="0" w:color="929497"/>
              <w:right w:val="single" w:sz="6" w:space="0" w:color="929497"/>
            </w:tcBorders>
          </w:tcPr>
          <w:p w14:paraId="15EE2648"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61.00%</w:t>
            </w:r>
          </w:p>
          <w:p w14:paraId="6C3F4CFA" w14:textId="77777777" w:rsidR="00C06C43" w:rsidRDefault="00F56002">
            <w:pPr>
              <w:widowControl w:val="0"/>
              <w:spacing w:before="44" w:line="240" w:lineRule="auto"/>
              <w:ind w:right="866"/>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47.20%</w:t>
            </w:r>
          </w:p>
        </w:tc>
      </w:tr>
      <w:tr w:rsidR="00C06C43" w14:paraId="30CCA64C" w14:textId="77777777">
        <w:trPr>
          <w:trHeight w:val="307"/>
        </w:trPr>
        <w:tc>
          <w:tcPr>
            <w:tcW w:w="2424" w:type="dxa"/>
            <w:tcBorders>
              <w:top w:val="single" w:sz="6" w:space="0" w:color="929497"/>
              <w:left w:val="single" w:sz="6" w:space="0" w:color="929497"/>
              <w:bottom w:val="single" w:sz="6" w:space="0" w:color="929497"/>
              <w:right w:val="single" w:sz="6" w:space="0" w:color="929497"/>
            </w:tcBorders>
          </w:tcPr>
          <w:p w14:paraId="672EFB19"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2021-2022</w:t>
            </w:r>
          </w:p>
        </w:tc>
        <w:tc>
          <w:tcPr>
            <w:tcW w:w="2424" w:type="dxa"/>
            <w:tcBorders>
              <w:top w:val="single" w:sz="6" w:space="0" w:color="929497"/>
              <w:left w:val="single" w:sz="6" w:space="0" w:color="929497"/>
              <w:bottom w:val="single" w:sz="6" w:space="0" w:color="929497"/>
              <w:right w:val="single" w:sz="6" w:space="0" w:color="929497"/>
            </w:tcBorders>
          </w:tcPr>
          <w:p w14:paraId="1063E96B"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62.00%</w:t>
            </w:r>
          </w:p>
          <w:p w14:paraId="63FE6098" w14:textId="77777777" w:rsidR="00C06C43" w:rsidRDefault="00F56002">
            <w:pPr>
              <w:widowControl w:val="0"/>
              <w:spacing w:before="44" w:line="240" w:lineRule="auto"/>
              <w:ind w:right="866"/>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55.80%</w:t>
            </w:r>
          </w:p>
        </w:tc>
      </w:tr>
      <w:tr w:rsidR="00C06C43" w14:paraId="2ED8D356" w14:textId="77777777">
        <w:trPr>
          <w:trHeight w:val="305"/>
        </w:trPr>
        <w:tc>
          <w:tcPr>
            <w:tcW w:w="2424" w:type="dxa"/>
            <w:tcBorders>
              <w:top w:val="single" w:sz="6" w:space="0" w:color="929497"/>
              <w:left w:val="single" w:sz="6" w:space="0" w:color="929497"/>
              <w:bottom w:val="single" w:sz="8" w:space="0" w:color="1B75BC"/>
              <w:right w:val="single" w:sz="6" w:space="0" w:color="929497"/>
            </w:tcBorders>
          </w:tcPr>
          <w:p w14:paraId="36148DD9"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2022-2023</w:t>
            </w:r>
          </w:p>
        </w:tc>
        <w:tc>
          <w:tcPr>
            <w:tcW w:w="2424" w:type="dxa"/>
            <w:tcBorders>
              <w:top w:val="single" w:sz="6" w:space="0" w:color="929497"/>
              <w:left w:val="single" w:sz="6" w:space="0" w:color="929497"/>
              <w:bottom w:val="single" w:sz="8" w:space="0" w:color="1B75BC"/>
              <w:right w:val="single" w:sz="6" w:space="0" w:color="929497"/>
            </w:tcBorders>
          </w:tcPr>
          <w:p w14:paraId="4D92884F"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63.00%</w:t>
            </w:r>
          </w:p>
          <w:p w14:paraId="09842DAC" w14:textId="77777777" w:rsidR="00C06C43" w:rsidRDefault="00F56002">
            <w:pPr>
              <w:widowControl w:val="0"/>
              <w:spacing w:before="44" w:line="240" w:lineRule="auto"/>
              <w:ind w:right="866"/>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59.85%</w:t>
            </w:r>
          </w:p>
        </w:tc>
      </w:tr>
    </w:tbl>
    <w:p w14:paraId="4F305864" w14:textId="77777777" w:rsidR="00C06C43" w:rsidRDefault="00C06C43">
      <w:pPr>
        <w:widowControl w:val="0"/>
        <w:spacing w:before="74" w:line="240" w:lineRule="auto"/>
        <w:ind w:left="200"/>
      </w:pPr>
    </w:p>
    <w:p w14:paraId="0CBBDF7B" w14:textId="77777777" w:rsidR="00C06C43" w:rsidRDefault="00F56002" w:rsidP="00E101B7">
      <w:pPr>
        <w:pStyle w:val="Heading3"/>
      </w:pPr>
      <w:r>
        <w:t>Rationale</w:t>
      </w:r>
    </w:p>
    <w:p w14:paraId="1E791B6C" w14:textId="666C89E4" w:rsidR="00C06C43" w:rsidRDefault="00F56002" w:rsidP="000814E5">
      <w:pPr>
        <w:widowControl w:val="0"/>
        <w:spacing w:before="74"/>
      </w:pPr>
      <w:r>
        <w:t xml:space="preserve">ODE is currently able to collect data </w:t>
      </w:r>
      <w:r w:rsidR="00863477">
        <w:t xml:space="preserve">only </w:t>
      </w:r>
      <w:r>
        <w:t>on education and employment for students who have exited high school. Under Perkins IV, employment data was not available. ODE is working with the Oregon Employment Department to gain access to that data. The proposed targets are an increase from Perkins IV</w:t>
      </w:r>
      <w:r w:rsidR="00863477">
        <w:t>,</w:t>
      </w:r>
      <w:r>
        <w:t xml:space="preserve"> since the data will include employment. Under Perkins V, ODE will explore data sources that will allow inclusion of advanced training, military service, and service programs. The changes in targets reflect two years of collecting and incorporating employment data followed by increases resulting from improved data collection and a focus on work-based learning.</w:t>
      </w:r>
    </w:p>
    <w:p w14:paraId="271DB861" w14:textId="775B162F" w:rsidR="00C06C43" w:rsidRDefault="00F56002" w:rsidP="000814E5">
      <w:pPr>
        <w:widowControl w:val="0"/>
        <w:spacing w:before="202"/>
      </w:pPr>
      <w:r>
        <w:rPr>
          <w:b/>
          <w:i/>
          <w:color w:val="FF0000"/>
        </w:rPr>
        <w:t>Rationale for adjusted targets: Economic uncertainty and high unemployment due to COVID may have a significant impact on students</w:t>
      </w:r>
      <w:r w:rsidR="00863477">
        <w:rPr>
          <w:b/>
          <w:i/>
          <w:color w:val="FF0000"/>
        </w:rPr>
        <w:t>’</w:t>
      </w:r>
      <w:r>
        <w:rPr>
          <w:b/>
          <w:i/>
          <w:color w:val="FF0000"/>
        </w:rPr>
        <w:t xml:space="preserve"> placement in this target by 15%. </w:t>
      </w:r>
    </w:p>
    <w:p w14:paraId="60305656" w14:textId="41149518" w:rsidR="00E101B7" w:rsidRDefault="00E101B7">
      <w:pPr>
        <w:widowControl w:val="0"/>
        <w:spacing w:before="74" w:line="240" w:lineRule="auto"/>
      </w:pPr>
    </w:p>
    <w:p w14:paraId="739D430A" w14:textId="15E2A2FB" w:rsidR="00C06C43" w:rsidRPr="00791E16" w:rsidRDefault="00F56002" w:rsidP="00E101B7">
      <w:pPr>
        <w:pStyle w:val="Heading2"/>
        <w:rPr>
          <w:color w:val="auto"/>
        </w:rPr>
      </w:pPr>
      <w:r w:rsidRPr="00791E16">
        <w:rPr>
          <w:color w:val="auto"/>
        </w:rPr>
        <w:t>4S1: Non</w:t>
      </w:r>
      <w:r w:rsidR="00D67343" w:rsidRPr="00791E16">
        <w:rPr>
          <w:color w:val="auto"/>
        </w:rPr>
        <w:t>t</w:t>
      </w:r>
      <w:r w:rsidRPr="00791E16">
        <w:rPr>
          <w:color w:val="auto"/>
        </w:rPr>
        <w:t>raditional Program Enrollment</w:t>
      </w:r>
    </w:p>
    <w:p w14:paraId="7321C633" w14:textId="2F2536F5" w:rsidR="00C06C43" w:rsidRDefault="00F56002" w:rsidP="000814E5">
      <w:pPr>
        <w:widowControl w:val="0"/>
      </w:pPr>
      <w:r w:rsidRPr="00033E5F">
        <w:rPr>
          <w:b/>
        </w:rPr>
        <w:t>The percentage of CTE concentrators in CTE programs and Programs of Study t</w:t>
      </w:r>
      <w:r w:rsidR="00632327" w:rsidRPr="00033E5F">
        <w:rPr>
          <w:b/>
        </w:rPr>
        <w:t>hat lead to fields that are non</w:t>
      </w:r>
      <w:r w:rsidRPr="00033E5F">
        <w:rPr>
          <w:b/>
        </w:rPr>
        <w:t xml:space="preserve">traditional for the gender of </w:t>
      </w:r>
      <w:r w:rsidR="00033E5F">
        <w:rPr>
          <w:b/>
        </w:rPr>
        <w:t>the concentrator</w:t>
      </w:r>
      <w:r w:rsidR="00033E5F" w:rsidRPr="00033E5F">
        <w:t>—</w:t>
      </w:r>
      <w:r>
        <w:t>These programs are identified using national data.</w:t>
      </w:r>
    </w:p>
    <w:p w14:paraId="71BD7E32" w14:textId="77777777" w:rsidR="00C06C43" w:rsidRDefault="00C06C43" w:rsidP="000814E5">
      <w:pPr>
        <w:widowControl w:val="0"/>
      </w:pPr>
    </w:p>
    <w:p w14:paraId="0D9F451E" w14:textId="1558509A" w:rsidR="00C06C43" w:rsidRDefault="00F56002" w:rsidP="000814E5">
      <w:pPr>
        <w:widowControl w:val="0"/>
      </w:pPr>
      <w:r>
        <w:t>Numerator: # of CTE concentrators who concentrated in a state-approved Program of Study that leads to a nontraditional field</w:t>
      </w:r>
    </w:p>
    <w:p w14:paraId="322B5A9A" w14:textId="77777777" w:rsidR="00C06C43" w:rsidRDefault="00C06C43" w:rsidP="000814E5">
      <w:pPr>
        <w:widowControl w:val="0"/>
      </w:pPr>
    </w:p>
    <w:p w14:paraId="586E8D5A" w14:textId="463C716F" w:rsidR="00C06C43" w:rsidRDefault="00F56002" w:rsidP="000814E5">
      <w:pPr>
        <w:widowControl w:val="0"/>
      </w:pPr>
      <w:r>
        <w:t>Denominator: # of CTE concentrators who concentrated in a state-approved Program of Study</w:t>
      </w:r>
    </w:p>
    <w:p w14:paraId="17D8796E" w14:textId="77777777" w:rsidR="0098257A" w:rsidRDefault="0098257A" w:rsidP="0098257A">
      <w:pPr>
        <w:widowControl w:val="0"/>
        <w:spacing w:line="240" w:lineRule="auto"/>
      </w:pPr>
    </w:p>
    <w:p w14:paraId="055C322E" w14:textId="77777777" w:rsidR="000814E5" w:rsidRDefault="000814E5" w:rsidP="00E101B7">
      <w:pPr>
        <w:pStyle w:val="Heading3"/>
      </w:pPr>
    </w:p>
    <w:p w14:paraId="5A0E7888" w14:textId="77777777" w:rsidR="000814E5" w:rsidRDefault="000814E5" w:rsidP="00E101B7">
      <w:pPr>
        <w:pStyle w:val="Heading3"/>
      </w:pPr>
    </w:p>
    <w:p w14:paraId="0E3911DA" w14:textId="77777777" w:rsidR="000814E5" w:rsidRDefault="000814E5" w:rsidP="00E101B7">
      <w:pPr>
        <w:pStyle w:val="Heading3"/>
      </w:pPr>
    </w:p>
    <w:p w14:paraId="6345D4AB" w14:textId="77777777" w:rsidR="000814E5" w:rsidRDefault="000814E5" w:rsidP="00E101B7">
      <w:pPr>
        <w:pStyle w:val="Heading3"/>
      </w:pPr>
    </w:p>
    <w:p w14:paraId="06EF779F" w14:textId="77777777" w:rsidR="000814E5" w:rsidRDefault="000814E5" w:rsidP="00E101B7">
      <w:pPr>
        <w:pStyle w:val="Heading3"/>
      </w:pPr>
    </w:p>
    <w:p w14:paraId="6A9B54E8" w14:textId="77777777" w:rsidR="000814E5" w:rsidRDefault="000814E5" w:rsidP="00E101B7">
      <w:pPr>
        <w:pStyle w:val="Heading3"/>
      </w:pPr>
    </w:p>
    <w:p w14:paraId="2431AB56" w14:textId="4A925388" w:rsidR="00C06C43" w:rsidRDefault="00F56002" w:rsidP="00E101B7">
      <w:pPr>
        <w:pStyle w:val="Heading3"/>
      </w:pPr>
      <w:r>
        <w:lastRenderedPageBreak/>
        <w:t>Proposed Targets</w:t>
      </w:r>
    </w:p>
    <w:p w14:paraId="2086BC77" w14:textId="77777777" w:rsidR="00C06C43" w:rsidRDefault="00C06C43">
      <w:pPr>
        <w:widowControl w:val="0"/>
        <w:spacing w:before="2" w:line="240" w:lineRule="auto"/>
        <w:rPr>
          <w:rFonts w:ascii="Calibri" w:eastAsia="Calibri" w:hAnsi="Calibri" w:cs="Calibri"/>
          <w:b/>
          <w:sz w:val="8"/>
          <w:szCs w:val="8"/>
        </w:rPr>
      </w:pPr>
    </w:p>
    <w:tbl>
      <w:tblPr>
        <w:tblStyle w:val="a6"/>
        <w:tblW w:w="4848" w:type="dxa"/>
        <w:tblInd w:w="215"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Look w:val="0000" w:firstRow="0" w:lastRow="0" w:firstColumn="0" w:lastColumn="0" w:noHBand="0" w:noVBand="0"/>
        <w:tblCaption w:val="Non-Traditional Program Enrollment Proposed Targets"/>
      </w:tblPr>
      <w:tblGrid>
        <w:gridCol w:w="2424"/>
        <w:gridCol w:w="2424"/>
      </w:tblGrid>
      <w:tr w:rsidR="00C06C43" w14:paraId="08FA4900" w14:textId="77777777" w:rsidTr="003006C6">
        <w:trPr>
          <w:trHeight w:val="705"/>
          <w:tblHeader/>
        </w:trPr>
        <w:tc>
          <w:tcPr>
            <w:tcW w:w="2424" w:type="dxa"/>
            <w:shd w:val="clear" w:color="auto" w:fill="1B75BC"/>
            <w:vAlign w:val="center"/>
          </w:tcPr>
          <w:p w14:paraId="44CB4C81" w14:textId="0D022A26" w:rsidR="00C06C43" w:rsidRPr="00A6001C" w:rsidRDefault="00F56002" w:rsidP="00A6001C">
            <w:pPr>
              <w:widowControl w:val="0"/>
              <w:spacing w:line="240" w:lineRule="auto"/>
              <w:jc w:val="center"/>
              <w:rPr>
                <w:rFonts w:ascii="Calibri" w:eastAsia="Calibri" w:hAnsi="Calibri" w:cs="Calibri"/>
                <w:b/>
                <w:sz w:val="24"/>
                <w:szCs w:val="24"/>
              </w:rPr>
            </w:pPr>
            <w:r w:rsidRPr="00A6001C">
              <w:rPr>
                <w:rFonts w:ascii="Calibri" w:eastAsia="Calibri" w:hAnsi="Calibri" w:cs="Calibri"/>
                <w:b/>
                <w:color w:val="FFFFFF"/>
                <w:sz w:val="24"/>
                <w:szCs w:val="24"/>
              </w:rPr>
              <w:t>School Year</w:t>
            </w:r>
          </w:p>
        </w:tc>
        <w:tc>
          <w:tcPr>
            <w:tcW w:w="2424" w:type="dxa"/>
            <w:shd w:val="clear" w:color="auto" w:fill="1B75BC"/>
            <w:vAlign w:val="center"/>
          </w:tcPr>
          <w:p w14:paraId="4642BA85" w14:textId="77777777" w:rsidR="00C06C43" w:rsidRPr="00A6001C" w:rsidRDefault="00F56002" w:rsidP="00A6001C">
            <w:pPr>
              <w:widowControl w:val="0"/>
              <w:spacing w:line="240" w:lineRule="auto"/>
              <w:jc w:val="center"/>
              <w:rPr>
                <w:rFonts w:ascii="Calibri" w:eastAsia="Calibri" w:hAnsi="Calibri" w:cs="Calibri"/>
                <w:b/>
                <w:sz w:val="24"/>
                <w:szCs w:val="24"/>
              </w:rPr>
            </w:pPr>
            <w:r w:rsidRPr="00A6001C">
              <w:rPr>
                <w:rFonts w:ascii="Calibri" w:eastAsia="Calibri" w:hAnsi="Calibri" w:cs="Calibri"/>
                <w:b/>
                <w:color w:val="FFFFFF"/>
                <w:sz w:val="24"/>
                <w:szCs w:val="24"/>
              </w:rPr>
              <w:t>Target</w:t>
            </w:r>
          </w:p>
        </w:tc>
      </w:tr>
      <w:tr w:rsidR="00C06C43" w14:paraId="55347FF2" w14:textId="77777777" w:rsidTr="00B20955">
        <w:trPr>
          <w:trHeight w:val="307"/>
        </w:trPr>
        <w:tc>
          <w:tcPr>
            <w:tcW w:w="2424" w:type="dxa"/>
            <w:tcBorders>
              <w:left w:val="single" w:sz="6" w:space="0" w:color="929497"/>
              <w:bottom w:val="single" w:sz="6" w:space="0" w:color="929497"/>
              <w:right w:val="single" w:sz="6" w:space="0" w:color="929497"/>
            </w:tcBorders>
            <w:shd w:val="clear" w:color="auto" w:fill="FFFFFF" w:themeFill="background1"/>
          </w:tcPr>
          <w:p w14:paraId="04CF3FD3"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2019-2020</w:t>
            </w:r>
          </w:p>
        </w:tc>
        <w:tc>
          <w:tcPr>
            <w:tcW w:w="2424" w:type="dxa"/>
            <w:tcBorders>
              <w:left w:val="single" w:sz="6" w:space="0" w:color="929497"/>
              <w:bottom w:val="single" w:sz="6" w:space="0" w:color="929497"/>
              <w:right w:val="single" w:sz="6" w:space="0" w:color="929497"/>
            </w:tcBorders>
            <w:shd w:val="clear" w:color="auto" w:fill="FFFFFF" w:themeFill="background1"/>
          </w:tcPr>
          <w:p w14:paraId="1DD02552" w14:textId="77777777" w:rsidR="00C06C43" w:rsidRDefault="00F56002">
            <w:pPr>
              <w:widowControl w:val="0"/>
              <w:spacing w:before="44" w:line="240" w:lineRule="auto"/>
              <w:ind w:right="866"/>
              <w:jc w:val="right"/>
              <w:rPr>
                <w:rFonts w:ascii="Calibri" w:eastAsia="Calibri" w:hAnsi="Calibri" w:cs="Calibri"/>
                <w:sz w:val="19"/>
                <w:szCs w:val="19"/>
              </w:rPr>
            </w:pPr>
            <w:r>
              <w:rPr>
                <w:rFonts w:ascii="Calibri" w:eastAsia="Calibri" w:hAnsi="Calibri" w:cs="Calibri"/>
                <w:color w:val="231F20"/>
                <w:sz w:val="19"/>
                <w:szCs w:val="19"/>
              </w:rPr>
              <w:t>27.50%</w:t>
            </w:r>
          </w:p>
        </w:tc>
      </w:tr>
      <w:tr w:rsidR="00C06C43" w14:paraId="12BE72C9" w14:textId="77777777" w:rsidTr="00B20955">
        <w:trPr>
          <w:trHeight w:val="307"/>
        </w:trPr>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5A1D59DA"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2020-2021</w:t>
            </w:r>
          </w:p>
        </w:tc>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330CF276" w14:textId="77777777" w:rsidR="00C06C43" w:rsidRDefault="00F56002">
            <w:pPr>
              <w:widowControl w:val="0"/>
              <w:spacing w:before="44" w:line="240" w:lineRule="auto"/>
              <w:ind w:right="866"/>
              <w:jc w:val="right"/>
              <w:rPr>
                <w:rFonts w:ascii="Calibri" w:eastAsia="Calibri" w:hAnsi="Calibri" w:cs="Calibri"/>
                <w:sz w:val="19"/>
                <w:szCs w:val="19"/>
              </w:rPr>
            </w:pPr>
            <w:r>
              <w:rPr>
                <w:rFonts w:ascii="Calibri" w:eastAsia="Calibri" w:hAnsi="Calibri" w:cs="Calibri"/>
                <w:color w:val="231F20"/>
                <w:sz w:val="19"/>
                <w:szCs w:val="19"/>
              </w:rPr>
              <w:t>28.00%</w:t>
            </w:r>
          </w:p>
        </w:tc>
      </w:tr>
      <w:tr w:rsidR="00C06C43" w14:paraId="07FE3158" w14:textId="77777777" w:rsidTr="00B20955">
        <w:trPr>
          <w:trHeight w:val="307"/>
        </w:trPr>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2F463B4C"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2021-2022</w:t>
            </w:r>
          </w:p>
        </w:tc>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345DA7E1" w14:textId="77777777" w:rsidR="00C06C43" w:rsidRDefault="00F56002">
            <w:pPr>
              <w:widowControl w:val="0"/>
              <w:spacing w:before="44" w:line="240" w:lineRule="auto"/>
              <w:ind w:right="866"/>
              <w:jc w:val="right"/>
              <w:rPr>
                <w:rFonts w:ascii="Calibri" w:eastAsia="Calibri" w:hAnsi="Calibri" w:cs="Calibri"/>
                <w:sz w:val="19"/>
                <w:szCs w:val="19"/>
              </w:rPr>
            </w:pPr>
            <w:r>
              <w:rPr>
                <w:rFonts w:ascii="Calibri" w:eastAsia="Calibri" w:hAnsi="Calibri" w:cs="Calibri"/>
                <w:color w:val="231F20"/>
                <w:sz w:val="19"/>
                <w:szCs w:val="19"/>
              </w:rPr>
              <w:t>28.50%</w:t>
            </w:r>
          </w:p>
        </w:tc>
      </w:tr>
      <w:tr w:rsidR="00C06C43" w14:paraId="0CBD0C14" w14:textId="77777777" w:rsidTr="00B20955">
        <w:trPr>
          <w:trHeight w:val="305"/>
        </w:trPr>
        <w:tc>
          <w:tcPr>
            <w:tcW w:w="2424" w:type="dxa"/>
            <w:tcBorders>
              <w:top w:val="single" w:sz="6" w:space="0" w:color="929497"/>
              <w:left w:val="single" w:sz="6" w:space="0" w:color="929497"/>
              <w:bottom w:val="single" w:sz="8" w:space="0" w:color="1B75BC"/>
              <w:right w:val="single" w:sz="6" w:space="0" w:color="929497"/>
            </w:tcBorders>
            <w:shd w:val="clear" w:color="auto" w:fill="FFFFFF" w:themeFill="background1"/>
          </w:tcPr>
          <w:p w14:paraId="3DB79ED6"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2022-2023</w:t>
            </w:r>
          </w:p>
        </w:tc>
        <w:tc>
          <w:tcPr>
            <w:tcW w:w="2424" w:type="dxa"/>
            <w:tcBorders>
              <w:top w:val="single" w:sz="6" w:space="0" w:color="929497"/>
              <w:left w:val="single" w:sz="6" w:space="0" w:color="929497"/>
              <w:bottom w:val="single" w:sz="8" w:space="0" w:color="1B75BC"/>
              <w:right w:val="single" w:sz="6" w:space="0" w:color="929497"/>
            </w:tcBorders>
            <w:shd w:val="clear" w:color="auto" w:fill="FFFFFF" w:themeFill="background1"/>
          </w:tcPr>
          <w:p w14:paraId="4855557A" w14:textId="77777777" w:rsidR="00C06C43" w:rsidRDefault="00F56002">
            <w:pPr>
              <w:widowControl w:val="0"/>
              <w:spacing w:before="44" w:line="240" w:lineRule="auto"/>
              <w:ind w:right="866"/>
              <w:jc w:val="right"/>
              <w:rPr>
                <w:rFonts w:ascii="Calibri" w:eastAsia="Calibri" w:hAnsi="Calibri" w:cs="Calibri"/>
                <w:sz w:val="19"/>
                <w:szCs w:val="19"/>
              </w:rPr>
            </w:pPr>
            <w:r>
              <w:rPr>
                <w:rFonts w:ascii="Calibri" w:eastAsia="Calibri" w:hAnsi="Calibri" w:cs="Calibri"/>
                <w:color w:val="231F20"/>
                <w:sz w:val="19"/>
                <w:szCs w:val="19"/>
              </w:rPr>
              <w:t>29.00%</w:t>
            </w:r>
          </w:p>
        </w:tc>
      </w:tr>
    </w:tbl>
    <w:p w14:paraId="656DFE0B" w14:textId="77777777" w:rsidR="00B20955" w:rsidRDefault="00B20955">
      <w:pPr>
        <w:widowControl w:val="0"/>
        <w:spacing w:before="74" w:line="240" w:lineRule="auto"/>
        <w:rPr>
          <w:b/>
          <w:i/>
          <w:color w:val="FF0000"/>
        </w:rPr>
      </w:pPr>
    </w:p>
    <w:p w14:paraId="4B851E2D" w14:textId="108E4716" w:rsidR="00C06C43" w:rsidRDefault="00F56002" w:rsidP="000814E5">
      <w:pPr>
        <w:widowControl w:val="0"/>
        <w:spacing w:before="74"/>
        <w:rPr>
          <w:b/>
          <w:i/>
          <w:color w:val="FF0000"/>
        </w:rPr>
      </w:pPr>
      <w:r>
        <w:rPr>
          <w:b/>
          <w:i/>
          <w:color w:val="FF0000"/>
        </w:rPr>
        <w:t xml:space="preserve">No adjustments to proposed targets. There is no expectation that nontraditional by gender enrollment </w:t>
      </w:r>
      <w:r w:rsidR="007F3729">
        <w:rPr>
          <w:b/>
          <w:i/>
          <w:color w:val="FF0000"/>
        </w:rPr>
        <w:t xml:space="preserve">is </w:t>
      </w:r>
      <w:r>
        <w:rPr>
          <w:b/>
          <w:i/>
          <w:color w:val="FF0000"/>
        </w:rPr>
        <w:t>to be impacted by COVID.</w:t>
      </w:r>
    </w:p>
    <w:p w14:paraId="4CE3860E" w14:textId="77777777" w:rsidR="00C06C43" w:rsidRDefault="00C06C43">
      <w:pPr>
        <w:widowControl w:val="0"/>
        <w:spacing w:before="74" w:line="240" w:lineRule="auto"/>
      </w:pPr>
    </w:p>
    <w:p w14:paraId="4F9A9B88" w14:textId="77777777" w:rsidR="00C06C43" w:rsidRDefault="00F56002" w:rsidP="00E04327">
      <w:pPr>
        <w:pStyle w:val="Heading3"/>
        <w:spacing w:line="252" w:lineRule="auto"/>
      </w:pPr>
      <w:r>
        <w:t>Rationale</w:t>
      </w:r>
    </w:p>
    <w:p w14:paraId="794D7F14" w14:textId="77777777" w:rsidR="00C06C43" w:rsidRDefault="00F56002" w:rsidP="00E04327">
      <w:pPr>
        <w:widowControl w:val="0"/>
        <w:spacing w:before="74" w:line="252" w:lineRule="auto"/>
      </w:pPr>
      <w:r>
        <w:t>This indicator replaces two similar indicators used for Perkins IV. The previous indicators differed from each other by the number of CTE credits earned by students. The initial target for this measure falls between the targets for the two previous measures.</w:t>
      </w:r>
    </w:p>
    <w:p w14:paraId="2D1117D4" w14:textId="77777777" w:rsidR="00C06C43" w:rsidRDefault="00C06C43">
      <w:pPr>
        <w:widowControl w:val="0"/>
        <w:spacing w:before="74" w:line="240" w:lineRule="auto"/>
      </w:pPr>
    </w:p>
    <w:p w14:paraId="03CBF9B5" w14:textId="77777777" w:rsidR="00C06C43" w:rsidRPr="00791E16" w:rsidRDefault="00F56002" w:rsidP="00B20955">
      <w:pPr>
        <w:pStyle w:val="Heading2"/>
        <w:rPr>
          <w:color w:val="auto"/>
        </w:rPr>
      </w:pPr>
      <w:r w:rsidRPr="00791E16">
        <w:rPr>
          <w:color w:val="auto"/>
        </w:rPr>
        <w:t>5S1: Program Quality—Participated in Work-Based Learning</w:t>
      </w:r>
    </w:p>
    <w:p w14:paraId="4337587D" w14:textId="7BED10F3" w:rsidR="00C06C43" w:rsidRDefault="00F56002" w:rsidP="00E04327">
      <w:pPr>
        <w:widowControl w:val="0"/>
        <w:spacing w:line="252" w:lineRule="auto"/>
      </w:pPr>
      <w:r>
        <w:t>All three measures under program quality are important and measured to some degree in Oregon. The workgroup recommended using work-based learning</w:t>
      </w:r>
      <w:r w:rsidR="007F3729">
        <w:t>,</w:t>
      </w:r>
      <w:r>
        <w:t xml:space="preserve"> as it is the most versatile measure because it can be done in any community regardless of zip code, diversity</w:t>
      </w:r>
      <w:r w:rsidR="007F3729">
        <w:t>,</w:t>
      </w:r>
      <w:r>
        <w:t xml:space="preserve"> or program offerings. Work-based learning is defined as:</w:t>
      </w:r>
    </w:p>
    <w:p w14:paraId="3D4A950B" w14:textId="77777777" w:rsidR="00C06C43" w:rsidRDefault="00C06C43" w:rsidP="00E04327">
      <w:pPr>
        <w:widowControl w:val="0"/>
        <w:spacing w:line="252" w:lineRule="auto"/>
      </w:pPr>
    </w:p>
    <w:p w14:paraId="71449478" w14:textId="77777777" w:rsidR="00C06C43" w:rsidRDefault="00F56002" w:rsidP="00E04327">
      <w:pPr>
        <w:widowControl w:val="0"/>
        <w:spacing w:line="252" w:lineRule="auto"/>
      </w:pPr>
      <w:r>
        <w:rPr>
          <w:b/>
        </w:rPr>
        <w:t>Proposed:</w:t>
      </w:r>
      <w:r>
        <w:t xml:space="preserve"> Structured learning in the workplace or simulated environment that provides opportunities for sustained interactions with industry or community professionals that foster in-depth firsthand experience of the expectations and application of knowledge and skills required in a given career field.</w:t>
      </w:r>
    </w:p>
    <w:p w14:paraId="6F00B8C0" w14:textId="77777777" w:rsidR="00C06C43" w:rsidRDefault="00C06C43" w:rsidP="00E04327">
      <w:pPr>
        <w:widowControl w:val="0"/>
        <w:spacing w:line="252" w:lineRule="auto"/>
      </w:pPr>
    </w:p>
    <w:p w14:paraId="09BC9304" w14:textId="7E8E3313" w:rsidR="00C06C43" w:rsidRDefault="00F56002" w:rsidP="00E04327">
      <w:pPr>
        <w:widowControl w:val="0"/>
        <w:spacing w:line="252" w:lineRule="auto"/>
      </w:pPr>
      <w:r w:rsidRPr="00022C48">
        <w:t>Examples include: Clinical</w:t>
      </w:r>
      <w:r w:rsidR="009933BE">
        <w:t>/practicum/internships, school-</w:t>
      </w:r>
      <w:r>
        <w:t>based enterprises, workplace simulation/technology-based learning, service-learning, and cooperative work experiences.</w:t>
      </w:r>
    </w:p>
    <w:p w14:paraId="2260BE45" w14:textId="6922EB19" w:rsidR="00C06C43" w:rsidRDefault="00C06C43" w:rsidP="00E04327">
      <w:pPr>
        <w:widowControl w:val="0"/>
        <w:spacing w:line="252" w:lineRule="auto"/>
      </w:pPr>
    </w:p>
    <w:p w14:paraId="74703148" w14:textId="77777777" w:rsidR="00C06C43" w:rsidRDefault="00C06C43" w:rsidP="00E04327">
      <w:pPr>
        <w:widowControl w:val="0"/>
        <w:spacing w:line="252" w:lineRule="auto"/>
      </w:pPr>
    </w:p>
    <w:p w14:paraId="0F1F9DA8" w14:textId="77777777" w:rsidR="00C06C43" w:rsidRDefault="00F56002" w:rsidP="00E04327">
      <w:pPr>
        <w:widowControl w:val="0"/>
        <w:spacing w:line="252" w:lineRule="auto"/>
      </w:pPr>
      <w:r>
        <w:t>Numerator: # of CTE concentrators who participated in work-based learning during high school, and who graduated from high school during the reporting year</w:t>
      </w:r>
    </w:p>
    <w:p w14:paraId="4AEFEB4E" w14:textId="77777777" w:rsidR="00C06C43" w:rsidRDefault="00C06C43" w:rsidP="00E04327">
      <w:pPr>
        <w:widowControl w:val="0"/>
        <w:spacing w:line="252" w:lineRule="auto"/>
      </w:pPr>
    </w:p>
    <w:p w14:paraId="7122EECB" w14:textId="37944760" w:rsidR="00C06C43" w:rsidRDefault="00F56002" w:rsidP="00E04327">
      <w:pPr>
        <w:widowControl w:val="0"/>
        <w:spacing w:line="252" w:lineRule="auto"/>
      </w:pPr>
      <w:r>
        <w:t>Denominator: # of CTE concentrators who graduated from high school during the reporting year</w:t>
      </w:r>
      <w:r w:rsidR="00B20955">
        <w:t>.</w:t>
      </w:r>
    </w:p>
    <w:p w14:paraId="642FCB51" w14:textId="77777777" w:rsidR="00C06C43" w:rsidRDefault="00C06C43">
      <w:pPr>
        <w:widowControl w:val="0"/>
        <w:spacing w:before="74" w:line="240" w:lineRule="auto"/>
      </w:pPr>
    </w:p>
    <w:p w14:paraId="157C508F" w14:textId="77777777" w:rsidR="00C06C43" w:rsidRPr="009B2977" w:rsidRDefault="00F56002" w:rsidP="00E101B7">
      <w:pPr>
        <w:pStyle w:val="Heading3"/>
        <w:rPr>
          <w:color w:val="000000"/>
          <w14:textFill>
            <w14:solidFill>
              <w14:srgbClr w14:val="000000">
                <w14:lumMod w14:val="65000"/>
                <w14:lumOff w14:val="35000"/>
              </w14:srgbClr>
            </w14:solidFill>
          </w14:textFill>
        </w:rPr>
      </w:pPr>
      <w:r>
        <w:t>Proposed Targets</w:t>
      </w:r>
      <w:r>
        <w:rPr>
          <w:vertAlign w:val="superscript"/>
        </w:rPr>
        <w:footnoteReference w:id="4"/>
      </w:r>
      <w:bookmarkStart w:id="2" w:name="_jixplw319qqu" w:colFirst="0" w:colLast="0"/>
      <w:bookmarkEnd w:id="2"/>
    </w:p>
    <w:tbl>
      <w:tblPr>
        <w:tblStyle w:val="a7"/>
        <w:tblW w:w="4848" w:type="dxa"/>
        <w:tblInd w:w="7"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Look w:val="0000" w:firstRow="0" w:lastRow="0" w:firstColumn="0" w:lastColumn="0" w:noHBand="0" w:noVBand="0"/>
        <w:tblCaption w:val="Program Quality Proposed Targets"/>
      </w:tblPr>
      <w:tblGrid>
        <w:gridCol w:w="2424"/>
        <w:gridCol w:w="2424"/>
      </w:tblGrid>
      <w:tr w:rsidR="00C06C43" w14:paraId="2BAE74B8" w14:textId="77777777" w:rsidTr="003006C6">
        <w:trPr>
          <w:trHeight w:val="682"/>
          <w:tblHeader/>
        </w:trPr>
        <w:tc>
          <w:tcPr>
            <w:tcW w:w="2424" w:type="dxa"/>
            <w:shd w:val="clear" w:color="auto" w:fill="1B75BC"/>
            <w:vAlign w:val="center"/>
          </w:tcPr>
          <w:p w14:paraId="60C2C9D9" w14:textId="446102AF" w:rsidR="00C06C43" w:rsidRPr="00B20955" w:rsidRDefault="00F56002" w:rsidP="00B20955">
            <w:pPr>
              <w:widowControl w:val="0"/>
              <w:spacing w:line="240" w:lineRule="auto"/>
              <w:jc w:val="center"/>
              <w:rPr>
                <w:rFonts w:ascii="Calibri" w:eastAsia="Calibri" w:hAnsi="Calibri" w:cs="Calibri"/>
                <w:b/>
                <w:sz w:val="24"/>
                <w:szCs w:val="24"/>
              </w:rPr>
            </w:pPr>
            <w:r w:rsidRPr="00B20955">
              <w:rPr>
                <w:rFonts w:ascii="Calibri" w:eastAsia="Calibri" w:hAnsi="Calibri" w:cs="Calibri"/>
                <w:b/>
                <w:color w:val="FFFFFF"/>
                <w:sz w:val="24"/>
                <w:szCs w:val="24"/>
              </w:rPr>
              <w:lastRenderedPageBreak/>
              <w:t>School Year</w:t>
            </w:r>
          </w:p>
        </w:tc>
        <w:tc>
          <w:tcPr>
            <w:tcW w:w="2424" w:type="dxa"/>
            <w:shd w:val="clear" w:color="auto" w:fill="1B75BC"/>
            <w:vAlign w:val="center"/>
          </w:tcPr>
          <w:p w14:paraId="79401D3C" w14:textId="2F4F5FC9" w:rsidR="00C06C43" w:rsidRPr="00B20955" w:rsidRDefault="00F56002" w:rsidP="00B20955">
            <w:pPr>
              <w:widowControl w:val="0"/>
              <w:spacing w:line="240" w:lineRule="auto"/>
              <w:jc w:val="center"/>
              <w:rPr>
                <w:rFonts w:ascii="Calibri" w:eastAsia="Calibri" w:hAnsi="Calibri" w:cs="Calibri"/>
                <w:b/>
                <w:sz w:val="24"/>
                <w:szCs w:val="24"/>
              </w:rPr>
            </w:pPr>
            <w:r w:rsidRPr="00B20955">
              <w:rPr>
                <w:rFonts w:ascii="Calibri" w:eastAsia="Calibri" w:hAnsi="Calibri" w:cs="Calibri"/>
                <w:b/>
                <w:color w:val="FFFFFF"/>
                <w:sz w:val="24"/>
                <w:szCs w:val="24"/>
              </w:rPr>
              <w:t>Target</w:t>
            </w:r>
          </w:p>
        </w:tc>
      </w:tr>
      <w:tr w:rsidR="00C06C43" w14:paraId="14208FDE" w14:textId="77777777" w:rsidTr="00B20955">
        <w:trPr>
          <w:trHeight w:val="307"/>
        </w:trPr>
        <w:tc>
          <w:tcPr>
            <w:tcW w:w="2424" w:type="dxa"/>
            <w:tcBorders>
              <w:left w:val="single" w:sz="6" w:space="0" w:color="929497"/>
              <w:bottom w:val="single" w:sz="6" w:space="0" w:color="929497"/>
              <w:right w:val="single" w:sz="6" w:space="0" w:color="929497"/>
            </w:tcBorders>
            <w:shd w:val="clear" w:color="auto" w:fill="FFFFFF" w:themeFill="background1"/>
          </w:tcPr>
          <w:p w14:paraId="5EC07C4D"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2019-2020</w:t>
            </w:r>
          </w:p>
        </w:tc>
        <w:tc>
          <w:tcPr>
            <w:tcW w:w="2424" w:type="dxa"/>
            <w:tcBorders>
              <w:left w:val="single" w:sz="6" w:space="0" w:color="929497"/>
              <w:bottom w:val="single" w:sz="6" w:space="0" w:color="929497"/>
              <w:right w:val="single" w:sz="6" w:space="0" w:color="929497"/>
            </w:tcBorders>
            <w:shd w:val="clear" w:color="auto" w:fill="FFFFFF" w:themeFill="background1"/>
          </w:tcPr>
          <w:p w14:paraId="196D7E6D"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10.00%</w:t>
            </w:r>
          </w:p>
          <w:p w14:paraId="1897D705" w14:textId="77777777" w:rsidR="00C06C43" w:rsidRDefault="00F56002">
            <w:pPr>
              <w:widowControl w:val="0"/>
              <w:spacing w:before="44" w:line="240" w:lineRule="auto"/>
              <w:ind w:right="866"/>
              <w:jc w:val="right"/>
              <w:rPr>
                <w:rFonts w:ascii="Calibri" w:eastAsia="Calibri" w:hAnsi="Calibri" w:cs="Calibri"/>
                <w:b/>
                <w:color w:val="FF0000"/>
                <w:sz w:val="19"/>
                <w:szCs w:val="19"/>
              </w:rPr>
            </w:pPr>
            <w:r>
              <w:rPr>
                <w:rFonts w:ascii="Calibri" w:eastAsia="Calibri" w:hAnsi="Calibri" w:cs="Calibri"/>
                <w:b/>
                <w:color w:val="FF0000"/>
                <w:sz w:val="19"/>
                <w:szCs w:val="19"/>
              </w:rPr>
              <w:t>5.00%</w:t>
            </w:r>
          </w:p>
        </w:tc>
      </w:tr>
      <w:tr w:rsidR="00C06C43" w14:paraId="2A3A51AE" w14:textId="77777777" w:rsidTr="00B20955">
        <w:trPr>
          <w:trHeight w:val="307"/>
        </w:trPr>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403C0234"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2020-2021</w:t>
            </w:r>
          </w:p>
        </w:tc>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592D5477"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15.00%</w:t>
            </w:r>
          </w:p>
          <w:p w14:paraId="3B0E2F53" w14:textId="77777777" w:rsidR="00C06C43" w:rsidRDefault="00F56002">
            <w:pPr>
              <w:widowControl w:val="0"/>
              <w:spacing w:before="44" w:line="240" w:lineRule="auto"/>
              <w:ind w:right="866"/>
              <w:jc w:val="right"/>
              <w:rPr>
                <w:rFonts w:ascii="Calibri" w:eastAsia="Calibri" w:hAnsi="Calibri" w:cs="Calibri"/>
                <w:b/>
                <w:color w:val="FF0000"/>
                <w:sz w:val="19"/>
                <w:szCs w:val="19"/>
              </w:rPr>
            </w:pPr>
            <w:r>
              <w:rPr>
                <w:rFonts w:ascii="Calibri" w:eastAsia="Calibri" w:hAnsi="Calibri" w:cs="Calibri"/>
                <w:b/>
                <w:color w:val="FF0000"/>
                <w:sz w:val="19"/>
                <w:szCs w:val="19"/>
              </w:rPr>
              <w:t>12.00%</w:t>
            </w:r>
          </w:p>
        </w:tc>
      </w:tr>
      <w:tr w:rsidR="00C06C43" w14:paraId="1B456359" w14:textId="77777777" w:rsidTr="00B20955">
        <w:trPr>
          <w:trHeight w:val="307"/>
        </w:trPr>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1A5C417A"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2021-2022</w:t>
            </w:r>
          </w:p>
        </w:tc>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6048A0D0"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23.00%</w:t>
            </w:r>
          </w:p>
          <w:p w14:paraId="5D4E2DF1" w14:textId="77777777" w:rsidR="00C06C43" w:rsidRDefault="00F56002">
            <w:pPr>
              <w:widowControl w:val="0"/>
              <w:spacing w:before="44" w:line="240" w:lineRule="auto"/>
              <w:ind w:right="866"/>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20.00%</w:t>
            </w:r>
          </w:p>
        </w:tc>
      </w:tr>
      <w:tr w:rsidR="00C06C43" w14:paraId="72B804B1" w14:textId="77777777" w:rsidTr="00B20955">
        <w:trPr>
          <w:trHeight w:val="305"/>
        </w:trPr>
        <w:tc>
          <w:tcPr>
            <w:tcW w:w="2424" w:type="dxa"/>
            <w:tcBorders>
              <w:top w:val="single" w:sz="6" w:space="0" w:color="929497"/>
              <w:left w:val="single" w:sz="6" w:space="0" w:color="929497"/>
              <w:bottom w:val="single" w:sz="8" w:space="0" w:color="1B75BC"/>
              <w:right w:val="single" w:sz="6" w:space="0" w:color="929497"/>
            </w:tcBorders>
            <w:shd w:val="clear" w:color="auto" w:fill="FFFFFF" w:themeFill="background1"/>
          </w:tcPr>
          <w:p w14:paraId="50011D48"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2022-2023</w:t>
            </w:r>
          </w:p>
        </w:tc>
        <w:tc>
          <w:tcPr>
            <w:tcW w:w="2424" w:type="dxa"/>
            <w:tcBorders>
              <w:top w:val="single" w:sz="6" w:space="0" w:color="929497"/>
              <w:left w:val="single" w:sz="6" w:space="0" w:color="929497"/>
              <w:bottom w:val="single" w:sz="8" w:space="0" w:color="1B75BC"/>
              <w:right w:val="single" w:sz="6" w:space="0" w:color="929497"/>
            </w:tcBorders>
            <w:shd w:val="clear" w:color="auto" w:fill="FFFFFF" w:themeFill="background1"/>
          </w:tcPr>
          <w:p w14:paraId="55CD25BA" w14:textId="77777777" w:rsidR="00C06C43" w:rsidRDefault="00F56002">
            <w:pPr>
              <w:widowControl w:val="0"/>
              <w:spacing w:before="44" w:line="240" w:lineRule="auto"/>
              <w:ind w:right="866"/>
              <w:jc w:val="right"/>
              <w:rPr>
                <w:rFonts w:ascii="Calibri" w:eastAsia="Calibri" w:hAnsi="Calibri" w:cs="Calibri"/>
                <w:color w:val="231F20"/>
                <w:sz w:val="19"/>
                <w:szCs w:val="19"/>
              </w:rPr>
            </w:pPr>
            <w:r>
              <w:rPr>
                <w:rFonts w:ascii="Calibri" w:eastAsia="Calibri" w:hAnsi="Calibri" w:cs="Calibri"/>
                <w:color w:val="231F20"/>
                <w:sz w:val="19"/>
                <w:szCs w:val="19"/>
              </w:rPr>
              <w:t>31.00%</w:t>
            </w:r>
          </w:p>
          <w:p w14:paraId="3A2D30DB" w14:textId="77777777" w:rsidR="00C06C43" w:rsidRDefault="00F56002">
            <w:pPr>
              <w:widowControl w:val="0"/>
              <w:spacing w:before="44" w:line="240" w:lineRule="auto"/>
              <w:ind w:right="866"/>
              <w:jc w:val="center"/>
              <w:rPr>
                <w:rFonts w:ascii="Calibri" w:eastAsia="Calibri" w:hAnsi="Calibri" w:cs="Calibri"/>
                <w:b/>
                <w:color w:val="FF0000"/>
                <w:sz w:val="19"/>
                <w:szCs w:val="19"/>
              </w:rPr>
            </w:pPr>
            <w:r>
              <w:rPr>
                <w:rFonts w:ascii="Calibri" w:eastAsia="Calibri" w:hAnsi="Calibri" w:cs="Calibri"/>
                <w:color w:val="231F20"/>
                <w:sz w:val="19"/>
                <w:szCs w:val="19"/>
              </w:rPr>
              <w:t xml:space="preserve">                     </w:t>
            </w:r>
            <w:r>
              <w:rPr>
                <w:rFonts w:ascii="Calibri" w:eastAsia="Calibri" w:hAnsi="Calibri" w:cs="Calibri"/>
                <w:b/>
                <w:color w:val="FF0000"/>
                <w:sz w:val="19"/>
                <w:szCs w:val="19"/>
              </w:rPr>
              <w:t xml:space="preserve"> 25.00%</w:t>
            </w:r>
          </w:p>
        </w:tc>
      </w:tr>
    </w:tbl>
    <w:p w14:paraId="1F6E17FC" w14:textId="77777777" w:rsidR="009B2977" w:rsidRDefault="009B2977" w:rsidP="009B2977">
      <w:bookmarkStart w:id="3" w:name="_99asdhbqzbp0" w:colFirst="0" w:colLast="0"/>
      <w:bookmarkEnd w:id="3"/>
    </w:p>
    <w:p w14:paraId="175E2305" w14:textId="39D262BF" w:rsidR="009B2977" w:rsidRDefault="009B2977" w:rsidP="009B2977"/>
    <w:p w14:paraId="3E5F092A" w14:textId="5D9AD159" w:rsidR="00C06C43" w:rsidRPr="009B2977" w:rsidRDefault="00F56002" w:rsidP="00E101B7">
      <w:pPr>
        <w:pStyle w:val="Heading3"/>
      </w:pPr>
      <w:r w:rsidRPr="009B2977">
        <w:t>Rationale</w:t>
      </w:r>
    </w:p>
    <w:p w14:paraId="5EEF6706" w14:textId="77777777" w:rsidR="00C06C43" w:rsidRDefault="00F56002">
      <w:r>
        <w:t>This is a new indicator under Perkins V. Some high schools in Oregon have been reporting data on career related learning experiences (CRLE). That data is not used currently by ODE, and there has been no technical assistance on what should be recorded. Even without that support, ODE determined that 49% of CTE concentrators had a CRLE before graduating. The initial target is set lower to reflect uncertainty in the validity of existing data. Projected increases are based on increased technical assistance on work-based learning for schools and districts.</w:t>
      </w:r>
    </w:p>
    <w:p w14:paraId="2150380F" w14:textId="77777777" w:rsidR="00C06C43" w:rsidRDefault="00C06C43"/>
    <w:p w14:paraId="531FFDC6" w14:textId="5CC903B3" w:rsidR="00C06C43" w:rsidRDefault="00F56002" w:rsidP="009B2977">
      <w:pPr>
        <w:rPr>
          <w:b/>
          <w:i/>
          <w:color w:val="FF0000"/>
        </w:rPr>
      </w:pPr>
      <w:r>
        <w:rPr>
          <w:b/>
          <w:i/>
          <w:color w:val="FF0000"/>
        </w:rPr>
        <w:t>Rationale for adjusted targets: Work-based learning is a new performance target for Oregon and slower growth is expected due to challenges around COVID-19.</w:t>
      </w:r>
      <w:bookmarkStart w:id="4" w:name="_q143onrat5h3" w:colFirst="0" w:colLast="0"/>
      <w:bookmarkEnd w:id="4"/>
    </w:p>
    <w:p w14:paraId="269FCA03" w14:textId="77777777" w:rsidR="009B2977" w:rsidRPr="009B2977" w:rsidRDefault="009B2977" w:rsidP="009B2977">
      <w:pPr>
        <w:rPr>
          <w:b/>
          <w:i/>
          <w:color w:val="FF0000"/>
        </w:rPr>
      </w:pPr>
    </w:p>
    <w:p w14:paraId="7088D2FC" w14:textId="6027F94F" w:rsidR="00C06C43" w:rsidRPr="00791E16" w:rsidRDefault="00F56002" w:rsidP="009B2977">
      <w:pPr>
        <w:pStyle w:val="Heading2"/>
        <w:rPr>
          <w:color w:val="auto"/>
        </w:rPr>
      </w:pPr>
      <w:bookmarkStart w:id="5" w:name="_3qpwfr4q9ytm" w:colFirst="0" w:colLast="0"/>
      <w:bookmarkEnd w:id="5"/>
      <w:r w:rsidRPr="00791E16">
        <w:rPr>
          <w:color w:val="auto"/>
        </w:rPr>
        <w:t xml:space="preserve">Overview </w:t>
      </w:r>
      <w:r w:rsidR="00FC4A95">
        <w:rPr>
          <w:color w:val="auto"/>
        </w:rPr>
        <w:t xml:space="preserve">of </w:t>
      </w:r>
      <w:r w:rsidRPr="00791E16">
        <w:rPr>
          <w:color w:val="auto"/>
        </w:rPr>
        <w:t>Postsecondary Performance Measures</w:t>
      </w:r>
    </w:p>
    <w:p w14:paraId="4C12EE5B" w14:textId="77777777" w:rsidR="00C06C43" w:rsidRDefault="00F56002" w:rsidP="00E04327">
      <w:pPr>
        <w:pStyle w:val="Heading3"/>
        <w:spacing w:line="276" w:lineRule="auto"/>
      </w:pPr>
      <w:r>
        <w:t>Overview</w:t>
      </w:r>
    </w:p>
    <w:p w14:paraId="0D4EE69D" w14:textId="77777777" w:rsidR="00C06C43" w:rsidRDefault="00F56002" w:rsidP="00E04327">
      <w:r>
        <w:t>Perkins V requires annual reporting of three performance indicators at the postsecondary level, similar to those required under Perkins IV. Postsecondary Technical Skill Attainment, an indicator under Perkins IV, is no longer required.</w:t>
      </w:r>
    </w:p>
    <w:p w14:paraId="26F1C870" w14:textId="77777777" w:rsidR="00C06C43" w:rsidRDefault="00C06C43" w:rsidP="00E04327"/>
    <w:p w14:paraId="24A33B65" w14:textId="77777777" w:rsidR="00C06C43" w:rsidRDefault="00F56002" w:rsidP="00E04327">
      <w:r>
        <w:t xml:space="preserve">This document includes the proposed indicator targets for the next four years. Targets reflect </w:t>
      </w:r>
      <w:bookmarkStart w:id="6" w:name="_GoBack"/>
      <w:bookmarkEnd w:id="6"/>
      <w:r>
        <w:t>analysis of previous data, when available, factoring in the change in the postsecondary CTE concentrator definition under Perkins V.</w:t>
      </w:r>
    </w:p>
    <w:p w14:paraId="252A48D7" w14:textId="77777777" w:rsidR="00C06C43" w:rsidRDefault="00C06C43" w:rsidP="00E04327"/>
    <w:p w14:paraId="62392DF4" w14:textId="77777777" w:rsidR="00C06C43" w:rsidRDefault="00F56002" w:rsidP="00E04327">
      <w:pPr>
        <w:pStyle w:val="Heading3"/>
        <w:spacing w:line="276" w:lineRule="auto"/>
      </w:pPr>
      <w:r>
        <w:t>Postsecondary CTE Concentrator</w:t>
      </w:r>
    </w:p>
    <w:p w14:paraId="46A4DF47" w14:textId="1EA05E27" w:rsidR="00C06C43" w:rsidRDefault="00F56002" w:rsidP="00E04327">
      <w:r>
        <w:t>The Perkins V legislation defines a postsecondary CTE concentrator as a student who has earned at least 12 credits within a CTE program or Program of Study</w:t>
      </w:r>
      <w:r w:rsidR="007F3729">
        <w:t>,</w:t>
      </w:r>
      <w:r>
        <w:t xml:space="preserve"> or has completed the program if it is fewer than 12 credits. Oregon proposes the following definition (additional language italicized and bolded)</w:t>
      </w:r>
      <w:r w:rsidR="007F3729">
        <w:t>:</w:t>
      </w:r>
    </w:p>
    <w:p w14:paraId="3E168760" w14:textId="77777777" w:rsidR="00C06C43" w:rsidRDefault="00C06C43" w:rsidP="00E04327"/>
    <w:p w14:paraId="01544CE3" w14:textId="77777777" w:rsidR="00C06C43" w:rsidRDefault="00F56002" w:rsidP="00E04327">
      <w:pPr>
        <w:rPr>
          <w:b/>
          <w:i/>
        </w:rPr>
      </w:pPr>
      <w:r>
        <w:t xml:space="preserve">A student who has earned at least 12 credits, </w:t>
      </w:r>
      <w:r>
        <w:rPr>
          <w:b/>
          <w:i/>
        </w:rPr>
        <w:t>of which nine program credits are CTE specific</w:t>
      </w:r>
      <w:r>
        <w:t xml:space="preserve">, within a CTE program or Program of Study; </w:t>
      </w:r>
      <w:r>
        <w:rPr>
          <w:b/>
          <w:i/>
        </w:rPr>
        <w:t>or completed the program if it is fewer than 12 credits.</w:t>
      </w:r>
    </w:p>
    <w:p w14:paraId="1A16603B" w14:textId="77777777" w:rsidR="00C06C43" w:rsidRDefault="00C06C43" w:rsidP="00E04327">
      <w:pPr>
        <w:spacing w:line="252" w:lineRule="auto"/>
      </w:pPr>
    </w:p>
    <w:p w14:paraId="6470C4BF" w14:textId="01BEF884" w:rsidR="00C06C43" w:rsidRDefault="00F56002" w:rsidP="00E04327">
      <w:pPr>
        <w:spacing w:line="252" w:lineRule="auto"/>
      </w:pPr>
      <w:r>
        <w:t>This definition, recommended by a workgroup of employers and educators, refines the Perkins V concentrator definition to align closely with the definition under Perkins IV with only one difference: Perkins V requires a concentrator to have earned at least 12 credits in a CTE program or Program of Study; Perkins IV required a concentrator to have earned at least 18 credits in a CTE program or Program of Study. This was done in the hopes of having consistent data over the course of the two grant programs. Using Oregon’s proposed definition, the number of postsecondary CTE concentrators will increase by approximately 18 percent.</w:t>
      </w:r>
    </w:p>
    <w:p w14:paraId="399D77CC" w14:textId="66059944" w:rsidR="00B20955" w:rsidRPr="00E04327" w:rsidRDefault="00B20955">
      <w:pPr>
        <w:rPr>
          <w:b/>
          <w:color w:val="548DD4" w:themeColor="text2" w:themeTint="99"/>
          <w:sz w:val="20"/>
          <w:szCs w:val="28"/>
        </w:rPr>
      </w:pPr>
    </w:p>
    <w:p w14:paraId="5538B41E" w14:textId="62DFAA84" w:rsidR="00C06C43" w:rsidRDefault="00F56002" w:rsidP="00B20955">
      <w:pPr>
        <w:pStyle w:val="Heading3"/>
      </w:pPr>
      <w:r>
        <w:t>Attention to Equity</w:t>
      </w:r>
    </w:p>
    <w:p w14:paraId="18CC6F5B" w14:textId="7F7F76A3" w:rsidR="00C06C43" w:rsidRDefault="00F56002" w:rsidP="00E04327">
      <w:pPr>
        <w:spacing w:line="252" w:lineRule="auto"/>
      </w:pPr>
      <w:r>
        <w:t>Perkins V requires disaggregation of data to reveal any impact on different student groups. Initial data analysis indicated that an increase in the number of CTE concentrators under Perkins V was reflected by a decrease in the number of male concentrators, an increase in female students considered CTE concentrators, and a small increase in the number of concentrators not identified as either male or female.</w:t>
      </w:r>
    </w:p>
    <w:p w14:paraId="57F7384F" w14:textId="77777777" w:rsidR="00132484" w:rsidRDefault="00132484"/>
    <w:p w14:paraId="75D8C076" w14:textId="47704ED2" w:rsidR="00C06C43" w:rsidRDefault="00A30634">
      <w:r>
        <w:rPr>
          <w:noProof/>
          <w:lang w:val="en-US"/>
        </w:rPr>
        <w:pict w14:anchorId="5F4D6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art showing comparison between Perkins V and Perkins IV concentrator definition, gender distribution" style="width:423.85pt;height:222.25pt">
            <v:imagedata r:id="rId7" o:title="Perkins V vs Perkins IV Gender Distrib"/>
          </v:shape>
        </w:pict>
      </w:r>
    </w:p>
    <w:p w14:paraId="175C56DF" w14:textId="77777777" w:rsidR="00C06C43" w:rsidRDefault="00C06C43">
      <w:pPr>
        <w:widowControl w:val="0"/>
        <w:spacing w:before="62" w:line="235" w:lineRule="auto"/>
      </w:pPr>
    </w:p>
    <w:p w14:paraId="4C7D60FC" w14:textId="5144FF70" w:rsidR="00C06C43" w:rsidRDefault="00B20955">
      <w:pPr>
        <w:widowControl w:val="0"/>
        <w:spacing w:before="62" w:line="235" w:lineRule="auto"/>
        <w:rPr>
          <w:rFonts w:ascii="Calibri" w:eastAsia="Calibri" w:hAnsi="Calibri" w:cs="Calibri"/>
          <w:i/>
          <w:sz w:val="21"/>
          <w:szCs w:val="21"/>
        </w:rPr>
      </w:pPr>
      <w:r>
        <w:rPr>
          <w:rFonts w:ascii="Calibri" w:eastAsia="Calibri" w:hAnsi="Calibri" w:cs="Calibri"/>
          <w:i/>
          <w:color w:val="231F20"/>
          <w:sz w:val="21"/>
          <w:szCs w:val="21"/>
        </w:rPr>
        <w:t>D</w:t>
      </w:r>
      <w:r w:rsidR="00F56002">
        <w:rPr>
          <w:rFonts w:ascii="Calibri" w:eastAsia="Calibri" w:hAnsi="Calibri" w:cs="Calibri"/>
          <w:i/>
          <w:color w:val="231F20"/>
          <w:sz w:val="21"/>
          <w:szCs w:val="21"/>
        </w:rPr>
        <w:t>istribution of Perkins VI and Perkins V concentrators with two exceptions: a decrease in the Hispanic/Latino concentrator population and an increase in the unknown race/ethnicity concentrator population.</w:t>
      </w:r>
    </w:p>
    <w:p w14:paraId="00FE7154" w14:textId="77777777" w:rsidR="00C06C43" w:rsidRDefault="00C06C43">
      <w:pPr>
        <w:widowControl w:val="0"/>
        <w:spacing w:line="240" w:lineRule="auto"/>
        <w:rPr>
          <w:rFonts w:ascii="Calibri" w:eastAsia="Calibri" w:hAnsi="Calibri" w:cs="Calibri"/>
          <w:i/>
          <w:sz w:val="21"/>
          <w:szCs w:val="21"/>
        </w:rPr>
      </w:pPr>
    </w:p>
    <w:p w14:paraId="21CB7E36" w14:textId="0948CD72" w:rsidR="00C06C43" w:rsidRDefault="00F56002" w:rsidP="00E04327">
      <w:pPr>
        <w:widowControl w:val="0"/>
        <w:spacing w:line="252" w:lineRule="auto"/>
      </w:pPr>
      <w:r>
        <w:t>In preparing to implement Perkins V, intentional examination of policies is needed to ensure that the new concentrator definition does not adversely impact student progress toward meeting the concentrator credit requirements, especially among the Hispanic/Latino student population.</w:t>
      </w:r>
    </w:p>
    <w:p w14:paraId="16B5A15B" w14:textId="77777777" w:rsidR="00C06C43" w:rsidRDefault="00C06C43">
      <w:pPr>
        <w:widowControl w:val="0"/>
        <w:spacing w:line="240" w:lineRule="auto"/>
      </w:pPr>
    </w:p>
    <w:p w14:paraId="50FBDB53" w14:textId="77777777" w:rsidR="00C06C43" w:rsidRDefault="00F56002" w:rsidP="00E04327">
      <w:pPr>
        <w:pStyle w:val="Heading3"/>
        <w:spacing w:line="247" w:lineRule="auto"/>
      </w:pPr>
      <w:r>
        <w:t>Performance Indicators and Targets</w:t>
      </w:r>
    </w:p>
    <w:p w14:paraId="6919F2FD" w14:textId="77777777" w:rsidR="00C06C43" w:rsidRDefault="00C06C43" w:rsidP="00E04327">
      <w:pPr>
        <w:widowControl w:val="0"/>
        <w:spacing w:line="247" w:lineRule="auto"/>
      </w:pPr>
    </w:p>
    <w:p w14:paraId="238BCD12" w14:textId="77777777" w:rsidR="00C06C43" w:rsidRDefault="00F56002" w:rsidP="00E04327">
      <w:pPr>
        <w:widowControl w:val="0"/>
        <w:spacing w:line="247" w:lineRule="auto"/>
      </w:pPr>
      <w:r>
        <w:t>Each of the performance indicators that follow includes:</w:t>
      </w:r>
    </w:p>
    <w:p w14:paraId="4546FA5D" w14:textId="48FE48A2" w:rsidR="00C06C43" w:rsidRDefault="00F56002" w:rsidP="00E04327">
      <w:pPr>
        <w:widowControl w:val="0"/>
        <w:numPr>
          <w:ilvl w:val="0"/>
          <w:numId w:val="4"/>
        </w:numPr>
        <w:spacing w:line="247" w:lineRule="auto"/>
      </w:pPr>
      <w:r>
        <w:t>Analysis of historical performance and a brief summary of the new indicator</w:t>
      </w:r>
    </w:p>
    <w:p w14:paraId="4EFF9EEC" w14:textId="5E354DDC" w:rsidR="00C06C43" w:rsidRDefault="00F56002" w:rsidP="00E04327">
      <w:pPr>
        <w:widowControl w:val="0"/>
        <w:numPr>
          <w:ilvl w:val="0"/>
          <w:numId w:val="4"/>
        </w:numPr>
        <w:spacing w:line="247" w:lineRule="auto"/>
      </w:pPr>
      <w:r>
        <w:t>The data definition of the numerator and denominator used to calculate the indicator</w:t>
      </w:r>
    </w:p>
    <w:p w14:paraId="3F80951B" w14:textId="3DF8D70D" w:rsidR="00C06C43" w:rsidRDefault="00F56002" w:rsidP="00E04327">
      <w:pPr>
        <w:widowControl w:val="0"/>
        <w:numPr>
          <w:ilvl w:val="0"/>
          <w:numId w:val="4"/>
        </w:numPr>
        <w:spacing w:line="247" w:lineRule="auto"/>
      </w:pPr>
      <w:r>
        <w:t>The proposed targets</w:t>
      </w:r>
    </w:p>
    <w:p w14:paraId="62FB1D88" w14:textId="0E5ED74E" w:rsidR="00C06C43" w:rsidRDefault="00F56002" w:rsidP="00E04327">
      <w:pPr>
        <w:widowControl w:val="0"/>
        <w:numPr>
          <w:ilvl w:val="0"/>
          <w:numId w:val="4"/>
        </w:numPr>
        <w:spacing w:line="247" w:lineRule="auto"/>
      </w:pPr>
      <w:r>
        <w:t>A rationale for the chosen target</w:t>
      </w:r>
    </w:p>
    <w:p w14:paraId="1689D860" w14:textId="77777777" w:rsidR="007E6A92" w:rsidRDefault="007E6A92" w:rsidP="007E6A92">
      <w:pPr>
        <w:widowControl w:val="0"/>
        <w:spacing w:line="240" w:lineRule="auto"/>
      </w:pPr>
    </w:p>
    <w:p w14:paraId="56A8D840" w14:textId="77777777" w:rsidR="00C06C43" w:rsidRDefault="00C06C43">
      <w:pPr>
        <w:widowControl w:val="0"/>
        <w:spacing w:line="240" w:lineRule="auto"/>
      </w:pPr>
    </w:p>
    <w:p w14:paraId="267CF408" w14:textId="042D7BE0" w:rsidR="00C06C43" w:rsidRDefault="00A30634">
      <w:pPr>
        <w:widowControl w:val="0"/>
        <w:spacing w:line="240" w:lineRule="auto"/>
      </w:pPr>
      <w:r>
        <w:rPr>
          <w:noProof/>
          <w:lang w:val="en-US"/>
        </w:rPr>
        <w:pict w14:anchorId="098594F0">
          <v:shape id="_x0000_i1026" type="#_x0000_t75" alt="Graph showing Perkins V vs Perkins IV concentrator definition, race/ethnicity distribution" style="width:467.7pt;height:406.35pt">
            <v:imagedata r:id="rId8" o:title="Perkins V vs Perkins IV"/>
          </v:shape>
        </w:pict>
      </w:r>
    </w:p>
    <w:p w14:paraId="22AA9626" w14:textId="77777777" w:rsidR="00C06C43" w:rsidRDefault="00C06C43">
      <w:pPr>
        <w:widowControl w:val="0"/>
        <w:spacing w:line="240" w:lineRule="auto"/>
      </w:pPr>
    </w:p>
    <w:p w14:paraId="296578F1" w14:textId="1F49871A" w:rsidR="00C06C43" w:rsidRDefault="00C06C43">
      <w:pPr>
        <w:widowControl w:val="0"/>
        <w:spacing w:line="240" w:lineRule="auto"/>
      </w:pPr>
    </w:p>
    <w:p w14:paraId="2FCAA3EB" w14:textId="491A6313" w:rsidR="00C06C43" w:rsidRPr="00791E16" w:rsidRDefault="00F56002" w:rsidP="00B20955">
      <w:pPr>
        <w:pStyle w:val="Heading2"/>
        <w:rPr>
          <w:color w:val="auto"/>
        </w:rPr>
      </w:pPr>
      <w:r w:rsidRPr="00791E16">
        <w:rPr>
          <w:color w:val="auto"/>
        </w:rPr>
        <w:t>1P1: Postsecondary Placement</w:t>
      </w:r>
    </w:p>
    <w:p w14:paraId="0BFF47EA" w14:textId="77777777" w:rsidR="00C06C43" w:rsidRDefault="00F56002" w:rsidP="00E04327">
      <w:pPr>
        <w:pStyle w:val="Heading3"/>
        <w:spacing w:line="252" w:lineRule="auto"/>
      </w:pPr>
      <w:r>
        <w:t>Analysis and Summary</w:t>
      </w:r>
    </w:p>
    <w:p w14:paraId="6A080D3D" w14:textId="67768D0C" w:rsidR="00C06C43" w:rsidRDefault="00F56002" w:rsidP="00E04327">
      <w:pPr>
        <w:widowControl w:val="0"/>
        <w:spacing w:line="252" w:lineRule="auto"/>
      </w:pPr>
      <w:r>
        <w:t>Under Perkins IV, placement in postsecondary education, training, military service, employment, or service programs was measured in two performance indicators: 3P1: “Student Retention or Transfer,” which measured the percentage of CTE concentrators who remained enrolled in either the original postsecondary institution or transferred to another two- or four-year postsecondary institution, and 4P1: “Student Placement</w:t>
      </w:r>
      <w:r w:rsidR="008F011C">
        <w:t>,</w:t>
      </w:r>
      <w:r>
        <w:t>” which captured the number of CTE completers who were placed or retained in employment, military service, or an apprenticeship program in the second quarter following postsecondary education exit. Oregon’s performance in these indicators for the past three program years is shown in Figures 1 and 2, respectively.</w:t>
      </w:r>
      <w:bookmarkStart w:id="7" w:name="_8mvhdtxu42wv" w:colFirst="0" w:colLast="0"/>
      <w:bookmarkEnd w:id="7"/>
    </w:p>
    <w:p w14:paraId="59410C35" w14:textId="77777777" w:rsidR="007E6A92" w:rsidRDefault="007E6A92" w:rsidP="007E6A92">
      <w:pPr>
        <w:widowControl w:val="0"/>
        <w:spacing w:line="240" w:lineRule="auto"/>
      </w:pPr>
    </w:p>
    <w:p w14:paraId="203B0C87" w14:textId="05A2840D" w:rsidR="00C06C43" w:rsidRDefault="00F56002" w:rsidP="00B51709">
      <w:pPr>
        <w:pStyle w:val="Heading4"/>
      </w:pPr>
      <w:bookmarkStart w:id="8" w:name="_2cfnjmn0iegj" w:colFirst="0" w:colLast="0"/>
      <w:bookmarkEnd w:id="8"/>
      <w:r w:rsidRPr="00B51709">
        <w:lastRenderedPageBreak/>
        <w:t>Figure 1: 3P1: Student Retention or Transfer</w:t>
      </w:r>
      <w:r>
        <w:rPr>
          <w:noProof/>
          <w:lang w:val="en-US"/>
        </w:rPr>
        <w:drawing>
          <wp:inline distT="0" distB="0" distL="0" distR="0" wp14:anchorId="44C8B6AA" wp14:editId="41D90DC8">
            <wp:extent cx="4570387" cy="2596896"/>
            <wp:effectExtent l="0" t="0" r="1905" b="0"/>
            <wp:docPr id="69" name="image3.png" descr="3P1 Student Retention or Transfer"/>
            <wp:cNvGraphicFramePr/>
            <a:graphic xmlns:a="http://schemas.openxmlformats.org/drawingml/2006/main">
              <a:graphicData uri="http://schemas.openxmlformats.org/drawingml/2006/picture">
                <pic:pic xmlns:pic="http://schemas.openxmlformats.org/drawingml/2006/picture">
                  <pic:nvPicPr>
                    <pic:cNvPr id="0" name="image3.png" descr="3P1 Student Retention or Transfer"/>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4570387" cy="2596896"/>
                    </a:xfrm>
                    <a:prstGeom prst="rect">
                      <a:avLst/>
                    </a:prstGeom>
                    <a:ln/>
                  </pic:spPr>
                </pic:pic>
              </a:graphicData>
            </a:graphic>
          </wp:inline>
        </w:drawing>
      </w:r>
    </w:p>
    <w:p w14:paraId="25EDAB3C" w14:textId="0E036BE4" w:rsidR="00C06C43" w:rsidRDefault="00C06C43">
      <w:pPr>
        <w:widowControl w:val="0"/>
        <w:spacing w:line="240" w:lineRule="auto"/>
      </w:pPr>
    </w:p>
    <w:p w14:paraId="0320A52B" w14:textId="6C4FBEDD" w:rsidR="00C06C43" w:rsidRDefault="00F56002" w:rsidP="007E6A92">
      <w:pPr>
        <w:pStyle w:val="Heading4"/>
      </w:pPr>
      <w:r>
        <w:t>Figure 2: 4P1: Student Placement</w:t>
      </w:r>
    </w:p>
    <w:p w14:paraId="166D10DB" w14:textId="77777777" w:rsidR="00C06C43" w:rsidRDefault="00F56002">
      <w:pPr>
        <w:widowControl w:val="0"/>
        <w:spacing w:line="240" w:lineRule="auto"/>
      </w:pPr>
      <w:r>
        <w:rPr>
          <w:noProof/>
          <w:lang w:val="en-US"/>
        </w:rPr>
        <w:drawing>
          <wp:inline distT="0" distB="0" distL="0" distR="0" wp14:anchorId="15A4CFAC" wp14:editId="7B22E44D">
            <wp:extent cx="4570387" cy="2740456"/>
            <wp:effectExtent l="0" t="0" r="1905" b="3175"/>
            <wp:docPr id="70" name="image2.png" descr="4P1 Student Retention or Transfer"/>
            <wp:cNvGraphicFramePr/>
            <a:graphic xmlns:a="http://schemas.openxmlformats.org/drawingml/2006/main">
              <a:graphicData uri="http://schemas.openxmlformats.org/drawingml/2006/picture">
                <pic:pic xmlns:pic="http://schemas.openxmlformats.org/drawingml/2006/picture">
                  <pic:nvPicPr>
                    <pic:cNvPr id="0" name="image2.png" descr="4P1 Student Retention or Transfer"/>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4570387" cy="2740456"/>
                    </a:xfrm>
                    <a:prstGeom prst="rect">
                      <a:avLst/>
                    </a:prstGeom>
                    <a:ln/>
                  </pic:spPr>
                </pic:pic>
              </a:graphicData>
            </a:graphic>
          </wp:inline>
        </w:drawing>
      </w:r>
    </w:p>
    <w:p w14:paraId="21BB0DC2" w14:textId="4C616B7F" w:rsidR="00C06C43" w:rsidRDefault="00C06C43">
      <w:pPr>
        <w:widowControl w:val="0"/>
        <w:spacing w:line="240" w:lineRule="auto"/>
      </w:pPr>
    </w:p>
    <w:p w14:paraId="7805FAC9" w14:textId="2E71B457" w:rsidR="00C06C43" w:rsidRDefault="00F56002" w:rsidP="00E04327">
      <w:pPr>
        <w:widowControl w:val="0"/>
        <w:spacing w:line="252" w:lineRule="auto"/>
      </w:pPr>
      <w:r>
        <w:t>In Perkins V, these outcomes are combined and measured in the 1P1 performance indicator, “Postsecondary Placement,” which measures the percentage of CTE concentrators who complete a program and then continue in postsecondary education; are in advanced training, military service, or a service or volunteer program; or are placed or retained in employment.</w:t>
      </w:r>
    </w:p>
    <w:p w14:paraId="1872F7F8" w14:textId="1B25D904" w:rsidR="00C06C43" w:rsidRDefault="00F56002" w:rsidP="00E04327">
      <w:pPr>
        <w:widowControl w:val="0"/>
        <w:spacing w:before="202" w:line="252" w:lineRule="auto"/>
      </w:pPr>
      <w:r>
        <w:t>Numerator: # of CTE concentrators who, in the second quarter after exiting from secondary education, are in postsecondary education; are in advance</w:t>
      </w:r>
      <w:r w:rsidR="008F011C">
        <w:t>d</w:t>
      </w:r>
      <w:r>
        <w:t xml:space="preserve"> training, military service, or a service program that receives assistance under Title I of the National and Community Services Act of 1990 (42 U.S.C. 12511 et sec.); are volunteers as described in section 5(a) of the Peace Corps Act (22 U.S.C. 2504(a)); or are employed</w:t>
      </w:r>
    </w:p>
    <w:p w14:paraId="0D9F9DD1" w14:textId="77777777" w:rsidR="00C06C43" w:rsidRDefault="00C06C43" w:rsidP="00E04327">
      <w:pPr>
        <w:widowControl w:val="0"/>
        <w:spacing w:line="252" w:lineRule="auto"/>
      </w:pPr>
    </w:p>
    <w:p w14:paraId="3F7621A9" w14:textId="77777777" w:rsidR="00C06C43" w:rsidRDefault="00F56002" w:rsidP="00E04327">
      <w:pPr>
        <w:widowControl w:val="0"/>
        <w:spacing w:line="252" w:lineRule="auto"/>
      </w:pPr>
      <w:r>
        <w:t>Denominator: # of CTE concentrators who exited secondary education during the reporting year.</w:t>
      </w:r>
    </w:p>
    <w:p w14:paraId="31F615DB" w14:textId="77777777" w:rsidR="00C06C43" w:rsidRDefault="00C06C43" w:rsidP="00E04327">
      <w:pPr>
        <w:widowControl w:val="0"/>
        <w:spacing w:line="252" w:lineRule="auto"/>
      </w:pPr>
    </w:p>
    <w:p w14:paraId="48B134A5" w14:textId="77777777" w:rsidR="00C06C43" w:rsidRDefault="00F56002" w:rsidP="00E04327">
      <w:pPr>
        <w:widowControl w:val="0"/>
        <w:spacing w:before="62" w:line="252" w:lineRule="auto"/>
        <w:ind w:right="628"/>
        <w:jc w:val="both"/>
      </w:pPr>
      <w:r>
        <w:rPr>
          <w:color w:val="231F20"/>
        </w:rPr>
        <w:t>In analyzing the most recent data available, performance in placement outcomes for the 2016-17 CTE completers cohort would be 79.70%, using the new concentrator definition under Perkins V. Further analysis of historical data using Perkins V definitions is indicated in Table 1.</w:t>
      </w:r>
    </w:p>
    <w:p w14:paraId="513D7FB9" w14:textId="77777777" w:rsidR="00C06C43" w:rsidRDefault="00C06C43">
      <w:pPr>
        <w:widowControl w:val="0"/>
        <w:spacing w:before="2" w:line="240" w:lineRule="auto"/>
      </w:pPr>
    </w:p>
    <w:p w14:paraId="6FE61950" w14:textId="1D4201E3" w:rsidR="00C06C43" w:rsidRDefault="00F56002" w:rsidP="00B51709">
      <w:pPr>
        <w:pStyle w:val="Heading3"/>
        <w:rPr>
          <w:color w:val="000000"/>
          <w14:textFill>
            <w14:solidFill>
              <w14:srgbClr w14:val="000000">
                <w14:lumMod w14:val="65000"/>
                <w14:lumOff w14:val="35000"/>
              </w14:srgbClr>
            </w14:solidFill>
          </w14:textFill>
        </w:rPr>
      </w:pPr>
      <w:bookmarkStart w:id="9" w:name="_of7racvn7no1" w:colFirst="0" w:colLast="0"/>
      <w:bookmarkEnd w:id="9"/>
      <w:r>
        <w:t>Table 1: Perkins V Analysis with Historical Perkins IV Data</w:t>
      </w:r>
      <w:bookmarkStart w:id="10" w:name="_6cnvhj4c5qtq" w:colFirst="0" w:colLast="0"/>
      <w:bookmarkEnd w:id="10"/>
    </w:p>
    <w:tbl>
      <w:tblPr>
        <w:tblStyle w:val="a8"/>
        <w:tblW w:w="9360" w:type="dxa"/>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Look w:val="0000" w:firstRow="0" w:lastRow="0" w:firstColumn="0" w:lastColumn="0" w:noHBand="0" w:noVBand="0"/>
        <w:tblCaption w:val="Table 1: Perkins V Analysis with Historical Perkins IV Data"/>
      </w:tblPr>
      <w:tblGrid>
        <w:gridCol w:w="1872"/>
        <w:gridCol w:w="1872"/>
        <w:gridCol w:w="1872"/>
        <w:gridCol w:w="1872"/>
        <w:gridCol w:w="1872"/>
      </w:tblGrid>
      <w:tr w:rsidR="00C06C43" w14:paraId="30F87A3D" w14:textId="77777777" w:rsidTr="004024C8">
        <w:trPr>
          <w:trHeight w:val="682"/>
          <w:tblHeader/>
        </w:trPr>
        <w:tc>
          <w:tcPr>
            <w:tcW w:w="1872" w:type="dxa"/>
            <w:shd w:val="clear" w:color="auto" w:fill="1B75BC"/>
            <w:vAlign w:val="center"/>
          </w:tcPr>
          <w:p w14:paraId="696607FF" w14:textId="2C4FACF8" w:rsidR="00C06C43" w:rsidRPr="00EF5B77" w:rsidRDefault="00EF5B77" w:rsidP="00EF5B77">
            <w:pPr>
              <w:widowControl w:val="0"/>
              <w:spacing w:line="240" w:lineRule="auto"/>
              <w:jc w:val="center"/>
              <w:rPr>
                <w:rFonts w:ascii="Times New Roman" w:eastAsia="Times New Roman" w:hAnsi="Times New Roman" w:cs="Times New Roman"/>
                <w:b/>
                <w:sz w:val="20"/>
                <w:szCs w:val="20"/>
              </w:rPr>
            </w:pPr>
            <w:r>
              <w:rPr>
                <w:rFonts w:ascii="Calibri" w:eastAsia="Calibri" w:hAnsi="Calibri" w:cs="Calibri"/>
                <w:b/>
                <w:color w:val="FFFFFF"/>
                <w:sz w:val="21"/>
                <w:szCs w:val="21"/>
              </w:rPr>
              <w:t>Indicators</w:t>
            </w:r>
          </w:p>
        </w:tc>
        <w:tc>
          <w:tcPr>
            <w:tcW w:w="1872" w:type="dxa"/>
            <w:shd w:val="clear" w:color="auto" w:fill="1B75BC"/>
            <w:vAlign w:val="center"/>
          </w:tcPr>
          <w:p w14:paraId="6B9C8002" w14:textId="77777777" w:rsidR="00C06C43" w:rsidRDefault="00F56002" w:rsidP="00EF5B77">
            <w:pPr>
              <w:widowControl w:val="0"/>
              <w:spacing w:line="240" w:lineRule="auto"/>
              <w:jc w:val="center"/>
              <w:rPr>
                <w:rFonts w:ascii="Calibri" w:eastAsia="Calibri" w:hAnsi="Calibri" w:cs="Calibri"/>
                <w:b/>
                <w:color w:val="FFFFFF"/>
                <w:sz w:val="21"/>
                <w:szCs w:val="21"/>
              </w:rPr>
            </w:pPr>
            <w:r>
              <w:rPr>
                <w:rFonts w:ascii="Calibri" w:eastAsia="Calibri" w:hAnsi="Calibri" w:cs="Calibri"/>
                <w:b/>
                <w:color w:val="FFFFFF"/>
                <w:sz w:val="21"/>
                <w:szCs w:val="21"/>
              </w:rPr>
              <w:t>2016-2017</w:t>
            </w:r>
          </w:p>
          <w:p w14:paraId="63882CFC" w14:textId="0A704654" w:rsidR="00EF5B77" w:rsidRDefault="00EF5B77" w:rsidP="00EF5B77">
            <w:pPr>
              <w:widowControl w:val="0"/>
              <w:spacing w:line="240" w:lineRule="auto"/>
              <w:jc w:val="center"/>
              <w:rPr>
                <w:rFonts w:ascii="Calibri" w:eastAsia="Calibri" w:hAnsi="Calibri" w:cs="Calibri"/>
                <w:b/>
                <w:sz w:val="21"/>
                <w:szCs w:val="21"/>
              </w:rPr>
            </w:pPr>
            <w:r>
              <w:rPr>
                <w:rFonts w:ascii="Calibri" w:eastAsia="Calibri" w:hAnsi="Calibri" w:cs="Calibri"/>
                <w:b/>
                <w:color w:val="FFFFFF"/>
                <w:sz w:val="21"/>
                <w:szCs w:val="21"/>
              </w:rPr>
              <w:t>Perkins V</w:t>
            </w:r>
          </w:p>
        </w:tc>
        <w:tc>
          <w:tcPr>
            <w:tcW w:w="1872" w:type="dxa"/>
            <w:shd w:val="clear" w:color="auto" w:fill="1B75BC"/>
            <w:vAlign w:val="center"/>
          </w:tcPr>
          <w:p w14:paraId="2AE7960E" w14:textId="77777777" w:rsidR="00C06C43" w:rsidRDefault="00F56002" w:rsidP="00EF5B77">
            <w:pPr>
              <w:widowControl w:val="0"/>
              <w:spacing w:line="240" w:lineRule="auto"/>
              <w:jc w:val="center"/>
              <w:rPr>
                <w:rFonts w:ascii="Calibri" w:eastAsia="Calibri" w:hAnsi="Calibri" w:cs="Calibri"/>
                <w:b/>
                <w:color w:val="FFFFFF"/>
                <w:sz w:val="21"/>
                <w:szCs w:val="21"/>
              </w:rPr>
            </w:pPr>
            <w:r>
              <w:rPr>
                <w:rFonts w:ascii="Calibri" w:eastAsia="Calibri" w:hAnsi="Calibri" w:cs="Calibri"/>
                <w:b/>
                <w:color w:val="FFFFFF"/>
                <w:sz w:val="21"/>
                <w:szCs w:val="21"/>
              </w:rPr>
              <w:t>2015-2016</w:t>
            </w:r>
          </w:p>
          <w:p w14:paraId="0307F312" w14:textId="21EB7952" w:rsidR="00EF5B77" w:rsidRDefault="00EF5B77" w:rsidP="00EF5B77">
            <w:pPr>
              <w:widowControl w:val="0"/>
              <w:spacing w:line="240" w:lineRule="auto"/>
              <w:jc w:val="center"/>
              <w:rPr>
                <w:rFonts w:ascii="Calibri" w:eastAsia="Calibri" w:hAnsi="Calibri" w:cs="Calibri"/>
                <w:b/>
                <w:sz w:val="21"/>
                <w:szCs w:val="21"/>
              </w:rPr>
            </w:pPr>
            <w:r>
              <w:rPr>
                <w:rFonts w:ascii="Calibri" w:eastAsia="Calibri" w:hAnsi="Calibri" w:cs="Calibri"/>
                <w:b/>
                <w:color w:val="FFFFFF"/>
                <w:sz w:val="21"/>
                <w:szCs w:val="21"/>
              </w:rPr>
              <w:t>Perkins V</w:t>
            </w:r>
          </w:p>
        </w:tc>
        <w:tc>
          <w:tcPr>
            <w:tcW w:w="1872" w:type="dxa"/>
            <w:shd w:val="clear" w:color="auto" w:fill="1B75BC"/>
            <w:vAlign w:val="center"/>
          </w:tcPr>
          <w:p w14:paraId="65579F36" w14:textId="77777777" w:rsidR="00C06C43" w:rsidRDefault="00F56002" w:rsidP="00EF5B77">
            <w:pPr>
              <w:widowControl w:val="0"/>
              <w:spacing w:line="240" w:lineRule="auto"/>
              <w:jc w:val="center"/>
              <w:rPr>
                <w:rFonts w:ascii="Calibri" w:eastAsia="Calibri" w:hAnsi="Calibri" w:cs="Calibri"/>
                <w:b/>
                <w:color w:val="FFFFFF"/>
                <w:sz w:val="21"/>
                <w:szCs w:val="21"/>
              </w:rPr>
            </w:pPr>
            <w:r>
              <w:rPr>
                <w:rFonts w:ascii="Calibri" w:eastAsia="Calibri" w:hAnsi="Calibri" w:cs="Calibri"/>
                <w:b/>
                <w:color w:val="FFFFFF"/>
                <w:sz w:val="21"/>
                <w:szCs w:val="21"/>
              </w:rPr>
              <w:t>2014-2015</w:t>
            </w:r>
          </w:p>
          <w:p w14:paraId="45A7C18A" w14:textId="7BD83160" w:rsidR="00EF5B77" w:rsidRDefault="00EF5B77" w:rsidP="00EF5B77">
            <w:pPr>
              <w:widowControl w:val="0"/>
              <w:spacing w:line="240" w:lineRule="auto"/>
              <w:jc w:val="center"/>
              <w:rPr>
                <w:rFonts w:ascii="Calibri" w:eastAsia="Calibri" w:hAnsi="Calibri" w:cs="Calibri"/>
                <w:b/>
                <w:sz w:val="21"/>
                <w:szCs w:val="21"/>
              </w:rPr>
            </w:pPr>
            <w:r>
              <w:rPr>
                <w:rFonts w:ascii="Calibri" w:eastAsia="Calibri" w:hAnsi="Calibri" w:cs="Calibri"/>
                <w:b/>
                <w:color w:val="FFFFFF"/>
                <w:sz w:val="21"/>
                <w:szCs w:val="21"/>
              </w:rPr>
              <w:t>Perkins V</w:t>
            </w:r>
          </w:p>
        </w:tc>
        <w:tc>
          <w:tcPr>
            <w:tcW w:w="1872" w:type="dxa"/>
            <w:shd w:val="clear" w:color="auto" w:fill="1B75BC"/>
            <w:vAlign w:val="center"/>
          </w:tcPr>
          <w:p w14:paraId="1E43FAC8" w14:textId="53B19159" w:rsidR="00C06C43" w:rsidRDefault="00EF5B77" w:rsidP="00EF5B77">
            <w:pPr>
              <w:widowControl w:val="0"/>
              <w:spacing w:line="240" w:lineRule="auto"/>
              <w:jc w:val="center"/>
              <w:rPr>
                <w:rFonts w:ascii="Calibri" w:eastAsia="Calibri" w:hAnsi="Calibri" w:cs="Calibri"/>
                <w:b/>
                <w:sz w:val="21"/>
                <w:szCs w:val="21"/>
              </w:rPr>
            </w:pPr>
            <w:r>
              <w:rPr>
                <w:rFonts w:ascii="Calibri" w:eastAsia="Calibri" w:hAnsi="Calibri" w:cs="Calibri"/>
                <w:b/>
                <w:color w:val="FFFFFF"/>
                <w:sz w:val="21"/>
                <w:szCs w:val="21"/>
              </w:rPr>
              <w:t>2-year average</w:t>
            </w:r>
          </w:p>
        </w:tc>
      </w:tr>
      <w:tr w:rsidR="00C06C43" w14:paraId="7ECF8600" w14:textId="77777777" w:rsidTr="004024C8">
        <w:trPr>
          <w:trHeight w:val="307"/>
        </w:trPr>
        <w:tc>
          <w:tcPr>
            <w:tcW w:w="1872" w:type="dxa"/>
            <w:tcBorders>
              <w:left w:val="single" w:sz="6" w:space="0" w:color="929497"/>
              <w:bottom w:val="single" w:sz="6" w:space="0" w:color="929497"/>
              <w:right w:val="single" w:sz="6" w:space="0" w:color="929497"/>
            </w:tcBorders>
            <w:shd w:val="clear" w:color="auto" w:fill="FFFFFF" w:themeFill="background1"/>
          </w:tcPr>
          <w:p w14:paraId="0E0B3877"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Numerator</w:t>
            </w:r>
          </w:p>
        </w:tc>
        <w:tc>
          <w:tcPr>
            <w:tcW w:w="1872" w:type="dxa"/>
            <w:tcBorders>
              <w:left w:val="single" w:sz="6" w:space="0" w:color="929497"/>
              <w:bottom w:val="single" w:sz="6" w:space="0" w:color="929497"/>
              <w:right w:val="single" w:sz="6" w:space="0" w:color="929497"/>
            </w:tcBorders>
            <w:shd w:val="clear" w:color="auto" w:fill="FFFFFF" w:themeFill="background1"/>
            <w:vAlign w:val="center"/>
          </w:tcPr>
          <w:p w14:paraId="5F81EFD7" w14:textId="77777777" w:rsidR="00C06C43" w:rsidRDefault="00F56002" w:rsidP="004024C8">
            <w:pPr>
              <w:widowControl w:val="0"/>
              <w:spacing w:before="44" w:line="240" w:lineRule="auto"/>
              <w:ind w:left="8" w:right="45"/>
              <w:jc w:val="center"/>
              <w:rPr>
                <w:rFonts w:ascii="Calibri" w:eastAsia="Calibri" w:hAnsi="Calibri" w:cs="Calibri"/>
                <w:sz w:val="19"/>
                <w:szCs w:val="19"/>
              </w:rPr>
            </w:pPr>
            <w:r>
              <w:rPr>
                <w:rFonts w:ascii="Calibri" w:eastAsia="Calibri" w:hAnsi="Calibri" w:cs="Calibri"/>
                <w:color w:val="231F20"/>
                <w:sz w:val="19"/>
                <w:szCs w:val="19"/>
              </w:rPr>
              <w:t>5,116</w:t>
            </w:r>
          </w:p>
        </w:tc>
        <w:tc>
          <w:tcPr>
            <w:tcW w:w="1872" w:type="dxa"/>
            <w:tcBorders>
              <w:left w:val="single" w:sz="6" w:space="0" w:color="929497"/>
              <w:bottom w:val="single" w:sz="6" w:space="0" w:color="929497"/>
              <w:right w:val="single" w:sz="6" w:space="0" w:color="929497"/>
            </w:tcBorders>
            <w:shd w:val="clear" w:color="auto" w:fill="FFFFFF" w:themeFill="background1"/>
            <w:vAlign w:val="center"/>
          </w:tcPr>
          <w:p w14:paraId="16DAF74E" w14:textId="77777777" w:rsidR="00C06C43" w:rsidRDefault="00F56002" w:rsidP="004024C8">
            <w:pPr>
              <w:widowControl w:val="0"/>
              <w:spacing w:before="44" w:line="240" w:lineRule="auto"/>
              <w:ind w:left="31"/>
              <w:jc w:val="center"/>
              <w:rPr>
                <w:rFonts w:ascii="Calibri" w:eastAsia="Calibri" w:hAnsi="Calibri" w:cs="Calibri"/>
                <w:sz w:val="19"/>
                <w:szCs w:val="19"/>
              </w:rPr>
            </w:pPr>
            <w:r>
              <w:rPr>
                <w:rFonts w:ascii="Calibri" w:eastAsia="Calibri" w:hAnsi="Calibri" w:cs="Calibri"/>
                <w:color w:val="231F20"/>
                <w:sz w:val="19"/>
                <w:szCs w:val="19"/>
              </w:rPr>
              <w:t>5,308</w:t>
            </w:r>
          </w:p>
        </w:tc>
        <w:tc>
          <w:tcPr>
            <w:tcW w:w="1872" w:type="dxa"/>
            <w:tcBorders>
              <w:left w:val="single" w:sz="6" w:space="0" w:color="929497"/>
              <w:bottom w:val="single" w:sz="6" w:space="0" w:color="929497"/>
              <w:right w:val="single" w:sz="6" w:space="0" w:color="929497"/>
            </w:tcBorders>
            <w:shd w:val="clear" w:color="auto" w:fill="FFFFFF" w:themeFill="background1"/>
            <w:vAlign w:val="center"/>
          </w:tcPr>
          <w:p w14:paraId="694E29E6" w14:textId="77777777" w:rsidR="00C06C43" w:rsidRDefault="00F56002" w:rsidP="004024C8">
            <w:pPr>
              <w:widowControl w:val="0"/>
              <w:spacing w:before="44" w:line="240" w:lineRule="auto"/>
              <w:ind w:right="8"/>
              <w:jc w:val="center"/>
              <w:rPr>
                <w:rFonts w:ascii="Calibri" w:eastAsia="Calibri" w:hAnsi="Calibri" w:cs="Calibri"/>
                <w:sz w:val="19"/>
                <w:szCs w:val="19"/>
              </w:rPr>
            </w:pPr>
            <w:r>
              <w:rPr>
                <w:rFonts w:ascii="Calibri" w:eastAsia="Calibri" w:hAnsi="Calibri" w:cs="Calibri"/>
                <w:color w:val="231F20"/>
                <w:sz w:val="19"/>
                <w:szCs w:val="19"/>
              </w:rPr>
              <w:t>5,292</w:t>
            </w:r>
          </w:p>
        </w:tc>
        <w:tc>
          <w:tcPr>
            <w:tcW w:w="1872" w:type="dxa"/>
            <w:tcBorders>
              <w:left w:val="single" w:sz="6" w:space="0" w:color="929497"/>
              <w:bottom w:val="single" w:sz="6" w:space="0" w:color="929497"/>
              <w:right w:val="single" w:sz="6" w:space="0" w:color="929497"/>
            </w:tcBorders>
            <w:shd w:val="clear" w:color="auto" w:fill="FFFFFF" w:themeFill="background1"/>
            <w:vAlign w:val="center"/>
          </w:tcPr>
          <w:p w14:paraId="76AA5017" w14:textId="77777777" w:rsidR="00C06C43" w:rsidRDefault="00F56002" w:rsidP="004024C8">
            <w:pPr>
              <w:widowControl w:val="0"/>
              <w:spacing w:before="44" w:line="240" w:lineRule="auto"/>
              <w:jc w:val="center"/>
              <w:rPr>
                <w:rFonts w:ascii="Calibri" w:eastAsia="Calibri" w:hAnsi="Calibri" w:cs="Calibri"/>
                <w:sz w:val="19"/>
                <w:szCs w:val="19"/>
              </w:rPr>
            </w:pPr>
            <w:r>
              <w:rPr>
                <w:rFonts w:ascii="Calibri" w:eastAsia="Calibri" w:hAnsi="Calibri" w:cs="Calibri"/>
                <w:color w:val="231F20"/>
                <w:sz w:val="19"/>
                <w:szCs w:val="19"/>
              </w:rPr>
              <w:t>5,239</w:t>
            </w:r>
          </w:p>
        </w:tc>
      </w:tr>
      <w:tr w:rsidR="00C06C43" w14:paraId="6083E9CB" w14:textId="77777777" w:rsidTr="004024C8">
        <w:trPr>
          <w:trHeight w:val="307"/>
        </w:trPr>
        <w:tc>
          <w:tcPr>
            <w:tcW w:w="1872"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7A54B3BE"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Denominator</w:t>
            </w:r>
          </w:p>
        </w:tc>
        <w:tc>
          <w:tcPr>
            <w:tcW w:w="1872" w:type="dxa"/>
            <w:tcBorders>
              <w:top w:val="single" w:sz="6" w:space="0" w:color="929497"/>
              <w:left w:val="single" w:sz="6" w:space="0" w:color="929497"/>
              <w:bottom w:val="single" w:sz="6" w:space="0" w:color="929497"/>
              <w:right w:val="single" w:sz="6" w:space="0" w:color="929497"/>
            </w:tcBorders>
            <w:shd w:val="clear" w:color="auto" w:fill="FFFFFF" w:themeFill="background1"/>
            <w:vAlign w:val="center"/>
          </w:tcPr>
          <w:p w14:paraId="1E808912" w14:textId="77777777" w:rsidR="00C06C43" w:rsidRDefault="00F56002" w:rsidP="004024C8">
            <w:pPr>
              <w:widowControl w:val="0"/>
              <w:spacing w:before="44" w:line="240" w:lineRule="auto"/>
              <w:ind w:left="8" w:right="45"/>
              <w:jc w:val="center"/>
              <w:rPr>
                <w:rFonts w:ascii="Calibri" w:eastAsia="Calibri" w:hAnsi="Calibri" w:cs="Calibri"/>
                <w:sz w:val="19"/>
                <w:szCs w:val="19"/>
              </w:rPr>
            </w:pPr>
            <w:r>
              <w:rPr>
                <w:rFonts w:ascii="Calibri" w:eastAsia="Calibri" w:hAnsi="Calibri" w:cs="Calibri"/>
                <w:color w:val="231F20"/>
                <w:sz w:val="19"/>
                <w:szCs w:val="19"/>
              </w:rPr>
              <w:t>6,419</w:t>
            </w:r>
          </w:p>
        </w:tc>
        <w:tc>
          <w:tcPr>
            <w:tcW w:w="1872" w:type="dxa"/>
            <w:tcBorders>
              <w:top w:val="single" w:sz="6" w:space="0" w:color="929497"/>
              <w:left w:val="single" w:sz="6" w:space="0" w:color="929497"/>
              <w:bottom w:val="single" w:sz="6" w:space="0" w:color="929497"/>
              <w:right w:val="single" w:sz="6" w:space="0" w:color="929497"/>
            </w:tcBorders>
            <w:shd w:val="clear" w:color="auto" w:fill="FFFFFF" w:themeFill="background1"/>
            <w:vAlign w:val="center"/>
          </w:tcPr>
          <w:p w14:paraId="4417338F" w14:textId="77777777" w:rsidR="00C06C43" w:rsidRDefault="00F56002" w:rsidP="004024C8">
            <w:pPr>
              <w:widowControl w:val="0"/>
              <w:spacing w:before="44" w:line="240" w:lineRule="auto"/>
              <w:ind w:left="31"/>
              <w:jc w:val="center"/>
              <w:rPr>
                <w:rFonts w:ascii="Calibri" w:eastAsia="Calibri" w:hAnsi="Calibri" w:cs="Calibri"/>
                <w:sz w:val="19"/>
                <w:szCs w:val="19"/>
              </w:rPr>
            </w:pPr>
            <w:r>
              <w:rPr>
                <w:rFonts w:ascii="Calibri" w:eastAsia="Calibri" w:hAnsi="Calibri" w:cs="Calibri"/>
                <w:color w:val="231F20"/>
                <w:sz w:val="19"/>
                <w:szCs w:val="19"/>
              </w:rPr>
              <w:t>6,701</w:t>
            </w:r>
          </w:p>
        </w:tc>
        <w:tc>
          <w:tcPr>
            <w:tcW w:w="1872" w:type="dxa"/>
            <w:tcBorders>
              <w:top w:val="single" w:sz="6" w:space="0" w:color="929497"/>
              <w:left w:val="single" w:sz="6" w:space="0" w:color="929497"/>
              <w:bottom w:val="single" w:sz="6" w:space="0" w:color="929497"/>
              <w:right w:val="single" w:sz="6" w:space="0" w:color="929497"/>
            </w:tcBorders>
            <w:shd w:val="clear" w:color="auto" w:fill="FFFFFF" w:themeFill="background1"/>
            <w:vAlign w:val="center"/>
          </w:tcPr>
          <w:p w14:paraId="4921BB62" w14:textId="77777777" w:rsidR="00C06C43" w:rsidRDefault="00F56002" w:rsidP="004024C8">
            <w:pPr>
              <w:widowControl w:val="0"/>
              <w:spacing w:before="44" w:line="240" w:lineRule="auto"/>
              <w:ind w:right="8"/>
              <w:jc w:val="center"/>
              <w:rPr>
                <w:rFonts w:ascii="Calibri" w:eastAsia="Calibri" w:hAnsi="Calibri" w:cs="Calibri"/>
                <w:sz w:val="19"/>
                <w:szCs w:val="19"/>
              </w:rPr>
            </w:pPr>
            <w:r>
              <w:rPr>
                <w:rFonts w:ascii="Calibri" w:eastAsia="Calibri" w:hAnsi="Calibri" w:cs="Calibri"/>
                <w:color w:val="231F20"/>
                <w:sz w:val="19"/>
                <w:szCs w:val="19"/>
              </w:rPr>
              <w:t>6,875</w:t>
            </w:r>
          </w:p>
        </w:tc>
        <w:tc>
          <w:tcPr>
            <w:tcW w:w="1872" w:type="dxa"/>
            <w:tcBorders>
              <w:top w:val="single" w:sz="6" w:space="0" w:color="929497"/>
              <w:left w:val="single" w:sz="6" w:space="0" w:color="929497"/>
              <w:bottom w:val="single" w:sz="6" w:space="0" w:color="929497"/>
              <w:right w:val="single" w:sz="6" w:space="0" w:color="929497"/>
            </w:tcBorders>
            <w:shd w:val="clear" w:color="auto" w:fill="FFFFFF" w:themeFill="background1"/>
            <w:vAlign w:val="center"/>
          </w:tcPr>
          <w:p w14:paraId="2E1E6E8D" w14:textId="77777777" w:rsidR="00C06C43" w:rsidRDefault="00F56002" w:rsidP="004024C8">
            <w:pPr>
              <w:widowControl w:val="0"/>
              <w:spacing w:before="44" w:line="240" w:lineRule="auto"/>
              <w:jc w:val="center"/>
              <w:rPr>
                <w:rFonts w:ascii="Calibri" w:eastAsia="Calibri" w:hAnsi="Calibri" w:cs="Calibri"/>
                <w:sz w:val="19"/>
                <w:szCs w:val="19"/>
              </w:rPr>
            </w:pPr>
            <w:r>
              <w:rPr>
                <w:rFonts w:ascii="Calibri" w:eastAsia="Calibri" w:hAnsi="Calibri" w:cs="Calibri"/>
                <w:color w:val="231F20"/>
                <w:sz w:val="19"/>
                <w:szCs w:val="19"/>
              </w:rPr>
              <w:t>6,555</w:t>
            </w:r>
          </w:p>
        </w:tc>
      </w:tr>
      <w:tr w:rsidR="00C06C43" w14:paraId="270B8392" w14:textId="77777777" w:rsidTr="004024C8">
        <w:trPr>
          <w:trHeight w:val="305"/>
        </w:trPr>
        <w:tc>
          <w:tcPr>
            <w:tcW w:w="1872" w:type="dxa"/>
            <w:tcBorders>
              <w:top w:val="single" w:sz="6" w:space="0" w:color="929497"/>
              <w:left w:val="single" w:sz="6" w:space="0" w:color="929497"/>
              <w:bottom w:val="single" w:sz="8" w:space="0" w:color="1B75BC"/>
              <w:right w:val="single" w:sz="6" w:space="0" w:color="929497"/>
            </w:tcBorders>
            <w:shd w:val="clear" w:color="auto" w:fill="FFFFFF" w:themeFill="background1"/>
          </w:tcPr>
          <w:p w14:paraId="3FACF107"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Performance</w:t>
            </w:r>
          </w:p>
        </w:tc>
        <w:tc>
          <w:tcPr>
            <w:tcW w:w="1872" w:type="dxa"/>
            <w:tcBorders>
              <w:top w:val="single" w:sz="6" w:space="0" w:color="929497"/>
              <w:left w:val="single" w:sz="6" w:space="0" w:color="929497"/>
              <w:bottom w:val="single" w:sz="8" w:space="0" w:color="1B75BC"/>
              <w:right w:val="single" w:sz="6" w:space="0" w:color="929497"/>
            </w:tcBorders>
            <w:shd w:val="clear" w:color="auto" w:fill="FFFFFF" w:themeFill="background1"/>
            <w:vAlign w:val="center"/>
          </w:tcPr>
          <w:p w14:paraId="68A7830A" w14:textId="77777777" w:rsidR="00C06C43" w:rsidRDefault="00F56002" w:rsidP="004024C8">
            <w:pPr>
              <w:widowControl w:val="0"/>
              <w:spacing w:before="44" w:line="240" w:lineRule="auto"/>
              <w:ind w:left="8" w:right="45"/>
              <w:jc w:val="center"/>
              <w:rPr>
                <w:rFonts w:ascii="Calibri" w:eastAsia="Calibri" w:hAnsi="Calibri" w:cs="Calibri"/>
                <w:sz w:val="19"/>
                <w:szCs w:val="19"/>
              </w:rPr>
            </w:pPr>
            <w:r>
              <w:rPr>
                <w:rFonts w:ascii="Calibri" w:eastAsia="Calibri" w:hAnsi="Calibri" w:cs="Calibri"/>
                <w:color w:val="231F20"/>
                <w:sz w:val="19"/>
                <w:szCs w:val="19"/>
              </w:rPr>
              <w:t>79.70%</w:t>
            </w:r>
          </w:p>
        </w:tc>
        <w:tc>
          <w:tcPr>
            <w:tcW w:w="1872" w:type="dxa"/>
            <w:tcBorders>
              <w:top w:val="single" w:sz="6" w:space="0" w:color="929497"/>
              <w:left w:val="single" w:sz="6" w:space="0" w:color="929497"/>
              <w:bottom w:val="single" w:sz="8" w:space="0" w:color="1B75BC"/>
              <w:right w:val="single" w:sz="6" w:space="0" w:color="929497"/>
            </w:tcBorders>
            <w:shd w:val="clear" w:color="auto" w:fill="FFFFFF" w:themeFill="background1"/>
            <w:vAlign w:val="center"/>
          </w:tcPr>
          <w:p w14:paraId="7D5B0D3E" w14:textId="77777777" w:rsidR="00C06C43" w:rsidRDefault="00F56002" w:rsidP="004024C8">
            <w:pPr>
              <w:widowControl w:val="0"/>
              <w:spacing w:before="44" w:line="240" w:lineRule="auto"/>
              <w:ind w:left="31"/>
              <w:jc w:val="center"/>
              <w:rPr>
                <w:rFonts w:ascii="Calibri" w:eastAsia="Calibri" w:hAnsi="Calibri" w:cs="Calibri"/>
                <w:sz w:val="19"/>
                <w:szCs w:val="19"/>
              </w:rPr>
            </w:pPr>
            <w:r>
              <w:rPr>
                <w:rFonts w:ascii="Calibri" w:eastAsia="Calibri" w:hAnsi="Calibri" w:cs="Calibri"/>
                <w:color w:val="231F20"/>
                <w:sz w:val="19"/>
                <w:szCs w:val="19"/>
              </w:rPr>
              <w:t>79.21%</w:t>
            </w:r>
          </w:p>
        </w:tc>
        <w:tc>
          <w:tcPr>
            <w:tcW w:w="1872" w:type="dxa"/>
            <w:tcBorders>
              <w:top w:val="single" w:sz="6" w:space="0" w:color="929497"/>
              <w:left w:val="single" w:sz="6" w:space="0" w:color="929497"/>
              <w:bottom w:val="single" w:sz="8" w:space="0" w:color="1B75BC"/>
              <w:right w:val="single" w:sz="6" w:space="0" w:color="929497"/>
            </w:tcBorders>
            <w:shd w:val="clear" w:color="auto" w:fill="FFFFFF" w:themeFill="background1"/>
            <w:vAlign w:val="center"/>
          </w:tcPr>
          <w:p w14:paraId="2917F1F8" w14:textId="77777777" w:rsidR="00C06C43" w:rsidRDefault="00F56002" w:rsidP="004024C8">
            <w:pPr>
              <w:widowControl w:val="0"/>
              <w:spacing w:before="44" w:line="240" w:lineRule="auto"/>
              <w:ind w:right="8"/>
              <w:jc w:val="center"/>
              <w:rPr>
                <w:rFonts w:ascii="Calibri" w:eastAsia="Calibri" w:hAnsi="Calibri" w:cs="Calibri"/>
                <w:sz w:val="19"/>
                <w:szCs w:val="19"/>
              </w:rPr>
            </w:pPr>
            <w:r>
              <w:rPr>
                <w:rFonts w:ascii="Calibri" w:eastAsia="Calibri" w:hAnsi="Calibri" w:cs="Calibri"/>
                <w:color w:val="231F20"/>
                <w:sz w:val="19"/>
                <w:szCs w:val="19"/>
              </w:rPr>
              <w:t>76.97%</w:t>
            </w:r>
          </w:p>
        </w:tc>
        <w:tc>
          <w:tcPr>
            <w:tcW w:w="1872" w:type="dxa"/>
            <w:tcBorders>
              <w:top w:val="single" w:sz="6" w:space="0" w:color="929497"/>
              <w:left w:val="single" w:sz="6" w:space="0" w:color="929497"/>
              <w:bottom w:val="single" w:sz="8" w:space="0" w:color="1B75BC"/>
              <w:right w:val="single" w:sz="6" w:space="0" w:color="929497"/>
            </w:tcBorders>
            <w:shd w:val="clear" w:color="auto" w:fill="FFFFFF" w:themeFill="background1"/>
            <w:vAlign w:val="center"/>
          </w:tcPr>
          <w:p w14:paraId="16AA870C" w14:textId="77777777" w:rsidR="00C06C43" w:rsidRDefault="00F56002" w:rsidP="004024C8">
            <w:pPr>
              <w:widowControl w:val="0"/>
              <w:spacing w:before="44" w:line="240" w:lineRule="auto"/>
              <w:jc w:val="center"/>
              <w:rPr>
                <w:rFonts w:ascii="Calibri" w:eastAsia="Calibri" w:hAnsi="Calibri" w:cs="Calibri"/>
                <w:sz w:val="19"/>
                <w:szCs w:val="19"/>
              </w:rPr>
            </w:pPr>
            <w:r>
              <w:rPr>
                <w:rFonts w:ascii="Calibri" w:eastAsia="Calibri" w:hAnsi="Calibri" w:cs="Calibri"/>
                <w:color w:val="231F20"/>
                <w:sz w:val="19"/>
                <w:szCs w:val="19"/>
              </w:rPr>
              <w:t>78.60%</w:t>
            </w:r>
          </w:p>
        </w:tc>
      </w:tr>
    </w:tbl>
    <w:p w14:paraId="7FC331F4" w14:textId="77777777" w:rsidR="00C06C43" w:rsidRDefault="00C06C43">
      <w:pPr>
        <w:widowControl w:val="0"/>
        <w:spacing w:line="240" w:lineRule="auto"/>
      </w:pPr>
    </w:p>
    <w:p w14:paraId="5455BE1C" w14:textId="7BEF6E09" w:rsidR="00C06C43" w:rsidRDefault="00F56002" w:rsidP="00B51709">
      <w:pPr>
        <w:pStyle w:val="Heading3"/>
      </w:pPr>
      <w:r>
        <w:t>Proposed Targets</w:t>
      </w:r>
    </w:p>
    <w:tbl>
      <w:tblPr>
        <w:tblStyle w:val="a9"/>
        <w:tblW w:w="4848" w:type="dxa"/>
        <w:tblInd w:w="7"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Look w:val="0000" w:firstRow="0" w:lastRow="0" w:firstColumn="0" w:lastColumn="0" w:noHBand="0" w:noVBand="0"/>
        <w:tblCaption w:val="Postsecondary Placement Proposed Targets"/>
      </w:tblPr>
      <w:tblGrid>
        <w:gridCol w:w="2424"/>
        <w:gridCol w:w="2424"/>
      </w:tblGrid>
      <w:tr w:rsidR="00C06C43" w14:paraId="0FD23DC6" w14:textId="77777777" w:rsidTr="003006C6">
        <w:trPr>
          <w:trHeight w:val="682"/>
          <w:tblHeader/>
        </w:trPr>
        <w:tc>
          <w:tcPr>
            <w:tcW w:w="2424" w:type="dxa"/>
            <w:shd w:val="clear" w:color="auto" w:fill="1B75BC"/>
          </w:tcPr>
          <w:p w14:paraId="786B26B0" w14:textId="77777777" w:rsidR="00C06C43" w:rsidRDefault="00C06C43">
            <w:pPr>
              <w:widowControl w:val="0"/>
              <w:spacing w:line="240" w:lineRule="auto"/>
              <w:rPr>
                <w:rFonts w:ascii="Calibri" w:eastAsia="Calibri" w:hAnsi="Calibri" w:cs="Calibri"/>
                <w:sz w:val="18"/>
                <w:szCs w:val="18"/>
              </w:rPr>
            </w:pPr>
          </w:p>
          <w:p w14:paraId="41B82B11" w14:textId="77777777" w:rsidR="00C06C43" w:rsidRDefault="00F56002">
            <w:pPr>
              <w:widowControl w:val="0"/>
              <w:spacing w:line="240" w:lineRule="auto"/>
              <w:ind w:left="274"/>
              <w:rPr>
                <w:rFonts w:ascii="Calibri" w:eastAsia="Calibri" w:hAnsi="Calibri" w:cs="Calibri"/>
                <w:b/>
                <w:sz w:val="21"/>
                <w:szCs w:val="21"/>
              </w:rPr>
            </w:pPr>
            <w:r>
              <w:rPr>
                <w:rFonts w:ascii="Calibri" w:eastAsia="Calibri" w:hAnsi="Calibri" w:cs="Calibri"/>
                <w:b/>
                <w:color w:val="FFFFFF"/>
                <w:sz w:val="21"/>
                <w:szCs w:val="21"/>
              </w:rPr>
              <w:t>Program Year</w:t>
            </w:r>
          </w:p>
        </w:tc>
        <w:tc>
          <w:tcPr>
            <w:tcW w:w="2424" w:type="dxa"/>
            <w:shd w:val="clear" w:color="auto" w:fill="1B75BC"/>
          </w:tcPr>
          <w:p w14:paraId="51591234" w14:textId="77777777" w:rsidR="00C06C43" w:rsidRDefault="00C06C43">
            <w:pPr>
              <w:widowControl w:val="0"/>
              <w:spacing w:line="240" w:lineRule="auto"/>
              <w:rPr>
                <w:rFonts w:ascii="Calibri" w:eastAsia="Calibri" w:hAnsi="Calibri" w:cs="Calibri"/>
                <w:sz w:val="18"/>
                <w:szCs w:val="18"/>
              </w:rPr>
            </w:pPr>
          </w:p>
          <w:p w14:paraId="611C255D" w14:textId="77777777" w:rsidR="00C06C43" w:rsidRDefault="00F56002">
            <w:pPr>
              <w:widowControl w:val="0"/>
              <w:spacing w:line="240" w:lineRule="auto"/>
              <w:ind w:left="274"/>
              <w:rPr>
                <w:rFonts w:ascii="Calibri" w:eastAsia="Calibri" w:hAnsi="Calibri" w:cs="Calibri"/>
                <w:b/>
                <w:sz w:val="21"/>
                <w:szCs w:val="21"/>
              </w:rPr>
            </w:pPr>
            <w:r>
              <w:rPr>
                <w:rFonts w:ascii="Calibri" w:eastAsia="Calibri" w:hAnsi="Calibri" w:cs="Calibri"/>
                <w:b/>
                <w:color w:val="FFFFFF"/>
                <w:sz w:val="21"/>
                <w:szCs w:val="21"/>
              </w:rPr>
              <w:t>Proposed Target</w:t>
            </w:r>
          </w:p>
        </w:tc>
      </w:tr>
      <w:tr w:rsidR="00C06C43" w14:paraId="5AEFE0F8" w14:textId="77777777" w:rsidTr="00B51709">
        <w:trPr>
          <w:trHeight w:val="307"/>
        </w:trPr>
        <w:tc>
          <w:tcPr>
            <w:tcW w:w="2424" w:type="dxa"/>
            <w:tcBorders>
              <w:left w:val="single" w:sz="6" w:space="0" w:color="929497"/>
              <w:bottom w:val="single" w:sz="6" w:space="0" w:color="929497"/>
              <w:right w:val="single" w:sz="6" w:space="0" w:color="929497"/>
            </w:tcBorders>
            <w:shd w:val="clear" w:color="auto" w:fill="FFFFFF" w:themeFill="background1"/>
          </w:tcPr>
          <w:p w14:paraId="0F98985E"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2020-2021</w:t>
            </w:r>
          </w:p>
        </w:tc>
        <w:tc>
          <w:tcPr>
            <w:tcW w:w="2424" w:type="dxa"/>
            <w:tcBorders>
              <w:left w:val="single" w:sz="6" w:space="0" w:color="929497"/>
              <w:bottom w:val="single" w:sz="6" w:space="0" w:color="929497"/>
              <w:right w:val="single" w:sz="6" w:space="0" w:color="929497"/>
            </w:tcBorders>
            <w:shd w:val="clear" w:color="auto" w:fill="FFFFFF" w:themeFill="background1"/>
          </w:tcPr>
          <w:p w14:paraId="6C1A13E8" w14:textId="77777777" w:rsidR="00C06C43" w:rsidRDefault="00F56002">
            <w:pPr>
              <w:widowControl w:val="0"/>
              <w:spacing w:before="44" w:line="240" w:lineRule="auto"/>
              <w:ind w:left="950" w:right="848"/>
              <w:jc w:val="center"/>
              <w:rPr>
                <w:rFonts w:ascii="Calibri" w:eastAsia="Calibri" w:hAnsi="Calibri" w:cs="Calibri"/>
                <w:color w:val="231F20"/>
                <w:sz w:val="19"/>
                <w:szCs w:val="19"/>
              </w:rPr>
            </w:pPr>
            <w:r>
              <w:rPr>
                <w:rFonts w:ascii="Calibri" w:eastAsia="Calibri" w:hAnsi="Calibri" w:cs="Calibri"/>
                <w:color w:val="231F20"/>
                <w:sz w:val="19"/>
                <w:szCs w:val="19"/>
              </w:rPr>
              <w:t>78.50%</w:t>
            </w:r>
          </w:p>
          <w:p w14:paraId="3F7A893E" w14:textId="77777777" w:rsidR="00C06C43" w:rsidRDefault="00F56002">
            <w:pPr>
              <w:widowControl w:val="0"/>
              <w:spacing w:before="44" w:line="240" w:lineRule="auto"/>
              <w:ind w:left="950" w:right="848"/>
              <w:rPr>
                <w:rFonts w:ascii="Calibri" w:eastAsia="Calibri" w:hAnsi="Calibri" w:cs="Calibri"/>
                <w:b/>
                <w:color w:val="FF0000"/>
                <w:sz w:val="19"/>
                <w:szCs w:val="19"/>
              </w:rPr>
            </w:pPr>
            <w:r>
              <w:rPr>
                <w:rFonts w:ascii="Calibri" w:eastAsia="Calibri" w:hAnsi="Calibri" w:cs="Calibri"/>
                <w:b/>
                <w:color w:val="FF0000"/>
                <w:sz w:val="19"/>
                <w:szCs w:val="19"/>
              </w:rPr>
              <w:t>62.80%</w:t>
            </w:r>
          </w:p>
        </w:tc>
      </w:tr>
      <w:tr w:rsidR="00C06C43" w14:paraId="10D8054D" w14:textId="77777777" w:rsidTr="00B51709">
        <w:trPr>
          <w:trHeight w:val="307"/>
        </w:trPr>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3F9674F1"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2021-2022</w:t>
            </w:r>
          </w:p>
        </w:tc>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0A111C25" w14:textId="77777777" w:rsidR="00C06C43" w:rsidRDefault="00F56002">
            <w:pPr>
              <w:widowControl w:val="0"/>
              <w:spacing w:before="44" w:line="240" w:lineRule="auto"/>
              <w:ind w:left="950" w:right="848"/>
              <w:jc w:val="center"/>
              <w:rPr>
                <w:rFonts w:ascii="Calibri" w:eastAsia="Calibri" w:hAnsi="Calibri" w:cs="Calibri"/>
                <w:color w:val="231F20"/>
                <w:sz w:val="19"/>
                <w:szCs w:val="19"/>
              </w:rPr>
            </w:pPr>
            <w:r>
              <w:rPr>
                <w:rFonts w:ascii="Calibri" w:eastAsia="Calibri" w:hAnsi="Calibri" w:cs="Calibri"/>
                <w:color w:val="231F20"/>
                <w:sz w:val="19"/>
                <w:szCs w:val="19"/>
              </w:rPr>
              <w:t>79.00%</w:t>
            </w:r>
          </w:p>
          <w:p w14:paraId="4D715BB5" w14:textId="77777777" w:rsidR="00C06C43" w:rsidRDefault="00F56002">
            <w:pPr>
              <w:widowControl w:val="0"/>
              <w:spacing w:before="44" w:line="240" w:lineRule="auto"/>
              <w:ind w:left="950" w:right="848"/>
              <w:rPr>
                <w:rFonts w:ascii="Calibri" w:eastAsia="Calibri" w:hAnsi="Calibri" w:cs="Calibri"/>
                <w:b/>
                <w:color w:val="FF0000"/>
                <w:sz w:val="19"/>
                <w:szCs w:val="19"/>
              </w:rPr>
            </w:pPr>
            <w:r>
              <w:rPr>
                <w:rFonts w:ascii="Calibri" w:eastAsia="Calibri" w:hAnsi="Calibri" w:cs="Calibri"/>
                <w:b/>
                <w:color w:val="FF0000"/>
                <w:sz w:val="19"/>
                <w:szCs w:val="19"/>
              </w:rPr>
              <w:t>63.20%</w:t>
            </w:r>
          </w:p>
        </w:tc>
      </w:tr>
      <w:tr w:rsidR="00C06C43" w14:paraId="4783768E" w14:textId="77777777" w:rsidTr="00B51709">
        <w:trPr>
          <w:trHeight w:val="307"/>
        </w:trPr>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4A500695"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2022-2023</w:t>
            </w:r>
          </w:p>
        </w:tc>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7B195106" w14:textId="77777777" w:rsidR="00C06C43" w:rsidRDefault="00F56002">
            <w:pPr>
              <w:widowControl w:val="0"/>
              <w:spacing w:before="44" w:line="240" w:lineRule="auto"/>
              <w:ind w:left="950" w:right="848"/>
              <w:jc w:val="center"/>
              <w:rPr>
                <w:rFonts w:ascii="Calibri" w:eastAsia="Calibri" w:hAnsi="Calibri" w:cs="Calibri"/>
                <w:color w:val="231F20"/>
                <w:sz w:val="19"/>
                <w:szCs w:val="19"/>
              </w:rPr>
            </w:pPr>
            <w:r>
              <w:rPr>
                <w:rFonts w:ascii="Calibri" w:eastAsia="Calibri" w:hAnsi="Calibri" w:cs="Calibri"/>
                <w:color w:val="231F20"/>
                <w:sz w:val="19"/>
                <w:szCs w:val="19"/>
              </w:rPr>
              <w:t>79.50%</w:t>
            </w:r>
          </w:p>
          <w:p w14:paraId="15465DA6" w14:textId="77777777" w:rsidR="00C06C43" w:rsidRDefault="00F56002">
            <w:pPr>
              <w:widowControl w:val="0"/>
              <w:spacing w:before="44" w:line="240" w:lineRule="auto"/>
              <w:ind w:left="950" w:right="848"/>
              <w:rPr>
                <w:rFonts w:ascii="Calibri" w:eastAsia="Calibri" w:hAnsi="Calibri" w:cs="Calibri"/>
                <w:b/>
                <w:color w:val="FF0000"/>
                <w:sz w:val="19"/>
                <w:szCs w:val="19"/>
              </w:rPr>
            </w:pPr>
            <w:r>
              <w:rPr>
                <w:rFonts w:ascii="Calibri" w:eastAsia="Calibri" w:hAnsi="Calibri" w:cs="Calibri"/>
                <w:b/>
                <w:color w:val="FF0000"/>
                <w:sz w:val="19"/>
                <w:szCs w:val="19"/>
              </w:rPr>
              <w:t>67.60%</w:t>
            </w:r>
          </w:p>
        </w:tc>
      </w:tr>
      <w:tr w:rsidR="00C06C43" w14:paraId="0208ECEB" w14:textId="77777777" w:rsidTr="00B51709">
        <w:trPr>
          <w:trHeight w:val="305"/>
        </w:trPr>
        <w:tc>
          <w:tcPr>
            <w:tcW w:w="2424" w:type="dxa"/>
            <w:tcBorders>
              <w:top w:val="single" w:sz="6" w:space="0" w:color="929497"/>
              <w:left w:val="single" w:sz="6" w:space="0" w:color="929497"/>
              <w:bottom w:val="single" w:sz="8" w:space="0" w:color="1B75BC"/>
              <w:right w:val="single" w:sz="6" w:space="0" w:color="929497"/>
            </w:tcBorders>
            <w:shd w:val="clear" w:color="auto" w:fill="FFFFFF" w:themeFill="background1"/>
          </w:tcPr>
          <w:p w14:paraId="196809D8" w14:textId="77777777" w:rsidR="00C06C43" w:rsidRDefault="00F56002">
            <w:pPr>
              <w:widowControl w:val="0"/>
              <w:spacing w:before="44" w:line="240" w:lineRule="auto"/>
              <w:ind w:right="736"/>
              <w:jc w:val="right"/>
              <w:rPr>
                <w:rFonts w:ascii="Calibri" w:eastAsia="Calibri" w:hAnsi="Calibri" w:cs="Calibri"/>
                <w:sz w:val="19"/>
                <w:szCs w:val="19"/>
              </w:rPr>
            </w:pPr>
            <w:r>
              <w:rPr>
                <w:rFonts w:ascii="Calibri" w:eastAsia="Calibri" w:hAnsi="Calibri" w:cs="Calibri"/>
                <w:color w:val="231F20"/>
                <w:sz w:val="19"/>
                <w:szCs w:val="19"/>
              </w:rPr>
              <w:t>2023-2024</w:t>
            </w:r>
          </w:p>
        </w:tc>
        <w:tc>
          <w:tcPr>
            <w:tcW w:w="2424" w:type="dxa"/>
            <w:tcBorders>
              <w:top w:val="single" w:sz="6" w:space="0" w:color="929497"/>
              <w:left w:val="single" w:sz="6" w:space="0" w:color="929497"/>
              <w:bottom w:val="single" w:sz="8" w:space="0" w:color="1B75BC"/>
              <w:right w:val="single" w:sz="6" w:space="0" w:color="929497"/>
            </w:tcBorders>
            <w:shd w:val="clear" w:color="auto" w:fill="FFFFFF" w:themeFill="background1"/>
          </w:tcPr>
          <w:p w14:paraId="474E584B" w14:textId="77777777" w:rsidR="00C06C43" w:rsidRDefault="00F56002">
            <w:pPr>
              <w:widowControl w:val="0"/>
              <w:spacing w:before="44" w:line="240" w:lineRule="auto"/>
              <w:ind w:left="950" w:right="848"/>
              <w:jc w:val="center"/>
              <w:rPr>
                <w:rFonts w:ascii="Calibri" w:eastAsia="Calibri" w:hAnsi="Calibri" w:cs="Calibri"/>
                <w:color w:val="231F20"/>
                <w:sz w:val="19"/>
                <w:szCs w:val="19"/>
              </w:rPr>
            </w:pPr>
            <w:r>
              <w:rPr>
                <w:rFonts w:ascii="Calibri" w:eastAsia="Calibri" w:hAnsi="Calibri" w:cs="Calibri"/>
                <w:color w:val="231F20"/>
                <w:sz w:val="19"/>
                <w:szCs w:val="19"/>
              </w:rPr>
              <w:t>80.00%</w:t>
            </w:r>
          </w:p>
          <w:p w14:paraId="239E1143" w14:textId="77777777" w:rsidR="00C06C43" w:rsidRDefault="00F56002">
            <w:pPr>
              <w:widowControl w:val="0"/>
              <w:spacing w:before="44" w:line="240" w:lineRule="auto"/>
              <w:ind w:left="950" w:right="848"/>
              <w:rPr>
                <w:rFonts w:ascii="Calibri" w:eastAsia="Calibri" w:hAnsi="Calibri" w:cs="Calibri"/>
                <w:b/>
                <w:color w:val="FF0000"/>
                <w:sz w:val="19"/>
                <w:szCs w:val="19"/>
              </w:rPr>
            </w:pPr>
            <w:r>
              <w:rPr>
                <w:rFonts w:ascii="Calibri" w:eastAsia="Calibri" w:hAnsi="Calibri" w:cs="Calibri"/>
                <w:b/>
                <w:color w:val="FF0000"/>
                <w:sz w:val="19"/>
                <w:szCs w:val="19"/>
              </w:rPr>
              <w:t>72.00%</w:t>
            </w:r>
          </w:p>
        </w:tc>
      </w:tr>
    </w:tbl>
    <w:p w14:paraId="2B75A1FA" w14:textId="77777777" w:rsidR="00C06C43" w:rsidRDefault="00C06C43">
      <w:pPr>
        <w:widowControl w:val="0"/>
        <w:spacing w:before="174" w:line="235" w:lineRule="auto"/>
        <w:ind w:right="-14"/>
      </w:pPr>
    </w:p>
    <w:p w14:paraId="5AD3CCE9" w14:textId="77777777" w:rsidR="00C06C43" w:rsidRDefault="00F56002" w:rsidP="00B51709">
      <w:pPr>
        <w:pStyle w:val="Heading3"/>
      </w:pPr>
      <w:r>
        <w:t>Rationale</w:t>
      </w:r>
    </w:p>
    <w:p w14:paraId="0A68F65E" w14:textId="281A6571" w:rsidR="00C06C43" w:rsidRDefault="00F56002" w:rsidP="00E04327">
      <w:pPr>
        <w:widowControl w:val="0"/>
        <w:spacing w:before="174" w:line="252" w:lineRule="auto"/>
        <w:ind w:right="-14"/>
      </w:pPr>
      <w:r>
        <w:t>The recommended targets for the Perkins V 1P1: “Postsecondary Placement” performance indicator for program years 2020-2021 through 2023-2024 are based on preliminary results of the three-year average performance using Perkins V definitions. In the 2017-2018 program year, 7,814 students completed a CTE program and would, therefore, make up the denominator for 2017-2018. Using the three-year average for the numerator calculation, an additional 895 students would need to be placed in postsecondary, advanced training, military, or a service or volunteer program</w:t>
      </w:r>
      <w:r w:rsidR="00E77555">
        <w:t>,</w:t>
      </w:r>
      <w:r>
        <w:t xml:space="preserve"> or be employed at the second quarter after completing the program</w:t>
      </w:r>
      <w:r w:rsidR="00E77555">
        <w:t>,</w:t>
      </w:r>
      <w:r>
        <w:t xml:space="preserve"> in order to meet the proposed target for 2020-2021 (78.50%). It is important to note that placement in advanced training, military service, or service or volunteer programs was not included in the preliminary analysis as the data is not readily accessible at this point in time. The state is in negotiations with service and volunteer programs to expand available data.</w:t>
      </w:r>
    </w:p>
    <w:p w14:paraId="77C020F4" w14:textId="77777777" w:rsidR="00C06C43" w:rsidRDefault="00C06C43" w:rsidP="00E04327">
      <w:pPr>
        <w:spacing w:line="252" w:lineRule="auto"/>
        <w:rPr>
          <w:b/>
          <w:i/>
          <w:color w:val="FF0000"/>
        </w:rPr>
      </w:pPr>
    </w:p>
    <w:p w14:paraId="20BD224F" w14:textId="5510D6C9" w:rsidR="00C06C43" w:rsidRDefault="00F56002" w:rsidP="00E04327">
      <w:pPr>
        <w:widowControl w:val="0"/>
        <w:spacing w:line="252" w:lineRule="auto"/>
        <w:rPr>
          <w:i/>
          <w:color w:val="FF0000"/>
        </w:rPr>
      </w:pPr>
      <w:r>
        <w:rPr>
          <w:b/>
          <w:i/>
          <w:color w:val="FF0000"/>
        </w:rPr>
        <w:t xml:space="preserve">Rationale for adjusted targets: Oregon anticipates CTE concentrators to continue to remain enrolled in postsecondary education, in advanced training, military service, a service or volunteer program, or </w:t>
      </w:r>
      <w:r w:rsidR="00E77555">
        <w:rPr>
          <w:b/>
          <w:i/>
          <w:color w:val="FF0000"/>
        </w:rPr>
        <w:t>be</w:t>
      </w:r>
      <w:r>
        <w:rPr>
          <w:b/>
          <w:i/>
          <w:color w:val="FF0000"/>
        </w:rPr>
        <w:t xml:space="preserve"> placed or retained in employment at high rates; however, due to disruptions in the education system, economic uncertainty, and high unemployment due to COVID, there may be a slight reduction. </w:t>
      </w:r>
    </w:p>
    <w:p w14:paraId="12D9F94F" w14:textId="77777777" w:rsidR="00C06C43" w:rsidRDefault="00C06C43">
      <w:pPr>
        <w:widowControl w:val="0"/>
        <w:spacing w:before="174" w:line="235" w:lineRule="auto"/>
        <w:ind w:right="-14"/>
      </w:pPr>
    </w:p>
    <w:p w14:paraId="4F3DFF8D" w14:textId="77777777" w:rsidR="00C06C43" w:rsidRPr="00791E16" w:rsidRDefault="00F56002" w:rsidP="007A1D12">
      <w:pPr>
        <w:pStyle w:val="Heading2"/>
        <w:rPr>
          <w:color w:val="auto"/>
        </w:rPr>
      </w:pPr>
      <w:r w:rsidRPr="00791E16">
        <w:rPr>
          <w:color w:val="auto"/>
        </w:rPr>
        <w:t>2P1: Earned Recognized Postsecondary Credential</w:t>
      </w:r>
    </w:p>
    <w:p w14:paraId="18819260" w14:textId="77777777" w:rsidR="00C06C43" w:rsidRDefault="00F56002" w:rsidP="007A1D12">
      <w:pPr>
        <w:pStyle w:val="Heading3"/>
      </w:pPr>
      <w:r>
        <w:t>Analysis and Summary</w:t>
      </w:r>
    </w:p>
    <w:p w14:paraId="5052F07E" w14:textId="289BACC1" w:rsidR="00C06C43" w:rsidRDefault="00F56002" w:rsidP="00E04327">
      <w:pPr>
        <w:widowControl w:val="0"/>
        <w:spacing w:before="174" w:line="252" w:lineRule="auto"/>
        <w:ind w:right="-14"/>
      </w:pPr>
      <w:r>
        <w:t>Under Perkins IV, performance in earning postsecondary credentials was measured with the 2P1 performance indicator</w:t>
      </w:r>
      <w:r w:rsidR="00C223F9">
        <w:t>,</w:t>
      </w:r>
      <w:r>
        <w:t xml:space="preserve"> “Credential, Certificate, or Degree Completion.” Oregon’s performance in this indicator for the past three program years is shown in Figure 3.</w:t>
      </w:r>
    </w:p>
    <w:p w14:paraId="375968C6" w14:textId="77777777" w:rsidR="007A1D12" w:rsidRDefault="007A1D12">
      <w:pPr>
        <w:widowControl w:val="0"/>
        <w:spacing w:before="174" w:line="235" w:lineRule="auto"/>
        <w:ind w:right="-14"/>
      </w:pPr>
    </w:p>
    <w:p w14:paraId="08BB8C33" w14:textId="0AF68F7C" w:rsidR="00C06C43" w:rsidRDefault="00F56002" w:rsidP="007A1D12">
      <w:pPr>
        <w:pStyle w:val="Heading4"/>
      </w:pPr>
      <w:r>
        <w:t>Figure 3: 2P1: Credential, Certificate, or Degree Completion</w:t>
      </w:r>
      <w:r>
        <w:rPr>
          <w:noProof/>
          <w:lang w:val="en-US"/>
        </w:rPr>
        <w:drawing>
          <wp:inline distT="0" distB="0" distL="0" distR="0" wp14:anchorId="52CE0668" wp14:editId="70E9E038">
            <wp:extent cx="4558118" cy="2570226"/>
            <wp:effectExtent l="0" t="0" r="0" b="1905"/>
            <wp:docPr id="71" name="image1.png" descr="2P1 Credential, Certificate, or Degree Completion"/>
            <wp:cNvGraphicFramePr/>
            <a:graphic xmlns:a="http://schemas.openxmlformats.org/drawingml/2006/main">
              <a:graphicData uri="http://schemas.openxmlformats.org/drawingml/2006/picture">
                <pic:pic xmlns:pic="http://schemas.openxmlformats.org/drawingml/2006/picture">
                  <pic:nvPicPr>
                    <pic:cNvPr id="0" name="image1.png" descr="2P1 Credential, Certificate, or Degree Completion"/>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4558118" cy="2570226"/>
                    </a:xfrm>
                    <a:prstGeom prst="rect">
                      <a:avLst/>
                    </a:prstGeom>
                    <a:ln/>
                  </pic:spPr>
                </pic:pic>
              </a:graphicData>
            </a:graphic>
          </wp:inline>
        </w:drawing>
      </w:r>
    </w:p>
    <w:p w14:paraId="15C8B698" w14:textId="76A6C6F0" w:rsidR="00C06C43" w:rsidRDefault="00F56002" w:rsidP="00E04327">
      <w:pPr>
        <w:widowControl w:val="0"/>
        <w:spacing w:before="174" w:line="252" w:lineRule="auto"/>
        <w:ind w:right="-14"/>
      </w:pPr>
      <w:r>
        <w:t>In Perkins V, this outcome is measured with the 2P1 performance indicator</w:t>
      </w:r>
      <w:r w:rsidR="00C223F9">
        <w:t>,</w:t>
      </w:r>
      <w:r>
        <w:t xml:space="preserve"> “Earned Recognized Postsecondary Credential,” which calculates the percentage of CTE concentrators who receive a recognized postsecondary credential during participation in or within one year of program completion.</w:t>
      </w:r>
    </w:p>
    <w:p w14:paraId="5011AAFA" w14:textId="77777777" w:rsidR="00C06C43" w:rsidRDefault="00F56002" w:rsidP="00E04327">
      <w:pPr>
        <w:widowControl w:val="0"/>
        <w:spacing w:before="174" w:line="252" w:lineRule="auto"/>
        <w:ind w:right="-14"/>
      </w:pPr>
      <w:r>
        <w:t>Numerator: # of CTE concentrators who received a recognized postsecondary credential during participation in or within one year of program completion</w:t>
      </w:r>
    </w:p>
    <w:p w14:paraId="50D916C8" w14:textId="77777777" w:rsidR="00C06C43" w:rsidRDefault="00F56002" w:rsidP="00E04327">
      <w:pPr>
        <w:widowControl w:val="0"/>
        <w:spacing w:before="174" w:line="252" w:lineRule="auto"/>
        <w:ind w:right="-14"/>
      </w:pPr>
      <w:r>
        <w:t>Denominator: # of CTE concentrators who left postsecondary education in the prior reporting year</w:t>
      </w:r>
    </w:p>
    <w:p w14:paraId="334BC7F4" w14:textId="77777777" w:rsidR="00C06C43" w:rsidRDefault="00F56002" w:rsidP="00E04327">
      <w:pPr>
        <w:widowControl w:val="0"/>
        <w:spacing w:before="174" w:line="252" w:lineRule="auto"/>
        <w:ind w:right="-14"/>
      </w:pPr>
      <w:r>
        <w:t>In analyzing 2016-2017 federal reporting data using the new concentrator definition under Perkins V and current interpretation of the indicator components, preliminary results indicate that Oregon performance would be 54.91%. Further analysis of historical data using Perkins V definitions is indicated in Table 2.</w:t>
      </w:r>
      <w:r>
        <w:rPr>
          <w:vertAlign w:val="superscript"/>
        </w:rPr>
        <w:footnoteReference w:id="5"/>
      </w:r>
    </w:p>
    <w:p w14:paraId="7D42B88C" w14:textId="77777777" w:rsidR="00C06C43" w:rsidRDefault="00C06C43">
      <w:pPr>
        <w:widowControl w:val="0"/>
        <w:spacing w:before="174" w:line="235" w:lineRule="auto"/>
        <w:ind w:right="-14"/>
      </w:pPr>
    </w:p>
    <w:p w14:paraId="31904ACA" w14:textId="77777777" w:rsidR="007E6A92" w:rsidRDefault="007E6A92">
      <w:pPr>
        <w:rPr>
          <w:b/>
          <w:color w:val="595959" w:themeColor="text1" w:themeTint="A6"/>
          <w:sz w:val="24"/>
          <w:szCs w:val="24"/>
        </w:rPr>
      </w:pPr>
      <w:r>
        <w:br w:type="page"/>
      </w:r>
    </w:p>
    <w:p w14:paraId="663CCF0A" w14:textId="1423841F" w:rsidR="00C06C43" w:rsidRDefault="00F56002" w:rsidP="007A1D12">
      <w:pPr>
        <w:pStyle w:val="Heading3"/>
      </w:pPr>
      <w:r>
        <w:lastRenderedPageBreak/>
        <w:t>Table 2: Perkins V Analysis with Historical Perkins IV Data</w:t>
      </w:r>
    </w:p>
    <w:tbl>
      <w:tblPr>
        <w:tblStyle w:val="aa"/>
        <w:tblW w:w="9360" w:type="dxa"/>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Look w:val="0000" w:firstRow="0" w:lastRow="0" w:firstColumn="0" w:lastColumn="0" w:noHBand="0" w:noVBand="0"/>
        <w:tblCaption w:val="Table 2: Perkins V Analysis with Historical Perkins IV Data"/>
      </w:tblPr>
      <w:tblGrid>
        <w:gridCol w:w="2340"/>
        <w:gridCol w:w="2340"/>
        <w:gridCol w:w="2340"/>
        <w:gridCol w:w="2340"/>
      </w:tblGrid>
      <w:tr w:rsidR="00C06C43" w14:paraId="0BA1BFDD" w14:textId="77777777" w:rsidTr="004024C8">
        <w:trPr>
          <w:trHeight w:val="682"/>
          <w:tblHeader/>
        </w:trPr>
        <w:tc>
          <w:tcPr>
            <w:tcW w:w="2340" w:type="dxa"/>
            <w:shd w:val="clear" w:color="auto" w:fill="1B75BC"/>
            <w:vAlign w:val="center"/>
          </w:tcPr>
          <w:p w14:paraId="45DF9730" w14:textId="08D2F72D" w:rsidR="00C06C43" w:rsidRDefault="00966532" w:rsidP="00966532">
            <w:pPr>
              <w:widowControl w:val="0"/>
              <w:spacing w:line="240" w:lineRule="auto"/>
              <w:jc w:val="center"/>
              <w:rPr>
                <w:rFonts w:ascii="Times New Roman" w:eastAsia="Times New Roman" w:hAnsi="Times New Roman" w:cs="Times New Roman"/>
                <w:sz w:val="20"/>
                <w:szCs w:val="20"/>
              </w:rPr>
            </w:pPr>
            <w:r>
              <w:rPr>
                <w:rFonts w:ascii="Calibri" w:eastAsia="Calibri" w:hAnsi="Calibri" w:cs="Calibri"/>
                <w:b/>
                <w:color w:val="FFFFFF"/>
                <w:sz w:val="21"/>
                <w:szCs w:val="21"/>
              </w:rPr>
              <w:t>Indicator</w:t>
            </w:r>
          </w:p>
        </w:tc>
        <w:tc>
          <w:tcPr>
            <w:tcW w:w="2340" w:type="dxa"/>
            <w:shd w:val="clear" w:color="auto" w:fill="1B75BC"/>
            <w:vAlign w:val="center"/>
          </w:tcPr>
          <w:p w14:paraId="22DC8DB9" w14:textId="77777777" w:rsidR="00A04DB6" w:rsidRDefault="00F56002" w:rsidP="00A04DB6">
            <w:pPr>
              <w:widowControl w:val="0"/>
              <w:spacing w:line="240" w:lineRule="auto"/>
              <w:ind w:right="8"/>
              <w:jc w:val="center"/>
              <w:rPr>
                <w:rFonts w:ascii="Calibri" w:eastAsia="Calibri" w:hAnsi="Calibri" w:cs="Calibri"/>
                <w:b/>
                <w:color w:val="FFFFFF"/>
                <w:sz w:val="21"/>
                <w:szCs w:val="21"/>
              </w:rPr>
            </w:pPr>
            <w:r>
              <w:rPr>
                <w:rFonts w:ascii="Calibri" w:eastAsia="Calibri" w:hAnsi="Calibri" w:cs="Calibri"/>
                <w:b/>
                <w:color w:val="FFFFFF"/>
                <w:sz w:val="21"/>
                <w:szCs w:val="21"/>
              </w:rPr>
              <w:t>2016-2017</w:t>
            </w:r>
          </w:p>
          <w:p w14:paraId="01AB533F" w14:textId="41DEFEAA" w:rsidR="00966532" w:rsidRPr="00A04DB6" w:rsidRDefault="00966532" w:rsidP="00A04DB6">
            <w:pPr>
              <w:widowControl w:val="0"/>
              <w:spacing w:line="240" w:lineRule="auto"/>
              <w:ind w:right="8"/>
              <w:jc w:val="center"/>
              <w:rPr>
                <w:rFonts w:ascii="Calibri" w:eastAsia="Calibri" w:hAnsi="Calibri" w:cs="Calibri"/>
                <w:b/>
                <w:color w:val="FFFFFF"/>
                <w:sz w:val="21"/>
                <w:szCs w:val="21"/>
              </w:rPr>
            </w:pPr>
            <w:r>
              <w:rPr>
                <w:rFonts w:ascii="Calibri" w:eastAsia="Calibri" w:hAnsi="Calibri" w:cs="Calibri"/>
                <w:b/>
                <w:color w:val="FFFFFF"/>
                <w:sz w:val="21"/>
                <w:szCs w:val="21"/>
              </w:rPr>
              <w:t>Perkins V</w:t>
            </w:r>
          </w:p>
        </w:tc>
        <w:tc>
          <w:tcPr>
            <w:tcW w:w="2340" w:type="dxa"/>
            <w:shd w:val="clear" w:color="auto" w:fill="1B75BC"/>
            <w:vAlign w:val="center"/>
          </w:tcPr>
          <w:p w14:paraId="74EA4CDC" w14:textId="77777777" w:rsidR="00966532" w:rsidRDefault="00F56002" w:rsidP="00966532">
            <w:pPr>
              <w:widowControl w:val="0"/>
              <w:spacing w:line="240" w:lineRule="auto"/>
              <w:jc w:val="center"/>
              <w:rPr>
                <w:rFonts w:ascii="Calibri" w:eastAsia="Calibri" w:hAnsi="Calibri" w:cs="Calibri"/>
                <w:b/>
                <w:color w:val="FFFFFF"/>
                <w:sz w:val="21"/>
                <w:szCs w:val="21"/>
              </w:rPr>
            </w:pPr>
            <w:r>
              <w:rPr>
                <w:rFonts w:ascii="Calibri" w:eastAsia="Calibri" w:hAnsi="Calibri" w:cs="Calibri"/>
                <w:b/>
                <w:color w:val="FFFFFF"/>
                <w:sz w:val="21"/>
                <w:szCs w:val="21"/>
              </w:rPr>
              <w:t>2015-2016</w:t>
            </w:r>
          </w:p>
          <w:p w14:paraId="74D2FA40" w14:textId="0921E8BD" w:rsidR="00966532" w:rsidRPr="00966532" w:rsidRDefault="00966532" w:rsidP="00966532">
            <w:pPr>
              <w:widowControl w:val="0"/>
              <w:spacing w:line="240" w:lineRule="auto"/>
              <w:jc w:val="center"/>
              <w:rPr>
                <w:rFonts w:ascii="Calibri" w:eastAsia="Calibri" w:hAnsi="Calibri" w:cs="Calibri"/>
                <w:b/>
                <w:color w:val="FFFFFF"/>
                <w:sz w:val="21"/>
                <w:szCs w:val="21"/>
              </w:rPr>
            </w:pPr>
            <w:r>
              <w:rPr>
                <w:rFonts w:ascii="Calibri" w:eastAsia="Calibri" w:hAnsi="Calibri" w:cs="Calibri"/>
                <w:b/>
                <w:color w:val="FFFFFF"/>
                <w:sz w:val="21"/>
                <w:szCs w:val="21"/>
              </w:rPr>
              <w:t>Perkins V</w:t>
            </w:r>
          </w:p>
        </w:tc>
        <w:tc>
          <w:tcPr>
            <w:tcW w:w="2340" w:type="dxa"/>
            <w:shd w:val="clear" w:color="auto" w:fill="1B75BC"/>
            <w:vAlign w:val="center"/>
          </w:tcPr>
          <w:p w14:paraId="5B529EC5" w14:textId="6B6779DE" w:rsidR="00C06C43" w:rsidRDefault="00F56002" w:rsidP="00966532">
            <w:pPr>
              <w:widowControl w:val="0"/>
              <w:spacing w:line="240" w:lineRule="auto"/>
              <w:jc w:val="center"/>
              <w:rPr>
                <w:rFonts w:ascii="Calibri" w:eastAsia="Calibri" w:hAnsi="Calibri" w:cs="Calibri"/>
                <w:b/>
                <w:sz w:val="21"/>
                <w:szCs w:val="21"/>
              </w:rPr>
            </w:pPr>
            <w:r>
              <w:rPr>
                <w:rFonts w:ascii="Calibri" w:eastAsia="Calibri" w:hAnsi="Calibri" w:cs="Calibri"/>
                <w:b/>
                <w:color w:val="FFFFFF"/>
                <w:sz w:val="21"/>
                <w:szCs w:val="21"/>
              </w:rPr>
              <w:t>2-year average</w:t>
            </w:r>
          </w:p>
        </w:tc>
      </w:tr>
      <w:tr w:rsidR="00C06C43" w14:paraId="129A35B2" w14:textId="77777777" w:rsidTr="004024C8">
        <w:trPr>
          <w:trHeight w:val="307"/>
        </w:trPr>
        <w:tc>
          <w:tcPr>
            <w:tcW w:w="2340" w:type="dxa"/>
            <w:tcBorders>
              <w:left w:val="single" w:sz="6" w:space="0" w:color="929497"/>
              <w:bottom w:val="single" w:sz="6" w:space="0" w:color="929497"/>
              <w:right w:val="single" w:sz="6" w:space="0" w:color="929497"/>
            </w:tcBorders>
            <w:shd w:val="clear" w:color="auto" w:fill="FFFFFF" w:themeFill="background1"/>
          </w:tcPr>
          <w:p w14:paraId="6BA53DCA"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Numerator</w:t>
            </w:r>
          </w:p>
        </w:tc>
        <w:tc>
          <w:tcPr>
            <w:tcW w:w="2340" w:type="dxa"/>
            <w:tcBorders>
              <w:left w:val="single" w:sz="6" w:space="0" w:color="929497"/>
              <w:bottom w:val="single" w:sz="6" w:space="0" w:color="929497"/>
              <w:right w:val="single" w:sz="6" w:space="0" w:color="929497"/>
            </w:tcBorders>
            <w:shd w:val="clear" w:color="auto" w:fill="FFFFFF" w:themeFill="background1"/>
            <w:vAlign w:val="center"/>
          </w:tcPr>
          <w:p w14:paraId="3D405D47" w14:textId="77777777" w:rsidR="00C06C43" w:rsidRDefault="00F56002" w:rsidP="004024C8">
            <w:pPr>
              <w:widowControl w:val="0"/>
              <w:spacing w:before="44" w:line="240" w:lineRule="auto"/>
              <w:jc w:val="center"/>
              <w:rPr>
                <w:rFonts w:ascii="Calibri" w:eastAsia="Calibri" w:hAnsi="Calibri" w:cs="Calibri"/>
                <w:sz w:val="19"/>
                <w:szCs w:val="19"/>
              </w:rPr>
            </w:pPr>
            <w:r>
              <w:rPr>
                <w:rFonts w:ascii="Calibri" w:eastAsia="Calibri" w:hAnsi="Calibri" w:cs="Calibri"/>
                <w:color w:val="231F20"/>
                <w:sz w:val="19"/>
                <w:szCs w:val="19"/>
              </w:rPr>
              <w:t>8,162</w:t>
            </w:r>
          </w:p>
        </w:tc>
        <w:tc>
          <w:tcPr>
            <w:tcW w:w="2340" w:type="dxa"/>
            <w:tcBorders>
              <w:left w:val="single" w:sz="6" w:space="0" w:color="929497"/>
              <w:bottom w:val="single" w:sz="6" w:space="0" w:color="929497"/>
              <w:right w:val="single" w:sz="6" w:space="0" w:color="929497"/>
            </w:tcBorders>
            <w:shd w:val="clear" w:color="auto" w:fill="FFFFFF" w:themeFill="background1"/>
            <w:vAlign w:val="center"/>
          </w:tcPr>
          <w:p w14:paraId="69474009" w14:textId="77777777" w:rsidR="00C06C43" w:rsidRDefault="00F56002" w:rsidP="004024C8">
            <w:pPr>
              <w:widowControl w:val="0"/>
              <w:spacing w:before="44" w:line="240" w:lineRule="auto"/>
              <w:ind w:left="-7"/>
              <w:jc w:val="center"/>
              <w:rPr>
                <w:rFonts w:ascii="Calibri" w:eastAsia="Calibri" w:hAnsi="Calibri" w:cs="Calibri"/>
                <w:sz w:val="19"/>
                <w:szCs w:val="19"/>
              </w:rPr>
            </w:pPr>
            <w:r>
              <w:rPr>
                <w:rFonts w:ascii="Calibri" w:eastAsia="Calibri" w:hAnsi="Calibri" w:cs="Calibri"/>
                <w:color w:val="231F20"/>
                <w:sz w:val="19"/>
                <w:szCs w:val="19"/>
              </w:rPr>
              <w:t>7,511</w:t>
            </w:r>
          </w:p>
        </w:tc>
        <w:tc>
          <w:tcPr>
            <w:tcW w:w="2340" w:type="dxa"/>
            <w:tcBorders>
              <w:left w:val="single" w:sz="6" w:space="0" w:color="929497"/>
              <w:bottom w:val="single" w:sz="6" w:space="0" w:color="929497"/>
              <w:right w:val="single" w:sz="6" w:space="0" w:color="929497"/>
            </w:tcBorders>
            <w:shd w:val="clear" w:color="auto" w:fill="FFFFFF" w:themeFill="background1"/>
            <w:vAlign w:val="center"/>
          </w:tcPr>
          <w:p w14:paraId="6D7091E7" w14:textId="77777777" w:rsidR="00C06C43" w:rsidRDefault="00F56002" w:rsidP="004024C8">
            <w:pPr>
              <w:widowControl w:val="0"/>
              <w:spacing w:before="44" w:line="240" w:lineRule="auto"/>
              <w:ind w:left="1213" w:hanging="1220"/>
              <w:jc w:val="center"/>
              <w:rPr>
                <w:rFonts w:ascii="Calibri" w:eastAsia="Calibri" w:hAnsi="Calibri" w:cs="Calibri"/>
                <w:sz w:val="19"/>
                <w:szCs w:val="19"/>
              </w:rPr>
            </w:pPr>
            <w:r>
              <w:rPr>
                <w:rFonts w:ascii="Calibri" w:eastAsia="Calibri" w:hAnsi="Calibri" w:cs="Calibri"/>
                <w:color w:val="231F20"/>
                <w:sz w:val="19"/>
                <w:szCs w:val="19"/>
              </w:rPr>
              <w:t>7,837</w:t>
            </w:r>
          </w:p>
        </w:tc>
      </w:tr>
      <w:tr w:rsidR="00C06C43" w14:paraId="77D25CD4" w14:textId="77777777" w:rsidTr="004024C8">
        <w:trPr>
          <w:trHeight w:val="307"/>
        </w:trPr>
        <w:tc>
          <w:tcPr>
            <w:tcW w:w="2340"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410A9AFF"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Denominator</w:t>
            </w:r>
          </w:p>
        </w:tc>
        <w:tc>
          <w:tcPr>
            <w:tcW w:w="2340" w:type="dxa"/>
            <w:tcBorders>
              <w:top w:val="single" w:sz="6" w:space="0" w:color="929497"/>
              <w:left w:val="single" w:sz="6" w:space="0" w:color="929497"/>
              <w:bottom w:val="single" w:sz="6" w:space="0" w:color="929497"/>
              <w:right w:val="single" w:sz="6" w:space="0" w:color="929497"/>
            </w:tcBorders>
            <w:shd w:val="clear" w:color="auto" w:fill="FFFFFF" w:themeFill="background1"/>
            <w:vAlign w:val="center"/>
          </w:tcPr>
          <w:p w14:paraId="4EE8FE5B" w14:textId="77777777" w:rsidR="00C06C43" w:rsidRDefault="00F56002" w:rsidP="004024C8">
            <w:pPr>
              <w:widowControl w:val="0"/>
              <w:spacing w:before="44" w:line="240" w:lineRule="auto"/>
              <w:jc w:val="center"/>
              <w:rPr>
                <w:rFonts w:ascii="Calibri" w:eastAsia="Calibri" w:hAnsi="Calibri" w:cs="Calibri"/>
                <w:sz w:val="19"/>
                <w:szCs w:val="19"/>
              </w:rPr>
            </w:pPr>
            <w:r>
              <w:rPr>
                <w:rFonts w:ascii="Calibri" w:eastAsia="Calibri" w:hAnsi="Calibri" w:cs="Calibri"/>
                <w:color w:val="231F20"/>
                <w:sz w:val="19"/>
                <w:szCs w:val="19"/>
              </w:rPr>
              <w:t>14,864</w:t>
            </w:r>
          </w:p>
        </w:tc>
        <w:tc>
          <w:tcPr>
            <w:tcW w:w="2340" w:type="dxa"/>
            <w:tcBorders>
              <w:top w:val="single" w:sz="6" w:space="0" w:color="929497"/>
              <w:left w:val="single" w:sz="6" w:space="0" w:color="929497"/>
              <w:bottom w:val="single" w:sz="6" w:space="0" w:color="929497"/>
              <w:right w:val="single" w:sz="6" w:space="0" w:color="929497"/>
            </w:tcBorders>
            <w:shd w:val="clear" w:color="auto" w:fill="FFFFFF" w:themeFill="background1"/>
            <w:vAlign w:val="center"/>
          </w:tcPr>
          <w:p w14:paraId="5B72BB1B" w14:textId="77777777" w:rsidR="00C06C43" w:rsidRDefault="00F56002" w:rsidP="004024C8">
            <w:pPr>
              <w:widowControl w:val="0"/>
              <w:spacing w:before="44" w:line="240" w:lineRule="auto"/>
              <w:ind w:left="-7"/>
              <w:jc w:val="center"/>
              <w:rPr>
                <w:rFonts w:ascii="Calibri" w:eastAsia="Calibri" w:hAnsi="Calibri" w:cs="Calibri"/>
                <w:sz w:val="19"/>
                <w:szCs w:val="19"/>
              </w:rPr>
            </w:pPr>
            <w:r>
              <w:rPr>
                <w:rFonts w:ascii="Calibri" w:eastAsia="Calibri" w:hAnsi="Calibri" w:cs="Calibri"/>
                <w:color w:val="231F20"/>
                <w:sz w:val="19"/>
                <w:szCs w:val="19"/>
              </w:rPr>
              <w:t>14,082</w:t>
            </w:r>
          </w:p>
        </w:tc>
        <w:tc>
          <w:tcPr>
            <w:tcW w:w="2340" w:type="dxa"/>
            <w:tcBorders>
              <w:top w:val="single" w:sz="6" w:space="0" w:color="929497"/>
              <w:left w:val="single" w:sz="6" w:space="0" w:color="929497"/>
              <w:bottom w:val="single" w:sz="6" w:space="0" w:color="929497"/>
              <w:right w:val="single" w:sz="6" w:space="0" w:color="929497"/>
            </w:tcBorders>
            <w:shd w:val="clear" w:color="auto" w:fill="FFFFFF" w:themeFill="background1"/>
            <w:vAlign w:val="center"/>
          </w:tcPr>
          <w:p w14:paraId="5B80D0AD" w14:textId="77777777" w:rsidR="00C06C43" w:rsidRDefault="00F56002" w:rsidP="004024C8">
            <w:pPr>
              <w:widowControl w:val="0"/>
              <w:spacing w:before="44" w:line="240" w:lineRule="auto"/>
              <w:ind w:left="1165" w:hanging="1220"/>
              <w:jc w:val="center"/>
              <w:rPr>
                <w:rFonts w:ascii="Calibri" w:eastAsia="Calibri" w:hAnsi="Calibri" w:cs="Calibri"/>
                <w:sz w:val="19"/>
                <w:szCs w:val="19"/>
              </w:rPr>
            </w:pPr>
            <w:r>
              <w:rPr>
                <w:rFonts w:ascii="Calibri" w:eastAsia="Calibri" w:hAnsi="Calibri" w:cs="Calibri"/>
                <w:color w:val="231F20"/>
                <w:sz w:val="19"/>
                <w:szCs w:val="19"/>
              </w:rPr>
              <w:t>14,473</w:t>
            </w:r>
          </w:p>
        </w:tc>
      </w:tr>
      <w:tr w:rsidR="00C06C43" w14:paraId="0F20E446" w14:textId="77777777" w:rsidTr="004024C8">
        <w:trPr>
          <w:trHeight w:val="305"/>
        </w:trPr>
        <w:tc>
          <w:tcPr>
            <w:tcW w:w="2340" w:type="dxa"/>
            <w:tcBorders>
              <w:top w:val="single" w:sz="6" w:space="0" w:color="929497"/>
              <w:left w:val="single" w:sz="6" w:space="0" w:color="929497"/>
              <w:bottom w:val="single" w:sz="8" w:space="0" w:color="1B75BC"/>
              <w:right w:val="single" w:sz="6" w:space="0" w:color="929497"/>
            </w:tcBorders>
            <w:shd w:val="clear" w:color="auto" w:fill="FFFFFF" w:themeFill="background1"/>
          </w:tcPr>
          <w:p w14:paraId="5C402501"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Performance</w:t>
            </w:r>
          </w:p>
        </w:tc>
        <w:tc>
          <w:tcPr>
            <w:tcW w:w="2340" w:type="dxa"/>
            <w:tcBorders>
              <w:top w:val="single" w:sz="6" w:space="0" w:color="929497"/>
              <w:left w:val="single" w:sz="6" w:space="0" w:color="929497"/>
              <w:bottom w:val="single" w:sz="8" w:space="0" w:color="1B75BC"/>
              <w:right w:val="single" w:sz="6" w:space="0" w:color="929497"/>
            </w:tcBorders>
            <w:shd w:val="clear" w:color="auto" w:fill="FFFFFF" w:themeFill="background1"/>
            <w:vAlign w:val="center"/>
          </w:tcPr>
          <w:p w14:paraId="23D87819" w14:textId="77777777" w:rsidR="00C06C43" w:rsidRDefault="00F56002" w:rsidP="004024C8">
            <w:pPr>
              <w:widowControl w:val="0"/>
              <w:spacing w:before="44" w:line="240" w:lineRule="auto"/>
              <w:jc w:val="center"/>
              <w:rPr>
                <w:rFonts w:ascii="Calibri" w:eastAsia="Calibri" w:hAnsi="Calibri" w:cs="Calibri"/>
                <w:sz w:val="19"/>
                <w:szCs w:val="19"/>
              </w:rPr>
            </w:pPr>
            <w:r>
              <w:rPr>
                <w:rFonts w:ascii="Calibri" w:eastAsia="Calibri" w:hAnsi="Calibri" w:cs="Calibri"/>
                <w:color w:val="231F20"/>
                <w:sz w:val="19"/>
                <w:szCs w:val="19"/>
              </w:rPr>
              <w:t>54.91%</w:t>
            </w:r>
          </w:p>
        </w:tc>
        <w:tc>
          <w:tcPr>
            <w:tcW w:w="2340" w:type="dxa"/>
            <w:tcBorders>
              <w:top w:val="single" w:sz="6" w:space="0" w:color="929497"/>
              <w:left w:val="single" w:sz="6" w:space="0" w:color="929497"/>
              <w:bottom w:val="single" w:sz="8" w:space="0" w:color="1B75BC"/>
              <w:right w:val="single" w:sz="6" w:space="0" w:color="929497"/>
            </w:tcBorders>
            <w:shd w:val="clear" w:color="auto" w:fill="FFFFFF" w:themeFill="background1"/>
            <w:vAlign w:val="center"/>
          </w:tcPr>
          <w:p w14:paraId="42841DAA" w14:textId="77777777" w:rsidR="00C06C43" w:rsidRDefault="00F56002" w:rsidP="004024C8">
            <w:pPr>
              <w:widowControl w:val="0"/>
              <w:spacing w:before="44" w:line="240" w:lineRule="auto"/>
              <w:ind w:left="-7"/>
              <w:jc w:val="center"/>
              <w:rPr>
                <w:rFonts w:ascii="Calibri" w:eastAsia="Calibri" w:hAnsi="Calibri" w:cs="Calibri"/>
                <w:sz w:val="19"/>
                <w:szCs w:val="19"/>
              </w:rPr>
            </w:pPr>
            <w:r>
              <w:rPr>
                <w:rFonts w:ascii="Calibri" w:eastAsia="Calibri" w:hAnsi="Calibri" w:cs="Calibri"/>
                <w:color w:val="231F20"/>
                <w:sz w:val="19"/>
                <w:szCs w:val="19"/>
              </w:rPr>
              <w:t>53.34%</w:t>
            </w:r>
          </w:p>
        </w:tc>
        <w:tc>
          <w:tcPr>
            <w:tcW w:w="2340" w:type="dxa"/>
            <w:tcBorders>
              <w:top w:val="single" w:sz="6" w:space="0" w:color="929497"/>
              <w:left w:val="single" w:sz="6" w:space="0" w:color="929497"/>
              <w:bottom w:val="single" w:sz="8" w:space="0" w:color="1B75BC"/>
              <w:right w:val="single" w:sz="6" w:space="0" w:color="929497"/>
            </w:tcBorders>
            <w:shd w:val="clear" w:color="auto" w:fill="FFFFFF" w:themeFill="background1"/>
            <w:vAlign w:val="center"/>
          </w:tcPr>
          <w:p w14:paraId="6172E0A4" w14:textId="77777777" w:rsidR="00C06C43" w:rsidRDefault="00F56002" w:rsidP="004024C8">
            <w:pPr>
              <w:widowControl w:val="0"/>
              <w:spacing w:before="44" w:line="240" w:lineRule="auto"/>
              <w:ind w:left="1145" w:hanging="1220"/>
              <w:jc w:val="center"/>
              <w:rPr>
                <w:rFonts w:ascii="Calibri" w:eastAsia="Calibri" w:hAnsi="Calibri" w:cs="Calibri"/>
                <w:sz w:val="19"/>
                <w:szCs w:val="19"/>
              </w:rPr>
            </w:pPr>
            <w:r>
              <w:rPr>
                <w:rFonts w:ascii="Calibri" w:eastAsia="Calibri" w:hAnsi="Calibri" w:cs="Calibri"/>
                <w:color w:val="231F20"/>
                <w:sz w:val="19"/>
                <w:szCs w:val="19"/>
              </w:rPr>
              <w:t>54.15%</w:t>
            </w:r>
          </w:p>
        </w:tc>
      </w:tr>
    </w:tbl>
    <w:p w14:paraId="7BE20C18" w14:textId="77777777" w:rsidR="00C06C43" w:rsidRDefault="00C06C43">
      <w:pPr>
        <w:widowControl w:val="0"/>
        <w:spacing w:before="174" w:line="235" w:lineRule="auto"/>
        <w:ind w:right="-14"/>
      </w:pPr>
    </w:p>
    <w:p w14:paraId="036964B0" w14:textId="68B18F2B" w:rsidR="00C06C43" w:rsidRPr="007A1D12" w:rsidRDefault="00F56002" w:rsidP="007A1D12">
      <w:pPr>
        <w:pStyle w:val="Heading3"/>
      </w:pPr>
      <w:r>
        <w:t>Proposed Targets</w:t>
      </w:r>
    </w:p>
    <w:tbl>
      <w:tblPr>
        <w:tblStyle w:val="ab"/>
        <w:tblW w:w="4848" w:type="dxa"/>
        <w:tblInd w:w="7"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Look w:val="0000" w:firstRow="0" w:lastRow="0" w:firstColumn="0" w:lastColumn="0" w:noHBand="0" w:noVBand="0"/>
        <w:tblCaption w:val="Earned Recongized Postsecondary Proposed Targets"/>
      </w:tblPr>
      <w:tblGrid>
        <w:gridCol w:w="2424"/>
        <w:gridCol w:w="2424"/>
      </w:tblGrid>
      <w:tr w:rsidR="00C06C43" w14:paraId="03F1F4C3" w14:textId="77777777" w:rsidTr="003006C6">
        <w:trPr>
          <w:trHeight w:val="682"/>
          <w:tblHeader/>
        </w:trPr>
        <w:tc>
          <w:tcPr>
            <w:tcW w:w="2424" w:type="dxa"/>
            <w:shd w:val="clear" w:color="auto" w:fill="1B75BC"/>
          </w:tcPr>
          <w:p w14:paraId="7D486756" w14:textId="77777777" w:rsidR="00C06C43" w:rsidRDefault="00C06C43">
            <w:pPr>
              <w:widowControl w:val="0"/>
              <w:spacing w:line="240" w:lineRule="auto"/>
              <w:rPr>
                <w:rFonts w:ascii="Calibri" w:eastAsia="Calibri" w:hAnsi="Calibri" w:cs="Calibri"/>
                <w:sz w:val="18"/>
                <w:szCs w:val="18"/>
              </w:rPr>
            </w:pPr>
          </w:p>
          <w:p w14:paraId="5DB13F4F" w14:textId="77777777" w:rsidR="00C06C43" w:rsidRDefault="00F56002">
            <w:pPr>
              <w:widowControl w:val="0"/>
              <w:spacing w:line="240" w:lineRule="auto"/>
              <w:ind w:left="274"/>
              <w:rPr>
                <w:rFonts w:ascii="Calibri" w:eastAsia="Calibri" w:hAnsi="Calibri" w:cs="Calibri"/>
                <w:b/>
                <w:sz w:val="21"/>
                <w:szCs w:val="21"/>
              </w:rPr>
            </w:pPr>
            <w:r>
              <w:rPr>
                <w:rFonts w:ascii="Calibri" w:eastAsia="Calibri" w:hAnsi="Calibri" w:cs="Calibri"/>
                <w:b/>
                <w:color w:val="FFFFFF"/>
                <w:sz w:val="21"/>
                <w:szCs w:val="21"/>
              </w:rPr>
              <w:t>Program Year</w:t>
            </w:r>
          </w:p>
        </w:tc>
        <w:tc>
          <w:tcPr>
            <w:tcW w:w="2424" w:type="dxa"/>
            <w:shd w:val="clear" w:color="auto" w:fill="1B75BC"/>
          </w:tcPr>
          <w:p w14:paraId="73D69748" w14:textId="77777777" w:rsidR="00C06C43" w:rsidRDefault="00C06C43">
            <w:pPr>
              <w:widowControl w:val="0"/>
              <w:spacing w:line="240" w:lineRule="auto"/>
              <w:rPr>
                <w:rFonts w:ascii="Calibri" w:eastAsia="Calibri" w:hAnsi="Calibri" w:cs="Calibri"/>
                <w:sz w:val="18"/>
                <w:szCs w:val="18"/>
              </w:rPr>
            </w:pPr>
          </w:p>
          <w:p w14:paraId="0A76A058" w14:textId="77777777" w:rsidR="00C06C43" w:rsidRDefault="00F56002">
            <w:pPr>
              <w:widowControl w:val="0"/>
              <w:spacing w:line="240" w:lineRule="auto"/>
              <w:ind w:left="274"/>
              <w:rPr>
                <w:rFonts w:ascii="Calibri" w:eastAsia="Calibri" w:hAnsi="Calibri" w:cs="Calibri"/>
                <w:b/>
                <w:sz w:val="21"/>
                <w:szCs w:val="21"/>
              </w:rPr>
            </w:pPr>
            <w:r>
              <w:rPr>
                <w:rFonts w:ascii="Calibri" w:eastAsia="Calibri" w:hAnsi="Calibri" w:cs="Calibri"/>
                <w:b/>
                <w:color w:val="FFFFFF"/>
                <w:sz w:val="21"/>
                <w:szCs w:val="21"/>
              </w:rPr>
              <w:t>Proposed Target</w:t>
            </w:r>
          </w:p>
        </w:tc>
      </w:tr>
      <w:tr w:rsidR="00C06C43" w14:paraId="7C69F863" w14:textId="77777777" w:rsidTr="007A1D12">
        <w:trPr>
          <w:trHeight w:val="307"/>
        </w:trPr>
        <w:tc>
          <w:tcPr>
            <w:tcW w:w="2424" w:type="dxa"/>
            <w:tcBorders>
              <w:left w:val="single" w:sz="6" w:space="0" w:color="929497"/>
              <w:bottom w:val="single" w:sz="6" w:space="0" w:color="929497"/>
              <w:right w:val="single" w:sz="6" w:space="0" w:color="929497"/>
            </w:tcBorders>
            <w:shd w:val="clear" w:color="auto" w:fill="FFFFFF" w:themeFill="background1"/>
          </w:tcPr>
          <w:p w14:paraId="7447976E"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2020-2021</w:t>
            </w:r>
          </w:p>
        </w:tc>
        <w:tc>
          <w:tcPr>
            <w:tcW w:w="2424" w:type="dxa"/>
            <w:tcBorders>
              <w:left w:val="single" w:sz="6" w:space="0" w:color="929497"/>
              <w:bottom w:val="single" w:sz="6" w:space="0" w:color="929497"/>
              <w:right w:val="single" w:sz="6" w:space="0" w:color="929497"/>
            </w:tcBorders>
            <w:shd w:val="clear" w:color="auto" w:fill="FFFFFF" w:themeFill="background1"/>
          </w:tcPr>
          <w:p w14:paraId="798958CF" w14:textId="77777777" w:rsidR="00C06C43" w:rsidRDefault="00F56002">
            <w:pPr>
              <w:widowControl w:val="0"/>
              <w:spacing w:before="44" w:line="240" w:lineRule="auto"/>
              <w:ind w:left="950" w:right="849"/>
              <w:jc w:val="center"/>
              <w:rPr>
                <w:rFonts w:ascii="Calibri" w:eastAsia="Calibri" w:hAnsi="Calibri" w:cs="Calibri"/>
                <w:color w:val="231F20"/>
                <w:sz w:val="19"/>
                <w:szCs w:val="19"/>
              </w:rPr>
            </w:pPr>
            <w:r>
              <w:rPr>
                <w:rFonts w:ascii="Calibri" w:eastAsia="Calibri" w:hAnsi="Calibri" w:cs="Calibri"/>
                <w:color w:val="231F20"/>
                <w:sz w:val="19"/>
                <w:szCs w:val="19"/>
              </w:rPr>
              <w:t>48.75%</w:t>
            </w:r>
          </w:p>
          <w:p w14:paraId="2520F529" w14:textId="77777777" w:rsidR="00C06C43" w:rsidRDefault="00F56002">
            <w:pPr>
              <w:widowControl w:val="0"/>
              <w:spacing w:before="44" w:line="240" w:lineRule="auto"/>
              <w:ind w:left="950" w:right="849"/>
              <w:rPr>
                <w:rFonts w:ascii="Calibri" w:eastAsia="Calibri" w:hAnsi="Calibri" w:cs="Calibri"/>
                <w:b/>
                <w:color w:val="FF0000"/>
                <w:sz w:val="19"/>
                <w:szCs w:val="19"/>
              </w:rPr>
            </w:pPr>
            <w:r>
              <w:rPr>
                <w:rFonts w:ascii="Calibri" w:eastAsia="Calibri" w:hAnsi="Calibri" w:cs="Calibri"/>
                <w:b/>
                <w:color w:val="FF0000"/>
                <w:sz w:val="19"/>
                <w:szCs w:val="19"/>
              </w:rPr>
              <w:t>39.00%</w:t>
            </w:r>
          </w:p>
        </w:tc>
      </w:tr>
      <w:tr w:rsidR="00C06C43" w14:paraId="44B04905" w14:textId="77777777" w:rsidTr="007A1D12">
        <w:trPr>
          <w:trHeight w:val="307"/>
        </w:trPr>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086AEDA5"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2021-2022</w:t>
            </w:r>
          </w:p>
        </w:tc>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092B9A34" w14:textId="77777777" w:rsidR="00C06C43" w:rsidRDefault="00F56002">
            <w:pPr>
              <w:widowControl w:val="0"/>
              <w:spacing w:before="44" w:line="240" w:lineRule="auto"/>
              <w:ind w:left="950" w:right="849"/>
              <w:jc w:val="center"/>
              <w:rPr>
                <w:rFonts w:ascii="Calibri" w:eastAsia="Calibri" w:hAnsi="Calibri" w:cs="Calibri"/>
                <w:color w:val="231F20"/>
                <w:sz w:val="19"/>
                <w:szCs w:val="19"/>
              </w:rPr>
            </w:pPr>
            <w:r>
              <w:rPr>
                <w:rFonts w:ascii="Calibri" w:eastAsia="Calibri" w:hAnsi="Calibri" w:cs="Calibri"/>
                <w:color w:val="231F20"/>
                <w:sz w:val="19"/>
                <w:szCs w:val="19"/>
              </w:rPr>
              <w:t>49.25%</w:t>
            </w:r>
          </w:p>
          <w:p w14:paraId="68C76666" w14:textId="77777777" w:rsidR="00C06C43" w:rsidRDefault="00F56002">
            <w:pPr>
              <w:widowControl w:val="0"/>
              <w:spacing w:before="44" w:line="240" w:lineRule="auto"/>
              <w:ind w:left="950" w:right="849"/>
              <w:rPr>
                <w:rFonts w:ascii="Calibri" w:eastAsia="Calibri" w:hAnsi="Calibri" w:cs="Calibri"/>
                <w:b/>
                <w:color w:val="FF0000"/>
                <w:sz w:val="19"/>
                <w:szCs w:val="19"/>
              </w:rPr>
            </w:pPr>
            <w:r>
              <w:rPr>
                <w:rFonts w:ascii="Calibri" w:eastAsia="Calibri" w:hAnsi="Calibri" w:cs="Calibri"/>
                <w:b/>
                <w:color w:val="FF0000"/>
                <w:sz w:val="19"/>
                <w:szCs w:val="19"/>
              </w:rPr>
              <w:t>39.40%</w:t>
            </w:r>
          </w:p>
        </w:tc>
      </w:tr>
      <w:tr w:rsidR="00C06C43" w14:paraId="75474178" w14:textId="77777777" w:rsidTr="007A1D12">
        <w:trPr>
          <w:trHeight w:val="307"/>
        </w:trPr>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39EE2939"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2022-2023</w:t>
            </w:r>
          </w:p>
        </w:tc>
        <w:tc>
          <w:tcPr>
            <w:tcW w:w="2424" w:type="dxa"/>
            <w:tcBorders>
              <w:top w:val="single" w:sz="6" w:space="0" w:color="929497"/>
              <w:left w:val="single" w:sz="6" w:space="0" w:color="929497"/>
              <w:bottom w:val="single" w:sz="6" w:space="0" w:color="929497"/>
              <w:right w:val="single" w:sz="6" w:space="0" w:color="929497"/>
            </w:tcBorders>
            <w:shd w:val="clear" w:color="auto" w:fill="FFFFFF" w:themeFill="background1"/>
          </w:tcPr>
          <w:p w14:paraId="00B03279" w14:textId="77777777" w:rsidR="00C06C43" w:rsidRDefault="00F56002">
            <w:pPr>
              <w:widowControl w:val="0"/>
              <w:spacing w:before="44" w:line="240" w:lineRule="auto"/>
              <w:ind w:left="950" w:right="849"/>
              <w:jc w:val="center"/>
              <w:rPr>
                <w:rFonts w:ascii="Calibri" w:eastAsia="Calibri" w:hAnsi="Calibri" w:cs="Calibri"/>
                <w:color w:val="231F20"/>
                <w:sz w:val="19"/>
                <w:szCs w:val="19"/>
              </w:rPr>
            </w:pPr>
            <w:r>
              <w:rPr>
                <w:rFonts w:ascii="Calibri" w:eastAsia="Calibri" w:hAnsi="Calibri" w:cs="Calibri"/>
                <w:color w:val="231F20"/>
                <w:sz w:val="19"/>
                <w:szCs w:val="19"/>
              </w:rPr>
              <w:t>49.75%</w:t>
            </w:r>
          </w:p>
          <w:p w14:paraId="028CF95E" w14:textId="77777777" w:rsidR="00C06C43" w:rsidRDefault="00F56002">
            <w:pPr>
              <w:widowControl w:val="0"/>
              <w:spacing w:before="44" w:line="240" w:lineRule="auto"/>
              <w:ind w:left="950" w:right="849"/>
              <w:rPr>
                <w:rFonts w:ascii="Calibri" w:eastAsia="Calibri" w:hAnsi="Calibri" w:cs="Calibri"/>
                <w:b/>
                <w:color w:val="FF0000"/>
                <w:sz w:val="19"/>
                <w:szCs w:val="19"/>
              </w:rPr>
            </w:pPr>
            <w:r>
              <w:rPr>
                <w:rFonts w:ascii="Calibri" w:eastAsia="Calibri" w:hAnsi="Calibri" w:cs="Calibri"/>
                <w:b/>
                <w:color w:val="FF0000"/>
                <w:sz w:val="19"/>
                <w:szCs w:val="19"/>
              </w:rPr>
              <w:t>42.30%</w:t>
            </w:r>
          </w:p>
        </w:tc>
      </w:tr>
      <w:tr w:rsidR="00C06C43" w14:paraId="4ACB80DF" w14:textId="77777777" w:rsidTr="007A1D12">
        <w:trPr>
          <w:trHeight w:val="305"/>
        </w:trPr>
        <w:tc>
          <w:tcPr>
            <w:tcW w:w="2424" w:type="dxa"/>
            <w:tcBorders>
              <w:top w:val="single" w:sz="6" w:space="0" w:color="929497"/>
              <w:left w:val="single" w:sz="6" w:space="0" w:color="929497"/>
              <w:bottom w:val="single" w:sz="8" w:space="0" w:color="1B75BC"/>
              <w:right w:val="single" w:sz="6" w:space="0" w:color="929497"/>
            </w:tcBorders>
            <w:shd w:val="clear" w:color="auto" w:fill="FFFFFF" w:themeFill="background1"/>
          </w:tcPr>
          <w:p w14:paraId="49A79862"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2023-2024</w:t>
            </w:r>
          </w:p>
        </w:tc>
        <w:tc>
          <w:tcPr>
            <w:tcW w:w="2424" w:type="dxa"/>
            <w:tcBorders>
              <w:top w:val="single" w:sz="6" w:space="0" w:color="929497"/>
              <w:left w:val="single" w:sz="6" w:space="0" w:color="929497"/>
              <w:bottom w:val="single" w:sz="8" w:space="0" w:color="1B75BC"/>
              <w:right w:val="single" w:sz="6" w:space="0" w:color="929497"/>
            </w:tcBorders>
            <w:shd w:val="clear" w:color="auto" w:fill="FFFFFF" w:themeFill="background1"/>
          </w:tcPr>
          <w:p w14:paraId="3D8DB59A" w14:textId="77777777" w:rsidR="00C06C43" w:rsidRDefault="00F56002">
            <w:pPr>
              <w:widowControl w:val="0"/>
              <w:spacing w:before="44" w:line="240" w:lineRule="auto"/>
              <w:ind w:left="950" w:right="849"/>
              <w:jc w:val="center"/>
              <w:rPr>
                <w:rFonts w:ascii="Calibri" w:eastAsia="Calibri" w:hAnsi="Calibri" w:cs="Calibri"/>
                <w:color w:val="231F20"/>
                <w:sz w:val="19"/>
                <w:szCs w:val="19"/>
              </w:rPr>
            </w:pPr>
            <w:r>
              <w:rPr>
                <w:rFonts w:ascii="Calibri" w:eastAsia="Calibri" w:hAnsi="Calibri" w:cs="Calibri"/>
                <w:color w:val="231F20"/>
                <w:sz w:val="19"/>
                <w:szCs w:val="19"/>
              </w:rPr>
              <w:t>50.25%</w:t>
            </w:r>
          </w:p>
          <w:p w14:paraId="007CB229" w14:textId="77777777" w:rsidR="00C06C43" w:rsidRDefault="00F56002">
            <w:pPr>
              <w:widowControl w:val="0"/>
              <w:spacing w:before="44" w:line="240" w:lineRule="auto"/>
              <w:ind w:left="950" w:right="849"/>
              <w:rPr>
                <w:rFonts w:ascii="Calibri" w:eastAsia="Calibri" w:hAnsi="Calibri" w:cs="Calibri"/>
                <w:b/>
                <w:color w:val="FF0000"/>
                <w:sz w:val="19"/>
                <w:szCs w:val="19"/>
              </w:rPr>
            </w:pPr>
            <w:r>
              <w:rPr>
                <w:rFonts w:ascii="Calibri" w:eastAsia="Calibri" w:hAnsi="Calibri" w:cs="Calibri"/>
                <w:b/>
                <w:color w:val="FF0000"/>
                <w:sz w:val="19"/>
                <w:szCs w:val="19"/>
              </w:rPr>
              <w:t>45.20%</w:t>
            </w:r>
          </w:p>
        </w:tc>
      </w:tr>
    </w:tbl>
    <w:p w14:paraId="40ED5010" w14:textId="02C77817" w:rsidR="00670A92" w:rsidRDefault="00670A92">
      <w:pPr>
        <w:widowControl w:val="0"/>
        <w:spacing w:before="174" w:line="235" w:lineRule="auto"/>
        <w:ind w:right="12"/>
      </w:pPr>
    </w:p>
    <w:p w14:paraId="513ED21D" w14:textId="77777777" w:rsidR="00C06C43" w:rsidRDefault="00F56002" w:rsidP="007A1D12">
      <w:pPr>
        <w:pStyle w:val="Heading3"/>
      </w:pPr>
      <w:r>
        <w:t>Rationale</w:t>
      </w:r>
    </w:p>
    <w:p w14:paraId="720F87C3" w14:textId="77777777" w:rsidR="00C06C43" w:rsidRDefault="00F56002" w:rsidP="00E04327">
      <w:pPr>
        <w:widowControl w:val="0"/>
        <w:spacing w:before="174" w:line="252" w:lineRule="auto"/>
        <w:ind w:right="12"/>
      </w:pPr>
      <w:r>
        <w:t>The recommended targets for Perkins V 2P1: “Earned Recognized Postsecondary Credential” performance indicator for program years 2020-2021 through 2023-2024 are based on preliminary results using Perkins V definitions. Due to constraints with historical data, a two-year average was used to determine proposed targets. Proposed targets are calculated using 90% of the two-year average performance to factor in a transition period for implementing new Perkins V definitions and to ensure performance targets can be met.</w:t>
      </w:r>
    </w:p>
    <w:p w14:paraId="58D82CE3" w14:textId="77777777" w:rsidR="00C06C43" w:rsidRDefault="00C06C43" w:rsidP="00E04327">
      <w:pPr>
        <w:widowControl w:val="0"/>
        <w:spacing w:line="252" w:lineRule="auto"/>
        <w:rPr>
          <w:b/>
          <w:i/>
          <w:color w:val="FF0000"/>
        </w:rPr>
      </w:pPr>
    </w:p>
    <w:p w14:paraId="783EF3C7" w14:textId="77777777" w:rsidR="00C06C43" w:rsidRDefault="00F56002" w:rsidP="00E04327">
      <w:pPr>
        <w:widowControl w:val="0"/>
        <w:spacing w:line="252" w:lineRule="auto"/>
        <w:rPr>
          <w:b/>
          <w:i/>
          <w:color w:val="FF0000"/>
        </w:rPr>
      </w:pPr>
      <w:r>
        <w:rPr>
          <w:b/>
          <w:i/>
          <w:color w:val="FF0000"/>
        </w:rPr>
        <w:t xml:space="preserve">Rationale for adjusted targets: Oregon anticipates CTE concentrators to continue to receive a recognized postsecondary credential at high rates; however, due to disruptions in the education system because of COVID, there may be a slight reduction. </w:t>
      </w:r>
    </w:p>
    <w:p w14:paraId="221B080A" w14:textId="77777777" w:rsidR="00C06C43" w:rsidRDefault="00C06C43">
      <w:pPr>
        <w:widowControl w:val="0"/>
        <w:spacing w:before="174" w:line="235" w:lineRule="auto"/>
        <w:ind w:right="12"/>
      </w:pPr>
    </w:p>
    <w:p w14:paraId="02102D18" w14:textId="334AA5A2" w:rsidR="00C06C43" w:rsidRPr="00791E16" w:rsidRDefault="00632327" w:rsidP="007A1D12">
      <w:pPr>
        <w:pStyle w:val="Heading2"/>
        <w:rPr>
          <w:color w:val="auto"/>
        </w:rPr>
      </w:pPr>
      <w:r w:rsidRPr="00791E16">
        <w:rPr>
          <w:color w:val="auto"/>
        </w:rPr>
        <w:t>3P1: Nont</w:t>
      </w:r>
      <w:r w:rsidR="00F56002" w:rsidRPr="00791E16">
        <w:rPr>
          <w:color w:val="auto"/>
        </w:rPr>
        <w:t>raditional Program Concentration</w:t>
      </w:r>
    </w:p>
    <w:p w14:paraId="419EB3CE" w14:textId="77777777" w:rsidR="00C06C43" w:rsidRDefault="00F56002" w:rsidP="007A1D12">
      <w:pPr>
        <w:pStyle w:val="Heading3"/>
      </w:pPr>
      <w:r>
        <w:t>Analysis and Summary</w:t>
      </w:r>
    </w:p>
    <w:p w14:paraId="354AEAD1" w14:textId="50DB0ED0" w:rsidR="00C06C43" w:rsidRDefault="00F56002" w:rsidP="00E04327">
      <w:pPr>
        <w:widowControl w:val="0"/>
        <w:spacing w:before="174" w:line="252" w:lineRule="auto"/>
        <w:ind w:right="14"/>
      </w:pPr>
      <w:r>
        <w:t>Under Perkins IV, performance in the number of CTE students from underrepresented gender groups participating in a progra</w:t>
      </w:r>
      <w:r w:rsidR="00632327">
        <w:t>m that led to employment in non</w:t>
      </w:r>
      <w:r>
        <w:t>traditional fields w</w:t>
      </w:r>
      <w:r w:rsidR="00632327">
        <w:t>as measured with the 5P1: “Nont</w:t>
      </w:r>
      <w:r>
        <w:t>raditiona</w:t>
      </w:r>
      <w:r w:rsidR="00632327">
        <w:t>l Participation” and 5P2: “Nont</w:t>
      </w:r>
      <w:r>
        <w:t xml:space="preserve">raditional Completion” performance indicators. </w:t>
      </w:r>
      <w:r w:rsidR="00C223F9">
        <w:t>There is a</w:t>
      </w:r>
      <w:r>
        <w:t>n important distinction between these two indicators: 5P1 measured CTE participants, defined as individuals who earne</w:t>
      </w:r>
      <w:r w:rsidR="00D67343">
        <w:t>d one or more CTE credits in a Program of S</w:t>
      </w:r>
      <w:r>
        <w:t>tudy; 5P2 measured CTE concentrators who completed a program. Oregon’s performance in these indicators for the past three program years is shown in Figure 4.</w:t>
      </w:r>
    </w:p>
    <w:p w14:paraId="56D262F5" w14:textId="77777777" w:rsidR="007A1D12" w:rsidRDefault="007A1D12">
      <w:pPr>
        <w:widowControl w:val="0"/>
        <w:spacing w:before="174" w:line="235" w:lineRule="auto"/>
        <w:ind w:right="12"/>
      </w:pPr>
    </w:p>
    <w:p w14:paraId="161F156B" w14:textId="6F3B8FBE" w:rsidR="00C06C43" w:rsidRDefault="00632327" w:rsidP="007A1D12">
      <w:pPr>
        <w:pStyle w:val="Heading4"/>
      </w:pPr>
      <w:r>
        <w:t>Figure 4: 5P1: Nont</w:t>
      </w:r>
      <w:r w:rsidR="00F56002">
        <w:t>radition</w:t>
      </w:r>
      <w:r>
        <w:t>al Participation and 5P2: Nontr</w:t>
      </w:r>
      <w:r w:rsidR="00F56002">
        <w:t>aditional Completion</w:t>
      </w:r>
    </w:p>
    <w:p w14:paraId="4185624B" w14:textId="77777777" w:rsidR="00C06C43" w:rsidRDefault="00F56002">
      <w:pPr>
        <w:widowControl w:val="0"/>
        <w:spacing w:before="174" w:line="235" w:lineRule="auto"/>
        <w:ind w:right="12"/>
      </w:pPr>
      <w:r>
        <w:rPr>
          <w:noProof/>
          <w:lang w:val="en-US"/>
        </w:rPr>
        <w:drawing>
          <wp:inline distT="0" distB="0" distL="0" distR="0" wp14:anchorId="054DDFDF" wp14:editId="3740B5F5">
            <wp:extent cx="4580241" cy="2372868"/>
            <wp:effectExtent l="0" t="0" r="0" b="8890"/>
            <wp:docPr id="72" name="image4.png" descr="5P1 Nontraditional Participation and 5P2 Nontraditional Completion"/>
            <wp:cNvGraphicFramePr/>
            <a:graphic xmlns:a="http://schemas.openxmlformats.org/drawingml/2006/main">
              <a:graphicData uri="http://schemas.openxmlformats.org/drawingml/2006/picture">
                <pic:pic xmlns:pic="http://schemas.openxmlformats.org/drawingml/2006/picture">
                  <pic:nvPicPr>
                    <pic:cNvPr id="0" name="image4.png" descr="5P1 Nontraditional Participation and 5P2 Nontraditional Completion"/>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4580241" cy="2372868"/>
                    </a:xfrm>
                    <a:prstGeom prst="rect">
                      <a:avLst/>
                    </a:prstGeom>
                    <a:ln/>
                  </pic:spPr>
                </pic:pic>
              </a:graphicData>
            </a:graphic>
          </wp:inline>
        </w:drawing>
      </w:r>
    </w:p>
    <w:p w14:paraId="3518A878" w14:textId="26F4B50F" w:rsidR="00C06C43" w:rsidRDefault="00F56002" w:rsidP="00E04327">
      <w:pPr>
        <w:widowControl w:val="0"/>
        <w:spacing w:before="174" w:line="252" w:lineRule="auto"/>
        <w:ind w:right="14"/>
      </w:pPr>
      <w:r>
        <w:t>In Perkins V, this outcome is measured in the 3P1 performance indicator</w:t>
      </w:r>
      <w:r w:rsidR="00C223F9">
        <w:t>,</w:t>
      </w:r>
      <w:r>
        <w:t xml:space="preserve"> “Nontraditional Program Concentration,” </w:t>
      </w:r>
      <w:r w:rsidR="00C223F9">
        <w:t xml:space="preserve">which </w:t>
      </w:r>
      <w:r>
        <w:t>calculates the percentage of CTE concentrators from underrepresented gender groups who participate in CTE programs and Pro</w:t>
      </w:r>
      <w:r w:rsidR="00632327">
        <w:t>grams of Study that lead to non</w:t>
      </w:r>
      <w:r>
        <w:t>traditional fields. This revised indicator does not measure CTE “participants” or “completers” as in Perkins IV, but it measures CTE concentrators as defined.</w:t>
      </w:r>
    </w:p>
    <w:p w14:paraId="0E03D98A" w14:textId="3989DC44" w:rsidR="00C06C43" w:rsidRDefault="00F56002" w:rsidP="00E04327">
      <w:pPr>
        <w:widowControl w:val="0"/>
        <w:spacing w:before="174" w:line="252" w:lineRule="auto"/>
        <w:ind w:right="14"/>
      </w:pPr>
      <w:r>
        <w:t>Numerator: # of CTE concentrators from underrepresented gender</w:t>
      </w:r>
      <w:r w:rsidR="00632327">
        <w:t xml:space="preserve"> groups who participated in non</w:t>
      </w:r>
      <w:r>
        <w:t>traditional programs</w:t>
      </w:r>
    </w:p>
    <w:p w14:paraId="44BD43B9" w14:textId="628E6DF5" w:rsidR="00C06C43" w:rsidRDefault="00F56002" w:rsidP="00E04327">
      <w:pPr>
        <w:widowControl w:val="0"/>
        <w:spacing w:before="174" w:line="252" w:lineRule="auto"/>
        <w:ind w:right="14"/>
      </w:pPr>
      <w:r>
        <w:t>Denominator: # of CTE concen</w:t>
      </w:r>
      <w:r w:rsidR="00632327">
        <w:t>trators who participated in non</w:t>
      </w:r>
      <w:r>
        <w:t>traditional programs</w:t>
      </w:r>
    </w:p>
    <w:p w14:paraId="2BDBD9B7" w14:textId="5B8D56B4" w:rsidR="00C06C43" w:rsidRDefault="00F56002" w:rsidP="00E04327">
      <w:pPr>
        <w:widowControl w:val="0"/>
        <w:spacing w:before="174" w:line="252" w:lineRule="auto"/>
        <w:ind w:right="14"/>
      </w:pPr>
      <w:r>
        <w:t>In analyzing 2017-2018 federal reporting data using the Perkins V revised concentrator definition, preliminary results indicate that Oregon performance would be 18.62%. Unlike the other two Perkins V performance indicators, this indicator is not comparable with Perkins IV data a</w:t>
      </w:r>
      <w:r w:rsidR="00632327">
        <w:t>nd past performance because non</w:t>
      </w:r>
      <w:r>
        <w:t>traditional concentrator involvement in CTE was not measured under Perkins IV. Further analysis of historical data using Perkins V definiti</w:t>
      </w:r>
      <w:r w:rsidR="00E77555">
        <w:t>ons is indicated in Table 3</w:t>
      </w:r>
      <w:r>
        <w:t>.</w:t>
      </w:r>
    </w:p>
    <w:p w14:paraId="2C3BFC3A" w14:textId="77777777" w:rsidR="00C06C43" w:rsidRDefault="00C06C43">
      <w:pPr>
        <w:widowControl w:val="0"/>
        <w:spacing w:before="174" w:line="235" w:lineRule="auto"/>
        <w:ind w:right="12"/>
      </w:pPr>
    </w:p>
    <w:p w14:paraId="2939E1A2" w14:textId="55823761" w:rsidR="00C06C43" w:rsidRPr="007A1D12" w:rsidRDefault="00F56002" w:rsidP="007A1D12">
      <w:pPr>
        <w:pStyle w:val="Heading3"/>
      </w:pPr>
      <w:r>
        <w:t>Table 3: Perkins V Analysis with 2017-2018 Perkins IV Data</w:t>
      </w:r>
      <w:bookmarkStart w:id="11" w:name="_xahr362bgug2" w:colFirst="0" w:colLast="0"/>
      <w:bookmarkEnd w:id="11"/>
    </w:p>
    <w:tbl>
      <w:tblPr>
        <w:tblStyle w:val="ac"/>
        <w:tblW w:w="9360" w:type="dxa"/>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Look w:val="0000" w:firstRow="0" w:lastRow="0" w:firstColumn="0" w:lastColumn="0" w:noHBand="0" w:noVBand="0"/>
        <w:tblCaption w:val="Table 3: Perkins V Analysis with 2017-2018 Perkins IV Data"/>
      </w:tblPr>
      <w:tblGrid>
        <w:gridCol w:w="1872"/>
        <w:gridCol w:w="1872"/>
        <w:gridCol w:w="1872"/>
        <w:gridCol w:w="1872"/>
        <w:gridCol w:w="1872"/>
      </w:tblGrid>
      <w:tr w:rsidR="00C06C43" w14:paraId="482C601E" w14:textId="77777777" w:rsidTr="00FE09A9">
        <w:trPr>
          <w:trHeight w:val="682"/>
          <w:tblHeader/>
        </w:trPr>
        <w:tc>
          <w:tcPr>
            <w:tcW w:w="1872" w:type="dxa"/>
            <w:shd w:val="clear" w:color="auto" w:fill="1B75BC"/>
            <w:vAlign w:val="center"/>
          </w:tcPr>
          <w:p w14:paraId="2F2233EA" w14:textId="3D974CA7" w:rsidR="00C06C43" w:rsidRDefault="00C05E4D" w:rsidP="00FD4B00">
            <w:pPr>
              <w:widowControl w:val="0"/>
              <w:spacing w:line="240" w:lineRule="auto"/>
              <w:jc w:val="center"/>
              <w:rPr>
                <w:rFonts w:ascii="Times New Roman" w:eastAsia="Times New Roman" w:hAnsi="Times New Roman" w:cs="Times New Roman"/>
                <w:sz w:val="20"/>
                <w:szCs w:val="20"/>
              </w:rPr>
            </w:pPr>
            <w:r>
              <w:rPr>
                <w:rFonts w:ascii="Calibri" w:eastAsia="Calibri" w:hAnsi="Calibri" w:cs="Calibri"/>
                <w:b/>
                <w:color w:val="FFFFFF" w:themeColor="background1"/>
                <w:sz w:val="21"/>
                <w:szCs w:val="21"/>
              </w:rPr>
              <w:t>Indicator</w:t>
            </w:r>
          </w:p>
        </w:tc>
        <w:tc>
          <w:tcPr>
            <w:tcW w:w="1872" w:type="dxa"/>
            <w:shd w:val="clear" w:color="auto" w:fill="1B75BC"/>
            <w:vAlign w:val="center"/>
          </w:tcPr>
          <w:p w14:paraId="29F6A31E" w14:textId="77777777" w:rsidR="00FD4B00" w:rsidRDefault="00FD4B00" w:rsidP="00FD4B00">
            <w:pPr>
              <w:widowControl w:val="0"/>
              <w:spacing w:line="240" w:lineRule="auto"/>
              <w:jc w:val="center"/>
              <w:rPr>
                <w:rFonts w:ascii="Calibri" w:eastAsia="Calibri" w:hAnsi="Calibri" w:cs="Calibri"/>
                <w:b/>
                <w:color w:val="FFFFFF" w:themeColor="background1"/>
                <w:sz w:val="21"/>
                <w:szCs w:val="21"/>
              </w:rPr>
            </w:pPr>
            <w:r>
              <w:rPr>
                <w:rFonts w:ascii="Calibri" w:eastAsia="Calibri" w:hAnsi="Calibri" w:cs="Calibri"/>
                <w:b/>
                <w:color w:val="FFFFFF" w:themeColor="background1"/>
                <w:sz w:val="21"/>
                <w:szCs w:val="21"/>
              </w:rPr>
              <w:t>2017-2018</w:t>
            </w:r>
          </w:p>
          <w:p w14:paraId="62041ADB" w14:textId="2B24484E" w:rsidR="00C06C43" w:rsidRPr="00C05E4D" w:rsidRDefault="00F56002" w:rsidP="00FD4B00">
            <w:pPr>
              <w:widowControl w:val="0"/>
              <w:spacing w:line="240" w:lineRule="auto"/>
              <w:jc w:val="center"/>
              <w:rPr>
                <w:rFonts w:ascii="Calibri" w:eastAsia="Calibri" w:hAnsi="Calibri" w:cs="Calibri"/>
                <w:b/>
                <w:color w:val="FFFFFF" w:themeColor="background1"/>
                <w:sz w:val="21"/>
                <w:szCs w:val="21"/>
              </w:rPr>
            </w:pPr>
            <w:r w:rsidRPr="00C05E4D">
              <w:rPr>
                <w:rFonts w:ascii="Calibri" w:eastAsia="Calibri" w:hAnsi="Calibri" w:cs="Calibri"/>
                <w:b/>
                <w:color w:val="FFFFFF" w:themeColor="background1"/>
                <w:sz w:val="21"/>
                <w:szCs w:val="21"/>
              </w:rPr>
              <w:t>Perkins V</w:t>
            </w:r>
          </w:p>
        </w:tc>
        <w:tc>
          <w:tcPr>
            <w:tcW w:w="1872" w:type="dxa"/>
            <w:shd w:val="clear" w:color="auto" w:fill="1B75BC"/>
            <w:vAlign w:val="center"/>
          </w:tcPr>
          <w:p w14:paraId="12F826F5" w14:textId="77777777" w:rsidR="00FD4B00" w:rsidRDefault="00C05E4D" w:rsidP="00FD4B00">
            <w:pPr>
              <w:widowControl w:val="0"/>
              <w:spacing w:line="240" w:lineRule="auto"/>
              <w:jc w:val="center"/>
              <w:rPr>
                <w:rFonts w:ascii="Calibri" w:eastAsia="Calibri" w:hAnsi="Calibri" w:cs="Calibri"/>
                <w:b/>
                <w:color w:val="FFFFFF" w:themeColor="background1"/>
                <w:sz w:val="21"/>
                <w:szCs w:val="21"/>
              </w:rPr>
            </w:pPr>
            <w:r w:rsidRPr="00C05E4D">
              <w:rPr>
                <w:rFonts w:ascii="Calibri" w:eastAsia="Calibri" w:hAnsi="Calibri" w:cs="Calibri"/>
                <w:b/>
                <w:color w:val="FFFFFF" w:themeColor="background1"/>
                <w:sz w:val="21"/>
                <w:szCs w:val="21"/>
              </w:rPr>
              <w:t>2016-2017</w:t>
            </w:r>
          </w:p>
          <w:p w14:paraId="244BE60E" w14:textId="1FD03E71" w:rsidR="00C06C43" w:rsidRPr="00C05E4D" w:rsidRDefault="00F56002" w:rsidP="00FD4B00">
            <w:pPr>
              <w:widowControl w:val="0"/>
              <w:spacing w:line="240" w:lineRule="auto"/>
              <w:jc w:val="center"/>
              <w:rPr>
                <w:rFonts w:ascii="Calibri" w:eastAsia="Calibri" w:hAnsi="Calibri" w:cs="Calibri"/>
                <w:b/>
                <w:color w:val="FFFFFF" w:themeColor="background1"/>
                <w:sz w:val="21"/>
                <w:szCs w:val="21"/>
              </w:rPr>
            </w:pPr>
            <w:r w:rsidRPr="00C05E4D">
              <w:rPr>
                <w:rFonts w:ascii="Calibri" w:eastAsia="Calibri" w:hAnsi="Calibri" w:cs="Calibri"/>
                <w:b/>
                <w:color w:val="FFFFFF" w:themeColor="background1"/>
                <w:sz w:val="21"/>
                <w:szCs w:val="21"/>
              </w:rPr>
              <w:t>Perkins V</w:t>
            </w:r>
          </w:p>
        </w:tc>
        <w:tc>
          <w:tcPr>
            <w:tcW w:w="1872" w:type="dxa"/>
            <w:shd w:val="clear" w:color="auto" w:fill="1B75BC"/>
            <w:vAlign w:val="center"/>
          </w:tcPr>
          <w:p w14:paraId="6C8D9D57" w14:textId="77777777" w:rsidR="00FD4B00" w:rsidRDefault="00C05E4D" w:rsidP="00FD4B00">
            <w:pPr>
              <w:widowControl w:val="0"/>
              <w:spacing w:line="240" w:lineRule="auto"/>
              <w:jc w:val="center"/>
              <w:rPr>
                <w:rFonts w:ascii="Calibri" w:eastAsia="Calibri" w:hAnsi="Calibri" w:cs="Calibri"/>
                <w:b/>
                <w:color w:val="FFFFFF" w:themeColor="background1"/>
                <w:sz w:val="21"/>
                <w:szCs w:val="21"/>
              </w:rPr>
            </w:pPr>
            <w:r w:rsidRPr="00C05E4D">
              <w:rPr>
                <w:rFonts w:ascii="Calibri" w:eastAsia="Calibri" w:hAnsi="Calibri" w:cs="Calibri"/>
                <w:b/>
                <w:color w:val="FFFFFF" w:themeColor="background1"/>
                <w:sz w:val="21"/>
                <w:szCs w:val="21"/>
              </w:rPr>
              <w:t>2015-2016</w:t>
            </w:r>
          </w:p>
          <w:p w14:paraId="497CDAF1" w14:textId="70BF0E1F" w:rsidR="00C06C43" w:rsidRPr="00C05E4D" w:rsidRDefault="00F56002" w:rsidP="00FD4B00">
            <w:pPr>
              <w:widowControl w:val="0"/>
              <w:spacing w:line="240" w:lineRule="auto"/>
              <w:jc w:val="center"/>
              <w:rPr>
                <w:rFonts w:ascii="Calibri" w:eastAsia="Calibri" w:hAnsi="Calibri" w:cs="Calibri"/>
                <w:b/>
                <w:color w:val="FFFFFF" w:themeColor="background1"/>
                <w:sz w:val="21"/>
                <w:szCs w:val="21"/>
              </w:rPr>
            </w:pPr>
            <w:r w:rsidRPr="00C05E4D">
              <w:rPr>
                <w:rFonts w:ascii="Calibri" w:eastAsia="Calibri" w:hAnsi="Calibri" w:cs="Calibri"/>
                <w:b/>
                <w:color w:val="FFFFFF" w:themeColor="background1"/>
                <w:sz w:val="21"/>
                <w:szCs w:val="21"/>
              </w:rPr>
              <w:t>Perkins V</w:t>
            </w:r>
          </w:p>
        </w:tc>
        <w:tc>
          <w:tcPr>
            <w:tcW w:w="1872" w:type="dxa"/>
            <w:shd w:val="clear" w:color="auto" w:fill="1B75BC"/>
            <w:vAlign w:val="center"/>
          </w:tcPr>
          <w:p w14:paraId="55E83454" w14:textId="61F7DF4C" w:rsidR="00C06C43" w:rsidRPr="00C05E4D" w:rsidRDefault="006078C8" w:rsidP="00FD4B00">
            <w:pPr>
              <w:widowControl w:val="0"/>
              <w:jc w:val="center"/>
              <w:rPr>
                <w:rFonts w:ascii="Calibri" w:eastAsia="Calibri" w:hAnsi="Calibri" w:cs="Calibri"/>
                <w:b/>
                <w:color w:val="FFFFFF" w:themeColor="background1"/>
                <w:sz w:val="21"/>
                <w:szCs w:val="21"/>
              </w:rPr>
            </w:pPr>
            <w:r>
              <w:rPr>
                <w:rFonts w:ascii="Calibri" w:eastAsia="Calibri" w:hAnsi="Calibri" w:cs="Calibri"/>
                <w:b/>
                <w:color w:val="FFFFFF" w:themeColor="background1"/>
                <w:sz w:val="21"/>
                <w:szCs w:val="21"/>
              </w:rPr>
              <w:t>3–</w:t>
            </w:r>
            <w:r w:rsidR="00C05E4D" w:rsidRPr="00C05E4D">
              <w:rPr>
                <w:rFonts w:ascii="Calibri" w:eastAsia="Calibri" w:hAnsi="Calibri" w:cs="Calibri"/>
                <w:b/>
                <w:color w:val="FFFFFF" w:themeColor="background1"/>
                <w:sz w:val="21"/>
                <w:szCs w:val="21"/>
              </w:rPr>
              <w:t>Year Average</w:t>
            </w:r>
          </w:p>
        </w:tc>
      </w:tr>
      <w:tr w:rsidR="00C06C43" w14:paraId="0FB20D63" w14:textId="77777777" w:rsidTr="00FE09A9">
        <w:trPr>
          <w:trHeight w:val="307"/>
        </w:trPr>
        <w:tc>
          <w:tcPr>
            <w:tcW w:w="1872" w:type="dxa"/>
            <w:tcBorders>
              <w:left w:val="single" w:sz="6" w:space="0" w:color="929497"/>
              <w:bottom w:val="single" w:sz="6" w:space="0" w:color="929497"/>
              <w:right w:val="single" w:sz="6" w:space="0" w:color="929497"/>
            </w:tcBorders>
          </w:tcPr>
          <w:p w14:paraId="6970446D"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Numerator</w:t>
            </w:r>
          </w:p>
        </w:tc>
        <w:tc>
          <w:tcPr>
            <w:tcW w:w="1872" w:type="dxa"/>
            <w:tcBorders>
              <w:left w:val="single" w:sz="6" w:space="0" w:color="929497"/>
              <w:bottom w:val="single" w:sz="6" w:space="0" w:color="929497"/>
              <w:right w:val="single" w:sz="6" w:space="0" w:color="929497"/>
            </w:tcBorders>
          </w:tcPr>
          <w:p w14:paraId="12FDE829" w14:textId="77777777" w:rsidR="00C06C43" w:rsidRDefault="00F56002">
            <w:pPr>
              <w:widowControl w:val="0"/>
              <w:spacing w:before="44" w:line="240" w:lineRule="auto"/>
              <w:ind w:right="761"/>
              <w:jc w:val="right"/>
              <w:rPr>
                <w:rFonts w:ascii="Calibri" w:eastAsia="Calibri" w:hAnsi="Calibri" w:cs="Calibri"/>
                <w:sz w:val="19"/>
                <w:szCs w:val="19"/>
              </w:rPr>
            </w:pPr>
            <w:r>
              <w:rPr>
                <w:rFonts w:ascii="Calibri" w:eastAsia="Calibri" w:hAnsi="Calibri" w:cs="Calibri"/>
                <w:color w:val="231F20"/>
                <w:sz w:val="19"/>
                <w:szCs w:val="19"/>
              </w:rPr>
              <w:t>1,752</w:t>
            </w:r>
          </w:p>
        </w:tc>
        <w:tc>
          <w:tcPr>
            <w:tcW w:w="1872" w:type="dxa"/>
            <w:tcBorders>
              <w:left w:val="single" w:sz="6" w:space="0" w:color="929497"/>
              <w:bottom w:val="single" w:sz="6" w:space="0" w:color="929497"/>
              <w:right w:val="single" w:sz="6" w:space="0" w:color="929497"/>
            </w:tcBorders>
          </w:tcPr>
          <w:p w14:paraId="31C02937" w14:textId="77777777" w:rsidR="00C06C43" w:rsidRDefault="00F56002">
            <w:pPr>
              <w:widowControl w:val="0"/>
              <w:spacing w:before="44" w:line="240" w:lineRule="auto"/>
              <w:ind w:right="761"/>
              <w:jc w:val="right"/>
              <w:rPr>
                <w:rFonts w:ascii="Calibri" w:eastAsia="Calibri" w:hAnsi="Calibri" w:cs="Calibri"/>
                <w:sz w:val="19"/>
                <w:szCs w:val="19"/>
              </w:rPr>
            </w:pPr>
            <w:r>
              <w:rPr>
                <w:rFonts w:ascii="Calibri" w:eastAsia="Calibri" w:hAnsi="Calibri" w:cs="Calibri"/>
                <w:color w:val="231F20"/>
                <w:sz w:val="19"/>
                <w:szCs w:val="19"/>
              </w:rPr>
              <w:t>2,482</w:t>
            </w:r>
          </w:p>
        </w:tc>
        <w:tc>
          <w:tcPr>
            <w:tcW w:w="1872" w:type="dxa"/>
            <w:tcBorders>
              <w:left w:val="single" w:sz="6" w:space="0" w:color="929497"/>
              <w:bottom w:val="single" w:sz="6" w:space="0" w:color="929497"/>
              <w:right w:val="single" w:sz="6" w:space="0" w:color="929497"/>
            </w:tcBorders>
          </w:tcPr>
          <w:p w14:paraId="33F9DEED" w14:textId="77777777" w:rsidR="00C06C43" w:rsidRDefault="00F56002">
            <w:pPr>
              <w:widowControl w:val="0"/>
              <w:spacing w:before="44" w:line="240" w:lineRule="auto"/>
              <w:ind w:right="760"/>
              <w:jc w:val="right"/>
              <w:rPr>
                <w:rFonts w:ascii="Calibri" w:eastAsia="Calibri" w:hAnsi="Calibri" w:cs="Calibri"/>
                <w:sz w:val="19"/>
                <w:szCs w:val="19"/>
              </w:rPr>
            </w:pPr>
            <w:r>
              <w:rPr>
                <w:rFonts w:ascii="Calibri" w:eastAsia="Calibri" w:hAnsi="Calibri" w:cs="Calibri"/>
                <w:color w:val="231F20"/>
                <w:sz w:val="19"/>
                <w:szCs w:val="19"/>
              </w:rPr>
              <w:t>2,749</w:t>
            </w:r>
          </w:p>
        </w:tc>
        <w:tc>
          <w:tcPr>
            <w:tcW w:w="1872" w:type="dxa"/>
            <w:tcBorders>
              <w:left w:val="single" w:sz="6" w:space="0" w:color="929497"/>
              <w:bottom w:val="single" w:sz="6" w:space="0" w:color="929497"/>
              <w:right w:val="single" w:sz="6" w:space="0" w:color="929497"/>
            </w:tcBorders>
          </w:tcPr>
          <w:p w14:paraId="13E9E991" w14:textId="77777777" w:rsidR="00C06C43" w:rsidRDefault="00F56002">
            <w:pPr>
              <w:widowControl w:val="0"/>
              <w:spacing w:before="44" w:line="240" w:lineRule="auto"/>
              <w:ind w:right="760"/>
              <w:jc w:val="right"/>
              <w:rPr>
                <w:rFonts w:ascii="Calibri" w:eastAsia="Calibri" w:hAnsi="Calibri" w:cs="Calibri"/>
                <w:sz w:val="19"/>
                <w:szCs w:val="19"/>
              </w:rPr>
            </w:pPr>
            <w:r>
              <w:rPr>
                <w:rFonts w:ascii="Calibri" w:eastAsia="Calibri" w:hAnsi="Calibri" w:cs="Calibri"/>
                <w:color w:val="231F20"/>
                <w:sz w:val="19"/>
                <w:szCs w:val="19"/>
              </w:rPr>
              <w:t>2,328</w:t>
            </w:r>
          </w:p>
        </w:tc>
      </w:tr>
      <w:tr w:rsidR="00C06C43" w14:paraId="693E4375" w14:textId="77777777" w:rsidTr="00FE09A9">
        <w:trPr>
          <w:trHeight w:val="307"/>
        </w:trPr>
        <w:tc>
          <w:tcPr>
            <w:tcW w:w="1872" w:type="dxa"/>
            <w:tcBorders>
              <w:top w:val="single" w:sz="6" w:space="0" w:color="929497"/>
              <w:left w:val="single" w:sz="6" w:space="0" w:color="929497"/>
              <w:bottom w:val="single" w:sz="6" w:space="0" w:color="929497"/>
              <w:right w:val="single" w:sz="6" w:space="0" w:color="929497"/>
            </w:tcBorders>
          </w:tcPr>
          <w:p w14:paraId="3CB83ACC"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Denominator</w:t>
            </w:r>
          </w:p>
        </w:tc>
        <w:tc>
          <w:tcPr>
            <w:tcW w:w="1872" w:type="dxa"/>
            <w:tcBorders>
              <w:top w:val="single" w:sz="6" w:space="0" w:color="929497"/>
              <w:left w:val="single" w:sz="6" w:space="0" w:color="929497"/>
              <w:bottom w:val="single" w:sz="6" w:space="0" w:color="929497"/>
              <w:right w:val="single" w:sz="6" w:space="0" w:color="929497"/>
            </w:tcBorders>
          </w:tcPr>
          <w:p w14:paraId="02B487EB" w14:textId="77777777" w:rsidR="00C06C43" w:rsidRDefault="00F56002">
            <w:pPr>
              <w:widowControl w:val="0"/>
              <w:spacing w:before="44" w:line="240" w:lineRule="auto"/>
              <w:ind w:right="761"/>
              <w:jc w:val="right"/>
              <w:rPr>
                <w:rFonts w:ascii="Calibri" w:eastAsia="Calibri" w:hAnsi="Calibri" w:cs="Calibri"/>
                <w:sz w:val="19"/>
                <w:szCs w:val="19"/>
              </w:rPr>
            </w:pPr>
            <w:r>
              <w:rPr>
                <w:rFonts w:ascii="Calibri" w:eastAsia="Calibri" w:hAnsi="Calibri" w:cs="Calibri"/>
                <w:color w:val="231F20"/>
                <w:sz w:val="19"/>
                <w:szCs w:val="19"/>
              </w:rPr>
              <w:t>9,409</w:t>
            </w:r>
          </w:p>
        </w:tc>
        <w:tc>
          <w:tcPr>
            <w:tcW w:w="1872" w:type="dxa"/>
            <w:tcBorders>
              <w:top w:val="single" w:sz="6" w:space="0" w:color="929497"/>
              <w:left w:val="single" w:sz="6" w:space="0" w:color="929497"/>
              <w:bottom w:val="single" w:sz="6" w:space="0" w:color="929497"/>
              <w:right w:val="single" w:sz="6" w:space="0" w:color="929497"/>
            </w:tcBorders>
          </w:tcPr>
          <w:p w14:paraId="62CEF3BF" w14:textId="77777777" w:rsidR="00C06C43" w:rsidRDefault="00F56002">
            <w:pPr>
              <w:widowControl w:val="0"/>
              <w:spacing w:before="44" w:line="240" w:lineRule="auto"/>
              <w:ind w:right="713"/>
              <w:jc w:val="right"/>
              <w:rPr>
                <w:rFonts w:ascii="Calibri" w:eastAsia="Calibri" w:hAnsi="Calibri" w:cs="Calibri"/>
                <w:sz w:val="19"/>
                <w:szCs w:val="19"/>
              </w:rPr>
            </w:pPr>
            <w:r>
              <w:rPr>
                <w:rFonts w:ascii="Calibri" w:eastAsia="Calibri" w:hAnsi="Calibri" w:cs="Calibri"/>
                <w:color w:val="231F20"/>
                <w:sz w:val="19"/>
                <w:szCs w:val="19"/>
              </w:rPr>
              <w:t>12,304</w:t>
            </w:r>
          </w:p>
        </w:tc>
        <w:tc>
          <w:tcPr>
            <w:tcW w:w="1872" w:type="dxa"/>
            <w:tcBorders>
              <w:top w:val="single" w:sz="6" w:space="0" w:color="929497"/>
              <w:left w:val="single" w:sz="6" w:space="0" w:color="929497"/>
              <w:bottom w:val="single" w:sz="6" w:space="0" w:color="929497"/>
              <w:right w:val="single" w:sz="6" w:space="0" w:color="929497"/>
            </w:tcBorders>
          </w:tcPr>
          <w:p w14:paraId="3869DB21" w14:textId="77777777" w:rsidR="00C06C43" w:rsidRDefault="00F56002">
            <w:pPr>
              <w:widowControl w:val="0"/>
              <w:spacing w:before="44" w:line="240" w:lineRule="auto"/>
              <w:ind w:right="712"/>
              <w:jc w:val="right"/>
              <w:rPr>
                <w:rFonts w:ascii="Calibri" w:eastAsia="Calibri" w:hAnsi="Calibri" w:cs="Calibri"/>
                <w:sz w:val="19"/>
                <w:szCs w:val="19"/>
              </w:rPr>
            </w:pPr>
            <w:r>
              <w:rPr>
                <w:rFonts w:ascii="Calibri" w:eastAsia="Calibri" w:hAnsi="Calibri" w:cs="Calibri"/>
                <w:color w:val="231F20"/>
                <w:sz w:val="19"/>
                <w:szCs w:val="19"/>
              </w:rPr>
              <w:t>13,185</w:t>
            </w:r>
          </w:p>
        </w:tc>
        <w:tc>
          <w:tcPr>
            <w:tcW w:w="1872" w:type="dxa"/>
            <w:tcBorders>
              <w:top w:val="single" w:sz="6" w:space="0" w:color="929497"/>
              <w:left w:val="single" w:sz="6" w:space="0" w:color="929497"/>
              <w:bottom w:val="single" w:sz="6" w:space="0" w:color="929497"/>
              <w:right w:val="single" w:sz="6" w:space="0" w:color="929497"/>
            </w:tcBorders>
          </w:tcPr>
          <w:p w14:paraId="50084B51" w14:textId="77777777" w:rsidR="00C06C43" w:rsidRDefault="00F56002">
            <w:pPr>
              <w:widowControl w:val="0"/>
              <w:spacing w:before="44" w:line="240" w:lineRule="auto"/>
              <w:ind w:right="712"/>
              <w:jc w:val="right"/>
              <w:rPr>
                <w:rFonts w:ascii="Calibri" w:eastAsia="Calibri" w:hAnsi="Calibri" w:cs="Calibri"/>
                <w:sz w:val="19"/>
                <w:szCs w:val="19"/>
              </w:rPr>
            </w:pPr>
            <w:r>
              <w:rPr>
                <w:rFonts w:ascii="Calibri" w:eastAsia="Calibri" w:hAnsi="Calibri" w:cs="Calibri"/>
                <w:color w:val="231F20"/>
                <w:sz w:val="19"/>
                <w:szCs w:val="19"/>
              </w:rPr>
              <w:t>11,633</w:t>
            </w:r>
          </w:p>
        </w:tc>
      </w:tr>
      <w:tr w:rsidR="00C06C43" w14:paraId="2AFA39B7" w14:textId="77777777" w:rsidTr="00FE09A9">
        <w:trPr>
          <w:trHeight w:val="305"/>
        </w:trPr>
        <w:tc>
          <w:tcPr>
            <w:tcW w:w="1872" w:type="dxa"/>
            <w:tcBorders>
              <w:top w:val="single" w:sz="6" w:space="0" w:color="929497"/>
              <w:left w:val="single" w:sz="6" w:space="0" w:color="929497"/>
              <w:bottom w:val="single" w:sz="8" w:space="0" w:color="1B75BC"/>
              <w:right w:val="single" w:sz="6" w:space="0" w:color="929497"/>
            </w:tcBorders>
          </w:tcPr>
          <w:p w14:paraId="14AEC1F6"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Performance</w:t>
            </w:r>
          </w:p>
        </w:tc>
        <w:tc>
          <w:tcPr>
            <w:tcW w:w="1872" w:type="dxa"/>
            <w:tcBorders>
              <w:top w:val="single" w:sz="6" w:space="0" w:color="929497"/>
              <w:left w:val="single" w:sz="6" w:space="0" w:color="929497"/>
              <w:bottom w:val="single" w:sz="8" w:space="0" w:color="1B75BC"/>
              <w:right w:val="single" w:sz="6" w:space="0" w:color="929497"/>
            </w:tcBorders>
          </w:tcPr>
          <w:p w14:paraId="0F53C7C5" w14:textId="77777777" w:rsidR="00C06C43" w:rsidRDefault="00F56002">
            <w:pPr>
              <w:widowControl w:val="0"/>
              <w:spacing w:before="44" w:line="240" w:lineRule="auto"/>
              <w:ind w:right="693"/>
              <w:jc w:val="right"/>
              <w:rPr>
                <w:rFonts w:ascii="Calibri" w:eastAsia="Calibri" w:hAnsi="Calibri" w:cs="Calibri"/>
                <w:sz w:val="19"/>
                <w:szCs w:val="19"/>
              </w:rPr>
            </w:pPr>
            <w:r>
              <w:rPr>
                <w:rFonts w:ascii="Calibri" w:eastAsia="Calibri" w:hAnsi="Calibri" w:cs="Calibri"/>
                <w:color w:val="231F20"/>
                <w:sz w:val="19"/>
                <w:szCs w:val="19"/>
              </w:rPr>
              <w:t>18.62%</w:t>
            </w:r>
          </w:p>
        </w:tc>
        <w:tc>
          <w:tcPr>
            <w:tcW w:w="1872" w:type="dxa"/>
            <w:tcBorders>
              <w:top w:val="single" w:sz="6" w:space="0" w:color="929497"/>
              <w:left w:val="single" w:sz="6" w:space="0" w:color="929497"/>
              <w:bottom w:val="single" w:sz="8" w:space="0" w:color="1B75BC"/>
              <w:right w:val="single" w:sz="6" w:space="0" w:color="929497"/>
            </w:tcBorders>
          </w:tcPr>
          <w:p w14:paraId="1C239C65" w14:textId="77777777" w:rsidR="00C06C43" w:rsidRDefault="00F56002">
            <w:pPr>
              <w:widowControl w:val="0"/>
              <w:spacing w:before="44" w:line="240" w:lineRule="auto"/>
              <w:ind w:right="693"/>
              <w:jc w:val="right"/>
              <w:rPr>
                <w:rFonts w:ascii="Calibri" w:eastAsia="Calibri" w:hAnsi="Calibri" w:cs="Calibri"/>
                <w:sz w:val="19"/>
                <w:szCs w:val="19"/>
              </w:rPr>
            </w:pPr>
            <w:r>
              <w:rPr>
                <w:rFonts w:ascii="Calibri" w:eastAsia="Calibri" w:hAnsi="Calibri" w:cs="Calibri"/>
                <w:color w:val="231F20"/>
                <w:sz w:val="19"/>
                <w:szCs w:val="19"/>
              </w:rPr>
              <w:t>20.17%</w:t>
            </w:r>
          </w:p>
        </w:tc>
        <w:tc>
          <w:tcPr>
            <w:tcW w:w="1872" w:type="dxa"/>
            <w:tcBorders>
              <w:top w:val="single" w:sz="6" w:space="0" w:color="929497"/>
              <w:left w:val="single" w:sz="6" w:space="0" w:color="929497"/>
              <w:bottom w:val="single" w:sz="8" w:space="0" w:color="1B75BC"/>
              <w:right w:val="single" w:sz="6" w:space="0" w:color="929497"/>
            </w:tcBorders>
          </w:tcPr>
          <w:p w14:paraId="1D33A1A4" w14:textId="77777777" w:rsidR="00C06C43" w:rsidRDefault="00F56002">
            <w:pPr>
              <w:widowControl w:val="0"/>
              <w:spacing w:before="44" w:line="240" w:lineRule="auto"/>
              <w:ind w:right="692"/>
              <w:jc w:val="right"/>
              <w:rPr>
                <w:rFonts w:ascii="Calibri" w:eastAsia="Calibri" w:hAnsi="Calibri" w:cs="Calibri"/>
                <w:sz w:val="19"/>
                <w:szCs w:val="19"/>
              </w:rPr>
            </w:pPr>
            <w:r>
              <w:rPr>
                <w:rFonts w:ascii="Calibri" w:eastAsia="Calibri" w:hAnsi="Calibri" w:cs="Calibri"/>
                <w:color w:val="231F20"/>
                <w:sz w:val="19"/>
                <w:szCs w:val="19"/>
              </w:rPr>
              <w:t>20.85%</w:t>
            </w:r>
          </w:p>
        </w:tc>
        <w:tc>
          <w:tcPr>
            <w:tcW w:w="1872" w:type="dxa"/>
            <w:tcBorders>
              <w:top w:val="single" w:sz="6" w:space="0" w:color="929497"/>
              <w:left w:val="single" w:sz="6" w:space="0" w:color="929497"/>
              <w:bottom w:val="single" w:sz="8" w:space="0" w:color="1B75BC"/>
              <w:right w:val="single" w:sz="6" w:space="0" w:color="929497"/>
            </w:tcBorders>
          </w:tcPr>
          <w:p w14:paraId="60CCC6F9" w14:textId="77777777" w:rsidR="00C06C43" w:rsidRDefault="00F56002">
            <w:pPr>
              <w:widowControl w:val="0"/>
              <w:spacing w:before="44" w:line="240" w:lineRule="auto"/>
              <w:ind w:right="692"/>
              <w:jc w:val="right"/>
              <w:rPr>
                <w:rFonts w:ascii="Calibri" w:eastAsia="Calibri" w:hAnsi="Calibri" w:cs="Calibri"/>
                <w:sz w:val="19"/>
                <w:szCs w:val="19"/>
              </w:rPr>
            </w:pPr>
            <w:r>
              <w:rPr>
                <w:rFonts w:ascii="Calibri" w:eastAsia="Calibri" w:hAnsi="Calibri" w:cs="Calibri"/>
                <w:color w:val="231F20"/>
                <w:sz w:val="19"/>
                <w:szCs w:val="19"/>
              </w:rPr>
              <w:t>20.01%</w:t>
            </w:r>
          </w:p>
        </w:tc>
      </w:tr>
    </w:tbl>
    <w:p w14:paraId="738237C7" w14:textId="525B82F0" w:rsidR="00C06C43" w:rsidRDefault="00C06C43">
      <w:pPr>
        <w:widowControl w:val="0"/>
        <w:spacing w:before="11" w:line="240" w:lineRule="auto"/>
      </w:pPr>
    </w:p>
    <w:p w14:paraId="58D0C624" w14:textId="77777777" w:rsidR="00D80F99" w:rsidRDefault="00D80F99">
      <w:pPr>
        <w:rPr>
          <w:b/>
          <w:color w:val="595959" w:themeColor="text1" w:themeTint="A6"/>
          <w:sz w:val="24"/>
          <w:szCs w:val="24"/>
        </w:rPr>
      </w:pPr>
      <w:r>
        <w:br w:type="page"/>
      </w:r>
    </w:p>
    <w:p w14:paraId="31FFEF78" w14:textId="054590CD" w:rsidR="00C06C43" w:rsidRDefault="00F56002" w:rsidP="007A1D12">
      <w:pPr>
        <w:pStyle w:val="Heading3"/>
      </w:pPr>
      <w:r>
        <w:lastRenderedPageBreak/>
        <w:t>Proposed Targets</w:t>
      </w:r>
    </w:p>
    <w:tbl>
      <w:tblPr>
        <w:tblStyle w:val="ad"/>
        <w:tblW w:w="4840" w:type="dxa"/>
        <w:tblInd w:w="7"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Look w:val="0000" w:firstRow="0" w:lastRow="0" w:firstColumn="0" w:lastColumn="0" w:noHBand="0" w:noVBand="0"/>
        <w:tblCaption w:val="Non-Traditional Program Concentrators Proposed Targets"/>
      </w:tblPr>
      <w:tblGrid>
        <w:gridCol w:w="2420"/>
        <w:gridCol w:w="2420"/>
      </w:tblGrid>
      <w:tr w:rsidR="00C06C43" w14:paraId="62A813A1" w14:textId="77777777" w:rsidTr="003006C6">
        <w:trPr>
          <w:trHeight w:val="682"/>
          <w:tblHeader/>
        </w:trPr>
        <w:tc>
          <w:tcPr>
            <w:tcW w:w="2420" w:type="dxa"/>
            <w:shd w:val="clear" w:color="auto" w:fill="1B75BC"/>
          </w:tcPr>
          <w:p w14:paraId="42929361" w14:textId="77777777" w:rsidR="00C06C43" w:rsidRDefault="00C06C43">
            <w:pPr>
              <w:widowControl w:val="0"/>
              <w:spacing w:line="240" w:lineRule="auto"/>
              <w:rPr>
                <w:rFonts w:ascii="Calibri" w:eastAsia="Calibri" w:hAnsi="Calibri" w:cs="Calibri"/>
                <w:sz w:val="18"/>
                <w:szCs w:val="18"/>
              </w:rPr>
            </w:pPr>
          </w:p>
          <w:p w14:paraId="0C2CC057" w14:textId="77777777" w:rsidR="00C06C43" w:rsidRDefault="00F56002">
            <w:pPr>
              <w:widowControl w:val="0"/>
              <w:spacing w:line="240" w:lineRule="auto"/>
              <w:ind w:left="274"/>
              <w:rPr>
                <w:rFonts w:ascii="Calibri" w:eastAsia="Calibri" w:hAnsi="Calibri" w:cs="Calibri"/>
                <w:b/>
                <w:sz w:val="21"/>
                <w:szCs w:val="21"/>
              </w:rPr>
            </w:pPr>
            <w:r>
              <w:rPr>
                <w:rFonts w:ascii="Calibri" w:eastAsia="Calibri" w:hAnsi="Calibri" w:cs="Calibri"/>
                <w:b/>
                <w:color w:val="FFFFFF"/>
                <w:sz w:val="21"/>
                <w:szCs w:val="21"/>
              </w:rPr>
              <w:t>Program Year</w:t>
            </w:r>
          </w:p>
        </w:tc>
        <w:tc>
          <w:tcPr>
            <w:tcW w:w="2420" w:type="dxa"/>
            <w:shd w:val="clear" w:color="auto" w:fill="1B75BC"/>
          </w:tcPr>
          <w:p w14:paraId="2BDB83C0" w14:textId="77777777" w:rsidR="00C06C43" w:rsidRDefault="00C06C43">
            <w:pPr>
              <w:widowControl w:val="0"/>
              <w:spacing w:line="240" w:lineRule="auto"/>
              <w:rPr>
                <w:rFonts w:ascii="Calibri" w:eastAsia="Calibri" w:hAnsi="Calibri" w:cs="Calibri"/>
                <w:sz w:val="18"/>
                <w:szCs w:val="18"/>
              </w:rPr>
            </w:pPr>
          </w:p>
          <w:p w14:paraId="1F5A34CB" w14:textId="77777777" w:rsidR="00C06C43" w:rsidRDefault="00F56002">
            <w:pPr>
              <w:widowControl w:val="0"/>
              <w:spacing w:line="240" w:lineRule="auto"/>
              <w:ind w:left="274"/>
              <w:rPr>
                <w:rFonts w:ascii="Calibri" w:eastAsia="Calibri" w:hAnsi="Calibri" w:cs="Calibri"/>
                <w:b/>
                <w:sz w:val="21"/>
                <w:szCs w:val="21"/>
              </w:rPr>
            </w:pPr>
            <w:r>
              <w:rPr>
                <w:rFonts w:ascii="Calibri" w:eastAsia="Calibri" w:hAnsi="Calibri" w:cs="Calibri"/>
                <w:b/>
                <w:color w:val="FFFFFF"/>
                <w:sz w:val="21"/>
                <w:szCs w:val="21"/>
              </w:rPr>
              <w:t>Proposed Target</w:t>
            </w:r>
          </w:p>
        </w:tc>
      </w:tr>
      <w:tr w:rsidR="00C06C43" w14:paraId="4C031D0B" w14:textId="77777777">
        <w:trPr>
          <w:trHeight w:val="307"/>
        </w:trPr>
        <w:tc>
          <w:tcPr>
            <w:tcW w:w="2420" w:type="dxa"/>
            <w:tcBorders>
              <w:left w:val="single" w:sz="6" w:space="0" w:color="929497"/>
              <w:bottom w:val="single" w:sz="6" w:space="0" w:color="929497"/>
              <w:right w:val="single" w:sz="6" w:space="0" w:color="929497"/>
            </w:tcBorders>
          </w:tcPr>
          <w:p w14:paraId="6505F70E"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2020-2021</w:t>
            </w:r>
          </w:p>
        </w:tc>
        <w:tc>
          <w:tcPr>
            <w:tcW w:w="2420" w:type="dxa"/>
            <w:tcBorders>
              <w:left w:val="single" w:sz="6" w:space="0" w:color="929497"/>
              <w:bottom w:val="single" w:sz="6" w:space="0" w:color="929497"/>
              <w:right w:val="single" w:sz="6" w:space="0" w:color="929497"/>
            </w:tcBorders>
          </w:tcPr>
          <w:p w14:paraId="30E3BFAF" w14:textId="77777777" w:rsidR="00C06C43" w:rsidRDefault="00F56002">
            <w:pPr>
              <w:widowControl w:val="0"/>
              <w:spacing w:before="44" w:line="240" w:lineRule="auto"/>
              <w:ind w:left="949" w:right="847"/>
              <w:jc w:val="center"/>
              <w:rPr>
                <w:rFonts w:ascii="Calibri" w:eastAsia="Calibri" w:hAnsi="Calibri" w:cs="Calibri"/>
                <w:color w:val="231F20"/>
                <w:sz w:val="19"/>
                <w:szCs w:val="19"/>
              </w:rPr>
            </w:pPr>
            <w:r>
              <w:rPr>
                <w:rFonts w:ascii="Calibri" w:eastAsia="Calibri" w:hAnsi="Calibri" w:cs="Calibri"/>
                <w:color w:val="231F20"/>
                <w:sz w:val="19"/>
                <w:szCs w:val="19"/>
              </w:rPr>
              <w:t>18.00%</w:t>
            </w:r>
          </w:p>
          <w:p w14:paraId="2C3D701F" w14:textId="77777777" w:rsidR="00C06C43" w:rsidRDefault="00F56002">
            <w:pPr>
              <w:widowControl w:val="0"/>
              <w:spacing w:before="44" w:line="240" w:lineRule="auto"/>
              <w:ind w:left="949" w:right="847"/>
              <w:rPr>
                <w:rFonts w:ascii="Calibri" w:eastAsia="Calibri" w:hAnsi="Calibri" w:cs="Calibri"/>
                <w:b/>
                <w:color w:val="FF0000"/>
                <w:sz w:val="19"/>
                <w:szCs w:val="19"/>
              </w:rPr>
            </w:pPr>
            <w:r>
              <w:rPr>
                <w:rFonts w:ascii="Calibri" w:eastAsia="Calibri" w:hAnsi="Calibri" w:cs="Calibri"/>
                <w:b/>
                <w:color w:val="FF0000"/>
                <w:sz w:val="19"/>
                <w:szCs w:val="19"/>
              </w:rPr>
              <w:t>16.00%</w:t>
            </w:r>
          </w:p>
        </w:tc>
      </w:tr>
      <w:tr w:rsidR="00C06C43" w14:paraId="19B67900" w14:textId="77777777">
        <w:trPr>
          <w:trHeight w:val="307"/>
        </w:trPr>
        <w:tc>
          <w:tcPr>
            <w:tcW w:w="2420" w:type="dxa"/>
            <w:tcBorders>
              <w:top w:val="single" w:sz="6" w:space="0" w:color="929497"/>
              <w:left w:val="single" w:sz="6" w:space="0" w:color="929497"/>
              <w:bottom w:val="single" w:sz="6" w:space="0" w:color="929497"/>
              <w:right w:val="single" w:sz="6" w:space="0" w:color="929497"/>
            </w:tcBorders>
          </w:tcPr>
          <w:p w14:paraId="2E7E0949"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2021-2022</w:t>
            </w:r>
          </w:p>
        </w:tc>
        <w:tc>
          <w:tcPr>
            <w:tcW w:w="2420" w:type="dxa"/>
            <w:tcBorders>
              <w:top w:val="single" w:sz="6" w:space="0" w:color="929497"/>
              <w:left w:val="single" w:sz="6" w:space="0" w:color="929497"/>
              <w:bottom w:val="single" w:sz="6" w:space="0" w:color="929497"/>
              <w:right w:val="single" w:sz="6" w:space="0" w:color="929497"/>
            </w:tcBorders>
          </w:tcPr>
          <w:p w14:paraId="34370AA4" w14:textId="77777777" w:rsidR="00C06C43" w:rsidRDefault="00F56002">
            <w:pPr>
              <w:widowControl w:val="0"/>
              <w:spacing w:before="44" w:line="240" w:lineRule="auto"/>
              <w:ind w:left="949" w:right="847"/>
              <w:jc w:val="center"/>
              <w:rPr>
                <w:rFonts w:ascii="Calibri" w:eastAsia="Calibri" w:hAnsi="Calibri" w:cs="Calibri"/>
                <w:color w:val="231F20"/>
                <w:sz w:val="19"/>
                <w:szCs w:val="19"/>
              </w:rPr>
            </w:pPr>
            <w:r>
              <w:rPr>
                <w:rFonts w:ascii="Calibri" w:eastAsia="Calibri" w:hAnsi="Calibri" w:cs="Calibri"/>
                <w:color w:val="231F20"/>
                <w:sz w:val="19"/>
                <w:szCs w:val="19"/>
              </w:rPr>
              <w:t>18.50%</w:t>
            </w:r>
          </w:p>
          <w:p w14:paraId="3E9FF63E" w14:textId="77777777" w:rsidR="00C06C43" w:rsidRDefault="00F56002">
            <w:pPr>
              <w:widowControl w:val="0"/>
              <w:spacing w:before="44" w:line="240" w:lineRule="auto"/>
              <w:ind w:left="949" w:right="847"/>
              <w:rPr>
                <w:rFonts w:ascii="Calibri" w:eastAsia="Calibri" w:hAnsi="Calibri" w:cs="Calibri"/>
                <w:b/>
                <w:color w:val="FF0000"/>
                <w:sz w:val="19"/>
                <w:szCs w:val="19"/>
              </w:rPr>
            </w:pPr>
            <w:r>
              <w:rPr>
                <w:rFonts w:ascii="Calibri" w:eastAsia="Calibri" w:hAnsi="Calibri" w:cs="Calibri"/>
                <w:b/>
                <w:color w:val="FF0000"/>
                <w:sz w:val="19"/>
                <w:szCs w:val="19"/>
              </w:rPr>
              <w:t>16.40%</w:t>
            </w:r>
          </w:p>
        </w:tc>
      </w:tr>
      <w:tr w:rsidR="00C06C43" w14:paraId="025EFE81" w14:textId="77777777">
        <w:trPr>
          <w:trHeight w:val="307"/>
        </w:trPr>
        <w:tc>
          <w:tcPr>
            <w:tcW w:w="2420" w:type="dxa"/>
            <w:tcBorders>
              <w:top w:val="single" w:sz="6" w:space="0" w:color="929497"/>
              <w:left w:val="single" w:sz="6" w:space="0" w:color="929497"/>
              <w:bottom w:val="single" w:sz="6" w:space="0" w:color="929497"/>
              <w:right w:val="single" w:sz="6" w:space="0" w:color="929497"/>
            </w:tcBorders>
          </w:tcPr>
          <w:p w14:paraId="084CABA0"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2022-2023</w:t>
            </w:r>
          </w:p>
        </w:tc>
        <w:tc>
          <w:tcPr>
            <w:tcW w:w="2420" w:type="dxa"/>
            <w:tcBorders>
              <w:top w:val="single" w:sz="6" w:space="0" w:color="929497"/>
              <w:left w:val="single" w:sz="6" w:space="0" w:color="929497"/>
              <w:bottom w:val="single" w:sz="6" w:space="0" w:color="929497"/>
              <w:right w:val="single" w:sz="6" w:space="0" w:color="929497"/>
            </w:tcBorders>
          </w:tcPr>
          <w:p w14:paraId="0060DC91" w14:textId="77777777" w:rsidR="00C06C43" w:rsidRDefault="00F56002">
            <w:pPr>
              <w:widowControl w:val="0"/>
              <w:spacing w:before="44" w:line="240" w:lineRule="auto"/>
              <w:ind w:left="949" w:right="847"/>
              <w:jc w:val="center"/>
              <w:rPr>
                <w:rFonts w:ascii="Calibri" w:eastAsia="Calibri" w:hAnsi="Calibri" w:cs="Calibri"/>
                <w:color w:val="231F20"/>
                <w:sz w:val="19"/>
                <w:szCs w:val="19"/>
              </w:rPr>
            </w:pPr>
            <w:r>
              <w:rPr>
                <w:rFonts w:ascii="Calibri" w:eastAsia="Calibri" w:hAnsi="Calibri" w:cs="Calibri"/>
                <w:color w:val="231F20"/>
                <w:sz w:val="19"/>
                <w:szCs w:val="19"/>
              </w:rPr>
              <w:t>19.00%</w:t>
            </w:r>
          </w:p>
          <w:p w14:paraId="1EFA4613" w14:textId="77777777" w:rsidR="00C06C43" w:rsidRDefault="00F56002">
            <w:pPr>
              <w:widowControl w:val="0"/>
              <w:spacing w:before="44" w:line="240" w:lineRule="auto"/>
              <w:ind w:left="949" w:right="847"/>
              <w:jc w:val="center"/>
              <w:rPr>
                <w:rFonts w:ascii="Calibri" w:eastAsia="Calibri" w:hAnsi="Calibri" w:cs="Calibri"/>
                <w:b/>
                <w:color w:val="FF0000"/>
                <w:sz w:val="19"/>
                <w:szCs w:val="19"/>
              </w:rPr>
            </w:pPr>
            <w:r>
              <w:rPr>
                <w:rFonts w:ascii="Calibri" w:eastAsia="Calibri" w:hAnsi="Calibri" w:cs="Calibri"/>
                <w:b/>
                <w:color w:val="FF0000"/>
                <w:sz w:val="19"/>
                <w:szCs w:val="19"/>
              </w:rPr>
              <w:t>17.90%</w:t>
            </w:r>
          </w:p>
        </w:tc>
      </w:tr>
      <w:tr w:rsidR="00C06C43" w14:paraId="4478A36A" w14:textId="77777777">
        <w:trPr>
          <w:trHeight w:val="305"/>
        </w:trPr>
        <w:tc>
          <w:tcPr>
            <w:tcW w:w="2420" w:type="dxa"/>
            <w:tcBorders>
              <w:top w:val="single" w:sz="6" w:space="0" w:color="929497"/>
              <w:left w:val="single" w:sz="6" w:space="0" w:color="929497"/>
              <w:bottom w:val="single" w:sz="8" w:space="0" w:color="1B75BC"/>
              <w:right w:val="single" w:sz="6" w:space="0" w:color="929497"/>
            </w:tcBorders>
          </w:tcPr>
          <w:p w14:paraId="11565430" w14:textId="77777777" w:rsidR="00C06C43" w:rsidRDefault="00F56002">
            <w:pPr>
              <w:widowControl w:val="0"/>
              <w:spacing w:before="44" w:line="240" w:lineRule="auto"/>
              <w:ind w:left="178"/>
              <w:rPr>
                <w:rFonts w:ascii="Calibri" w:eastAsia="Calibri" w:hAnsi="Calibri" w:cs="Calibri"/>
                <w:sz w:val="19"/>
                <w:szCs w:val="19"/>
              </w:rPr>
            </w:pPr>
            <w:r>
              <w:rPr>
                <w:rFonts w:ascii="Calibri" w:eastAsia="Calibri" w:hAnsi="Calibri" w:cs="Calibri"/>
                <w:color w:val="231F20"/>
                <w:sz w:val="19"/>
                <w:szCs w:val="19"/>
              </w:rPr>
              <w:t>2023-2024</w:t>
            </w:r>
          </w:p>
        </w:tc>
        <w:tc>
          <w:tcPr>
            <w:tcW w:w="2420" w:type="dxa"/>
            <w:tcBorders>
              <w:top w:val="single" w:sz="6" w:space="0" w:color="929497"/>
              <w:left w:val="single" w:sz="6" w:space="0" w:color="929497"/>
              <w:bottom w:val="single" w:sz="8" w:space="0" w:color="1B75BC"/>
              <w:right w:val="single" w:sz="6" w:space="0" w:color="929497"/>
            </w:tcBorders>
          </w:tcPr>
          <w:p w14:paraId="37E86731" w14:textId="77777777" w:rsidR="00C06C43" w:rsidRDefault="00F56002">
            <w:pPr>
              <w:widowControl w:val="0"/>
              <w:spacing w:before="44" w:line="240" w:lineRule="auto"/>
              <w:ind w:left="949" w:right="847"/>
              <w:jc w:val="center"/>
              <w:rPr>
                <w:rFonts w:ascii="Calibri" w:eastAsia="Calibri" w:hAnsi="Calibri" w:cs="Calibri"/>
                <w:color w:val="231F20"/>
                <w:sz w:val="19"/>
                <w:szCs w:val="19"/>
              </w:rPr>
            </w:pPr>
            <w:r>
              <w:rPr>
                <w:rFonts w:ascii="Calibri" w:eastAsia="Calibri" w:hAnsi="Calibri" w:cs="Calibri"/>
                <w:color w:val="231F20"/>
                <w:sz w:val="19"/>
                <w:szCs w:val="19"/>
              </w:rPr>
              <w:t>19.50%</w:t>
            </w:r>
          </w:p>
          <w:p w14:paraId="69CBA4A8" w14:textId="77777777" w:rsidR="00C06C43" w:rsidRDefault="00F56002">
            <w:pPr>
              <w:widowControl w:val="0"/>
              <w:spacing w:before="44" w:line="240" w:lineRule="auto"/>
              <w:ind w:left="949" w:right="847"/>
              <w:rPr>
                <w:rFonts w:ascii="Calibri" w:eastAsia="Calibri" w:hAnsi="Calibri" w:cs="Calibri"/>
                <w:b/>
                <w:color w:val="FF0000"/>
                <w:sz w:val="19"/>
                <w:szCs w:val="19"/>
              </w:rPr>
            </w:pPr>
            <w:r>
              <w:rPr>
                <w:rFonts w:ascii="Calibri" w:eastAsia="Calibri" w:hAnsi="Calibri" w:cs="Calibri"/>
                <w:b/>
                <w:color w:val="FF0000"/>
                <w:sz w:val="19"/>
                <w:szCs w:val="19"/>
              </w:rPr>
              <w:t>19.40%</w:t>
            </w:r>
          </w:p>
        </w:tc>
      </w:tr>
    </w:tbl>
    <w:p w14:paraId="4D34A4CE" w14:textId="77777777" w:rsidR="007A1D12" w:rsidRDefault="007A1D12">
      <w:pPr>
        <w:widowControl w:val="0"/>
        <w:spacing w:before="174" w:line="235" w:lineRule="auto"/>
        <w:ind w:right="18"/>
      </w:pPr>
    </w:p>
    <w:p w14:paraId="2598F080" w14:textId="61EFF270" w:rsidR="00C06C43" w:rsidRDefault="00F56002" w:rsidP="007A1D12">
      <w:pPr>
        <w:pStyle w:val="Heading3"/>
      </w:pPr>
      <w:r>
        <w:t>Rationale</w:t>
      </w:r>
    </w:p>
    <w:p w14:paraId="774F3111" w14:textId="12F0456A" w:rsidR="00C06C43" w:rsidRDefault="00F56002" w:rsidP="00E04327">
      <w:pPr>
        <w:widowControl w:val="0"/>
        <w:spacing w:before="174" w:line="252" w:lineRule="auto"/>
        <w:ind w:right="18"/>
      </w:pPr>
      <w:r>
        <w:t>The proposed targets for Perkins V 3P1: “Nontraditional Program Concentration” performance indicator for program years 2020-2021 through 2023-2024 are calculated using 90% of the three-year average performance to factor in a transition period for implementing new Perkins V definitions and to ensure performance targets can be met.</w:t>
      </w:r>
    </w:p>
    <w:p w14:paraId="341A5FD3" w14:textId="77777777" w:rsidR="00C06C43" w:rsidRDefault="00C06C43" w:rsidP="00E04327">
      <w:pPr>
        <w:widowControl w:val="0"/>
        <w:spacing w:line="252" w:lineRule="auto"/>
        <w:rPr>
          <w:b/>
          <w:i/>
          <w:color w:val="FF0000"/>
        </w:rPr>
      </w:pPr>
    </w:p>
    <w:p w14:paraId="72DAE4DC" w14:textId="3C5B32EC" w:rsidR="00C06C43" w:rsidRDefault="00F56002" w:rsidP="00E04327">
      <w:pPr>
        <w:widowControl w:val="0"/>
        <w:spacing w:line="252" w:lineRule="auto"/>
        <w:rPr>
          <w:b/>
          <w:i/>
          <w:color w:val="FF0000"/>
        </w:rPr>
      </w:pPr>
      <w:r>
        <w:rPr>
          <w:b/>
          <w:i/>
          <w:color w:val="FF0000"/>
        </w:rPr>
        <w:t>Rationale for adjusted targets: Oregon anticipates the number of CTE concentrators from underrepresented gender groups who participate in career and technical programs and programs of study that lead to nontraditional fields to be impacted by COVID because there have been declines in enrollment from traditionally underserved populations, which will have a direct correlation to nontraditional student enroll</w:t>
      </w:r>
      <w:r w:rsidR="00B83C82">
        <w:rPr>
          <w:b/>
          <w:i/>
          <w:color w:val="FF0000"/>
        </w:rPr>
        <w:t>ments within programs of study.</w:t>
      </w:r>
    </w:p>
    <w:sectPr w:rsidR="00C06C43" w:rsidSect="004024C8">
      <w:footerReference w:type="default" r:id="rId13"/>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BD3EE" w14:textId="77777777" w:rsidR="000814E5" w:rsidRDefault="000814E5">
      <w:pPr>
        <w:spacing w:line="240" w:lineRule="auto"/>
      </w:pPr>
      <w:r>
        <w:separator/>
      </w:r>
    </w:p>
  </w:endnote>
  <w:endnote w:type="continuationSeparator" w:id="0">
    <w:p w14:paraId="1D0F846B" w14:textId="77777777" w:rsidR="000814E5" w:rsidRDefault="00081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1F497D"/>
      </w:rPr>
      <w:id w:val="-738242606"/>
      <w:docPartObj>
        <w:docPartGallery w:val="Page Numbers (Bottom of Page)"/>
        <w:docPartUnique/>
      </w:docPartObj>
    </w:sdtPr>
    <w:sdtEndPr>
      <w:rPr>
        <w:noProof/>
        <w:color w:val="auto"/>
      </w:rPr>
    </w:sdtEndPr>
    <w:sdtContent>
      <w:p w14:paraId="2B9C29B3" w14:textId="1BEE4AB6" w:rsidR="000814E5" w:rsidRPr="00791E16" w:rsidRDefault="000814E5" w:rsidP="00BF4ECE">
        <w:pPr>
          <w:pStyle w:val="Footer"/>
          <w:jc w:val="right"/>
          <w:rPr>
            <w:b/>
          </w:rPr>
        </w:pPr>
        <w:r w:rsidRPr="00791E16">
          <w:rPr>
            <w:b/>
          </w:rPr>
          <w:t xml:space="preserve">Page </w:t>
        </w:r>
        <w:r w:rsidRPr="00791E16">
          <w:rPr>
            <w:b/>
          </w:rPr>
          <w:fldChar w:fldCharType="begin"/>
        </w:r>
        <w:r w:rsidRPr="00791E16">
          <w:rPr>
            <w:b/>
          </w:rPr>
          <w:instrText xml:space="preserve"> PAGE   \* MERGEFORMAT </w:instrText>
        </w:r>
        <w:r w:rsidRPr="00791E16">
          <w:rPr>
            <w:b/>
          </w:rPr>
          <w:fldChar w:fldCharType="separate"/>
        </w:r>
        <w:r w:rsidR="00A30634">
          <w:rPr>
            <w:b/>
            <w:noProof/>
          </w:rPr>
          <w:t>8</w:t>
        </w:r>
        <w:r w:rsidRPr="00791E16">
          <w:rPr>
            <w:b/>
            <w:noProof/>
          </w:rPr>
          <w:fldChar w:fldCharType="end"/>
        </w:r>
        <w:r w:rsidRPr="00791E16">
          <w:rPr>
            <w:b/>
            <w:noProof/>
          </w:rPr>
          <w:t xml:space="preserve"> | August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2586" w14:textId="77777777" w:rsidR="000814E5" w:rsidRDefault="000814E5">
      <w:pPr>
        <w:spacing w:line="240" w:lineRule="auto"/>
      </w:pPr>
      <w:r>
        <w:separator/>
      </w:r>
    </w:p>
  </w:footnote>
  <w:footnote w:type="continuationSeparator" w:id="0">
    <w:p w14:paraId="7DDEB716" w14:textId="77777777" w:rsidR="000814E5" w:rsidRDefault="000814E5">
      <w:pPr>
        <w:spacing w:line="240" w:lineRule="auto"/>
      </w:pPr>
      <w:r>
        <w:continuationSeparator/>
      </w:r>
    </w:p>
  </w:footnote>
  <w:footnote w:id="1">
    <w:p w14:paraId="34A7AD73" w14:textId="77777777" w:rsidR="000814E5" w:rsidRDefault="000814E5">
      <w:pPr>
        <w:spacing w:line="240" w:lineRule="auto"/>
        <w:rPr>
          <w:rFonts w:ascii="Calibri" w:eastAsia="Calibri" w:hAnsi="Calibri" w:cs="Calibri"/>
          <w:sz w:val="18"/>
          <w:szCs w:val="18"/>
        </w:rPr>
      </w:pPr>
      <w:r>
        <w:rPr>
          <w:vertAlign w:val="superscript"/>
        </w:rPr>
        <w:footnoteRef/>
      </w:r>
      <w:r>
        <w:rPr>
          <w:sz w:val="20"/>
          <w:szCs w:val="20"/>
          <w:vertAlign w:val="superscript"/>
        </w:rPr>
        <w:t xml:space="preserve"> </w:t>
      </w:r>
      <w:r w:rsidRPr="000814E5">
        <w:rPr>
          <w:rFonts w:eastAsia="Calibri"/>
          <w:color w:val="231F20"/>
          <w:sz w:val="18"/>
          <w:szCs w:val="18"/>
        </w:rPr>
        <w:t>This performance indicator was adjusted February 2020 based on public comment. The targets were lowered to allow for guidance to be more broadly disseminated and ensure a fidelity of measurement across the state that focused on quality work-based learning experiences.</w:t>
      </w:r>
    </w:p>
    <w:p w14:paraId="1FB5EB06" w14:textId="77777777" w:rsidR="000814E5" w:rsidRDefault="000814E5">
      <w:pPr>
        <w:spacing w:line="240" w:lineRule="auto"/>
        <w:rPr>
          <w:sz w:val="20"/>
          <w:szCs w:val="20"/>
          <w:vertAlign w:val="superscript"/>
        </w:rPr>
      </w:pPr>
    </w:p>
  </w:footnote>
  <w:footnote w:id="2">
    <w:p w14:paraId="2105FB48" w14:textId="489EA0CC" w:rsidR="000814E5" w:rsidRPr="00DF5432" w:rsidRDefault="000814E5">
      <w:pPr>
        <w:spacing w:line="240" w:lineRule="auto"/>
        <w:rPr>
          <w:sz w:val="20"/>
          <w:szCs w:val="20"/>
        </w:rPr>
      </w:pPr>
      <w:r w:rsidRPr="00DF5432">
        <w:rPr>
          <w:vertAlign w:val="superscript"/>
        </w:rPr>
        <w:footnoteRef/>
      </w:r>
      <w:r w:rsidRPr="00DF5432">
        <w:rPr>
          <w:sz w:val="20"/>
          <w:szCs w:val="20"/>
        </w:rPr>
        <w:t xml:space="preserve"> </w:t>
      </w:r>
      <w:r w:rsidR="00DF5432" w:rsidRPr="00DF5432">
        <w:rPr>
          <w:rFonts w:eastAsia="Calibri"/>
          <w:color w:val="231F20"/>
          <w:sz w:val="18"/>
          <w:szCs w:val="18"/>
        </w:rPr>
        <w:t>Community partner</w:t>
      </w:r>
      <w:r w:rsidRPr="00DF5432">
        <w:rPr>
          <w:rFonts w:eastAsia="Calibri"/>
          <w:color w:val="231F20"/>
          <w:sz w:val="18"/>
          <w:szCs w:val="18"/>
        </w:rPr>
        <w:t>s gave positive feedback on making the CTE concentrator definition more rigorous.</w:t>
      </w:r>
    </w:p>
  </w:footnote>
  <w:footnote w:id="3">
    <w:p w14:paraId="7D85B22C" w14:textId="3EDF81B6" w:rsidR="000814E5" w:rsidRPr="00DF5432" w:rsidRDefault="000814E5">
      <w:pPr>
        <w:spacing w:line="240" w:lineRule="auto"/>
        <w:rPr>
          <w:rFonts w:eastAsia="Calibri"/>
          <w:sz w:val="18"/>
          <w:szCs w:val="18"/>
        </w:rPr>
      </w:pPr>
      <w:r w:rsidRPr="00DF5432">
        <w:rPr>
          <w:vertAlign w:val="superscript"/>
        </w:rPr>
        <w:footnoteRef/>
      </w:r>
      <w:r w:rsidRPr="00DF5432">
        <w:rPr>
          <w:sz w:val="20"/>
          <w:szCs w:val="20"/>
        </w:rPr>
        <w:t xml:space="preserve"> </w:t>
      </w:r>
      <w:r w:rsidRPr="00DF5432">
        <w:rPr>
          <w:rFonts w:eastAsia="Calibri"/>
          <w:color w:val="231F20"/>
          <w:sz w:val="18"/>
          <w:szCs w:val="18"/>
        </w:rPr>
        <w:t>There was a vigorous discussion about the denominator for the academic proficiency indicators for secondary students. The consensus is that reporting the data in the year the student takes the assessment leads to actionable data and better captures the influence of CTE on academic achievement. If there is a need to look more broadly beyond the ESSA required testing to include state-required demonstration of essential skills, ODE will pull and share this data separately.</w:t>
      </w:r>
    </w:p>
    <w:p w14:paraId="0D114AF5" w14:textId="77777777" w:rsidR="000814E5" w:rsidRDefault="000814E5">
      <w:pPr>
        <w:spacing w:line="240" w:lineRule="auto"/>
        <w:rPr>
          <w:sz w:val="20"/>
          <w:szCs w:val="20"/>
        </w:rPr>
      </w:pPr>
    </w:p>
  </w:footnote>
  <w:footnote w:id="4">
    <w:p w14:paraId="6B754DFA" w14:textId="77777777" w:rsidR="000814E5" w:rsidRPr="00FC4A95" w:rsidRDefault="000814E5">
      <w:pPr>
        <w:spacing w:line="240" w:lineRule="auto"/>
        <w:rPr>
          <w:sz w:val="20"/>
          <w:szCs w:val="20"/>
        </w:rPr>
      </w:pPr>
      <w:r w:rsidRPr="00FC4A95">
        <w:rPr>
          <w:vertAlign w:val="superscript"/>
        </w:rPr>
        <w:footnoteRef/>
      </w:r>
      <w:r w:rsidRPr="00FC4A95">
        <w:rPr>
          <w:sz w:val="20"/>
          <w:szCs w:val="20"/>
        </w:rPr>
        <w:t xml:space="preserve"> </w:t>
      </w:r>
      <w:r w:rsidRPr="00FC4A95">
        <w:rPr>
          <w:rFonts w:eastAsia="Calibri"/>
          <w:color w:val="231F20"/>
          <w:sz w:val="18"/>
          <w:szCs w:val="18"/>
        </w:rPr>
        <w:t>We had questions about how to include students that do not identify as either male or female. In Oregon, we have a third reported gender field. We will be working with the federal agency to determine how we can include this data in 4S1.</w:t>
      </w:r>
    </w:p>
  </w:footnote>
  <w:footnote w:id="5">
    <w:p w14:paraId="0E3D59C6" w14:textId="6E5C25BD" w:rsidR="000814E5" w:rsidRPr="00E77555" w:rsidRDefault="000814E5">
      <w:pPr>
        <w:spacing w:line="240" w:lineRule="auto"/>
        <w:rPr>
          <w:sz w:val="20"/>
          <w:szCs w:val="20"/>
        </w:rPr>
      </w:pPr>
      <w:r w:rsidRPr="00E77555">
        <w:rPr>
          <w:vertAlign w:val="superscript"/>
        </w:rPr>
        <w:footnoteRef/>
      </w:r>
      <w:r w:rsidRPr="00E77555">
        <w:rPr>
          <w:sz w:val="20"/>
          <w:szCs w:val="20"/>
        </w:rPr>
        <w:t xml:space="preserve"> </w:t>
      </w:r>
      <w:r w:rsidRPr="00E77555">
        <w:rPr>
          <w:rFonts w:eastAsia="Calibri"/>
          <w:color w:val="231F20"/>
          <w:sz w:val="18"/>
          <w:szCs w:val="18"/>
        </w:rPr>
        <w:t xml:space="preserve">During public comment, 2P1 was defined as always 100%. Based on feedback from other states and </w:t>
      </w:r>
      <w:r w:rsidR="00DF5432" w:rsidRPr="00E77555">
        <w:rPr>
          <w:rFonts w:eastAsia="Calibri"/>
          <w:color w:val="231F20"/>
          <w:sz w:val="18"/>
          <w:szCs w:val="18"/>
        </w:rPr>
        <w:t>community partner</w:t>
      </w:r>
      <w:r w:rsidRPr="00E77555">
        <w:rPr>
          <w:rFonts w:eastAsia="Calibri"/>
          <w:color w:val="231F20"/>
          <w:sz w:val="18"/>
          <w:szCs w:val="18"/>
        </w:rPr>
        <w:t>s, the definition was adjusted to provide more useful data on program performance.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B4132"/>
    <w:multiLevelType w:val="multilevel"/>
    <w:tmpl w:val="B8DA2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D80749"/>
    <w:multiLevelType w:val="multilevel"/>
    <w:tmpl w:val="52064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5A7D95"/>
    <w:multiLevelType w:val="multilevel"/>
    <w:tmpl w:val="11343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30E3783"/>
    <w:multiLevelType w:val="multilevel"/>
    <w:tmpl w:val="A9909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43"/>
    <w:rsid w:val="000111F0"/>
    <w:rsid w:val="00022C48"/>
    <w:rsid w:val="00033E5F"/>
    <w:rsid w:val="000814E5"/>
    <w:rsid w:val="000B053D"/>
    <w:rsid w:val="000F5E8F"/>
    <w:rsid w:val="001071EF"/>
    <w:rsid w:val="00132484"/>
    <w:rsid w:val="001B696E"/>
    <w:rsid w:val="001F4AD9"/>
    <w:rsid w:val="002240A1"/>
    <w:rsid w:val="002256A3"/>
    <w:rsid w:val="00227166"/>
    <w:rsid w:val="002A4B9E"/>
    <w:rsid w:val="002B05AE"/>
    <w:rsid w:val="003006C6"/>
    <w:rsid w:val="003351BB"/>
    <w:rsid w:val="00381CEC"/>
    <w:rsid w:val="004024C8"/>
    <w:rsid w:val="00413B6D"/>
    <w:rsid w:val="00432D7E"/>
    <w:rsid w:val="00435F05"/>
    <w:rsid w:val="00472DBE"/>
    <w:rsid w:val="005801C8"/>
    <w:rsid w:val="005E4EE0"/>
    <w:rsid w:val="006078C8"/>
    <w:rsid w:val="00626456"/>
    <w:rsid w:val="00632327"/>
    <w:rsid w:val="006412D2"/>
    <w:rsid w:val="00670A92"/>
    <w:rsid w:val="006C4483"/>
    <w:rsid w:val="0072346B"/>
    <w:rsid w:val="00774454"/>
    <w:rsid w:val="00791E16"/>
    <w:rsid w:val="007A1D12"/>
    <w:rsid w:val="007E6A92"/>
    <w:rsid w:val="007F3729"/>
    <w:rsid w:val="00814BE5"/>
    <w:rsid w:val="00863477"/>
    <w:rsid w:val="0088640C"/>
    <w:rsid w:val="008D50EE"/>
    <w:rsid w:val="008F011C"/>
    <w:rsid w:val="00900AED"/>
    <w:rsid w:val="00966532"/>
    <w:rsid w:val="0098257A"/>
    <w:rsid w:val="009933BE"/>
    <w:rsid w:val="009B25BC"/>
    <w:rsid w:val="009B2977"/>
    <w:rsid w:val="00A04DB6"/>
    <w:rsid w:val="00A12251"/>
    <w:rsid w:val="00A30634"/>
    <w:rsid w:val="00A6001C"/>
    <w:rsid w:val="00AA7D82"/>
    <w:rsid w:val="00B20955"/>
    <w:rsid w:val="00B45007"/>
    <w:rsid w:val="00B51709"/>
    <w:rsid w:val="00B83C82"/>
    <w:rsid w:val="00BC51FC"/>
    <w:rsid w:val="00BF4ECE"/>
    <w:rsid w:val="00C05E4D"/>
    <w:rsid w:val="00C06C43"/>
    <w:rsid w:val="00C223F9"/>
    <w:rsid w:val="00CC0800"/>
    <w:rsid w:val="00D41AED"/>
    <w:rsid w:val="00D67343"/>
    <w:rsid w:val="00D71094"/>
    <w:rsid w:val="00D80F99"/>
    <w:rsid w:val="00D971E6"/>
    <w:rsid w:val="00DF5432"/>
    <w:rsid w:val="00E01360"/>
    <w:rsid w:val="00E04327"/>
    <w:rsid w:val="00E101B7"/>
    <w:rsid w:val="00E77555"/>
    <w:rsid w:val="00EF5B77"/>
    <w:rsid w:val="00F055C0"/>
    <w:rsid w:val="00F34A22"/>
    <w:rsid w:val="00F56002"/>
    <w:rsid w:val="00F91153"/>
    <w:rsid w:val="00FC4A95"/>
    <w:rsid w:val="00FD4B00"/>
    <w:rsid w:val="00FE0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E04415"/>
  <w15:docId w15:val="{5171C408-18D5-4AF6-80DF-A1BFEF8E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D41AED"/>
    <w:pPr>
      <w:keepNext/>
      <w:keepLines/>
      <w:widowControl w:val="0"/>
      <w:spacing w:before="114" w:after="120" w:line="240" w:lineRule="auto"/>
      <w:outlineLvl w:val="0"/>
    </w:pPr>
    <w:rPr>
      <w:b/>
      <w:color w:val="1F497D" w:themeColor="text2"/>
      <w:sz w:val="32"/>
      <w:szCs w:val="32"/>
    </w:rPr>
  </w:style>
  <w:style w:type="paragraph" w:styleId="Heading2">
    <w:name w:val="heading 2"/>
    <w:basedOn w:val="Normal"/>
    <w:next w:val="Normal"/>
    <w:qFormat/>
    <w:rsid w:val="009B2977"/>
    <w:pPr>
      <w:spacing w:after="120"/>
      <w:outlineLvl w:val="1"/>
    </w:pPr>
    <w:rPr>
      <w:b/>
      <w:color w:val="548DD4" w:themeColor="text2" w:themeTint="99"/>
      <w:sz w:val="28"/>
      <w:szCs w:val="28"/>
    </w:rPr>
  </w:style>
  <w:style w:type="paragraph" w:styleId="Heading3">
    <w:name w:val="heading 3"/>
    <w:basedOn w:val="Normal"/>
    <w:next w:val="Normal"/>
    <w:qFormat/>
    <w:rsid w:val="00E101B7"/>
    <w:pPr>
      <w:widowControl w:val="0"/>
      <w:spacing w:after="80" w:line="240" w:lineRule="auto"/>
      <w:outlineLvl w:val="2"/>
    </w:pPr>
    <w:rPr>
      <w:b/>
      <w:color w:val="595959" w:themeColor="text1" w:themeTint="A6"/>
      <w:sz w:val="24"/>
      <w:szCs w:val="24"/>
    </w:rPr>
  </w:style>
  <w:style w:type="paragraph" w:styleId="Heading4">
    <w:name w:val="heading 4"/>
    <w:basedOn w:val="Normal"/>
    <w:next w:val="Normal"/>
    <w:qFormat/>
    <w:rsid w:val="00B51709"/>
    <w:pPr>
      <w:keepNext/>
      <w:keepLines/>
      <w:spacing w:after="80" w:line="240" w:lineRule="auto"/>
      <w:outlineLvl w:val="3"/>
    </w:pPr>
    <w:rPr>
      <w:b/>
      <w:i/>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F560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AED"/>
    <w:pPr>
      <w:tabs>
        <w:tab w:val="center" w:pos="4680"/>
        <w:tab w:val="right" w:pos="9360"/>
      </w:tabs>
      <w:spacing w:line="240" w:lineRule="auto"/>
    </w:pPr>
  </w:style>
  <w:style w:type="character" w:customStyle="1" w:styleId="HeaderChar">
    <w:name w:val="Header Char"/>
    <w:basedOn w:val="DefaultParagraphFont"/>
    <w:link w:val="Header"/>
    <w:uiPriority w:val="99"/>
    <w:rsid w:val="00D41AED"/>
  </w:style>
  <w:style w:type="paragraph" w:styleId="Footer">
    <w:name w:val="footer"/>
    <w:basedOn w:val="Normal"/>
    <w:link w:val="FooterChar"/>
    <w:uiPriority w:val="99"/>
    <w:unhideWhenUsed/>
    <w:rsid w:val="00D41AED"/>
    <w:pPr>
      <w:tabs>
        <w:tab w:val="center" w:pos="4680"/>
        <w:tab w:val="right" w:pos="9360"/>
      </w:tabs>
      <w:spacing w:line="240" w:lineRule="auto"/>
    </w:pPr>
  </w:style>
  <w:style w:type="character" w:customStyle="1" w:styleId="FooterChar">
    <w:name w:val="Footer Char"/>
    <w:basedOn w:val="DefaultParagraphFont"/>
    <w:link w:val="Footer"/>
    <w:uiPriority w:val="99"/>
    <w:rsid w:val="00D41AED"/>
  </w:style>
  <w:style w:type="paragraph" w:styleId="BalloonText">
    <w:name w:val="Balloon Text"/>
    <w:basedOn w:val="Normal"/>
    <w:link w:val="BalloonTextChar"/>
    <w:uiPriority w:val="99"/>
    <w:semiHidden/>
    <w:unhideWhenUsed/>
    <w:rsid w:val="004024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4C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35F05"/>
    <w:rPr>
      <w:b/>
      <w:bCs/>
    </w:rPr>
  </w:style>
  <w:style w:type="character" w:customStyle="1" w:styleId="CommentSubjectChar">
    <w:name w:val="Comment Subject Char"/>
    <w:basedOn w:val="CommentTextChar"/>
    <w:link w:val="CommentSubject"/>
    <w:uiPriority w:val="99"/>
    <w:semiHidden/>
    <w:rsid w:val="00435F05"/>
    <w:rPr>
      <w:b/>
      <w:bCs/>
      <w:sz w:val="20"/>
      <w:szCs w:val="20"/>
    </w:rPr>
  </w:style>
  <w:style w:type="paragraph" w:styleId="Revision">
    <w:name w:val="Revision"/>
    <w:hidden/>
    <w:uiPriority w:val="99"/>
    <w:semiHidden/>
    <w:rsid w:val="00435F0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2022-09-12T17:09:00+00:00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CAF5BD3C-2C74-43FD-9A41-853B95D63CCC}"/>
</file>

<file path=customXml/itemProps2.xml><?xml version="1.0" encoding="utf-8"?>
<ds:datastoreItem xmlns:ds="http://schemas.openxmlformats.org/officeDocument/2006/customXml" ds:itemID="{83646A9F-BE25-43C2-98D6-ED061A5CC606}"/>
</file>

<file path=customXml/itemProps3.xml><?xml version="1.0" encoding="utf-8"?>
<ds:datastoreItem xmlns:ds="http://schemas.openxmlformats.org/officeDocument/2006/customXml" ds:itemID="{F96299D1-BA1A-4094-B248-97128C4607B3}"/>
</file>

<file path=docProps/app.xml><?xml version="1.0" encoding="utf-8"?>
<Properties xmlns="http://schemas.openxmlformats.org/officeDocument/2006/extended-properties" xmlns:vt="http://schemas.openxmlformats.org/officeDocument/2006/docPropsVTypes">
  <Template>Normal</Template>
  <TotalTime>1233</TotalTime>
  <Pages>20</Pages>
  <Words>5037</Words>
  <Characters>28714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Appendix L - Performance Targets</vt:lpstr>
    </vt:vector>
  </TitlesOfParts>
  <Company>Oregon Department of Education</Company>
  <LinksUpToDate>false</LinksUpToDate>
  <CharactersWithSpaces>33684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 - Performance Targets</dc:title>
  <dc:creator>WALKER Kyle - ODE</dc:creator>
  <cp:lastModifiedBy>SIMEONE Linda * ODE</cp:lastModifiedBy>
  <cp:revision>12</cp:revision>
  <cp:lastPrinted>2022-08-16T22:23:00Z</cp:lastPrinted>
  <dcterms:created xsi:type="dcterms:W3CDTF">2022-08-16T22:43:00Z</dcterms:created>
  <dcterms:modified xsi:type="dcterms:W3CDTF">2022-09-12T16:46:00Z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