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0D2" w:rsidRPr="00CD00D2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CD00D2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</w:p>
    <w:p w:rsidR="00514471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726"/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  <w:u w:val="single"/>
        </w:rPr>
        <w:t xml:space="preserve">Object Codes to </w:t>
      </w:r>
      <w:proofErr w:type="gramStart"/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  <w:u w:val="single"/>
        </w:rPr>
        <w:t>be used</w:t>
      </w:r>
      <w:proofErr w:type="gramEnd"/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  <w:u w:val="single"/>
        </w:rPr>
        <w:t xml:space="preserve"> with the 2020-2021 Perkins Budget Narrative Spending Workbook </w:t>
      </w:r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3E1B91" w:rsidRPr="00CD00D2" w:rsidRDefault="003E1B91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726"/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</w:p>
    <w:p w:rsidR="00514471" w:rsidRPr="00CD00D2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710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Source: </w:t>
      </w:r>
      <w:r w:rsidR="003E1B91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Oregon Department of Education (n.d.). 2019 Program Budgeting and </w:t>
      </w:r>
      <w:r w:rsidR="00CD00D2"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Accounting </w:t>
      </w:r>
      <w:r w:rsidR="003E1B91">
        <w:rPr>
          <w:rFonts w:asciiTheme="majorHAnsi" w:eastAsia="Times New Roman" w:hAnsiTheme="majorHAnsi" w:cstheme="majorHAnsi"/>
          <w:color w:val="000000"/>
          <w:sz w:val="24"/>
          <w:szCs w:val="24"/>
        </w:rPr>
        <w:br/>
      </w:r>
      <w:r w:rsidR="003E1B91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="003E1B91"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="00CD00D2"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Manual</w:t>
      </w: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for School Districts and Education Service Districts.  </w:t>
      </w:r>
    </w:p>
    <w:p w:rsidR="00514471" w:rsidRPr="00CD00D2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/>
        <w:rPr>
          <w:rFonts w:asciiTheme="majorHAnsi" w:eastAsia="Calibri" w:hAnsiTheme="majorHAnsi" w:cstheme="majorHAnsi"/>
          <w:color w:val="800080"/>
          <w:sz w:val="24"/>
          <w:szCs w:val="24"/>
          <w:u w:val="single"/>
        </w:rPr>
      </w:pPr>
      <w:r w:rsidRPr="00CD00D2">
        <w:rPr>
          <w:rFonts w:asciiTheme="majorHAnsi" w:eastAsia="Calibri" w:hAnsiTheme="majorHAnsi" w:cstheme="majorHAnsi"/>
          <w:color w:val="800080"/>
          <w:sz w:val="24"/>
          <w:szCs w:val="24"/>
          <w:u w:val="single"/>
        </w:rPr>
        <w:t xml:space="preserve">https://www.oregon.gov/ode/schools-and </w:t>
      </w:r>
    </w:p>
    <w:p w:rsidR="00514471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right="123"/>
        <w:rPr>
          <w:rFonts w:asciiTheme="majorHAnsi" w:eastAsia="Calibri" w:hAnsiTheme="majorHAnsi" w:cstheme="majorHAnsi"/>
          <w:color w:val="800080"/>
          <w:sz w:val="24"/>
          <w:szCs w:val="24"/>
        </w:rPr>
      </w:pPr>
      <w:proofErr w:type="gramStart"/>
      <w:r w:rsidRPr="00CD00D2">
        <w:rPr>
          <w:rFonts w:asciiTheme="majorHAnsi" w:eastAsia="Calibri" w:hAnsiTheme="majorHAnsi" w:cstheme="majorHAnsi"/>
          <w:color w:val="800080"/>
          <w:sz w:val="24"/>
          <w:szCs w:val="24"/>
          <w:u w:val="single"/>
        </w:rPr>
        <w:t>districts/grants/Documents/Program%</w:t>
      </w:r>
      <w:proofErr w:type="gramEnd"/>
      <w:r w:rsidRPr="00CD00D2">
        <w:rPr>
          <w:rFonts w:asciiTheme="majorHAnsi" w:eastAsia="Calibri" w:hAnsiTheme="majorHAnsi" w:cstheme="majorHAnsi"/>
          <w:color w:val="800080"/>
          <w:sz w:val="24"/>
          <w:szCs w:val="24"/>
          <w:u w:val="single"/>
        </w:rPr>
        <w:t>20Budgeting%20and%20Accounting%20Manual%20(PBA</w:t>
      </w:r>
      <w:r w:rsidRPr="00CD00D2">
        <w:rPr>
          <w:rFonts w:asciiTheme="majorHAnsi" w:eastAsia="Calibri" w:hAnsiTheme="majorHAnsi" w:cstheme="majorHAnsi"/>
          <w:color w:val="800080"/>
          <w:sz w:val="24"/>
          <w:szCs w:val="24"/>
        </w:rPr>
        <w:t xml:space="preserve"> </w:t>
      </w:r>
      <w:r w:rsidRPr="00CD00D2">
        <w:rPr>
          <w:rFonts w:asciiTheme="majorHAnsi" w:eastAsia="Calibri" w:hAnsiTheme="majorHAnsi" w:cstheme="majorHAnsi"/>
          <w:color w:val="800080"/>
          <w:sz w:val="24"/>
          <w:szCs w:val="24"/>
          <w:u w:val="single"/>
        </w:rPr>
        <w:t>M)%20-%202019%20Edition%20(Effective%20as%20of%20July%201,%202020).pdf</w:t>
      </w:r>
      <w:r w:rsidRPr="00CD00D2">
        <w:rPr>
          <w:rFonts w:asciiTheme="majorHAnsi" w:eastAsia="Calibri" w:hAnsiTheme="majorHAnsi" w:cstheme="majorHAnsi"/>
          <w:color w:val="800080"/>
          <w:sz w:val="24"/>
          <w:szCs w:val="24"/>
        </w:rPr>
        <w:t xml:space="preserve"> </w:t>
      </w:r>
    </w:p>
    <w:p w:rsidR="003E1B91" w:rsidRPr="00CD00D2" w:rsidRDefault="003E1B91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right="123"/>
        <w:rPr>
          <w:rFonts w:asciiTheme="majorHAnsi" w:eastAsia="Calibri" w:hAnsiTheme="majorHAnsi" w:cstheme="majorHAnsi"/>
          <w:color w:val="800080"/>
          <w:sz w:val="24"/>
          <w:szCs w:val="24"/>
        </w:rPr>
      </w:pPr>
    </w:p>
    <w:p w:rsidR="00514471" w:rsidRPr="00CD00D2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proofErr w:type="gramStart"/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111</w:t>
      </w:r>
      <w:proofErr w:type="gramEnd"/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Licensed Salaries</w:t>
      </w: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.  </w:t>
      </w:r>
    </w:p>
    <w:p w:rsidR="00514471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Costs for work performed by regular licensed employees of the district. Include licensed coordinators </w:t>
      </w:r>
      <w:r w:rsidR="00CD00D2"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and licensed</w:t>
      </w: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employees in bargaining unit under this object. </w:t>
      </w:r>
    </w:p>
    <w:p w:rsidR="003E1B91" w:rsidRPr="00CD00D2" w:rsidRDefault="003E1B91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514471" w:rsidRPr="00CD00D2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proofErr w:type="gramStart"/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112</w:t>
      </w:r>
      <w:proofErr w:type="gramEnd"/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Classified Salaries.  </w:t>
      </w:r>
    </w:p>
    <w:p w:rsidR="00514471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84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Costs for work performed by regular classified employees of the district. Confidential staff </w:t>
      </w:r>
      <w:proofErr w:type="gramStart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may be </w:t>
      </w:r>
      <w:r w:rsidR="00CD00D2"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coded</w:t>
      </w:r>
      <w:proofErr w:type="gramEnd"/>
      <w:r w:rsidR="00CD00D2"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to</w:t>
      </w: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this object or 114 below or you may use a </w:t>
      </w:r>
      <w:r w:rsidR="00CD00D2"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district-defined</w:t>
      </w: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code to track separately. </w:t>
      </w:r>
    </w:p>
    <w:p w:rsidR="003E1B91" w:rsidRPr="00CD00D2" w:rsidRDefault="003E1B91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84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514471" w:rsidRPr="00CD00D2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proofErr w:type="gramStart"/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11</w:t>
      </w:r>
      <w:proofErr w:type="gramEnd"/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X Support Staff Salaries - Regular Salaries. </w:t>
      </w:r>
    </w:p>
    <w:p w:rsidR="00514471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290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Full-time, p</w:t>
      </w: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art-time, and prorated portions of the costs for work performed by employees of the </w:t>
      </w:r>
      <w:r w:rsidR="00CD00D2"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district who</w:t>
      </w: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proofErr w:type="gramStart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are considered</w:t>
      </w:r>
      <w:proofErr w:type="gramEnd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to be in positions of a permanent nature. </w:t>
      </w:r>
    </w:p>
    <w:p w:rsidR="003E1B91" w:rsidRPr="00CD00D2" w:rsidRDefault="003E1B91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290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514471" w:rsidRPr="00CD00D2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proofErr w:type="gramStart"/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12</w:t>
      </w:r>
      <w:proofErr w:type="gramEnd"/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X Substitute Salaries - Nonpermanent Salaries</w:t>
      </w: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.  </w:t>
      </w:r>
    </w:p>
    <w:p w:rsidR="00514471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342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Full-time, part-time and prorated portions of the costs for work performed by employees of the district  who are hired on a temporary or substitute basis to perform work in positions in either temporary or  permanent nature. </w:t>
      </w:r>
    </w:p>
    <w:p w:rsidR="003E1B91" w:rsidRPr="00CD00D2" w:rsidRDefault="003E1B91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342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514471" w:rsidRPr="00CD00D2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proofErr w:type="gramStart"/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200</w:t>
      </w:r>
      <w:proofErr w:type="gramEnd"/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Associated Payroll Costs. </w:t>
      </w:r>
    </w:p>
    <w:p w:rsidR="00514471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28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Amounts paid by the district on behalf of employees; these amounts are not included in the gross salary</w:t>
      </w:r>
      <w:r w:rsidR="00CD00D2"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, but</w:t>
      </w: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are over and above. Such payments are fringe benefit payments, and, while not paid directly </w:t>
      </w:r>
      <w:r w:rsidR="00CD00D2"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to employees</w:t>
      </w: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, nevertheless are part of the cost of sa</w:t>
      </w: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laries and benefits. Examples are: (1) group health or </w:t>
      </w:r>
      <w:r w:rsidR="00CD00D2"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life insurance</w:t>
      </w: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(2) contributions to public </w:t>
      </w:r>
      <w:r w:rsidR="003E1B91"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employees’</w:t>
      </w: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retirement system, (3) social security, (4) </w:t>
      </w:r>
      <w:r w:rsidR="003E1B91"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workers’ compensation</w:t>
      </w: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and (5) unemployment insurance. </w:t>
      </w:r>
    </w:p>
    <w:p w:rsidR="003E1B91" w:rsidRPr="00CD00D2" w:rsidRDefault="003E1B91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28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514471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971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proofErr w:type="gramStart"/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210</w:t>
      </w:r>
      <w:proofErr w:type="gramEnd"/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Public Employees Retirement District </w:t>
      </w: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paym</w:t>
      </w: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ents to the Public Employees Retirement System. </w:t>
      </w:r>
    </w:p>
    <w:p w:rsidR="003E1B91" w:rsidRPr="00CD00D2" w:rsidRDefault="003E1B91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971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514471" w:rsidRPr="00CD00D2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proofErr w:type="gramStart"/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310</w:t>
      </w:r>
      <w:proofErr w:type="gramEnd"/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Instructional, Professional and Technical Services.  </w:t>
      </w:r>
    </w:p>
    <w:p w:rsidR="00514471" w:rsidRPr="00CD00D2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127"/>
        <w:rPr>
          <w:rFonts w:asciiTheme="majorHAnsi" w:eastAsia="Times New Roman" w:hAnsiTheme="majorHAnsi" w:cstheme="majorHAnsi"/>
          <w:strike/>
          <w:color w:val="000000"/>
          <w:sz w:val="24"/>
          <w:szCs w:val="24"/>
        </w:rPr>
      </w:pP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Instructional, Professional and Technical Services. </w:t>
      </w:r>
      <w:r w:rsidR="00CD00D2"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Services, which</w:t>
      </w: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by their nature can be performed </w:t>
      </w:r>
      <w:r w:rsidR="00CD00D2"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only by</w:t>
      </w: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persons with specialized skills and knowledge. Included are the services of medical doctors, lawyers</w:t>
      </w:r>
      <w:r w:rsidR="00CD00D2"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, consultants</w:t>
      </w:r>
      <w:r w:rsidR="00650178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</w:t>
      </w:r>
      <w:r w:rsidR="00650178" w:rsidRPr="00650178">
        <w:rPr>
          <w:rFonts w:asciiTheme="majorHAnsi" w:eastAsia="Times New Roman" w:hAnsiTheme="majorHAnsi" w:cstheme="majorHAnsi"/>
          <w:strike/>
          <w:color w:val="000000"/>
          <w:sz w:val="24"/>
          <w:szCs w:val="24"/>
        </w:rPr>
        <w:t>teachers for the instructional area</w:t>
      </w:r>
      <w:r w:rsidRPr="00CD00D2">
        <w:rPr>
          <w:rFonts w:asciiTheme="majorHAnsi" w:eastAsia="Times New Roman" w:hAnsiTheme="majorHAnsi" w:cstheme="majorHAnsi"/>
          <w:strike/>
          <w:color w:val="000000"/>
          <w:sz w:val="24"/>
          <w:szCs w:val="24"/>
        </w:rPr>
        <w:t>.</w:t>
      </w:r>
    </w:p>
    <w:p w:rsidR="00514471" w:rsidRPr="00CD00D2" w:rsidRDefault="00514471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156"/>
        <w:rPr>
          <w:rFonts w:asciiTheme="majorHAnsi" w:hAnsiTheme="majorHAnsi" w:cstheme="majorHAnsi"/>
          <w:i/>
          <w:color w:val="000000"/>
          <w:sz w:val="24"/>
          <w:szCs w:val="24"/>
        </w:rPr>
        <w:sectPr w:rsidR="00514471" w:rsidRPr="00CD00D2" w:rsidSect="00CD00D2">
          <w:headerReference w:type="default" r:id="rId6"/>
          <w:footerReference w:type="default" r:id="rId7"/>
          <w:type w:val="continuous"/>
          <w:pgSz w:w="12240" w:h="15840"/>
          <w:pgMar w:top="1020" w:right="962" w:bottom="0" w:left="0" w:header="0" w:footer="720" w:gutter="0"/>
          <w:cols w:space="720" w:equalWidth="0">
            <w:col w:w="11277" w:space="0"/>
          </w:cols>
        </w:sectPr>
      </w:pPr>
    </w:p>
    <w:p w:rsidR="00514471" w:rsidRPr="00CD00D2" w:rsidRDefault="00CD00D2" w:rsidP="003E1B91">
      <w:pPr>
        <w:spacing w:line="240" w:lineRule="auto"/>
        <w:ind w:left="1080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CD00D2">
        <w:rPr>
          <w:rFonts w:asciiTheme="majorHAnsi" w:hAnsiTheme="majorHAnsi" w:cstheme="majorHAnsi"/>
          <w:b/>
          <w:color w:val="000000"/>
          <w:sz w:val="24"/>
          <w:szCs w:val="24"/>
        </w:rPr>
        <w:br w:type="page"/>
      </w:r>
      <w:r w:rsidR="00621A84" w:rsidRPr="00CD00D2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</w:p>
    <w:p w:rsidR="00514471" w:rsidRPr="00CD00D2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proofErr w:type="gramStart"/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311</w:t>
      </w:r>
      <w:proofErr w:type="gramEnd"/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Instruction Services. </w:t>
      </w:r>
    </w:p>
    <w:p w:rsidR="00514471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8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Instruction Services. Non-payroll services performed by qualified persons directly engaged in </w:t>
      </w:r>
      <w:proofErr w:type="gramStart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providing  learning</w:t>
      </w:r>
      <w:proofErr w:type="gramEnd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experiences for pupils. Included are the services of teachers, teaching assistants, and </w:t>
      </w:r>
      <w:proofErr w:type="gramStart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teacher  aides</w:t>
      </w:r>
      <w:proofErr w:type="gramEnd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and “performance contract” activities. </w:t>
      </w: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Use this code if the resident district is providing </w:t>
      </w:r>
      <w:proofErr w:type="gramStart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instructional  services</w:t>
      </w:r>
      <w:proofErr w:type="gramEnd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to the student and the resident district is paying for the student to receive additional services i.e.  </w:t>
      </w:r>
      <w:proofErr w:type="gramStart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expanded</w:t>
      </w:r>
      <w:proofErr w:type="gramEnd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options. On-line curriculums </w:t>
      </w:r>
      <w:proofErr w:type="gramStart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would be coded</w:t>
      </w:r>
      <w:proofErr w:type="gramEnd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here. </w:t>
      </w:r>
    </w:p>
    <w:p w:rsidR="003E1B91" w:rsidRPr="00CD00D2" w:rsidRDefault="003E1B91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8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514471" w:rsidRPr="00CD00D2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proofErr w:type="gramStart"/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312</w:t>
      </w:r>
      <w:proofErr w:type="gramEnd"/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Instructional Programs Improvement Services. </w:t>
      </w:r>
    </w:p>
    <w:p w:rsidR="00514471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103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Services performed by persons qualified to assist teachers and supervisors in enhancing the quality of </w:t>
      </w:r>
      <w:proofErr w:type="gramStart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the  teaching</w:t>
      </w:r>
      <w:proofErr w:type="gramEnd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process. This category includes curriculum consultants, in-service training specialists, </w:t>
      </w: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etc., </w:t>
      </w:r>
      <w:proofErr w:type="gramStart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not  on</w:t>
      </w:r>
      <w:proofErr w:type="gramEnd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the payroll. </w:t>
      </w:r>
    </w:p>
    <w:p w:rsidR="003E1B91" w:rsidRPr="00CD00D2" w:rsidRDefault="003E1B91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103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514471" w:rsidRPr="00CD00D2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proofErr w:type="gramStart"/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313</w:t>
      </w:r>
      <w:proofErr w:type="gramEnd"/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Student Services. </w:t>
      </w:r>
    </w:p>
    <w:p w:rsidR="00514471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672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Student Services. Non-payroll services of qualified personnel to assist students and their parents </w:t>
      </w:r>
      <w:proofErr w:type="gramStart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in  solving</w:t>
      </w:r>
      <w:proofErr w:type="gramEnd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mental and physical problems to supplement the teaching process. </w:t>
      </w:r>
    </w:p>
    <w:p w:rsidR="003E1B91" w:rsidRPr="00CD00D2" w:rsidRDefault="003E1B91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672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514471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proofErr w:type="gramStart"/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318</w:t>
      </w:r>
      <w:proofErr w:type="gramEnd"/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Professional and Improvement Costs for Non-Instructional Staff</w:t>
      </w: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. (Workshops, etc.) </w:t>
      </w:r>
    </w:p>
    <w:p w:rsidR="003E1B91" w:rsidRPr="00CD00D2" w:rsidRDefault="003E1B91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514471" w:rsidRPr="00CD00D2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319 Other Instructional, Professional and Technical Services. </w:t>
      </w:r>
    </w:p>
    <w:p w:rsidR="00514471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54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Other Instructional, Professional and Technical Services. Services which are professional and technical </w:t>
      </w:r>
      <w:proofErr w:type="gramStart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in  nature</w:t>
      </w:r>
      <w:proofErr w:type="gramEnd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which have not been classified above. Including sign language interpreters, language </w:t>
      </w:r>
      <w:proofErr w:type="gramStart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interpreters  and</w:t>
      </w:r>
      <w:proofErr w:type="gramEnd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translation services for student instr</w:t>
      </w: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uction. (See Appendix E for additional guidance.) </w:t>
      </w:r>
    </w:p>
    <w:p w:rsidR="003E1B91" w:rsidRPr="00CD00D2" w:rsidRDefault="003E1B91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54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514471" w:rsidRPr="00CD00D2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proofErr w:type="gramStart"/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340</w:t>
      </w:r>
      <w:proofErr w:type="gramEnd"/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Travel.  </w:t>
      </w:r>
    </w:p>
    <w:p w:rsidR="00514471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179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Costs for transportation for all district personnel (including students), conference registration, meals</w:t>
      </w:r>
      <w:proofErr w:type="gramStart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,  hotel</w:t>
      </w:r>
      <w:proofErr w:type="gramEnd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, and other expenses associated with traveling on business for the district. Pa</w:t>
      </w: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yments for per diem </w:t>
      </w:r>
      <w:proofErr w:type="gramStart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in  lieu</w:t>
      </w:r>
      <w:proofErr w:type="gramEnd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of meals and lodging and for car allowance also are charged here. Travel costs may be </w:t>
      </w:r>
      <w:proofErr w:type="gramStart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identified  through</w:t>
      </w:r>
      <w:proofErr w:type="gramEnd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use of the following sub-accounts at the option of the district. Use for travel costs incurred </w:t>
      </w:r>
      <w:proofErr w:type="gramStart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by  district</w:t>
      </w:r>
      <w:proofErr w:type="gramEnd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employees and</w:t>
      </w: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students. Travel costs incurred by contracted professionals should be included </w:t>
      </w:r>
      <w:proofErr w:type="gramStart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in  the</w:t>
      </w:r>
      <w:proofErr w:type="gramEnd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cost of the service. Vehicles rented in lieu of reimbursing mileage to an employee should be </w:t>
      </w:r>
      <w:proofErr w:type="gramStart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charged  to</w:t>
      </w:r>
      <w:proofErr w:type="gramEnd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340. </w:t>
      </w:r>
    </w:p>
    <w:p w:rsidR="003E1B91" w:rsidRPr="00CD00D2" w:rsidRDefault="003E1B91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179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514471" w:rsidRPr="00CD00D2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proofErr w:type="gramStart"/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341</w:t>
      </w:r>
      <w:proofErr w:type="gramEnd"/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Travel, Local in District. </w:t>
      </w:r>
    </w:p>
    <w:p w:rsidR="00514471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518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Expenditures for district personnel between facilities and within the boundaries of the school district. </w:t>
      </w:r>
    </w:p>
    <w:p w:rsidR="00650178" w:rsidRPr="00CD00D2" w:rsidRDefault="00650178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518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514471" w:rsidRPr="00CD00D2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proofErr w:type="gramStart"/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342</w:t>
      </w:r>
      <w:proofErr w:type="gramEnd"/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Travel, Out of District. </w:t>
      </w:r>
    </w:p>
    <w:p w:rsidR="00514471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222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Travel, Out of District. Travel expenditures for district personnel to points outside the boundaries of </w:t>
      </w:r>
      <w:proofErr w:type="gramStart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the  school</w:t>
      </w:r>
      <w:proofErr w:type="gramEnd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district. Non-instructional staff travel is included here. </w:t>
      </w:r>
    </w:p>
    <w:p w:rsidR="00650178" w:rsidRPr="00CD00D2" w:rsidRDefault="00650178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222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514471" w:rsidRPr="00CD00D2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proofErr w:type="gramStart"/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343</w:t>
      </w:r>
      <w:proofErr w:type="gramEnd"/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Travel, Student, Out of District. </w:t>
      </w:r>
    </w:p>
    <w:p w:rsidR="00514471" w:rsidRPr="00CD00D2" w:rsidRDefault="00621A84" w:rsidP="006501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Travel expenditures for students to point</w:t>
      </w: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s outside the boundaries of the school district.</w:t>
      </w:r>
    </w:p>
    <w:p w:rsidR="00514471" w:rsidRPr="00CD00D2" w:rsidRDefault="00621A84" w:rsidP="0065017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156"/>
        <w:rPr>
          <w:rFonts w:asciiTheme="majorHAnsi" w:hAnsiTheme="majorHAnsi" w:cstheme="majorHAnsi"/>
          <w:i/>
          <w:color w:val="000000"/>
          <w:sz w:val="24"/>
          <w:szCs w:val="24"/>
        </w:rPr>
        <w:sectPr w:rsidR="00514471" w:rsidRPr="00CD00D2">
          <w:type w:val="continuous"/>
          <w:pgSz w:w="12240" w:h="15840"/>
          <w:pgMar w:top="360" w:right="962" w:bottom="0" w:left="0" w:header="0" w:footer="720" w:gutter="0"/>
          <w:cols w:space="720" w:equalWidth="0">
            <w:col w:w="11277" w:space="0"/>
          </w:cols>
        </w:sectPr>
      </w:pPr>
      <w:r w:rsidRPr="00CD00D2">
        <w:rPr>
          <w:rFonts w:asciiTheme="majorHAnsi" w:hAnsiTheme="majorHAnsi" w:cstheme="majorHAnsi"/>
          <w:i/>
          <w:color w:val="000000"/>
          <w:sz w:val="24"/>
          <w:szCs w:val="24"/>
        </w:rPr>
        <w:t xml:space="preserve"> </w:t>
      </w:r>
    </w:p>
    <w:p w:rsidR="00CD00D2" w:rsidRPr="00CD00D2" w:rsidRDefault="00CD00D2" w:rsidP="00650178">
      <w:pPr>
        <w:spacing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:rsidR="00CD00D2" w:rsidRPr="00650178" w:rsidRDefault="00650178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650178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349 Other Travel</w:t>
      </w:r>
    </w:p>
    <w:p w:rsidR="00514471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Travel </w:t>
      </w:r>
      <w:proofErr w:type="gramStart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expenditures which</w:t>
      </w:r>
      <w:proofErr w:type="gramEnd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cannot be classified above. </w:t>
      </w:r>
    </w:p>
    <w:p w:rsidR="00650178" w:rsidRPr="00CD00D2" w:rsidRDefault="00650178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514471" w:rsidRPr="00CD00D2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proofErr w:type="gramStart"/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410</w:t>
      </w:r>
      <w:proofErr w:type="gramEnd"/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Consumable Supplies and Materials. </w:t>
      </w:r>
    </w:p>
    <w:p w:rsidR="00514471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694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Expenditures for ALL supplies for the operation of a district, including freight and cartage. If </w:t>
      </w:r>
      <w:proofErr w:type="gramStart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such  supplies</w:t>
      </w:r>
      <w:proofErr w:type="gramEnd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are handled for resale to students, only the net cost of supplies is recorded here. </w:t>
      </w:r>
    </w:p>
    <w:p w:rsidR="00650178" w:rsidRPr="00CD00D2" w:rsidRDefault="00650178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694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514471" w:rsidRPr="00CD00D2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proofErr w:type="gramStart"/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460</w:t>
      </w:r>
      <w:proofErr w:type="gramEnd"/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Non-consumable Items.  </w:t>
      </w:r>
    </w:p>
    <w:p w:rsidR="00514471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Expenditures for equipment with a current value of less than $5,000 or for items which are “equipment like,” but which fail one or more of the tests for classification as Object 541 or 542 (see object 540  definition). Examples </w:t>
      </w: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might include hand held calculators, portable audio cassette players, </w:t>
      </w:r>
      <w:proofErr w:type="gramStart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stacking  chairs</w:t>
      </w:r>
      <w:proofErr w:type="gramEnd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, etc. This object category could be used when a district desired to treat these items as equipment </w:t>
      </w:r>
      <w:proofErr w:type="gramStart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for  budgeting</w:t>
      </w:r>
      <w:proofErr w:type="gramEnd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, physical control, etc., without either violating the s</w:t>
      </w: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tate dollar threshold for capital equipment  or combining these items with consumable supplies (Object 410–419). </w:t>
      </w:r>
    </w:p>
    <w:p w:rsidR="00650178" w:rsidRPr="00CD00D2" w:rsidRDefault="00650178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514471" w:rsidRPr="00CD00D2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proofErr w:type="gramStart"/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470</w:t>
      </w:r>
      <w:proofErr w:type="gramEnd"/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Computer Software. </w:t>
      </w:r>
    </w:p>
    <w:p w:rsidR="00514471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259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Expenditures for published computer software. Include licensure and usage fees for software here. </w:t>
      </w:r>
      <w:proofErr w:type="gramStart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The  Cloud</w:t>
      </w:r>
      <w:proofErr w:type="gramEnd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is considered software and would be coded here. </w:t>
      </w:r>
    </w:p>
    <w:p w:rsidR="00650178" w:rsidRPr="00CD00D2" w:rsidRDefault="00650178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259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514471" w:rsidRPr="00CD00D2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proofErr w:type="gramStart"/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480</w:t>
      </w:r>
      <w:proofErr w:type="gramEnd"/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Computer Hardware. </w:t>
      </w:r>
    </w:p>
    <w:p w:rsidR="00514471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225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Expenditures for non-capital computer hardware, generally of value not mee</w:t>
      </w: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ting the capital </w:t>
      </w:r>
      <w:proofErr w:type="gramStart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expenditure  criterion</w:t>
      </w:r>
      <w:proofErr w:type="gramEnd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. An iPad or e-reader needed to access e-textbooks is considered hardware and would be </w:t>
      </w:r>
      <w:proofErr w:type="gramStart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coded  here</w:t>
      </w:r>
      <w:proofErr w:type="gramEnd"/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. </w:t>
      </w:r>
    </w:p>
    <w:p w:rsidR="00650178" w:rsidRPr="00CD00D2" w:rsidRDefault="00650178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225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514471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607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proofErr w:type="gramStart"/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541</w:t>
      </w:r>
      <w:proofErr w:type="gramEnd"/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Initial and Additional Equipment - Depreciable **Requires ODE Approval**. </w:t>
      </w: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Expenditures for the initial and additional equipment such as machinery, furniture and fixtures, </w:t>
      </w:r>
      <w:proofErr w:type="gramStart"/>
      <w:r w:rsidRPr="00CD00D2">
        <w:rPr>
          <w:rFonts w:asciiTheme="majorHAnsi" w:eastAsia="Times New Roman" w:hAnsiTheme="majorHAnsi" w:cstheme="majorHAnsi"/>
          <w:strike/>
          <w:color w:val="000000"/>
          <w:sz w:val="24"/>
          <w:szCs w:val="24"/>
        </w:rPr>
        <w:t xml:space="preserve">and </w:t>
      </w: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Pr="00CD00D2">
        <w:rPr>
          <w:rFonts w:asciiTheme="majorHAnsi" w:eastAsia="Times New Roman" w:hAnsiTheme="majorHAnsi" w:cstheme="majorHAnsi"/>
          <w:strike/>
          <w:color w:val="000000"/>
          <w:sz w:val="24"/>
          <w:szCs w:val="24"/>
        </w:rPr>
        <w:t>vehicles</w:t>
      </w:r>
      <w:proofErr w:type="gramEnd"/>
      <w:r w:rsidRPr="00CD00D2">
        <w:rPr>
          <w:rFonts w:asciiTheme="majorHAnsi" w:eastAsia="Times New Roman" w:hAnsiTheme="majorHAnsi" w:cstheme="majorHAnsi"/>
          <w:strike/>
          <w:color w:val="000000"/>
          <w:sz w:val="24"/>
          <w:szCs w:val="24"/>
        </w:rPr>
        <w:t>.</w:t>
      </w: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</w:p>
    <w:p w:rsidR="00650178" w:rsidRPr="00CD00D2" w:rsidRDefault="00650178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607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:rsidR="00514471" w:rsidRPr="00CD00D2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proofErr w:type="gramStart"/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690</w:t>
      </w:r>
      <w:proofErr w:type="gramEnd"/>
      <w:r w:rsidRPr="00CD00D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Grant Indirect Charges.  </w:t>
      </w:r>
    </w:p>
    <w:p w:rsidR="00514471" w:rsidRPr="00CD00D2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 w:right="315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Charges made to a grant to recover charges made to administration. See page 27 Grant </w:t>
      </w:r>
      <w:r w:rsidR="00650178"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>Administrative Charges</w:t>
      </w:r>
      <w:r w:rsidRPr="00CD00D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for more detail.</w:t>
      </w:r>
    </w:p>
    <w:p w:rsidR="00514471" w:rsidRPr="00CD00D2" w:rsidRDefault="00621A84" w:rsidP="003E1B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0"/>
        <w:rPr>
          <w:rFonts w:asciiTheme="majorHAnsi" w:hAnsiTheme="majorHAnsi" w:cstheme="majorHAnsi"/>
          <w:i/>
          <w:color w:val="000000"/>
          <w:sz w:val="24"/>
          <w:szCs w:val="24"/>
        </w:rPr>
      </w:pPr>
      <w:r w:rsidRPr="00CD00D2">
        <w:rPr>
          <w:rFonts w:asciiTheme="majorHAnsi" w:hAnsiTheme="majorHAnsi" w:cstheme="majorHAnsi"/>
          <w:i/>
          <w:color w:val="000000"/>
          <w:sz w:val="24"/>
          <w:szCs w:val="24"/>
        </w:rPr>
        <w:t xml:space="preserve"> </w:t>
      </w:r>
    </w:p>
    <w:sectPr w:rsidR="00514471" w:rsidRPr="00CD00D2">
      <w:type w:val="continuous"/>
      <w:pgSz w:w="12240" w:h="15840"/>
      <w:pgMar w:top="360" w:right="962" w:bottom="0" w:left="0" w:header="0" w:footer="720" w:gutter="0"/>
      <w:cols w:space="720" w:equalWidth="0">
        <w:col w:w="11277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0D2" w:rsidRDefault="00CD00D2" w:rsidP="00CD00D2">
      <w:pPr>
        <w:spacing w:line="240" w:lineRule="auto"/>
      </w:pPr>
      <w:r>
        <w:separator/>
      </w:r>
    </w:p>
  </w:endnote>
  <w:endnote w:type="continuationSeparator" w:id="0">
    <w:p w:rsidR="00CD00D2" w:rsidRDefault="00CD00D2" w:rsidP="00CD00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0D2" w:rsidRPr="00CD00D2" w:rsidRDefault="00CD00D2" w:rsidP="00CD00D2">
    <w:pPr>
      <w:pStyle w:val="Footer"/>
      <w:ind w:firstLine="1080"/>
      <w:rPr>
        <w:rFonts w:asciiTheme="majorHAnsi" w:hAnsiTheme="majorHAnsi" w:cstheme="majorHAnsi"/>
        <w:sz w:val="20"/>
        <w:szCs w:val="20"/>
      </w:rPr>
    </w:pPr>
    <w:r w:rsidRPr="00CD00D2">
      <w:rPr>
        <w:rFonts w:asciiTheme="majorHAnsi" w:hAnsiTheme="majorHAnsi" w:cstheme="majorHAnsi"/>
        <w:sz w:val="20"/>
        <w:szCs w:val="20"/>
      </w:rPr>
      <w:t xml:space="preserve">The CTE brand logo, brand positioning theme and brand extensions are the property of NASDCTEc. </w:t>
    </w:r>
  </w:p>
  <w:p w:rsidR="00CD00D2" w:rsidRPr="00CD00D2" w:rsidRDefault="00CD00D2" w:rsidP="00CD00D2">
    <w:pPr>
      <w:pStyle w:val="Footer"/>
      <w:ind w:left="1080"/>
      <w:rPr>
        <w:rFonts w:asciiTheme="majorHAnsi" w:hAnsiTheme="majorHAnsi" w:cstheme="majorHAnsi"/>
        <w:sz w:val="20"/>
        <w:szCs w:val="20"/>
      </w:rPr>
    </w:pPr>
    <w:r w:rsidRPr="00CD00D2">
      <w:rPr>
        <w:rFonts w:asciiTheme="majorHAnsi" w:hAnsiTheme="majorHAnsi" w:cstheme="majorHAnsi"/>
        <w:sz w:val="20"/>
        <w:szCs w:val="20"/>
      </w:rPr>
      <w:t xml:space="preserve">The Oregon Department of Education is an equal opportunity agency and employer.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0D2" w:rsidRDefault="00CD00D2" w:rsidP="00CD00D2">
      <w:pPr>
        <w:spacing w:line="240" w:lineRule="auto"/>
      </w:pPr>
      <w:r>
        <w:separator/>
      </w:r>
    </w:p>
  </w:footnote>
  <w:footnote w:type="continuationSeparator" w:id="0">
    <w:p w:rsidR="00CD00D2" w:rsidRDefault="00CD00D2" w:rsidP="00CD00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0D2" w:rsidRDefault="00CD00D2">
    <w:pPr>
      <w:pStyle w:val="Header"/>
    </w:pPr>
  </w:p>
  <w:p w:rsidR="00CD00D2" w:rsidRDefault="00650178" w:rsidP="00CD00D2">
    <w:pPr>
      <w:pStyle w:val="Header"/>
      <w:ind w:firstLine="810"/>
      <w:rPr>
        <w:rFonts w:asciiTheme="majorHAnsi" w:hAnsiTheme="majorHAnsi" w:cstheme="majorHAnsi"/>
        <w:sz w:val="32"/>
      </w:rPr>
    </w:pPr>
    <w:r>
      <w:rPr>
        <w:noProof/>
      </w:rPr>
      <w:drawing>
        <wp:anchor distT="19050" distB="19050" distL="19050" distR="19050" simplePos="0" relativeHeight="251659264" behindDoc="0" locked="0" layoutInCell="1" hidden="0" allowOverlap="1" wp14:anchorId="20641B3F" wp14:editId="3B7603C6">
          <wp:simplePos x="0" y="0"/>
          <wp:positionH relativeFrom="page">
            <wp:posOffset>6386830</wp:posOffset>
          </wp:positionH>
          <wp:positionV relativeFrom="paragraph">
            <wp:posOffset>161925</wp:posOffset>
          </wp:positionV>
          <wp:extent cx="899795" cy="716915"/>
          <wp:effectExtent l="0" t="0" r="0" b="6985"/>
          <wp:wrapSquare wrapText="left" distT="19050" distB="19050" distL="19050" distR="19050"/>
          <wp:docPr id="11" name="image1.png" title="Oregon CT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716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D00D2" w:rsidRDefault="00CD00D2" w:rsidP="00CD00D2">
    <w:pPr>
      <w:pStyle w:val="Header"/>
      <w:ind w:firstLine="810"/>
      <w:rPr>
        <w:rFonts w:asciiTheme="majorHAnsi" w:hAnsiTheme="majorHAnsi" w:cstheme="majorHAnsi"/>
        <w:sz w:val="32"/>
      </w:rPr>
    </w:pPr>
  </w:p>
  <w:p w:rsidR="00CD00D2" w:rsidRPr="00CD00D2" w:rsidRDefault="00CD00D2" w:rsidP="00CD00D2">
    <w:pPr>
      <w:pStyle w:val="Header"/>
      <w:ind w:firstLine="810"/>
      <w:jc w:val="center"/>
      <w:rPr>
        <w:rFonts w:asciiTheme="majorHAnsi" w:hAnsiTheme="majorHAnsi" w:cstheme="majorHAnsi"/>
        <w:b/>
        <w:sz w:val="32"/>
      </w:rPr>
    </w:pPr>
    <w:r w:rsidRPr="00CD00D2">
      <w:rPr>
        <w:rFonts w:asciiTheme="majorHAnsi" w:hAnsiTheme="majorHAnsi" w:cstheme="majorHAnsi"/>
        <w:b/>
        <w:sz w:val="32"/>
      </w:rPr>
      <w:t>Perkins Budget Narrative Object Codes</w:t>
    </w:r>
  </w:p>
  <w:p w:rsidR="00CD00D2" w:rsidRDefault="00CD00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471"/>
    <w:rsid w:val="003E1B91"/>
    <w:rsid w:val="00514471"/>
    <w:rsid w:val="00621A84"/>
    <w:rsid w:val="00650178"/>
    <w:rsid w:val="00C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D6982"/>
  <w15:docId w15:val="{A6DEA6C9-7C5E-48FB-B575-28895390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D00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0D2"/>
  </w:style>
  <w:style w:type="paragraph" w:styleId="Footer">
    <w:name w:val="footer"/>
    <w:basedOn w:val="Normal"/>
    <w:link w:val="FooterChar"/>
    <w:uiPriority w:val="99"/>
    <w:unhideWhenUsed/>
    <w:rsid w:val="00CD00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A246D552C07439E8981692F46C31B" ma:contentTypeVersion="8" ma:contentTypeDescription="Create a new document." ma:contentTypeScope="" ma:versionID="8da0082f3385fc33a28784faa64f0708">
  <xsd:schema xmlns:xsd="http://www.w3.org/2001/XMLSchema" xmlns:xs="http://www.w3.org/2001/XMLSchema" xmlns:p="http://schemas.microsoft.com/office/2006/metadata/properties" xmlns:ns1="http://schemas.microsoft.com/sharepoint/v3" xmlns:ns2="afac9031-5f96-4f43-a642-40c4ec1d4f3f" xmlns:ns3="54031767-dd6d-417c-ab73-583408f47564" targetNamespace="http://schemas.microsoft.com/office/2006/metadata/properties" ma:root="true" ma:fieldsID="9857c2729952d191b2dd9b58af602dbc" ns1:_="" ns2:_="" ns3:_="">
    <xsd:import namespace="http://schemas.microsoft.com/sharepoint/v3"/>
    <xsd:import namespace="afac9031-5f96-4f43-a642-40c4ec1d4f3f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c9031-5f96-4f43-a642-40c4ec1d4f3f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ediation_x0020_Date xmlns="afac9031-5f96-4f43-a642-40c4ec1d4f3f">2020-11-24T19:47:55+00:00</Remediation_x0020_Date>
    <PublishingExpirationDate xmlns="http://schemas.microsoft.com/sharepoint/v3" xsi:nil="true"/>
    <PublishingStartDate xmlns="http://schemas.microsoft.com/sharepoint/v3" xsi:nil="true"/>
    <Estimated_x0020_Creation_x0020_Date xmlns="afac9031-5f96-4f43-a642-40c4ec1d4f3f" xsi:nil="true"/>
    <Priority xmlns="afac9031-5f96-4f43-a642-40c4ec1d4f3f">New</Priority>
  </documentManagement>
</p:properties>
</file>

<file path=customXml/itemProps1.xml><?xml version="1.0" encoding="utf-8"?>
<ds:datastoreItem xmlns:ds="http://schemas.openxmlformats.org/officeDocument/2006/customXml" ds:itemID="{46A721F4-4C27-4B43-9C21-59E98A70ABF5}"/>
</file>

<file path=customXml/itemProps2.xml><?xml version="1.0" encoding="utf-8"?>
<ds:datastoreItem xmlns:ds="http://schemas.openxmlformats.org/officeDocument/2006/customXml" ds:itemID="{4374DC0A-2931-4ADC-978D-AC4F75EFD280}"/>
</file>

<file path=customXml/itemProps3.xml><?xml version="1.0" encoding="utf-8"?>
<ds:datastoreItem xmlns:ds="http://schemas.openxmlformats.org/officeDocument/2006/customXml" ds:itemID="{F742B006-FD46-40AA-B698-9FA47FDAF1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ONEILL Barbara - ODE</cp:lastModifiedBy>
  <cp:revision>3</cp:revision>
  <dcterms:created xsi:type="dcterms:W3CDTF">2020-11-23T23:17:00Z</dcterms:created>
  <dcterms:modified xsi:type="dcterms:W3CDTF">2020-11-23T23:46:00Z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0x010100370A246D552C07439E8981692F46C31B</vt:lpwstr>
  </property>
</Properties>
</file>