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819E" w14:textId="7B15FE81" w:rsidR="0000407C" w:rsidRPr="00461043" w:rsidRDefault="00461043">
      <w:pPr>
        <w:pStyle w:val="Heading2"/>
        <w:ind w:left="0" w:firstLine="0"/>
        <w:rPr>
          <w:rFonts w:asciiTheme="minorHAnsi" w:hAnsiTheme="minorHAnsi" w:cstheme="minorHAnsi"/>
        </w:rPr>
      </w:pPr>
      <w:bookmarkStart w:id="0" w:name="_heading=h.2vzpwpab4pg7" w:colFirst="0" w:colLast="0"/>
      <w:bookmarkEnd w:id="0"/>
      <w:r w:rsidRPr="00461043">
        <w:rPr>
          <w:rFonts w:asciiTheme="minorHAnsi" w:hAnsiTheme="minorHAnsi" w:cstheme="minorHAnsi"/>
        </w:rPr>
        <w:t>Appendix I: Performance Targets</w:t>
      </w:r>
      <w:r>
        <w:rPr>
          <w:rFonts w:asciiTheme="minorHAnsi" w:hAnsiTheme="minorHAnsi" w:cstheme="minorHAnsi"/>
        </w:rPr>
        <w:t xml:space="preserve"> </w:t>
      </w:r>
    </w:p>
    <w:p w14:paraId="57C15B3F" w14:textId="77777777" w:rsidR="0000407C" w:rsidRDefault="007E369D">
      <w:pPr>
        <w:pStyle w:val="Heading1"/>
        <w:spacing w:after="160"/>
        <w:rPr>
          <w:rFonts w:ascii="Arial" w:eastAsia="Arial" w:hAnsi="Arial" w:cs="Arial"/>
          <w:szCs w:val="40"/>
        </w:rPr>
      </w:pPr>
      <w:bookmarkStart w:id="1" w:name="_heading=h.5pladfdwb64j" w:colFirst="0" w:colLast="0"/>
      <w:bookmarkEnd w:id="1"/>
      <w:r>
        <w:rPr>
          <w:sz w:val="32"/>
          <w:szCs w:val="32"/>
        </w:rPr>
        <w:t>Appendix I: Performance Targets</w:t>
      </w:r>
      <w:r>
        <w:rPr>
          <w:rFonts w:ascii="Arial" w:eastAsia="Arial" w:hAnsi="Arial" w:cs="Arial"/>
          <w:szCs w:val="40"/>
        </w:rPr>
        <w:t xml:space="preserve"> </w:t>
      </w:r>
    </w:p>
    <w:p w14:paraId="2FD6595A" w14:textId="77777777" w:rsidR="0000407C" w:rsidRDefault="007E369D">
      <w:r>
        <w:t>The Performance indicators and their names and guidelines stem from (federal) Perkins V legislation and related U.S. Department of Education guidance.</w:t>
      </w:r>
    </w:p>
    <w:p w14:paraId="05328D17" w14:textId="77777777" w:rsidR="00885308" w:rsidRPr="00885308" w:rsidRDefault="00885308">
      <w:pPr>
        <w:rPr>
          <w:sz w:val="10"/>
          <w:szCs w:val="10"/>
        </w:rPr>
      </w:pPr>
    </w:p>
    <w:p w14:paraId="42AE82D0" w14:textId="6309F00A" w:rsidR="000F38D3" w:rsidRPr="000F38D3" w:rsidRDefault="000F38D3" w:rsidP="000F38D3">
      <w:pPr>
        <w:pStyle w:val="Heading3"/>
        <w:rPr>
          <w:color w:val="auto"/>
        </w:rPr>
      </w:pPr>
      <w:r w:rsidRPr="000F38D3">
        <w:rPr>
          <w:color w:val="auto"/>
        </w:rPr>
        <w:t>CTE Enrollment Status</w:t>
      </w:r>
    </w:p>
    <w:p w14:paraId="448D8E0B" w14:textId="77777777" w:rsidR="00885308" w:rsidRDefault="00885308" w:rsidP="00885308">
      <w:pPr>
        <w:spacing w:before="240" w:after="240"/>
        <w:rPr>
          <w:color w:val="auto"/>
        </w:rPr>
      </w:pPr>
      <w:r>
        <w:t xml:space="preserve">CTE Enrollment Status is one of the main components of eligibility for student inclusion in each performance indicator calculation. Only CTE Concentrators in specific cohort subsets </w:t>
      </w:r>
      <w:proofErr w:type="gramStart"/>
      <w:r>
        <w:t>are included</w:t>
      </w:r>
      <w:proofErr w:type="gramEnd"/>
      <w:r>
        <w:t xml:space="preserve"> in the Performance Level assessments each year.</w:t>
      </w:r>
    </w:p>
    <w:p w14:paraId="058F0461" w14:textId="77777777" w:rsidR="00885308" w:rsidRDefault="00885308" w:rsidP="00885308">
      <w:pPr>
        <w:spacing w:before="240" w:after="240"/>
      </w:pPr>
      <w:r>
        <w:t>Each student-program enrollment status evolves over the course of the student’s education</w:t>
      </w:r>
      <w:r w:rsidRPr="00A7623D">
        <w:t xml:space="preserve">. </w:t>
      </w:r>
      <w:r w:rsidRPr="00A7623D">
        <w:rPr>
          <w:b/>
          <w:bCs/>
        </w:rPr>
        <w:t>Schools report on student CTE activity each school year regardless of the student’s CTE Enrollment Status at that time.</w:t>
      </w:r>
      <w:r>
        <w:t xml:space="preserve"> ODE and HECC perform the tracking and calculation of student enrollments status as relevant per Performance Indicator.</w:t>
      </w:r>
    </w:p>
    <w:p w14:paraId="5AA7C28C" w14:textId="77777777" w:rsidR="00885308" w:rsidRDefault="00885308" w:rsidP="00885308">
      <w:pPr>
        <w:spacing w:before="240" w:after="240"/>
      </w:pPr>
      <w:r>
        <w:t xml:space="preserve">Students in multiple POS have an </w:t>
      </w:r>
      <w:r>
        <w:rPr>
          <w:b/>
          <w:bCs/>
        </w:rPr>
        <w:t>enrollment status relative to each POS</w:t>
      </w:r>
      <w:r>
        <w:t xml:space="preserve"> </w:t>
      </w:r>
      <w:r>
        <w:rPr>
          <w:b/>
          <w:bCs/>
        </w:rPr>
        <w:t>where they have met at least the CTE Participant threshold</w:t>
      </w:r>
      <w:r>
        <w:t>.</w:t>
      </w:r>
    </w:p>
    <w:p w14:paraId="70DF4F5F" w14:textId="68A70899" w:rsidR="00885308" w:rsidRDefault="00885308" w:rsidP="00885308">
      <w:pPr>
        <w:spacing w:before="240" w:after="240"/>
      </w:pPr>
      <w:r>
        <w:t xml:space="preserve">There are two Perkins V CTE Enrollment Status categories—CTE Participant and CTE Concentrator—that </w:t>
      </w:r>
      <w:proofErr w:type="gramStart"/>
      <w:r>
        <w:t xml:space="preserve">are </w:t>
      </w:r>
      <w:r w:rsidRPr="00A7623D">
        <w:t>defined</w:t>
      </w:r>
      <w:proofErr w:type="gramEnd"/>
      <w:r w:rsidRPr="00A7623D">
        <w:t xml:space="preserve"> separately for secondary and postsecondary levels of education.</w:t>
      </w:r>
      <w:r>
        <w:t xml:space="preserve"> Secondary CTE Concentrator and Postsecondary CTE Concentrator definitions </w:t>
      </w:r>
      <w:proofErr w:type="gramStart"/>
      <w:r>
        <w:t>were updated</w:t>
      </w:r>
      <w:proofErr w:type="gramEnd"/>
      <w:r>
        <w:t xml:space="preserve"> from Perkins IV. Those updates included </w:t>
      </w:r>
      <w:r w:rsidRPr="00A7623D">
        <w:t>increasing thresholds</w:t>
      </w:r>
      <w:r>
        <w:t xml:space="preserve"> on completed in-program CTE credits.</w:t>
      </w:r>
    </w:p>
    <w:p w14:paraId="41F4D989" w14:textId="77777777" w:rsidR="00885308" w:rsidRPr="00885308" w:rsidRDefault="00885308" w:rsidP="00885308">
      <w:pPr>
        <w:spacing w:before="280" w:after="80"/>
        <w:rPr>
          <w:b/>
          <w:bCs/>
          <w:color w:val="auto"/>
          <w:sz w:val="27"/>
          <w:szCs w:val="27"/>
        </w:rPr>
      </w:pPr>
      <w:r w:rsidRPr="00885308">
        <w:rPr>
          <w:b/>
          <w:bCs/>
          <w:color w:val="auto"/>
          <w:sz w:val="26"/>
          <w:szCs w:val="26"/>
        </w:rPr>
        <w:t>Postsecondary CTE Concentrator</w:t>
      </w:r>
    </w:p>
    <w:p w14:paraId="694A3781" w14:textId="3E5CA9BF" w:rsidR="00885308" w:rsidRDefault="00885308" w:rsidP="00885308">
      <w:pPr>
        <w:spacing w:before="240" w:after="240"/>
        <w:rPr>
          <w:sz w:val="24"/>
          <w:szCs w:val="24"/>
        </w:rPr>
      </w:pPr>
      <w:r>
        <w:t xml:space="preserve">Under Perkins, a Postsecondary CTE Concentrator in Oregon is defined as a student who has earned at least 12 credits, </w:t>
      </w:r>
      <w:r>
        <w:rPr>
          <w:i/>
          <w:iCs/>
        </w:rPr>
        <w:t xml:space="preserve">with a minimum of 9 CTE-specific, program-specific credits in career and technical education, </w:t>
      </w:r>
      <w:r>
        <w:t>within a career and technical education program or program of study or completed the program if it is fewer than 12 credits. </w:t>
      </w:r>
    </w:p>
    <w:p w14:paraId="5F404ECA" w14:textId="77777777" w:rsidR="00885308" w:rsidRPr="00885308" w:rsidRDefault="00885308" w:rsidP="00885308">
      <w:pPr>
        <w:spacing w:before="280" w:after="80"/>
        <w:rPr>
          <w:b/>
          <w:bCs/>
          <w:color w:val="auto"/>
          <w:sz w:val="27"/>
          <w:szCs w:val="27"/>
        </w:rPr>
      </w:pPr>
      <w:r w:rsidRPr="00885308">
        <w:rPr>
          <w:b/>
          <w:bCs/>
          <w:color w:val="auto"/>
          <w:sz w:val="26"/>
          <w:szCs w:val="26"/>
        </w:rPr>
        <w:t>Postsecondary CTE Participant</w:t>
      </w:r>
    </w:p>
    <w:p w14:paraId="411B900C" w14:textId="17742AD0" w:rsidR="00885308" w:rsidRDefault="00885308" w:rsidP="00D67F10">
      <w:pPr>
        <w:spacing w:after="0" w:line="240" w:lineRule="auto"/>
        <w:textAlignment w:val="baseline"/>
        <w:rPr>
          <w:rFonts w:eastAsia="Times New Roman"/>
        </w:rPr>
      </w:pPr>
      <w:r>
        <w:rPr>
          <w:rFonts w:eastAsia="Times New Roman"/>
        </w:rPr>
        <w:t xml:space="preserve">Under Perkins, a Postsecondary CTE Participant in Oregon is defined as a student </w:t>
      </w:r>
      <w:proofErr w:type="gramStart"/>
      <w:r>
        <w:rPr>
          <w:rFonts w:eastAsia="Times New Roman"/>
        </w:rPr>
        <w:t>with</w:t>
      </w:r>
      <w:proofErr w:type="gramEnd"/>
    </w:p>
    <w:p w14:paraId="5971EF14" w14:textId="045FDF7E" w:rsidR="00885308" w:rsidRPr="00D67F10" w:rsidRDefault="00885308" w:rsidP="00D67F10">
      <w:pPr>
        <w:pStyle w:val="ListParagraph"/>
        <w:numPr>
          <w:ilvl w:val="0"/>
          <w:numId w:val="2"/>
        </w:numPr>
        <w:spacing w:after="0" w:line="240" w:lineRule="auto"/>
        <w:textAlignment w:val="baseline"/>
        <w:rPr>
          <w:rFonts w:eastAsia="Times New Roman"/>
        </w:rPr>
      </w:pPr>
      <w:r w:rsidRPr="00D67F10">
        <w:rPr>
          <w:rFonts w:eastAsia="Times New Roman"/>
        </w:rPr>
        <w:t xml:space="preserve">fewer than 12.0 credits completed </w:t>
      </w:r>
      <w:r w:rsidRPr="00D67F10">
        <w:rPr>
          <w:rFonts w:eastAsia="Times New Roman"/>
          <w:u w:val="single"/>
        </w:rPr>
        <w:t>and/or</w:t>
      </w:r>
      <w:r w:rsidRPr="00D67F10">
        <w:rPr>
          <w:rFonts w:eastAsia="Times New Roman"/>
        </w:rPr>
        <w:t xml:space="preserve"> fewer than 9.0 program credits that are CTE-specific in a program offering at least 12.0 credits</w:t>
      </w:r>
      <w:r w:rsidRPr="00D67F10">
        <w:rPr>
          <w:rFonts w:eastAsia="Times New Roman"/>
          <w:b/>
          <w:bCs/>
        </w:rPr>
        <w:t>, OR</w:t>
      </w:r>
    </w:p>
    <w:p w14:paraId="02EDC07D" w14:textId="77777777" w:rsidR="00885308" w:rsidRPr="00D67F10" w:rsidRDefault="00885308" w:rsidP="00D67F10">
      <w:pPr>
        <w:pStyle w:val="ListParagraph"/>
        <w:numPr>
          <w:ilvl w:val="0"/>
          <w:numId w:val="2"/>
        </w:numPr>
        <w:spacing w:after="240" w:line="240" w:lineRule="auto"/>
        <w:textAlignment w:val="baseline"/>
        <w:rPr>
          <w:rFonts w:eastAsia="Times New Roman"/>
        </w:rPr>
      </w:pPr>
      <w:r w:rsidRPr="00D67F10">
        <w:rPr>
          <w:rFonts w:eastAsia="Times New Roman"/>
        </w:rPr>
        <w:t>who has not completed a CTE program that offers fewer than 12.0 credits. </w:t>
      </w:r>
    </w:p>
    <w:p w14:paraId="75FE364D" w14:textId="77777777" w:rsidR="00885308" w:rsidRPr="00885308" w:rsidRDefault="00885308" w:rsidP="00885308">
      <w:pPr>
        <w:spacing w:before="280" w:after="80"/>
        <w:rPr>
          <w:rFonts w:ascii="Aptos" w:eastAsiaTheme="minorHAnsi" w:hAnsi="Aptos"/>
          <w:b/>
          <w:bCs/>
          <w:color w:val="auto"/>
          <w:sz w:val="27"/>
          <w:szCs w:val="27"/>
        </w:rPr>
      </w:pPr>
      <w:r w:rsidRPr="00885308">
        <w:rPr>
          <w:b/>
          <w:bCs/>
          <w:color w:val="auto"/>
          <w:sz w:val="26"/>
          <w:szCs w:val="26"/>
        </w:rPr>
        <w:t>Secondary CTE Concentrator</w:t>
      </w:r>
    </w:p>
    <w:p w14:paraId="34761F56" w14:textId="3E2C1A33" w:rsidR="00885308" w:rsidRDefault="00885308" w:rsidP="00885308">
      <w:pPr>
        <w:spacing w:before="240" w:after="240"/>
        <w:rPr>
          <w:sz w:val="24"/>
          <w:szCs w:val="24"/>
        </w:rPr>
      </w:pPr>
      <w:r>
        <w:t xml:space="preserve">Under Perkins, a Secondary CTE Concentrator in Oregon </w:t>
      </w:r>
      <w:proofErr w:type="gramStart"/>
      <w:r>
        <w:t>is defined</w:t>
      </w:r>
      <w:proofErr w:type="gramEnd"/>
      <w:r>
        <w:t xml:space="preserve"> as a student who has earned at least 2.0 credits (earned in grade level 9 or higher) </w:t>
      </w:r>
      <w:r>
        <w:rPr>
          <w:b/>
          <w:bCs/>
        </w:rPr>
        <w:t>in a single CTE POS</w:t>
      </w:r>
      <w:r>
        <w:t xml:space="preserve"> </w:t>
      </w:r>
      <w:r>
        <w:rPr>
          <w:b/>
          <w:bCs/>
        </w:rPr>
        <w:t>and</w:t>
      </w:r>
      <w:r>
        <w:t xml:space="preserve"> at least 1.0 of those credits is in intermediate or advanced coursework.</w:t>
      </w:r>
    </w:p>
    <w:p w14:paraId="3EA93F23" w14:textId="77777777" w:rsidR="00885308" w:rsidRDefault="00885308" w:rsidP="00885308">
      <w:pPr>
        <w:spacing w:before="280" w:after="80"/>
        <w:rPr>
          <w:b/>
          <w:bCs/>
          <w:color w:val="auto"/>
          <w:sz w:val="26"/>
          <w:szCs w:val="26"/>
        </w:rPr>
      </w:pPr>
    </w:p>
    <w:p w14:paraId="329CFE49" w14:textId="3CF5D997" w:rsidR="00885308" w:rsidRPr="00885308" w:rsidRDefault="00885308" w:rsidP="00885308">
      <w:pPr>
        <w:spacing w:before="280" w:after="80"/>
        <w:rPr>
          <w:b/>
          <w:bCs/>
          <w:color w:val="auto"/>
          <w:sz w:val="27"/>
          <w:szCs w:val="27"/>
        </w:rPr>
      </w:pPr>
      <w:r w:rsidRPr="00885308">
        <w:rPr>
          <w:b/>
          <w:bCs/>
          <w:color w:val="auto"/>
          <w:sz w:val="26"/>
          <w:szCs w:val="26"/>
        </w:rPr>
        <w:lastRenderedPageBreak/>
        <w:t>Secondary CTE Participant</w:t>
      </w:r>
    </w:p>
    <w:p w14:paraId="4BD3FA67" w14:textId="5E10609C" w:rsidR="00885308" w:rsidRDefault="00885308" w:rsidP="00885308">
      <w:pPr>
        <w:spacing w:before="240" w:after="240"/>
        <w:rPr>
          <w:sz w:val="24"/>
          <w:szCs w:val="24"/>
        </w:rPr>
      </w:pPr>
      <w:r>
        <w:t xml:space="preserve">Under Perkins, a Secondary CTE Participant in Oregon </w:t>
      </w:r>
      <w:proofErr w:type="gramStart"/>
      <w:r>
        <w:t>is defined</w:t>
      </w:r>
      <w:proofErr w:type="gramEnd"/>
      <w:r>
        <w:t xml:space="preserve"> as a student who has earned at least 0.5 credits (earned in grade level 9 or higher) in a single CTE start-up or Program of Study (POS). </w:t>
      </w:r>
    </w:p>
    <w:p w14:paraId="1E3A30FD" w14:textId="35572C6B" w:rsidR="00885308" w:rsidRDefault="00885308" w:rsidP="00885308">
      <w:pPr>
        <w:spacing w:before="240" w:after="240"/>
      </w:pPr>
      <w:r>
        <w:t>For local program improvement information, Oregon has also adopted a definition of a secondary CTE Completer.</w:t>
      </w:r>
    </w:p>
    <w:p w14:paraId="39761F25" w14:textId="77777777" w:rsidR="00885308" w:rsidRPr="00885308" w:rsidRDefault="00885308" w:rsidP="00885308">
      <w:pPr>
        <w:spacing w:before="280"/>
        <w:rPr>
          <w:b/>
          <w:bCs/>
          <w:color w:val="auto"/>
          <w:sz w:val="27"/>
          <w:szCs w:val="27"/>
        </w:rPr>
      </w:pPr>
      <w:r w:rsidRPr="00885308">
        <w:rPr>
          <w:b/>
          <w:bCs/>
          <w:color w:val="auto"/>
          <w:sz w:val="26"/>
          <w:szCs w:val="26"/>
        </w:rPr>
        <w:t xml:space="preserve">Oregon Secondary CTE Completer </w:t>
      </w:r>
      <w:r w:rsidRPr="00885308">
        <w:rPr>
          <w:b/>
          <w:bCs/>
          <w:color w:val="auto"/>
          <w:sz w:val="28"/>
          <w:szCs w:val="28"/>
        </w:rPr>
        <w:t> </w:t>
      </w:r>
    </w:p>
    <w:p w14:paraId="0395A1FE" w14:textId="77777777" w:rsidR="00885308" w:rsidRDefault="00885308" w:rsidP="00885308">
      <w:pPr>
        <w:rPr>
          <w:sz w:val="24"/>
          <w:szCs w:val="24"/>
        </w:rPr>
      </w:pPr>
      <w:r>
        <w:t xml:space="preserve">A student who has earned </w:t>
      </w:r>
      <w:proofErr w:type="gramStart"/>
      <w:r>
        <w:t>3</w:t>
      </w:r>
      <w:proofErr w:type="gramEnd"/>
      <w:r>
        <w:t xml:space="preserve"> credits in a single CTE Program of Study, with at least 0.5 credit in an advanced course, and who has a reported CTE WBL experience in that Program.</w:t>
      </w:r>
    </w:p>
    <w:p w14:paraId="3B1B2686" w14:textId="77777777" w:rsidR="000F38D3" w:rsidRDefault="000F38D3"/>
    <w:p w14:paraId="4D2EA6E3" w14:textId="77777777" w:rsidR="0000407C" w:rsidRDefault="007E369D">
      <w:pPr>
        <w:spacing w:after="0"/>
        <w:rPr>
          <w:b/>
          <w:u w:val="single"/>
        </w:rPr>
      </w:pPr>
      <w:r>
        <w:rPr>
          <w:b/>
          <w:u w:val="single"/>
        </w:rPr>
        <w:t xml:space="preserve">Performance Indicator 3-Part Naming Convention </w:t>
      </w:r>
    </w:p>
    <w:p w14:paraId="11C54076" w14:textId="77777777" w:rsidR="0000407C" w:rsidRDefault="007E369D">
      <w:r>
        <w:rPr>
          <w:b/>
        </w:rPr>
        <w:t>Part 1: Metric Series Number:</w:t>
      </w:r>
      <w:r>
        <w:t xml:space="preserve"> Metrics are grouped into series; some series have only one metric in the group; some series have multiple mandatory metrics; one series (5S) has multiple metrics with only one of the metrics </w:t>
      </w:r>
      <w:proofErr w:type="gramStart"/>
      <w:r>
        <w:t>mandatory</w:t>
      </w:r>
      <w:proofErr w:type="gramEnd"/>
      <w:r>
        <w:t xml:space="preserve"> for ODE’s Perkins reporting.  </w:t>
      </w:r>
    </w:p>
    <w:p w14:paraId="5746BB38" w14:textId="77777777" w:rsidR="0000407C" w:rsidRDefault="007E369D">
      <w:r>
        <w:rPr>
          <w:b/>
        </w:rPr>
        <w:t>Part 2: Metric Education Level Code:</w:t>
      </w:r>
      <w:r>
        <w:t xml:space="preserve"> S </w:t>
      </w:r>
      <w:proofErr w:type="gramStart"/>
      <w:r>
        <w:t>is used</w:t>
      </w:r>
      <w:proofErr w:type="gramEnd"/>
      <w:r>
        <w:t xml:space="preserve"> for secondary metrics; P is used for postsecondary metrics. </w:t>
      </w:r>
    </w:p>
    <w:p w14:paraId="4F8930B4" w14:textId="77777777" w:rsidR="0000407C" w:rsidRDefault="007E369D">
      <w:r>
        <w:rPr>
          <w:b/>
        </w:rPr>
        <w:t>Part 3: Metric In-Series Sequence Number:</w:t>
      </w:r>
      <w:r>
        <w:t xml:space="preserve"> </w:t>
      </w:r>
      <w:proofErr w:type="gramStart"/>
      <w:r>
        <w:t>Some</w:t>
      </w:r>
      <w:proofErr w:type="gramEnd"/>
      <w:r>
        <w:t xml:space="preserve"> metric series contain more than one indicator; this number specifies which in-series metric is referenced. All metrics have this third naming component; for series with only one metric in the sequence, the metric uses </w:t>
      </w:r>
      <w:proofErr w:type="gramStart"/>
      <w:r>
        <w:t>1</w:t>
      </w:r>
      <w:proofErr w:type="gramEnd"/>
      <w:r>
        <w:t xml:space="preserve"> for this number.</w:t>
      </w:r>
    </w:p>
    <w:p w14:paraId="5D1E4FAB" w14:textId="77777777" w:rsidR="0000407C" w:rsidRDefault="007E369D">
      <w:pPr>
        <w:spacing w:after="0"/>
        <w:rPr>
          <w:b/>
          <w:u w:val="single"/>
        </w:rPr>
      </w:pPr>
      <w:r>
        <w:rPr>
          <w:b/>
          <w:u w:val="single"/>
        </w:rPr>
        <w:t>Performance Indicator Series</w:t>
      </w:r>
    </w:p>
    <w:p w14:paraId="6EE32AA3" w14:textId="77777777" w:rsidR="0000407C" w:rsidRDefault="007E369D">
      <w:pPr>
        <w:spacing w:after="0" w:line="276" w:lineRule="auto"/>
      </w:pPr>
      <w:r>
        <w:rPr>
          <w:b/>
        </w:rPr>
        <w:t>1S Series</w:t>
      </w:r>
      <w:r>
        <w:t>: Secondary Graduation Rates</w:t>
      </w:r>
    </w:p>
    <w:p w14:paraId="1BE78F0D" w14:textId="77777777" w:rsidR="0000407C" w:rsidRDefault="007E369D">
      <w:pPr>
        <w:spacing w:after="0" w:line="276" w:lineRule="auto"/>
      </w:pPr>
      <w:r>
        <w:rPr>
          <w:b/>
        </w:rPr>
        <w:t>2S Series</w:t>
      </w:r>
      <w:r>
        <w:t>: Secondary Academic Proficiency</w:t>
      </w:r>
    </w:p>
    <w:p w14:paraId="1D67A57D" w14:textId="77777777" w:rsidR="0000407C" w:rsidRDefault="007E369D">
      <w:pPr>
        <w:spacing w:after="0" w:line="276" w:lineRule="auto"/>
      </w:pPr>
      <w:r>
        <w:rPr>
          <w:b/>
        </w:rPr>
        <w:t>3S Series</w:t>
      </w:r>
      <w:r>
        <w:t>: Postsecondary Placement of Secondary Students</w:t>
      </w:r>
    </w:p>
    <w:p w14:paraId="2C4475FE" w14:textId="77777777" w:rsidR="0000407C" w:rsidRDefault="007E369D">
      <w:pPr>
        <w:spacing w:after="0" w:line="276" w:lineRule="auto"/>
      </w:pPr>
      <w:r>
        <w:rPr>
          <w:b/>
        </w:rPr>
        <w:t>4S Series</w:t>
      </w:r>
      <w:r>
        <w:t>: Nontraditional (by gender) Program Enrollment of Secondary Students</w:t>
      </w:r>
    </w:p>
    <w:p w14:paraId="596F52FC" w14:textId="77777777" w:rsidR="0000407C" w:rsidRDefault="007E369D">
      <w:pPr>
        <w:spacing w:after="0" w:line="276" w:lineRule="auto"/>
      </w:pPr>
      <w:r>
        <w:rPr>
          <w:b/>
        </w:rPr>
        <w:t>5S Series</w:t>
      </w:r>
      <w:r>
        <w:t xml:space="preserve">: Secondary Program Quality </w:t>
      </w:r>
    </w:p>
    <w:p w14:paraId="1ECF72DA" w14:textId="77777777" w:rsidR="0000407C" w:rsidRDefault="007E369D">
      <w:pPr>
        <w:spacing w:after="0" w:line="276" w:lineRule="auto"/>
      </w:pPr>
      <w:r>
        <w:rPr>
          <w:b/>
        </w:rPr>
        <w:t>1P Series</w:t>
      </w:r>
      <w:r>
        <w:t>: Postsecondary Retention and Placement of Postsecondary Students</w:t>
      </w:r>
    </w:p>
    <w:p w14:paraId="1775DEDA" w14:textId="77777777" w:rsidR="0000407C" w:rsidRDefault="007E369D">
      <w:pPr>
        <w:spacing w:after="0" w:line="276" w:lineRule="auto"/>
      </w:pPr>
      <w:r>
        <w:rPr>
          <w:b/>
        </w:rPr>
        <w:t>2P Series</w:t>
      </w:r>
      <w:r>
        <w:t>: Postsecondary Industry Recognized Credentialing of Postsecondary Students</w:t>
      </w:r>
    </w:p>
    <w:p w14:paraId="1FF319E1" w14:textId="77777777" w:rsidR="0000407C" w:rsidRDefault="007E369D">
      <w:r>
        <w:rPr>
          <w:b/>
        </w:rPr>
        <w:t>3P Series</w:t>
      </w:r>
      <w:r>
        <w:t xml:space="preserve">: Nontraditional (by gender) Program Enrollment of Postsecondary Students </w:t>
      </w:r>
    </w:p>
    <w:p w14:paraId="4C34878E" w14:textId="77777777" w:rsidR="0000407C" w:rsidRDefault="007E369D">
      <w:pPr>
        <w:keepNext/>
        <w:spacing w:after="200" w:line="240" w:lineRule="auto"/>
        <w:rPr>
          <w:i/>
          <w:color w:val="44546A"/>
          <w:sz w:val="18"/>
          <w:szCs w:val="18"/>
        </w:rPr>
      </w:pPr>
      <w:r>
        <w:rPr>
          <w:i/>
          <w:color w:val="44546A"/>
          <w:sz w:val="18"/>
          <w:szCs w:val="18"/>
        </w:rPr>
        <w:t>Table 1 Proposed Perkins Performance Targets, Secondary</w:t>
      </w:r>
    </w:p>
    <w:tbl>
      <w:tblPr>
        <w:tblStyle w:val="24"/>
        <w:tblW w:w="10068" w:type="dxa"/>
        <w:tblInd w:w="6" w:type="dxa"/>
        <w:tblLayout w:type="fixed"/>
        <w:tblLook w:val="0420" w:firstRow="1" w:lastRow="0" w:firstColumn="0" w:lastColumn="0" w:noHBand="0" w:noVBand="1"/>
      </w:tblPr>
      <w:tblGrid>
        <w:gridCol w:w="3769"/>
        <w:gridCol w:w="1080"/>
        <w:gridCol w:w="1142"/>
        <w:gridCol w:w="1359"/>
        <w:gridCol w:w="1359"/>
        <w:gridCol w:w="1359"/>
      </w:tblGrid>
      <w:tr w:rsidR="0000407C" w14:paraId="744FDD61" w14:textId="77777777" w:rsidTr="00461043">
        <w:trPr>
          <w:cantSplit/>
          <w:trHeight w:val="540"/>
          <w:tblHeader/>
        </w:trPr>
        <w:tc>
          <w:tcPr>
            <w:tcW w:w="3769" w:type="dxa"/>
            <w:tcBorders>
              <w:top w:val="single" w:sz="4" w:space="0" w:color="000000"/>
              <w:left w:val="single" w:sz="4" w:space="0" w:color="000000"/>
              <w:bottom w:val="single" w:sz="6" w:space="0" w:color="929497"/>
              <w:right w:val="nil"/>
            </w:tcBorders>
            <w:shd w:val="clear" w:color="auto" w:fill="2E75B5"/>
            <w:vAlign w:val="center"/>
          </w:tcPr>
          <w:p w14:paraId="164142FB" w14:textId="77777777" w:rsidR="0000407C" w:rsidRDefault="007E369D">
            <w:pPr>
              <w:ind w:left="101"/>
              <w:rPr>
                <w:b/>
                <w:color w:val="FFFFFF"/>
              </w:rPr>
            </w:pPr>
            <w:r>
              <w:rPr>
                <w:b/>
                <w:color w:val="FFFFFF"/>
              </w:rPr>
              <w:t>Secondary Indicator</w:t>
            </w:r>
          </w:p>
        </w:tc>
        <w:tc>
          <w:tcPr>
            <w:tcW w:w="1080" w:type="dxa"/>
            <w:tcBorders>
              <w:top w:val="single" w:sz="4" w:space="0" w:color="000000"/>
              <w:left w:val="nil"/>
              <w:bottom w:val="single" w:sz="6" w:space="0" w:color="929497"/>
              <w:right w:val="nil"/>
            </w:tcBorders>
            <w:shd w:val="clear" w:color="auto" w:fill="2E75B5"/>
          </w:tcPr>
          <w:p w14:paraId="60B35C57" w14:textId="77777777" w:rsidR="0000407C" w:rsidRDefault="007E369D">
            <w:pPr>
              <w:jc w:val="center"/>
              <w:rPr>
                <w:b/>
                <w:color w:val="FFFFFF"/>
              </w:rPr>
            </w:pPr>
            <w:r>
              <w:rPr>
                <w:b/>
                <w:color w:val="FFFFFF"/>
              </w:rPr>
              <w:t>Baseline Level</w:t>
            </w:r>
          </w:p>
        </w:tc>
        <w:tc>
          <w:tcPr>
            <w:tcW w:w="1142" w:type="dxa"/>
            <w:tcBorders>
              <w:top w:val="single" w:sz="5" w:space="0" w:color="5B9BD5"/>
              <w:left w:val="nil"/>
              <w:bottom w:val="nil"/>
              <w:right w:val="nil"/>
            </w:tcBorders>
            <w:shd w:val="clear" w:color="auto" w:fill="203764"/>
            <w:tcMar>
              <w:top w:w="100" w:type="dxa"/>
              <w:left w:w="100" w:type="dxa"/>
              <w:bottom w:w="100" w:type="dxa"/>
              <w:right w:w="100" w:type="dxa"/>
            </w:tcMar>
          </w:tcPr>
          <w:p w14:paraId="5BEA688B" w14:textId="77777777" w:rsidR="0000407C" w:rsidRDefault="007E369D">
            <w:pPr>
              <w:ind w:left="101"/>
              <w:jc w:val="center"/>
              <w:rPr>
                <w:b/>
                <w:color w:val="FFFFFF"/>
              </w:rPr>
            </w:pPr>
            <w:r>
              <w:rPr>
                <w:b/>
                <w:color w:val="FFFFFF"/>
              </w:rPr>
              <w:t>2024-25 Targets</w:t>
            </w:r>
          </w:p>
        </w:tc>
        <w:tc>
          <w:tcPr>
            <w:tcW w:w="1359" w:type="dxa"/>
            <w:tcBorders>
              <w:top w:val="single" w:sz="5" w:space="0" w:color="5B9BD5"/>
              <w:left w:val="nil"/>
              <w:bottom w:val="nil"/>
              <w:right w:val="nil"/>
            </w:tcBorders>
            <w:shd w:val="clear" w:color="auto" w:fill="203764"/>
            <w:tcMar>
              <w:top w:w="100" w:type="dxa"/>
              <w:left w:w="100" w:type="dxa"/>
              <w:bottom w:w="100" w:type="dxa"/>
              <w:right w:w="100" w:type="dxa"/>
            </w:tcMar>
          </w:tcPr>
          <w:p w14:paraId="4AB98EC3" w14:textId="77777777" w:rsidR="0000407C" w:rsidRDefault="007E369D">
            <w:pPr>
              <w:ind w:left="101"/>
              <w:jc w:val="center"/>
              <w:rPr>
                <w:b/>
                <w:color w:val="FFFFFF"/>
              </w:rPr>
            </w:pPr>
            <w:r>
              <w:rPr>
                <w:b/>
                <w:color w:val="FFFFFF"/>
              </w:rPr>
              <w:t>2025-26 Targets</w:t>
            </w:r>
          </w:p>
        </w:tc>
        <w:tc>
          <w:tcPr>
            <w:tcW w:w="1359" w:type="dxa"/>
            <w:tcBorders>
              <w:top w:val="single" w:sz="4" w:space="0" w:color="000000"/>
              <w:left w:val="nil"/>
              <w:bottom w:val="single" w:sz="6" w:space="0" w:color="929497"/>
              <w:right w:val="nil"/>
            </w:tcBorders>
            <w:shd w:val="clear" w:color="auto" w:fill="2E75B5"/>
            <w:vAlign w:val="center"/>
          </w:tcPr>
          <w:p w14:paraId="4BA6A8C1" w14:textId="77777777" w:rsidR="0000407C" w:rsidRDefault="007E369D">
            <w:pPr>
              <w:ind w:left="101"/>
              <w:jc w:val="center"/>
              <w:rPr>
                <w:b/>
                <w:color w:val="FFFFFF"/>
              </w:rPr>
            </w:pPr>
            <w:r>
              <w:rPr>
                <w:b/>
                <w:color w:val="FFFFFF"/>
              </w:rPr>
              <w:t>2026-27 Targets</w:t>
            </w:r>
          </w:p>
        </w:tc>
        <w:tc>
          <w:tcPr>
            <w:tcW w:w="1359" w:type="dxa"/>
            <w:tcBorders>
              <w:top w:val="single" w:sz="4" w:space="0" w:color="000000"/>
              <w:left w:val="nil"/>
              <w:bottom w:val="single" w:sz="6" w:space="0" w:color="929497"/>
              <w:right w:val="single" w:sz="4" w:space="0" w:color="000000"/>
            </w:tcBorders>
            <w:shd w:val="clear" w:color="auto" w:fill="2E75B5"/>
            <w:vAlign w:val="center"/>
          </w:tcPr>
          <w:p w14:paraId="53A4CCC1" w14:textId="77777777" w:rsidR="0000407C" w:rsidRDefault="007E369D">
            <w:pPr>
              <w:ind w:left="101"/>
              <w:jc w:val="center"/>
              <w:rPr>
                <w:b/>
                <w:color w:val="FFFFFF"/>
              </w:rPr>
            </w:pPr>
            <w:r>
              <w:rPr>
                <w:b/>
                <w:color w:val="FFFFFF"/>
              </w:rPr>
              <w:t>2027-28 Targets</w:t>
            </w:r>
          </w:p>
        </w:tc>
      </w:tr>
      <w:tr w:rsidR="0000407C" w14:paraId="7EE21104" w14:textId="77777777" w:rsidTr="00461043">
        <w:trPr>
          <w:cantSplit/>
          <w:trHeight w:val="288"/>
        </w:trPr>
        <w:tc>
          <w:tcPr>
            <w:tcW w:w="3769" w:type="dxa"/>
            <w:tcBorders>
              <w:top w:val="single" w:sz="6" w:space="0" w:color="929497"/>
              <w:left w:val="single" w:sz="4" w:space="0" w:color="000000"/>
              <w:bottom w:val="single" w:sz="6" w:space="0" w:color="929497"/>
              <w:right w:val="single" w:sz="5" w:space="0" w:color="929497"/>
            </w:tcBorders>
            <w:vAlign w:val="bottom"/>
          </w:tcPr>
          <w:p w14:paraId="36ECC734" w14:textId="77777777" w:rsidR="0000407C" w:rsidRDefault="007E369D">
            <w:pPr>
              <w:ind w:left="3"/>
              <w:rPr>
                <w:sz w:val="20"/>
                <w:szCs w:val="20"/>
              </w:rPr>
            </w:pPr>
            <w:r>
              <w:rPr>
                <w:sz w:val="20"/>
                <w:szCs w:val="20"/>
              </w:rPr>
              <w:t>1S1: Four-Year Graduation Rate</w:t>
            </w:r>
          </w:p>
        </w:tc>
        <w:tc>
          <w:tcPr>
            <w:tcW w:w="1080" w:type="dxa"/>
            <w:tcBorders>
              <w:top w:val="single" w:sz="5" w:space="0" w:color="5B9BD5"/>
              <w:left w:val="nil"/>
              <w:bottom w:val="nil"/>
              <w:right w:val="nil"/>
            </w:tcBorders>
            <w:tcMar>
              <w:top w:w="100" w:type="dxa"/>
              <w:left w:w="100" w:type="dxa"/>
              <w:bottom w:w="100" w:type="dxa"/>
              <w:right w:w="100" w:type="dxa"/>
            </w:tcMar>
          </w:tcPr>
          <w:p w14:paraId="34A2DE33" w14:textId="77777777" w:rsidR="0000407C" w:rsidRDefault="007E369D">
            <w:pPr>
              <w:ind w:left="3"/>
              <w:jc w:val="center"/>
              <w:rPr>
                <w:sz w:val="20"/>
                <w:szCs w:val="20"/>
              </w:rPr>
            </w:pPr>
            <w:r>
              <w:t>&gt;95%</w:t>
            </w:r>
          </w:p>
        </w:tc>
        <w:tc>
          <w:tcPr>
            <w:tcW w:w="1142" w:type="dxa"/>
            <w:tcBorders>
              <w:top w:val="single" w:sz="5" w:space="0" w:color="5B9BD5"/>
              <w:left w:val="nil"/>
              <w:bottom w:val="nil"/>
              <w:right w:val="nil"/>
            </w:tcBorders>
            <w:tcMar>
              <w:top w:w="100" w:type="dxa"/>
              <w:left w:w="100" w:type="dxa"/>
              <w:bottom w:w="100" w:type="dxa"/>
              <w:right w:w="100" w:type="dxa"/>
            </w:tcMar>
          </w:tcPr>
          <w:p w14:paraId="673308DE" w14:textId="77777777" w:rsidR="0000407C" w:rsidRDefault="007E369D">
            <w:pPr>
              <w:ind w:left="3"/>
              <w:jc w:val="center"/>
              <w:rPr>
                <w:sz w:val="20"/>
                <w:szCs w:val="20"/>
              </w:rPr>
            </w:pPr>
            <w:r>
              <w:t>93.25%</w:t>
            </w:r>
          </w:p>
        </w:tc>
        <w:tc>
          <w:tcPr>
            <w:tcW w:w="1359" w:type="dxa"/>
            <w:tcBorders>
              <w:top w:val="single" w:sz="5" w:space="0" w:color="5B9BD5"/>
              <w:left w:val="nil"/>
              <w:bottom w:val="nil"/>
              <w:right w:val="nil"/>
            </w:tcBorders>
            <w:tcMar>
              <w:top w:w="100" w:type="dxa"/>
              <w:left w:w="100" w:type="dxa"/>
              <w:bottom w:w="100" w:type="dxa"/>
              <w:right w:w="100" w:type="dxa"/>
            </w:tcMar>
          </w:tcPr>
          <w:p w14:paraId="2BE80B49" w14:textId="77777777" w:rsidR="0000407C" w:rsidRDefault="007E369D">
            <w:pPr>
              <w:ind w:left="3"/>
              <w:jc w:val="center"/>
              <w:rPr>
                <w:sz w:val="20"/>
                <w:szCs w:val="20"/>
              </w:rPr>
            </w:pPr>
            <w:r>
              <w:t>93.50%</w:t>
            </w:r>
          </w:p>
        </w:tc>
        <w:tc>
          <w:tcPr>
            <w:tcW w:w="1359" w:type="dxa"/>
            <w:tcBorders>
              <w:top w:val="single" w:sz="5" w:space="0" w:color="5B9BD5"/>
              <w:left w:val="nil"/>
              <w:bottom w:val="nil"/>
              <w:right w:val="nil"/>
            </w:tcBorders>
            <w:tcMar>
              <w:top w:w="100" w:type="dxa"/>
              <w:left w:w="100" w:type="dxa"/>
              <w:bottom w:w="100" w:type="dxa"/>
              <w:right w:w="100" w:type="dxa"/>
            </w:tcMar>
          </w:tcPr>
          <w:p w14:paraId="0005B2CF" w14:textId="77777777" w:rsidR="0000407C" w:rsidRDefault="007E369D">
            <w:pPr>
              <w:ind w:left="3"/>
              <w:jc w:val="center"/>
              <w:rPr>
                <w:sz w:val="20"/>
                <w:szCs w:val="20"/>
              </w:rPr>
            </w:pPr>
            <w:r>
              <w:t>93.75%</w:t>
            </w:r>
          </w:p>
        </w:tc>
        <w:tc>
          <w:tcPr>
            <w:tcW w:w="1359" w:type="dxa"/>
            <w:tcBorders>
              <w:top w:val="single" w:sz="5" w:space="0" w:color="5B9BD5"/>
              <w:left w:val="nil"/>
              <w:bottom w:val="nil"/>
              <w:right w:val="single" w:sz="5" w:space="0" w:color="5B9BD5"/>
            </w:tcBorders>
            <w:tcMar>
              <w:top w:w="100" w:type="dxa"/>
              <w:left w:w="100" w:type="dxa"/>
              <w:bottom w:w="100" w:type="dxa"/>
              <w:right w:w="100" w:type="dxa"/>
            </w:tcMar>
          </w:tcPr>
          <w:p w14:paraId="75A96705" w14:textId="77777777" w:rsidR="0000407C" w:rsidRDefault="007E369D">
            <w:pPr>
              <w:ind w:left="3"/>
              <w:jc w:val="center"/>
              <w:rPr>
                <w:sz w:val="20"/>
                <w:szCs w:val="20"/>
              </w:rPr>
            </w:pPr>
            <w:r>
              <w:t>94.00%</w:t>
            </w:r>
          </w:p>
        </w:tc>
      </w:tr>
      <w:tr w:rsidR="0000407C" w14:paraId="547EBB22" w14:textId="77777777" w:rsidTr="00461043">
        <w:trPr>
          <w:cantSplit/>
          <w:trHeight w:val="288"/>
        </w:trPr>
        <w:tc>
          <w:tcPr>
            <w:tcW w:w="3769" w:type="dxa"/>
            <w:tcBorders>
              <w:top w:val="single" w:sz="6" w:space="0" w:color="929497"/>
              <w:left w:val="single" w:sz="4" w:space="0" w:color="000000"/>
              <w:bottom w:val="single" w:sz="6" w:space="0" w:color="929497"/>
              <w:right w:val="single" w:sz="5" w:space="0" w:color="929497"/>
            </w:tcBorders>
            <w:vAlign w:val="bottom"/>
          </w:tcPr>
          <w:p w14:paraId="41B3CB4D" w14:textId="77777777" w:rsidR="0000407C" w:rsidRDefault="007E369D">
            <w:pPr>
              <w:ind w:left="3"/>
              <w:rPr>
                <w:sz w:val="20"/>
                <w:szCs w:val="20"/>
              </w:rPr>
            </w:pPr>
            <w:r>
              <w:rPr>
                <w:sz w:val="20"/>
                <w:szCs w:val="20"/>
              </w:rPr>
              <w:t>1S2: Extended Graduation Rate</w:t>
            </w:r>
          </w:p>
        </w:tc>
        <w:tc>
          <w:tcPr>
            <w:tcW w:w="1080" w:type="dxa"/>
            <w:tcBorders>
              <w:top w:val="single" w:sz="5" w:space="0" w:color="5B9BD5"/>
              <w:left w:val="nil"/>
              <w:bottom w:val="nil"/>
              <w:right w:val="nil"/>
            </w:tcBorders>
            <w:tcMar>
              <w:top w:w="100" w:type="dxa"/>
              <w:left w:w="100" w:type="dxa"/>
              <w:bottom w:w="100" w:type="dxa"/>
              <w:right w:w="100" w:type="dxa"/>
            </w:tcMar>
          </w:tcPr>
          <w:p w14:paraId="298B24C3" w14:textId="77777777" w:rsidR="0000407C" w:rsidRDefault="007E369D">
            <w:pPr>
              <w:ind w:left="3"/>
              <w:jc w:val="center"/>
              <w:rPr>
                <w:sz w:val="20"/>
                <w:szCs w:val="20"/>
              </w:rPr>
            </w:pPr>
            <w:r>
              <w:t>&gt;95%</w:t>
            </w:r>
          </w:p>
        </w:tc>
        <w:tc>
          <w:tcPr>
            <w:tcW w:w="1142" w:type="dxa"/>
            <w:tcBorders>
              <w:top w:val="single" w:sz="5" w:space="0" w:color="5B9BD5"/>
              <w:left w:val="nil"/>
              <w:bottom w:val="nil"/>
              <w:right w:val="nil"/>
            </w:tcBorders>
            <w:tcMar>
              <w:top w:w="100" w:type="dxa"/>
              <w:left w:w="100" w:type="dxa"/>
              <w:bottom w:w="100" w:type="dxa"/>
              <w:right w:w="100" w:type="dxa"/>
            </w:tcMar>
          </w:tcPr>
          <w:p w14:paraId="5A0E13DF" w14:textId="77777777" w:rsidR="0000407C" w:rsidRDefault="007E369D">
            <w:pPr>
              <w:ind w:left="3"/>
              <w:jc w:val="center"/>
              <w:rPr>
                <w:sz w:val="20"/>
                <w:szCs w:val="20"/>
              </w:rPr>
            </w:pPr>
            <w:r>
              <w:t>93.50%</w:t>
            </w:r>
          </w:p>
        </w:tc>
        <w:tc>
          <w:tcPr>
            <w:tcW w:w="1359" w:type="dxa"/>
            <w:tcBorders>
              <w:top w:val="single" w:sz="5" w:space="0" w:color="5B9BD5"/>
              <w:left w:val="nil"/>
              <w:bottom w:val="nil"/>
              <w:right w:val="nil"/>
            </w:tcBorders>
            <w:tcMar>
              <w:top w:w="100" w:type="dxa"/>
              <w:left w:w="100" w:type="dxa"/>
              <w:bottom w:w="100" w:type="dxa"/>
              <w:right w:w="100" w:type="dxa"/>
            </w:tcMar>
          </w:tcPr>
          <w:p w14:paraId="691D3357" w14:textId="77777777" w:rsidR="0000407C" w:rsidRDefault="007E369D">
            <w:pPr>
              <w:ind w:left="3"/>
              <w:jc w:val="center"/>
              <w:rPr>
                <w:sz w:val="20"/>
                <w:szCs w:val="20"/>
              </w:rPr>
            </w:pPr>
            <w:r>
              <w:t>93.75%</w:t>
            </w:r>
          </w:p>
        </w:tc>
        <w:tc>
          <w:tcPr>
            <w:tcW w:w="1359" w:type="dxa"/>
            <w:tcBorders>
              <w:top w:val="single" w:sz="5" w:space="0" w:color="5B9BD5"/>
              <w:left w:val="nil"/>
              <w:bottom w:val="nil"/>
              <w:right w:val="nil"/>
            </w:tcBorders>
            <w:tcMar>
              <w:top w:w="100" w:type="dxa"/>
              <w:left w:w="100" w:type="dxa"/>
              <w:bottom w:w="100" w:type="dxa"/>
              <w:right w:w="100" w:type="dxa"/>
            </w:tcMar>
          </w:tcPr>
          <w:p w14:paraId="20478EF0" w14:textId="77777777" w:rsidR="0000407C" w:rsidRDefault="007E369D">
            <w:pPr>
              <w:ind w:left="3"/>
              <w:jc w:val="center"/>
              <w:rPr>
                <w:sz w:val="20"/>
                <w:szCs w:val="20"/>
              </w:rPr>
            </w:pPr>
            <w:r>
              <w:t>94.00%</w:t>
            </w:r>
          </w:p>
        </w:tc>
        <w:tc>
          <w:tcPr>
            <w:tcW w:w="1359" w:type="dxa"/>
            <w:tcBorders>
              <w:top w:val="single" w:sz="5" w:space="0" w:color="5B9BD5"/>
              <w:left w:val="nil"/>
              <w:bottom w:val="nil"/>
              <w:right w:val="single" w:sz="5" w:space="0" w:color="5B9BD5"/>
            </w:tcBorders>
            <w:tcMar>
              <w:top w:w="100" w:type="dxa"/>
              <w:left w:w="100" w:type="dxa"/>
              <w:bottom w:w="100" w:type="dxa"/>
              <w:right w:w="100" w:type="dxa"/>
            </w:tcMar>
          </w:tcPr>
          <w:p w14:paraId="74434A1A" w14:textId="77777777" w:rsidR="0000407C" w:rsidRDefault="007E369D">
            <w:pPr>
              <w:ind w:left="3"/>
              <w:jc w:val="center"/>
              <w:rPr>
                <w:sz w:val="20"/>
                <w:szCs w:val="20"/>
              </w:rPr>
            </w:pPr>
            <w:r>
              <w:t>94.25%</w:t>
            </w:r>
          </w:p>
        </w:tc>
      </w:tr>
      <w:tr w:rsidR="0000407C" w14:paraId="28567B96" w14:textId="77777777" w:rsidTr="00461043">
        <w:trPr>
          <w:cantSplit/>
          <w:trHeight w:val="432"/>
        </w:trPr>
        <w:tc>
          <w:tcPr>
            <w:tcW w:w="3769" w:type="dxa"/>
            <w:tcBorders>
              <w:top w:val="single" w:sz="6" w:space="0" w:color="929497"/>
              <w:left w:val="single" w:sz="4" w:space="0" w:color="000000"/>
              <w:bottom w:val="single" w:sz="6" w:space="0" w:color="929497"/>
              <w:right w:val="single" w:sz="5" w:space="0" w:color="929497"/>
            </w:tcBorders>
            <w:vAlign w:val="bottom"/>
          </w:tcPr>
          <w:p w14:paraId="1CDDF294" w14:textId="77777777" w:rsidR="0000407C" w:rsidRDefault="007E369D">
            <w:pPr>
              <w:ind w:left="3"/>
              <w:rPr>
                <w:sz w:val="20"/>
                <w:szCs w:val="20"/>
              </w:rPr>
            </w:pPr>
            <w:r>
              <w:rPr>
                <w:sz w:val="20"/>
                <w:szCs w:val="20"/>
              </w:rPr>
              <w:t xml:space="preserve">2S1: Academic Proficiency in </w:t>
            </w:r>
          </w:p>
          <w:p w14:paraId="09AFC879" w14:textId="77777777" w:rsidR="0000407C" w:rsidRDefault="007E369D">
            <w:pPr>
              <w:ind w:left="3"/>
              <w:rPr>
                <w:sz w:val="20"/>
                <w:szCs w:val="20"/>
              </w:rPr>
            </w:pPr>
            <w:r>
              <w:rPr>
                <w:sz w:val="20"/>
                <w:szCs w:val="20"/>
              </w:rPr>
              <w:t xml:space="preserve">Reading Language Arts </w:t>
            </w:r>
          </w:p>
        </w:tc>
        <w:tc>
          <w:tcPr>
            <w:tcW w:w="1080" w:type="dxa"/>
            <w:tcBorders>
              <w:top w:val="single" w:sz="5" w:space="0" w:color="5B9BD5"/>
              <w:left w:val="nil"/>
              <w:bottom w:val="nil"/>
              <w:right w:val="nil"/>
            </w:tcBorders>
            <w:tcMar>
              <w:top w:w="100" w:type="dxa"/>
              <w:left w:w="100" w:type="dxa"/>
              <w:bottom w:w="100" w:type="dxa"/>
              <w:right w:w="100" w:type="dxa"/>
            </w:tcMar>
          </w:tcPr>
          <w:p w14:paraId="37AA7FFB" w14:textId="77777777" w:rsidR="0000407C" w:rsidRDefault="007E369D">
            <w:pPr>
              <w:ind w:left="3"/>
              <w:jc w:val="center"/>
              <w:rPr>
                <w:sz w:val="20"/>
                <w:szCs w:val="20"/>
              </w:rPr>
            </w:pPr>
            <w:r>
              <w:t>59.87%</w:t>
            </w:r>
          </w:p>
        </w:tc>
        <w:tc>
          <w:tcPr>
            <w:tcW w:w="1142" w:type="dxa"/>
            <w:tcBorders>
              <w:top w:val="single" w:sz="5" w:space="0" w:color="5B9BD5"/>
              <w:left w:val="nil"/>
              <w:bottom w:val="nil"/>
              <w:right w:val="nil"/>
            </w:tcBorders>
            <w:tcMar>
              <w:top w:w="100" w:type="dxa"/>
              <w:left w:w="100" w:type="dxa"/>
              <w:bottom w:w="100" w:type="dxa"/>
              <w:right w:w="100" w:type="dxa"/>
            </w:tcMar>
          </w:tcPr>
          <w:p w14:paraId="22FC989A" w14:textId="77777777" w:rsidR="0000407C" w:rsidRDefault="007E369D">
            <w:pPr>
              <w:ind w:left="3"/>
              <w:jc w:val="center"/>
              <w:rPr>
                <w:sz w:val="20"/>
                <w:szCs w:val="20"/>
              </w:rPr>
            </w:pPr>
            <w:r>
              <w:t>51.45%</w:t>
            </w:r>
          </w:p>
        </w:tc>
        <w:tc>
          <w:tcPr>
            <w:tcW w:w="1359" w:type="dxa"/>
            <w:tcBorders>
              <w:top w:val="single" w:sz="5" w:space="0" w:color="5B9BD5"/>
              <w:left w:val="nil"/>
              <w:bottom w:val="nil"/>
              <w:right w:val="nil"/>
            </w:tcBorders>
            <w:tcMar>
              <w:top w:w="100" w:type="dxa"/>
              <w:left w:w="100" w:type="dxa"/>
              <w:bottom w:w="100" w:type="dxa"/>
              <w:right w:w="100" w:type="dxa"/>
            </w:tcMar>
          </w:tcPr>
          <w:p w14:paraId="4F770C4F" w14:textId="77777777" w:rsidR="0000407C" w:rsidRDefault="007E369D">
            <w:pPr>
              <w:ind w:left="3"/>
              <w:jc w:val="center"/>
              <w:rPr>
                <w:sz w:val="20"/>
                <w:szCs w:val="20"/>
              </w:rPr>
            </w:pPr>
            <w:r>
              <w:t>51.90%</w:t>
            </w:r>
          </w:p>
        </w:tc>
        <w:tc>
          <w:tcPr>
            <w:tcW w:w="1359" w:type="dxa"/>
            <w:tcBorders>
              <w:top w:val="single" w:sz="5" w:space="0" w:color="5B9BD5"/>
              <w:left w:val="nil"/>
              <w:bottom w:val="nil"/>
              <w:right w:val="nil"/>
            </w:tcBorders>
            <w:tcMar>
              <w:top w:w="100" w:type="dxa"/>
              <w:left w:w="100" w:type="dxa"/>
              <w:bottom w:w="100" w:type="dxa"/>
              <w:right w:w="100" w:type="dxa"/>
            </w:tcMar>
          </w:tcPr>
          <w:p w14:paraId="25200DAA" w14:textId="77777777" w:rsidR="0000407C" w:rsidRDefault="007E369D">
            <w:pPr>
              <w:ind w:left="3"/>
              <w:jc w:val="center"/>
              <w:rPr>
                <w:sz w:val="20"/>
                <w:szCs w:val="20"/>
              </w:rPr>
            </w:pPr>
            <w:r>
              <w:t>52.30%</w:t>
            </w:r>
          </w:p>
        </w:tc>
        <w:tc>
          <w:tcPr>
            <w:tcW w:w="1359" w:type="dxa"/>
            <w:tcBorders>
              <w:top w:val="single" w:sz="5" w:space="0" w:color="5B9BD5"/>
              <w:left w:val="nil"/>
              <w:bottom w:val="nil"/>
              <w:right w:val="single" w:sz="5" w:space="0" w:color="5B9BD5"/>
            </w:tcBorders>
            <w:tcMar>
              <w:top w:w="100" w:type="dxa"/>
              <w:left w:w="100" w:type="dxa"/>
              <w:bottom w:w="100" w:type="dxa"/>
              <w:right w:w="100" w:type="dxa"/>
            </w:tcMar>
          </w:tcPr>
          <w:p w14:paraId="59B8F9DD" w14:textId="77777777" w:rsidR="0000407C" w:rsidRDefault="007E369D">
            <w:pPr>
              <w:ind w:left="3"/>
              <w:jc w:val="center"/>
              <w:rPr>
                <w:sz w:val="20"/>
                <w:szCs w:val="20"/>
              </w:rPr>
            </w:pPr>
            <w:r>
              <w:t>52.70%</w:t>
            </w:r>
          </w:p>
        </w:tc>
      </w:tr>
      <w:tr w:rsidR="0000407C" w14:paraId="1ED1AF65" w14:textId="77777777" w:rsidTr="00461043">
        <w:trPr>
          <w:cantSplit/>
          <w:trHeight w:val="432"/>
        </w:trPr>
        <w:tc>
          <w:tcPr>
            <w:tcW w:w="3769" w:type="dxa"/>
            <w:tcBorders>
              <w:top w:val="single" w:sz="6" w:space="0" w:color="929497"/>
              <w:left w:val="single" w:sz="4" w:space="0" w:color="000000"/>
              <w:bottom w:val="single" w:sz="6" w:space="0" w:color="929497"/>
              <w:right w:val="single" w:sz="5" w:space="0" w:color="929497"/>
            </w:tcBorders>
            <w:vAlign w:val="bottom"/>
          </w:tcPr>
          <w:p w14:paraId="18CFFD57" w14:textId="77777777" w:rsidR="0000407C" w:rsidRDefault="007E369D">
            <w:pPr>
              <w:ind w:left="3" w:right="854"/>
              <w:rPr>
                <w:sz w:val="20"/>
                <w:szCs w:val="20"/>
              </w:rPr>
            </w:pPr>
            <w:r>
              <w:rPr>
                <w:sz w:val="20"/>
                <w:szCs w:val="20"/>
              </w:rPr>
              <w:t xml:space="preserve">2S2: Academic Proficiency in Mathematics </w:t>
            </w:r>
          </w:p>
        </w:tc>
        <w:tc>
          <w:tcPr>
            <w:tcW w:w="1080" w:type="dxa"/>
            <w:tcBorders>
              <w:top w:val="single" w:sz="5" w:space="0" w:color="5B9BD5"/>
              <w:left w:val="nil"/>
              <w:bottom w:val="nil"/>
              <w:right w:val="nil"/>
            </w:tcBorders>
            <w:tcMar>
              <w:top w:w="100" w:type="dxa"/>
              <w:left w:w="100" w:type="dxa"/>
              <w:bottom w:w="100" w:type="dxa"/>
              <w:right w:w="100" w:type="dxa"/>
            </w:tcMar>
          </w:tcPr>
          <w:p w14:paraId="7E36AFE5" w14:textId="77777777" w:rsidR="0000407C" w:rsidRDefault="007E369D">
            <w:pPr>
              <w:ind w:left="3"/>
              <w:jc w:val="center"/>
              <w:rPr>
                <w:sz w:val="20"/>
                <w:szCs w:val="20"/>
              </w:rPr>
            </w:pPr>
            <w:r>
              <w:t>26.75%</w:t>
            </w:r>
          </w:p>
        </w:tc>
        <w:tc>
          <w:tcPr>
            <w:tcW w:w="1142" w:type="dxa"/>
            <w:tcBorders>
              <w:top w:val="single" w:sz="5" w:space="0" w:color="5B9BD5"/>
              <w:left w:val="nil"/>
              <w:bottom w:val="nil"/>
              <w:right w:val="nil"/>
            </w:tcBorders>
            <w:tcMar>
              <w:top w:w="100" w:type="dxa"/>
              <w:left w:w="100" w:type="dxa"/>
              <w:bottom w:w="100" w:type="dxa"/>
              <w:right w:w="100" w:type="dxa"/>
            </w:tcMar>
          </w:tcPr>
          <w:p w14:paraId="1306D45D" w14:textId="77777777" w:rsidR="0000407C" w:rsidRDefault="007E369D">
            <w:pPr>
              <w:ind w:left="3"/>
              <w:jc w:val="center"/>
              <w:rPr>
                <w:sz w:val="20"/>
                <w:szCs w:val="20"/>
              </w:rPr>
            </w:pPr>
            <w:r>
              <w:t>19.80%</w:t>
            </w:r>
          </w:p>
        </w:tc>
        <w:tc>
          <w:tcPr>
            <w:tcW w:w="1359" w:type="dxa"/>
            <w:tcBorders>
              <w:top w:val="single" w:sz="5" w:space="0" w:color="5B9BD5"/>
              <w:left w:val="nil"/>
              <w:bottom w:val="nil"/>
              <w:right w:val="nil"/>
            </w:tcBorders>
            <w:tcMar>
              <w:top w:w="100" w:type="dxa"/>
              <w:left w:w="100" w:type="dxa"/>
              <w:bottom w:w="100" w:type="dxa"/>
              <w:right w:w="100" w:type="dxa"/>
            </w:tcMar>
          </w:tcPr>
          <w:p w14:paraId="080DA41E" w14:textId="77777777" w:rsidR="0000407C" w:rsidRDefault="007E369D">
            <w:pPr>
              <w:ind w:left="3"/>
              <w:jc w:val="center"/>
              <w:rPr>
                <w:sz w:val="20"/>
                <w:szCs w:val="20"/>
              </w:rPr>
            </w:pPr>
            <w:r>
              <w:t>20.00%</w:t>
            </w:r>
          </w:p>
        </w:tc>
        <w:tc>
          <w:tcPr>
            <w:tcW w:w="1359" w:type="dxa"/>
            <w:tcBorders>
              <w:top w:val="single" w:sz="5" w:space="0" w:color="5B9BD5"/>
              <w:left w:val="nil"/>
              <w:bottom w:val="nil"/>
              <w:right w:val="nil"/>
            </w:tcBorders>
            <w:tcMar>
              <w:top w:w="100" w:type="dxa"/>
              <w:left w:w="100" w:type="dxa"/>
              <w:bottom w:w="100" w:type="dxa"/>
              <w:right w:w="100" w:type="dxa"/>
            </w:tcMar>
          </w:tcPr>
          <w:p w14:paraId="0E5DCC72" w14:textId="77777777" w:rsidR="0000407C" w:rsidRDefault="007E369D">
            <w:pPr>
              <w:ind w:left="3"/>
              <w:jc w:val="center"/>
              <w:rPr>
                <w:sz w:val="20"/>
                <w:szCs w:val="20"/>
              </w:rPr>
            </w:pPr>
            <w:r>
              <w:t>20.20%</w:t>
            </w:r>
          </w:p>
        </w:tc>
        <w:tc>
          <w:tcPr>
            <w:tcW w:w="1359" w:type="dxa"/>
            <w:tcBorders>
              <w:top w:val="single" w:sz="5" w:space="0" w:color="5B9BD5"/>
              <w:left w:val="nil"/>
              <w:bottom w:val="nil"/>
              <w:right w:val="single" w:sz="5" w:space="0" w:color="5B9BD5"/>
            </w:tcBorders>
            <w:tcMar>
              <w:top w:w="100" w:type="dxa"/>
              <w:left w:w="100" w:type="dxa"/>
              <w:bottom w:w="100" w:type="dxa"/>
              <w:right w:w="100" w:type="dxa"/>
            </w:tcMar>
          </w:tcPr>
          <w:p w14:paraId="3F78F812" w14:textId="77777777" w:rsidR="0000407C" w:rsidRDefault="007E369D">
            <w:pPr>
              <w:ind w:left="3"/>
              <w:jc w:val="center"/>
              <w:rPr>
                <w:sz w:val="20"/>
                <w:szCs w:val="20"/>
              </w:rPr>
            </w:pPr>
            <w:r>
              <w:t>20.40%</w:t>
            </w:r>
          </w:p>
        </w:tc>
      </w:tr>
      <w:tr w:rsidR="0000407C" w14:paraId="665CE40F" w14:textId="77777777" w:rsidTr="00461043">
        <w:trPr>
          <w:cantSplit/>
          <w:trHeight w:val="288"/>
        </w:trPr>
        <w:tc>
          <w:tcPr>
            <w:tcW w:w="3769" w:type="dxa"/>
            <w:tcBorders>
              <w:top w:val="single" w:sz="6" w:space="0" w:color="929497"/>
              <w:left w:val="single" w:sz="4" w:space="0" w:color="000000"/>
              <w:bottom w:val="single" w:sz="6" w:space="0" w:color="929497"/>
              <w:right w:val="single" w:sz="5" w:space="0" w:color="929497"/>
            </w:tcBorders>
            <w:vAlign w:val="bottom"/>
          </w:tcPr>
          <w:p w14:paraId="6D427BE6" w14:textId="77777777" w:rsidR="0000407C" w:rsidRDefault="007E369D">
            <w:pPr>
              <w:ind w:left="3"/>
              <w:rPr>
                <w:sz w:val="20"/>
                <w:szCs w:val="20"/>
              </w:rPr>
            </w:pPr>
            <w:r>
              <w:rPr>
                <w:sz w:val="20"/>
                <w:szCs w:val="20"/>
              </w:rPr>
              <w:lastRenderedPageBreak/>
              <w:t xml:space="preserve">2S3: Academic Proficiency in Science </w:t>
            </w:r>
          </w:p>
        </w:tc>
        <w:tc>
          <w:tcPr>
            <w:tcW w:w="1080" w:type="dxa"/>
            <w:tcBorders>
              <w:top w:val="single" w:sz="5" w:space="0" w:color="5B9BD5"/>
              <w:left w:val="nil"/>
              <w:bottom w:val="nil"/>
              <w:right w:val="nil"/>
            </w:tcBorders>
            <w:tcMar>
              <w:top w:w="100" w:type="dxa"/>
              <w:left w:w="100" w:type="dxa"/>
              <w:bottom w:w="100" w:type="dxa"/>
              <w:right w:w="100" w:type="dxa"/>
            </w:tcMar>
          </w:tcPr>
          <w:p w14:paraId="2A9807F7" w14:textId="77777777" w:rsidR="0000407C" w:rsidRDefault="007E369D">
            <w:pPr>
              <w:ind w:left="3"/>
              <w:jc w:val="center"/>
              <w:rPr>
                <w:sz w:val="20"/>
                <w:szCs w:val="20"/>
              </w:rPr>
            </w:pPr>
            <w:r>
              <w:t>60.79%</w:t>
            </w:r>
          </w:p>
        </w:tc>
        <w:tc>
          <w:tcPr>
            <w:tcW w:w="1142" w:type="dxa"/>
            <w:tcBorders>
              <w:top w:val="single" w:sz="5" w:space="0" w:color="5B9BD5"/>
              <w:left w:val="nil"/>
              <w:bottom w:val="nil"/>
              <w:right w:val="nil"/>
            </w:tcBorders>
            <w:tcMar>
              <w:top w:w="100" w:type="dxa"/>
              <w:left w:w="100" w:type="dxa"/>
              <w:bottom w:w="100" w:type="dxa"/>
              <w:right w:w="100" w:type="dxa"/>
            </w:tcMar>
          </w:tcPr>
          <w:p w14:paraId="2576474E" w14:textId="77777777" w:rsidR="0000407C" w:rsidRDefault="007E369D">
            <w:pPr>
              <w:ind w:left="3"/>
              <w:jc w:val="center"/>
              <w:rPr>
                <w:sz w:val="20"/>
                <w:szCs w:val="20"/>
              </w:rPr>
            </w:pPr>
            <w:r>
              <w:t>54.65%</w:t>
            </w:r>
          </w:p>
        </w:tc>
        <w:tc>
          <w:tcPr>
            <w:tcW w:w="1359" w:type="dxa"/>
            <w:tcBorders>
              <w:top w:val="single" w:sz="5" w:space="0" w:color="5B9BD5"/>
              <w:left w:val="nil"/>
              <w:bottom w:val="nil"/>
              <w:right w:val="nil"/>
            </w:tcBorders>
            <w:tcMar>
              <w:top w:w="100" w:type="dxa"/>
              <w:left w:w="100" w:type="dxa"/>
              <w:bottom w:w="100" w:type="dxa"/>
              <w:right w:w="100" w:type="dxa"/>
            </w:tcMar>
          </w:tcPr>
          <w:p w14:paraId="459A3422" w14:textId="77777777" w:rsidR="0000407C" w:rsidRDefault="007E369D">
            <w:pPr>
              <w:ind w:left="3"/>
              <w:jc w:val="center"/>
              <w:rPr>
                <w:sz w:val="20"/>
                <w:szCs w:val="20"/>
              </w:rPr>
            </w:pPr>
            <w:r>
              <w:t>55.15%</w:t>
            </w:r>
          </w:p>
        </w:tc>
        <w:tc>
          <w:tcPr>
            <w:tcW w:w="1359" w:type="dxa"/>
            <w:tcBorders>
              <w:top w:val="single" w:sz="5" w:space="0" w:color="5B9BD5"/>
              <w:left w:val="nil"/>
              <w:bottom w:val="nil"/>
              <w:right w:val="nil"/>
            </w:tcBorders>
            <w:tcMar>
              <w:top w:w="100" w:type="dxa"/>
              <w:left w:w="100" w:type="dxa"/>
              <w:bottom w:w="100" w:type="dxa"/>
              <w:right w:w="100" w:type="dxa"/>
            </w:tcMar>
          </w:tcPr>
          <w:p w14:paraId="47CECA0D" w14:textId="77777777" w:rsidR="0000407C" w:rsidRDefault="007E369D">
            <w:pPr>
              <w:ind w:left="3"/>
              <w:jc w:val="center"/>
              <w:rPr>
                <w:sz w:val="20"/>
                <w:szCs w:val="20"/>
              </w:rPr>
            </w:pPr>
            <w:r>
              <w:t>55.65%</w:t>
            </w:r>
          </w:p>
        </w:tc>
        <w:tc>
          <w:tcPr>
            <w:tcW w:w="1359" w:type="dxa"/>
            <w:tcBorders>
              <w:top w:val="single" w:sz="5" w:space="0" w:color="5B9BD5"/>
              <w:left w:val="nil"/>
              <w:bottom w:val="nil"/>
              <w:right w:val="single" w:sz="5" w:space="0" w:color="5B9BD5"/>
            </w:tcBorders>
            <w:tcMar>
              <w:top w:w="100" w:type="dxa"/>
              <w:left w:w="100" w:type="dxa"/>
              <w:bottom w:w="100" w:type="dxa"/>
              <w:right w:w="100" w:type="dxa"/>
            </w:tcMar>
          </w:tcPr>
          <w:p w14:paraId="632A3C6C" w14:textId="77777777" w:rsidR="0000407C" w:rsidRDefault="007E369D">
            <w:pPr>
              <w:ind w:left="3"/>
              <w:jc w:val="center"/>
              <w:rPr>
                <w:sz w:val="20"/>
                <w:szCs w:val="20"/>
              </w:rPr>
            </w:pPr>
            <w:r>
              <w:t>56.15%</w:t>
            </w:r>
          </w:p>
        </w:tc>
      </w:tr>
      <w:tr w:rsidR="0000407C" w14:paraId="0C54077B" w14:textId="77777777" w:rsidTr="00461043">
        <w:trPr>
          <w:cantSplit/>
          <w:trHeight w:val="288"/>
        </w:trPr>
        <w:tc>
          <w:tcPr>
            <w:tcW w:w="3769" w:type="dxa"/>
            <w:tcBorders>
              <w:top w:val="single" w:sz="6" w:space="0" w:color="929497"/>
              <w:left w:val="single" w:sz="4" w:space="0" w:color="000000"/>
              <w:bottom w:val="single" w:sz="6" w:space="0" w:color="929497"/>
              <w:right w:val="single" w:sz="5" w:space="0" w:color="929497"/>
            </w:tcBorders>
            <w:vAlign w:val="bottom"/>
          </w:tcPr>
          <w:p w14:paraId="14A5F1B6" w14:textId="77777777" w:rsidR="0000407C" w:rsidRDefault="007E369D">
            <w:pPr>
              <w:ind w:left="3"/>
              <w:rPr>
                <w:sz w:val="20"/>
                <w:szCs w:val="20"/>
              </w:rPr>
            </w:pPr>
            <w:r>
              <w:rPr>
                <w:sz w:val="20"/>
                <w:szCs w:val="20"/>
              </w:rPr>
              <w:t xml:space="preserve">3S1: Postsecondary Placement </w:t>
            </w:r>
          </w:p>
        </w:tc>
        <w:tc>
          <w:tcPr>
            <w:tcW w:w="1080" w:type="dxa"/>
            <w:tcBorders>
              <w:top w:val="single" w:sz="5" w:space="0" w:color="5B9BD5"/>
              <w:left w:val="nil"/>
              <w:bottom w:val="nil"/>
              <w:right w:val="nil"/>
            </w:tcBorders>
            <w:tcMar>
              <w:top w:w="100" w:type="dxa"/>
              <w:left w:w="100" w:type="dxa"/>
              <w:bottom w:w="100" w:type="dxa"/>
              <w:right w:w="100" w:type="dxa"/>
            </w:tcMar>
          </w:tcPr>
          <w:p w14:paraId="3D3699ED" w14:textId="77777777" w:rsidR="0000407C" w:rsidRDefault="007E369D">
            <w:pPr>
              <w:ind w:left="3"/>
              <w:jc w:val="center"/>
              <w:rPr>
                <w:sz w:val="20"/>
                <w:szCs w:val="20"/>
              </w:rPr>
            </w:pPr>
            <w:r>
              <w:t>60.53%</w:t>
            </w:r>
          </w:p>
        </w:tc>
        <w:tc>
          <w:tcPr>
            <w:tcW w:w="1142" w:type="dxa"/>
            <w:tcBorders>
              <w:top w:val="single" w:sz="5" w:space="0" w:color="5B9BD5"/>
              <w:left w:val="nil"/>
              <w:bottom w:val="nil"/>
              <w:right w:val="nil"/>
            </w:tcBorders>
            <w:tcMar>
              <w:top w:w="100" w:type="dxa"/>
              <w:left w:w="100" w:type="dxa"/>
              <w:bottom w:w="100" w:type="dxa"/>
              <w:right w:w="100" w:type="dxa"/>
            </w:tcMar>
          </w:tcPr>
          <w:p w14:paraId="72BBE586" w14:textId="77777777" w:rsidR="0000407C" w:rsidRDefault="007E369D">
            <w:pPr>
              <w:ind w:left="3"/>
              <w:jc w:val="center"/>
              <w:rPr>
                <w:sz w:val="20"/>
                <w:szCs w:val="20"/>
              </w:rPr>
            </w:pPr>
            <w:r>
              <w:t>61.20%</w:t>
            </w:r>
          </w:p>
        </w:tc>
        <w:tc>
          <w:tcPr>
            <w:tcW w:w="1359" w:type="dxa"/>
            <w:tcBorders>
              <w:top w:val="single" w:sz="5" w:space="0" w:color="5B9BD5"/>
              <w:left w:val="nil"/>
              <w:bottom w:val="nil"/>
              <w:right w:val="nil"/>
            </w:tcBorders>
            <w:tcMar>
              <w:top w:w="100" w:type="dxa"/>
              <w:left w:w="100" w:type="dxa"/>
              <w:bottom w:w="100" w:type="dxa"/>
              <w:right w:w="100" w:type="dxa"/>
            </w:tcMar>
          </w:tcPr>
          <w:p w14:paraId="2D612A03" w14:textId="77777777" w:rsidR="0000407C" w:rsidRDefault="007E369D">
            <w:pPr>
              <w:ind w:left="3"/>
              <w:jc w:val="center"/>
              <w:rPr>
                <w:sz w:val="20"/>
                <w:szCs w:val="20"/>
              </w:rPr>
            </w:pPr>
            <w:r>
              <w:t>61.80%</w:t>
            </w:r>
          </w:p>
        </w:tc>
        <w:tc>
          <w:tcPr>
            <w:tcW w:w="1359" w:type="dxa"/>
            <w:tcBorders>
              <w:top w:val="single" w:sz="5" w:space="0" w:color="5B9BD5"/>
              <w:left w:val="nil"/>
              <w:bottom w:val="nil"/>
              <w:right w:val="nil"/>
            </w:tcBorders>
            <w:tcMar>
              <w:top w:w="100" w:type="dxa"/>
              <w:left w:w="100" w:type="dxa"/>
              <w:bottom w:w="100" w:type="dxa"/>
              <w:right w:w="100" w:type="dxa"/>
            </w:tcMar>
          </w:tcPr>
          <w:p w14:paraId="039570F6" w14:textId="77777777" w:rsidR="0000407C" w:rsidRDefault="007E369D">
            <w:pPr>
              <w:ind w:left="3"/>
              <w:jc w:val="center"/>
              <w:rPr>
                <w:sz w:val="20"/>
                <w:szCs w:val="20"/>
              </w:rPr>
            </w:pPr>
            <w:r>
              <w:t>62.30%</w:t>
            </w:r>
          </w:p>
        </w:tc>
        <w:tc>
          <w:tcPr>
            <w:tcW w:w="1359" w:type="dxa"/>
            <w:tcBorders>
              <w:top w:val="single" w:sz="5" w:space="0" w:color="5B9BD5"/>
              <w:left w:val="nil"/>
              <w:bottom w:val="nil"/>
              <w:right w:val="single" w:sz="5" w:space="0" w:color="5B9BD5"/>
            </w:tcBorders>
            <w:tcMar>
              <w:top w:w="100" w:type="dxa"/>
              <w:left w:w="100" w:type="dxa"/>
              <w:bottom w:w="100" w:type="dxa"/>
              <w:right w:w="100" w:type="dxa"/>
            </w:tcMar>
          </w:tcPr>
          <w:p w14:paraId="171B45DE" w14:textId="77777777" w:rsidR="0000407C" w:rsidRDefault="007E369D">
            <w:pPr>
              <w:ind w:left="3"/>
              <w:jc w:val="center"/>
              <w:rPr>
                <w:sz w:val="20"/>
                <w:szCs w:val="20"/>
              </w:rPr>
            </w:pPr>
            <w:r>
              <w:t>62.90%</w:t>
            </w:r>
          </w:p>
        </w:tc>
      </w:tr>
      <w:tr w:rsidR="0000407C" w14:paraId="0E081234" w14:textId="77777777" w:rsidTr="00461043">
        <w:trPr>
          <w:cantSplit/>
          <w:trHeight w:val="432"/>
        </w:trPr>
        <w:tc>
          <w:tcPr>
            <w:tcW w:w="3769" w:type="dxa"/>
            <w:tcBorders>
              <w:top w:val="single" w:sz="6" w:space="0" w:color="929497"/>
              <w:left w:val="single" w:sz="4" w:space="0" w:color="000000"/>
              <w:bottom w:val="single" w:sz="6" w:space="0" w:color="929497"/>
              <w:right w:val="single" w:sz="5" w:space="0" w:color="929497"/>
            </w:tcBorders>
            <w:vAlign w:val="bottom"/>
          </w:tcPr>
          <w:p w14:paraId="0EAFA525" w14:textId="1FE621C1" w:rsidR="0000407C" w:rsidRDefault="007E369D">
            <w:pPr>
              <w:ind w:left="3"/>
              <w:rPr>
                <w:sz w:val="20"/>
                <w:szCs w:val="20"/>
              </w:rPr>
            </w:pPr>
            <w:r>
              <w:rPr>
                <w:sz w:val="20"/>
                <w:szCs w:val="20"/>
              </w:rPr>
              <w:t>4S1: Non</w:t>
            </w:r>
            <w:r w:rsidR="00F60333">
              <w:rPr>
                <w:sz w:val="20"/>
                <w:szCs w:val="20"/>
              </w:rPr>
              <w:t>t</w:t>
            </w:r>
            <w:r>
              <w:rPr>
                <w:sz w:val="20"/>
                <w:szCs w:val="20"/>
              </w:rPr>
              <w:t xml:space="preserve">raditional </w:t>
            </w:r>
          </w:p>
          <w:p w14:paraId="035F3D69" w14:textId="77777777" w:rsidR="0000407C" w:rsidRDefault="007E369D">
            <w:pPr>
              <w:ind w:left="3"/>
              <w:rPr>
                <w:sz w:val="20"/>
                <w:szCs w:val="20"/>
              </w:rPr>
            </w:pPr>
            <w:r>
              <w:rPr>
                <w:sz w:val="20"/>
                <w:szCs w:val="20"/>
              </w:rPr>
              <w:t xml:space="preserve">Program Enrollment </w:t>
            </w:r>
          </w:p>
        </w:tc>
        <w:tc>
          <w:tcPr>
            <w:tcW w:w="1080" w:type="dxa"/>
            <w:tcBorders>
              <w:top w:val="single" w:sz="5" w:space="0" w:color="5B9BD5"/>
              <w:left w:val="nil"/>
              <w:bottom w:val="nil"/>
              <w:right w:val="nil"/>
            </w:tcBorders>
            <w:tcMar>
              <w:top w:w="100" w:type="dxa"/>
              <w:left w:w="100" w:type="dxa"/>
              <w:bottom w:w="100" w:type="dxa"/>
              <w:right w:w="100" w:type="dxa"/>
            </w:tcMar>
          </w:tcPr>
          <w:p w14:paraId="77C384C3" w14:textId="77777777" w:rsidR="0000407C" w:rsidRDefault="007E369D">
            <w:pPr>
              <w:ind w:left="3"/>
              <w:jc w:val="center"/>
              <w:rPr>
                <w:sz w:val="20"/>
                <w:szCs w:val="20"/>
              </w:rPr>
            </w:pPr>
            <w:r>
              <w:t>33.70%</w:t>
            </w:r>
          </w:p>
        </w:tc>
        <w:tc>
          <w:tcPr>
            <w:tcW w:w="1142" w:type="dxa"/>
            <w:tcBorders>
              <w:top w:val="single" w:sz="5" w:space="0" w:color="5B9BD5"/>
              <w:left w:val="nil"/>
              <w:bottom w:val="nil"/>
              <w:right w:val="nil"/>
            </w:tcBorders>
            <w:tcMar>
              <w:top w:w="100" w:type="dxa"/>
              <w:left w:w="100" w:type="dxa"/>
              <w:bottom w:w="100" w:type="dxa"/>
              <w:right w:w="100" w:type="dxa"/>
            </w:tcMar>
          </w:tcPr>
          <w:p w14:paraId="22C91FB5" w14:textId="77777777" w:rsidR="0000407C" w:rsidRDefault="007E369D">
            <w:pPr>
              <w:ind w:left="3"/>
              <w:jc w:val="center"/>
              <w:rPr>
                <w:sz w:val="20"/>
                <w:szCs w:val="20"/>
              </w:rPr>
            </w:pPr>
            <w:r>
              <w:t>35.00%</w:t>
            </w:r>
          </w:p>
        </w:tc>
        <w:tc>
          <w:tcPr>
            <w:tcW w:w="1359" w:type="dxa"/>
            <w:tcBorders>
              <w:top w:val="single" w:sz="5" w:space="0" w:color="5B9BD5"/>
              <w:left w:val="nil"/>
              <w:bottom w:val="nil"/>
              <w:right w:val="nil"/>
            </w:tcBorders>
            <w:tcMar>
              <w:top w:w="100" w:type="dxa"/>
              <w:left w:w="100" w:type="dxa"/>
              <w:bottom w:w="100" w:type="dxa"/>
              <w:right w:w="100" w:type="dxa"/>
            </w:tcMar>
          </w:tcPr>
          <w:p w14:paraId="18D227C4" w14:textId="77777777" w:rsidR="0000407C" w:rsidRDefault="007E369D">
            <w:pPr>
              <w:ind w:left="3"/>
              <w:jc w:val="center"/>
              <w:rPr>
                <w:sz w:val="20"/>
                <w:szCs w:val="20"/>
              </w:rPr>
            </w:pPr>
            <w:r>
              <w:t>35.50%</w:t>
            </w:r>
          </w:p>
        </w:tc>
        <w:tc>
          <w:tcPr>
            <w:tcW w:w="1359" w:type="dxa"/>
            <w:tcBorders>
              <w:top w:val="single" w:sz="5" w:space="0" w:color="5B9BD5"/>
              <w:left w:val="nil"/>
              <w:bottom w:val="nil"/>
              <w:right w:val="nil"/>
            </w:tcBorders>
            <w:tcMar>
              <w:top w:w="100" w:type="dxa"/>
              <w:left w:w="100" w:type="dxa"/>
              <w:bottom w:w="100" w:type="dxa"/>
              <w:right w:w="100" w:type="dxa"/>
            </w:tcMar>
          </w:tcPr>
          <w:p w14:paraId="514C48D8" w14:textId="77777777" w:rsidR="0000407C" w:rsidRDefault="007E369D">
            <w:pPr>
              <w:ind w:left="3"/>
              <w:jc w:val="center"/>
              <w:rPr>
                <w:sz w:val="20"/>
                <w:szCs w:val="20"/>
              </w:rPr>
            </w:pPr>
            <w:r>
              <w:t>36.00%</w:t>
            </w:r>
          </w:p>
        </w:tc>
        <w:tc>
          <w:tcPr>
            <w:tcW w:w="1359" w:type="dxa"/>
            <w:tcBorders>
              <w:top w:val="single" w:sz="5" w:space="0" w:color="5B9BD5"/>
              <w:left w:val="nil"/>
              <w:bottom w:val="nil"/>
              <w:right w:val="single" w:sz="5" w:space="0" w:color="5B9BD5"/>
            </w:tcBorders>
            <w:tcMar>
              <w:top w:w="100" w:type="dxa"/>
              <w:left w:w="100" w:type="dxa"/>
              <w:bottom w:w="100" w:type="dxa"/>
              <w:right w:w="100" w:type="dxa"/>
            </w:tcMar>
          </w:tcPr>
          <w:p w14:paraId="76935A9C" w14:textId="77777777" w:rsidR="0000407C" w:rsidRDefault="007E369D">
            <w:pPr>
              <w:ind w:left="3"/>
              <w:jc w:val="center"/>
              <w:rPr>
                <w:sz w:val="20"/>
                <w:szCs w:val="20"/>
              </w:rPr>
            </w:pPr>
            <w:r>
              <w:t>36.50%</w:t>
            </w:r>
          </w:p>
        </w:tc>
      </w:tr>
      <w:tr w:rsidR="0000407C" w14:paraId="210C25BB" w14:textId="77777777" w:rsidTr="00461043">
        <w:trPr>
          <w:cantSplit/>
          <w:trHeight w:val="432"/>
        </w:trPr>
        <w:tc>
          <w:tcPr>
            <w:tcW w:w="3769" w:type="dxa"/>
            <w:tcBorders>
              <w:top w:val="single" w:sz="6" w:space="0" w:color="929497"/>
              <w:left w:val="single" w:sz="4" w:space="0" w:color="000000"/>
              <w:bottom w:val="single" w:sz="4" w:space="0" w:color="000000"/>
              <w:right w:val="single" w:sz="5" w:space="0" w:color="929497"/>
            </w:tcBorders>
            <w:vAlign w:val="bottom"/>
          </w:tcPr>
          <w:p w14:paraId="66AF0E5C" w14:textId="77777777" w:rsidR="0000407C" w:rsidRDefault="007E369D">
            <w:pPr>
              <w:ind w:right="120"/>
              <w:rPr>
                <w:sz w:val="20"/>
                <w:szCs w:val="20"/>
              </w:rPr>
            </w:pPr>
            <w:r>
              <w:rPr>
                <w:sz w:val="20"/>
                <w:szCs w:val="20"/>
              </w:rPr>
              <w:t xml:space="preserve">5S3: Program Quality – Participated in Work-Based Learning </w:t>
            </w:r>
          </w:p>
        </w:tc>
        <w:tc>
          <w:tcPr>
            <w:tcW w:w="1080" w:type="dxa"/>
            <w:tcBorders>
              <w:top w:val="single" w:sz="5" w:space="0" w:color="5B9BD5"/>
              <w:left w:val="nil"/>
              <w:bottom w:val="single" w:sz="5" w:space="0" w:color="5B9BD5"/>
              <w:right w:val="nil"/>
            </w:tcBorders>
            <w:tcMar>
              <w:top w:w="100" w:type="dxa"/>
              <w:left w:w="100" w:type="dxa"/>
              <w:bottom w:w="100" w:type="dxa"/>
              <w:right w:w="100" w:type="dxa"/>
            </w:tcMar>
          </w:tcPr>
          <w:p w14:paraId="64C6C579" w14:textId="77777777" w:rsidR="0000407C" w:rsidRDefault="007E369D">
            <w:pPr>
              <w:ind w:left="3"/>
              <w:jc w:val="center"/>
              <w:rPr>
                <w:sz w:val="20"/>
                <w:szCs w:val="20"/>
              </w:rPr>
            </w:pPr>
            <w:r>
              <w:t>54.40%</w:t>
            </w:r>
          </w:p>
        </w:tc>
        <w:tc>
          <w:tcPr>
            <w:tcW w:w="1142" w:type="dxa"/>
            <w:tcBorders>
              <w:top w:val="single" w:sz="5" w:space="0" w:color="5B9BD5"/>
              <w:left w:val="nil"/>
              <w:bottom w:val="single" w:sz="5" w:space="0" w:color="5B9BD5"/>
              <w:right w:val="nil"/>
            </w:tcBorders>
            <w:tcMar>
              <w:top w:w="100" w:type="dxa"/>
              <w:left w:w="100" w:type="dxa"/>
              <w:bottom w:w="100" w:type="dxa"/>
              <w:right w:w="100" w:type="dxa"/>
            </w:tcMar>
          </w:tcPr>
          <w:p w14:paraId="38929BEF" w14:textId="77777777" w:rsidR="0000407C" w:rsidRDefault="007E369D">
            <w:pPr>
              <w:ind w:left="3"/>
              <w:jc w:val="center"/>
              <w:rPr>
                <w:sz w:val="20"/>
                <w:szCs w:val="20"/>
              </w:rPr>
            </w:pPr>
            <w:r>
              <w:t>55.80%</w:t>
            </w:r>
          </w:p>
        </w:tc>
        <w:tc>
          <w:tcPr>
            <w:tcW w:w="1359" w:type="dxa"/>
            <w:tcBorders>
              <w:top w:val="single" w:sz="5" w:space="0" w:color="5B9BD5"/>
              <w:left w:val="nil"/>
              <w:bottom w:val="single" w:sz="5" w:space="0" w:color="5B9BD5"/>
              <w:right w:val="nil"/>
            </w:tcBorders>
            <w:tcMar>
              <w:top w:w="100" w:type="dxa"/>
              <w:left w:w="100" w:type="dxa"/>
              <w:bottom w:w="100" w:type="dxa"/>
              <w:right w:w="100" w:type="dxa"/>
            </w:tcMar>
          </w:tcPr>
          <w:p w14:paraId="6B74E5A8" w14:textId="77777777" w:rsidR="0000407C" w:rsidRDefault="007E369D">
            <w:pPr>
              <w:ind w:left="3"/>
              <w:jc w:val="center"/>
              <w:rPr>
                <w:sz w:val="20"/>
                <w:szCs w:val="20"/>
              </w:rPr>
            </w:pPr>
            <w:r>
              <w:t>56.40%</w:t>
            </w:r>
          </w:p>
        </w:tc>
        <w:tc>
          <w:tcPr>
            <w:tcW w:w="1359" w:type="dxa"/>
            <w:tcBorders>
              <w:top w:val="single" w:sz="5" w:space="0" w:color="5B9BD5"/>
              <w:left w:val="nil"/>
              <w:bottom w:val="single" w:sz="5" w:space="0" w:color="5B9BD5"/>
              <w:right w:val="nil"/>
            </w:tcBorders>
            <w:tcMar>
              <w:top w:w="100" w:type="dxa"/>
              <w:left w:w="100" w:type="dxa"/>
              <w:bottom w:w="100" w:type="dxa"/>
              <w:right w:w="100" w:type="dxa"/>
            </w:tcMar>
          </w:tcPr>
          <w:p w14:paraId="7E9B42F5" w14:textId="77777777" w:rsidR="0000407C" w:rsidRDefault="007E369D">
            <w:pPr>
              <w:ind w:left="3"/>
              <w:jc w:val="center"/>
              <w:rPr>
                <w:sz w:val="20"/>
                <w:szCs w:val="20"/>
              </w:rPr>
            </w:pPr>
            <w:r>
              <w:t>57.00%</w:t>
            </w:r>
          </w:p>
        </w:tc>
        <w:tc>
          <w:tcPr>
            <w:tcW w:w="1359" w:type="dxa"/>
            <w:tcBorders>
              <w:top w:val="single" w:sz="5" w:space="0" w:color="5B9BD5"/>
              <w:left w:val="nil"/>
              <w:bottom w:val="single" w:sz="5" w:space="0" w:color="5B9BD5"/>
              <w:right w:val="single" w:sz="5" w:space="0" w:color="5B9BD5"/>
            </w:tcBorders>
            <w:tcMar>
              <w:top w:w="100" w:type="dxa"/>
              <w:left w:w="100" w:type="dxa"/>
              <w:bottom w:w="100" w:type="dxa"/>
              <w:right w:w="100" w:type="dxa"/>
            </w:tcMar>
          </w:tcPr>
          <w:p w14:paraId="2564A49F" w14:textId="77777777" w:rsidR="0000407C" w:rsidRDefault="007E369D">
            <w:pPr>
              <w:ind w:left="3"/>
              <w:jc w:val="center"/>
              <w:rPr>
                <w:sz w:val="20"/>
                <w:szCs w:val="20"/>
              </w:rPr>
            </w:pPr>
            <w:r>
              <w:t>57.60%</w:t>
            </w:r>
          </w:p>
        </w:tc>
      </w:tr>
    </w:tbl>
    <w:p w14:paraId="6A1032B9" w14:textId="77777777" w:rsidR="0000407C" w:rsidRDefault="0000407C">
      <w:pPr>
        <w:spacing w:before="240"/>
        <w:rPr>
          <w:sz w:val="16"/>
          <w:szCs w:val="16"/>
        </w:rPr>
      </w:pPr>
    </w:p>
    <w:p w14:paraId="0A76E177" w14:textId="77777777" w:rsidR="0000407C" w:rsidRDefault="007E369D">
      <w:pPr>
        <w:keepNext/>
        <w:spacing w:after="200" w:line="240" w:lineRule="auto"/>
        <w:rPr>
          <w:i/>
          <w:color w:val="44546A"/>
          <w:sz w:val="18"/>
          <w:szCs w:val="18"/>
        </w:rPr>
      </w:pPr>
      <w:r>
        <w:rPr>
          <w:i/>
          <w:color w:val="44546A"/>
          <w:sz w:val="18"/>
          <w:szCs w:val="18"/>
        </w:rPr>
        <w:t xml:space="preserve">Table 2 Proposed Perkins Performance Targets, Postsecondary </w:t>
      </w:r>
    </w:p>
    <w:tbl>
      <w:tblPr>
        <w:tblStyle w:val="23"/>
        <w:tblW w:w="10068" w:type="dxa"/>
        <w:tblInd w:w="6" w:type="dxa"/>
        <w:tblLayout w:type="fixed"/>
        <w:tblLook w:val="0420" w:firstRow="1" w:lastRow="0" w:firstColumn="0" w:lastColumn="0" w:noHBand="0" w:noVBand="1"/>
      </w:tblPr>
      <w:tblGrid>
        <w:gridCol w:w="3349"/>
        <w:gridCol w:w="1267"/>
        <w:gridCol w:w="1363"/>
        <w:gridCol w:w="1363"/>
        <w:gridCol w:w="1363"/>
        <w:gridCol w:w="1363"/>
      </w:tblGrid>
      <w:tr w:rsidR="0000407C" w14:paraId="3A0D15E9" w14:textId="77777777" w:rsidTr="00461043">
        <w:trPr>
          <w:cantSplit/>
          <w:trHeight w:val="330"/>
          <w:tblHeader/>
        </w:trPr>
        <w:tc>
          <w:tcPr>
            <w:tcW w:w="3349" w:type="dxa"/>
            <w:tcBorders>
              <w:top w:val="single" w:sz="4" w:space="0" w:color="000000"/>
              <w:left w:val="single" w:sz="4" w:space="0" w:color="000000"/>
              <w:bottom w:val="single" w:sz="6" w:space="0" w:color="929497"/>
              <w:right w:val="nil"/>
            </w:tcBorders>
            <w:shd w:val="clear" w:color="auto" w:fill="2E75B5"/>
            <w:vAlign w:val="center"/>
          </w:tcPr>
          <w:p w14:paraId="0DB4482F" w14:textId="77777777" w:rsidR="0000407C" w:rsidRDefault="007E369D">
            <w:pPr>
              <w:ind w:left="101"/>
              <w:rPr>
                <w:b/>
                <w:i/>
                <w:color w:val="E7E6E6"/>
                <w:sz w:val="24"/>
                <w:szCs w:val="24"/>
              </w:rPr>
            </w:pPr>
            <w:r>
              <w:rPr>
                <w:b/>
                <w:i/>
                <w:color w:val="E7E6E6"/>
                <w:sz w:val="24"/>
                <w:szCs w:val="24"/>
              </w:rPr>
              <w:t>Postsecondary Indicator</w:t>
            </w:r>
          </w:p>
        </w:tc>
        <w:tc>
          <w:tcPr>
            <w:tcW w:w="1267" w:type="dxa"/>
            <w:tcBorders>
              <w:top w:val="single" w:sz="4" w:space="0" w:color="000000"/>
              <w:left w:val="nil"/>
              <w:bottom w:val="single" w:sz="6" w:space="0" w:color="929497"/>
              <w:right w:val="nil"/>
            </w:tcBorders>
            <w:shd w:val="clear" w:color="auto" w:fill="2E75B5"/>
          </w:tcPr>
          <w:p w14:paraId="5841DE28" w14:textId="77777777" w:rsidR="0000407C" w:rsidRDefault="007E369D">
            <w:pPr>
              <w:jc w:val="center"/>
              <w:rPr>
                <w:b/>
                <w:i/>
                <w:color w:val="E7E6E6"/>
                <w:sz w:val="24"/>
                <w:szCs w:val="24"/>
              </w:rPr>
            </w:pPr>
            <w:r>
              <w:rPr>
                <w:b/>
                <w:i/>
                <w:color w:val="E7E6E6"/>
                <w:sz w:val="24"/>
                <w:szCs w:val="24"/>
              </w:rPr>
              <w:t>Baseline Level</w:t>
            </w:r>
          </w:p>
        </w:tc>
        <w:tc>
          <w:tcPr>
            <w:tcW w:w="1363" w:type="dxa"/>
            <w:tcBorders>
              <w:top w:val="single" w:sz="4" w:space="0" w:color="000000"/>
              <w:left w:val="nil"/>
              <w:bottom w:val="single" w:sz="6" w:space="0" w:color="929497"/>
              <w:right w:val="nil"/>
            </w:tcBorders>
            <w:shd w:val="clear" w:color="auto" w:fill="2E75B5"/>
            <w:vAlign w:val="center"/>
          </w:tcPr>
          <w:p w14:paraId="71F48F60" w14:textId="77777777" w:rsidR="0000407C" w:rsidRDefault="007E369D">
            <w:pPr>
              <w:ind w:left="101"/>
              <w:jc w:val="center"/>
              <w:rPr>
                <w:b/>
                <w:i/>
                <w:color w:val="E7E6E6"/>
                <w:sz w:val="24"/>
                <w:szCs w:val="24"/>
              </w:rPr>
            </w:pPr>
            <w:r>
              <w:rPr>
                <w:b/>
                <w:i/>
                <w:color w:val="E7E6E6"/>
                <w:sz w:val="24"/>
                <w:szCs w:val="24"/>
              </w:rPr>
              <w:t>FY 2024 Target</w:t>
            </w:r>
          </w:p>
        </w:tc>
        <w:tc>
          <w:tcPr>
            <w:tcW w:w="1363" w:type="dxa"/>
            <w:tcBorders>
              <w:top w:val="single" w:sz="4" w:space="0" w:color="000000"/>
              <w:left w:val="nil"/>
              <w:bottom w:val="single" w:sz="6" w:space="0" w:color="929497"/>
              <w:right w:val="nil"/>
            </w:tcBorders>
            <w:shd w:val="clear" w:color="auto" w:fill="2E75B5"/>
            <w:vAlign w:val="center"/>
          </w:tcPr>
          <w:p w14:paraId="4E2D56D3" w14:textId="77777777" w:rsidR="0000407C" w:rsidRDefault="007E369D">
            <w:pPr>
              <w:ind w:left="101"/>
              <w:jc w:val="center"/>
              <w:rPr>
                <w:b/>
                <w:i/>
                <w:color w:val="E7E6E6"/>
                <w:sz w:val="24"/>
                <w:szCs w:val="24"/>
              </w:rPr>
            </w:pPr>
            <w:r>
              <w:rPr>
                <w:b/>
                <w:i/>
                <w:color w:val="E7E6E6"/>
                <w:sz w:val="24"/>
                <w:szCs w:val="24"/>
              </w:rPr>
              <w:t>FY 2025 Target</w:t>
            </w:r>
          </w:p>
        </w:tc>
        <w:tc>
          <w:tcPr>
            <w:tcW w:w="1363" w:type="dxa"/>
            <w:tcBorders>
              <w:top w:val="single" w:sz="4" w:space="0" w:color="000000"/>
              <w:left w:val="nil"/>
              <w:bottom w:val="single" w:sz="6" w:space="0" w:color="929497"/>
              <w:right w:val="nil"/>
            </w:tcBorders>
            <w:shd w:val="clear" w:color="auto" w:fill="2E75B5"/>
            <w:vAlign w:val="center"/>
          </w:tcPr>
          <w:p w14:paraId="3C68CDB8" w14:textId="77777777" w:rsidR="0000407C" w:rsidRDefault="007E369D">
            <w:pPr>
              <w:ind w:left="101"/>
              <w:jc w:val="center"/>
              <w:rPr>
                <w:b/>
                <w:i/>
                <w:color w:val="E7E6E6"/>
                <w:sz w:val="24"/>
                <w:szCs w:val="24"/>
              </w:rPr>
            </w:pPr>
            <w:r>
              <w:rPr>
                <w:b/>
                <w:i/>
                <w:color w:val="E7E6E6"/>
                <w:sz w:val="24"/>
                <w:szCs w:val="24"/>
              </w:rPr>
              <w:t>FY 2026 Target</w:t>
            </w:r>
          </w:p>
        </w:tc>
        <w:tc>
          <w:tcPr>
            <w:tcW w:w="1363" w:type="dxa"/>
            <w:tcBorders>
              <w:top w:val="single" w:sz="4" w:space="0" w:color="000000"/>
              <w:left w:val="nil"/>
              <w:bottom w:val="single" w:sz="6" w:space="0" w:color="929497"/>
              <w:right w:val="single" w:sz="4" w:space="0" w:color="000000"/>
            </w:tcBorders>
            <w:shd w:val="clear" w:color="auto" w:fill="2E75B5"/>
            <w:vAlign w:val="center"/>
          </w:tcPr>
          <w:p w14:paraId="1BA8E95B" w14:textId="77777777" w:rsidR="0000407C" w:rsidRDefault="007E369D">
            <w:pPr>
              <w:ind w:left="101"/>
              <w:jc w:val="center"/>
              <w:rPr>
                <w:b/>
                <w:i/>
                <w:color w:val="E7E6E6"/>
                <w:sz w:val="24"/>
                <w:szCs w:val="24"/>
              </w:rPr>
            </w:pPr>
            <w:r>
              <w:rPr>
                <w:b/>
                <w:i/>
                <w:color w:val="E7E6E6"/>
                <w:sz w:val="24"/>
                <w:szCs w:val="24"/>
              </w:rPr>
              <w:t>FY 2027 Target</w:t>
            </w:r>
          </w:p>
        </w:tc>
      </w:tr>
      <w:tr w:rsidR="0000407C" w14:paraId="09ADDBA8" w14:textId="77777777" w:rsidTr="00461043">
        <w:trPr>
          <w:cantSplit/>
          <w:trHeight w:val="432"/>
        </w:trPr>
        <w:tc>
          <w:tcPr>
            <w:tcW w:w="3349" w:type="dxa"/>
            <w:tcBorders>
              <w:top w:val="single" w:sz="6" w:space="0" w:color="929497"/>
              <w:left w:val="single" w:sz="4" w:space="0" w:color="000000"/>
              <w:bottom w:val="single" w:sz="6" w:space="0" w:color="929497"/>
              <w:right w:val="single" w:sz="5" w:space="0" w:color="929497"/>
            </w:tcBorders>
          </w:tcPr>
          <w:p w14:paraId="230E5AEC" w14:textId="77777777" w:rsidR="0000407C" w:rsidRDefault="007E369D">
            <w:pPr>
              <w:ind w:left="3" w:right="418"/>
              <w:rPr>
                <w:i/>
                <w:sz w:val="20"/>
                <w:szCs w:val="20"/>
              </w:rPr>
            </w:pPr>
            <w:r>
              <w:rPr>
                <w:i/>
                <w:sz w:val="20"/>
                <w:szCs w:val="20"/>
              </w:rPr>
              <w:t>1P1: Postsecondary Retention and Placement</w:t>
            </w:r>
          </w:p>
        </w:tc>
        <w:tc>
          <w:tcPr>
            <w:tcW w:w="1267" w:type="dxa"/>
            <w:tcBorders>
              <w:top w:val="single" w:sz="6" w:space="0" w:color="929497"/>
              <w:left w:val="single" w:sz="5" w:space="0" w:color="929497"/>
              <w:bottom w:val="single" w:sz="6" w:space="0" w:color="929497"/>
              <w:right w:val="single" w:sz="5" w:space="0" w:color="929497"/>
            </w:tcBorders>
          </w:tcPr>
          <w:p w14:paraId="78C2C9F3" w14:textId="77777777" w:rsidR="0000407C" w:rsidRDefault="007E369D">
            <w:pPr>
              <w:ind w:left="3"/>
              <w:jc w:val="center"/>
              <w:rPr>
                <w:i/>
                <w:sz w:val="20"/>
                <w:szCs w:val="20"/>
              </w:rPr>
            </w:pPr>
            <w:r>
              <w:rPr>
                <w:i/>
                <w:sz w:val="20"/>
                <w:szCs w:val="20"/>
              </w:rPr>
              <w:t>80.42%</w:t>
            </w:r>
          </w:p>
        </w:tc>
        <w:tc>
          <w:tcPr>
            <w:tcW w:w="1363" w:type="dxa"/>
            <w:tcBorders>
              <w:top w:val="single" w:sz="6" w:space="0" w:color="929497"/>
              <w:left w:val="single" w:sz="5" w:space="0" w:color="929497"/>
              <w:bottom w:val="single" w:sz="6" w:space="0" w:color="929497"/>
              <w:right w:val="single" w:sz="5" w:space="0" w:color="929497"/>
            </w:tcBorders>
          </w:tcPr>
          <w:p w14:paraId="63CA74A6" w14:textId="77777777" w:rsidR="0000407C" w:rsidRDefault="007E369D">
            <w:pPr>
              <w:ind w:left="3"/>
              <w:jc w:val="center"/>
              <w:rPr>
                <w:i/>
                <w:sz w:val="20"/>
                <w:szCs w:val="20"/>
              </w:rPr>
            </w:pPr>
            <w:r>
              <w:rPr>
                <w:i/>
                <w:sz w:val="20"/>
                <w:szCs w:val="20"/>
              </w:rPr>
              <w:t>83.75%</w:t>
            </w:r>
          </w:p>
        </w:tc>
        <w:tc>
          <w:tcPr>
            <w:tcW w:w="1363" w:type="dxa"/>
            <w:tcBorders>
              <w:top w:val="single" w:sz="6" w:space="0" w:color="929497"/>
              <w:left w:val="single" w:sz="5" w:space="0" w:color="929497"/>
              <w:bottom w:val="single" w:sz="6" w:space="0" w:color="929497"/>
              <w:right w:val="single" w:sz="5" w:space="0" w:color="929497"/>
            </w:tcBorders>
          </w:tcPr>
          <w:p w14:paraId="68E9EA6E" w14:textId="77777777" w:rsidR="0000407C" w:rsidRDefault="007E369D">
            <w:pPr>
              <w:ind w:left="3"/>
              <w:jc w:val="center"/>
              <w:rPr>
                <w:i/>
                <w:sz w:val="20"/>
                <w:szCs w:val="20"/>
              </w:rPr>
            </w:pPr>
            <w:r>
              <w:rPr>
                <w:i/>
                <w:sz w:val="20"/>
                <w:szCs w:val="20"/>
              </w:rPr>
              <w:t>84.25%</w:t>
            </w:r>
          </w:p>
        </w:tc>
        <w:tc>
          <w:tcPr>
            <w:tcW w:w="1363" w:type="dxa"/>
            <w:tcBorders>
              <w:top w:val="single" w:sz="6" w:space="0" w:color="929497"/>
              <w:left w:val="single" w:sz="5" w:space="0" w:color="929497"/>
              <w:bottom w:val="single" w:sz="6" w:space="0" w:color="929497"/>
              <w:right w:val="single" w:sz="5" w:space="0" w:color="929497"/>
            </w:tcBorders>
          </w:tcPr>
          <w:p w14:paraId="70D36DE7" w14:textId="77777777" w:rsidR="0000407C" w:rsidRDefault="007E369D">
            <w:pPr>
              <w:ind w:left="3"/>
              <w:jc w:val="center"/>
              <w:rPr>
                <w:i/>
                <w:sz w:val="20"/>
                <w:szCs w:val="20"/>
              </w:rPr>
            </w:pPr>
            <w:r>
              <w:rPr>
                <w:i/>
                <w:sz w:val="20"/>
                <w:szCs w:val="20"/>
              </w:rPr>
              <w:t>84.75%</w:t>
            </w:r>
          </w:p>
        </w:tc>
        <w:tc>
          <w:tcPr>
            <w:tcW w:w="1363" w:type="dxa"/>
            <w:tcBorders>
              <w:top w:val="single" w:sz="6" w:space="0" w:color="929497"/>
              <w:left w:val="single" w:sz="5" w:space="0" w:color="929497"/>
              <w:bottom w:val="single" w:sz="6" w:space="0" w:color="929497"/>
              <w:right w:val="single" w:sz="4" w:space="0" w:color="000000"/>
            </w:tcBorders>
          </w:tcPr>
          <w:p w14:paraId="7A2C1EFD" w14:textId="77777777" w:rsidR="0000407C" w:rsidRDefault="007E369D">
            <w:pPr>
              <w:ind w:left="3"/>
              <w:jc w:val="center"/>
              <w:rPr>
                <w:i/>
                <w:sz w:val="20"/>
                <w:szCs w:val="20"/>
              </w:rPr>
            </w:pPr>
            <w:r>
              <w:rPr>
                <w:i/>
                <w:sz w:val="20"/>
                <w:szCs w:val="20"/>
              </w:rPr>
              <w:t>85.25%</w:t>
            </w:r>
          </w:p>
        </w:tc>
      </w:tr>
      <w:tr w:rsidR="0000407C" w14:paraId="029ADFD3" w14:textId="77777777" w:rsidTr="00461043">
        <w:trPr>
          <w:cantSplit/>
          <w:trHeight w:val="432"/>
        </w:trPr>
        <w:tc>
          <w:tcPr>
            <w:tcW w:w="3349" w:type="dxa"/>
            <w:tcBorders>
              <w:top w:val="single" w:sz="6" w:space="0" w:color="929497"/>
              <w:left w:val="single" w:sz="4" w:space="0" w:color="000000"/>
              <w:bottom w:val="single" w:sz="6" w:space="0" w:color="929497"/>
              <w:right w:val="single" w:sz="5" w:space="0" w:color="929497"/>
            </w:tcBorders>
          </w:tcPr>
          <w:p w14:paraId="6DD0665D" w14:textId="77777777" w:rsidR="0000407C" w:rsidRDefault="007E369D">
            <w:pPr>
              <w:ind w:left="3"/>
              <w:rPr>
                <w:i/>
                <w:sz w:val="20"/>
                <w:szCs w:val="20"/>
              </w:rPr>
            </w:pPr>
            <w:r>
              <w:rPr>
                <w:i/>
                <w:sz w:val="20"/>
                <w:szCs w:val="20"/>
              </w:rPr>
              <w:t xml:space="preserve">2P1: Earned Recognized </w:t>
            </w:r>
          </w:p>
          <w:p w14:paraId="6EF3EFAC" w14:textId="77777777" w:rsidR="0000407C" w:rsidRDefault="007E369D">
            <w:pPr>
              <w:ind w:left="3"/>
              <w:rPr>
                <w:i/>
                <w:sz w:val="20"/>
                <w:szCs w:val="20"/>
              </w:rPr>
            </w:pPr>
            <w:r>
              <w:rPr>
                <w:i/>
                <w:sz w:val="20"/>
                <w:szCs w:val="20"/>
              </w:rPr>
              <w:t>Postsecondary Credential</w:t>
            </w:r>
          </w:p>
        </w:tc>
        <w:tc>
          <w:tcPr>
            <w:tcW w:w="1267" w:type="dxa"/>
            <w:tcBorders>
              <w:top w:val="single" w:sz="6" w:space="0" w:color="929497"/>
              <w:left w:val="single" w:sz="5" w:space="0" w:color="929497"/>
              <w:bottom w:val="single" w:sz="6" w:space="0" w:color="929497"/>
              <w:right w:val="single" w:sz="5" w:space="0" w:color="929497"/>
            </w:tcBorders>
          </w:tcPr>
          <w:p w14:paraId="1F3E9D49" w14:textId="77777777" w:rsidR="0000407C" w:rsidRDefault="007E369D">
            <w:pPr>
              <w:ind w:left="3"/>
              <w:jc w:val="center"/>
              <w:rPr>
                <w:i/>
                <w:sz w:val="20"/>
                <w:szCs w:val="20"/>
              </w:rPr>
            </w:pPr>
            <w:r>
              <w:rPr>
                <w:i/>
                <w:sz w:val="20"/>
                <w:szCs w:val="20"/>
              </w:rPr>
              <w:t>55.41%</w:t>
            </w:r>
          </w:p>
        </w:tc>
        <w:tc>
          <w:tcPr>
            <w:tcW w:w="1363" w:type="dxa"/>
            <w:tcBorders>
              <w:top w:val="single" w:sz="6" w:space="0" w:color="929497"/>
              <w:left w:val="single" w:sz="5" w:space="0" w:color="929497"/>
              <w:bottom w:val="single" w:sz="6" w:space="0" w:color="929497"/>
              <w:right w:val="single" w:sz="5" w:space="0" w:color="929497"/>
            </w:tcBorders>
          </w:tcPr>
          <w:p w14:paraId="4024C07A" w14:textId="77777777" w:rsidR="0000407C" w:rsidRDefault="007E369D">
            <w:pPr>
              <w:ind w:left="3"/>
              <w:jc w:val="center"/>
              <w:rPr>
                <w:i/>
                <w:sz w:val="20"/>
                <w:szCs w:val="20"/>
              </w:rPr>
            </w:pPr>
            <w:r>
              <w:rPr>
                <w:i/>
                <w:sz w:val="20"/>
                <w:szCs w:val="20"/>
              </w:rPr>
              <w:t>55.50%</w:t>
            </w:r>
          </w:p>
        </w:tc>
        <w:tc>
          <w:tcPr>
            <w:tcW w:w="1363" w:type="dxa"/>
            <w:tcBorders>
              <w:top w:val="single" w:sz="6" w:space="0" w:color="929497"/>
              <w:left w:val="single" w:sz="5" w:space="0" w:color="929497"/>
              <w:bottom w:val="single" w:sz="6" w:space="0" w:color="929497"/>
              <w:right w:val="single" w:sz="5" w:space="0" w:color="929497"/>
            </w:tcBorders>
          </w:tcPr>
          <w:p w14:paraId="5CF8E2AF" w14:textId="77777777" w:rsidR="0000407C" w:rsidRDefault="007E369D">
            <w:pPr>
              <w:ind w:left="3"/>
              <w:jc w:val="center"/>
              <w:rPr>
                <w:i/>
                <w:sz w:val="20"/>
                <w:szCs w:val="20"/>
              </w:rPr>
            </w:pPr>
            <w:r>
              <w:rPr>
                <w:i/>
                <w:sz w:val="20"/>
                <w:szCs w:val="20"/>
              </w:rPr>
              <w:t>56.00%</w:t>
            </w:r>
          </w:p>
        </w:tc>
        <w:tc>
          <w:tcPr>
            <w:tcW w:w="1363" w:type="dxa"/>
            <w:tcBorders>
              <w:top w:val="single" w:sz="6" w:space="0" w:color="929497"/>
              <w:left w:val="single" w:sz="5" w:space="0" w:color="929497"/>
              <w:bottom w:val="single" w:sz="6" w:space="0" w:color="929497"/>
              <w:right w:val="single" w:sz="5" w:space="0" w:color="929497"/>
            </w:tcBorders>
          </w:tcPr>
          <w:p w14:paraId="531D2FA9" w14:textId="77777777" w:rsidR="0000407C" w:rsidRDefault="007E369D">
            <w:pPr>
              <w:ind w:left="3"/>
              <w:jc w:val="center"/>
              <w:rPr>
                <w:i/>
                <w:sz w:val="20"/>
                <w:szCs w:val="20"/>
              </w:rPr>
            </w:pPr>
            <w:r>
              <w:rPr>
                <w:i/>
                <w:sz w:val="20"/>
                <w:szCs w:val="20"/>
              </w:rPr>
              <w:t>56.50%</w:t>
            </w:r>
          </w:p>
        </w:tc>
        <w:tc>
          <w:tcPr>
            <w:tcW w:w="1363" w:type="dxa"/>
            <w:tcBorders>
              <w:top w:val="single" w:sz="6" w:space="0" w:color="929497"/>
              <w:left w:val="single" w:sz="5" w:space="0" w:color="929497"/>
              <w:bottom w:val="single" w:sz="6" w:space="0" w:color="929497"/>
              <w:right w:val="single" w:sz="4" w:space="0" w:color="000000"/>
            </w:tcBorders>
          </w:tcPr>
          <w:p w14:paraId="21BA494D" w14:textId="77777777" w:rsidR="0000407C" w:rsidRDefault="007E369D">
            <w:pPr>
              <w:ind w:left="3"/>
              <w:jc w:val="center"/>
              <w:rPr>
                <w:i/>
                <w:sz w:val="20"/>
                <w:szCs w:val="20"/>
              </w:rPr>
            </w:pPr>
            <w:r>
              <w:rPr>
                <w:i/>
                <w:sz w:val="20"/>
                <w:szCs w:val="20"/>
              </w:rPr>
              <w:t>57.00%</w:t>
            </w:r>
          </w:p>
        </w:tc>
      </w:tr>
      <w:tr w:rsidR="0000407C" w14:paraId="466637B3" w14:textId="77777777" w:rsidTr="00461043">
        <w:trPr>
          <w:cantSplit/>
          <w:trHeight w:val="432"/>
        </w:trPr>
        <w:tc>
          <w:tcPr>
            <w:tcW w:w="3349" w:type="dxa"/>
            <w:tcBorders>
              <w:top w:val="single" w:sz="6" w:space="0" w:color="929497"/>
              <w:left w:val="single" w:sz="4" w:space="0" w:color="000000"/>
              <w:bottom w:val="single" w:sz="4" w:space="0" w:color="000000"/>
              <w:right w:val="single" w:sz="5" w:space="0" w:color="929497"/>
            </w:tcBorders>
          </w:tcPr>
          <w:p w14:paraId="0A8954C2" w14:textId="1A85655A" w:rsidR="0000407C" w:rsidRDefault="007E369D">
            <w:pPr>
              <w:ind w:left="3"/>
              <w:rPr>
                <w:i/>
                <w:sz w:val="20"/>
                <w:szCs w:val="20"/>
              </w:rPr>
            </w:pPr>
            <w:r>
              <w:rPr>
                <w:i/>
                <w:sz w:val="20"/>
                <w:szCs w:val="20"/>
              </w:rPr>
              <w:t>3P1: Non</w:t>
            </w:r>
            <w:r w:rsidR="00F60333">
              <w:rPr>
                <w:i/>
                <w:sz w:val="20"/>
                <w:szCs w:val="20"/>
              </w:rPr>
              <w:t>t</w:t>
            </w:r>
            <w:r>
              <w:rPr>
                <w:i/>
                <w:sz w:val="20"/>
                <w:szCs w:val="20"/>
              </w:rPr>
              <w:t xml:space="preserve">raditional </w:t>
            </w:r>
          </w:p>
          <w:p w14:paraId="5185454F" w14:textId="77777777" w:rsidR="0000407C" w:rsidRDefault="007E369D">
            <w:pPr>
              <w:ind w:left="3"/>
              <w:rPr>
                <w:i/>
                <w:sz w:val="20"/>
                <w:szCs w:val="20"/>
              </w:rPr>
            </w:pPr>
            <w:r>
              <w:rPr>
                <w:i/>
                <w:sz w:val="20"/>
                <w:szCs w:val="20"/>
              </w:rPr>
              <w:t>Program Enrollment</w:t>
            </w:r>
          </w:p>
        </w:tc>
        <w:tc>
          <w:tcPr>
            <w:tcW w:w="1267" w:type="dxa"/>
            <w:tcBorders>
              <w:top w:val="single" w:sz="6" w:space="0" w:color="929497"/>
              <w:left w:val="single" w:sz="5" w:space="0" w:color="929497"/>
              <w:bottom w:val="single" w:sz="4" w:space="0" w:color="000000"/>
              <w:right w:val="single" w:sz="5" w:space="0" w:color="929497"/>
            </w:tcBorders>
          </w:tcPr>
          <w:p w14:paraId="00C0C654" w14:textId="77777777" w:rsidR="0000407C" w:rsidRDefault="007E369D">
            <w:pPr>
              <w:ind w:left="3"/>
              <w:jc w:val="center"/>
              <w:rPr>
                <w:i/>
                <w:sz w:val="20"/>
                <w:szCs w:val="20"/>
              </w:rPr>
            </w:pPr>
            <w:r>
              <w:rPr>
                <w:i/>
                <w:sz w:val="20"/>
                <w:szCs w:val="20"/>
              </w:rPr>
              <w:t>19.10%</w:t>
            </w:r>
          </w:p>
        </w:tc>
        <w:tc>
          <w:tcPr>
            <w:tcW w:w="1363" w:type="dxa"/>
            <w:tcBorders>
              <w:top w:val="single" w:sz="6" w:space="0" w:color="929497"/>
              <w:left w:val="single" w:sz="5" w:space="0" w:color="929497"/>
              <w:bottom w:val="single" w:sz="4" w:space="0" w:color="000000"/>
              <w:right w:val="single" w:sz="5" w:space="0" w:color="929497"/>
            </w:tcBorders>
          </w:tcPr>
          <w:p w14:paraId="7E853883" w14:textId="77777777" w:rsidR="0000407C" w:rsidRDefault="007E369D">
            <w:pPr>
              <w:ind w:left="3"/>
              <w:jc w:val="center"/>
              <w:rPr>
                <w:i/>
                <w:sz w:val="20"/>
                <w:szCs w:val="20"/>
              </w:rPr>
            </w:pPr>
            <w:r>
              <w:rPr>
                <w:i/>
                <w:sz w:val="20"/>
                <w:szCs w:val="20"/>
              </w:rPr>
              <w:t>19.15%</w:t>
            </w:r>
          </w:p>
        </w:tc>
        <w:tc>
          <w:tcPr>
            <w:tcW w:w="1363" w:type="dxa"/>
            <w:tcBorders>
              <w:top w:val="single" w:sz="6" w:space="0" w:color="929497"/>
              <w:left w:val="single" w:sz="5" w:space="0" w:color="929497"/>
              <w:bottom w:val="single" w:sz="4" w:space="0" w:color="000000"/>
              <w:right w:val="single" w:sz="5" w:space="0" w:color="929497"/>
            </w:tcBorders>
          </w:tcPr>
          <w:p w14:paraId="57D5FC0A" w14:textId="77777777" w:rsidR="0000407C" w:rsidRDefault="007E369D">
            <w:pPr>
              <w:ind w:left="3"/>
              <w:jc w:val="center"/>
              <w:rPr>
                <w:i/>
                <w:sz w:val="20"/>
                <w:szCs w:val="20"/>
              </w:rPr>
            </w:pPr>
            <w:r>
              <w:rPr>
                <w:i/>
                <w:sz w:val="20"/>
                <w:szCs w:val="20"/>
              </w:rPr>
              <w:t>19.40%</w:t>
            </w:r>
          </w:p>
        </w:tc>
        <w:tc>
          <w:tcPr>
            <w:tcW w:w="1363" w:type="dxa"/>
            <w:tcBorders>
              <w:top w:val="single" w:sz="6" w:space="0" w:color="929497"/>
              <w:left w:val="single" w:sz="5" w:space="0" w:color="929497"/>
              <w:bottom w:val="single" w:sz="4" w:space="0" w:color="000000"/>
              <w:right w:val="single" w:sz="5" w:space="0" w:color="929497"/>
            </w:tcBorders>
          </w:tcPr>
          <w:p w14:paraId="4732FA27" w14:textId="77777777" w:rsidR="0000407C" w:rsidRDefault="007E369D">
            <w:pPr>
              <w:ind w:left="3"/>
              <w:jc w:val="center"/>
              <w:rPr>
                <w:i/>
                <w:sz w:val="20"/>
                <w:szCs w:val="20"/>
              </w:rPr>
            </w:pPr>
            <w:r>
              <w:rPr>
                <w:i/>
                <w:sz w:val="20"/>
                <w:szCs w:val="20"/>
              </w:rPr>
              <w:t>19.65%</w:t>
            </w:r>
          </w:p>
        </w:tc>
        <w:tc>
          <w:tcPr>
            <w:tcW w:w="1363" w:type="dxa"/>
            <w:tcBorders>
              <w:top w:val="single" w:sz="6" w:space="0" w:color="929497"/>
              <w:left w:val="single" w:sz="5" w:space="0" w:color="929497"/>
              <w:bottom w:val="single" w:sz="4" w:space="0" w:color="000000"/>
              <w:right w:val="single" w:sz="4" w:space="0" w:color="000000"/>
            </w:tcBorders>
          </w:tcPr>
          <w:p w14:paraId="09B380F0" w14:textId="77777777" w:rsidR="0000407C" w:rsidRDefault="007E369D">
            <w:pPr>
              <w:ind w:left="3"/>
              <w:jc w:val="center"/>
              <w:rPr>
                <w:i/>
                <w:sz w:val="20"/>
                <w:szCs w:val="20"/>
              </w:rPr>
            </w:pPr>
            <w:r>
              <w:rPr>
                <w:i/>
                <w:sz w:val="20"/>
                <w:szCs w:val="20"/>
              </w:rPr>
              <w:t>19.90%</w:t>
            </w:r>
          </w:p>
        </w:tc>
      </w:tr>
    </w:tbl>
    <w:p w14:paraId="5A73B6ED" w14:textId="77777777" w:rsidR="0000407C" w:rsidRDefault="007E369D">
      <w:pPr>
        <w:spacing w:after="240" w:line="247" w:lineRule="auto"/>
        <w:ind w:right="15"/>
        <w:rPr>
          <w:sz w:val="20"/>
          <w:szCs w:val="20"/>
        </w:rPr>
      </w:pPr>
      <w:r>
        <w:rPr>
          <w:sz w:val="21"/>
          <w:szCs w:val="21"/>
        </w:rPr>
        <w:t xml:space="preserve"> </w:t>
      </w:r>
    </w:p>
    <w:p w14:paraId="243D8754" w14:textId="77777777" w:rsidR="0000407C" w:rsidRPr="00885308" w:rsidRDefault="007E369D">
      <w:pPr>
        <w:pStyle w:val="Heading2"/>
        <w:rPr>
          <w:rFonts w:asciiTheme="minorHAnsi" w:hAnsiTheme="minorHAnsi" w:cstheme="minorHAnsi"/>
        </w:rPr>
      </w:pPr>
      <w:bookmarkStart w:id="2" w:name="_heading=h.1ci93xb" w:colFirst="0" w:colLast="0"/>
      <w:bookmarkEnd w:id="2"/>
      <w:r w:rsidRPr="00885308">
        <w:rPr>
          <w:rFonts w:asciiTheme="minorHAnsi" w:hAnsiTheme="minorHAnsi" w:cstheme="minorHAnsi"/>
        </w:rPr>
        <w:t>Performance Level Analysis &amp; Proposed Targets</w:t>
      </w:r>
    </w:p>
    <w:p w14:paraId="677D6433" w14:textId="77777777" w:rsidR="0000407C" w:rsidRDefault="007E369D">
      <w:pPr>
        <w:pStyle w:val="Heading3"/>
        <w:rPr>
          <w:color w:val="265F66"/>
        </w:rPr>
      </w:pPr>
      <w:r>
        <w:rPr>
          <w:color w:val="265F66"/>
        </w:rPr>
        <w:t xml:space="preserve">1P1: Postsecondary Retention and Placement </w:t>
      </w:r>
    </w:p>
    <w:p w14:paraId="5079EBB1" w14:textId="08E7AAE5" w:rsidR="0000407C" w:rsidRDefault="007E369D">
      <w:r>
        <w:t>In Perkins V, the 1P1 Performance Indicator “</w:t>
      </w:r>
      <w:r>
        <w:rPr>
          <w:i/>
        </w:rPr>
        <w:t>Postsecondary Placement</w:t>
      </w:r>
      <w:r>
        <w:t xml:space="preserve">” assesses the percentage of CTE </w:t>
      </w:r>
      <w:r w:rsidR="00B73E4A">
        <w:t>c</w:t>
      </w:r>
      <w:r>
        <w:t xml:space="preserve">oncentrators who either remain enrolled in postsecondary education, engage in advanced training, military service, participate in a service or volunteer program, or </w:t>
      </w:r>
      <w:proofErr w:type="gramStart"/>
      <w:r>
        <w:t>are placed</w:t>
      </w:r>
      <w:proofErr w:type="gramEnd"/>
      <w:r>
        <w:t xml:space="preserve"> or retained in employment. </w:t>
      </w:r>
    </w:p>
    <w:p w14:paraId="7053C61B" w14:textId="51A9A642" w:rsidR="0000407C" w:rsidRDefault="007E369D">
      <w:pPr>
        <w:pBdr>
          <w:bottom w:val="single" w:sz="8" w:space="0" w:color="1B75BB"/>
        </w:pBdr>
        <w:shd w:val="clear" w:color="auto" w:fill="DDF0F2"/>
        <w:spacing w:after="0" w:line="276" w:lineRule="auto"/>
        <w:ind w:left="85" w:right="194" w:hanging="10"/>
      </w:pPr>
      <w:r>
        <w:rPr>
          <w:b/>
        </w:rPr>
        <w:t>Numerator:</w:t>
      </w:r>
      <w:r>
        <w:t xml:space="preserve"> # of CTE </w:t>
      </w:r>
      <w:r w:rsidR="00B73E4A">
        <w:t>c</w:t>
      </w:r>
      <w:r>
        <w:t>oncentrators who completed a program or program of study and, at 2nd quarter after program completion, remain enrolled in postsecondary education, are in advanced training, military service, or a service program that receives assistance under title I of the National Community Service Act of 1990, are volunteers as described in section 5(a) of Peace Corps Act, or are placed or retained in employment</w:t>
      </w:r>
      <w:r w:rsidR="007413D1">
        <w:t>.</w:t>
      </w:r>
    </w:p>
    <w:p w14:paraId="58E3EDB9" w14:textId="0C4F0ACE" w:rsidR="0000407C" w:rsidRDefault="007E369D">
      <w:pPr>
        <w:shd w:val="clear" w:color="auto" w:fill="DDF0F2"/>
        <w:spacing w:after="135" w:line="276" w:lineRule="auto"/>
        <w:ind w:left="85" w:right="216" w:hanging="10"/>
      </w:pPr>
      <w:r>
        <w:rPr>
          <w:b/>
        </w:rPr>
        <w:t>Denominator:</w:t>
      </w:r>
      <w:r>
        <w:t xml:space="preserve"> # of CTE </w:t>
      </w:r>
      <w:r w:rsidR="00B73E4A">
        <w:t>c</w:t>
      </w:r>
      <w:r>
        <w:t>oncentrators who completed a program or program of study during the reporting year</w:t>
      </w:r>
      <w:r w:rsidR="007413D1">
        <w:t>.</w:t>
      </w:r>
    </w:p>
    <w:p w14:paraId="3B23AC0C" w14:textId="77777777" w:rsidR="0000407C" w:rsidRDefault="007E369D">
      <w:pPr>
        <w:keepNext/>
        <w:pBdr>
          <w:top w:val="nil"/>
          <w:left w:val="nil"/>
          <w:bottom w:val="nil"/>
          <w:right w:val="nil"/>
          <w:between w:val="nil"/>
        </w:pBdr>
        <w:spacing w:after="200" w:line="240" w:lineRule="auto"/>
        <w:rPr>
          <w:b/>
          <w:i/>
          <w:color w:val="134163"/>
          <w:sz w:val="20"/>
          <w:szCs w:val="20"/>
        </w:rPr>
      </w:pPr>
      <w:bookmarkStart w:id="3" w:name="_heading=h.3whwml4" w:colFirst="0" w:colLast="0"/>
      <w:bookmarkEnd w:id="3"/>
      <w:r>
        <w:rPr>
          <w:b/>
          <w:i/>
          <w:color w:val="134163"/>
          <w:sz w:val="20"/>
          <w:szCs w:val="20"/>
        </w:rPr>
        <w:t xml:space="preserve">Table 3 Indicator 1P1 Performance Analysis </w:t>
      </w:r>
    </w:p>
    <w:tbl>
      <w:tblPr>
        <w:tblStyle w:val="2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155"/>
        <w:gridCol w:w="1710"/>
        <w:gridCol w:w="1710"/>
        <w:gridCol w:w="1733"/>
        <w:gridCol w:w="900"/>
        <w:gridCol w:w="1350"/>
      </w:tblGrid>
      <w:tr w:rsidR="0000407C" w14:paraId="27F4FE64" w14:textId="77777777" w:rsidTr="00461043">
        <w:trPr>
          <w:trHeight w:val="580"/>
          <w:tblHeader/>
        </w:trPr>
        <w:tc>
          <w:tcPr>
            <w:tcW w:w="2155" w:type="dxa"/>
            <w:shd w:val="clear" w:color="auto" w:fill="265F66"/>
          </w:tcPr>
          <w:p w14:paraId="628C1A08" w14:textId="77777777" w:rsidR="0000407C" w:rsidRDefault="007E369D">
            <w:pPr>
              <w:rPr>
                <w:b/>
                <w:color w:val="FFFFFF"/>
              </w:rPr>
            </w:pPr>
            <w:r>
              <w:rPr>
                <w:b/>
                <w:color w:val="FFFFFF"/>
              </w:rPr>
              <w:t>Indicator Value Type, 1P1</w:t>
            </w:r>
          </w:p>
        </w:tc>
        <w:tc>
          <w:tcPr>
            <w:tcW w:w="1710" w:type="dxa"/>
            <w:shd w:val="clear" w:color="auto" w:fill="265F66"/>
          </w:tcPr>
          <w:p w14:paraId="33CF7E4C" w14:textId="77777777" w:rsidR="0000407C" w:rsidRDefault="007E369D">
            <w:pPr>
              <w:rPr>
                <w:b/>
                <w:color w:val="FFFFFF"/>
              </w:rPr>
            </w:pPr>
            <w:r>
              <w:rPr>
                <w:b/>
                <w:color w:val="FFFFFF"/>
              </w:rPr>
              <w:t>Report year 2020-21</w:t>
            </w:r>
          </w:p>
        </w:tc>
        <w:tc>
          <w:tcPr>
            <w:tcW w:w="1710" w:type="dxa"/>
            <w:shd w:val="clear" w:color="auto" w:fill="265F66"/>
          </w:tcPr>
          <w:p w14:paraId="3A2CF7D6" w14:textId="77777777" w:rsidR="0000407C" w:rsidRDefault="007E369D">
            <w:pPr>
              <w:rPr>
                <w:b/>
                <w:color w:val="FFFFFF"/>
              </w:rPr>
            </w:pPr>
            <w:r>
              <w:rPr>
                <w:b/>
                <w:color w:val="FFFFFF"/>
              </w:rPr>
              <w:t>Report year 2021-22</w:t>
            </w:r>
          </w:p>
        </w:tc>
        <w:tc>
          <w:tcPr>
            <w:tcW w:w="1733" w:type="dxa"/>
            <w:shd w:val="clear" w:color="auto" w:fill="265F66"/>
          </w:tcPr>
          <w:p w14:paraId="6A2C987E" w14:textId="77777777" w:rsidR="0000407C" w:rsidRDefault="007E369D">
            <w:pPr>
              <w:rPr>
                <w:b/>
                <w:color w:val="FFFFFF"/>
              </w:rPr>
            </w:pPr>
            <w:r>
              <w:rPr>
                <w:b/>
                <w:color w:val="FFFFFF"/>
              </w:rPr>
              <w:t>Report year 2022-23</w:t>
            </w:r>
          </w:p>
        </w:tc>
        <w:tc>
          <w:tcPr>
            <w:tcW w:w="900" w:type="dxa"/>
            <w:shd w:val="clear" w:color="auto" w:fill="265F66"/>
          </w:tcPr>
          <w:p w14:paraId="4BE30C1D" w14:textId="77777777" w:rsidR="0000407C" w:rsidRDefault="007E369D">
            <w:pPr>
              <w:rPr>
                <w:b/>
                <w:color w:val="FFFFFF"/>
              </w:rPr>
            </w:pPr>
            <w:r>
              <w:rPr>
                <w:b/>
                <w:color w:val="FFFFFF"/>
              </w:rPr>
              <w:t>Base Level</w:t>
            </w:r>
          </w:p>
        </w:tc>
        <w:tc>
          <w:tcPr>
            <w:tcW w:w="1350" w:type="dxa"/>
            <w:shd w:val="clear" w:color="auto" w:fill="265F66"/>
          </w:tcPr>
          <w:p w14:paraId="6054956A" w14:textId="77777777" w:rsidR="0000407C" w:rsidRDefault="007E369D">
            <w:pPr>
              <w:rPr>
                <w:b/>
                <w:color w:val="FFFFFF"/>
              </w:rPr>
            </w:pPr>
            <w:r>
              <w:rPr>
                <w:b/>
                <w:color w:val="FFFFFF"/>
              </w:rPr>
              <w:t>Report year 2023-24</w:t>
            </w:r>
          </w:p>
        </w:tc>
      </w:tr>
      <w:tr w:rsidR="0000407C" w14:paraId="7A175E88" w14:textId="77777777" w:rsidTr="00461043">
        <w:trPr>
          <w:trHeight w:val="290"/>
        </w:trPr>
        <w:tc>
          <w:tcPr>
            <w:tcW w:w="2155" w:type="dxa"/>
          </w:tcPr>
          <w:p w14:paraId="7CD017F8" w14:textId="77777777" w:rsidR="0000407C" w:rsidRDefault="007E369D">
            <w:r>
              <w:t>Numerator Count</w:t>
            </w:r>
          </w:p>
        </w:tc>
        <w:tc>
          <w:tcPr>
            <w:tcW w:w="1710" w:type="dxa"/>
          </w:tcPr>
          <w:p w14:paraId="56347689" w14:textId="77777777" w:rsidR="0000407C" w:rsidRDefault="007E369D">
            <w:r>
              <w:t>5,105</w:t>
            </w:r>
          </w:p>
        </w:tc>
        <w:tc>
          <w:tcPr>
            <w:tcW w:w="1710" w:type="dxa"/>
          </w:tcPr>
          <w:p w14:paraId="35B43FE9" w14:textId="77777777" w:rsidR="0000407C" w:rsidRDefault="007E369D">
            <w:r>
              <w:t>4,401</w:t>
            </w:r>
          </w:p>
        </w:tc>
        <w:tc>
          <w:tcPr>
            <w:tcW w:w="1733" w:type="dxa"/>
            <w:shd w:val="clear" w:color="auto" w:fill="auto"/>
          </w:tcPr>
          <w:p w14:paraId="5F0494D3" w14:textId="16A0AC2F" w:rsidR="0000407C" w:rsidRDefault="007E369D">
            <w:r>
              <w:t>4</w:t>
            </w:r>
            <w:r w:rsidR="00E80C43">
              <w:t>,</w:t>
            </w:r>
            <w:r>
              <w:t>441</w:t>
            </w:r>
          </w:p>
        </w:tc>
        <w:tc>
          <w:tcPr>
            <w:tcW w:w="900" w:type="dxa"/>
          </w:tcPr>
          <w:p w14:paraId="4DCE51EC" w14:textId="2CFA480A" w:rsidR="0000407C" w:rsidRDefault="007E369D">
            <w:r>
              <w:t>4</w:t>
            </w:r>
            <w:r w:rsidR="00E80C43">
              <w:t>,</w:t>
            </w:r>
            <w:r>
              <w:t>421</w:t>
            </w:r>
          </w:p>
        </w:tc>
        <w:tc>
          <w:tcPr>
            <w:tcW w:w="1350" w:type="dxa"/>
            <w:shd w:val="clear" w:color="auto" w:fill="DDF0F2"/>
          </w:tcPr>
          <w:p w14:paraId="7F299A74" w14:textId="77777777" w:rsidR="0000407C" w:rsidRDefault="0000407C">
            <w:pPr>
              <w:rPr>
                <w:color w:val="DDF0F2"/>
              </w:rPr>
            </w:pPr>
          </w:p>
        </w:tc>
      </w:tr>
      <w:tr w:rsidR="0000407C" w14:paraId="7F50F898" w14:textId="77777777" w:rsidTr="00461043">
        <w:trPr>
          <w:trHeight w:val="290"/>
        </w:trPr>
        <w:tc>
          <w:tcPr>
            <w:tcW w:w="2155" w:type="dxa"/>
          </w:tcPr>
          <w:p w14:paraId="6D927420" w14:textId="77777777" w:rsidR="0000407C" w:rsidRDefault="007E369D">
            <w:r>
              <w:t>Denominator Count</w:t>
            </w:r>
          </w:p>
        </w:tc>
        <w:tc>
          <w:tcPr>
            <w:tcW w:w="1710" w:type="dxa"/>
          </w:tcPr>
          <w:p w14:paraId="267DDF0C" w14:textId="77777777" w:rsidR="0000407C" w:rsidRDefault="007E369D">
            <w:r>
              <w:t>5,837</w:t>
            </w:r>
          </w:p>
        </w:tc>
        <w:tc>
          <w:tcPr>
            <w:tcW w:w="1710" w:type="dxa"/>
          </w:tcPr>
          <w:p w14:paraId="45E286BB" w14:textId="77777777" w:rsidR="0000407C" w:rsidRDefault="007E369D">
            <w:r>
              <w:t>5,529</w:t>
            </w:r>
          </w:p>
        </w:tc>
        <w:tc>
          <w:tcPr>
            <w:tcW w:w="1733" w:type="dxa"/>
            <w:shd w:val="clear" w:color="auto" w:fill="auto"/>
          </w:tcPr>
          <w:p w14:paraId="1E5796B1" w14:textId="18AA6D9E" w:rsidR="0000407C" w:rsidRDefault="007E369D">
            <w:r>
              <w:t>5</w:t>
            </w:r>
            <w:r w:rsidR="00E80C43">
              <w:t>,</w:t>
            </w:r>
            <w:r>
              <w:t>467</w:t>
            </w:r>
          </w:p>
        </w:tc>
        <w:tc>
          <w:tcPr>
            <w:tcW w:w="900" w:type="dxa"/>
          </w:tcPr>
          <w:p w14:paraId="213CC737" w14:textId="5D3C12E6" w:rsidR="0000407C" w:rsidRDefault="007E369D">
            <w:r>
              <w:t>5</w:t>
            </w:r>
            <w:r w:rsidR="00E80C43">
              <w:t>,</w:t>
            </w:r>
            <w:r>
              <w:t>498</w:t>
            </w:r>
          </w:p>
        </w:tc>
        <w:tc>
          <w:tcPr>
            <w:tcW w:w="1350" w:type="dxa"/>
            <w:shd w:val="clear" w:color="auto" w:fill="DDF0F2"/>
          </w:tcPr>
          <w:p w14:paraId="33B34453" w14:textId="77777777" w:rsidR="0000407C" w:rsidRDefault="0000407C">
            <w:pPr>
              <w:rPr>
                <w:color w:val="DDF0F2"/>
              </w:rPr>
            </w:pPr>
          </w:p>
        </w:tc>
      </w:tr>
      <w:tr w:rsidR="0000407C" w14:paraId="59A0B27B" w14:textId="77777777" w:rsidTr="00461043">
        <w:trPr>
          <w:trHeight w:val="290"/>
        </w:trPr>
        <w:tc>
          <w:tcPr>
            <w:tcW w:w="2155" w:type="dxa"/>
          </w:tcPr>
          <w:p w14:paraId="605DD441" w14:textId="77777777" w:rsidR="0000407C" w:rsidRDefault="007E369D">
            <w:r>
              <w:t>Actual Performance</w:t>
            </w:r>
          </w:p>
        </w:tc>
        <w:tc>
          <w:tcPr>
            <w:tcW w:w="1710" w:type="dxa"/>
          </w:tcPr>
          <w:p w14:paraId="0AA4B754" w14:textId="77777777" w:rsidR="0000407C" w:rsidRDefault="007E369D">
            <w:pPr>
              <w:rPr>
                <w:b/>
              </w:rPr>
            </w:pPr>
            <w:r>
              <w:rPr>
                <w:b/>
              </w:rPr>
              <w:t>87.46%</w:t>
            </w:r>
          </w:p>
        </w:tc>
        <w:tc>
          <w:tcPr>
            <w:tcW w:w="1710" w:type="dxa"/>
          </w:tcPr>
          <w:p w14:paraId="6C19D2B3" w14:textId="77777777" w:rsidR="0000407C" w:rsidRDefault="007E369D">
            <w:pPr>
              <w:rPr>
                <w:b/>
              </w:rPr>
            </w:pPr>
            <w:r>
              <w:rPr>
                <w:b/>
              </w:rPr>
              <w:t>79.60%</w:t>
            </w:r>
          </w:p>
        </w:tc>
        <w:tc>
          <w:tcPr>
            <w:tcW w:w="1733" w:type="dxa"/>
            <w:shd w:val="clear" w:color="auto" w:fill="auto"/>
          </w:tcPr>
          <w:p w14:paraId="35B51E48" w14:textId="77777777" w:rsidR="0000407C" w:rsidRDefault="007E369D">
            <w:pPr>
              <w:rPr>
                <w:b/>
              </w:rPr>
            </w:pPr>
            <w:r>
              <w:rPr>
                <w:b/>
              </w:rPr>
              <w:t>81.23%</w:t>
            </w:r>
          </w:p>
        </w:tc>
        <w:tc>
          <w:tcPr>
            <w:tcW w:w="900" w:type="dxa"/>
          </w:tcPr>
          <w:p w14:paraId="00577060" w14:textId="77777777" w:rsidR="0000407C" w:rsidRDefault="007E369D">
            <w:pPr>
              <w:rPr>
                <w:b/>
              </w:rPr>
            </w:pPr>
            <w:r>
              <w:rPr>
                <w:b/>
              </w:rPr>
              <w:t>80.42%</w:t>
            </w:r>
          </w:p>
        </w:tc>
        <w:tc>
          <w:tcPr>
            <w:tcW w:w="1350" w:type="dxa"/>
            <w:shd w:val="clear" w:color="auto" w:fill="DDF0F2"/>
          </w:tcPr>
          <w:p w14:paraId="357EB98A" w14:textId="77777777" w:rsidR="0000407C" w:rsidRDefault="0000407C">
            <w:pPr>
              <w:rPr>
                <w:color w:val="DDF0F2"/>
              </w:rPr>
            </w:pPr>
          </w:p>
        </w:tc>
      </w:tr>
      <w:tr w:rsidR="0000407C" w14:paraId="5D347B4B" w14:textId="77777777" w:rsidTr="00461043">
        <w:trPr>
          <w:trHeight w:val="290"/>
        </w:trPr>
        <w:tc>
          <w:tcPr>
            <w:tcW w:w="2155" w:type="dxa"/>
          </w:tcPr>
          <w:p w14:paraId="04EC0EA0" w14:textId="77777777" w:rsidR="0000407C" w:rsidRDefault="007E369D">
            <w:r>
              <w:t>Performance Target</w:t>
            </w:r>
          </w:p>
        </w:tc>
        <w:tc>
          <w:tcPr>
            <w:tcW w:w="1710" w:type="dxa"/>
          </w:tcPr>
          <w:p w14:paraId="6EF9BFDA" w14:textId="77777777" w:rsidR="0000407C" w:rsidRDefault="007E369D">
            <w:r>
              <w:t>62.80%</w:t>
            </w:r>
          </w:p>
        </w:tc>
        <w:tc>
          <w:tcPr>
            <w:tcW w:w="1710" w:type="dxa"/>
          </w:tcPr>
          <w:p w14:paraId="7E420314" w14:textId="77777777" w:rsidR="0000407C" w:rsidRDefault="007E369D">
            <w:r>
              <w:t>63.20%</w:t>
            </w:r>
          </w:p>
        </w:tc>
        <w:tc>
          <w:tcPr>
            <w:tcW w:w="1733" w:type="dxa"/>
          </w:tcPr>
          <w:p w14:paraId="457D2441" w14:textId="77777777" w:rsidR="0000407C" w:rsidRDefault="007E369D">
            <w:r>
              <w:t>67.60%</w:t>
            </w:r>
          </w:p>
        </w:tc>
        <w:tc>
          <w:tcPr>
            <w:tcW w:w="900" w:type="dxa"/>
            <w:shd w:val="clear" w:color="auto" w:fill="DDF0F2"/>
          </w:tcPr>
          <w:p w14:paraId="6CE4B38B" w14:textId="77777777" w:rsidR="0000407C" w:rsidRDefault="0000407C"/>
        </w:tc>
        <w:tc>
          <w:tcPr>
            <w:tcW w:w="1350" w:type="dxa"/>
          </w:tcPr>
          <w:p w14:paraId="1CC8C4D9" w14:textId="77777777" w:rsidR="0000407C" w:rsidRDefault="007E369D">
            <w:r>
              <w:t>72.00%</w:t>
            </w:r>
          </w:p>
        </w:tc>
      </w:tr>
      <w:tr w:rsidR="0000407C" w14:paraId="1F688982" w14:textId="77777777" w:rsidTr="00461043">
        <w:trPr>
          <w:trHeight w:val="290"/>
        </w:trPr>
        <w:tc>
          <w:tcPr>
            <w:tcW w:w="2155" w:type="dxa"/>
          </w:tcPr>
          <w:p w14:paraId="416ACA82" w14:textId="77777777" w:rsidR="0000407C" w:rsidRDefault="007E369D">
            <w:r>
              <w:t>Performance Type</w:t>
            </w:r>
          </w:p>
        </w:tc>
        <w:tc>
          <w:tcPr>
            <w:tcW w:w="1710" w:type="dxa"/>
          </w:tcPr>
          <w:p w14:paraId="38E7A409" w14:textId="77777777" w:rsidR="0000407C" w:rsidRDefault="007E369D">
            <w:r>
              <w:t>Met or Exceeded Target</w:t>
            </w:r>
          </w:p>
        </w:tc>
        <w:tc>
          <w:tcPr>
            <w:tcW w:w="1710" w:type="dxa"/>
          </w:tcPr>
          <w:p w14:paraId="298CB9B3" w14:textId="77777777" w:rsidR="0000407C" w:rsidRDefault="007E369D">
            <w:r>
              <w:t>Met or Exceeded Target</w:t>
            </w:r>
          </w:p>
        </w:tc>
        <w:tc>
          <w:tcPr>
            <w:tcW w:w="1733" w:type="dxa"/>
            <w:shd w:val="clear" w:color="auto" w:fill="auto"/>
          </w:tcPr>
          <w:p w14:paraId="16BCC5FF" w14:textId="77777777" w:rsidR="0000407C" w:rsidRDefault="007E369D">
            <w:r>
              <w:t>Met or Exceeded Target</w:t>
            </w:r>
          </w:p>
        </w:tc>
        <w:tc>
          <w:tcPr>
            <w:tcW w:w="900" w:type="dxa"/>
            <w:shd w:val="clear" w:color="auto" w:fill="DDF0F2"/>
          </w:tcPr>
          <w:p w14:paraId="6304836D" w14:textId="77777777" w:rsidR="0000407C" w:rsidRDefault="0000407C"/>
        </w:tc>
        <w:tc>
          <w:tcPr>
            <w:tcW w:w="1350" w:type="dxa"/>
            <w:shd w:val="clear" w:color="auto" w:fill="DDF0F2"/>
          </w:tcPr>
          <w:p w14:paraId="3F32EADA" w14:textId="77777777" w:rsidR="0000407C" w:rsidRDefault="0000407C">
            <w:pPr>
              <w:rPr>
                <w:color w:val="58B6C0"/>
              </w:rPr>
            </w:pPr>
          </w:p>
        </w:tc>
      </w:tr>
    </w:tbl>
    <w:p w14:paraId="087011AD" w14:textId="77777777" w:rsidR="0000407C" w:rsidRDefault="007E369D">
      <w:pPr>
        <w:spacing w:before="240" w:after="240"/>
      </w:pPr>
      <w:r>
        <w:t xml:space="preserve">Oregon’s statewide performance in the </w:t>
      </w:r>
      <w:r w:rsidRPr="00E42B79">
        <w:rPr>
          <w:i/>
          <w:iCs/>
        </w:rPr>
        <w:t>Postsecondary Retention and Placement</w:t>
      </w:r>
      <w:r>
        <w:t xml:space="preserve"> (1P1) indicator was 87.46% in 2020-21, 79.60% in 2021-22, and 81.23% in 2022-23. The average performance of program years 2021-22 and 2022-23, referred to as the Base Level, is 80.42%. (</w:t>
      </w:r>
      <w:r>
        <w:rPr>
          <w:color w:val="265F65"/>
        </w:rPr>
        <w:t>Table</w:t>
      </w:r>
      <w:r>
        <w:t xml:space="preserve"> 3).</w:t>
      </w:r>
    </w:p>
    <w:p w14:paraId="4E62DE55" w14:textId="77777777" w:rsidR="0000407C" w:rsidRDefault="007E369D">
      <w:pPr>
        <w:keepNext/>
        <w:pBdr>
          <w:top w:val="nil"/>
          <w:left w:val="nil"/>
          <w:bottom w:val="nil"/>
          <w:right w:val="nil"/>
          <w:between w:val="nil"/>
        </w:pBdr>
        <w:spacing w:after="200" w:line="240" w:lineRule="auto"/>
        <w:rPr>
          <w:b/>
          <w:i/>
          <w:color w:val="134163"/>
          <w:sz w:val="20"/>
          <w:szCs w:val="20"/>
        </w:rPr>
      </w:pPr>
      <w:bookmarkStart w:id="4" w:name="_heading=h.2bn6wsx" w:colFirst="0" w:colLast="0"/>
      <w:bookmarkEnd w:id="4"/>
      <w:r>
        <w:rPr>
          <w:b/>
          <w:i/>
          <w:color w:val="134163"/>
          <w:sz w:val="20"/>
          <w:szCs w:val="20"/>
        </w:rPr>
        <w:t>Table 4 Indicator 1P1 Proposed Targets</w:t>
      </w:r>
    </w:p>
    <w:tbl>
      <w:tblPr>
        <w:tblStyle w:val="21"/>
        <w:tblW w:w="4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960"/>
        <w:gridCol w:w="2100"/>
      </w:tblGrid>
      <w:tr w:rsidR="0000407C" w14:paraId="1A983440" w14:textId="77777777" w:rsidTr="00461043">
        <w:trPr>
          <w:cantSplit/>
          <w:trHeight w:val="290"/>
          <w:tblHeader/>
          <w:jc w:val="center"/>
        </w:trPr>
        <w:tc>
          <w:tcPr>
            <w:tcW w:w="1960" w:type="dxa"/>
            <w:shd w:val="clear" w:color="auto" w:fill="265F66"/>
          </w:tcPr>
          <w:p w14:paraId="41F83D78" w14:textId="77777777" w:rsidR="0000407C" w:rsidRDefault="007E369D">
            <w:pPr>
              <w:jc w:val="center"/>
              <w:rPr>
                <w:b/>
                <w:color w:val="FFFFFF"/>
              </w:rPr>
            </w:pPr>
            <w:r>
              <w:rPr>
                <w:b/>
                <w:color w:val="FFFFFF"/>
              </w:rPr>
              <w:t>Report Year</w:t>
            </w:r>
          </w:p>
        </w:tc>
        <w:tc>
          <w:tcPr>
            <w:tcW w:w="2100" w:type="dxa"/>
            <w:shd w:val="clear" w:color="auto" w:fill="265F66"/>
          </w:tcPr>
          <w:p w14:paraId="6B5AEF38" w14:textId="77777777" w:rsidR="0000407C" w:rsidRDefault="007E369D">
            <w:pPr>
              <w:jc w:val="center"/>
              <w:rPr>
                <w:b/>
                <w:color w:val="FFFFFF"/>
              </w:rPr>
            </w:pPr>
            <w:r>
              <w:rPr>
                <w:b/>
                <w:color w:val="FFFFFF"/>
              </w:rPr>
              <w:t>Proposed Target</w:t>
            </w:r>
          </w:p>
        </w:tc>
      </w:tr>
      <w:tr w:rsidR="0000407C" w14:paraId="7C18524D" w14:textId="77777777" w:rsidTr="00461043">
        <w:trPr>
          <w:trHeight w:val="290"/>
          <w:jc w:val="center"/>
        </w:trPr>
        <w:tc>
          <w:tcPr>
            <w:tcW w:w="1960" w:type="dxa"/>
          </w:tcPr>
          <w:p w14:paraId="5C194D4C" w14:textId="77777777" w:rsidR="0000407C" w:rsidRDefault="007E369D">
            <w:pPr>
              <w:tabs>
                <w:tab w:val="left" w:pos="7200"/>
              </w:tabs>
              <w:jc w:val="center"/>
            </w:pPr>
            <w:r>
              <w:t>2024-25</w:t>
            </w:r>
          </w:p>
        </w:tc>
        <w:tc>
          <w:tcPr>
            <w:tcW w:w="2100" w:type="dxa"/>
          </w:tcPr>
          <w:p w14:paraId="51B7327A" w14:textId="77777777" w:rsidR="0000407C" w:rsidRDefault="007E369D">
            <w:pPr>
              <w:tabs>
                <w:tab w:val="left" w:pos="7200"/>
              </w:tabs>
              <w:jc w:val="center"/>
            </w:pPr>
            <w:r>
              <w:t>83.75%</w:t>
            </w:r>
          </w:p>
        </w:tc>
      </w:tr>
      <w:tr w:rsidR="0000407C" w14:paraId="7E637106" w14:textId="77777777" w:rsidTr="00461043">
        <w:trPr>
          <w:trHeight w:val="290"/>
          <w:jc w:val="center"/>
        </w:trPr>
        <w:tc>
          <w:tcPr>
            <w:tcW w:w="1960" w:type="dxa"/>
          </w:tcPr>
          <w:p w14:paraId="4C1A47F6" w14:textId="77777777" w:rsidR="0000407C" w:rsidRDefault="007E369D">
            <w:pPr>
              <w:tabs>
                <w:tab w:val="left" w:pos="7200"/>
              </w:tabs>
              <w:jc w:val="center"/>
            </w:pPr>
            <w:r>
              <w:t>2025-26</w:t>
            </w:r>
          </w:p>
        </w:tc>
        <w:tc>
          <w:tcPr>
            <w:tcW w:w="2100" w:type="dxa"/>
          </w:tcPr>
          <w:p w14:paraId="2747891A" w14:textId="77777777" w:rsidR="0000407C" w:rsidRDefault="007E369D">
            <w:pPr>
              <w:tabs>
                <w:tab w:val="left" w:pos="7200"/>
              </w:tabs>
              <w:jc w:val="center"/>
            </w:pPr>
            <w:r>
              <w:t>84.25%</w:t>
            </w:r>
          </w:p>
        </w:tc>
      </w:tr>
      <w:tr w:rsidR="0000407C" w14:paraId="320934C9" w14:textId="77777777" w:rsidTr="00461043">
        <w:trPr>
          <w:trHeight w:val="290"/>
          <w:jc w:val="center"/>
        </w:trPr>
        <w:tc>
          <w:tcPr>
            <w:tcW w:w="1960" w:type="dxa"/>
          </w:tcPr>
          <w:p w14:paraId="47F3F76E" w14:textId="77777777" w:rsidR="0000407C" w:rsidRDefault="007E369D">
            <w:pPr>
              <w:tabs>
                <w:tab w:val="left" w:pos="7200"/>
              </w:tabs>
              <w:jc w:val="center"/>
            </w:pPr>
            <w:r>
              <w:t>2026-27</w:t>
            </w:r>
          </w:p>
        </w:tc>
        <w:tc>
          <w:tcPr>
            <w:tcW w:w="2100" w:type="dxa"/>
          </w:tcPr>
          <w:p w14:paraId="7568015D" w14:textId="77777777" w:rsidR="0000407C" w:rsidRDefault="007E369D">
            <w:pPr>
              <w:tabs>
                <w:tab w:val="left" w:pos="7200"/>
              </w:tabs>
              <w:jc w:val="center"/>
            </w:pPr>
            <w:r>
              <w:t>84.75%</w:t>
            </w:r>
          </w:p>
        </w:tc>
      </w:tr>
      <w:tr w:rsidR="0000407C" w14:paraId="3BBF330C" w14:textId="77777777" w:rsidTr="00461043">
        <w:trPr>
          <w:trHeight w:val="290"/>
          <w:jc w:val="center"/>
        </w:trPr>
        <w:tc>
          <w:tcPr>
            <w:tcW w:w="1960" w:type="dxa"/>
          </w:tcPr>
          <w:p w14:paraId="263AE15B" w14:textId="77777777" w:rsidR="0000407C" w:rsidRDefault="007E369D">
            <w:pPr>
              <w:tabs>
                <w:tab w:val="left" w:pos="7200"/>
              </w:tabs>
              <w:jc w:val="center"/>
            </w:pPr>
            <w:r>
              <w:t>2027-28</w:t>
            </w:r>
          </w:p>
        </w:tc>
        <w:tc>
          <w:tcPr>
            <w:tcW w:w="2100" w:type="dxa"/>
          </w:tcPr>
          <w:p w14:paraId="3BE42DD6" w14:textId="77777777" w:rsidR="0000407C" w:rsidRDefault="007E369D">
            <w:pPr>
              <w:tabs>
                <w:tab w:val="left" w:pos="7200"/>
              </w:tabs>
              <w:jc w:val="center"/>
            </w:pPr>
            <w:r>
              <w:t>85.25%</w:t>
            </w:r>
          </w:p>
        </w:tc>
      </w:tr>
    </w:tbl>
    <w:p w14:paraId="31163810" w14:textId="57029019" w:rsidR="0000407C" w:rsidRDefault="007E369D">
      <w:pPr>
        <w:spacing w:before="240"/>
      </w:pPr>
      <w:r>
        <w:t xml:space="preserve">The proposed targets for the </w:t>
      </w:r>
      <w:r>
        <w:rPr>
          <w:i/>
        </w:rPr>
        <w:t>Postsecondary Retention and Placement</w:t>
      </w:r>
      <w:r>
        <w:t xml:space="preserve"> (1P1) performance indicator for program years 2024-25 through 2027-28 </w:t>
      </w:r>
      <w:proofErr w:type="gramStart"/>
      <w:r>
        <w:t>are outlined</w:t>
      </w:r>
      <w:proofErr w:type="gramEnd"/>
      <w:r>
        <w:t xml:space="preserve"> in </w:t>
      </w:r>
      <w:r>
        <w:rPr>
          <w:color w:val="265F66"/>
        </w:rPr>
        <w:t>Table</w:t>
      </w:r>
      <w:r>
        <w:t xml:space="preserve"> 4. These targets are based on the Base Level (the two-year average performance) and align with the “continuous improvement” federal standard.</w:t>
      </w:r>
    </w:p>
    <w:p w14:paraId="3C719C73" w14:textId="77777777" w:rsidR="0000407C" w:rsidRDefault="007E369D">
      <w:pPr>
        <w:pStyle w:val="Heading3"/>
      </w:pPr>
      <w:bookmarkStart w:id="5" w:name="_heading=h.sv2ei1s6z4yp" w:colFirst="0" w:colLast="0"/>
      <w:bookmarkEnd w:id="5"/>
      <w:r>
        <w:rPr>
          <w:color w:val="265F66"/>
        </w:rPr>
        <w:t xml:space="preserve">2P1: Earned Recognized Postsecondary Credential </w:t>
      </w:r>
    </w:p>
    <w:p w14:paraId="6D8BAB0F" w14:textId="6D5723BB" w:rsidR="0000407C" w:rsidRDefault="007E369D">
      <w:r>
        <w:t xml:space="preserve">In Perkins V, the 2P1 Performance Indicator “Earned Recognized Postsecondary Credential” assesses the percentage of CTE </w:t>
      </w:r>
      <w:r w:rsidR="00B73E4A">
        <w:t>c</w:t>
      </w:r>
      <w:r>
        <w:t xml:space="preserve">oncentrators who attain a recognized postsecondary credential during their participation in a program or within one year of program completion. </w:t>
      </w:r>
    </w:p>
    <w:p w14:paraId="222E6300" w14:textId="586718C2" w:rsidR="0000407C" w:rsidRDefault="007E369D">
      <w:pPr>
        <w:pBdr>
          <w:bottom w:val="single" w:sz="8" w:space="0" w:color="1B75BB"/>
        </w:pBdr>
        <w:shd w:val="clear" w:color="auto" w:fill="E3F1ED"/>
        <w:spacing w:after="0" w:line="276" w:lineRule="auto"/>
        <w:ind w:left="85" w:right="194" w:hanging="10"/>
      </w:pPr>
      <w:r>
        <w:rPr>
          <w:b/>
        </w:rPr>
        <w:t>Numerator:</w:t>
      </w:r>
      <w:r>
        <w:t xml:space="preserve"> # of CTE </w:t>
      </w:r>
      <w:r w:rsidR="00B73E4A">
        <w:t>c</w:t>
      </w:r>
      <w:r>
        <w:t>oncentrators who received a recognized postsecondary credential during participation in or within 1 year of program completion</w:t>
      </w:r>
      <w:r w:rsidR="007413D1">
        <w:t>.</w:t>
      </w:r>
    </w:p>
    <w:p w14:paraId="6898B6E9" w14:textId="1CDB3F80" w:rsidR="0000407C" w:rsidRDefault="007E369D">
      <w:pPr>
        <w:shd w:val="clear" w:color="auto" w:fill="E3F1ED"/>
        <w:spacing w:after="135" w:line="276" w:lineRule="auto"/>
        <w:ind w:left="85" w:right="216" w:hanging="10"/>
      </w:pPr>
      <w:r>
        <w:rPr>
          <w:b/>
        </w:rPr>
        <w:t>Denominator:</w:t>
      </w:r>
      <w:r>
        <w:t xml:space="preserve"> # of CTE concentrators who left postsecondary education in the prior reporting year</w:t>
      </w:r>
      <w:r w:rsidR="007413D1">
        <w:t>.</w:t>
      </w:r>
    </w:p>
    <w:p w14:paraId="45AE0686" w14:textId="77777777" w:rsidR="0000407C" w:rsidRDefault="007E369D">
      <w:pPr>
        <w:keepNext/>
        <w:pBdr>
          <w:top w:val="nil"/>
          <w:left w:val="nil"/>
          <w:bottom w:val="nil"/>
          <w:right w:val="nil"/>
          <w:between w:val="nil"/>
        </w:pBdr>
        <w:spacing w:after="200" w:line="240" w:lineRule="auto"/>
        <w:rPr>
          <w:b/>
          <w:i/>
          <w:color w:val="134163"/>
          <w:sz w:val="20"/>
          <w:szCs w:val="20"/>
        </w:rPr>
      </w:pPr>
      <w:bookmarkStart w:id="6" w:name="_heading=h.qsh70q" w:colFirst="0" w:colLast="0"/>
      <w:bookmarkEnd w:id="6"/>
      <w:r>
        <w:rPr>
          <w:b/>
          <w:i/>
          <w:color w:val="134163"/>
          <w:sz w:val="20"/>
          <w:szCs w:val="20"/>
        </w:rPr>
        <w:t>Table 5 Indicator 2P1 Performance Analysis</w:t>
      </w:r>
    </w:p>
    <w:tbl>
      <w:tblPr>
        <w:tblStyle w:val="20"/>
        <w:tblW w:w="9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155"/>
        <w:gridCol w:w="1710"/>
        <w:gridCol w:w="1710"/>
        <w:gridCol w:w="1823"/>
        <w:gridCol w:w="889"/>
        <w:gridCol w:w="1440"/>
      </w:tblGrid>
      <w:tr w:rsidR="0000407C" w14:paraId="5C8BED97" w14:textId="77777777" w:rsidTr="00461043">
        <w:trPr>
          <w:trHeight w:val="580"/>
          <w:tblHeader/>
        </w:trPr>
        <w:tc>
          <w:tcPr>
            <w:tcW w:w="2155" w:type="dxa"/>
            <w:shd w:val="clear" w:color="auto" w:fill="265F66"/>
          </w:tcPr>
          <w:p w14:paraId="403D2283" w14:textId="77777777" w:rsidR="0000407C" w:rsidRDefault="007E369D">
            <w:pPr>
              <w:rPr>
                <w:b/>
                <w:color w:val="FFFFFF"/>
              </w:rPr>
            </w:pPr>
            <w:r>
              <w:rPr>
                <w:b/>
                <w:color w:val="FFFFFF"/>
              </w:rPr>
              <w:t>Indicator Value Type, 2P1</w:t>
            </w:r>
          </w:p>
        </w:tc>
        <w:tc>
          <w:tcPr>
            <w:tcW w:w="1710" w:type="dxa"/>
            <w:shd w:val="clear" w:color="auto" w:fill="265F66"/>
          </w:tcPr>
          <w:p w14:paraId="0461E1A5" w14:textId="77777777" w:rsidR="0000407C" w:rsidRDefault="007E369D">
            <w:pPr>
              <w:rPr>
                <w:b/>
                <w:color w:val="FFFFFF"/>
              </w:rPr>
            </w:pPr>
            <w:r>
              <w:rPr>
                <w:b/>
                <w:color w:val="FFFFFF"/>
              </w:rPr>
              <w:t>Report year 2020-21</w:t>
            </w:r>
          </w:p>
        </w:tc>
        <w:tc>
          <w:tcPr>
            <w:tcW w:w="1710" w:type="dxa"/>
            <w:shd w:val="clear" w:color="auto" w:fill="265F66"/>
          </w:tcPr>
          <w:p w14:paraId="3A1A398E" w14:textId="77777777" w:rsidR="0000407C" w:rsidRDefault="007E369D">
            <w:pPr>
              <w:rPr>
                <w:b/>
                <w:color w:val="FFFFFF"/>
              </w:rPr>
            </w:pPr>
            <w:r>
              <w:rPr>
                <w:b/>
                <w:color w:val="FFFFFF"/>
              </w:rPr>
              <w:t>Report year 2021-22</w:t>
            </w:r>
          </w:p>
        </w:tc>
        <w:tc>
          <w:tcPr>
            <w:tcW w:w="1823" w:type="dxa"/>
            <w:shd w:val="clear" w:color="auto" w:fill="265F66"/>
          </w:tcPr>
          <w:p w14:paraId="1B1EC26C" w14:textId="77777777" w:rsidR="0000407C" w:rsidRDefault="007E369D">
            <w:pPr>
              <w:rPr>
                <w:b/>
                <w:color w:val="FFFFFF"/>
              </w:rPr>
            </w:pPr>
            <w:r>
              <w:rPr>
                <w:b/>
                <w:color w:val="FFFFFF"/>
              </w:rPr>
              <w:t>Report year 2022-23</w:t>
            </w:r>
          </w:p>
        </w:tc>
        <w:tc>
          <w:tcPr>
            <w:tcW w:w="889" w:type="dxa"/>
            <w:shd w:val="clear" w:color="auto" w:fill="265F66"/>
          </w:tcPr>
          <w:p w14:paraId="061567CE" w14:textId="77777777" w:rsidR="0000407C" w:rsidRDefault="007E369D">
            <w:pPr>
              <w:rPr>
                <w:b/>
                <w:color w:val="FFFFFF"/>
              </w:rPr>
            </w:pPr>
            <w:r>
              <w:rPr>
                <w:b/>
                <w:color w:val="FFFFFF"/>
              </w:rPr>
              <w:t>Base Level</w:t>
            </w:r>
          </w:p>
        </w:tc>
        <w:tc>
          <w:tcPr>
            <w:tcW w:w="1440" w:type="dxa"/>
            <w:shd w:val="clear" w:color="auto" w:fill="265F66"/>
          </w:tcPr>
          <w:p w14:paraId="7E3BF0A5" w14:textId="77777777" w:rsidR="0000407C" w:rsidRDefault="007E369D">
            <w:pPr>
              <w:rPr>
                <w:b/>
                <w:color w:val="FFFFFF"/>
              </w:rPr>
            </w:pPr>
            <w:r>
              <w:rPr>
                <w:b/>
                <w:color w:val="FFFFFF"/>
              </w:rPr>
              <w:t>Report year 2023-24</w:t>
            </w:r>
          </w:p>
        </w:tc>
      </w:tr>
      <w:tr w:rsidR="0000407C" w14:paraId="16147FEF" w14:textId="77777777" w:rsidTr="00461043">
        <w:trPr>
          <w:trHeight w:val="290"/>
        </w:trPr>
        <w:tc>
          <w:tcPr>
            <w:tcW w:w="2155" w:type="dxa"/>
          </w:tcPr>
          <w:p w14:paraId="7F26993C" w14:textId="77777777" w:rsidR="0000407C" w:rsidRDefault="007E369D">
            <w:r>
              <w:t>Numerator Count</w:t>
            </w:r>
          </w:p>
        </w:tc>
        <w:tc>
          <w:tcPr>
            <w:tcW w:w="1710" w:type="dxa"/>
          </w:tcPr>
          <w:p w14:paraId="06D19BC5" w14:textId="77777777" w:rsidR="0000407C" w:rsidRDefault="007E369D">
            <w:r>
              <w:t>4,530</w:t>
            </w:r>
          </w:p>
        </w:tc>
        <w:tc>
          <w:tcPr>
            <w:tcW w:w="1710" w:type="dxa"/>
          </w:tcPr>
          <w:p w14:paraId="3251898B" w14:textId="77777777" w:rsidR="0000407C" w:rsidRDefault="007E369D">
            <w:r>
              <w:t>4,503</w:t>
            </w:r>
          </w:p>
        </w:tc>
        <w:tc>
          <w:tcPr>
            <w:tcW w:w="1823" w:type="dxa"/>
            <w:shd w:val="clear" w:color="auto" w:fill="auto"/>
          </w:tcPr>
          <w:p w14:paraId="7D165D14" w14:textId="77777777" w:rsidR="0000407C" w:rsidRDefault="007E369D">
            <w:r>
              <w:t>5,521</w:t>
            </w:r>
          </w:p>
        </w:tc>
        <w:tc>
          <w:tcPr>
            <w:tcW w:w="889" w:type="dxa"/>
            <w:shd w:val="clear" w:color="auto" w:fill="auto"/>
          </w:tcPr>
          <w:p w14:paraId="5DFDC253" w14:textId="77777777" w:rsidR="0000407C" w:rsidRDefault="007E369D">
            <w:pPr>
              <w:rPr>
                <w:b/>
              </w:rPr>
            </w:pPr>
            <w:r>
              <w:rPr>
                <w:b/>
              </w:rPr>
              <w:t>5,012</w:t>
            </w:r>
          </w:p>
        </w:tc>
        <w:tc>
          <w:tcPr>
            <w:tcW w:w="1440" w:type="dxa"/>
            <w:shd w:val="clear" w:color="auto" w:fill="DDF0F2"/>
          </w:tcPr>
          <w:p w14:paraId="6B14BFF1" w14:textId="77777777" w:rsidR="0000407C" w:rsidRDefault="0000407C">
            <w:pPr>
              <w:rPr>
                <w:color w:val="DDF0F2"/>
              </w:rPr>
            </w:pPr>
          </w:p>
        </w:tc>
      </w:tr>
      <w:tr w:rsidR="0000407C" w14:paraId="0D2DDE16" w14:textId="77777777" w:rsidTr="00461043">
        <w:trPr>
          <w:trHeight w:val="290"/>
        </w:trPr>
        <w:tc>
          <w:tcPr>
            <w:tcW w:w="2155" w:type="dxa"/>
          </w:tcPr>
          <w:p w14:paraId="2B7C9F36" w14:textId="77777777" w:rsidR="0000407C" w:rsidRDefault="007E369D">
            <w:r>
              <w:t>Denominator Count</w:t>
            </w:r>
          </w:p>
        </w:tc>
        <w:tc>
          <w:tcPr>
            <w:tcW w:w="1710" w:type="dxa"/>
          </w:tcPr>
          <w:p w14:paraId="66F4949C" w14:textId="77777777" w:rsidR="0000407C" w:rsidRDefault="007E369D">
            <w:r>
              <w:t>9,347</w:t>
            </w:r>
          </w:p>
        </w:tc>
        <w:tc>
          <w:tcPr>
            <w:tcW w:w="1710" w:type="dxa"/>
          </w:tcPr>
          <w:p w14:paraId="4FF61523" w14:textId="77777777" w:rsidR="0000407C" w:rsidRDefault="007E369D">
            <w:r>
              <w:t>8,426</w:t>
            </w:r>
          </w:p>
        </w:tc>
        <w:tc>
          <w:tcPr>
            <w:tcW w:w="1823" w:type="dxa"/>
            <w:shd w:val="clear" w:color="auto" w:fill="auto"/>
          </w:tcPr>
          <w:p w14:paraId="2E95D235" w14:textId="77777777" w:rsidR="0000407C" w:rsidRDefault="007E369D">
            <w:r>
              <w:t>9,623</w:t>
            </w:r>
          </w:p>
        </w:tc>
        <w:tc>
          <w:tcPr>
            <w:tcW w:w="889" w:type="dxa"/>
            <w:shd w:val="clear" w:color="auto" w:fill="auto"/>
          </w:tcPr>
          <w:p w14:paraId="44AE03B6" w14:textId="77777777" w:rsidR="0000407C" w:rsidRDefault="007E369D">
            <w:pPr>
              <w:rPr>
                <w:b/>
              </w:rPr>
            </w:pPr>
            <w:r>
              <w:rPr>
                <w:b/>
              </w:rPr>
              <w:t>9,024.5</w:t>
            </w:r>
          </w:p>
        </w:tc>
        <w:tc>
          <w:tcPr>
            <w:tcW w:w="1440" w:type="dxa"/>
            <w:shd w:val="clear" w:color="auto" w:fill="DDF0F2"/>
          </w:tcPr>
          <w:p w14:paraId="62D12964" w14:textId="77777777" w:rsidR="0000407C" w:rsidRDefault="0000407C">
            <w:pPr>
              <w:rPr>
                <w:color w:val="DDF0F2"/>
              </w:rPr>
            </w:pPr>
          </w:p>
        </w:tc>
      </w:tr>
      <w:tr w:rsidR="0000407C" w14:paraId="267B931A" w14:textId="77777777" w:rsidTr="00461043">
        <w:trPr>
          <w:trHeight w:val="290"/>
        </w:trPr>
        <w:tc>
          <w:tcPr>
            <w:tcW w:w="2155" w:type="dxa"/>
          </w:tcPr>
          <w:p w14:paraId="33ADB607" w14:textId="77777777" w:rsidR="0000407C" w:rsidRDefault="007E369D">
            <w:r>
              <w:t>Actual Performance</w:t>
            </w:r>
          </w:p>
        </w:tc>
        <w:tc>
          <w:tcPr>
            <w:tcW w:w="1710" w:type="dxa"/>
          </w:tcPr>
          <w:p w14:paraId="2A2D01B0" w14:textId="77777777" w:rsidR="0000407C" w:rsidRDefault="007E369D">
            <w:pPr>
              <w:rPr>
                <w:b/>
              </w:rPr>
            </w:pPr>
            <w:r>
              <w:rPr>
                <w:b/>
              </w:rPr>
              <w:t>48.46%</w:t>
            </w:r>
          </w:p>
        </w:tc>
        <w:tc>
          <w:tcPr>
            <w:tcW w:w="1710" w:type="dxa"/>
          </w:tcPr>
          <w:p w14:paraId="1BA679EF" w14:textId="77777777" w:rsidR="0000407C" w:rsidRDefault="007E369D">
            <w:pPr>
              <w:rPr>
                <w:b/>
              </w:rPr>
            </w:pPr>
            <w:r>
              <w:rPr>
                <w:b/>
              </w:rPr>
              <w:t>53.44%</w:t>
            </w:r>
          </w:p>
        </w:tc>
        <w:tc>
          <w:tcPr>
            <w:tcW w:w="1823" w:type="dxa"/>
            <w:shd w:val="clear" w:color="auto" w:fill="auto"/>
          </w:tcPr>
          <w:p w14:paraId="5CA073C1" w14:textId="77777777" w:rsidR="0000407C" w:rsidRDefault="007E369D">
            <w:pPr>
              <w:rPr>
                <w:b/>
              </w:rPr>
            </w:pPr>
            <w:r>
              <w:rPr>
                <w:b/>
              </w:rPr>
              <w:t>57.37%</w:t>
            </w:r>
          </w:p>
        </w:tc>
        <w:tc>
          <w:tcPr>
            <w:tcW w:w="889" w:type="dxa"/>
            <w:shd w:val="clear" w:color="auto" w:fill="auto"/>
          </w:tcPr>
          <w:p w14:paraId="12859A38" w14:textId="77777777" w:rsidR="0000407C" w:rsidRDefault="007E369D">
            <w:pPr>
              <w:rPr>
                <w:b/>
              </w:rPr>
            </w:pPr>
            <w:r>
              <w:rPr>
                <w:b/>
              </w:rPr>
              <w:t>55.41%</w:t>
            </w:r>
          </w:p>
        </w:tc>
        <w:tc>
          <w:tcPr>
            <w:tcW w:w="1440" w:type="dxa"/>
            <w:shd w:val="clear" w:color="auto" w:fill="DDF0F2"/>
          </w:tcPr>
          <w:p w14:paraId="2A7A076C" w14:textId="77777777" w:rsidR="0000407C" w:rsidRDefault="0000407C">
            <w:pPr>
              <w:rPr>
                <w:color w:val="DDF0F2"/>
              </w:rPr>
            </w:pPr>
          </w:p>
        </w:tc>
      </w:tr>
      <w:tr w:rsidR="0000407C" w14:paraId="697967F6" w14:textId="77777777" w:rsidTr="00461043">
        <w:trPr>
          <w:trHeight w:val="290"/>
        </w:trPr>
        <w:tc>
          <w:tcPr>
            <w:tcW w:w="2155" w:type="dxa"/>
          </w:tcPr>
          <w:p w14:paraId="6DC71041" w14:textId="77777777" w:rsidR="0000407C" w:rsidRDefault="007E369D">
            <w:r>
              <w:t>Performance Target</w:t>
            </w:r>
          </w:p>
        </w:tc>
        <w:tc>
          <w:tcPr>
            <w:tcW w:w="1710" w:type="dxa"/>
          </w:tcPr>
          <w:p w14:paraId="08C77638" w14:textId="77777777" w:rsidR="0000407C" w:rsidRDefault="007E369D">
            <w:r>
              <w:t>39.00%</w:t>
            </w:r>
          </w:p>
        </w:tc>
        <w:tc>
          <w:tcPr>
            <w:tcW w:w="1710" w:type="dxa"/>
          </w:tcPr>
          <w:p w14:paraId="670EE555" w14:textId="77777777" w:rsidR="0000407C" w:rsidRDefault="007E369D">
            <w:r>
              <w:t>39.40%</w:t>
            </w:r>
          </w:p>
        </w:tc>
        <w:tc>
          <w:tcPr>
            <w:tcW w:w="1823" w:type="dxa"/>
          </w:tcPr>
          <w:p w14:paraId="4180E76A" w14:textId="77777777" w:rsidR="0000407C" w:rsidRDefault="007E369D">
            <w:r>
              <w:t>42.30%</w:t>
            </w:r>
          </w:p>
        </w:tc>
        <w:tc>
          <w:tcPr>
            <w:tcW w:w="889" w:type="dxa"/>
            <w:shd w:val="clear" w:color="auto" w:fill="DDF0F2"/>
          </w:tcPr>
          <w:p w14:paraId="093A98D0" w14:textId="77777777" w:rsidR="0000407C" w:rsidRDefault="0000407C"/>
        </w:tc>
        <w:tc>
          <w:tcPr>
            <w:tcW w:w="1440" w:type="dxa"/>
          </w:tcPr>
          <w:p w14:paraId="28052C18" w14:textId="77777777" w:rsidR="0000407C" w:rsidRDefault="007E369D">
            <w:r>
              <w:t>45.20%</w:t>
            </w:r>
          </w:p>
        </w:tc>
      </w:tr>
      <w:tr w:rsidR="0000407C" w14:paraId="61C1C645" w14:textId="77777777" w:rsidTr="00461043">
        <w:trPr>
          <w:trHeight w:val="290"/>
        </w:trPr>
        <w:tc>
          <w:tcPr>
            <w:tcW w:w="2155" w:type="dxa"/>
          </w:tcPr>
          <w:p w14:paraId="71964100" w14:textId="77777777" w:rsidR="0000407C" w:rsidRDefault="007E369D">
            <w:r>
              <w:t>Performance Type</w:t>
            </w:r>
          </w:p>
        </w:tc>
        <w:tc>
          <w:tcPr>
            <w:tcW w:w="1710" w:type="dxa"/>
          </w:tcPr>
          <w:p w14:paraId="2C4887C6" w14:textId="77777777" w:rsidR="0000407C" w:rsidRDefault="007E369D">
            <w:r>
              <w:t>Met or Exceeded Target</w:t>
            </w:r>
          </w:p>
        </w:tc>
        <w:tc>
          <w:tcPr>
            <w:tcW w:w="1710" w:type="dxa"/>
          </w:tcPr>
          <w:p w14:paraId="758D8A9F" w14:textId="77777777" w:rsidR="0000407C" w:rsidRDefault="007E369D">
            <w:r>
              <w:t>Met or Exceeded Target</w:t>
            </w:r>
          </w:p>
        </w:tc>
        <w:tc>
          <w:tcPr>
            <w:tcW w:w="1823" w:type="dxa"/>
            <w:shd w:val="clear" w:color="auto" w:fill="auto"/>
          </w:tcPr>
          <w:p w14:paraId="520BF1D8" w14:textId="77777777" w:rsidR="0000407C" w:rsidRDefault="007E369D">
            <w:r>
              <w:t>Met or Exceeded Target</w:t>
            </w:r>
          </w:p>
        </w:tc>
        <w:tc>
          <w:tcPr>
            <w:tcW w:w="889" w:type="dxa"/>
            <w:shd w:val="clear" w:color="auto" w:fill="DDF0F2"/>
          </w:tcPr>
          <w:p w14:paraId="2F49BD84" w14:textId="77777777" w:rsidR="0000407C" w:rsidRDefault="0000407C">
            <w:pPr>
              <w:rPr>
                <w:color w:val="58B6C0"/>
              </w:rPr>
            </w:pPr>
          </w:p>
        </w:tc>
        <w:tc>
          <w:tcPr>
            <w:tcW w:w="1440" w:type="dxa"/>
            <w:shd w:val="clear" w:color="auto" w:fill="DDF0F2"/>
          </w:tcPr>
          <w:p w14:paraId="3AF846D2" w14:textId="77777777" w:rsidR="0000407C" w:rsidRDefault="0000407C">
            <w:pPr>
              <w:rPr>
                <w:color w:val="58B6C0"/>
              </w:rPr>
            </w:pPr>
          </w:p>
        </w:tc>
      </w:tr>
    </w:tbl>
    <w:p w14:paraId="61E0390E" w14:textId="0818AD69" w:rsidR="0000407C" w:rsidRDefault="007E369D">
      <w:pPr>
        <w:spacing w:before="240" w:after="240"/>
      </w:pPr>
      <w:r>
        <w:t xml:space="preserve">Oregon’s statewide performance in the </w:t>
      </w:r>
      <w:r>
        <w:rPr>
          <w:i/>
        </w:rPr>
        <w:t>Earned Recognized Postsecondary Credential</w:t>
      </w:r>
      <w:r>
        <w:t xml:space="preserve"> (2P1) indicator was 48.46% in 2020-21, and 53.44% in 2021-22, and 57.37% in 2022-23. The average performance over these two program years, 2021-22 and 2022-23, is 55.41% (</w:t>
      </w:r>
      <w:r>
        <w:rPr>
          <w:color w:val="265F65"/>
        </w:rPr>
        <w:t>Table</w:t>
      </w:r>
      <w:r>
        <w:t xml:space="preserve"> 5).</w:t>
      </w:r>
    </w:p>
    <w:p w14:paraId="6DE86933" w14:textId="77777777" w:rsidR="00D61E50" w:rsidRDefault="00D61E50">
      <w:pPr>
        <w:spacing w:before="240" w:after="240"/>
      </w:pPr>
    </w:p>
    <w:p w14:paraId="71F9AED1" w14:textId="77777777" w:rsidR="0000407C" w:rsidRDefault="007E369D">
      <w:pPr>
        <w:keepNext/>
        <w:pBdr>
          <w:top w:val="nil"/>
          <w:left w:val="nil"/>
          <w:bottom w:val="nil"/>
          <w:right w:val="nil"/>
          <w:between w:val="nil"/>
        </w:pBdr>
        <w:spacing w:after="200" w:line="240" w:lineRule="auto"/>
        <w:rPr>
          <w:b/>
          <w:i/>
          <w:color w:val="134163"/>
          <w:sz w:val="20"/>
          <w:szCs w:val="20"/>
        </w:rPr>
      </w:pPr>
      <w:bookmarkStart w:id="7" w:name="_heading=h.3as4poj" w:colFirst="0" w:colLast="0"/>
      <w:bookmarkEnd w:id="7"/>
      <w:r>
        <w:rPr>
          <w:b/>
          <w:i/>
          <w:color w:val="134163"/>
          <w:sz w:val="20"/>
          <w:szCs w:val="20"/>
        </w:rPr>
        <w:t>Table 6 Indicator 2P1 Proposed Targets</w:t>
      </w:r>
    </w:p>
    <w:tbl>
      <w:tblPr>
        <w:tblStyle w:val="19"/>
        <w:tblW w:w="4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960"/>
        <w:gridCol w:w="2100"/>
      </w:tblGrid>
      <w:tr w:rsidR="0000407C" w14:paraId="4F083DA0" w14:textId="77777777" w:rsidTr="00461043">
        <w:trPr>
          <w:cantSplit/>
          <w:trHeight w:val="290"/>
          <w:tblHeader/>
          <w:jc w:val="center"/>
        </w:trPr>
        <w:tc>
          <w:tcPr>
            <w:tcW w:w="1960" w:type="dxa"/>
            <w:shd w:val="clear" w:color="auto" w:fill="265F66"/>
          </w:tcPr>
          <w:p w14:paraId="12B474E0" w14:textId="77777777" w:rsidR="0000407C" w:rsidRDefault="007E369D">
            <w:pPr>
              <w:jc w:val="center"/>
              <w:rPr>
                <w:b/>
                <w:color w:val="FFFFFF"/>
              </w:rPr>
            </w:pPr>
            <w:r>
              <w:rPr>
                <w:b/>
                <w:color w:val="FFFFFF"/>
              </w:rPr>
              <w:t>Report Year</w:t>
            </w:r>
          </w:p>
        </w:tc>
        <w:tc>
          <w:tcPr>
            <w:tcW w:w="2100" w:type="dxa"/>
            <w:shd w:val="clear" w:color="auto" w:fill="265F66"/>
          </w:tcPr>
          <w:p w14:paraId="2FF46D0C" w14:textId="77777777" w:rsidR="0000407C" w:rsidRDefault="007E369D">
            <w:pPr>
              <w:jc w:val="center"/>
              <w:rPr>
                <w:b/>
                <w:color w:val="FFFFFF"/>
              </w:rPr>
            </w:pPr>
            <w:r>
              <w:rPr>
                <w:b/>
                <w:color w:val="FFFFFF"/>
              </w:rPr>
              <w:t>Proposed Target</w:t>
            </w:r>
          </w:p>
        </w:tc>
      </w:tr>
      <w:tr w:rsidR="0000407C" w14:paraId="087CBB58" w14:textId="77777777" w:rsidTr="00461043">
        <w:trPr>
          <w:trHeight w:val="290"/>
          <w:jc w:val="center"/>
        </w:trPr>
        <w:tc>
          <w:tcPr>
            <w:tcW w:w="1960" w:type="dxa"/>
          </w:tcPr>
          <w:p w14:paraId="0A30FBEB" w14:textId="77777777" w:rsidR="0000407C" w:rsidRDefault="007E369D">
            <w:pPr>
              <w:tabs>
                <w:tab w:val="left" w:pos="7200"/>
              </w:tabs>
              <w:jc w:val="center"/>
            </w:pPr>
            <w:r>
              <w:t>2024-25</w:t>
            </w:r>
          </w:p>
        </w:tc>
        <w:tc>
          <w:tcPr>
            <w:tcW w:w="2100" w:type="dxa"/>
          </w:tcPr>
          <w:p w14:paraId="143D2337" w14:textId="77777777" w:rsidR="0000407C" w:rsidRDefault="007E369D">
            <w:pPr>
              <w:tabs>
                <w:tab w:val="left" w:pos="7200"/>
              </w:tabs>
              <w:jc w:val="center"/>
            </w:pPr>
            <w:r>
              <w:t>55.00%</w:t>
            </w:r>
          </w:p>
        </w:tc>
      </w:tr>
      <w:tr w:rsidR="0000407C" w14:paraId="77C5E0FB" w14:textId="77777777" w:rsidTr="00461043">
        <w:trPr>
          <w:trHeight w:val="290"/>
          <w:jc w:val="center"/>
        </w:trPr>
        <w:tc>
          <w:tcPr>
            <w:tcW w:w="1960" w:type="dxa"/>
          </w:tcPr>
          <w:p w14:paraId="342BC196" w14:textId="77777777" w:rsidR="0000407C" w:rsidRDefault="007E369D">
            <w:pPr>
              <w:tabs>
                <w:tab w:val="left" w:pos="7200"/>
              </w:tabs>
              <w:jc w:val="center"/>
            </w:pPr>
            <w:r>
              <w:t>2025-26</w:t>
            </w:r>
          </w:p>
        </w:tc>
        <w:tc>
          <w:tcPr>
            <w:tcW w:w="2100" w:type="dxa"/>
          </w:tcPr>
          <w:p w14:paraId="0DAE6E30" w14:textId="77777777" w:rsidR="0000407C" w:rsidRDefault="007E369D">
            <w:pPr>
              <w:tabs>
                <w:tab w:val="left" w:pos="7200"/>
              </w:tabs>
              <w:jc w:val="center"/>
            </w:pPr>
            <w:r>
              <w:t>56.00%</w:t>
            </w:r>
          </w:p>
        </w:tc>
      </w:tr>
      <w:tr w:rsidR="0000407C" w14:paraId="3217928B" w14:textId="77777777" w:rsidTr="00461043">
        <w:trPr>
          <w:trHeight w:val="290"/>
          <w:jc w:val="center"/>
        </w:trPr>
        <w:tc>
          <w:tcPr>
            <w:tcW w:w="1960" w:type="dxa"/>
          </w:tcPr>
          <w:p w14:paraId="7D54EA33" w14:textId="77777777" w:rsidR="0000407C" w:rsidRDefault="007E369D">
            <w:pPr>
              <w:tabs>
                <w:tab w:val="left" w:pos="7200"/>
              </w:tabs>
              <w:jc w:val="center"/>
            </w:pPr>
            <w:r>
              <w:t>2026-27</w:t>
            </w:r>
          </w:p>
        </w:tc>
        <w:tc>
          <w:tcPr>
            <w:tcW w:w="2100" w:type="dxa"/>
          </w:tcPr>
          <w:p w14:paraId="3DA9B1D2" w14:textId="77777777" w:rsidR="0000407C" w:rsidRDefault="007E369D">
            <w:pPr>
              <w:tabs>
                <w:tab w:val="left" w:pos="7200"/>
              </w:tabs>
              <w:jc w:val="center"/>
            </w:pPr>
            <w:r>
              <w:t>56.50%</w:t>
            </w:r>
          </w:p>
        </w:tc>
      </w:tr>
      <w:tr w:rsidR="0000407C" w14:paraId="4F137D2E" w14:textId="77777777" w:rsidTr="00461043">
        <w:trPr>
          <w:trHeight w:val="290"/>
          <w:jc w:val="center"/>
        </w:trPr>
        <w:tc>
          <w:tcPr>
            <w:tcW w:w="1960" w:type="dxa"/>
          </w:tcPr>
          <w:p w14:paraId="4D5D9C63" w14:textId="77777777" w:rsidR="0000407C" w:rsidRDefault="007E369D">
            <w:pPr>
              <w:tabs>
                <w:tab w:val="left" w:pos="7200"/>
              </w:tabs>
              <w:jc w:val="center"/>
            </w:pPr>
            <w:r>
              <w:t>2027-28</w:t>
            </w:r>
          </w:p>
        </w:tc>
        <w:tc>
          <w:tcPr>
            <w:tcW w:w="2100" w:type="dxa"/>
          </w:tcPr>
          <w:p w14:paraId="1B455D28" w14:textId="77777777" w:rsidR="0000407C" w:rsidRDefault="007E369D">
            <w:pPr>
              <w:tabs>
                <w:tab w:val="left" w:pos="7200"/>
              </w:tabs>
              <w:jc w:val="center"/>
            </w:pPr>
            <w:r>
              <w:t>57.00%</w:t>
            </w:r>
          </w:p>
        </w:tc>
      </w:tr>
    </w:tbl>
    <w:p w14:paraId="39B629A6" w14:textId="77777777" w:rsidR="0000407C" w:rsidRDefault="007E369D">
      <w:pPr>
        <w:spacing w:before="240"/>
        <w:rPr>
          <w:b/>
          <w:color w:val="265F66"/>
          <w:sz w:val="28"/>
          <w:szCs w:val="28"/>
        </w:rPr>
      </w:pPr>
      <w:r>
        <w:t xml:space="preserve">The proposed targets for the “Earned Recognized Postsecondary Credential” (2P1) performance indicator for program years 2024-25 through 2027-28 </w:t>
      </w:r>
      <w:proofErr w:type="gramStart"/>
      <w:r>
        <w:t>are outlined</w:t>
      </w:r>
      <w:proofErr w:type="gramEnd"/>
      <w:r>
        <w:t xml:space="preserve"> in </w:t>
      </w:r>
      <w:r>
        <w:rPr>
          <w:color w:val="265F66"/>
        </w:rPr>
        <w:t>Table</w:t>
      </w:r>
      <w:r>
        <w:t xml:space="preserve"> 6. These targets are based on the Base Level (the two-year average performance) and align with the “continuous improvement” federal standard. </w:t>
      </w:r>
    </w:p>
    <w:p w14:paraId="1C689A47" w14:textId="77777777" w:rsidR="0000407C" w:rsidRDefault="007E369D">
      <w:pPr>
        <w:pStyle w:val="Heading3"/>
        <w:rPr>
          <w:color w:val="265F66"/>
        </w:rPr>
      </w:pPr>
      <w:r>
        <w:rPr>
          <w:color w:val="265F66"/>
        </w:rPr>
        <w:t xml:space="preserve">3P1: Nontraditional Program Enrollment </w:t>
      </w:r>
    </w:p>
    <w:p w14:paraId="73F34884" w14:textId="20F9DE1B" w:rsidR="0000407C" w:rsidRDefault="007E369D">
      <w:r>
        <w:t xml:space="preserve">Under Perkins V, the 3P1 Performance Indicator “Nontraditional Program Concentration” measures the percentage of CTE </w:t>
      </w:r>
      <w:r w:rsidR="00B73E4A">
        <w:t>c</w:t>
      </w:r>
      <w:r>
        <w:t xml:space="preserve">oncentrators from underrepresented gender groups participating in career and technical programs and programs of study that lead to nontraditional fields. </w:t>
      </w:r>
    </w:p>
    <w:p w14:paraId="5731EF08" w14:textId="708A5A6A" w:rsidR="0000407C" w:rsidRDefault="007E369D">
      <w:pPr>
        <w:pBdr>
          <w:bottom w:val="single" w:sz="8" w:space="0" w:color="1B75BB"/>
        </w:pBdr>
        <w:shd w:val="clear" w:color="auto" w:fill="E3F1ED"/>
        <w:spacing w:after="0" w:line="276" w:lineRule="auto"/>
        <w:ind w:left="85" w:right="194" w:hanging="10"/>
      </w:pPr>
      <w:r>
        <w:rPr>
          <w:b/>
        </w:rPr>
        <w:t>Numerator:</w:t>
      </w:r>
      <w:r>
        <w:t xml:space="preserve"> # of CTE </w:t>
      </w:r>
      <w:r w:rsidR="00B73E4A">
        <w:t>c</w:t>
      </w:r>
      <w:r>
        <w:t>oncentrators from underrepresented gender groups who participated in nontraditional programs</w:t>
      </w:r>
      <w:r w:rsidR="007413D1">
        <w:t>.</w:t>
      </w:r>
    </w:p>
    <w:p w14:paraId="31ABE225" w14:textId="644AC70A" w:rsidR="0000407C" w:rsidRDefault="007E369D">
      <w:pPr>
        <w:shd w:val="clear" w:color="auto" w:fill="E3F1ED"/>
        <w:spacing w:after="135" w:line="276" w:lineRule="auto"/>
        <w:ind w:left="85" w:right="216" w:hanging="10"/>
      </w:pPr>
      <w:r>
        <w:rPr>
          <w:b/>
        </w:rPr>
        <w:t>Denominator:</w:t>
      </w:r>
      <w:r>
        <w:t xml:space="preserve"> # of CTE </w:t>
      </w:r>
      <w:r w:rsidR="00B73E4A">
        <w:t>c</w:t>
      </w:r>
      <w:r>
        <w:t>oncentrators who participated in nontraditional programs</w:t>
      </w:r>
      <w:r w:rsidR="007413D1">
        <w:t>.</w:t>
      </w:r>
    </w:p>
    <w:p w14:paraId="2A0F6FEC" w14:textId="77777777" w:rsidR="0000407C" w:rsidRDefault="007E369D">
      <w:pPr>
        <w:keepNext/>
        <w:pBdr>
          <w:top w:val="nil"/>
          <w:left w:val="nil"/>
          <w:bottom w:val="nil"/>
          <w:right w:val="nil"/>
          <w:between w:val="nil"/>
        </w:pBdr>
        <w:spacing w:after="200" w:line="240" w:lineRule="auto"/>
        <w:rPr>
          <w:b/>
          <w:i/>
          <w:color w:val="134163"/>
          <w:sz w:val="20"/>
          <w:szCs w:val="20"/>
        </w:rPr>
      </w:pPr>
      <w:bookmarkStart w:id="8" w:name="_heading=h.1pxezwc" w:colFirst="0" w:colLast="0"/>
      <w:bookmarkEnd w:id="8"/>
      <w:r>
        <w:rPr>
          <w:b/>
          <w:i/>
          <w:color w:val="134163"/>
          <w:sz w:val="20"/>
          <w:szCs w:val="20"/>
        </w:rPr>
        <w:t xml:space="preserve">Table 7 Indicator 3P1 Performance Analysis </w:t>
      </w:r>
    </w:p>
    <w:tbl>
      <w:tblPr>
        <w:tblStyle w:val="18"/>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155"/>
        <w:gridCol w:w="1710"/>
        <w:gridCol w:w="1710"/>
        <w:gridCol w:w="1710"/>
        <w:gridCol w:w="990"/>
        <w:gridCol w:w="1350"/>
      </w:tblGrid>
      <w:tr w:rsidR="0000407C" w14:paraId="25EF5D14" w14:textId="77777777" w:rsidTr="00461043">
        <w:trPr>
          <w:trHeight w:val="580"/>
          <w:tblHeader/>
        </w:trPr>
        <w:tc>
          <w:tcPr>
            <w:tcW w:w="2155" w:type="dxa"/>
            <w:shd w:val="clear" w:color="auto" w:fill="265F66"/>
          </w:tcPr>
          <w:p w14:paraId="2D457957" w14:textId="77777777" w:rsidR="0000407C" w:rsidRDefault="007E369D">
            <w:pPr>
              <w:rPr>
                <w:b/>
                <w:color w:val="FFFFFF"/>
              </w:rPr>
            </w:pPr>
            <w:r>
              <w:rPr>
                <w:b/>
                <w:color w:val="FFFFFF"/>
              </w:rPr>
              <w:t>Indicator Value Type, 3P1</w:t>
            </w:r>
          </w:p>
        </w:tc>
        <w:tc>
          <w:tcPr>
            <w:tcW w:w="1710" w:type="dxa"/>
            <w:shd w:val="clear" w:color="auto" w:fill="265F66"/>
          </w:tcPr>
          <w:p w14:paraId="5D4CD8D1" w14:textId="77777777" w:rsidR="0000407C" w:rsidRDefault="007E369D">
            <w:pPr>
              <w:rPr>
                <w:b/>
                <w:color w:val="FFFFFF"/>
              </w:rPr>
            </w:pPr>
            <w:r>
              <w:rPr>
                <w:b/>
                <w:color w:val="FFFFFF"/>
              </w:rPr>
              <w:t>Report year 2020-21</w:t>
            </w:r>
          </w:p>
        </w:tc>
        <w:tc>
          <w:tcPr>
            <w:tcW w:w="1710" w:type="dxa"/>
            <w:shd w:val="clear" w:color="auto" w:fill="265F66"/>
          </w:tcPr>
          <w:p w14:paraId="6826BE70" w14:textId="77777777" w:rsidR="0000407C" w:rsidRDefault="007E369D">
            <w:pPr>
              <w:rPr>
                <w:b/>
                <w:color w:val="FFFFFF"/>
              </w:rPr>
            </w:pPr>
            <w:r>
              <w:rPr>
                <w:b/>
                <w:color w:val="FFFFFF"/>
              </w:rPr>
              <w:t>Report year 2021-22</w:t>
            </w:r>
          </w:p>
        </w:tc>
        <w:tc>
          <w:tcPr>
            <w:tcW w:w="1710" w:type="dxa"/>
            <w:shd w:val="clear" w:color="auto" w:fill="265F66"/>
          </w:tcPr>
          <w:p w14:paraId="3164B9D6" w14:textId="77777777" w:rsidR="0000407C" w:rsidRDefault="007E369D">
            <w:pPr>
              <w:rPr>
                <w:b/>
                <w:color w:val="FFFFFF"/>
              </w:rPr>
            </w:pPr>
            <w:r>
              <w:rPr>
                <w:b/>
                <w:color w:val="FFFFFF"/>
              </w:rPr>
              <w:t>Report year 2022-23</w:t>
            </w:r>
          </w:p>
        </w:tc>
        <w:tc>
          <w:tcPr>
            <w:tcW w:w="990" w:type="dxa"/>
            <w:shd w:val="clear" w:color="auto" w:fill="265F66"/>
          </w:tcPr>
          <w:p w14:paraId="003A16D8" w14:textId="77777777" w:rsidR="0000407C" w:rsidRDefault="007E369D">
            <w:pPr>
              <w:rPr>
                <w:b/>
                <w:color w:val="FFFFFF"/>
              </w:rPr>
            </w:pPr>
            <w:r>
              <w:rPr>
                <w:b/>
                <w:color w:val="FFFFFF"/>
              </w:rPr>
              <w:t>Base Level</w:t>
            </w:r>
          </w:p>
        </w:tc>
        <w:tc>
          <w:tcPr>
            <w:tcW w:w="1350" w:type="dxa"/>
            <w:shd w:val="clear" w:color="auto" w:fill="265F66"/>
          </w:tcPr>
          <w:p w14:paraId="4F8B169D" w14:textId="77777777" w:rsidR="0000407C" w:rsidRDefault="007E369D">
            <w:pPr>
              <w:rPr>
                <w:b/>
                <w:color w:val="FFFFFF"/>
              </w:rPr>
            </w:pPr>
            <w:r>
              <w:rPr>
                <w:b/>
                <w:color w:val="FFFFFF"/>
              </w:rPr>
              <w:t>Report year 2023-24</w:t>
            </w:r>
          </w:p>
        </w:tc>
      </w:tr>
      <w:tr w:rsidR="0000407C" w14:paraId="7192D4A6" w14:textId="77777777" w:rsidTr="00461043">
        <w:trPr>
          <w:trHeight w:val="290"/>
        </w:trPr>
        <w:tc>
          <w:tcPr>
            <w:tcW w:w="2155" w:type="dxa"/>
          </w:tcPr>
          <w:p w14:paraId="6AD29A89" w14:textId="77777777" w:rsidR="0000407C" w:rsidRDefault="007E369D">
            <w:r>
              <w:t>Numerator Count</w:t>
            </w:r>
          </w:p>
        </w:tc>
        <w:tc>
          <w:tcPr>
            <w:tcW w:w="1710" w:type="dxa"/>
          </w:tcPr>
          <w:p w14:paraId="2C7F648B" w14:textId="77777777" w:rsidR="0000407C" w:rsidRDefault="007E369D">
            <w:r>
              <w:t>1,879</w:t>
            </w:r>
          </w:p>
        </w:tc>
        <w:tc>
          <w:tcPr>
            <w:tcW w:w="1710" w:type="dxa"/>
          </w:tcPr>
          <w:p w14:paraId="2E40FC31" w14:textId="77777777" w:rsidR="0000407C" w:rsidRDefault="007E369D">
            <w:r>
              <w:t>2,266</w:t>
            </w:r>
          </w:p>
        </w:tc>
        <w:tc>
          <w:tcPr>
            <w:tcW w:w="1710" w:type="dxa"/>
            <w:shd w:val="clear" w:color="auto" w:fill="auto"/>
          </w:tcPr>
          <w:p w14:paraId="0E17B986" w14:textId="77777777" w:rsidR="0000407C" w:rsidRDefault="007E369D">
            <w:r>
              <w:t>2,945</w:t>
            </w:r>
          </w:p>
        </w:tc>
        <w:tc>
          <w:tcPr>
            <w:tcW w:w="990" w:type="dxa"/>
            <w:shd w:val="clear" w:color="auto" w:fill="auto"/>
          </w:tcPr>
          <w:p w14:paraId="3F34F55D" w14:textId="77777777" w:rsidR="0000407C" w:rsidRDefault="007E369D">
            <w:pPr>
              <w:rPr>
                <w:b/>
              </w:rPr>
            </w:pPr>
            <w:r>
              <w:rPr>
                <w:b/>
              </w:rPr>
              <w:t>2,605.5</w:t>
            </w:r>
          </w:p>
        </w:tc>
        <w:tc>
          <w:tcPr>
            <w:tcW w:w="1350" w:type="dxa"/>
            <w:shd w:val="clear" w:color="auto" w:fill="DDF0F2"/>
          </w:tcPr>
          <w:p w14:paraId="6DB5C6A7" w14:textId="77777777" w:rsidR="0000407C" w:rsidRDefault="0000407C">
            <w:pPr>
              <w:rPr>
                <w:color w:val="DDF0F2"/>
              </w:rPr>
            </w:pPr>
          </w:p>
        </w:tc>
      </w:tr>
      <w:tr w:rsidR="0000407C" w14:paraId="5A35A2E6" w14:textId="77777777" w:rsidTr="00461043">
        <w:trPr>
          <w:trHeight w:val="290"/>
        </w:trPr>
        <w:tc>
          <w:tcPr>
            <w:tcW w:w="2155" w:type="dxa"/>
          </w:tcPr>
          <w:p w14:paraId="28F4D85F" w14:textId="77777777" w:rsidR="0000407C" w:rsidRDefault="007E369D">
            <w:r>
              <w:t>Denominator Count</w:t>
            </w:r>
          </w:p>
        </w:tc>
        <w:tc>
          <w:tcPr>
            <w:tcW w:w="1710" w:type="dxa"/>
          </w:tcPr>
          <w:p w14:paraId="541D75EC" w14:textId="77777777" w:rsidR="0000407C" w:rsidRDefault="007E369D">
            <w:r>
              <w:t>10,764</w:t>
            </w:r>
          </w:p>
        </w:tc>
        <w:tc>
          <w:tcPr>
            <w:tcW w:w="1710" w:type="dxa"/>
          </w:tcPr>
          <w:p w14:paraId="0941CE88" w14:textId="77777777" w:rsidR="0000407C" w:rsidRDefault="007E369D">
            <w:r>
              <w:t>11,298</w:t>
            </w:r>
          </w:p>
        </w:tc>
        <w:tc>
          <w:tcPr>
            <w:tcW w:w="1710" w:type="dxa"/>
            <w:shd w:val="clear" w:color="auto" w:fill="auto"/>
          </w:tcPr>
          <w:p w14:paraId="3C9CEB2F" w14:textId="77777777" w:rsidR="0000407C" w:rsidRDefault="007E369D">
            <w:r>
              <w:t>16,238</w:t>
            </w:r>
          </w:p>
        </w:tc>
        <w:tc>
          <w:tcPr>
            <w:tcW w:w="990" w:type="dxa"/>
            <w:shd w:val="clear" w:color="auto" w:fill="auto"/>
          </w:tcPr>
          <w:p w14:paraId="6AF73141" w14:textId="77777777" w:rsidR="0000407C" w:rsidRDefault="007E369D">
            <w:pPr>
              <w:rPr>
                <w:b/>
              </w:rPr>
            </w:pPr>
            <w:r>
              <w:rPr>
                <w:b/>
              </w:rPr>
              <w:t>13,768</w:t>
            </w:r>
          </w:p>
        </w:tc>
        <w:tc>
          <w:tcPr>
            <w:tcW w:w="1350" w:type="dxa"/>
            <w:shd w:val="clear" w:color="auto" w:fill="DDF0F2"/>
          </w:tcPr>
          <w:p w14:paraId="282979E2" w14:textId="77777777" w:rsidR="0000407C" w:rsidRDefault="0000407C">
            <w:pPr>
              <w:rPr>
                <w:color w:val="DDF0F2"/>
              </w:rPr>
            </w:pPr>
          </w:p>
        </w:tc>
      </w:tr>
      <w:tr w:rsidR="0000407C" w14:paraId="1801387B" w14:textId="77777777" w:rsidTr="00461043">
        <w:trPr>
          <w:trHeight w:val="290"/>
        </w:trPr>
        <w:tc>
          <w:tcPr>
            <w:tcW w:w="2155" w:type="dxa"/>
          </w:tcPr>
          <w:p w14:paraId="56B73C8D" w14:textId="77777777" w:rsidR="0000407C" w:rsidRDefault="007E369D">
            <w:r>
              <w:t>Actual Performance</w:t>
            </w:r>
          </w:p>
        </w:tc>
        <w:tc>
          <w:tcPr>
            <w:tcW w:w="1710" w:type="dxa"/>
          </w:tcPr>
          <w:p w14:paraId="4E9AD5BF" w14:textId="77777777" w:rsidR="0000407C" w:rsidRDefault="007E369D">
            <w:pPr>
              <w:rPr>
                <w:b/>
              </w:rPr>
            </w:pPr>
            <w:r>
              <w:rPr>
                <w:b/>
              </w:rPr>
              <w:t>17.49%</w:t>
            </w:r>
          </w:p>
        </w:tc>
        <w:tc>
          <w:tcPr>
            <w:tcW w:w="1710" w:type="dxa"/>
          </w:tcPr>
          <w:p w14:paraId="2506E923" w14:textId="77777777" w:rsidR="0000407C" w:rsidRDefault="007E369D">
            <w:pPr>
              <w:rPr>
                <w:b/>
              </w:rPr>
            </w:pPr>
            <w:r>
              <w:rPr>
                <w:b/>
              </w:rPr>
              <w:t>20.06%</w:t>
            </w:r>
          </w:p>
        </w:tc>
        <w:tc>
          <w:tcPr>
            <w:tcW w:w="1710" w:type="dxa"/>
            <w:shd w:val="clear" w:color="auto" w:fill="auto"/>
          </w:tcPr>
          <w:p w14:paraId="152ABB02" w14:textId="77777777" w:rsidR="0000407C" w:rsidRDefault="007E369D">
            <w:pPr>
              <w:rPr>
                <w:b/>
              </w:rPr>
            </w:pPr>
            <w:r>
              <w:rPr>
                <w:b/>
              </w:rPr>
              <w:t>18.14%</w:t>
            </w:r>
          </w:p>
        </w:tc>
        <w:tc>
          <w:tcPr>
            <w:tcW w:w="990" w:type="dxa"/>
            <w:shd w:val="clear" w:color="auto" w:fill="auto"/>
          </w:tcPr>
          <w:p w14:paraId="235506A8" w14:textId="77777777" w:rsidR="0000407C" w:rsidRDefault="007E369D">
            <w:pPr>
              <w:rPr>
                <w:b/>
              </w:rPr>
            </w:pPr>
            <w:r>
              <w:rPr>
                <w:b/>
              </w:rPr>
              <w:t>19.10%</w:t>
            </w:r>
          </w:p>
        </w:tc>
        <w:tc>
          <w:tcPr>
            <w:tcW w:w="1350" w:type="dxa"/>
            <w:shd w:val="clear" w:color="auto" w:fill="DDF0F2"/>
          </w:tcPr>
          <w:p w14:paraId="0FED2716" w14:textId="77777777" w:rsidR="0000407C" w:rsidRDefault="0000407C">
            <w:pPr>
              <w:rPr>
                <w:color w:val="DDF0F2"/>
              </w:rPr>
            </w:pPr>
          </w:p>
        </w:tc>
      </w:tr>
      <w:tr w:rsidR="0000407C" w14:paraId="6B1B301E" w14:textId="77777777" w:rsidTr="00461043">
        <w:trPr>
          <w:trHeight w:val="290"/>
        </w:trPr>
        <w:tc>
          <w:tcPr>
            <w:tcW w:w="2155" w:type="dxa"/>
          </w:tcPr>
          <w:p w14:paraId="01E09716" w14:textId="77777777" w:rsidR="0000407C" w:rsidRDefault="007E369D">
            <w:r>
              <w:t>Performance Target</w:t>
            </w:r>
          </w:p>
        </w:tc>
        <w:tc>
          <w:tcPr>
            <w:tcW w:w="1710" w:type="dxa"/>
          </w:tcPr>
          <w:p w14:paraId="2010D6A6" w14:textId="77777777" w:rsidR="0000407C" w:rsidRDefault="007E369D">
            <w:r>
              <w:t>16.00%</w:t>
            </w:r>
          </w:p>
        </w:tc>
        <w:tc>
          <w:tcPr>
            <w:tcW w:w="1710" w:type="dxa"/>
          </w:tcPr>
          <w:p w14:paraId="410765DD" w14:textId="77777777" w:rsidR="0000407C" w:rsidRDefault="007E369D">
            <w:r>
              <w:t>16.40%</w:t>
            </w:r>
          </w:p>
        </w:tc>
        <w:tc>
          <w:tcPr>
            <w:tcW w:w="1710" w:type="dxa"/>
          </w:tcPr>
          <w:p w14:paraId="53DBABAC" w14:textId="77777777" w:rsidR="0000407C" w:rsidRDefault="007E369D">
            <w:r>
              <w:t>17.90%</w:t>
            </w:r>
          </w:p>
        </w:tc>
        <w:tc>
          <w:tcPr>
            <w:tcW w:w="990" w:type="dxa"/>
            <w:shd w:val="clear" w:color="auto" w:fill="DDF0F2"/>
          </w:tcPr>
          <w:p w14:paraId="2D55BDE7" w14:textId="77777777" w:rsidR="0000407C" w:rsidRDefault="0000407C"/>
        </w:tc>
        <w:tc>
          <w:tcPr>
            <w:tcW w:w="1350" w:type="dxa"/>
          </w:tcPr>
          <w:p w14:paraId="4D630748" w14:textId="77777777" w:rsidR="0000407C" w:rsidRDefault="007E369D">
            <w:r>
              <w:t>19.40%</w:t>
            </w:r>
          </w:p>
        </w:tc>
      </w:tr>
      <w:tr w:rsidR="0000407C" w14:paraId="2AB59C68" w14:textId="77777777" w:rsidTr="00461043">
        <w:trPr>
          <w:trHeight w:val="290"/>
        </w:trPr>
        <w:tc>
          <w:tcPr>
            <w:tcW w:w="2155" w:type="dxa"/>
          </w:tcPr>
          <w:p w14:paraId="0D11DC5F" w14:textId="77777777" w:rsidR="0000407C" w:rsidRDefault="007E369D">
            <w:r>
              <w:t>Performance Type</w:t>
            </w:r>
          </w:p>
        </w:tc>
        <w:tc>
          <w:tcPr>
            <w:tcW w:w="1710" w:type="dxa"/>
          </w:tcPr>
          <w:p w14:paraId="013FEA87" w14:textId="77777777" w:rsidR="0000407C" w:rsidRDefault="007E369D">
            <w:r>
              <w:t>Met or Exceeded Target</w:t>
            </w:r>
          </w:p>
        </w:tc>
        <w:tc>
          <w:tcPr>
            <w:tcW w:w="1710" w:type="dxa"/>
          </w:tcPr>
          <w:p w14:paraId="0C14F17F" w14:textId="77777777" w:rsidR="0000407C" w:rsidRDefault="007E369D">
            <w:r>
              <w:t>Met or Exceeded Target</w:t>
            </w:r>
          </w:p>
        </w:tc>
        <w:tc>
          <w:tcPr>
            <w:tcW w:w="1710" w:type="dxa"/>
            <w:shd w:val="clear" w:color="auto" w:fill="auto"/>
          </w:tcPr>
          <w:p w14:paraId="1A814E50" w14:textId="77777777" w:rsidR="0000407C" w:rsidRDefault="007E369D">
            <w:r>
              <w:t>Met or Exceeded Target</w:t>
            </w:r>
          </w:p>
        </w:tc>
        <w:tc>
          <w:tcPr>
            <w:tcW w:w="990" w:type="dxa"/>
            <w:shd w:val="clear" w:color="auto" w:fill="DDF0F2"/>
          </w:tcPr>
          <w:p w14:paraId="6DA60261" w14:textId="77777777" w:rsidR="0000407C" w:rsidRDefault="0000407C"/>
        </w:tc>
        <w:tc>
          <w:tcPr>
            <w:tcW w:w="1350" w:type="dxa"/>
            <w:shd w:val="clear" w:color="auto" w:fill="DDF0F2"/>
          </w:tcPr>
          <w:p w14:paraId="14B624FC" w14:textId="77777777" w:rsidR="0000407C" w:rsidRDefault="0000407C">
            <w:pPr>
              <w:rPr>
                <w:color w:val="58B6C0"/>
              </w:rPr>
            </w:pPr>
          </w:p>
        </w:tc>
      </w:tr>
    </w:tbl>
    <w:p w14:paraId="143E18DA" w14:textId="77777777" w:rsidR="0000407C" w:rsidRDefault="007E369D">
      <w:pPr>
        <w:spacing w:before="240"/>
      </w:pPr>
      <w:r>
        <w:t xml:space="preserve">Oregon statewide performance in the </w:t>
      </w:r>
      <w:r w:rsidRPr="00E42B79">
        <w:rPr>
          <w:i/>
          <w:iCs/>
        </w:rPr>
        <w:t>Nontraditional Program Concentration</w:t>
      </w:r>
      <w:r>
        <w:t xml:space="preserve"> (3P1) indicator was 17.49% in 2020-21, 20.06% in 2021-22, and 18.14% in 2022-23. The average performance of program years 2021-22 and 2022-23 is 19.10%. (</w:t>
      </w:r>
      <w:r>
        <w:rPr>
          <w:color w:val="265F66"/>
        </w:rPr>
        <w:t>Table</w:t>
      </w:r>
      <w:r>
        <w:t xml:space="preserve"> 7)</w:t>
      </w:r>
    </w:p>
    <w:p w14:paraId="2D4C1938" w14:textId="77777777" w:rsidR="0000407C" w:rsidRDefault="007E369D">
      <w:pPr>
        <w:keepNext/>
        <w:pBdr>
          <w:top w:val="nil"/>
          <w:left w:val="nil"/>
          <w:bottom w:val="nil"/>
          <w:right w:val="nil"/>
          <w:between w:val="nil"/>
        </w:pBdr>
        <w:spacing w:after="200" w:line="240" w:lineRule="auto"/>
        <w:rPr>
          <w:b/>
          <w:i/>
          <w:color w:val="134163"/>
          <w:sz w:val="20"/>
          <w:szCs w:val="20"/>
        </w:rPr>
      </w:pPr>
      <w:bookmarkStart w:id="9" w:name="_heading=h.49x2ik5" w:colFirst="0" w:colLast="0"/>
      <w:bookmarkEnd w:id="9"/>
      <w:r>
        <w:rPr>
          <w:b/>
          <w:i/>
          <w:color w:val="134163"/>
          <w:sz w:val="20"/>
          <w:szCs w:val="20"/>
        </w:rPr>
        <w:t>Table 8 Indicator 3P1 Proposed Targets</w:t>
      </w:r>
    </w:p>
    <w:tbl>
      <w:tblPr>
        <w:tblStyle w:val="17"/>
        <w:tblW w:w="4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960"/>
        <w:gridCol w:w="2100"/>
      </w:tblGrid>
      <w:tr w:rsidR="0000407C" w14:paraId="5A46B3DA" w14:textId="77777777" w:rsidTr="00461043">
        <w:trPr>
          <w:cantSplit/>
          <w:trHeight w:val="290"/>
          <w:tblHeader/>
          <w:jc w:val="center"/>
        </w:trPr>
        <w:tc>
          <w:tcPr>
            <w:tcW w:w="1960" w:type="dxa"/>
            <w:shd w:val="clear" w:color="auto" w:fill="265F66"/>
          </w:tcPr>
          <w:p w14:paraId="5B7051C2" w14:textId="77777777" w:rsidR="0000407C" w:rsidRDefault="007E369D">
            <w:pPr>
              <w:jc w:val="center"/>
              <w:rPr>
                <w:b/>
                <w:color w:val="FFFFFF"/>
              </w:rPr>
            </w:pPr>
            <w:r>
              <w:rPr>
                <w:b/>
                <w:color w:val="FFFFFF"/>
              </w:rPr>
              <w:t>Report Year</w:t>
            </w:r>
          </w:p>
        </w:tc>
        <w:tc>
          <w:tcPr>
            <w:tcW w:w="2100" w:type="dxa"/>
            <w:shd w:val="clear" w:color="auto" w:fill="265F66"/>
          </w:tcPr>
          <w:p w14:paraId="7EFD6633" w14:textId="77777777" w:rsidR="0000407C" w:rsidRDefault="007E369D">
            <w:pPr>
              <w:jc w:val="center"/>
              <w:rPr>
                <w:b/>
                <w:color w:val="FFFFFF"/>
              </w:rPr>
            </w:pPr>
            <w:r>
              <w:rPr>
                <w:b/>
                <w:color w:val="FFFFFF"/>
              </w:rPr>
              <w:t>Proposed Target</w:t>
            </w:r>
          </w:p>
        </w:tc>
      </w:tr>
      <w:tr w:rsidR="0000407C" w14:paraId="77575812" w14:textId="77777777" w:rsidTr="00461043">
        <w:trPr>
          <w:trHeight w:val="290"/>
          <w:jc w:val="center"/>
        </w:trPr>
        <w:tc>
          <w:tcPr>
            <w:tcW w:w="1960" w:type="dxa"/>
          </w:tcPr>
          <w:p w14:paraId="656E9FD0" w14:textId="77777777" w:rsidR="0000407C" w:rsidRDefault="007E369D">
            <w:pPr>
              <w:tabs>
                <w:tab w:val="left" w:pos="7200"/>
              </w:tabs>
              <w:jc w:val="center"/>
            </w:pPr>
            <w:r>
              <w:t>2024-25</w:t>
            </w:r>
          </w:p>
        </w:tc>
        <w:tc>
          <w:tcPr>
            <w:tcW w:w="2100" w:type="dxa"/>
          </w:tcPr>
          <w:p w14:paraId="5FF5E4CC" w14:textId="77777777" w:rsidR="0000407C" w:rsidRDefault="007E369D">
            <w:pPr>
              <w:tabs>
                <w:tab w:val="left" w:pos="7200"/>
              </w:tabs>
              <w:jc w:val="center"/>
            </w:pPr>
            <w:r>
              <w:t>19.15%</w:t>
            </w:r>
          </w:p>
        </w:tc>
      </w:tr>
      <w:tr w:rsidR="0000407C" w14:paraId="141D34B7" w14:textId="77777777" w:rsidTr="00461043">
        <w:trPr>
          <w:trHeight w:val="290"/>
          <w:jc w:val="center"/>
        </w:trPr>
        <w:tc>
          <w:tcPr>
            <w:tcW w:w="1960" w:type="dxa"/>
          </w:tcPr>
          <w:p w14:paraId="6CDAB54E" w14:textId="77777777" w:rsidR="0000407C" w:rsidRDefault="007E369D">
            <w:pPr>
              <w:tabs>
                <w:tab w:val="left" w:pos="7200"/>
              </w:tabs>
              <w:jc w:val="center"/>
            </w:pPr>
            <w:r>
              <w:t>2025-26</w:t>
            </w:r>
          </w:p>
        </w:tc>
        <w:tc>
          <w:tcPr>
            <w:tcW w:w="2100" w:type="dxa"/>
          </w:tcPr>
          <w:p w14:paraId="1D6A5A76" w14:textId="77777777" w:rsidR="0000407C" w:rsidRDefault="007E369D">
            <w:pPr>
              <w:tabs>
                <w:tab w:val="left" w:pos="7200"/>
              </w:tabs>
              <w:jc w:val="center"/>
            </w:pPr>
            <w:r>
              <w:t>19.40%</w:t>
            </w:r>
          </w:p>
        </w:tc>
      </w:tr>
      <w:tr w:rsidR="0000407C" w14:paraId="67F2B8E9" w14:textId="77777777" w:rsidTr="00461043">
        <w:trPr>
          <w:trHeight w:val="290"/>
          <w:jc w:val="center"/>
        </w:trPr>
        <w:tc>
          <w:tcPr>
            <w:tcW w:w="1960" w:type="dxa"/>
          </w:tcPr>
          <w:p w14:paraId="3F7C0DC6" w14:textId="77777777" w:rsidR="0000407C" w:rsidRDefault="007E369D">
            <w:pPr>
              <w:tabs>
                <w:tab w:val="left" w:pos="7200"/>
              </w:tabs>
              <w:jc w:val="center"/>
            </w:pPr>
            <w:r>
              <w:t>2026-27</w:t>
            </w:r>
          </w:p>
        </w:tc>
        <w:tc>
          <w:tcPr>
            <w:tcW w:w="2100" w:type="dxa"/>
          </w:tcPr>
          <w:p w14:paraId="15292EBD" w14:textId="77777777" w:rsidR="0000407C" w:rsidRDefault="007E369D">
            <w:pPr>
              <w:tabs>
                <w:tab w:val="left" w:pos="7200"/>
              </w:tabs>
              <w:jc w:val="center"/>
            </w:pPr>
            <w:r>
              <w:t>19.65%</w:t>
            </w:r>
          </w:p>
        </w:tc>
      </w:tr>
      <w:tr w:rsidR="0000407C" w14:paraId="27EDC791" w14:textId="77777777" w:rsidTr="00461043">
        <w:trPr>
          <w:trHeight w:val="290"/>
          <w:jc w:val="center"/>
        </w:trPr>
        <w:tc>
          <w:tcPr>
            <w:tcW w:w="1960" w:type="dxa"/>
          </w:tcPr>
          <w:p w14:paraId="65ACC1F2" w14:textId="77777777" w:rsidR="0000407C" w:rsidRDefault="007E369D">
            <w:pPr>
              <w:tabs>
                <w:tab w:val="left" w:pos="7200"/>
              </w:tabs>
              <w:jc w:val="center"/>
            </w:pPr>
            <w:r>
              <w:t>2027-28</w:t>
            </w:r>
          </w:p>
        </w:tc>
        <w:tc>
          <w:tcPr>
            <w:tcW w:w="2100" w:type="dxa"/>
          </w:tcPr>
          <w:p w14:paraId="2F99520F" w14:textId="77777777" w:rsidR="0000407C" w:rsidRDefault="007E369D">
            <w:pPr>
              <w:tabs>
                <w:tab w:val="left" w:pos="7200"/>
              </w:tabs>
              <w:jc w:val="center"/>
            </w:pPr>
            <w:r>
              <w:t>19.90%</w:t>
            </w:r>
          </w:p>
        </w:tc>
      </w:tr>
    </w:tbl>
    <w:p w14:paraId="680DCF67" w14:textId="77777777" w:rsidR="0000407C" w:rsidRDefault="007E369D">
      <w:pPr>
        <w:spacing w:before="240"/>
      </w:pPr>
      <w:r>
        <w:t xml:space="preserve">The proposed targets for the Nontraditional Program Concentration (3P1) performance indicator for program years 2024-25 through 2027-28 </w:t>
      </w:r>
      <w:proofErr w:type="gramStart"/>
      <w:r>
        <w:t>are outlined</w:t>
      </w:r>
      <w:proofErr w:type="gramEnd"/>
      <w:r>
        <w:t xml:space="preserve"> in Table 8. These targets are based on the Base Level (the two-year average performance) and align with the “continuous improvement” federal standard.</w:t>
      </w:r>
    </w:p>
    <w:p w14:paraId="74DA986D" w14:textId="77777777" w:rsidR="0000407C" w:rsidRDefault="007E369D">
      <w:pPr>
        <w:pStyle w:val="Heading3"/>
        <w:rPr>
          <w:color w:val="1C6294"/>
        </w:rPr>
      </w:pPr>
      <w:r>
        <w:rPr>
          <w:color w:val="1C6294"/>
        </w:rPr>
        <w:t>1S1: Four-Year Graduation Rate</w:t>
      </w:r>
    </w:p>
    <w:p w14:paraId="01169107" w14:textId="7F181183" w:rsidR="0000407C" w:rsidRDefault="007E369D">
      <w:pPr>
        <w:spacing w:after="170" w:line="276" w:lineRule="auto"/>
        <w:ind w:left="6" w:right="15"/>
      </w:pPr>
      <w:r>
        <w:t xml:space="preserve">The percentage of secondary CTE </w:t>
      </w:r>
      <w:r w:rsidR="00B73E4A">
        <w:t>c</w:t>
      </w:r>
      <w:r>
        <w:t xml:space="preserve">oncentrators in the 4-year cohort who graduate within four years. This indicator uses the same definition for a high school graduate as the one used to determine overall state four-year graduation rates. </w:t>
      </w:r>
    </w:p>
    <w:p w14:paraId="59C65DBB" w14:textId="092D8CA4" w:rsidR="0000407C" w:rsidRDefault="007E369D">
      <w:pPr>
        <w:pBdr>
          <w:bottom w:val="single" w:sz="8" w:space="0" w:color="1B75BB"/>
        </w:pBdr>
        <w:shd w:val="clear" w:color="auto" w:fill="D1E6F6"/>
        <w:spacing w:after="0" w:line="276" w:lineRule="auto"/>
        <w:ind w:left="85" w:right="194" w:hanging="10"/>
      </w:pPr>
      <w:r>
        <w:rPr>
          <w:b/>
        </w:rPr>
        <w:t>Numerator:</w:t>
      </w:r>
      <w:r>
        <w:t xml:space="preserve"> # of CTE </w:t>
      </w:r>
      <w:r w:rsidR="00B73E4A">
        <w:t>c</w:t>
      </w:r>
      <w:r>
        <w:t>oncentrators who graduate high school (regular diploma, modified diploma, or post-graduate scholars), as measured by the four-year adjusted cohort graduation rate.</w:t>
      </w:r>
    </w:p>
    <w:p w14:paraId="2A06C4E0" w14:textId="48E3C606" w:rsidR="0000407C" w:rsidRDefault="007E369D">
      <w:pPr>
        <w:shd w:val="clear" w:color="auto" w:fill="D1E6F6"/>
        <w:spacing w:after="135" w:line="276" w:lineRule="auto"/>
        <w:ind w:left="85" w:right="216" w:hanging="10"/>
      </w:pPr>
      <w:r>
        <w:rPr>
          <w:b/>
        </w:rPr>
        <w:t>Denominator:</w:t>
      </w:r>
      <w:r>
        <w:t xml:space="preserve"> # of CTE </w:t>
      </w:r>
      <w:r w:rsidR="00B73E4A">
        <w:t>c</w:t>
      </w:r>
      <w:r>
        <w:t xml:space="preserve">oncentrators in the state’s adjusted four-year cohort in the reporting year. The adjusted four-year cohort includes students who </w:t>
      </w:r>
      <w:proofErr w:type="gramStart"/>
      <w:r>
        <w:t>were first enrolled</w:t>
      </w:r>
      <w:proofErr w:type="gramEnd"/>
      <w:r>
        <w:t xml:space="preserve"> in high school four years prior to August of the reporting year plus those students who transferred into the cohort within these four years and minus those students who transferred out of the cohort within these four years.</w:t>
      </w:r>
    </w:p>
    <w:p w14:paraId="60BB8091" w14:textId="77777777" w:rsidR="0000407C" w:rsidRDefault="007E369D">
      <w:pPr>
        <w:keepNext/>
        <w:pBdr>
          <w:top w:val="nil"/>
          <w:left w:val="nil"/>
          <w:bottom w:val="nil"/>
          <w:right w:val="nil"/>
          <w:between w:val="nil"/>
        </w:pBdr>
        <w:spacing w:after="200" w:line="240" w:lineRule="auto"/>
        <w:rPr>
          <w:b/>
          <w:i/>
          <w:color w:val="134163"/>
          <w:sz w:val="20"/>
          <w:szCs w:val="20"/>
        </w:rPr>
      </w:pPr>
      <w:bookmarkStart w:id="10" w:name="_heading=h.2p2csry" w:colFirst="0" w:colLast="0"/>
      <w:bookmarkEnd w:id="10"/>
      <w:r>
        <w:rPr>
          <w:b/>
          <w:i/>
          <w:color w:val="134163"/>
          <w:sz w:val="20"/>
          <w:szCs w:val="20"/>
        </w:rPr>
        <w:t xml:space="preserve">Table 9 Indicator 1S1 Performance Analysis </w:t>
      </w:r>
    </w:p>
    <w:tbl>
      <w:tblPr>
        <w:tblStyle w:val="16"/>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155"/>
        <w:gridCol w:w="1710"/>
        <w:gridCol w:w="1710"/>
        <w:gridCol w:w="1733"/>
        <w:gridCol w:w="967"/>
        <w:gridCol w:w="1350"/>
      </w:tblGrid>
      <w:tr w:rsidR="0000407C" w14:paraId="31374093" w14:textId="77777777" w:rsidTr="00461043">
        <w:trPr>
          <w:trHeight w:val="580"/>
          <w:tblHeader/>
        </w:trPr>
        <w:tc>
          <w:tcPr>
            <w:tcW w:w="2155" w:type="dxa"/>
            <w:shd w:val="clear" w:color="auto" w:fill="1C6294"/>
          </w:tcPr>
          <w:p w14:paraId="1440278D" w14:textId="77777777" w:rsidR="0000407C" w:rsidRDefault="007E369D">
            <w:pPr>
              <w:rPr>
                <w:b/>
                <w:color w:val="FFFFFF"/>
              </w:rPr>
            </w:pPr>
            <w:r>
              <w:rPr>
                <w:b/>
                <w:color w:val="FFFFFF"/>
              </w:rPr>
              <w:t>Indicator Value Type, 1S1</w:t>
            </w:r>
          </w:p>
        </w:tc>
        <w:tc>
          <w:tcPr>
            <w:tcW w:w="1710" w:type="dxa"/>
            <w:shd w:val="clear" w:color="auto" w:fill="1C6294"/>
          </w:tcPr>
          <w:p w14:paraId="7C39FCC6" w14:textId="77777777" w:rsidR="0000407C" w:rsidRDefault="007E369D">
            <w:pPr>
              <w:rPr>
                <w:b/>
                <w:color w:val="FFFFFF"/>
              </w:rPr>
            </w:pPr>
            <w:r>
              <w:rPr>
                <w:b/>
                <w:color w:val="FFFFFF"/>
              </w:rPr>
              <w:t>Report year 2020-21</w:t>
            </w:r>
          </w:p>
        </w:tc>
        <w:tc>
          <w:tcPr>
            <w:tcW w:w="1710" w:type="dxa"/>
            <w:shd w:val="clear" w:color="auto" w:fill="1C6294"/>
          </w:tcPr>
          <w:p w14:paraId="57A32CBE" w14:textId="77777777" w:rsidR="0000407C" w:rsidRDefault="007E369D">
            <w:pPr>
              <w:rPr>
                <w:b/>
                <w:color w:val="FFFFFF"/>
              </w:rPr>
            </w:pPr>
            <w:r>
              <w:rPr>
                <w:b/>
                <w:color w:val="FFFFFF"/>
              </w:rPr>
              <w:t>Report year 2021-22</w:t>
            </w:r>
          </w:p>
        </w:tc>
        <w:tc>
          <w:tcPr>
            <w:tcW w:w="1733" w:type="dxa"/>
            <w:shd w:val="clear" w:color="auto" w:fill="1C6294"/>
          </w:tcPr>
          <w:p w14:paraId="29F855C2" w14:textId="77777777" w:rsidR="0000407C" w:rsidRDefault="007E369D">
            <w:pPr>
              <w:rPr>
                <w:b/>
                <w:color w:val="FFFFFF"/>
              </w:rPr>
            </w:pPr>
            <w:r>
              <w:rPr>
                <w:b/>
                <w:color w:val="FFFFFF"/>
              </w:rPr>
              <w:t>Report year 2022-23</w:t>
            </w:r>
          </w:p>
        </w:tc>
        <w:tc>
          <w:tcPr>
            <w:tcW w:w="967" w:type="dxa"/>
            <w:shd w:val="clear" w:color="auto" w:fill="1C6294"/>
          </w:tcPr>
          <w:p w14:paraId="36FEBA0F" w14:textId="77777777" w:rsidR="0000407C" w:rsidRDefault="007E369D">
            <w:pPr>
              <w:rPr>
                <w:b/>
                <w:color w:val="FFFFFF"/>
              </w:rPr>
            </w:pPr>
            <w:r>
              <w:rPr>
                <w:b/>
                <w:color w:val="FFFFFF"/>
              </w:rPr>
              <w:t xml:space="preserve">Base Level </w:t>
            </w:r>
          </w:p>
        </w:tc>
        <w:tc>
          <w:tcPr>
            <w:tcW w:w="1350" w:type="dxa"/>
            <w:shd w:val="clear" w:color="auto" w:fill="1C6294"/>
          </w:tcPr>
          <w:p w14:paraId="6534AF55" w14:textId="77777777" w:rsidR="0000407C" w:rsidRDefault="007E369D">
            <w:pPr>
              <w:rPr>
                <w:b/>
                <w:color w:val="FFFFFF"/>
              </w:rPr>
            </w:pPr>
            <w:r>
              <w:rPr>
                <w:b/>
                <w:color w:val="FFFFFF"/>
              </w:rPr>
              <w:t>Report year 2023-24</w:t>
            </w:r>
          </w:p>
        </w:tc>
      </w:tr>
      <w:tr w:rsidR="0000407C" w14:paraId="2B03670C" w14:textId="77777777" w:rsidTr="00461043">
        <w:trPr>
          <w:trHeight w:val="290"/>
        </w:trPr>
        <w:tc>
          <w:tcPr>
            <w:tcW w:w="2155" w:type="dxa"/>
          </w:tcPr>
          <w:p w14:paraId="2FB50213" w14:textId="77777777" w:rsidR="0000407C" w:rsidRDefault="007E369D">
            <w:r>
              <w:t>Numerator Count</w:t>
            </w:r>
          </w:p>
        </w:tc>
        <w:tc>
          <w:tcPr>
            <w:tcW w:w="1710" w:type="dxa"/>
          </w:tcPr>
          <w:p w14:paraId="4E1D4EFF" w14:textId="77777777" w:rsidR="0000407C" w:rsidRDefault="007E369D">
            <w:r>
              <w:t>*</w:t>
            </w:r>
          </w:p>
        </w:tc>
        <w:tc>
          <w:tcPr>
            <w:tcW w:w="1710" w:type="dxa"/>
          </w:tcPr>
          <w:p w14:paraId="556C5A09" w14:textId="77777777" w:rsidR="0000407C" w:rsidRDefault="007E369D">
            <w:r>
              <w:t>*</w:t>
            </w:r>
          </w:p>
        </w:tc>
        <w:tc>
          <w:tcPr>
            <w:tcW w:w="1733" w:type="dxa"/>
            <w:shd w:val="clear" w:color="auto" w:fill="auto"/>
          </w:tcPr>
          <w:p w14:paraId="38C6FD76" w14:textId="77777777" w:rsidR="0000407C" w:rsidRDefault="007E369D">
            <w:r>
              <w:t>*</w:t>
            </w:r>
          </w:p>
        </w:tc>
        <w:tc>
          <w:tcPr>
            <w:tcW w:w="967" w:type="dxa"/>
            <w:shd w:val="clear" w:color="auto" w:fill="auto"/>
          </w:tcPr>
          <w:p w14:paraId="44F66AD0" w14:textId="77777777" w:rsidR="0000407C" w:rsidRDefault="007E369D">
            <w:pPr>
              <w:rPr>
                <w:b/>
              </w:rPr>
            </w:pPr>
            <w:r>
              <w:rPr>
                <w:b/>
              </w:rPr>
              <w:t>*</w:t>
            </w:r>
          </w:p>
        </w:tc>
        <w:tc>
          <w:tcPr>
            <w:tcW w:w="1350" w:type="dxa"/>
            <w:shd w:val="clear" w:color="auto" w:fill="D1E6F6"/>
          </w:tcPr>
          <w:p w14:paraId="3C6C8A53" w14:textId="77777777" w:rsidR="0000407C" w:rsidRDefault="0000407C">
            <w:pPr>
              <w:rPr>
                <w:color w:val="D1E6F6"/>
              </w:rPr>
            </w:pPr>
          </w:p>
        </w:tc>
      </w:tr>
      <w:tr w:rsidR="0000407C" w14:paraId="4280D664" w14:textId="77777777" w:rsidTr="00461043">
        <w:trPr>
          <w:trHeight w:val="290"/>
        </w:trPr>
        <w:tc>
          <w:tcPr>
            <w:tcW w:w="2155" w:type="dxa"/>
          </w:tcPr>
          <w:p w14:paraId="3C95097B" w14:textId="77777777" w:rsidR="0000407C" w:rsidRDefault="007E369D">
            <w:r>
              <w:t>Denominator Count</w:t>
            </w:r>
          </w:p>
        </w:tc>
        <w:tc>
          <w:tcPr>
            <w:tcW w:w="1710" w:type="dxa"/>
          </w:tcPr>
          <w:p w14:paraId="3C999085" w14:textId="7A862605" w:rsidR="0000407C" w:rsidRDefault="007E369D">
            <w:r>
              <w:t>8</w:t>
            </w:r>
            <w:r w:rsidR="00E80C43">
              <w:t>,</w:t>
            </w:r>
            <w:r>
              <w:t>168</w:t>
            </w:r>
          </w:p>
        </w:tc>
        <w:tc>
          <w:tcPr>
            <w:tcW w:w="1710" w:type="dxa"/>
          </w:tcPr>
          <w:p w14:paraId="6A4A1A2D" w14:textId="076D9A03" w:rsidR="0000407C" w:rsidRDefault="007E369D">
            <w:r>
              <w:t>4</w:t>
            </w:r>
            <w:r w:rsidR="00E80C43">
              <w:t>,</w:t>
            </w:r>
            <w:r>
              <w:t>586</w:t>
            </w:r>
          </w:p>
        </w:tc>
        <w:tc>
          <w:tcPr>
            <w:tcW w:w="1733" w:type="dxa"/>
            <w:shd w:val="clear" w:color="auto" w:fill="auto"/>
          </w:tcPr>
          <w:p w14:paraId="37DB24B6" w14:textId="12BA12E0" w:rsidR="0000407C" w:rsidRDefault="007E369D">
            <w:r>
              <w:t>8</w:t>
            </w:r>
            <w:r w:rsidR="00E80C43">
              <w:t>,</w:t>
            </w:r>
            <w:r>
              <w:t>341</w:t>
            </w:r>
          </w:p>
        </w:tc>
        <w:tc>
          <w:tcPr>
            <w:tcW w:w="967" w:type="dxa"/>
            <w:shd w:val="clear" w:color="auto" w:fill="auto"/>
          </w:tcPr>
          <w:p w14:paraId="6D1C3753" w14:textId="0772CE2E" w:rsidR="0000407C" w:rsidRDefault="007E369D">
            <w:r>
              <w:t>6</w:t>
            </w:r>
            <w:r w:rsidR="00E80C43">
              <w:t>,</w:t>
            </w:r>
            <w:r>
              <w:t>464</w:t>
            </w:r>
          </w:p>
        </w:tc>
        <w:tc>
          <w:tcPr>
            <w:tcW w:w="1350" w:type="dxa"/>
            <w:shd w:val="clear" w:color="auto" w:fill="D1E6F6"/>
          </w:tcPr>
          <w:p w14:paraId="6E8369DB" w14:textId="77777777" w:rsidR="0000407C" w:rsidRDefault="0000407C">
            <w:pPr>
              <w:rPr>
                <w:color w:val="D1E6F6"/>
              </w:rPr>
            </w:pPr>
          </w:p>
        </w:tc>
      </w:tr>
      <w:tr w:rsidR="0000407C" w14:paraId="07CB89C8" w14:textId="77777777" w:rsidTr="00461043">
        <w:trPr>
          <w:trHeight w:val="290"/>
        </w:trPr>
        <w:tc>
          <w:tcPr>
            <w:tcW w:w="2155" w:type="dxa"/>
          </w:tcPr>
          <w:p w14:paraId="63ADA074" w14:textId="77777777" w:rsidR="0000407C" w:rsidRDefault="007E369D">
            <w:r>
              <w:t>Actual Performance</w:t>
            </w:r>
          </w:p>
        </w:tc>
        <w:tc>
          <w:tcPr>
            <w:tcW w:w="1710" w:type="dxa"/>
          </w:tcPr>
          <w:p w14:paraId="16F17216" w14:textId="77777777" w:rsidR="0000407C" w:rsidRDefault="007E369D">
            <w:pPr>
              <w:rPr>
                <w:b/>
              </w:rPr>
            </w:pPr>
            <w:r>
              <w:rPr>
                <w:b/>
              </w:rPr>
              <w:t>&gt; 95%</w:t>
            </w:r>
          </w:p>
        </w:tc>
        <w:tc>
          <w:tcPr>
            <w:tcW w:w="1710" w:type="dxa"/>
          </w:tcPr>
          <w:p w14:paraId="47B277B4" w14:textId="77777777" w:rsidR="0000407C" w:rsidRDefault="007E369D">
            <w:pPr>
              <w:rPr>
                <w:b/>
              </w:rPr>
            </w:pPr>
            <w:r>
              <w:rPr>
                <w:b/>
              </w:rPr>
              <w:t>&gt; 95%</w:t>
            </w:r>
          </w:p>
        </w:tc>
        <w:tc>
          <w:tcPr>
            <w:tcW w:w="1733" w:type="dxa"/>
            <w:shd w:val="clear" w:color="auto" w:fill="auto"/>
          </w:tcPr>
          <w:p w14:paraId="24A719B2" w14:textId="77777777" w:rsidR="0000407C" w:rsidRDefault="007E369D">
            <w:r>
              <w:rPr>
                <w:b/>
              </w:rPr>
              <w:t>&gt; 95%</w:t>
            </w:r>
          </w:p>
        </w:tc>
        <w:tc>
          <w:tcPr>
            <w:tcW w:w="967" w:type="dxa"/>
            <w:shd w:val="clear" w:color="auto" w:fill="auto"/>
          </w:tcPr>
          <w:p w14:paraId="39918B52" w14:textId="77777777" w:rsidR="0000407C" w:rsidRDefault="007E369D">
            <w:r>
              <w:rPr>
                <w:b/>
              </w:rPr>
              <w:t>&gt; 95%</w:t>
            </w:r>
          </w:p>
        </w:tc>
        <w:tc>
          <w:tcPr>
            <w:tcW w:w="1350" w:type="dxa"/>
            <w:shd w:val="clear" w:color="auto" w:fill="D1E6F6"/>
          </w:tcPr>
          <w:p w14:paraId="1F9A9179" w14:textId="77777777" w:rsidR="0000407C" w:rsidRDefault="0000407C">
            <w:pPr>
              <w:rPr>
                <w:color w:val="D1E6F6"/>
              </w:rPr>
            </w:pPr>
          </w:p>
        </w:tc>
      </w:tr>
      <w:tr w:rsidR="0000407C" w14:paraId="73A8BDDD" w14:textId="77777777" w:rsidTr="00461043">
        <w:trPr>
          <w:trHeight w:val="290"/>
        </w:trPr>
        <w:tc>
          <w:tcPr>
            <w:tcW w:w="2155" w:type="dxa"/>
          </w:tcPr>
          <w:p w14:paraId="26716153" w14:textId="77777777" w:rsidR="0000407C" w:rsidRDefault="007E369D">
            <w:r>
              <w:t>Performance Target</w:t>
            </w:r>
          </w:p>
        </w:tc>
        <w:tc>
          <w:tcPr>
            <w:tcW w:w="1710" w:type="dxa"/>
          </w:tcPr>
          <w:p w14:paraId="66AF724F" w14:textId="77777777" w:rsidR="0000407C" w:rsidRDefault="007E369D">
            <w:r>
              <w:t>89.50%</w:t>
            </w:r>
          </w:p>
        </w:tc>
        <w:tc>
          <w:tcPr>
            <w:tcW w:w="1710" w:type="dxa"/>
          </w:tcPr>
          <w:p w14:paraId="73C133A3" w14:textId="77777777" w:rsidR="0000407C" w:rsidRDefault="007E369D">
            <w:r>
              <w:t>90.00%</w:t>
            </w:r>
          </w:p>
        </w:tc>
        <w:tc>
          <w:tcPr>
            <w:tcW w:w="1733" w:type="dxa"/>
          </w:tcPr>
          <w:p w14:paraId="55E6E67B" w14:textId="77777777" w:rsidR="0000407C" w:rsidRDefault="007E369D">
            <w:r>
              <w:t>90.50%</w:t>
            </w:r>
          </w:p>
        </w:tc>
        <w:tc>
          <w:tcPr>
            <w:tcW w:w="967" w:type="dxa"/>
            <w:shd w:val="clear" w:color="auto" w:fill="D1E6F6"/>
          </w:tcPr>
          <w:p w14:paraId="1624D6AD" w14:textId="77777777" w:rsidR="0000407C" w:rsidRDefault="0000407C"/>
        </w:tc>
        <w:tc>
          <w:tcPr>
            <w:tcW w:w="1350" w:type="dxa"/>
          </w:tcPr>
          <w:p w14:paraId="1E4C6418" w14:textId="77777777" w:rsidR="0000407C" w:rsidRDefault="007E369D">
            <w:r>
              <w:t>91.00%</w:t>
            </w:r>
          </w:p>
        </w:tc>
      </w:tr>
      <w:tr w:rsidR="0000407C" w14:paraId="2840C2DF" w14:textId="77777777" w:rsidTr="00461043">
        <w:trPr>
          <w:trHeight w:val="290"/>
        </w:trPr>
        <w:tc>
          <w:tcPr>
            <w:tcW w:w="2155" w:type="dxa"/>
          </w:tcPr>
          <w:p w14:paraId="2B88BCA0" w14:textId="77777777" w:rsidR="0000407C" w:rsidRDefault="007E369D">
            <w:r>
              <w:t>Performance Type</w:t>
            </w:r>
          </w:p>
        </w:tc>
        <w:tc>
          <w:tcPr>
            <w:tcW w:w="1710" w:type="dxa"/>
          </w:tcPr>
          <w:p w14:paraId="37B90AFC" w14:textId="77777777" w:rsidR="0000407C" w:rsidRDefault="007E369D">
            <w:r>
              <w:t>Met or Exceeded Target</w:t>
            </w:r>
          </w:p>
        </w:tc>
        <w:tc>
          <w:tcPr>
            <w:tcW w:w="1710" w:type="dxa"/>
          </w:tcPr>
          <w:p w14:paraId="50E73C9D" w14:textId="77777777" w:rsidR="0000407C" w:rsidRDefault="007E369D">
            <w:r>
              <w:t>Met or Exceeded Target</w:t>
            </w:r>
          </w:p>
        </w:tc>
        <w:tc>
          <w:tcPr>
            <w:tcW w:w="1733" w:type="dxa"/>
            <w:shd w:val="clear" w:color="auto" w:fill="auto"/>
          </w:tcPr>
          <w:p w14:paraId="520D2F6C" w14:textId="77777777" w:rsidR="0000407C" w:rsidRDefault="007E369D">
            <w:r>
              <w:t>Met or Exceeded Target</w:t>
            </w:r>
          </w:p>
        </w:tc>
        <w:tc>
          <w:tcPr>
            <w:tcW w:w="967" w:type="dxa"/>
            <w:shd w:val="clear" w:color="auto" w:fill="D1E6F6"/>
          </w:tcPr>
          <w:p w14:paraId="5EE11AA6" w14:textId="77777777" w:rsidR="0000407C" w:rsidRDefault="0000407C">
            <w:pPr>
              <w:rPr>
                <w:color w:val="D1E6F6"/>
              </w:rPr>
            </w:pPr>
          </w:p>
        </w:tc>
        <w:tc>
          <w:tcPr>
            <w:tcW w:w="1350" w:type="dxa"/>
            <w:shd w:val="clear" w:color="auto" w:fill="D1E6F6"/>
          </w:tcPr>
          <w:p w14:paraId="7CC83907" w14:textId="77777777" w:rsidR="0000407C" w:rsidRDefault="0000407C">
            <w:pPr>
              <w:rPr>
                <w:color w:val="D1E6F6"/>
              </w:rPr>
            </w:pPr>
          </w:p>
        </w:tc>
      </w:tr>
    </w:tbl>
    <w:p w14:paraId="5780AC44" w14:textId="77777777" w:rsidR="0000407C" w:rsidRDefault="007E369D">
      <w:pPr>
        <w:spacing w:before="240"/>
      </w:pPr>
      <w:r>
        <w:t xml:space="preserve">Oregon’s statewide performance in the </w:t>
      </w:r>
      <w:r>
        <w:rPr>
          <w:i/>
        </w:rPr>
        <w:t>Four-Year Graduation Rate</w:t>
      </w:r>
      <w:r>
        <w:t xml:space="preserve"> (1S1) indicator was over 95% in all three report years, 2020-21, 2021-22, and 2022-23. The average performance of the most recent two years is above 95%. (</w:t>
      </w:r>
      <w:r>
        <w:rPr>
          <w:color w:val="134163"/>
        </w:rPr>
        <w:t>Table</w:t>
      </w:r>
      <w:r>
        <w:t xml:space="preserve"> 9)</w:t>
      </w:r>
    </w:p>
    <w:p w14:paraId="7E5DA2F0" w14:textId="77777777" w:rsidR="0000407C" w:rsidRDefault="007E369D">
      <w:pPr>
        <w:keepNext/>
        <w:pBdr>
          <w:top w:val="nil"/>
          <w:left w:val="nil"/>
          <w:bottom w:val="nil"/>
          <w:right w:val="nil"/>
          <w:between w:val="nil"/>
        </w:pBdr>
        <w:spacing w:after="200" w:line="240" w:lineRule="auto"/>
        <w:rPr>
          <w:b/>
          <w:i/>
          <w:color w:val="134163"/>
          <w:sz w:val="20"/>
          <w:szCs w:val="20"/>
        </w:rPr>
      </w:pPr>
      <w:bookmarkStart w:id="11" w:name="_heading=h.147n2zr" w:colFirst="0" w:colLast="0"/>
      <w:bookmarkEnd w:id="11"/>
      <w:r>
        <w:rPr>
          <w:b/>
          <w:i/>
          <w:color w:val="134163"/>
          <w:sz w:val="20"/>
          <w:szCs w:val="20"/>
        </w:rPr>
        <w:t>Table 10 Indicator 1S1 Proposed Targets</w:t>
      </w:r>
    </w:p>
    <w:tbl>
      <w:tblPr>
        <w:tblStyle w:val="15"/>
        <w:tblW w:w="4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960"/>
        <w:gridCol w:w="2100"/>
      </w:tblGrid>
      <w:tr w:rsidR="0000407C" w14:paraId="29AC1109" w14:textId="77777777" w:rsidTr="00461043">
        <w:trPr>
          <w:trHeight w:val="290"/>
          <w:tblHeader/>
          <w:jc w:val="center"/>
        </w:trPr>
        <w:tc>
          <w:tcPr>
            <w:tcW w:w="1960" w:type="dxa"/>
            <w:shd w:val="clear" w:color="auto" w:fill="1C6294"/>
          </w:tcPr>
          <w:p w14:paraId="6940C327" w14:textId="77777777" w:rsidR="0000407C" w:rsidRDefault="007E369D">
            <w:pPr>
              <w:jc w:val="center"/>
              <w:rPr>
                <w:b/>
                <w:color w:val="FFFFFF"/>
              </w:rPr>
            </w:pPr>
            <w:r>
              <w:rPr>
                <w:b/>
                <w:color w:val="FFFFFF"/>
              </w:rPr>
              <w:t>Report Year</w:t>
            </w:r>
          </w:p>
        </w:tc>
        <w:tc>
          <w:tcPr>
            <w:tcW w:w="2100" w:type="dxa"/>
            <w:shd w:val="clear" w:color="auto" w:fill="1C6294"/>
          </w:tcPr>
          <w:p w14:paraId="748B93A5" w14:textId="77777777" w:rsidR="0000407C" w:rsidRDefault="007E369D">
            <w:pPr>
              <w:jc w:val="center"/>
              <w:rPr>
                <w:b/>
                <w:color w:val="FFFFFF"/>
              </w:rPr>
            </w:pPr>
            <w:r>
              <w:rPr>
                <w:b/>
                <w:color w:val="FFFFFF"/>
              </w:rPr>
              <w:t>Proposed Target</w:t>
            </w:r>
          </w:p>
        </w:tc>
      </w:tr>
      <w:tr w:rsidR="0000407C" w14:paraId="68D66DBA" w14:textId="77777777" w:rsidTr="00461043">
        <w:trPr>
          <w:trHeight w:val="290"/>
          <w:jc w:val="center"/>
        </w:trPr>
        <w:tc>
          <w:tcPr>
            <w:tcW w:w="1960" w:type="dxa"/>
          </w:tcPr>
          <w:p w14:paraId="491655EB" w14:textId="77777777" w:rsidR="0000407C" w:rsidRDefault="007E369D">
            <w:pPr>
              <w:tabs>
                <w:tab w:val="left" w:pos="7200"/>
              </w:tabs>
              <w:jc w:val="center"/>
            </w:pPr>
            <w:r>
              <w:t>2024-25</w:t>
            </w:r>
          </w:p>
        </w:tc>
        <w:tc>
          <w:tcPr>
            <w:tcW w:w="2100" w:type="dxa"/>
          </w:tcPr>
          <w:p w14:paraId="78EAF56E" w14:textId="77777777" w:rsidR="0000407C" w:rsidRDefault="007E369D">
            <w:pPr>
              <w:tabs>
                <w:tab w:val="left" w:pos="7200"/>
              </w:tabs>
              <w:jc w:val="center"/>
            </w:pPr>
            <w:r>
              <w:t>93.25%</w:t>
            </w:r>
          </w:p>
        </w:tc>
      </w:tr>
      <w:tr w:rsidR="0000407C" w14:paraId="5CA25D8A" w14:textId="77777777" w:rsidTr="00461043">
        <w:trPr>
          <w:trHeight w:val="290"/>
          <w:jc w:val="center"/>
        </w:trPr>
        <w:tc>
          <w:tcPr>
            <w:tcW w:w="1960" w:type="dxa"/>
          </w:tcPr>
          <w:p w14:paraId="053C60A6" w14:textId="77777777" w:rsidR="0000407C" w:rsidRDefault="007E369D">
            <w:pPr>
              <w:tabs>
                <w:tab w:val="left" w:pos="7200"/>
              </w:tabs>
              <w:jc w:val="center"/>
            </w:pPr>
            <w:r>
              <w:t>2025-26</w:t>
            </w:r>
          </w:p>
        </w:tc>
        <w:tc>
          <w:tcPr>
            <w:tcW w:w="2100" w:type="dxa"/>
          </w:tcPr>
          <w:p w14:paraId="78547F3E" w14:textId="77777777" w:rsidR="0000407C" w:rsidRDefault="007E369D">
            <w:pPr>
              <w:tabs>
                <w:tab w:val="left" w:pos="7200"/>
              </w:tabs>
              <w:jc w:val="center"/>
            </w:pPr>
            <w:r>
              <w:t>93.50%</w:t>
            </w:r>
          </w:p>
        </w:tc>
      </w:tr>
      <w:tr w:rsidR="0000407C" w14:paraId="59436E53" w14:textId="77777777" w:rsidTr="00461043">
        <w:trPr>
          <w:trHeight w:val="290"/>
          <w:jc w:val="center"/>
        </w:trPr>
        <w:tc>
          <w:tcPr>
            <w:tcW w:w="1960" w:type="dxa"/>
          </w:tcPr>
          <w:p w14:paraId="5BEB6640" w14:textId="77777777" w:rsidR="0000407C" w:rsidRDefault="007E369D">
            <w:pPr>
              <w:tabs>
                <w:tab w:val="left" w:pos="7200"/>
              </w:tabs>
              <w:jc w:val="center"/>
            </w:pPr>
            <w:r>
              <w:t>2026-27</w:t>
            </w:r>
          </w:p>
        </w:tc>
        <w:tc>
          <w:tcPr>
            <w:tcW w:w="2100" w:type="dxa"/>
          </w:tcPr>
          <w:p w14:paraId="70BE8D66" w14:textId="77777777" w:rsidR="0000407C" w:rsidRDefault="007E369D">
            <w:pPr>
              <w:tabs>
                <w:tab w:val="left" w:pos="7200"/>
              </w:tabs>
              <w:jc w:val="center"/>
            </w:pPr>
            <w:r>
              <w:t>93.75%</w:t>
            </w:r>
          </w:p>
        </w:tc>
      </w:tr>
      <w:tr w:rsidR="0000407C" w14:paraId="47A36AD8" w14:textId="77777777" w:rsidTr="00461043">
        <w:trPr>
          <w:trHeight w:val="290"/>
          <w:jc w:val="center"/>
        </w:trPr>
        <w:tc>
          <w:tcPr>
            <w:tcW w:w="1960" w:type="dxa"/>
          </w:tcPr>
          <w:p w14:paraId="0AEC5221" w14:textId="77777777" w:rsidR="0000407C" w:rsidRDefault="007E369D">
            <w:pPr>
              <w:tabs>
                <w:tab w:val="left" w:pos="7200"/>
              </w:tabs>
              <w:jc w:val="center"/>
            </w:pPr>
            <w:r>
              <w:t>2027-28</w:t>
            </w:r>
          </w:p>
        </w:tc>
        <w:tc>
          <w:tcPr>
            <w:tcW w:w="2100" w:type="dxa"/>
          </w:tcPr>
          <w:p w14:paraId="271765A6" w14:textId="77777777" w:rsidR="0000407C" w:rsidRDefault="007E369D">
            <w:pPr>
              <w:tabs>
                <w:tab w:val="left" w:pos="7200"/>
              </w:tabs>
              <w:jc w:val="center"/>
            </w:pPr>
            <w:r>
              <w:t>94.00%</w:t>
            </w:r>
          </w:p>
        </w:tc>
      </w:tr>
    </w:tbl>
    <w:p w14:paraId="6346BCA1" w14:textId="0695110F" w:rsidR="0000407C" w:rsidRDefault="007E369D">
      <w:pPr>
        <w:spacing w:before="240"/>
      </w:pPr>
      <w:r>
        <w:t xml:space="preserve">The four-year graduation rate for CTE </w:t>
      </w:r>
      <w:r w:rsidR="00B73E4A">
        <w:t>c</w:t>
      </w:r>
      <w:r>
        <w:t xml:space="preserve">oncentrators has consistently exceeded the statewide average for all students. Historically, the Oregon CTE four-year graduation rate has hovered around 90%. The first three years of Perkins V </w:t>
      </w:r>
      <w:r w:rsidR="00B73E4A">
        <w:t>c</w:t>
      </w:r>
      <w:r>
        <w:t xml:space="preserve">oncentrator definition saw ODE exceed targets. </w:t>
      </w:r>
    </w:p>
    <w:p w14:paraId="2BBF565D" w14:textId="77777777" w:rsidR="0000407C" w:rsidRDefault="007E369D">
      <w:pPr>
        <w:spacing w:before="240"/>
      </w:pPr>
      <w:r>
        <w:t xml:space="preserve">A special circumstance prevents Oregon from establishing this set of SDPLs for this indicator higher than the Base Level actual performance because Oregon must protect student confidentiality with certain levels of data suppression applied to summary performance results. That data suppression includes coding any group’s results of 95% or higher as “&gt; 95%.” This means that no SDPL can </w:t>
      </w:r>
      <w:proofErr w:type="gramStart"/>
      <w:r>
        <w:t>be publicly reported</w:t>
      </w:r>
      <w:proofErr w:type="gramEnd"/>
      <w:r>
        <w:t xml:space="preserve"> higher than 95%, while Oregon categorizes subgrantee and student group disaggregations in all three performance types in the public report set. The CTE administrators and instructors in Oregon requested maintenance of a target set below the 95% public-reporting threshold for their community partner engagement.</w:t>
      </w:r>
    </w:p>
    <w:p w14:paraId="6660FA82" w14:textId="5BE04EBE" w:rsidR="0000407C" w:rsidRDefault="007E369D">
      <w:pPr>
        <w:spacing w:before="240"/>
      </w:pPr>
      <w:r>
        <w:t>For the above reasons, the proposed 1S1 targets (</w:t>
      </w:r>
      <w:r>
        <w:rPr>
          <w:color w:val="134163"/>
        </w:rPr>
        <w:t>Table</w:t>
      </w:r>
      <w:r>
        <w:t xml:space="preserve"> 10) maintain small target increases each year as the rate approaches 100%. For continuous improvement, we move from 91% in 2023-24 to 93</w:t>
      </w:r>
      <w:r w:rsidR="008D2B31">
        <w:t>.25</w:t>
      </w:r>
      <w:r>
        <w:t>% in 2024-25.</w:t>
      </w:r>
    </w:p>
    <w:p w14:paraId="31774D6E" w14:textId="77777777" w:rsidR="0000407C" w:rsidRDefault="007E369D">
      <w:pPr>
        <w:pStyle w:val="Heading3"/>
        <w:rPr>
          <w:color w:val="1C6294"/>
        </w:rPr>
      </w:pPr>
      <w:r>
        <w:rPr>
          <w:color w:val="1C6294"/>
        </w:rPr>
        <w:t>1S2: Extended Graduation Rate</w:t>
      </w:r>
    </w:p>
    <w:p w14:paraId="48E246A2" w14:textId="0CAC1518" w:rsidR="0000407C" w:rsidRDefault="007E369D">
      <w:pPr>
        <w:spacing w:after="10" w:line="276" w:lineRule="auto"/>
        <w:ind w:left="6" w:right="15"/>
        <w:rPr>
          <w:sz w:val="21"/>
          <w:szCs w:val="21"/>
        </w:rPr>
      </w:pPr>
      <w:r>
        <w:rPr>
          <w:sz w:val="21"/>
          <w:szCs w:val="21"/>
        </w:rPr>
        <w:t xml:space="preserve">The percentage of secondary CTE </w:t>
      </w:r>
      <w:r w:rsidR="00B73E4A">
        <w:rPr>
          <w:sz w:val="21"/>
          <w:szCs w:val="21"/>
        </w:rPr>
        <w:t>c</w:t>
      </w:r>
      <w:r>
        <w:rPr>
          <w:sz w:val="21"/>
          <w:szCs w:val="21"/>
        </w:rPr>
        <w:t>oncentrators in the 5-year cohort who graduate within five years. This indicator uses the same definition for a high school graduate as the one used to determine overall state five-year graduation rates.</w:t>
      </w:r>
    </w:p>
    <w:p w14:paraId="2BBC8E3E" w14:textId="07D966D4" w:rsidR="0000407C" w:rsidRDefault="007E369D">
      <w:pPr>
        <w:pBdr>
          <w:bottom w:val="single" w:sz="8" w:space="0" w:color="1B75BB"/>
        </w:pBdr>
        <w:shd w:val="clear" w:color="auto" w:fill="D1E6F6"/>
        <w:spacing w:before="240" w:after="0" w:line="276" w:lineRule="auto"/>
        <w:ind w:left="85" w:right="194" w:hanging="10"/>
      </w:pPr>
      <w:r>
        <w:rPr>
          <w:b/>
        </w:rPr>
        <w:t>Numerator:</w:t>
      </w:r>
      <w:r>
        <w:t xml:space="preserve"> # of CTE </w:t>
      </w:r>
      <w:r w:rsidR="00B73E4A">
        <w:t>c</w:t>
      </w:r>
      <w:r>
        <w:t>oncentrators who graduate high school (regular diploma, modified diploma, or post-graduate scholars), as measured by the five-year adjusted cohort graduation rate</w:t>
      </w:r>
      <w:r w:rsidR="00E80C43">
        <w:t>.</w:t>
      </w:r>
    </w:p>
    <w:p w14:paraId="7BA9AEBF" w14:textId="569252E7" w:rsidR="0000407C" w:rsidRDefault="007E369D">
      <w:pPr>
        <w:shd w:val="clear" w:color="auto" w:fill="D1E6F6"/>
        <w:spacing w:after="135" w:line="276" w:lineRule="auto"/>
        <w:ind w:left="85" w:right="216" w:hanging="10"/>
        <w:rPr>
          <w:sz w:val="21"/>
          <w:szCs w:val="21"/>
        </w:rPr>
      </w:pPr>
      <w:r>
        <w:rPr>
          <w:b/>
        </w:rPr>
        <w:t>Denominator:</w:t>
      </w:r>
      <w:r>
        <w:t xml:space="preserve"> # of CTE </w:t>
      </w:r>
      <w:r w:rsidR="00B73E4A">
        <w:t>c</w:t>
      </w:r>
      <w:r>
        <w:t xml:space="preserve">oncentrators in the state’s adjusted five-year cohort in the reporting year. The adjusted five-year cohort includes students who </w:t>
      </w:r>
      <w:proofErr w:type="gramStart"/>
      <w:r>
        <w:t>were first enrolled</w:t>
      </w:r>
      <w:proofErr w:type="gramEnd"/>
      <w:r>
        <w:t xml:space="preserve"> in high school five years prior to August of the reporting year, plus those students who transferred into the cohort within these five years and minus those students who transferred out of the cohort within these five years.</w:t>
      </w:r>
    </w:p>
    <w:p w14:paraId="37A1C781" w14:textId="77777777" w:rsidR="0000407C" w:rsidRDefault="007E369D">
      <w:pPr>
        <w:keepNext/>
        <w:pBdr>
          <w:top w:val="nil"/>
          <w:left w:val="nil"/>
          <w:bottom w:val="nil"/>
          <w:right w:val="nil"/>
          <w:between w:val="nil"/>
        </w:pBdr>
        <w:spacing w:after="200" w:line="240" w:lineRule="auto"/>
        <w:rPr>
          <w:b/>
          <w:i/>
          <w:color w:val="134163"/>
          <w:sz w:val="20"/>
          <w:szCs w:val="20"/>
        </w:rPr>
      </w:pPr>
      <w:bookmarkStart w:id="12" w:name="_heading=h.3o7alnk" w:colFirst="0" w:colLast="0"/>
      <w:bookmarkEnd w:id="12"/>
      <w:r>
        <w:rPr>
          <w:b/>
          <w:i/>
          <w:color w:val="134163"/>
          <w:sz w:val="20"/>
          <w:szCs w:val="20"/>
        </w:rPr>
        <w:t>Table 11 Indicator 1S2 Performance Analysis</w:t>
      </w:r>
    </w:p>
    <w:tbl>
      <w:tblPr>
        <w:tblStyle w:val="14"/>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155"/>
        <w:gridCol w:w="1710"/>
        <w:gridCol w:w="1710"/>
        <w:gridCol w:w="1733"/>
        <w:gridCol w:w="967"/>
        <w:gridCol w:w="1350"/>
      </w:tblGrid>
      <w:tr w:rsidR="0000407C" w14:paraId="3134EE47" w14:textId="77777777" w:rsidTr="00461043">
        <w:trPr>
          <w:trHeight w:val="580"/>
          <w:tblHeader/>
        </w:trPr>
        <w:tc>
          <w:tcPr>
            <w:tcW w:w="2155" w:type="dxa"/>
            <w:shd w:val="clear" w:color="auto" w:fill="1C6294"/>
          </w:tcPr>
          <w:p w14:paraId="546F6BEA" w14:textId="77777777" w:rsidR="0000407C" w:rsidRDefault="007E369D">
            <w:pPr>
              <w:rPr>
                <w:b/>
                <w:color w:val="FFFFFF"/>
              </w:rPr>
            </w:pPr>
            <w:r>
              <w:rPr>
                <w:b/>
                <w:color w:val="FFFFFF"/>
              </w:rPr>
              <w:t>Indicator Value Type, 1S2</w:t>
            </w:r>
          </w:p>
        </w:tc>
        <w:tc>
          <w:tcPr>
            <w:tcW w:w="1710" w:type="dxa"/>
            <w:shd w:val="clear" w:color="auto" w:fill="1C6294"/>
          </w:tcPr>
          <w:p w14:paraId="518BD7DC" w14:textId="77777777" w:rsidR="0000407C" w:rsidRDefault="007E369D">
            <w:pPr>
              <w:rPr>
                <w:b/>
                <w:color w:val="FFFFFF"/>
              </w:rPr>
            </w:pPr>
            <w:r>
              <w:rPr>
                <w:b/>
                <w:color w:val="FFFFFF"/>
              </w:rPr>
              <w:t>Report year 2020-21</w:t>
            </w:r>
          </w:p>
        </w:tc>
        <w:tc>
          <w:tcPr>
            <w:tcW w:w="1710" w:type="dxa"/>
            <w:shd w:val="clear" w:color="auto" w:fill="1C6294"/>
          </w:tcPr>
          <w:p w14:paraId="7CE4E351" w14:textId="77777777" w:rsidR="0000407C" w:rsidRDefault="007E369D">
            <w:pPr>
              <w:rPr>
                <w:b/>
                <w:color w:val="FFFFFF"/>
              </w:rPr>
            </w:pPr>
            <w:r>
              <w:rPr>
                <w:b/>
                <w:color w:val="FFFFFF"/>
              </w:rPr>
              <w:t>Report year 2021-22</w:t>
            </w:r>
          </w:p>
        </w:tc>
        <w:tc>
          <w:tcPr>
            <w:tcW w:w="1733" w:type="dxa"/>
            <w:shd w:val="clear" w:color="auto" w:fill="1C6294"/>
          </w:tcPr>
          <w:p w14:paraId="73F196CE" w14:textId="77777777" w:rsidR="0000407C" w:rsidRDefault="007E369D">
            <w:pPr>
              <w:rPr>
                <w:b/>
                <w:color w:val="FFFFFF"/>
              </w:rPr>
            </w:pPr>
            <w:r>
              <w:rPr>
                <w:b/>
                <w:color w:val="FFFFFF"/>
              </w:rPr>
              <w:t>Report year 2022-23</w:t>
            </w:r>
          </w:p>
        </w:tc>
        <w:tc>
          <w:tcPr>
            <w:tcW w:w="967" w:type="dxa"/>
            <w:shd w:val="clear" w:color="auto" w:fill="1C6294"/>
          </w:tcPr>
          <w:p w14:paraId="16334AC2" w14:textId="77777777" w:rsidR="0000407C" w:rsidRDefault="007E369D">
            <w:pPr>
              <w:rPr>
                <w:b/>
                <w:color w:val="FFFFFF"/>
              </w:rPr>
            </w:pPr>
            <w:r>
              <w:rPr>
                <w:b/>
                <w:color w:val="FFFFFF"/>
              </w:rPr>
              <w:t>Base Level</w:t>
            </w:r>
          </w:p>
        </w:tc>
        <w:tc>
          <w:tcPr>
            <w:tcW w:w="1350" w:type="dxa"/>
            <w:shd w:val="clear" w:color="auto" w:fill="1C6294"/>
          </w:tcPr>
          <w:p w14:paraId="48C7B9EF" w14:textId="77777777" w:rsidR="0000407C" w:rsidRDefault="007E369D">
            <w:pPr>
              <w:rPr>
                <w:b/>
                <w:color w:val="FFFFFF"/>
              </w:rPr>
            </w:pPr>
            <w:r>
              <w:rPr>
                <w:b/>
                <w:color w:val="FFFFFF"/>
              </w:rPr>
              <w:t>Report year 2023-24</w:t>
            </w:r>
          </w:p>
        </w:tc>
      </w:tr>
      <w:tr w:rsidR="0000407C" w14:paraId="4CC98823" w14:textId="77777777" w:rsidTr="00461043">
        <w:trPr>
          <w:trHeight w:val="290"/>
        </w:trPr>
        <w:tc>
          <w:tcPr>
            <w:tcW w:w="2155" w:type="dxa"/>
          </w:tcPr>
          <w:p w14:paraId="56A5D536" w14:textId="77777777" w:rsidR="0000407C" w:rsidRDefault="007E369D">
            <w:r>
              <w:t>Numerator Count</w:t>
            </w:r>
          </w:p>
        </w:tc>
        <w:tc>
          <w:tcPr>
            <w:tcW w:w="1710" w:type="dxa"/>
          </w:tcPr>
          <w:p w14:paraId="32F15408" w14:textId="77777777" w:rsidR="0000407C" w:rsidRDefault="007E369D">
            <w:r>
              <w:t>*</w:t>
            </w:r>
          </w:p>
        </w:tc>
        <w:tc>
          <w:tcPr>
            <w:tcW w:w="1710" w:type="dxa"/>
          </w:tcPr>
          <w:p w14:paraId="6F318175" w14:textId="77777777" w:rsidR="0000407C" w:rsidRDefault="007E369D">
            <w:r>
              <w:t>*</w:t>
            </w:r>
          </w:p>
        </w:tc>
        <w:tc>
          <w:tcPr>
            <w:tcW w:w="1733" w:type="dxa"/>
            <w:shd w:val="clear" w:color="auto" w:fill="auto"/>
          </w:tcPr>
          <w:p w14:paraId="59405B71" w14:textId="77777777" w:rsidR="0000407C" w:rsidRDefault="007E369D">
            <w:r>
              <w:t>*</w:t>
            </w:r>
          </w:p>
        </w:tc>
        <w:tc>
          <w:tcPr>
            <w:tcW w:w="967" w:type="dxa"/>
            <w:shd w:val="clear" w:color="auto" w:fill="auto"/>
          </w:tcPr>
          <w:p w14:paraId="1500D44C" w14:textId="77777777" w:rsidR="0000407C" w:rsidRDefault="007E369D">
            <w:r>
              <w:rPr>
                <w:b/>
              </w:rPr>
              <w:t>*</w:t>
            </w:r>
          </w:p>
        </w:tc>
        <w:tc>
          <w:tcPr>
            <w:tcW w:w="1350" w:type="dxa"/>
            <w:shd w:val="clear" w:color="auto" w:fill="D1E6F6"/>
          </w:tcPr>
          <w:p w14:paraId="5BDD1DB5" w14:textId="77777777" w:rsidR="0000407C" w:rsidRDefault="0000407C"/>
        </w:tc>
      </w:tr>
      <w:tr w:rsidR="0000407C" w14:paraId="1A933214" w14:textId="77777777" w:rsidTr="00461043">
        <w:trPr>
          <w:trHeight w:val="290"/>
        </w:trPr>
        <w:tc>
          <w:tcPr>
            <w:tcW w:w="2155" w:type="dxa"/>
          </w:tcPr>
          <w:p w14:paraId="6A788951" w14:textId="77777777" w:rsidR="0000407C" w:rsidRDefault="007E369D">
            <w:r>
              <w:t>Denominator Count</w:t>
            </w:r>
          </w:p>
        </w:tc>
        <w:tc>
          <w:tcPr>
            <w:tcW w:w="1710" w:type="dxa"/>
          </w:tcPr>
          <w:p w14:paraId="2D38EA21" w14:textId="7768EF36" w:rsidR="0000407C" w:rsidRDefault="007E369D">
            <w:r>
              <w:t>7</w:t>
            </w:r>
            <w:r w:rsidR="00E80C43">
              <w:t>,</w:t>
            </w:r>
            <w:r>
              <w:t>348</w:t>
            </w:r>
          </w:p>
        </w:tc>
        <w:tc>
          <w:tcPr>
            <w:tcW w:w="1710" w:type="dxa"/>
          </w:tcPr>
          <w:p w14:paraId="7B7AB792" w14:textId="0FADE893" w:rsidR="0000407C" w:rsidRDefault="007E369D">
            <w:r>
              <w:t>4</w:t>
            </w:r>
            <w:r w:rsidR="00E80C43">
              <w:t>,</w:t>
            </w:r>
            <w:r>
              <w:t>341</w:t>
            </w:r>
          </w:p>
        </w:tc>
        <w:tc>
          <w:tcPr>
            <w:tcW w:w="1733" w:type="dxa"/>
            <w:shd w:val="clear" w:color="auto" w:fill="auto"/>
          </w:tcPr>
          <w:p w14:paraId="2DE15619" w14:textId="1DC00FEB" w:rsidR="0000407C" w:rsidRDefault="007E369D">
            <w:r>
              <w:t>7</w:t>
            </w:r>
            <w:r w:rsidR="00E80C43">
              <w:t>,</w:t>
            </w:r>
            <w:r>
              <w:t>973</w:t>
            </w:r>
          </w:p>
        </w:tc>
        <w:tc>
          <w:tcPr>
            <w:tcW w:w="967" w:type="dxa"/>
            <w:shd w:val="clear" w:color="auto" w:fill="auto"/>
          </w:tcPr>
          <w:p w14:paraId="38B0D2E0" w14:textId="6C2F6CE8" w:rsidR="0000407C" w:rsidRDefault="007E369D">
            <w:r>
              <w:t>6</w:t>
            </w:r>
            <w:r w:rsidR="00E80C43">
              <w:t>,</w:t>
            </w:r>
            <w:r>
              <w:t>157</w:t>
            </w:r>
          </w:p>
        </w:tc>
        <w:tc>
          <w:tcPr>
            <w:tcW w:w="1350" w:type="dxa"/>
            <w:shd w:val="clear" w:color="auto" w:fill="D1E6F6"/>
          </w:tcPr>
          <w:p w14:paraId="7296B463" w14:textId="77777777" w:rsidR="0000407C" w:rsidRDefault="0000407C"/>
        </w:tc>
      </w:tr>
      <w:tr w:rsidR="0000407C" w14:paraId="3FEF0465" w14:textId="77777777" w:rsidTr="00461043">
        <w:trPr>
          <w:trHeight w:val="290"/>
        </w:trPr>
        <w:tc>
          <w:tcPr>
            <w:tcW w:w="2155" w:type="dxa"/>
          </w:tcPr>
          <w:p w14:paraId="1BF4E356" w14:textId="77777777" w:rsidR="0000407C" w:rsidRDefault="007E369D">
            <w:r>
              <w:t>Actual Performance</w:t>
            </w:r>
          </w:p>
        </w:tc>
        <w:tc>
          <w:tcPr>
            <w:tcW w:w="1710" w:type="dxa"/>
          </w:tcPr>
          <w:p w14:paraId="1CC22B51" w14:textId="77777777" w:rsidR="0000407C" w:rsidRDefault="007E369D">
            <w:pPr>
              <w:rPr>
                <w:b/>
              </w:rPr>
            </w:pPr>
            <w:r>
              <w:rPr>
                <w:b/>
              </w:rPr>
              <w:t>&gt; 95%</w:t>
            </w:r>
          </w:p>
        </w:tc>
        <w:tc>
          <w:tcPr>
            <w:tcW w:w="1710" w:type="dxa"/>
          </w:tcPr>
          <w:p w14:paraId="60048A6E" w14:textId="77777777" w:rsidR="0000407C" w:rsidRDefault="007E369D">
            <w:pPr>
              <w:rPr>
                <w:b/>
              </w:rPr>
            </w:pPr>
            <w:r>
              <w:rPr>
                <w:b/>
              </w:rPr>
              <w:t>&gt; 95%</w:t>
            </w:r>
          </w:p>
        </w:tc>
        <w:tc>
          <w:tcPr>
            <w:tcW w:w="1733" w:type="dxa"/>
            <w:shd w:val="clear" w:color="auto" w:fill="auto"/>
          </w:tcPr>
          <w:p w14:paraId="293F8D28" w14:textId="77777777" w:rsidR="0000407C" w:rsidRDefault="007E369D">
            <w:r>
              <w:rPr>
                <w:b/>
              </w:rPr>
              <w:t>&gt; 95%</w:t>
            </w:r>
          </w:p>
        </w:tc>
        <w:tc>
          <w:tcPr>
            <w:tcW w:w="967" w:type="dxa"/>
            <w:shd w:val="clear" w:color="auto" w:fill="auto"/>
          </w:tcPr>
          <w:p w14:paraId="0617004A" w14:textId="77777777" w:rsidR="0000407C" w:rsidRDefault="007E369D">
            <w:r>
              <w:rPr>
                <w:b/>
              </w:rPr>
              <w:t>&gt; 95%</w:t>
            </w:r>
          </w:p>
        </w:tc>
        <w:tc>
          <w:tcPr>
            <w:tcW w:w="1350" w:type="dxa"/>
            <w:shd w:val="clear" w:color="auto" w:fill="D1E6F6"/>
          </w:tcPr>
          <w:p w14:paraId="3B72D8AC" w14:textId="77777777" w:rsidR="0000407C" w:rsidRDefault="0000407C"/>
        </w:tc>
      </w:tr>
      <w:tr w:rsidR="0000407C" w14:paraId="57451BAB" w14:textId="77777777" w:rsidTr="00461043">
        <w:trPr>
          <w:trHeight w:val="290"/>
        </w:trPr>
        <w:tc>
          <w:tcPr>
            <w:tcW w:w="2155" w:type="dxa"/>
          </w:tcPr>
          <w:p w14:paraId="4F885C39" w14:textId="77777777" w:rsidR="0000407C" w:rsidRDefault="007E369D">
            <w:r>
              <w:t>Performance Target</w:t>
            </w:r>
          </w:p>
        </w:tc>
        <w:tc>
          <w:tcPr>
            <w:tcW w:w="1710" w:type="dxa"/>
          </w:tcPr>
          <w:p w14:paraId="3D46E620" w14:textId="77777777" w:rsidR="0000407C" w:rsidRDefault="007E369D">
            <w:r>
              <w:t>90.00%</w:t>
            </w:r>
          </w:p>
        </w:tc>
        <w:tc>
          <w:tcPr>
            <w:tcW w:w="1710" w:type="dxa"/>
          </w:tcPr>
          <w:p w14:paraId="63F73749" w14:textId="77777777" w:rsidR="0000407C" w:rsidRDefault="007E369D">
            <w:r>
              <w:t>90.50%</w:t>
            </w:r>
          </w:p>
        </w:tc>
        <w:tc>
          <w:tcPr>
            <w:tcW w:w="1733" w:type="dxa"/>
          </w:tcPr>
          <w:p w14:paraId="1E10C74F" w14:textId="77777777" w:rsidR="0000407C" w:rsidRDefault="007E369D">
            <w:r>
              <w:t>91.00%</w:t>
            </w:r>
          </w:p>
        </w:tc>
        <w:tc>
          <w:tcPr>
            <w:tcW w:w="967" w:type="dxa"/>
            <w:shd w:val="clear" w:color="auto" w:fill="D1E6F6"/>
          </w:tcPr>
          <w:p w14:paraId="04BAE8BC" w14:textId="77777777" w:rsidR="0000407C" w:rsidRDefault="0000407C"/>
        </w:tc>
        <w:tc>
          <w:tcPr>
            <w:tcW w:w="1350" w:type="dxa"/>
          </w:tcPr>
          <w:p w14:paraId="117F2F45" w14:textId="77777777" w:rsidR="0000407C" w:rsidRDefault="007E369D">
            <w:r>
              <w:t>91.50%</w:t>
            </w:r>
          </w:p>
        </w:tc>
      </w:tr>
      <w:tr w:rsidR="0000407C" w14:paraId="0AB19BBC" w14:textId="77777777" w:rsidTr="00461043">
        <w:trPr>
          <w:trHeight w:val="290"/>
        </w:trPr>
        <w:tc>
          <w:tcPr>
            <w:tcW w:w="2155" w:type="dxa"/>
          </w:tcPr>
          <w:p w14:paraId="11435267" w14:textId="77777777" w:rsidR="0000407C" w:rsidRDefault="007E369D">
            <w:r>
              <w:t>Performance Type</w:t>
            </w:r>
          </w:p>
        </w:tc>
        <w:tc>
          <w:tcPr>
            <w:tcW w:w="1710" w:type="dxa"/>
          </w:tcPr>
          <w:p w14:paraId="5EBD06BE" w14:textId="77777777" w:rsidR="0000407C" w:rsidRDefault="007E369D">
            <w:r>
              <w:t>Met or Exceeded Target</w:t>
            </w:r>
          </w:p>
        </w:tc>
        <w:tc>
          <w:tcPr>
            <w:tcW w:w="1710" w:type="dxa"/>
          </w:tcPr>
          <w:p w14:paraId="14B89240" w14:textId="77777777" w:rsidR="0000407C" w:rsidRDefault="007E369D">
            <w:r>
              <w:t>Met or Exceeded Target</w:t>
            </w:r>
          </w:p>
        </w:tc>
        <w:tc>
          <w:tcPr>
            <w:tcW w:w="1733" w:type="dxa"/>
            <w:shd w:val="clear" w:color="auto" w:fill="auto"/>
          </w:tcPr>
          <w:p w14:paraId="07CF51F5" w14:textId="77777777" w:rsidR="0000407C" w:rsidRDefault="007E369D">
            <w:r>
              <w:t>Met or Exceeded Target</w:t>
            </w:r>
          </w:p>
        </w:tc>
        <w:tc>
          <w:tcPr>
            <w:tcW w:w="967" w:type="dxa"/>
            <w:shd w:val="clear" w:color="auto" w:fill="D1E6F6"/>
          </w:tcPr>
          <w:p w14:paraId="3787DA07" w14:textId="77777777" w:rsidR="0000407C" w:rsidRDefault="0000407C"/>
        </w:tc>
        <w:tc>
          <w:tcPr>
            <w:tcW w:w="1350" w:type="dxa"/>
            <w:shd w:val="clear" w:color="auto" w:fill="D1E6F6"/>
          </w:tcPr>
          <w:p w14:paraId="71C416F5" w14:textId="77777777" w:rsidR="0000407C" w:rsidRDefault="0000407C"/>
        </w:tc>
      </w:tr>
    </w:tbl>
    <w:p w14:paraId="5AB02FF8" w14:textId="35C14D91" w:rsidR="0000407C" w:rsidRDefault="007E369D">
      <w:pPr>
        <w:spacing w:before="240"/>
      </w:pPr>
      <w:r>
        <w:t xml:space="preserve">Oregon’s statewide performance in the </w:t>
      </w:r>
      <w:r>
        <w:rPr>
          <w:i/>
        </w:rPr>
        <w:t>Five-Year Graduation Rate</w:t>
      </w:r>
      <w:r>
        <w:t xml:space="preserve"> (1S2) indicator was over 95% in all three report years, 2020-21, 2021-22, and 2022-23. The average performance of the most recent two years is above 95%. (</w:t>
      </w:r>
      <w:r>
        <w:rPr>
          <w:color w:val="134163"/>
        </w:rPr>
        <w:t>Table</w:t>
      </w:r>
      <w:r>
        <w:t xml:space="preserve"> 11)</w:t>
      </w:r>
    </w:p>
    <w:p w14:paraId="342D3189" w14:textId="77777777" w:rsidR="0000407C" w:rsidRDefault="007E369D">
      <w:pPr>
        <w:keepNext/>
        <w:pBdr>
          <w:top w:val="nil"/>
          <w:left w:val="nil"/>
          <w:bottom w:val="nil"/>
          <w:right w:val="nil"/>
          <w:between w:val="nil"/>
        </w:pBdr>
        <w:spacing w:after="200" w:line="240" w:lineRule="auto"/>
        <w:rPr>
          <w:b/>
          <w:i/>
          <w:color w:val="134163"/>
          <w:sz w:val="20"/>
          <w:szCs w:val="20"/>
        </w:rPr>
      </w:pPr>
      <w:bookmarkStart w:id="13" w:name="_heading=h.23ckvvd" w:colFirst="0" w:colLast="0"/>
      <w:bookmarkEnd w:id="13"/>
      <w:r>
        <w:rPr>
          <w:b/>
          <w:i/>
          <w:color w:val="134163"/>
          <w:sz w:val="20"/>
          <w:szCs w:val="20"/>
        </w:rPr>
        <w:t>Table 12 Indicator 1S2 Proposed Targets</w:t>
      </w:r>
    </w:p>
    <w:tbl>
      <w:tblPr>
        <w:tblStyle w:val="13"/>
        <w:tblW w:w="4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960"/>
        <w:gridCol w:w="2100"/>
      </w:tblGrid>
      <w:tr w:rsidR="0000407C" w14:paraId="42C99E40" w14:textId="77777777" w:rsidTr="00461043">
        <w:trPr>
          <w:trHeight w:val="290"/>
          <w:tblHeader/>
          <w:jc w:val="center"/>
        </w:trPr>
        <w:tc>
          <w:tcPr>
            <w:tcW w:w="1960" w:type="dxa"/>
            <w:shd w:val="clear" w:color="auto" w:fill="1C6294"/>
          </w:tcPr>
          <w:p w14:paraId="44D21296" w14:textId="77777777" w:rsidR="0000407C" w:rsidRDefault="007E369D">
            <w:pPr>
              <w:jc w:val="center"/>
              <w:rPr>
                <w:b/>
                <w:color w:val="FFFFFF"/>
              </w:rPr>
            </w:pPr>
            <w:r>
              <w:rPr>
                <w:b/>
                <w:color w:val="FFFFFF"/>
              </w:rPr>
              <w:t>Report Year</w:t>
            </w:r>
          </w:p>
        </w:tc>
        <w:tc>
          <w:tcPr>
            <w:tcW w:w="2100" w:type="dxa"/>
            <w:shd w:val="clear" w:color="auto" w:fill="1C6294"/>
          </w:tcPr>
          <w:p w14:paraId="4A1FD8B6" w14:textId="77777777" w:rsidR="0000407C" w:rsidRDefault="007E369D">
            <w:pPr>
              <w:jc w:val="center"/>
              <w:rPr>
                <w:b/>
                <w:color w:val="FFFFFF"/>
              </w:rPr>
            </w:pPr>
            <w:r>
              <w:rPr>
                <w:b/>
                <w:color w:val="FFFFFF"/>
              </w:rPr>
              <w:t>Proposed Target</w:t>
            </w:r>
          </w:p>
        </w:tc>
      </w:tr>
      <w:tr w:rsidR="0000407C" w14:paraId="72CDEC6A" w14:textId="77777777" w:rsidTr="00461043">
        <w:trPr>
          <w:trHeight w:val="290"/>
          <w:jc w:val="center"/>
        </w:trPr>
        <w:tc>
          <w:tcPr>
            <w:tcW w:w="1960" w:type="dxa"/>
          </w:tcPr>
          <w:p w14:paraId="4BC8D8D0" w14:textId="77777777" w:rsidR="0000407C" w:rsidRDefault="007E369D">
            <w:pPr>
              <w:tabs>
                <w:tab w:val="left" w:pos="7200"/>
              </w:tabs>
              <w:jc w:val="center"/>
            </w:pPr>
            <w:r>
              <w:t>2024-25</w:t>
            </w:r>
          </w:p>
        </w:tc>
        <w:tc>
          <w:tcPr>
            <w:tcW w:w="2100" w:type="dxa"/>
          </w:tcPr>
          <w:p w14:paraId="73327C0D" w14:textId="77777777" w:rsidR="0000407C" w:rsidRDefault="007E369D">
            <w:pPr>
              <w:tabs>
                <w:tab w:val="left" w:pos="7200"/>
              </w:tabs>
              <w:jc w:val="center"/>
            </w:pPr>
            <w:r>
              <w:t>93.50%</w:t>
            </w:r>
          </w:p>
        </w:tc>
      </w:tr>
      <w:tr w:rsidR="0000407C" w14:paraId="0E14DC05" w14:textId="77777777" w:rsidTr="00461043">
        <w:trPr>
          <w:trHeight w:val="290"/>
          <w:jc w:val="center"/>
        </w:trPr>
        <w:tc>
          <w:tcPr>
            <w:tcW w:w="1960" w:type="dxa"/>
          </w:tcPr>
          <w:p w14:paraId="60F39BB6" w14:textId="77777777" w:rsidR="0000407C" w:rsidRDefault="007E369D">
            <w:pPr>
              <w:tabs>
                <w:tab w:val="left" w:pos="7200"/>
              </w:tabs>
              <w:jc w:val="center"/>
            </w:pPr>
            <w:r>
              <w:t>2025-26</w:t>
            </w:r>
          </w:p>
        </w:tc>
        <w:tc>
          <w:tcPr>
            <w:tcW w:w="2100" w:type="dxa"/>
          </w:tcPr>
          <w:p w14:paraId="7CA98309" w14:textId="77777777" w:rsidR="0000407C" w:rsidRDefault="007E369D">
            <w:pPr>
              <w:tabs>
                <w:tab w:val="left" w:pos="7200"/>
              </w:tabs>
              <w:jc w:val="center"/>
            </w:pPr>
            <w:r>
              <w:t>93.75%</w:t>
            </w:r>
          </w:p>
        </w:tc>
      </w:tr>
      <w:tr w:rsidR="0000407C" w14:paraId="305AC264" w14:textId="77777777" w:rsidTr="00461043">
        <w:trPr>
          <w:trHeight w:val="290"/>
          <w:jc w:val="center"/>
        </w:trPr>
        <w:tc>
          <w:tcPr>
            <w:tcW w:w="1960" w:type="dxa"/>
          </w:tcPr>
          <w:p w14:paraId="51496715" w14:textId="77777777" w:rsidR="0000407C" w:rsidRDefault="007E369D">
            <w:pPr>
              <w:tabs>
                <w:tab w:val="left" w:pos="7200"/>
              </w:tabs>
              <w:jc w:val="center"/>
            </w:pPr>
            <w:r>
              <w:t>2026-27</w:t>
            </w:r>
          </w:p>
        </w:tc>
        <w:tc>
          <w:tcPr>
            <w:tcW w:w="2100" w:type="dxa"/>
          </w:tcPr>
          <w:p w14:paraId="08048479" w14:textId="77777777" w:rsidR="0000407C" w:rsidRDefault="007E369D">
            <w:pPr>
              <w:tabs>
                <w:tab w:val="left" w:pos="7200"/>
              </w:tabs>
              <w:jc w:val="center"/>
            </w:pPr>
            <w:r>
              <w:t>94.00%</w:t>
            </w:r>
          </w:p>
        </w:tc>
      </w:tr>
      <w:tr w:rsidR="0000407C" w14:paraId="39C96FB5" w14:textId="77777777" w:rsidTr="00461043">
        <w:trPr>
          <w:trHeight w:val="290"/>
          <w:jc w:val="center"/>
        </w:trPr>
        <w:tc>
          <w:tcPr>
            <w:tcW w:w="1960" w:type="dxa"/>
          </w:tcPr>
          <w:p w14:paraId="24E04528" w14:textId="77777777" w:rsidR="0000407C" w:rsidRDefault="007E369D">
            <w:pPr>
              <w:tabs>
                <w:tab w:val="left" w:pos="7200"/>
              </w:tabs>
              <w:jc w:val="center"/>
            </w:pPr>
            <w:r>
              <w:t>2027-28</w:t>
            </w:r>
          </w:p>
        </w:tc>
        <w:tc>
          <w:tcPr>
            <w:tcW w:w="2100" w:type="dxa"/>
          </w:tcPr>
          <w:p w14:paraId="4AC9C64E" w14:textId="77777777" w:rsidR="0000407C" w:rsidRDefault="007E369D">
            <w:pPr>
              <w:tabs>
                <w:tab w:val="left" w:pos="7200"/>
              </w:tabs>
              <w:jc w:val="center"/>
            </w:pPr>
            <w:r>
              <w:t>94.25%</w:t>
            </w:r>
          </w:p>
        </w:tc>
      </w:tr>
    </w:tbl>
    <w:p w14:paraId="7FCF56A1" w14:textId="375000B0" w:rsidR="0000407C" w:rsidRDefault="007E369D">
      <w:pPr>
        <w:spacing w:before="240"/>
      </w:pPr>
      <w:r>
        <w:rPr>
          <w:sz w:val="21"/>
          <w:szCs w:val="21"/>
        </w:rPr>
        <w:t>This graduation rate for all students typically exceeds the four-year rate by about 0.5% to 1%. The proposed target for this indicator reflects this.</w:t>
      </w:r>
      <w:r>
        <w:t xml:space="preserve"> The first two years of Perkins V </w:t>
      </w:r>
      <w:r w:rsidR="00B73E4A">
        <w:t>c</w:t>
      </w:r>
      <w:r>
        <w:t xml:space="preserve">oncentrator definition saw ODE exceed targets. </w:t>
      </w:r>
    </w:p>
    <w:p w14:paraId="503B638F" w14:textId="77777777" w:rsidR="0000407C" w:rsidRDefault="007E369D">
      <w:pPr>
        <w:spacing w:before="240"/>
      </w:pPr>
      <w:r>
        <w:t>A special circumstance prevents Oregon from establishing this set of SDPLs for this indicator higher than the Base Level actual performance because Oregon must protect student confidentiality with certain levels of data suppression applied to summary performance results. That data suppression includes coding any group’s results of 95% or higher as “&gt; 95%.” This means that no SDPL can be set higher than 95% while Oregon categorizes subgrantee and student group disaggregations in all three performance types in the public report set. The CTE administrators and instructors in Oregon requested maintenance of a target set below the 95% public-reporting threshold for their community partner engagement.</w:t>
      </w:r>
    </w:p>
    <w:p w14:paraId="11675592" w14:textId="77777777" w:rsidR="0000407C" w:rsidRDefault="007E369D">
      <w:pPr>
        <w:spacing w:before="240"/>
      </w:pPr>
      <w:r>
        <w:t>For the above reasons, the proposed 1S2 targets (</w:t>
      </w:r>
      <w:r>
        <w:rPr>
          <w:color w:val="134163"/>
        </w:rPr>
        <w:t>Table</w:t>
      </w:r>
      <w:r>
        <w:t xml:space="preserve"> 12) maintain small target increases each year as the rate approaches 100%. For continuous improvement, we move from 91.5% in 2023-24 to 93.5% in 2024-25.</w:t>
      </w:r>
    </w:p>
    <w:p w14:paraId="444A75BD" w14:textId="77777777" w:rsidR="0000407C" w:rsidRDefault="007E369D">
      <w:pPr>
        <w:pStyle w:val="Heading3"/>
        <w:rPr>
          <w:color w:val="1C6294"/>
        </w:rPr>
      </w:pPr>
      <w:r>
        <w:rPr>
          <w:color w:val="1C6294"/>
        </w:rPr>
        <w:t xml:space="preserve">2S1: Academic Proficiency in Reading/Language Arts </w:t>
      </w:r>
    </w:p>
    <w:p w14:paraId="7793BA3C" w14:textId="48D5B749" w:rsidR="0000407C" w:rsidRDefault="007E369D">
      <w:r>
        <w:t xml:space="preserve">The percentage of secondary CTE </w:t>
      </w:r>
      <w:r w:rsidR="00B73E4A">
        <w:t>c</w:t>
      </w:r>
      <w:r>
        <w:t xml:space="preserve">oncentrators who demonstrate proficiency in reading/language arts as measured by the statewide assessment—Assessment results </w:t>
      </w:r>
      <w:proofErr w:type="gramStart"/>
      <w:r>
        <w:t>are reported</w:t>
      </w:r>
      <w:proofErr w:type="gramEnd"/>
      <w:r>
        <w:t xml:space="preserve"> in the year that the student takes the assessment. In Oregon, statewide assessments </w:t>
      </w:r>
      <w:proofErr w:type="gramStart"/>
      <w:r>
        <w:t>are administered</w:t>
      </w:r>
      <w:proofErr w:type="gramEnd"/>
      <w:r>
        <w:t xml:space="preserve"> during the 11th grade. </w:t>
      </w:r>
    </w:p>
    <w:p w14:paraId="795C832F" w14:textId="7949E71F" w:rsidR="0000407C" w:rsidRDefault="007E369D">
      <w:pPr>
        <w:pBdr>
          <w:bottom w:val="single" w:sz="8" w:space="0" w:color="1B75BB"/>
        </w:pBdr>
        <w:shd w:val="clear" w:color="auto" w:fill="D1E6F6"/>
        <w:spacing w:before="240" w:after="0" w:line="276" w:lineRule="auto"/>
        <w:ind w:left="85" w:right="194" w:hanging="10"/>
      </w:pPr>
      <w:r>
        <w:rPr>
          <w:b/>
        </w:rPr>
        <w:t>Numerator:</w:t>
      </w:r>
      <w:r>
        <w:t xml:space="preserve"> </w:t>
      </w:r>
      <w:r w:rsidR="007413D1">
        <w:t xml:space="preserve"># of CTE </w:t>
      </w:r>
      <w:r w:rsidR="00B73E4A">
        <w:t>c</w:t>
      </w:r>
      <w:r w:rsidR="007413D1">
        <w:t xml:space="preserve">oncentrators </w:t>
      </w:r>
      <w:r>
        <w:t xml:space="preserve">who have met the proficient or advanced level on Oregon’s </w:t>
      </w:r>
      <w:r>
        <w:rPr>
          <w:b/>
        </w:rPr>
        <w:t>reading/language arts</w:t>
      </w:r>
      <w:r>
        <w:t xml:space="preserve"> assessment administered under Section 1111(b)(3) of ESEA as amended by the No Child Left Behind Act</w:t>
      </w:r>
      <w:r w:rsidR="00E80C43">
        <w:t>.</w:t>
      </w:r>
    </w:p>
    <w:p w14:paraId="6D2197C9" w14:textId="2F5DFC05" w:rsidR="0000407C" w:rsidRDefault="007E369D">
      <w:pPr>
        <w:shd w:val="clear" w:color="auto" w:fill="D1E6F6"/>
        <w:spacing w:after="135" w:line="276" w:lineRule="auto"/>
        <w:ind w:left="85" w:right="216" w:hanging="10"/>
        <w:rPr>
          <w:sz w:val="21"/>
          <w:szCs w:val="21"/>
        </w:rPr>
      </w:pPr>
      <w:r>
        <w:rPr>
          <w:b/>
        </w:rPr>
        <w:t>Denominator:</w:t>
      </w:r>
      <w:r>
        <w:t xml:space="preserve"> # of CTE </w:t>
      </w:r>
      <w:r w:rsidR="00B73E4A">
        <w:t>c</w:t>
      </w:r>
      <w:r>
        <w:t xml:space="preserve">oncentrators who took the ESEA assessment in </w:t>
      </w:r>
      <w:r>
        <w:rPr>
          <w:b/>
        </w:rPr>
        <w:t>reading/language arts</w:t>
      </w:r>
      <w:r w:rsidR="007413D1">
        <w:rPr>
          <w:b/>
        </w:rPr>
        <w:t>.</w:t>
      </w:r>
    </w:p>
    <w:p w14:paraId="3CC8E1A5" w14:textId="77777777" w:rsidR="0000407C" w:rsidRDefault="007E369D">
      <w:pPr>
        <w:keepNext/>
        <w:pBdr>
          <w:top w:val="nil"/>
          <w:left w:val="nil"/>
          <w:bottom w:val="nil"/>
          <w:right w:val="nil"/>
          <w:between w:val="nil"/>
        </w:pBdr>
        <w:spacing w:after="200" w:line="240" w:lineRule="auto"/>
        <w:rPr>
          <w:b/>
          <w:i/>
          <w:color w:val="134163"/>
          <w:sz w:val="20"/>
          <w:szCs w:val="20"/>
        </w:rPr>
      </w:pPr>
      <w:bookmarkStart w:id="14" w:name="_heading=h.ihv636" w:colFirst="0" w:colLast="0"/>
      <w:bookmarkEnd w:id="14"/>
      <w:r>
        <w:rPr>
          <w:b/>
          <w:i/>
          <w:color w:val="134163"/>
          <w:sz w:val="20"/>
          <w:szCs w:val="20"/>
        </w:rPr>
        <w:t>Table 13 Indicator 2S1 Performance Analysis</w:t>
      </w:r>
    </w:p>
    <w:tbl>
      <w:tblPr>
        <w:tblStyle w:val="12"/>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155"/>
        <w:gridCol w:w="1710"/>
        <w:gridCol w:w="1710"/>
        <w:gridCol w:w="1823"/>
        <w:gridCol w:w="882"/>
        <w:gridCol w:w="1350"/>
      </w:tblGrid>
      <w:tr w:rsidR="0000407C" w14:paraId="67580BE3" w14:textId="77777777" w:rsidTr="00461043">
        <w:trPr>
          <w:trHeight w:val="580"/>
          <w:tblHeader/>
        </w:trPr>
        <w:tc>
          <w:tcPr>
            <w:tcW w:w="2155" w:type="dxa"/>
            <w:shd w:val="clear" w:color="auto" w:fill="1C6294"/>
          </w:tcPr>
          <w:p w14:paraId="018558E0" w14:textId="77777777" w:rsidR="0000407C" w:rsidRDefault="007E369D">
            <w:pPr>
              <w:rPr>
                <w:b/>
                <w:color w:val="FFFFFF"/>
              </w:rPr>
            </w:pPr>
            <w:r>
              <w:rPr>
                <w:b/>
                <w:color w:val="FFFFFF"/>
              </w:rPr>
              <w:t>Indicator Value Type, 2S1</w:t>
            </w:r>
          </w:p>
        </w:tc>
        <w:tc>
          <w:tcPr>
            <w:tcW w:w="1710" w:type="dxa"/>
            <w:shd w:val="clear" w:color="auto" w:fill="1C6294"/>
          </w:tcPr>
          <w:p w14:paraId="73AF4C5C" w14:textId="77777777" w:rsidR="0000407C" w:rsidRDefault="007E369D">
            <w:pPr>
              <w:rPr>
                <w:b/>
                <w:color w:val="FFFFFF"/>
              </w:rPr>
            </w:pPr>
            <w:r>
              <w:rPr>
                <w:b/>
                <w:color w:val="FFFFFF"/>
              </w:rPr>
              <w:t>Report year 2020-21</w:t>
            </w:r>
          </w:p>
        </w:tc>
        <w:tc>
          <w:tcPr>
            <w:tcW w:w="1710" w:type="dxa"/>
            <w:shd w:val="clear" w:color="auto" w:fill="1C6294"/>
          </w:tcPr>
          <w:p w14:paraId="27114E1A" w14:textId="77777777" w:rsidR="0000407C" w:rsidRDefault="007E369D">
            <w:pPr>
              <w:rPr>
                <w:b/>
                <w:color w:val="FFFFFF"/>
              </w:rPr>
            </w:pPr>
            <w:r>
              <w:rPr>
                <w:b/>
                <w:color w:val="FFFFFF"/>
              </w:rPr>
              <w:t>Report year 2021-22</w:t>
            </w:r>
          </w:p>
        </w:tc>
        <w:tc>
          <w:tcPr>
            <w:tcW w:w="1823" w:type="dxa"/>
            <w:shd w:val="clear" w:color="auto" w:fill="1C6294"/>
          </w:tcPr>
          <w:p w14:paraId="5DEDF104" w14:textId="77777777" w:rsidR="0000407C" w:rsidRDefault="007E369D">
            <w:pPr>
              <w:rPr>
                <w:b/>
                <w:color w:val="FFFFFF"/>
              </w:rPr>
            </w:pPr>
            <w:r>
              <w:rPr>
                <w:b/>
                <w:color w:val="FFFFFF"/>
              </w:rPr>
              <w:t>Report year 2022-23</w:t>
            </w:r>
          </w:p>
        </w:tc>
        <w:tc>
          <w:tcPr>
            <w:tcW w:w="882" w:type="dxa"/>
            <w:shd w:val="clear" w:color="auto" w:fill="1C6294"/>
          </w:tcPr>
          <w:p w14:paraId="0C4421CA" w14:textId="77777777" w:rsidR="0000407C" w:rsidRDefault="007E369D">
            <w:pPr>
              <w:rPr>
                <w:b/>
                <w:color w:val="FFFFFF"/>
              </w:rPr>
            </w:pPr>
            <w:r>
              <w:rPr>
                <w:b/>
                <w:color w:val="FFFFFF"/>
              </w:rPr>
              <w:t>Base Level</w:t>
            </w:r>
          </w:p>
        </w:tc>
        <w:tc>
          <w:tcPr>
            <w:tcW w:w="1350" w:type="dxa"/>
            <w:shd w:val="clear" w:color="auto" w:fill="1C6294"/>
          </w:tcPr>
          <w:p w14:paraId="2CD0F51C" w14:textId="77777777" w:rsidR="0000407C" w:rsidRDefault="007E369D">
            <w:pPr>
              <w:rPr>
                <w:b/>
                <w:color w:val="FFFFFF"/>
              </w:rPr>
            </w:pPr>
            <w:r>
              <w:rPr>
                <w:b/>
                <w:color w:val="FFFFFF"/>
              </w:rPr>
              <w:t>Report year 2023-24</w:t>
            </w:r>
          </w:p>
        </w:tc>
      </w:tr>
      <w:tr w:rsidR="0000407C" w14:paraId="16C4E9AE" w14:textId="77777777" w:rsidTr="00461043">
        <w:trPr>
          <w:trHeight w:val="290"/>
        </w:trPr>
        <w:tc>
          <w:tcPr>
            <w:tcW w:w="2155" w:type="dxa"/>
          </w:tcPr>
          <w:p w14:paraId="37CCDFB4" w14:textId="77777777" w:rsidR="0000407C" w:rsidRDefault="007E369D">
            <w:r>
              <w:t>Numerator Count</w:t>
            </w:r>
          </w:p>
        </w:tc>
        <w:tc>
          <w:tcPr>
            <w:tcW w:w="1710" w:type="dxa"/>
          </w:tcPr>
          <w:p w14:paraId="49AEC6DE" w14:textId="77777777" w:rsidR="0000407C" w:rsidRDefault="007E369D">
            <w:r>
              <w:t>14</w:t>
            </w:r>
          </w:p>
        </w:tc>
        <w:tc>
          <w:tcPr>
            <w:tcW w:w="1710" w:type="dxa"/>
          </w:tcPr>
          <w:p w14:paraId="5110219E" w14:textId="77777777" w:rsidR="0000407C" w:rsidRDefault="007E369D">
            <w:r>
              <w:t>494</w:t>
            </w:r>
          </w:p>
        </w:tc>
        <w:tc>
          <w:tcPr>
            <w:tcW w:w="1823" w:type="dxa"/>
            <w:shd w:val="clear" w:color="auto" w:fill="auto"/>
          </w:tcPr>
          <w:p w14:paraId="72E6849C" w14:textId="25B0E12C" w:rsidR="0000407C" w:rsidRDefault="007E369D">
            <w:r>
              <w:t>8</w:t>
            </w:r>
            <w:r w:rsidR="00E80C43">
              <w:t>,</w:t>
            </w:r>
            <w:r>
              <w:t>290</w:t>
            </w:r>
          </w:p>
        </w:tc>
        <w:tc>
          <w:tcPr>
            <w:tcW w:w="882" w:type="dxa"/>
            <w:shd w:val="clear" w:color="auto" w:fill="auto"/>
          </w:tcPr>
          <w:p w14:paraId="107A4930" w14:textId="0DBB1640" w:rsidR="0000407C" w:rsidRDefault="007E369D">
            <w:pPr>
              <w:rPr>
                <w:b/>
              </w:rPr>
            </w:pPr>
            <w:r>
              <w:rPr>
                <w:b/>
              </w:rPr>
              <w:t>4</w:t>
            </w:r>
            <w:r w:rsidR="00E80C43">
              <w:rPr>
                <w:b/>
              </w:rPr>
              <w:t>,</w:t>
            </w:r>
            <w:r>
              <w:rPr>
                <w:b/>
              </w:rPr>
              <w:t>392</w:t>
            </w:r>
          </w:p>
        </w:tc>
        <w:tc>
          <w:tcPr>
            <w:tcW w:w="1350" w:type="dxa"/>
            <w:shd w:val="clear" w:color="auto" w:fill="D1E6F6"/>
          </w:tcPr>
          <w:p w14:paraId="3E567B4C" w14:textId="77777777" w:rsidR="0000407C" w:rsidRDefault="0000407C">
            <w:pPr>
              <w:rPr>
                <w:color w:val="D1E6F6"/>
              </w:rPr>
            </w:pPr>
          </w:p>
        </w:tc>
      </w:tr>
      <w:tr w:rsidR="0000407C" w14:paraId="24D7E578" w14:textId="77777777" w:rsidTr="00461043">
        <w:trPr>
          <w:trHeight w:val="290"/>
        </w:trPr>
        <w:tc>
          <w:tcPr>
            <w:tcW w:w="2155" w:type="dxa"/>
          </w:tcPr>
          <w:p w14:paraId="1B456E3D" w14:textId="77777777" w:rsidR="0000407C" w:rsidRDefault="007E369D">
            <w:r>
              <w:t>Denominator Count</w:t>
            </w:r>
          </w:p>
        </w:tc>
        <w:tc>
          <w:tcPr>
            <w:tcW w:w="1710" w:type="dxa"/>
          </w:tcPr>
          <w:p w14:paraId="51A2CC36" w14:textId="77777777" w:rsidR="0000407C" w:rsidRDefault="007E369D">
            <w:r>
              <w:t>42</w:t>
            </w:r>
          </w:p>
        </w:tc>
        <w:tc>
          <w:tcPr>
            <w:tcW w:w="1710" w:type="dxa"/>
          </w:tcPr>
          <w:p w14:paraId="6D811A57" w14:textId="77777777" w:rsidR="0000407C" w:rsidRDefault="007E369D">
            <w:r>
              <w:t>753</w:t>
            </w:r>
          </w:p>
        </w:tc>
        <w:tc>
          <w:tcPr>
            <w:tcW w:w="1823" w:type="dxa"/>
            <w:shd w:val="clear" w:color="auto" w:fill="auto"/>
          </w:tcPr>
          <w:p w14:paraId="0CDC7CEF" w14:textId="5D5150BE" w:rsidR="0000407C" w:rsidRDefault="007E369D">
            <w:r>
              <w:t>15</w:t>
            </w:r>
            <w:r w:rsidR="00E80C43">
              <w:t>,</w:t>
            </w:r>
            <w:r>
              <w:t>313</w:t>
            </w:r>
          </w:p>
        </w:tc>
        <w:tc>
          <w:tcPr>
            <w:tcW w:w="882" w:type="dxa"/>
            <w:shd w:val="clear" w:color="auto" w:fill="auto"/>
          </w:tcPr>
          <w:p w14:paraId="01B1A416" w14:textId="13936B68" w:rsidR="0000407C" w:rsidRDefault="007E369D">
            <w:pPr>
              <w:rPr>
                <w:b/>
              </w:rPr>
            </w:pPr>
            <w:r>
              <w:rPr>
                <w:b/>
              </w:rPr>
              <w:t>8</w:t>
            </w:r>
            <w:r w:rsidR="00E80C43">
              <w:rPr>
                <w:b/>
              </w:rPr>
              <w:t>,</w:t>
            </w:r>
            <w:r>
              <w:rPr>
                <w:b/>
              </w:rPr>
              <w:t>033</w:t>
            </w:r>
          </w:p>
        </w:tc>
        <w:tc>
          <w:tcPr>
            <w:tcW w:w="1350" w:type="dxa"/>
            <w:shd w:val="clear" w:color="auto" w:fill="D1E6F6"/>
          </w:tcPr>
          <w:p w14:paraId="16F08981" w14:textId="77777777" w:rsidR="0000407C" w:rsidRDefault="0000407C">
            <w:pPr>
              <w:rPr>
                <w:color w:val="D1E6F6"/>
              </w:rPr>
            </w:pPr>
          </w:p>
        </w:tc>
      </w:tr>
      <w:tr w:rsidR="0000407C" w14:paraId="161BCF34" w14:textId="77777777" w:rsidTr="00461043">
        <w:trPr>
          <w:trHeight w:val="290"/>
        </w:trPr>
        <w:tc>
          <w:tcPr>
            <w:tcW w:w="2155" w:type="dxa"/>
          </w:tcPr>
          <w:p w14:paraId="098B01A4" w14:textId="77777777" w:rsidR="0000407C" w:rsidRDefault="007E369D">
            <w:r>
              <w:t>Actual Performance</w:t>
            </w:r>
          </w:p>
        </w:tc>
        <w:tc>
          <w:tcPr>
            <w:tcW w:w="1710" w:type="dxa"/>
          </w:tcPr>
          <w:p w14:paraId="34CAAA46" w14:textId="77777777" w:rsidR="0000407C" w:rsidRDefault="007E369D">
            <w:pPr>
              <w:rPr>
                <w:b/>
              </w:rPr>
            </w:pPr>
            <w:r>
              <w:rPr>
                <w:b/>
              </w:rPr>
              <w:t>33.33%</w:t>
            </w:r>
          </w:p>
        </w:tc>
        <w:tc>
          <w:tcPr>
            <w:tcW w:w="1710" w:type="dxa"/>
          </w:tcPr>
          <w:p w14:paraId="5DF31406" w14:textId="77777777" w:rsidR="0000407C" w:rsidRDefault="007E369D">
            <w:pPr>
              <w:rPr>
                <w:b/>
              </w:rPr>
            </w:pPr>
            <w:r>
              <w:rPr>
                <w:b/>
              </w:rPr>
              <w:t>65.60%</w:t>
            </w:r>
          </w:p>
        </w:tc>
        <w:tc>
          <w:tcPr>
            <w:tcW w:w="1823" w:type="dxa"/>
            <w:shd w:val="clear" w:color="auto" w:fill="auto"/>
          </w:tcPr>
          <w:p w14:paraId="515406CA" w14:textId="77777777" w:rsidR="0000407C" w:rsidRDefault="007E369D">
            <w:pPr>
              <w:rPr>
                <w:b/>
              </w:rPr>
            </w:pPr>
            <w:r>
              <w:rPr>
                <w:b/>
              </w:rPr>
              <w:t>54.14%</w:t>
            </w:r>
          </w:p>
        </w:tc>
        <w:tc>
          <w:tcPr>
            <w:tcW w:w="882" w:type="dxa"/>
            <w:shd w:val="clear" w:color="auto" w:fill="auto"/>
          </w:tcPr>
          <w:p w14:paraId="1F9560B5" w14:textId="77777777" w:rsidR="0000407C" w:rsidRDefault="007E369D">
            <w:pPr>
              <w:rPr>
                <w:b/>
              </w:rPr>
            </w:pPr>
            <w:r>
              <w:rPr>
                <w:b/>
              </w:rPr>
              <w:t>59.87%</w:t>
            </w:r>
          </w:p>
        </w:tc>
        <w:tc>
          <w:tcPr>
            <w:tcW w:w="1350" w:type="dxa"/>
            <w:shd w:val="clear" w:color="auto" w:fill="D1E6F6"/>
          </w:tcPr>
          <w:p w14:paraId="40ABB3C1" w14:textId="77777777" w:rsidR="0000407C" w:rsidRDefault="0000407C">
            <w:pPr>
              <w:rPr>
                <w:color w:val="D1E6F6"/>
              </w:rPr>
            </w:pPr>
          </w:p>
        </w:tc>
      </w:tr>
      <w:tr w:rsidR="0000407C" w14:paraId="184D8D31" w14:textId="77777777" w:rsidTr="00461043">
        <w:trPr>
          <w:trHeight w:val="290"/>
        </w:trPr>
        <w:tc>
          <w:tcPr>
            <w:tcW w:w="2155" w:type="dxa"/>
          </w:tcPr>
          <w:p w14:paraId="43E8BA6F" w14:textId="77777777" w:rsidR="0000407C" w:rsidRDefault="007E369D">
            <w:r>
              <w:t>Performance Target</w:t>
            </w:r>
          </w:p>
        </w:tc>
        <w:tc>
          <w:tcPr>
            <w:tcW w:w="1710" w:type="dxa"/>
          </w:tcPr>
          <w:p w14:paraId="5245052C" w14:textId="77777777" w:rsidR="0000407C" w:rsidRDefault="007E369D">
            <w:r>
              <w:t>68.00%</w:t>
            </w:r>
          </w:p>
        </w:tc>
        <w:tc>
          <w:tcPr>
            <w:tcW w:w="1710" w:type="dxa"/>
          </w:tcPr>
          <w:p w14:paraId="3CE44273" w14:textId="77777777" w:rsidR="0000407C" w:rsidRDefault="007E369D">
            <w:r>
              <w:t>64.40%</w:t>
            </w:r>
          </w:p>
        </w:tc>
        <w:tc>
          <w:tcPr>
            <w:tcW w:w="1823" w:type="dxa"/>
            <w:shd w:val="clear" w:color="auto" w:fill="auto"/>
          </w:tcPr>
          <w:p w14:paraId="1BD60AF9" w14:textId="77777777" w:rsidR="0000407C" w:rsidRDefault="007E369D">
            <w:r>
              <w:t>72.90%</w:t>
            </w:r>
          </w:p>
        </w:tc>
        <w:tc>
          <w:tcPr>
            <w:tcW w:w="882" w:type="dxa"/>
            <w:shd w:val="clear" w:color="auto" w:fill="D1E6F6"/>
          </w:tcPr>
          <w:p w14:paraId="7D6FBA16" w14:textId="77777777" w:rsidR="0000407C" w:rsidRDefault="0000407C"/>
        </w:tc>
        <w:tc>
          <w:tcPr>
            <w:tcW w:w="1350" w:type="dxa"/>
          </w:tcPr>
          <w:p w14:paraId="4242D0B5" w14:textId="77777777" w:rsidR="0000407C" w:rsidRDefault="007E369D">
            <w:r>
              <w:t>77.43%</w:t>
            </w:r>
          </w:p>
        </w:tc>
      </w:tr>
      <w:tr w:rsidR="0000407C" w14:paraId="069FF2D6" w14:textId="77777777" w:rsidTr="00461043">
        <w:trPr>
          <w:trHeight w:val="290"/>
        </w:trPr>
        <w:tc>
          <w:tcPr>
            <w:tcW w:w="2155" w:type="dxa"/>
          </w:tcPr>
          <w:p w14:paraId="722E57AE" w14:textId="77777777" w:rsidR="0000407C" w:rsidRDefault="007E369D">
            <w:r>
              <w:t>Performance Type</w:t>
            </w:r>
          </w:p>
        </w:tc>
        <w:tc>
          <w:tcPr>
            <w:tcW w:w="1710" w:type="dxa"/>
          </w:tcPr>
          <w:p w14:paraId="76E6A7F7" w14:textId="77777777" w:rsidR="0000407C" w:rsidRDefault="007E369D">
            <w:r>
              <w:t>Below 90% Level</w:t>
            </w:r>
          </w:p>
        </w:tc>
        <w:tc>
          <w:tcPr>
            <w:tcW w:w="1710" w:type="dxa"/>
          </w:tcPr>
          <w:p w14:paraId="09C6B561" w14:textId="77777777" w:rsidR="0000407C" w:rsidRDefault="007E369D">
            <w:r>
              <w:t>Met or Exceeded Target</w:t>
            </w:r>
          </w:p>
        </w:tc>
        <w:tc>
          <w:tcPr>
            <w:tcW w:w="1823" w:type="dxa"/>
            <w:shd w:val="clear" w:color="auto" w:fill="auto"/>
          </w:tcPr>
          <w:p w14:paraId="27290D73" w14:textId="77777777" w:rsidR="0000407C" w:rsidRDefault="007E369D">
            <w:r>
              <w:t>Below 90% Level</w:t>
            </w:r>
          </w:p>
        </w:tc>
        <w:tc>
          <w:tcPr>
            <w:tcW w:w="882" w:type="dxa"/>
            <w:shd w:val="clear" w:color="auto" w:fill="D1E6F6"/>
          </w:tcPr>
          <w:p w14:paraId="6CF5CBFE" w14:textId="77777777" w:rsidR="0000407C" w:rsidRDefault="0000407C">
            <w:pPr>
              <w:rPr>
                <w:color w:val="D1E6F6"/>
              </w:rPr>
            </w:pPr>
          </w:p>
        </w:tc>
        <w:tc>
          <w:tcPr>
            <w:tcW w:w="1350" w:type="dxa"/>
            <w:shd w:val="clear" w:color="auto" w:fill="D1E6F6"/>
          </w:tcPr>
          <w:p w14:paraId="2C9FB999" w14:textId="77777777" w:rsidR="0000407C" w:rsidRDefault="0000407C">
            <w:pPr>
              <w:rPr>
                <w:color w:val="D1E6F6"/>
              </w:rPr>
            </w:pPr>
          </w:p>
        </w:tc>
      </w:tr>
    </w:tbl>
    <w:p w14:paraId="41339D76" w14:textId="1D99D170" w:rsidR="0000407C" w:rsidRDefault="007E369D">
      <w:pPr>
        <w:spacing w:before="240"/>
      </w:pPr>
      <w:r>
        <w:t xml:space="preserve">Oregon’s statewide performance in the </w:t>
      </w:r>
      <w:r>
        <w:rPr>
          <w:i/>
        </w:rPr>
        <w:t xml:space="preserve">Academic Proficiency in Reading/Language Arts </w:t>
      </w:r>
      <w:r>
        <w:t>(2S1) indicator was 33.33% in 2020-21, 65.60% in 2021-22, and 54.14% in 2022-23. The average performance of the most recent two years is 59.87%. (</w:t>
      </w:r>
      <w:r>
        <w:rPr>
          <w:color w:val="134163"/>
        </w:rPr>
        <w:t>Table</w:t>
      </w:r>
      <w:r>
        <w:t xml:space="preserve"> 13) The average performance of all three years is 51.02%.</w:t>
      </w:r>
    </w:p>
    <w:p w14:paraId="742C87AA" w14:textId="77777777" w:rsidR="0000407C" w:rsidRDefault="007E369D">
      <w:pPr>
        <w:keepNext/>
        <w:pBdr>
          <w:top w:val="nil"/>
          <w:left w:val="nil"/>
          <w:bottom w:val="nil"/>
          <w:right w:val="nil"/>
          <w:between w:val="nil"/>
        </w:pBdr>
        <w:spacing w:after="200" w:line="240" w:lineRule="auto"/>
        <w:rPr>
          <w:b/>
          <w:i/>
          <w:color w:val="134163"/>
          <w:sz w:val="20"/>
          <w:szCs w:val="20"/>
        </w:rPr>
      </w:pPr>
      <w:bookmarkStart w:id="15" w:name="_heading=h.32hioqz" w:colFirst="0" w:colLast="0"/>
      <w:bookmarkEnd w:id="15"/>
      <w:r>
        <w:rPr>
          <w:b/>
          <w:i/>
          <w:color w:val="134163"/>
          <w:sz w:val="20"/>
          <w:szCs w:val="20"/>
        </w:rPr>
        <w:t xml:space="preserve">Table 14 Indicator 2S1 Proposed Targets </w:t>
      </w:r>
    </w:p>
    <w:tbl>
      <w:tblPr>
        <w:tblStyle w:val="11"/>
        <w:tblW w:w="4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960"/>
        <w:gridCol w:w="2100"/>
      </w:tblGrid>
      <w:tr w:rsidR="0000407C" w14:paraId="471E810A" w14:textId="77777777" w:rsidTr="00461043">
        <w:trPr>
          <w:trHeight w:val="290"/>
          <w:tblHeader/>
          <w:jc w:val="center"/>
        </w:trPr>
        <w:tc>
          <w:tcPr>
            <w:tcW w:w="1960" w:type="dxa"/>
            <w:shd w:val="clear" w:color="auto" w:fill="1C6294"/>
          </w:tcPr>
          <w:p w14:paraId="6B5D6FC1" w14:textId="77777777" w:rsidR="0000407C" w:rsidRDefault="007E369D">
            <w:pPr>
              <w:jc w:val="center"/>
              <w:rPr>
                <w:b/>
                <w:color w:val="FFFFFF"/>
              </w:rPr>
            </w:pPr>
            <w:r>
              <w:rPr>
                <w:b/>
                <w:color w:val="FFFFFF"/>
              </w:rPr>
              <w:t>Report Year</w:t>
            </w:r>
          </w:p>
        </w:tc>
        <w:tc>
          <w:tcPr>
            <w:tcW w:w="2100" w:type="dxa"/>
            <w:shd w:val="clear" w:color="auto" w:fill="1C6294"/>
          </w:tcPr>
          <w:p w14:paraId="7A9527A3" w14:textId="77777777" w:rsidR="0000407C" w:rsidRDefault="007E369D">
            <w:pPr>
              <w:jc w:val="center"/>
              <w:rPr>
                <w:b/>
                <w:color w:val="FFFFFF"/>
              </w:rPr>
            </w:pPr>
            <w:r>
              <w:rPr>
                <w:b/>
                <w:color w:val="FFFFFF"/>
              </w:rPr>
              <w:t>Proposed Target</w:t>
            </w:r>
          </w:p>
        </w:tc>
      </w:tr>
      <w:tr w:rsidR="0000407C" w14:paraId="2E4F7878" w14:textId="77777777" w:rsidTr="00461043">
        <w:trPr>
          <w:trHeight w:val="290"/>
          <w:jc w:val="center"/>
        </w:trPr>
        <w:tc>
          <w:tcPr>
            <w:tcW w:w="1960" w:type="dxa"/>
          </w:tcPr>
          <w:p w14:paraId="78493AF7" w14:textId="77777777" w:rsidR="0000407C" w:rsidRDefault="007E369D">
            <w:pPr>
              <w:tabs>
                <w:tab w:val="left" w:pos="7200"/>
              </w:tabs>
              <w:jc w:val="center"/>
            </w:pPr>
            <w:r>
              <w:t>2024-25</w:t>
            </w:r>
          </w:p>
        </w:tc>
        <w:tc>
          <w:tcPr>
            <w:tcW w:w="2100" w:type="dxa"/>
          </w:tcPr>
          <w:p w14:paraId="2C6809DF" w14:textId="77777777" w:rsidR="0000407C" w:rsidRDefault="007E369D">
            <w:pPr>
              <w:tabs>
                <w:tab w:val="left" w:pos="7200"/>
              </w:tabs>
              <w:jc w:val="center"/>
            </w:pPr>
            <w:r>
              <w:t>51.45%</w:t>
            </w:r>
          </w:p>
        </w:tc>
      </w:tr>
      <w:tr w:rsidR="0000407C" w14:paraId="3AF28DD1" w14:textId="77777777" w:rsidTr="00461043">
        <w:trPr>
          <w:trHeight w:val="290"/>
          <w:jc w:val="center"/>
        </w:trPr>
        <w:tc>
          <w:tcPr>
            <w:tcW w:w="1960" w:type="dxa"/>
          </w:tcPr>
          <w:p w14:paraId="39CD5FDF" w14:textId="77777777" w:rsidR="0000407C" w:rsidRDefault="007E369D">
            <w:pPr>
              <w:tabs>
                <w:tab w:val="left" w:pos="7200"/>
              </w:tabs>
              <w:jc w:val="center"/>
            </w:pPr>
            <w:r>
              <w:t>2025-26</w:t>
            </w:r>
          </w:p>
        </w:tc>
        <w:tc>
          <w:tcPr>
            <w:tcW w:w="2100" w:type="dxa"/>
          </w:tcPr>
          <w:p w14:paraId="16E3C468" w14:textId="77777777" w:rsidR="0000407C" w:rsidRDefault="007E369D">
            <w:pPr>
              <w:tabs>
                <w:tab w:val="left" w:pos="7200"/>
              </w:tabs>
              <w:jc w:val="center"/>
            </w:pPr>
            <w:r>
              <w:t>51.90%</w:t>
            </w:r>
          </w:p>
        </w:tc>
      </w:tr>
      <w:tr w:rsidR="0000407C" w14:paraId="1D0C7AB4" w14:textId="77777777" w:rsidTr="00461043">
        <w:trPr>
          <w:trHeight w:val="290"/>
          <w:jc w:val="center"/>
        </w:trPr>
        <w:tc>
          <w:tcPr>
            <w:tcW w:w="1960" w:type="dxa"/>
          </w:tcPr>
          <w:p w14:paraId="06376212" w14:textId="77777777" w:rsidR="0000407C" w:rsidRDefault="007E369D">
            <w:pPr>
              <w:tabs>
                <w:tab w:val="left" w:pos="7200"/>
              </w:tabs>
              <w:jc w:val="center"/>
            </w:pPr>
            <w:r>
              <w:t>2026-27</w:t>
            </w:r>
          </w:p>
        </w:tc>
        <w:tc>
          <w:tcPr>
            <w:tcW w:w="2100" w:type="dxa"/>
          </w:tcPr>
          <w:p w14:paraId="15BA0989" w14:textId="77777777" w:rsidR="0000407C" w:rsidRDefault="007E369D">
            <w:pPr>
              <w:tabs>
                <w:tab w:val="left" w:pos="7200"/>
              </w:tabs>
              <w:jc w:val="center"/>
            </w:pPr>
            <w:r>
              <w:t>52.30%</w:t>
            </w:r>
          </w:p>
        </w:tc>
      </w:tr>
      <w:tr w:rsidR="0000407C" w14:paraId="5F7AC5D4" w14:textId="77777777" w:rsidTr="00461043">
        <w:trPr>
          <w:trHeight w:val="290"/>
          <w:jc w:val="center"/>
        </w:trPr>
        <w:tc>
          <w:tcPr>
            <w:tcW w:w="1960" w:type="dxa"/>
          </w:tcPr>
          <w:p w14:paraId="02CC0C22" w14:textId="77777777" w:rsidR="0000407C" w:rsidRDefault="007E369D">
            <w:pPr>
              <w:tabs>
                <w:tab w:val="left" w:pos="7200"/>
              </w:tabs>
              <w:jc w:val="center"/>
            </w:pPr>
            <w:r>
              <w:t>2027-28</w:t>
            </w:r>
          </w:p>
        </w:tc>
        <w:tc>
          <w:tcPr>
            <w:tcW w:w="2100" w:type="dxa"/>
          </w:tcPr>
          <w:p w14:paraId="68FA256D" w14:textId="77777777" w:rsidR="0000407C" w:rsidRDefault="007E369D">
            <w:pPr>
              <w:tabs>
                <w:tab w:val="left" w:pos="7200"/>
              </w:tabs>
              <w:jc w:val="center"/>
            </w:pPr>
            <w:r>
              <w:t>52.70%</w:t>
            </w:r>
          </w:p>
        </w:tc>
      </w:tr>
    </w:tbl>
    <w:p w14:paraId="040430D5" w14:textId="77777777" w:rsidR="0000407C" w:rsidRDefault="007E369D">
      <w:pPr>
        <w:spacing w:before="240"/>
      </w:pPr>
      <w:r>
        <w:t xml:space="preserve">Oregon suspended these assessments briefly in the early pandemic. The assessments </w:t>
      </w:r>
      <w:proofErr w:type="gramStart"/>
      <w:r>
        <w:t>are again required</w:t>
      </w:r>
      <w:proofErr w:type="gramEnd"/>
      <w:r>
        <w:rPr>
          <w:vertAlign w:val="superscript"/>
        </w:rPr>
        <w:footnoteReference w:id="1"/>
      </w:r>
      <w:r>
        <w:t xml:space="preserve"> for all of Oregon’s 11th-grade students. Performance on these state assessments is uncertain in the years following the significant education interruptions of the early pandemic school closures and in consideration of the fact that Oregon students continue to experience interruptions to learning during fires, smoke pollution days, and other severe weather school closures. </w:t>
      </w:r>
    </w:p>
    <w:p w14:paraId="2FD2148D" w14:textId="0A981BBC" w:rsidR="0000407C" w:rsidRDefault="007E369D">
      <w:pPr>
        <w:spacing w:before="240"/>
      </w:pPr>
      <w:r>
        <w:t xml:space="preserve">Special consideration applies to the interpretation of Oregon’s actual performance results in this indicator for the 2020-21 and 2021-22 report years. These years saw </w:t>
      </w:r>
      <w:r w:rsidR="00B73E4A">
        <w:t>c</w:t>
      </w:r>
      <w:r>
        <w:t>oncentrator assessment data available in samples too small for accurately tracking statewide, subgrantee, or school district performance. We anticipate continued fluctuation in the sample of students participating in this assessment as students may now opt out.</w:t>
      </w:r>
    </w:p>
    <w:p w14:paraId="296B2F67" w14:textId="77777777" w:rsidR="0000407C" w:rsidRDefault="007E369D">
      <w:pPr>
        <w:spacing w:before="240"/>
        <w:rPr>
          <w:b/>
        </w:rPr>
      </w:pPr>
      <w:r>
        <w:t xml:space="preserve">For the above reasons, modest increases </w:t>
      </w:r>
      <w:proofErr w:type="gramStart"/>
      <w:r>
        <w:t>are proposed</w:t>
      </w:r>
      <w:proofErr w:type="gramEnd"/>
      <w:r>
        <w:t xml:space="preserve"> to this target in the State Plan 2024 with a starting point closer to the three-year average than the two-year average</w:t>
      </w:r>
      <w:r>
        <w:rPr>
          <w:b/>
        </w:rPr>
        <w:t>.</w:t>
      </w:r>
      <w:r>
        <w:t xml:space="preserve"> (</w:t>
      </w:r>
      <w:r>
        <w:rPr>
          <w:color w:val="134163"/>
        </w:rPr>
        <w:t>Table</w:t>
      </w:r>
      <w:r>
        <w:t xml:space="preserve"> 14)</w:t>
      </w:r>
    </w:p>
    <w:p w14:paraId="10065584" w14:textId="77777777" w:rsidR="0000407C" w:rsidRDefault="007E369D">
      <w:pPr>
        <w:pStyle w:val="Heading3"/>
      </w:pPr>
      <w:r>
        <w:t xml:space="preserve">2S2: Academic Proficiency in Mathematics </w:t>
      </w:r>
    </w:p>
    <w:p w14:paraId="5E0B6D49" w14:textId="4C5A1506" w:rsidR="0000407C" w:rsidRDefault="007E369D">
      <w:r>
        <w:t xml:space="preserve">The percentage of secondary CTE </w:t>
      </w:r>
      <w:r w:rsidR="00B73E4A">
        <w:t>c</w:t>
      </w:r>
      <w:r>
        <w:t xml:space="preserve">oncentrators who demonstrate proficiency in mathematics as measured by the statewide assessment—Assessment results </w:t>
      </w:r>
      <w:proofErr w:type="gramStart"/>
      <w:r>
        <w:t>are reported</w:t>
      </w:r>
      <w:proofErr w:type="gramEnd"/>
      <w:r>
        <w:t xml:space="preserve"> in the year that the student takes the assessment. In Oregon, statewide assessments </w:t>
      </w:r>
      <w:proofErr w:type="gramStart"/>
      <w:r>
        <w:t>are administered</w:t>
      </w:r>
      <w:proofErr w:type="gramEnd"/>
      <w:r>
        <w:t xml:space="preserve"> during the 11th grade.</w:t>
      </w:r>
    </w:p>
    <w:p w14:paraId="776C7C88" w14:textId="19C1E33D" w:rsidR="0000407C" w:rsidRDefault="007E369D">
      <w:pPr>
        <w:pBdr>
          <w:bottom w:val="single" w:sz="8" w:space="0" w:color="1B75BB"/>
        </w:pBdr>
        <w:shd w:val="clear" w:color="auto" w:fill="D1E6F6"/>
        <w:spacing w:before="240" w:after="0" w:line="276" w:lineRule="auto"/>
        <w:ind w:left="85" w:right="194" w:hanging="10"/>
      </w:pPr>
      <w:r>
        <w:rPr>
          <w:b/>
        </w:rPr>
        <w:t>Numerator:</w:t>
      </w:r>
      <w:r>
        <w:t xml:space="preserve"> # of CTE </w:t>
      </w:r>
      <w:r w:rsidR="00B73E4A">
        <w:t>c</w:t>
      </w:r>
      <w:r>
        <w:t xml:space="preserve">oncentrators who have met the proficient or advanced level on Oregon’s </w:t>
      </w:r>
      <w:r>
        <w:rPr>
          <w:b/>
        </w:rPr>
        <w:t>mathematics</w:t>
      </w:r>
      <w:r>
        <w:t xml:space="preserve"> assessment administered under Section 1111(b)(3) of ESEA as amended by the No Child Left Behind Act</w:t>
      </w:r>
      <w:r w:rsidR="005716C2">
        <w:t>.</w:t>
      </w:r>
    </w:p>
    <w:p w14:paraId="17F266A5" w14:textId="74FC417F" w:rsidR="0000407C" w:rsidRDefault="007E369D">
      <w:pPr>
        <w:shd w:val="clear" w:color="auto" w:fill="D1E6F6"/>
        <w:spacing w:after="135" w:line="276" w:lineRule="auto"/>
        <w:ind w:left="85" w:right="216" w:hanging="10"/>
      </w:pPr>
      <w:r>
        <w:rPr>
          <w:b/>
        </w:rPr>
        <w:t>Denominator:</w:t>
      </w:r>
      <w:r>
        <w:t xml:space="preserve"> # of CTE </w:t>
      </w:r>
      <w:r w:rsidR="00B73E4A">
        <w:t>c</w:t>
      </w:r>
      <w:r>
        <w:t xml:space="preserve">oncentrators who took the ESEA assessment in </w:t>
      </w:r>
      <w:r>
        <w:rPr>
          <w:b/>
        </w:rPr>
        <w:t>mathematics</w:t>
      </w:r>
      <w:r w:rsidR="005716C2">
        <w:rPr>
          <w:b/>
        </w:rPr>
        <w:t>.</w:t>
      </w:r>
    </w:p>
    <w:p w14:paraId="49587785" w14:textId="77777777" w:rsidR="0000407C" w:rsidRDefault="007E369D">
      <w:pPr>
        <w:keepNext/>
        <w:pBdr>
          <w:top w:val="nil"/>
          <w:left w:val="nil"/>
          <w:bottom w:val="nil"/>
          <w:right w:val="nil"/>
          <w:between w:val="nil"/>
        </w:pBdr>
        <w:spacing w:after="200" w:line="240" w:lineRule="auto"/>
        <w:rPr>
          <w:b/>
          <w:i/>
          <w:color w:val="134163"/>
          <w:sz w:val="20"/>
          <w:szCs w:val="20"/>
        </w:rPr>
      </w:pPr>
      <w:bookmarkStart w:id="16" w:name="_heading=h.1hmsyys" w:colFirst="0" w:colLast="0"/>
      <w:bookmarkEnd w:id="16"/>
      <w:r>
        <w:rPr>
          <w:b/>
          <w:i/>
          <w:color w:val="134163"/>
          <w:sz w:val="20"/>
          <w:szCs w:val="20"/>
        </w:rPr>
        <w:t>Table 15 Indicator 2S2 Performance Analysis</w:t>
      </w:r>
    </w:p>
    <w:tbl>
      <w:tblPr>
        <w:tblStyle w:val="10"/>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155"/>
        <w:gridCol w:w="1710"/>
        <w:gridCol w:w="1710"/>
        <w:gridCol w:w="1733"/>
        <w:gridCol w:w="967"/>
        <w:gridCol w:w="1350"/>
      </w:tblGrid>
      <w:tr w:rsidR="0000407C" w14:paraId="33E27BF2" w14:textId="77777777" w:rsidTr="00461043">
        <w:trPr>
          <w:trHeight w:val="580"/>
          <w:tblHeader/>
        </w:trPr>
        <w:tc>
          <w:tcPr>
            <w:tcW w:w="2155" w:type="dxa"/>
            <w:shd w:val="clear" w:color="auto" w:fill="1C6294"/>
          </w:tcPr>
          <w:p w14:paraId="61EE1044" w14:textId="77777777" w:rsidR="0000407C" w:rsidRDefault="007E369D">
            <w:pPr>
              <w:rPr>
                <w:b/>
                <w:color w:val="FFFFFF"/>
              </w:rPr>
            </w:pPr>
            <w:r>
              <w:rPr>
                <w:b/>
                <w:color w:val="FFFFFF"/>
              </w:rPr>
              <w:t>Indicator Value Type, 2S2</w:t>
            </w:r>
          </w:p>
        </w:tc>
        <w:tc>
          <w:tcPr>
            <w:tcW w:w="1710" w:type="dxa"/>
            <w:shd w:val="clear" w:color="auto" w:fill="1C6294"/>
          </w:tcPr>
          <w:p w14:paraId="04F2F093" w14:textId="77777777" w:rsidR="0000407C" w:rsidRDefault="007E369D">
            <w:pPr>
              <w:rPr>
                <w:b/>
                <w:color w:val="FFFFFF"/>
              </w:rPr>
            </w:pPr>
            <w:r>
              <w:rPr>
                <w:b/>
                <w:color w:val="FFFFFF"/>
              </w:rPr>
              <w:t>Report year 2020-21</w:t>
            </w:r>
          </w:p>
        </w:tc>
        <w:tc>
          <w:tcPr>
            <w:tcW w:w="1710" w:type="dxa"/>
            <w:shd w:val="clear" w:color="auto" w:fill="1C6294"/>
          </w:tcPr>
          <w:p w14:paraId="7703F225" w14:textId="77777777" w:rsidR="0000407C" w:rsidRDefault="007E369D">
            <w:pPr>
              <w:rPr>
                <w:b/>
                <w:color w:val="FFFFFF"/>
              </w:rPr>
            </w:pPr>
            <w:r>
              <w:rPr>
                <w:b/>
                <w:color w:val="FFFFFF"/>
              </w:rPr>
              <w:t>Report year 2021-22</w:t>
            </w:r>
          </w:p>
        </w:tc>
        <w:tc>
          <w:tcPr>
            <w:tcW w:w="1733" w:type="dxa"/>
            <w:shd w:val="clear" w:color="auto" w:fill="1C6294"/>
          </w:tcPr>
          <w:p w14:paraId="6D6D5EDD" w14:textId="77777777" w:rsidR="0000407C" w:rsidRDefault="007E369D">
            <w:pPr>
              <w:rPr>
                <w:b/>
                <w:color w:val="FFFFFF"/>
              </w:rPr>
            </w:pPr>
            <w:r>
              <w:rPr>
                <w:b/>
                <w:color w:val="FFFFFF"/>
              </w:rPr>
              <w:t>Report year 2022-23</w:t>
            </w:r>
          </w:p>
        </w:tc>
        <w:tc>
          <w:tcPr>
            <w:tcW w:w="967" w:type="dxa"/>
            <w:shd w:val="clear" w:color="auto" w:fill="1C6294"/>
          </w:tcPr>
          <w:p w14:paraId="17DD3402" w14:textId="77777777" w:rsidR="0000407C" w:rsidRDefault="007E369D">
            <w:pPr>
              <w:rPr>
                <w:b/>
                <w:color w:val="FFFFFF"/>
              </w:rPr>
            </w:pPr>
            <w:r>
              <w:rPr>
                <w:b/>
                <w:color w:val="FFFFFF"/>
              </w:rPr>
              <w:t>Base Level</w:t>
            </w:r>
          </w:p>
        </w:tc>
        <w:tc>
          <w:tcPr>
            <w:tcW w:w="1350" w:type="dxa"/>
            <w:shd w:val="clear" w:color="auto" w:fill="1C6294"/>
          </w:tcPr>
          <w:p w14:paraId="1C20DD9C" w14:textId="77777777" w:rsidR="0000407C" w:rsidRDefault="007E369D">
            <w:pPr>
              <w:rPr>
                <w:b/>
                <w:color w:val="FFFFFF"/>
              </w:rPr>
            </w:pPr>
            <w:r>
              <w:rPr>
                <w:b/>
                <w:color w:val="FFFFFF"/>
              </w:rPr>
              <w:t>Report year 2023-24</w:t>
            </w:r>
          </w:p>
        </w:tc>
      </w:tr>
      <w:tr w:rsidR="0000407C" w14:paraId="24BD3ADD" w14:textId="77777777" w:rsidTr="00461043">
        <w:trPr>
          <w:trHeight w:val="290"/>
        </w:trPr>
        <w:tc>
          <w:tcPr>
            <w:tcW w:w="2155" w:type="dxa"/>
          </w:tcPr>
          <w:p w14:paraId="12B9B754" w14:textId="77777777" w:rsidR="0000407C" w:rsidRDefault="007E369D">
            <w:r>
              <w:t>Numerator Count</w:t>
            </w:r>
          </w:p>
        </w:tc>
        <w:tc>
          <w:tcPr>
            <w:tcW w:w="1710" w:type="dxa"/>
          </w:tcPr>
          <w:p w14:paraId="79BABEC5" w14:textId="77777777" w:rsidR="0000407C" w:rsidRDefault="007E369D">
            <w:r>
              <w:t>*</w:t>
            </w:r>
          </w:p>
        </w:tc>
        <w:tc>
          <w:tcPr>
            <w:tcW w:w="1710" w:type="dxa"/>
          </w:tcPr>
          <w:p w14:paraId="0C3580AF" w14:textId="77777777" w:rsidR="0000407C" w:rsidRDefault="007E369D">
            <w:r>
              <w:t>210</w:t>
            </w:r>
          </w:p>
        </w:tc>
        <w:tc>
          <w:tcPr>
            <w:tcW w:w="1733" w:type="dxa"/>
            <w:shd w:val="clear" w:color="auto" w:fill="auto"/>
          </w:tcPr>
          <w:p w14:paraId="7B966973" w14:textId="5AD051C1" w:rsidR="0000407C" w:rsidRDefault="007E369D">
            <w:r>
              <w:t>3</w:t>
            </w:r>
            <w:r w:rsidR="005716C2">
              <w:t>,</w:t>
            </w:r>
            <w:r>
              <w:t>749</w:t>
            </w:r>
          </w:p>
        </w:tc>
        <w:tc>
          <w:tcPr>
            <w:tcW w:w="967" w:type="dxa"/>
            <w:shd w:val="clear" w:color="auto" w:fill="auto"/>
          </w:tcPr>
          <w:p w14:paraId="5458639A" w14:textId="04DD3235" w:rsidR="0000407C" w:rsidRDefault="007E369D">
            <w:pPr>
              <w:rPr>
                <w:b/>
              </w:rPr>
            </w:pPr>
            <w:r>
              <w:rPr>
                <w:b/>
              </w:rPr>
              <w:t>1</w:t>
            </w:r>
            <w:r w:rsidR="005716C2">
              <w:rPr>
                <w:b/>
              </w:rPr>
              <w:t>,</w:t>
            </w:r>
            <w:r>
              <w:rPr>
                <w:b/>
              </w:rPr>
              <w:t>979.5</w:t>
            </w:r>
          </w:p>
        </w:tc>
        <w:tc>
          <w:tcPr>
            <w:tcW w:w="1350" w:type="dxa"/>
            <w:shd w:val="clear" w:color="auto" w:fill="D1E6F6"/>
          </w:tcPr>
          <w:p w14:paraId="5DF1EA7A" w14:textId="77777777" w:rsidR="0000407C" w:rsidRDefault="0000407C">
            <w:pPr>
              <w:rPr>
                <w:color w:val="D1E6F6"/>
              </w:rPr>
            </w:pPr>
          </w:p>
        </w:tc>
      </w:tr>
      <w:tr w:rsidR="0000407C" w14:paraId="15376255" w14:textId="77777777" w:rsidTr="00461043">
        <w:trPr>
          <w:trHeight w:val="290"/>
        </w:trPr>
        <w:tc>
          <w:tcPr>
            <w:tcW w:w="2155" w:type="dxa"/>
          </w:tcPr>
          <w:p w14:paraId="0A880362" w14:textId="77777777" w:rsidR="0000407C" w:rsidRDefault="007E369D">
            <w:r>
              <w:t>Denominator Count</w:t>
            </w:r>
          </w:p>
        </w:tc>
        <w:tc>
          <w:tcPr>
            <w:tcW w:w="1710" w:type="dxa"/>
          </w:tcPr>
          <w:p w14:paraId="1EF68AF0" w14:textId="77777777" w:rsidR="0000407C" w:rsidRDefault="007E369D">
            <w:r>
              <w:t>41</w:t>
            </w:r>
          </w:p>
        </w:tc>
        <w:tc>
          <w:tcPr>
            <w:tcW w:w="1710" w:type="dxa"/>
          </w:tcPr>
          <w:p w14:paraId="733CE5D6" w14:textId="77777777" w:rsidR="0000407C" w:rsidRDefault="007E369D">
            <w:r>
              <w:t>755</w:t>
            </w:r>
          </w:p>
        </w:tc>
        <w:tc>
          <w:tcPr>
            <w:tcW w:w="1733" w:type="dxa"/>
            <w:shd w:val="clear" w:color="auto" w:fill="auto"/>
          </w:tcPr>
          <w:p w14:paraId="024A3BFB" w14:textId="34DBCD9B" w:rsidR="0000407C" w:rsidRDefault="007E369D">
            <w:r>
              <w:t>8</w:t>
            </w:r>
            <w:r w:rsidR="005716C2">
              <w:t>,</w:t>
            </w:r>
            <w:r>
              <w:t>290</w:t>
            </w:r>
          </w:p>
        </w:tc>
        <w:tc>
          <w:tcPr>
            <w:tcW w:w="967" w:type="dxa"/>
            <w:shd w:val="clear" w:color="auto" w:fill="auto"/>
          </w:tcPr>
          <w:p w14:paraId="74EBBBC3" w14:textId="6F6B8F8B" w:rsidR="0000407C" w:rsidRDefault="007E369D">
            <w:pPr>
              <w:rPr>
                <w:b/>
              </w:rPr>
            </w:pPr>
            <w:r>
              <w:rPr>
                <w:b/>
              </w:rPr>
              <w:t>4</w:t>
            </w:r>
            <w:r w:rsidR="005716C2">
              <w:rPr>
                <w:b/>
              </w:rPr>
              <w:t>,</w:t>
            </w:r>
            <w:r>
              <w:rPr>
                <w:b/>
              </w:rPr>
              <w:t>522.5</w:t>
            </w:r>
          </w:p>
        </w:tc>
        <w:tc>
          <w:tcPr>
            <w:tcW w:w="1350" w:type="dxa"/>
            <w:shd w:val="clear" w:color="auto" w:fill="D1E6F6"/>
          </w:tcPr>
          <w:p w14:paraId="128F0ECC" w14:textId="77777777" w:rsidR="0000407C" w:rsidRDefault="0000407C">
            <w:pPr>
              <w:rPr>
                <w:color w:val="D1E6F6"/>
              </w:rPr>
            </w:pPr>
          </w:p>
        </w:tc>
      </w:tr>
      <w:tr w:rsidR="0000407C" w14:paraId="6140C5DD" w14:textId="77777777" w:rsidTr="00461043">
        <w:trPr>
          <w:trHeight w:val="290"/>
        </w:trPr>
        <w:tc>
          <w:tcPr>
            <w:tcW w:w="2155" w:type="dxa"/>
          </w:tcPr>
          <w:p w14:paraId="08C40F87" w14:textId="77777777" w:rsidR="0000407C" w:rsidRDefault="007E369D">
            <w:r>
              <w:t>Actual Performance</w:t>
            </w:r>
          </w:p>
        </w:tc>
        <w:tc>
          <w:tcPr>
            <w:tcW w:w="1710" w:type="dxa"/>
          </w:tcPr>
          <w:p w14:paraId="64946DCE" w14:textId="77777777" w:rsidR="0000407C" w:rsidRDefault="007E369D">
            <w:pPr>
              <w:rPr>
                <w:b/>
              </w:rPr>
            </w:pPr>
            <w:r>
              <w:rPr>
                <w:b/>
              </w:rPr>
              <w:t>&lt; 5%</w:t>
            </w:r>
          </w:p>
        </w:tc>
        <w:tc>
          <w:tcPr>
            <w:tcW w:w="1710" w:type="dxa"/>
          </w:tcPr>
          <w:p w14:paraId="2D4567C8" w14:textId="77777777" w:rsidR="0000407C" w:rsidRDefault="007E369D">
            <w:pPr>
              <w:rPr>
                <w:b/>
              </w:rPr>
            </w:pPr>
            <w:r>
              <w:rPr>
                <w:b/>
              </w:rPr>
              <w:t>27.81%</w:t>
            </w:r>
          </w:p>
        </w:tc>
        <w:tc>
          <w:tcPr>
            <w:tcW w:w="1733" w:type="dxa"/>
            <w:shd w:val="clear" w:color="auto" w:fill="auto"/>
          </w:tcPr>
          <w:p w14:paraId="5AAB255E" w14:textId="77777777" w:rsidR="0000407C" w:rsidRDefault="007E369D">
            <w:pPr>
              <w:rPr>
                <w:b/>
              </w:rPr>
            </w:pPr>
            <w:r>
              <w:rPr>
                <w:b/>
              </w:rPr>
              <w:t>25.69%</w:t>
            </w:r>
          </w:p>
        </w:tc>
        <w:tc>
          <w:tcPr>
            <w:tcW w:w="967" w:type="dxa"/>
            <w:shd w:val="clear" w:color="auto" w:fill="auto"/>
          </w:tcPr>
          <w:p w14:paraId="72C56C73" w14:textId="77777777" w:rsidR="0000407C" w:rsidRDefault="007E369D">
            <w:pPr>
              <w:rPr>
                <w:b/>
              </w:rPr>
            </w:pPr>
            <w:r>
              <w:rPr>
                <w:b/>
              </w:rPr>
              <w:t>26.75%</w:t>
            </w:r>
          </w:p>
        </w:tc>
        <w:tc>
          <w:tcPr>
            <w:tcW w:w="1350" w:type="dxa"/>
            <w:shd w:val="clear" w:color="auto" w:fill="D1E6F6"/>
          </w:tcPr>
          <w:p w14:paraId="1ADE67CC" w14:textId="77777777" w:rsidR="0000407C" w:rsidRDefault="0000407C">
            <w:pPr>
              <w:rPr>
                <w:color w:val="D1E6F6"/>
              </w:rPr>
            </w:pPr>
          </w:p>
        </w:tc>
      </w:tr>
      <w:tr w:rsidR="0000407C" w14:paraId="6493422B" w14:textId="77777777" w:rsidTr="00461043">
        <w:trPr>
          <w:trHeight w:val="290"/>
        </w:trPr>
        <w:tc>
          <w:tcPr>
            <w:tcW w:w="2155" w:type="dxa"/>
          </w:tcPr>
          <w:p w14:paraId="0CF39770" w14:textId="77777777" w:rsidR="0000407C" w:rsidRDefault="007E369D">
            <w:r>
              <w:t>Performance Target</w:t>
            </w:r>
          </w:p>
        </w:tc>
        <w:tc>
          <w:tcPr>
            <w:tcW w:w="1710" w:type="dxa"/>
          </w:tcPr>
          <w:p w14:paraId="78056998" w14:textId="77777777" w:rsidR="0000407C" w:rsidRDefault="007E369D">
            <w:r>
              <w:t>35.70%</w:t>
            </w:r>
          </w:p>
        </w:tc>
        <w:tc>
          <w:tcPr>
            <w:tcW w:w="1710" w:type="dxa"/>
          </w:tcPr>
          <w:p w14:paraId="02B0D81F" w14:textId="77777777" w:rsidR="0000407C" w:rsidRDefault="007E369D">
            <w:r>
              <w:t>34.40%</w:t>
            </w:r>
          </w:p>
        </w:tc>
        <w:tc>
          <w:tcPr>
            <w:tcW w:w="1733" w:type="dxa"/>
          </w:tcPr>
          <w:p w14:paraId="555FBFF4" w14:textId="77777777" w:rsidR="0000407C" w:rsidRDefault="007E369D">
            <w:r>
              <w:t>39.60%</w:t>
            </w:r>
          </w:p>
        </w:tc>
        <w:tc>
          <w:tcPr>
            <w:tcW w:w="967" w:type="dxa"/>
            <w:shd w:val="clear" w:color="auto" w:fill="D1E6F6"/>
          </w:tcPr>
          <w:p w14:paraId="5553D14D" w14:textId="77777777" w:rsidR="0000407C" w:rsidRDefault="0000407C"/>
        </w:tc>
        <w:tc>
          <w:tcPr>
            <w:tcW w:w="1350" w:type="dxa"/>
          </w:tcPr>
          <w:p w14:paraId="0B9169C4" w14:textId="77777777" w:rsidR="0000407C" w:rsidRDefault="007E369D">
            <w:r>
              <w:t>42.75%</w:t>
            </w:r>
          </w:p>
        </w:tc>
      </w:tr>
      <w:tr w:rsidR="0000407C" w14:paraId="430128D8" w14:textId="77777777" w:rsidTr="00461043">
        <w:trPr>
          <w:trHeight w:val="290"/>
        </w:trPr>
        <w:tc>
          <w:tcPr>
            <w:tcW w:w="2155" w:type="dxa"/>
          </w:tcPr>
          <w:p w14:paraId="005E4DC8" w14:textId="77777777" w:rsidR="0000407C" w:rsidRDefault="007E369D">
            <w:r>
              <w:t>Performance Type</w:t>
            </w:r>
          </w:p>
        </w:tc>
        <w:tc>
          <w:tcPr>
            <w:tcW w:w="1710" w:type="dxa"/>
          </w:tcPr>
          <w:p w14:paraId="3CDAA32F" w14:textId="77777777" w:rsidR="0000407C" w:rsidRDefault="007E369D">
            <w:r>
              <w:t>Below 90% Level</w:t>
            </w:r>
          </w:p>
        </w:tc>
        <w:tc>
          <w:tcPr>
            <w:tcW w:w="1710" w:type="dxa"/>
          </w:tcPr>
          <w:p w14:paraId="2AB31E64" w14:textId="77777777" w:rsidR="0000407C" w:rsidRDefault="007E369D">
            <w:r>
              <w:t>Below 90% Level</w:t>
            </w:r>
          </w:p>
        </w:tc>
        <w:tc>
          <w:tcPr>
            <w:tcW w:w="1733" w:type="dxa"/>
            <w:shd w:val="clear" w:color="auto" w:fill="auto"/>
          </w:tcPr>
          <w:p w14:paraId="34A19BCD" w14:textId="77777777" w:rsidR="0000407C" w:rsidRDefault="007E369D">
            <w:pPr>
              <w:rPr>
                <w:color w:val="D1E6F6"/>
              </w:rPr>
            </w:pPr>
            <w:r>
              <w:t>Below 90% Level</w:t>
            </w:r>
          </w:p>
        </w:tc>
        <w:tc>
          <w:tcPr>
            <w:tcW w:w="967" w:type="dxa"/>
            <w:shd w:val="clear" w:color="auto" w:fill="D1E6F6"/>
          </w:tcPr>
          <w:p w14:paraId="36E2C72A" w14:textId="77777777" w:rsidR="0000407C" w:rsidRDefault="0000407C">
            <w:pPr>
              <w:rPr>
                <w:color w:val="D1E6F6"/>
              </w:rPr>
            </w:pPr>
          </w:p>
        </w:tc>
        <w:tc>
          <w:tcPr>
            <w:tcW w:w="1350" w:type="dxa"/>
            <w:shd w:val="clear" w:color="auto" w:fill="D1E6F6"/>
          </w:tcPr>
          <w:p w14:paraId="34FF58DF" w14:textId="77777777" w:rsidR="0000407C" w:rsidRDefault="0000407C">
            <w:pPr>
              <w:rPr>
                <w:color w:val="D1E6F6"/>
              </w:rPr>
            </w:pPr>
          </w:p>
        </w:tc>
      </w:tr>
    </w:tbl>
    <w:p w14:paraId="1E88CB66" w14:textId="0F21CF19" w:rsidR="0000407C" w:rsidRDefault="007E369D">
      <w:pPr>
        <w:spacing w:before="240"/>
      </w:pPr>
      <w:r>
        <w:t xml:space="preserve">Oregon’s statewide performance in the </w:t>
      </w:r>
      <w:r>
        <w:rPr>
          <w:i/>
        </w:rPr>
        <w:t xml:space="preserve">Academic Proficiency in Mathematics </w:t>
      </w:r>
      <w:r>
        <w:t>(2S2) indicator was below 5% in 2020-21</w:t>
      </w:r>
      <w:r w:rsidR="005716C2">
        <w:t>,</w:t>
      </w:r>
      <w:r>
        <w:t xml:space="preserve"> and was 27.81% in 2021-22, and 25.69% in 2022-23. The average performance of the most recent two years is 26.75%. (</w:t>
      </w:r>
      <w:r>
        <w:rPr>
          <w:color w:val="134163"/>
        </w:rPr>
        <w:t>Table</w:t>
      </w:r>
      <w:r>
        <w:t xml:space="preserve"> 15) The average performance of all three years is in the range</w:t>
      </w:r>
      <w:r>
        <w:rPr>
          <w:vertAlign w:val="superscript"/>
        </w:rPr>
        <w:footnoteReference w:id="2"/>
      </w:r>
      <w:r>
        <w:t xml:space="preserve"> of 17.83% to 19.50%.</w:t>
      </w:r>
    </w:p>
    <w:p w14:paraId="00EFD53C" w14:textId="77777777" w:rsidR="0000407C" w:rsidRDefault="007E369D">
      <w:pPr>
        <w:keepNext/>
        <w:pBdr>
          <w:top w:val="nil"/>
          <w:left w:val="nil"/>
          <w:bottom w:val="nil"/>
          <w:right w:val="nil"/>
          <w:between w:val="nil"/>
        </w:pBdr>
        <w:tabs>
          <w:tab w:val="left" w:pos="8394"/>
        </w:tabs>
        <w:spacing w:after="200" w:line="240" w:lineRule="auto"/>
        <w:rPr>
          <w:b/>
          <w:i/>
          <w:color w:val="134163"/>
          <w:sz w:val="20"/>
          <w:szCs w:val="20"/>
        </w:rPr>
      </w:pPr>
      <w:bookmarkStart w:id="17" w:name="_heading=h.41mghml" w:colFirst="0" w:colLast="0"/>
      <w:bookmarkEnd w:id="17"/>
      <w:r>
        <w:rPr>
          <w:b/>
          <w:i/>
          <w:color w:val="134163"/>
          <w:sz w:val="20"/>
          <w:szCs w:val="20"/>
        </w:rPr>
        <w:t>Table 16 Indicator 2S2 Proposed Targets</w:t>
      </w:r>
      <w:r>
        <w:rPr>
          <w:b/>
          <w:i/>
          <w:color w:val="134163"/>
          <w:sz w:val="20"/>
          <w:szCs w:val="20"/>
        </w:rPr>
        <w:tab/>
      </w:r>
    </w:p>
    <w:tbl>
      <w:tblPr>
        <w:tblStyle w:val="9"/>
        <w:tblW w:w="4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960"/>
        <w:gridCol w:w="2100"/>
      </w:tblGrid>
      <w:tr w:rsidR="0000407C" w14:paraId="01B5A650" w14:textId="77777777" w:rsidTr="00461043">
        <w:trPr>
          <w:trHeight w:val="290"/>
          <w:tblHeader/>
          <w:jc w:val="center"/>
        </w:trPr>
        <w:tc>
          <w:tcPr>
            <w:tcW w:w="1960" w:type="dxa"/>
            <w:shd w:val="clear" w:color="auto" w:fill="1C6294"/>
          </w:tcPr>
          <w:p w14:paraId="0BD415B9" w14:textId="77777777" w:rsidR="0000407C" w:rsidRDefault="007E369D">
            <w:pPr>
              <w:jc w:val="center"/>
              <w:rPr>
                <w:b/>
                <w:color w:val="FFFFFF"/>
              </w:rPr>
            </w:pPr>
            <w:r>
              <w:rPr>
                <w:b/>
                <w:color w:val="FFFFFF"/>
              </w:rPr>
              <w:t>Report Year</w:t>
            </w:r>
          </w:p>
        </w:tc>
        <w:tc>
          <w:tcPr>
            <w:tcW w:w="2100" w:type="dxa"/>
            <w:shd w:val="clear" w:color="auto" w:fill="1C6294"/>
          </w:tcPr>
          <w:p w14:paraId="62521327" w14:textId="77777777" w:rsidR="0000407C" w:rsidRDefault="007E369D">
            <w:pPr>
              <w:jc w:val="center"/>
              <w:rPr>
                <w:b/>
                <w:color w:val="FFFFFF"/>
              </w:rPr>
            </w:pPr>
            <w:r>
              <w:rPr>
                <w:b/>
                <w:color w:val="FFFFFF"/>
              </w:rPr>
              <w:t>Proposed Target</w:t>
            </w:r>
          </w:p>
        </w:tc>
      </w:tr>
      <w:tr w:rsidR="0000407C" w14:paraId="3375B094" w14:textId="77777777" w:rsidTr="00461043">
        <w:trPr>
          <w:trHeight w:val="290"/>
          <w:jc w:val="center"/>
        </w:trPr>
        <w:tc>
          <w:tcPr>
            <w:tcW w:w="1960" w:type="dxa"/>
          </w:tcPr>
          <w:p w14:paraId="30B9EC7B" w14:textId="77777777" w:rsidR="0000407C" w:rsidRDefault="007E369D">
            <w:pPr>
              <w:tabs>
                <w:tab w:val="left" w:pos="7200"/>
              </w:tabs>
              <w:jc w:val="center"/>
            </w:pPr>
            <w:r>
              <w:t>2024-25</w:t>
            </w:r>
          </w:p>
        </w:tc>
        <w:tc>
          <w:tcPr>
            <w:tcW w:w="2100" w:type="dxa"/>
          </w:tcPr>
          <w:p w14:paraId="67B204F9" w14:textId="77777777" w:rsidR="0000407C" w:rsidRDefault="007E369D">
            <w:pPr>
              <w:tabs>
                <w:tab w:val="left" w:pos="7200"/>
              </w:tabs>
              <w:jc w:val="center"/>
            </w:pPr>
            <w:r>
              <w:t>19.80%</w:t>
            </w:r>
          </w:p>
        </w:tc>
      </w:tr>
      <w:tr w:rsidR="0000407C" w14:paraId="6885248F" w14:textId="77777777" w:rsidTr="00461043">
        <w:trPr>
          <w:trHeight w:val="290"/>
          <w:jc w:val="center"/>
        </w:trPr>
        <w:tc>
          <w:tcPr>
            <w:tcW w:w="1960" w:type="dxa"/>
          </w:tcPr>
          <w:p w14:paraId="4503FBBA" w14:textId="77777777" w:rsidR="0000407C" w:rsidRDefault="007E369D">
            <w:pPr>
              <w:tabs>
                <w:tab w:val="left" w:pos="7200"/>
              </w:tabs>
              <w:jc w:val="center"/>
            </w:pPr>
            <w:r>
              <w:t>2025-26</w:t>
            </w:r>
          </w:p>
        </w:tc>
        <w:tc>
          <w:tcPr>
            <w:tcW w:w="2100" w:type="dxa"/>
          </w:tcPr>
          <w:p w14:paraId="44DCDFDE" w14:textId="77777777" w:rsidR="0000407C" w:rsidRDefault="007E369D">
            <w:pPr>
              <w:tabs>
                <w:tab w:val="left" w:pos="7200"/>
              </w:tabs>
              <w:jc w:val="center"/>
            </w:pPr>
            <w:r>
              <w:t>20.00%</w:t>
            </w:r>
          </w:p>
        </w:tc>
      </w:tr>
      <w:tr w:rsidR="0000407C" w14:paraId="6030635A" w14:textId="77777777" w:rsidTr="00461043">
        <w:trPr>
          <w:trHeight w:val="290"/>
          <w:jc w:val="center"/>
        </w:trPr>
        <w:tc>
          <w:tcPr>
            <w:tcW w:w="1960" w:type="dxa"/>
          </w:tcPr>
          <w:p w14:paraId="56D864C7" w14:textId="77777777" w:rsidR="0000407C" w:rsidRDefault="007E369D">
            <w:pPr>
              <w:tabs>
                <w:tab w:val="left" w:pos="7200"/>
              </w:tabs>
              <w:jc w:val="center"/>
            </w:pPr>
            <w:r>
              <w:t>2026-27</w:t>
            </w:r>
          </w:p>
        </w:tc>
        <w:tc>
          <w:tcPr>
            <w:tcW w:w="2100" w:type="dxa"/>
          </w:tcPr>
          <w:p w14:paraId="469F1689" w14:textId="77777777" w:rsidR="0000407C" w:rsidRDefault="007E369D">
            <w:pPr>
              <w:tabs>
                <w:tab w:val="left" w:pos="7200"/>
              </w:tabs>
              <w:jc w:val="center"/>
            </w:pPr>
            <w:r>
              <w:t>20.20%</w:t>
            </w:r>
          </w:p>
        </w:tc>
      </w:tr>
      <w:tr w:rsidR="0000407C" w14:paraId="444CA3C9" w14:textId="77777777" w:rsidTr="00461043">
        <w:trPr>
          <w:trHeight w:val="290"/>
          <w:jc w:val="center"/>
        </w:trPr>
        <w:tc>
          <w:tcPr>
            <w:tcW w:w="1960" w:type="dxa"/>
          </w:tcPr>
          <w:p w14:paraId="3B606EE1" w14:textId="77777777" w:rsidR="0000407C" w:rsidRDefault="007E369D">
            <w:pPr>
              <w:tabs>
                <w:tab w:val="left" w:pos="7200"/>
              </w:tabs>
              <w:jc w:val="center"/>
            </w:pPr>
            <w:r>
              <w:t>2027-28</w:t>
            </w:r>
          </w:p>
        </w:tc>
        <w:tc>
          <w:tcPr>
            <w:tcW w:w="2100" w:type="dxa"/>
          </w:tcPr>
          <w:p w14:paraId="7D8A78E3" w14:textId="77777777" w:rsidR="0000407C" w:rsidRDefault="007E369D">
            <w:pPr>
              <w:tabs>
                <w:tab w:val="left" w:pos="7200"/>
              </w:tabs>
              <w:jc w:val="center"/>
            </w:pPr>
            <w:r>
              <w:t>20.40%</w:t>
            </w:r>
          </w:p>
        </w:tc>
      </w:tr>
    </w:tbl>
    <w:p w14:paraId="4B3431A8" w14:textId="77777777" w:rsidR="0000407C" w:rsidRDefault="007E369D">
      <w:pPr>
        <w:spacing w:before="240"/>
      </w:pPr>
      <w:r>
        <w:t xml:space="preserve">Oregon suspended these assessments briefly in the early pandemic. The assessments </w:t>
      </w:r>
      <w:proofErr w:type="gramStart"/>
      <w:r>
        <w:t>are again required</w:t>
      </w:r>
      <w:proofErr w:type="gramEnd"/>
      <w:r>
        <w:rPr>
          <w:vertAlign w:val="superscript"/>
        </w:rPr>
        <w:footnoteReference w:id="3"/>
      </w:r>
      <w:r>
        <w:t xml:space="preserve"> for all of Oregon’s 11th-grade students. Performance on these state assessments is uncertain in the years following the significant education interruptions of the early pandemic school closures and in consideration of the fact that Oregon students continue to experience interruptions to learning during fires, smoke pollution days, and other severe weather school closures. </w:t>
      </w:r>
    </w:p>
    <w:p w14:paraId="2C61D97E" w14:textId="741D2FA4" w:rsidR="0000407C" w:rsidRDefault="007E369D">
      <w:pPr>
        <w:spacing w:before="240"/>
      </w:pPr>
      <w:r>
        <w:t xml:space="preserve">Special consideration applies to the interpretation of Oregon’s actual performance results in this indicator for the 2020-21 and 2021-22 report years. These years saw </w:t>
      </w:r>
      <w:r w:rsidR="00B73E4A">
        <w:t>c</w:t>
      </w:r>
      <w:r>
        <w:t>oncentrator assessment data available in samples too small for accurately tracking statewide, subgrantee, or school district performance. We anticipate continued fluctuation in the sample of students participating in this assessment as students may now opt out.</w:t>
      </w:r>
    </w:p>
    <w:p w14:paraId="40E179FC" w14:textId="77777777" w:rsidR="0000407C" w:rsidRDefault="007E369D">
      <w:pPr>
        <w:spacing w:before="240"/>
        <w:rPr>
          <w:b/>
        </w:rPr>
      </w:pPr>
      <w:r>
        <w:t xml:space="preserve">For the above reasons, modest increases </w:t>
      </w:r>
      <w:proofErr w:type="gramStart"/>
      <w:r>
        <w:t>are proposed</w:t>
      </w:r>
      <w:proofErr w:type="gramEnd"/>
      <w:r>
        <w:t xml:space="preserve"> to this target in the State Plan 2024 with a starting point closer to the three-year average than the two-year average</w:t>
      </w:r>
      <w:r>
        <w:rPr>
          <w:b/>
        </w:rPr>
        <w:t xml:space="preserve">. </w:t>
      </w:r>
      <w:r>
        <w:t>(</w:t>
      </w:r>
      <w:r>
        <w:rPr>
          <w:color w:val="134163"/>
        </w:rPr>
        <w:t>Table</w:t>
      </w:r>
      <w:r>
        <w:t xml:space="preserve"> 16)</w:t>
      </w:r>
    </w:p>
    <w:p w14:paraId="25118FC4" w14:textId="77777777" w:rsidR="0000407C" w:rsidRDefault="007E369D">
      <w:pPr>
        <w:pStyle w:val="Heading3"/>
        <w:rPr>
          <w:color w:val="1C6294"/>
        </w:rPr>
      </w:pPr>
      <w:r>
        <w:rPr>
          <w:color w:val="1C6294"/>
        </w:rPr>
        <w:t xml:space="preserve">2S3: Academic Proficiency in Science </w:t>
      </w:r>
    </w:p>
    <w:p w14:paraId="2DC5162A" w14:textId="5212460E" w:rsidR="0000407C" w:rsidRDefault="007E369D">
      <w:r>
        <w:t xml:space="preserve">The percentage of secondary CTE </w:t>
      </w:r>
      <w:r w:rsidR="00B73E4A">
        <w:t>c</w:t>
      </w:r>
      <w:r>
        <w:t xml:space="preserve">oncentrators who demonstrate proficiency in science as measured by the statewide assessment—Assessment results </w:t>
      </w:r>
      <w:proofErr w:type="gramStart"/>
      <w:r>
        <w:t>are reported</w:t>
      </w:r>
      <w:proofErr w:type="gramEnd"/>
      <w:r>
        <w:t xml:space="preserve"> in the year that the student takes the assessment. In Oregon, statewide assessments </w:t>
      </w:r>
      <w:proofErr w:type="gramStart"/>
      <w:r>
        <w:t>are administered</w:t>
      </w:r>
      <w:proofErr w:type="gramEnd"/>
      <w:r>
        <w:t xml:space="preserve"> during the 11th grade.</w:t>
      </w:r>
    </w:p>
    <w:p w14:paraId="7CF0196D" w14:textId="5331ABFF" w:rsidR="0000407C" w:rsidRDefault="007E369D">
      <w:pPr>
        <w:pBdr>
          <w:bottom w:val="single" w:sz="8" w:space="0" w:color="1B75BB"/>
        </w:pBdr>
        <w:shd w:val="clear" w:color="auto" w:fill="D1E6F6"/>
        <w:spacing w:before="240" w:after="0" w:line="276" w:lineRule="auto"/>
        <w:ind w:left="85" w:right="194" w:hanging="10"/>
      </w:pPr>
      <w:r>
        <w:rPr>
          <w:b/>
        </w:rPr>
        <w:t>Numerator:</w:t>
      </w:r>
      <w:r>
        <w:t xml:space="preserve"> # of CTE </w:t>
      </w:r>
      <w:r w:rsidR="00B73E4A">
        <w:t>c</w:t>
      </w:r>
      <w:r>
        <w:t xml:space="preserve">oncentrators who have met the proficient or advanced level on Oregon’s </w:t>
      </w:r>
      <w:r>
        <w:rPr>
          <w:b/>
        </w:rPr>
        <w:t>science</w:t>
      </w:r>
      <w:r>
        <w:t xml:space="preserve"> assessment administered under Section 1111(b)(3) of ESEA as amended by the No Child Left Behind Act</w:t>
      </w:r>
      <w:r w:rsidR="005716C2">
        <w:t>.</w:t>
      </w:r>
    </w:p>
    <w:p w14:paraId="220C7870" w14:textId="24F679B9" w:rsidR="0000407C" w:rsidRDefault="007E369D">
      <w:pPr>
        <w:shd w:val="clear" w:color="auto" w:fill="D1E6F6"/>
        <w:spacing w:after="135" w:line="276" w:lineRule="auto"/>
        <w:ind w:left="85" w:right="216" w:hanging="10"/>
        <w:rPr>
          <w:sz w:val="21"/>
          <w:szCs w:val="21"/>
        </w:rPr>
      </w:pPr>
      <w:r>
        <w:rPr>
          <w:b/>
        </w:rPr>
        <w:t>Denominator:</w:t>
      </w:r>
      <w:r>
        <w:t xml:space="preserve"> # of CTE </w:t>
      </w:r>
      <w:r w:rsidR="00B73E4A">
        <w:t>c</w:t>
      </w:r>
      <w:r>
        <w:t xml:space="preserve">oncentrators who took the ESEA assessment in </w:t>
      </w:r>
      <w:r>
        <w:rPr>
          <w:b/>
        </w:rPr>
        <w:t>science</w:t>
      </w:r>
      <w:r w:rsidR="005716C2">
        <w:rPr>
          <w:b/>
        </w:rPr>
        <w:t>.</w:t>
      </w:r>
    </w:p>
    <w:p w14:paraId="537534AE" w14:textId="77777777" w:rsidR="0000407C" w:rsidRDefault="007E369D">
      <w:pPr>
        <w:keepNext/>
        <w:pBdr>
          <w:top w:val="nil"/>
          <w:left w:val="nil"/>
          <w:bottom w:val="nil"/>
          <w:right w:val="nil"/>
          <w:between w:val="nil"/>
        </w:pBdr>
        <w:tabs>
          <w:tab w:val="left" w:pos="9196"/>
        </w:tabs>
        <w:spacing w:after="200" w:line="240" w:lineRule="auto"/>
        <w:rPr>
          <w:b/>
          <w:i/>
          <w:color w:val="134163"/>
          <w:sz w:val="20"/>
          <w:szCs w:val="20"/>
        </w:rPr>
      </w:pPr>
      <w:bookmarkStart w:id="18" w:name="_heading=h.2grqrue" w:colFirst="0" w:colLast="0"/>
      <w:bookmarkEnd w:id="18"/>
      <w:r>
        <w:rPr>
          <w:b/>
          <w:i/>
          <w:color w:val="134163"/>
          <w:sz w:val="20"/>
          <w:szCs w:val="20"/>
        </w:rPr>
        <w:t>Table 17 Indicator 2S3 Performance Analysis</w:t>
      </w:r>
      <w:r>
        <w:rPr>
          <w:b/>
          <w:i/>
          <w:color w:val="134163"/>
          <w:sz w:val="20"/>
          <w:szCs w:val="20"/>
        </w:rPr>
        <w:tab/>
      </w:r>
    </w:p>
    <w:tbl>
      <w:tblPr>
        <w:tblStyle w:val="8"/>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155"/>
        <w:gridCol w:w="1710"/>
        <w:gridCol w:w="1710"/>
        <w:gridCol w:w="1823"/>
        <w:gridCol w:w="882"/>
        <w:gridCol w:w="1350"/>
      </w:tblGrid>
      <w:tr w:rsidR="0000407C" w14:paraId="6356F37A" w14:textId="77777777" w:rsidTr="00461043">
        <w:trPr>
          <w:trHeight w:val="580"/>
          <w:tblHeader/>
        </w:trPr>
        <w:tc>
          <w:tcPr>
            <w:tcW w:w="2155" w:type="dxa"/>
            <w:shd w:val="clear" w:color="auto" w:fill="1C6294"/>
          </w:tcPr>
          <w:p w14:paraId="5272E8CD" w14:textId="77777777" w:rsidR="0000407C" w:rsidRDefault="007E369D">
            <w:pPr>
              <w:rPr>
                <w:b/>
                <w:color w:val="FFFFFF"/>
              </w:rPr>
            </w:pPr>
            <w:r>
              <w:rPr>
                <w:b/>
                <w:color w:val="FFFFFF"/>
              </w:rPr>
              <w:t>Indicator Value Type, 2S3</w:t>
            </w:r>
          </w:p>
        </w:tc>
        <w:tc>
          <w:tcPr>
            <w:tcW w:w="1710" w:type="dxa"/>
            <w:shd w:val="clear" w:color="auto" w:fill="1C6294"/>
          </w:tcPr>
          <w:p w14:paraId="1D59E867" w14:textId="77777777" w:rsidR="0000407C" w:rsidRDefault="007E369D">
            <w:pPr>
              <w:rPr>
                <w:b/>
                <w:color w:val="FFFFFF"/>
              </w:rPr>
            </w:pPr>
            <w:r>
              <w:rPr>
                <w:b/>
                <w:color w:val="FFFFFF"/>
              </w:rPr>
              <w:t>Report year 2020-21</w:t>
            </w:r>
          </w:p>
        </w:tc>
        <w:tc>
          <w:tcPr>
            <w:tcW w:w="1710" w:type="dxa"/>
            <w:shd w:val="clear" w:color="auto" w:fill="1C6294"/>
          </w:tcPr>
          <w:p w14:paraId="1D35686C" w14:textId="77777777" w:rsidR="0000407C" w:rsidRDefault="007E369D">
            <w:pPr>
              <w:rPr>
                <w:b/>
                <w:color w:val="FFFFFF"/>
              </w:rPr>
            </w:pPr>
            <w:r>
              <w:rPr>
                <w:b/>
                <w:color w:val="FFFFFF"/>
              </w:rPr>
              <w:t>Report year 2021-22</w:t>
            </w:r>
          </w:p>
        </w:tc>
        <w:tc>
          <w:tcPr>
            <w:tcW w:w="1823" w:type="dxa"/>
            <w:shd w:val="clear" w:color="auto" w:fill="1C6294"/>
          </w:tcPr>
          <w:p w14:paraId="24F3C922" w14:textId="77777777" w:rsidR="0000407C" w:rsidRDefault="007E369D">
            <w:pPr>
              <w:rPr>
                <w:b/>
                <w:color w:val="FFFFFF"/>
              </w:rPr>
            </w:pPr>
            <w:r>
              <w:rPr>
                <w:b/>
                <w:color w:val="FFFFFF"/>
              </w:rPr>
              <w:t>Report year 2022-23</w:t>
            </w:r>
          </w:p>
        </w:tc>
        <w:tc>
          <w:tcPr>
            <w:tcW w:w="882" w:type="dxa"/>
            <w:shd w:val="clear" w:color="auto" w:fill="1C6294"/>
          </w:tcPr>
          <w:p w14:paraId="3777E549" w14:textId="77777777" w:rsidR="0000407C" w:rsidRDefault="007E369D">
            <w:pPr>
              <w:rPr>
                <w:b/>
                <w:color w:val="FFFFFF"/>
              </w:rPr>
            </w:pPr>
            <w:r>
              <w:rPr>
                <w:b/>
                <w:color w:val="FFFFFF"/>
              </w:rPr>
              <w:t>Base Level</w:t>
            </w:r>
          </w:p>
        </w:tc>
        <w:tc>
          <w:tcPr>
            <w:tcW w:w="1350" w:type="dxa"/>
            <w:shd w:val="clear" w:color="auto" w:fill="1C6294"/>
          </w:tcPr>
          <w:p w14:paraId="0DA3E363" w14:textId="77777777" w:rsidR="0000407C" w:rsidRDefault="007E369D">
            <w:pPr>
              <w:rPr>
                <w:b/>
                <w:color w:val="FFFFFF"/>
              </w:rPr>
            </w:pPr>
            <w:r>
              <w:rPr>
                <w:b/>
                <w:color w:val="FFFFFF"/>
              </w:rPr>
              <w:t>Report year 2023-24</w:t>
            </w:r>
          </w:p>
        </w:tc>
      </w:tr>
      <w:tr w:rsidR="0000407C" w14:paraId="711E39FA" w14:textId="77777777" w:rsidTr="00461043">
        <w:trPr>
          <w:trHeight w:val="290"/>
        </w:trPr>
        <w:tc>
          <w:tcPr>
            <w:tcW w:w="2155" w:type="dxa"/>
          </w:tcPr>
          <w:p w14:paraId="19C77719" w14:textId="77777777" w:rsidR="0000407C" w:rsidRDefault="007E369D">
            <w:r>
              <w:t>Numerator Count</w:t>
            </w:r>
          </w:p>
        </w:tc>
        <w:tc>
          <w:tcPr>
            <w:tcW w:w="1710" w:type="dxa"/>
          </w:tcPr>
          <w:p w14:paraId="1430C384" w14:textId="77777777" w:rsidR="0000407C" w:rsidRDefault="007E369D">
            <w:r>
              <w:t>13</w:t>
            </w:r>
          </w:p>
        </w:tc>
        <w:tc>
          <w:tcPr>
            <w:tcW w:w="1710" w:type="dxa"/>
          </w:tcPr>
          <w:p w14:paraId="2DC952BB" w14:textId="77777777" w:rsidR="0000407C" w:rsidRDefault="007E369D">
            <w:r>
              <w:t>267</w:t>
            </w:r>
          </w:p>
        </w:tc>
        <w:tc>
          <w:tcPr>
            <w:tcW w:w="1823" w:type="dxa"/>
            <w:shd w:val="clear" w:color="auto" w:fill="auto"/>
          </w:tcPr>
          <w:p w14:paraId="1F77971E" w14:textId="116E7393" w:rsidR="0000407C" w:rsidRDefault="007E369D">
            <w:r>
              <w:t>6</w:t>
            </w:r>
            <w:r w:rsidR="005716C2">
              <w:t>,</w:t>
            </w:r>
            <w:r>
              <w:t>079</w:t>
            </w:r>
          </w:p>
        </w:tc>
        <w:tc>
          <w:tcPr>
            <w:tcW w:w="882" w:type="dxa"/>
          </w:tcPr>
          <w:p w14:paraId="49ED22CE" w14:textId="5554944F" w:rsidR="0000407C" w:rsidRDefault="007E369D">
            <w:r>
              <w:t>3</w:t>
            </w:r>
            <w:r w:rsidR="005716C2">
              <w:t>,</w:t>
            </w:r>
            <w:r>
              <w:t>173</w:t>
            </w:r>
          </w:p>
        </w:tc>
        <w:tc>
          <w:tcPr>
            <w:tcW w:w="1350" w:type="dxa"/>
            <w:shd w:val="clear" w:color="auto" w:fill="D1E6F6"/>
          </w:tcPr>
          <w:p w14:paraId="295D0890" w14:textId="77777777" w:rsidR="0000407C" w:rsidRDefault="0000407C">
            <w:pPr>
              <w:rPr>
                <w:color w:val="D1E6F6"/>
              </w:rPr>
            </w:pPr>
          </w:p>
        </w:tc>
      </w:tr>
      <w:tr w:rsidR="0000407C" w14:paraId="2249D255" w14:textId="77777777" w:rsidTr="00461043">
        <w:trPr>
          <w:trHeight w:val="290"/>
        </w:trPr>
        <w:tc>
          <w:tcPr>
            <w:tcW w:w="2155" w:type="dxa"/>
          </w:tcPr>
          <w:p w14:paraId="2FA31878" w14:textId="77777777" w:rsidR="0000407C" w:rsidRDefault="007E369D">
            <w:r>
              <w:t>Denominator Count</w:t>
            </w:r>
          </w:p>
        </w:tc>
        <w:tc>
          <w:tcPr>
            <w:tcW w:w="1710" w:type="dxa"/>
          </w:tcPr>
          <w:p w14:paraId="1EEE75C2" w14:textId="77777777" w:rsidR="0000407C" w:rsidRDefault="007E369D">
            <w:r>
              <w:t>33</w:t>
            </w:r>
          </w:p>
        </w:tc>
        <w:tc>
          <w:tcPr>
            <w:tcW w:w="1710" w:type="dxa"/>
          </w:tcPr>
          <w:p w14:paraId="3D2855DD" w14:textId="77777777" w:rsidR="0000407C" w:rsidRDefault="007E369D">
            <w:r>
              <w:t>327</w:t>
            </w:r>
          </w:p>
        </w:tc>
        <w:tc>
          <w:tcPr>
            <w:tcW w:w="1823" w:type="dxa"/>
            <w:shd w:val="clear" w:color="auto" w:fill="auto"/>
          </w:tcPr>
          <w:p w14:paraId="4F72D693" w14:textId="28CA8699" w:rsidR="0000407C" w:rsidRDefault="007E369D">
            <w:r>
              <w:t>15</w:t>
            </w:r>
            <w:r w:rsidR="005716C2">
              <w:t>,</w:t>
            </w:r>
            <w:r>
              <w:t>229</w:t>
            </w:r>
          </w:p>
        </w:tc>
        <w:tc>
          <w:tcPr>
            <w:tcW w:w="882" w:type="dxa"/>
          </w:tcPr>
          <w:p w14:paraId="039EB6B3" w14:textId="7C9A64A2" w:rsidR="0000407C" w:rsidRDefault="007E369D">
            <w:r>
              <w:t>7</w:t>
            </w:r>
            <w:r w:rsidR="005716C2">
              <w:t>,</w:t>
            </w:r>
            <w:r>
              <w:t>778</w:t>
            </w:r>
          </w:p>
        </w:tc>
        <w:tc>
          <w:tcPr>
            <w:tcW w:w="1350" w:type="dxa"/>
            <w:shd w:val="clear" w:color="auto" w:fill="D1E6F6"/>
          </w:tcPr>
          <w:p w14:paraId="7AD396B7" w14:textId="77777777" w:rsidR="0000407C" w:rsidRDefault="0000407C">
            <w:pPr>
              <w:rPr>
                <w:color w:val="D1E6F6"/>
              </w:rPr>
            </w:pPr>
          </w:p>
        </w:tc>
      </w:tr>
      <w:tr w:rsidR="0000407C" w14:paraId="032F6737" w14:textId="77777777" w:rsidTr="00461043">
        <w:trPr>
          <w:trHeight w:val="290"/>
        </w:trPr>
        <w:tc>
          <w:tcPr>
            <w:tcW w:w="2155" w:type="dxa"/>
          </w:tcPr>
          <w:p w14:paraId="0516D76E" w14:textId="77777777" w:rsidR="0000407C" w:rsidRDefault="007E369D">
            <w:r>
              <w:t>Actual Performance</w:t>
            </w:r>
          </w:p>
        </w:tc>
        <w:tc>
          <w:tcPr>
            <w:tcW w:w="1710" w:type="dxa"/>
          </w:tcPr>
          <w:p w14:paraId="5853548D" w14:textId="77777777" w:rsidR="0000407C" w:rsidRDefault="007E369D">
            <w:pPr>
              <w:rPr>
                <w:b/>
              </w:rPr>
            </w:pPr>
            <w:r>
              <w:rPr>
                <w:b/>
              </w:rPr>
              <w:t>39.39%</w:t>
            </w:r>
          </w:p>
        </w:tc>
        <w:tc>
          <w:tcPr>
            <w:tcW w:w="1710" w:type="dxa"/>
          </w:tcPr>
          <w:p w14:paraId="0FDF8AE7" w14:textId="77777777" w:rsidR="0000407C" w:rsidRDefault="007E369D">
            <w:pPr>
              <w:rPr>
                <w:b/>
              </w:rPr>
            </w:pPr>
            <w:r>
              <w:rPr>
                <w:b/>
              </w:rPr>
              <w:t>81.65%</w:t>
            </w:r>
          </w:p>
        </w:tc>
        <w:tc>
          <w:tcPr>
            <w:tcW w:w="1823" w:type="dxa"/>
            <w:shd w:val="clear" w:color="auto" w:fill="auto"/>
          </w:tcPr>
          <w:p w14:paraId="0DE0860E" w14:textId="77777777" w:rsidR="0000407C" w:rsidRDefault="007E369D">
            <w:pPr>
              <w:rPr>
                <w:b/>
              </w:rPr>
            </w:pPr>
            <w:r>
              <w:rPr>
                <w:b/>
              </w:rPr>
              <w:t>39.92%</w:t>
            </w:r>
          </w:p>
        </w:tc>
        <w:tc>
          <w:tcPr>
            <w:tcW w:w="882" w:type="dxa"/>
          </w:tcPr>
          <w:p w14:paraId="79837B28" w14:textId="77777777" w:rsidR="0000407C" w:rsidRDefault="007E369D">
            <w:pPr>
              <w:rPr>
                <w:b/>
              </w:rPr>
            </w:pPr>
            <w:r>
              <w:rPr>
                <w:b/>
              </w:rPr>
              <w:t>60.79%</w:t>
            </w:r>
          </w:p>
        </w:tc>
        <w:tc>
          <w:tcPr>
            <w:tcW w:w="1350" w:type="dxa"/>
            <w:shd w:val="clear" w:color="auto" w:fill="D1E6F6"/>
          </w:tcPr>
          <w:p w14:paraId="4418B6F3" w14:textId="77777777" w:rsidR="0000407C" w:rsidRDefault="0000407C">
            <w:pPr>
              <w:rPr>
                <w:color w:val="D1E6F6"/>
              </w:rPr>
            </w:pPr>
          </w:p>
        </w:tc>
      </w:tr>
      <w:tr w:rsidR="0000407C" w14:paraId="7C26B0EB" w14:textId="77777777" w:rsidTr="00461043">
        <w:trPr>
          <w:trHeight w:val="290"/>
        </w:trPr>
        <w:tc>
          <w:tcPr>
            <w:tcW w:w="2155" w:type="dxa"/>
          </w:tcPr>
          <w:p w14:paraId="4C9761C7" w14:textId="77777777" w:rsidR="0000407C" w:rsidRDefault="007E369D">
            <w:r>
              <w:t>Performance Target</w:t>
            </w:r>
          </w:p>
        </w:tc>
        <w:tc>
          <w:tcPr>
            <w:tcW w:w="1710" w:type="dxa"/>
          </w:tcPr>
          <w:p w14:paraId="668EDCFE" w14:textId="77777777" w:rsidR="0000407C" w:rsidRDefault="007E369D">
            <w:r>
              <w:t>45.90%</w:t>
            </w:r>
          </w:p>
        </w:tc>
        <w:tc>
          <w:tcPr>
            <w:tcW w:w="1710" w:type="dxa"/>
          </w:tcPr>
          <w:p w14:paraId="11C0FAFB" w14:textId="77777777" w:rsidR="0000407C" w:rsidRDefault="007E369D">
            <w:r>
              <w:t>44.00%</w:t>
            </w:r>
          </w:p>
        </w:tc>
        <w:tc>
          <w:tcPr>
            <w:tcW w:w="1823" w:type="dxa"/>
          </w:tcPr>
          <w:p w14:paraId="33692894" w14:textId="77777777" w:rsidR="0000407C" w:rsidRDefault="007E369D">
            <w:r>
              <w:t>50.40%</w:t>
            </w:r>
          </w:p>
        </w:tc>
        <w:tc>
          <w:tcPr>
            <w:tcW w:w="882" w:type="dxa"/>
            <w:shd w:val="clear" w:color="auto" w:fill="D1E6F6"/>
          </w:tcPr>
          <w:p w14:paraId="644694D9" w14:textId="77777777" w:rsidR="0000407C" w:rsidRDefault="0000407C"/>
        </w:tc>
        <w:tc>
          <w:tcPr>
            <w:tcW w:w="1350" w:type="dxa"/>
          </w:tcPr>
          <w:p w14:paraId="02C935EF" w14:textId="77777777" w:rsidR="0000407C" w:rsidRDefault="007E369D">
            <w:r>
              <w:t>54.15%</w:t>
            </w:r>
          </w:p>
        </w:tc>
      </w:tr>
      <w:tr w:rsidR="0000407C" w14:paraId="5FCF0B64" w14:textId="77777777" w:rsidTr="00461043">
        <w:trPr>
          <w:trHeight w:val="290"/>
        </w:trPr>
        <w:tc>
          <w:tcPr>
            <w:tcW w:w="2155" w:type="dxa"/>
          </w:tcPr>
          <w:p w14:paraId="735E0FD2" w14:textId="77777777" w:rsidR="0000407C" w:rsidRDefault="007E369D">
            <w:r>
              <w:t>Performance Type</w:t>
            </w:r>
          </w:p>
        </w:tc>
        <w:tc>
          <w:tcPr>
            <w:tcW w:w="1710" w:type="dxa"/>
          </w:tcPr>
          <w:p w14:paraId="7A91E425" w14:textId="77777777" w:rsidR="0000407C" w:rsidRDefault="007E369D">
            <w:r>
              <w:t>Below 90% Level</w:t>
            </w:r>
          </w:p>
        </w:tc>
        <w:tc>
          <w:tcPr>
            <w:tcW w:w="1710" w:type="dxa"/>
          </w:tcPr>
          <w:p w14:paraId="49EA5F32" w14:textId="77777777" w:rsidR="0000407C" w:rsidRDefault="007E369D">
            <w:r>
              <w:t>Met or Exceeded Target</w:t>
            </w:r>
          </w:p>
        </w:tc>
        <w:tc>
          <w:tcPr>
            <w:tcW w:w="1823" w:type="dxa"/>
            <w:shd w:val="clear" w:color="auto" w:fill="auto"/>
          </w:tcPr>
          <w:p w14:paraId="3F52CF77" w14:textId="77777777" w:rsidR="0000407C" w:rsidRDefault="007E369D">
            <w:pPr>
              <w:rPr>
                <w:color w:val="D1E6F6"/>
              </w:rPr>
            </w:pPr>
            <w:r>
              <w:t>Below 90% Level</w:t>
            </w:r>
          </w:p>
        </w:tc>
        <w:tc>
          <w:tcPr>
            <w:tcW w:w="882" w:type="dxa"/>
            <w:shd w:val="clear" w:color="auto" w:fill="D1E6F6"/>
          </w:tcPr>
          <w:p w14:paraId="66EDDAF3" w14:textId="77777777" w:rsidR="0000407C" w:rsidRDefault="0000407C">
            <w:pPr>
              <w:rPr>
                <w:color w:val="D1E6F6"/>
              </w:rPr>
            </w:pPr>
          </w:p>
        </w:tc>
        <w:tc>
          <w:tcPr>
            <w:tcW w:w="1350" w:type="dxa"/>
            <w:shd w:val="clear" w:color="auto" w:fill="D1E6F6"/>
          </w:tcPr>
          <w:p w14:paraId="4DF58A7F" w14:textId="77777777" w:rsidR="0000407C" w:rsidRDefault="0000407C">
            <w:pPr>
              <w:rPr>
                <w:color w:val="D1E6F6"/>
              </w:rPr>
            </w:pPr>
          </w:p>
        </w:tc>
      </w:tr>
    </w:tbl>
    <w:p w14:paraId="24F4F2B1" w14:textId="77777777" w:rsidR="0000407C" w:rsidRDefault="007E369D">
      <w:pPr>
        <w:spacing w:before="240"/>
      </w:pPr>
      <w:r>
        <w:t xml:space="preserve">Oregon’s statewide performance in the </w:t>
      </w:r>
      <w:r>
        <w:rPr>
          <w:i/>
        </w:rPr>
        <w:t xml:space="preserve">Academic Proficiency in Science </w:t>
      </w:r>
      <w:r>
        <w:t>(2S3) indicator was 39.39% in 2020-21, 81.65% in 2021-22, and 39.92% in 2022-23. The average performance of the most recent two years is 60.79%. (</w:t>
      </w:r>
      <w:r>
        <w:rPr>
          <w:color w:val="134163"/>
        </w:rPr>
        <w:t>Table</w:t>
      </w:r>
      <w:r>
        <w:t xml:space="preserve"> 17) The average performance of all three years is 53.65%. </w:t>
      </w:r>
    </w:p>
    <w:p w14:paraId="640F3156" w14:textId="77777777" w:rsidR="0000407C" w:rsidRDefault="007E369D">
      <w:pPr>
        <w:keepNext/>
        <w:pBdr>
          <w:top w:val="nil"/>
          <w:left w:val="nil"/>
          <w:bottom w:val="nil"/>
          <w:right w:val="nil"/>
          <w:between w:val="nil"/>
        </w:pBdr>
        <w:spacing w:after="200" w:line="240" w:lineRule="auto"/>
        <w:rPr>
          <w:b/>
          <w:i/>
          <w:color w:val="134163"/>
          <w:sz w:val="20"/>
          <w:szCs w:val="20"/>
        </w:rPr>
      </w:pPr>
      <w:bookmarkStart w:id="19" w:name="_heading=h.vx1227" w:colFirst="0" w:colLast="0"/>
      <w:bookmarkEnd w:id="19"/>
      <w:r>
        <w:rPr>
          <w:b/>
          <w:i/>
          <w:color w:val="134163"/>
          <w:sz w:val="20"/>
          <w:szCs w:val="20"/>
        </w:rPr>
        <w:t>Table 18 Indicator 2S3 Proposed Targets</w:t>
      </w:r>
    </w:p>
    <w:tbl>
      <w:tblPr>
        <w:tblStyle w:val="7"/>
        <w:tblW w:w="4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960"/>
        <w:gridCol w:w="2100"/>
      </w:tblGrid>
      <w:tr w:rsidR="0000407C" w14:paraId="44661B30" w14:textId="77777777" w:rsidTr="00461043">
        <w:trPr>
          <w:trHeight w:val="290"/>
          <w:tblHeader/>
          <w:jc w:val="center"/>
        </w:trPr>
        <w:tc>
          <w:tcPr>
            <w:tcW w:w="1960" w:type="dxa"/>
            <w:shd w:val="clear" w:color="auto" w:fill="1C6294"/>
          </w:tcPr>
          <w:p w14:paraId="35E4A38F" w14:textId="77777777" w:rsidR="0000407C" w:rsidRDefault="007E369D">
            <w:pPr>
              <w:jc w:val="center"/>
              <w:rPr>
                <w:b/>
                <w:color w:val="FFFFFF"/>
              </w:rPr>
            </w:pPr>
            <w:r>
              <w:rPr>
                <w:b/>
                <w:color w:val="FFFFFF"/>
              </w:rPr>
              <w:t>Report Year</w:t>
            </w:r>
          </w:p>
        </w:tc>
        <w:tc>
          <w:tcPr>
            <w:tcW w:w="2100" w:type="dxa"/>
            <w:shd w:val="clear" w:color="auto" w:fill="1C6294"/>
          </w:tcPr>
          <w:p w14:paraId="1F636D55" w14:textId="77777777" w:rsidR="0000407C" w:rsidRDefault="007E369D">
            <w:pPr>
              <w:jc w:val="center"/>
              <w:rPr>
                <w:b/>
                <w:color w:val="FFFFFF"/>
              </w:rPr>
            </w:pPr>
            <w:r>
              <w:rPr>
                <w:b/>
                <w:color w:val="FFFFFF"/>
              </w:rPr>
              <w:t>Proposed Target</w:t>
            </w:r>
          </w:p>
        </w:tc>
      </w:tr>
      <w:tr w:rsidR="0000407C" w14:paraId="6E6E12A2" w14:textId="77777777" w:rsidTr="00461043">
        <w:trPr>
          <w:trHeight w:val="290"/>
          <w:jc w:val="center"/>
        </w:trPr>
        <w:tc>
          <w:tcPr>
            <w:tcW w:w="1960" w:type="dxa"/>
          </w:tcPr>
          <w:p w14:paraId="1C2DDAF4" w14:textId="77777777" w:rsidR="0000407C" w:rsidRDefault="007E369D">
            <w:pPr>
              <w:tabs>
                <w:tab w:val="left" w:pos="7200"/>
              </w:tabs>
              <w:jc w:val="center"/>
            </w:pPr>
            <w:r>
              <w:t>2024-25</w:t>
            </w:r>
          </w:p>
        </w:tc>
        <w:tc>
          <w:tcPr>
            <w:tcW w:w="2100" w:type="dxa"/>
          </w:tcPr>
          <w:p w14:paraId="2635864E" w14:textId="77777777" w:rsidR="0000407C" w:rsidRDefault="007E369D">
            <w:pPr>
              <w:tabs>
                <w:tab w:val="left" w:pos="7200"/>
              </w:tabs>
              <w:jc w:val="center"/>
            </w:pPr>
            <w:r>
              <w:t>54.65%</w:t>
            </w:r>
          </w:p>
        </w:tc>
      </w:tr>
      <w:tr w:rsidR="0000407C" w14:paraId="0EF866C4" w14:textId="77777777" w:rsidTr="00461043">
        <w:trPr>
          <w:trHeight w:val="290"/>
          <w:jc w:val="center"/>
        </w:trPr>
        <w:tc>
          <w:tcPr>
            <w:tcW w:w="1960" w:type="dxa"/>
          </w:tcPr>
          <w:p w14:paraId="0FCDC8D1" w14:textId="77777777" w:rsidR="0000407C" w:rsidRDefault="007E369D">
            <w:pPr>
              <w:tabs>
                <w:tab w:val="left" w:pos="7200"/>
              </w:tabs>
              <w:jc w:val="center"/>
            </w:pPr>
            <w:r>
              <w:t>2025-26</w:t>
            </w:r>
          </w:p>
        </w:tc>
        <w:tc>
          <w:tcPr>
            <w:tcW w:w="2100" w:type="dxa"/>
          </w:tcPr>
          <w:p w14:paraId="649DA60F" w14:textId="77777777" w:rsidR="0000407C" w:rsidRDefault="007E369D">
            <w:pPr>
              <w:tabs>
                <w:tab w:val="left" w:pos="7200"/>
              </w:tabs>
              <w:jc w:val="center"/>
            </w:pPr>
            <w:r>
              <w:t>55.15%</w:t>
            </w:r>
          </w:p>
        </w:tc>
      </w:tr>
      <w:tr w:rsidR="0000407C" w14:paraId="34A0DEA1" w14:textId="77777777" w:rsidTr="00461043">
        <w:trPr>
          <w:trHeight w:val="290"/>
          <w:jc w:val="center"/>
        </w:trPr>
        <w:tc>
          <w:tcPr>
            <w:tcW w:w="1960" w:type="dxa"/>
          </w:tcPr>
          <w:p w14:paraId="6A8B3475" w14:textId="77777777" w:rsidR="0000407C" w:rsidRDefault="007E369D">
            <w:pPr>
              <w:tabs>
                <w:tab w:val="left" w:pos="7200"/>
              </w:tabs>
              <w:jc w:val="center"/>
            </w:pPr>
            <w:r>
              <w:t>2026-27</w:t>
            </w:r>
          </w:p>
        </w:tc>
        <w:tc>
          <w:tcPr>
            <w:tcW w:w="2100" w:type="dxa"/>
          </w:tcPr>
          <w:p w14:paraId="796862BD" w14:textId="77777777" w:rsidR="0000407C" w:rsidRDefault="007E369D">
            <w:pPr>
              <w:tabs>
                <w:tab w:val="left" w:pos="7200"/>
              </w:tabs>
              <w:jc w:val="center"/>
            </w:pPr>
            <w:r>
              <w:t>55.65%</w:t>
            </w:r>
          </w:p>
        </w:tc>
      </w:tr>
      <w:tr w:rsidR="0000407C" w14:paraId="28286749" w14:textId="77777777" w:rsidTr="00461043">
        <w:trPr>
          <w:trHeight w:val="290"/>
          <w:jc w:val="center"/>
        </w:trPr>
        <w:tc>
          <w:tcPr>
            <w:tcW w:w="1960" w:type="dxa"/>
          </w:tcPr>
          <w:p w14:paraId="1A89849B" w14:textId="77777777" w:rsidR="0000407C" w:rsidRDefault="007E369D">
            <w:pPr>
              <w:tabs>
                <w:tab w:val="left" w:pos="7200"/>
              </w:tabs>
              <w:jc w:val="center"/>
            </w:pPr>
            <w:r>
              <w:t>2027-28</w:t>
            </w:r>
          </w:p>
        </w:tc>
        <w:tc>
          <w:tcPr>
            <w:tcW w:w="2100" w:type="dxa"/>
          </w:tcPr>
          <w:p w14:paraId="28B0F80A" w14:textId="77777777" w:rsidR="0000407C" w:rsidRDefault="007E369D">
            <w:pPr>
              <w:tabs>
                <w:tab w:val="left" w:pos="7200"/>
              </w:tabs>
              <w:jc w:val="center"/>
            </w:pPr>
            <w:r>
              <w:t>56.15%</w:t>
            </w:r>
          </w:p>
        </w:tc>
      </w:tr>
    </w:tbl>
    <w:p w14:paraId="310F1238" w14:textId="77777777" w:rsidR="0000407C" w:rsidRDefault="007E369D">
      <w:pPr>
        <w:spacing w:before="240"/>
      </w:pPr>
      <w:r>
        <w:t xml:space="preserve">Oregon suspended these assessments briefly in the early pandemic. The assessments </w:t>
      </w:r>
      <w:proofErr w:type="gramStart"/>
      <w:r>
        <w:t>are again required</w:t>
      </w:r>
      <w:proofErr w:type="gramEnd"/>
      <w:r>
        <w:rPr>
          <w:vertAlign w:val="superscript"/>
        </w:rPr>
        <w:footnoteReference w:id="4"/>
      </w:r>
      <w:r>
        <w:t xml:space="preserve"> for all of Oregon’s 11th-grade students. Performance on these state assessments is uncertain in the years following the significant education interruptions of the early pandemic school closures and considering that Oregon students continue to experience interruptions to learning during fires, smoke pollution days, and other severe weather school closures. </w:t>
      </w:r>
    </w:p>
    <w:p w14:paraId="2A3AB8C0" w14:textId="425E2732" w:rsidR="0000407C" w:rsidRDefault="007E369D">
      <w:pPr>
        <w:spacing w:before="240"/>
      </w:pPr>
      <w:r>
        <w:t xml:space="preserve">Special consideration applies to the interpretation of Oregon’s actual performance results in this indicator for the 2020-21 and 2021-22 report years. These years saw </w:t>
      </w:r>
      <w:r w:rsidR="00B73E4A">
        <w:t>c</w:t>
      </w:r>
      <w:r>
        <w:t xml:space="preserve">oncentrator assessment data available in samples too small for accurately tracking statewide, subgrantee, or school district performance. We anticipate continued fluctuation in the sample of students participating in this assessment as students may now opt out. </w:t>
      </w:r>
    </w:p>
    <w:p w14:paraId="29CE5F64" w14:textId="77777777" w:rsidR="0000407C" w:rsidRDefault="007E369D">
      <w:pPr>
        <w:spacing w:before="240"/>
      </w:pPr>
      <w:r>
        <w:t xml:space="preserve">For the above reasons, modest increases </w:t>
      </w:r>
      <w:proofErr w:type="gramStart"/>
      <w:r>
        <w:t>are proposed</w:t>
      </w:r>
      <w:proofErr w:type="gramEnd"/>
      <w:r>
        <w:t xml:space="preserve"> to this target in the State Plan 2024 with a starting point closer to the three-year average than the two-year average. (</w:t>
      </w:r>
      <w:r>
        <w:rPr>
          <w:color w:val="134163"/>
        </w:rPr>
        <w:t>Table</w:t>
      </w:r>
      <w:r>
        <w:t xml:space="preserve"> 18)</w:t>
      </w:r>
    </w:p>
    <w:p w14:paraId="6D2E374C" w14:textId="77777777" w:rsidR="0000407C" w:rsidRDefault="007E369D">
      <w:pPr>
        <w:pStyle w:val="Heading3"/>
        <w:spacing w:before="240"/>
      </w:pPr>
      <w:bookmarkStart w:id="20" w:name="_heading=h.7ij3el7xs0k3" w:colFirst="0" w:colLast="0"/>
      <w:bookmarkEnd w:id="20"/>
      <w:r>
        <w:t xml:space="preserve">S1: Postsecondary Placement </w:t>
      </w:r>
    </w:p>
    <w:p w14:paraId="210C52C0" w14:textId="2DF67203" w:rsidR="0000407C" w:rsidRDefault="007E369D">
      <w:r>
        <w:t xml:space="preserve">The percentage of CTE </w:t>
      </w:r>
      <w:r w:rsidR="00B73E4A">
        <w:t>c</w:t>
      </w:r>
      <w:r>
        <w:t>oncentrators who, in the report year fall quarter after exiting from secondary education, are in postsecondary education, are in advanced training, military service, or a service program, or are employed.</w:t>
      </w:r>
    </w:p>
    <w:p w14:paraId="70CF5834" w14:textId="7BDA5DF4" w:rsidR="0000407C" w:rsidRDefault="007E369D">
      <w:pPr>
        <w:pBdr>
          <w:bottom w:val="single" w:sz="8" w:space="0" w:color="1B75BB"/>
        </w:pBdr>
        <w:shd w:val="clear" w:color="auto" w:fill="D1E6F6"/>
        <w:spacing w:before="240" w:after="0" w:line="276" w:lineRule="auto"/>
        <w:ind w:left="85" w:right="194" w:hanging="10"/>
      </w:pPr>
      <w:r>
        <w:rPr>
          <w:b/>
        </w:rPr>
        <w:t>Numerator:</w:t>
      </w:r>
      <w:r>
        <w:t xml:space="preserve"> # of CTE </w:t>
      </w:r>
      <w:r w:rsidR="00B73E4A">
        <w:t>c</w:t>
      </w:r>
      <w:r>
        <w:t>oncentrators who, in the fall quarter after exiting from secondary education, are in postsecondary education, are in advanced training, military service, or a service program that receives assistance under Title I of the National and Community Service Act of 1990 (42 U.S.C. 12511 et seq.); are volunteers as described in section 5(a) of the Peace Corps Act (22 U.S.C. 2504(a)), or are employed</w:t>
      </w:r>
      <w:r w:rsidR="005716C2">
        <w:t>.</w:t>
      </w:r>
    </w:p>
    <w:p w14:paraId="5D77B588" w14:textId="2E31F615" w:rsidR="0000407C" w:rsidRDefault="007E369D">
      <w:pPr>
        <w:shd w:val="clear" w:color="auto" w:fill="D1E6F6"/>
        <w:spacing w:after="135" w:line="276" w:lineRule="auto"/>
        <w:ind w:left="85" w:right="216" w:hanging="10"/>
        <w:rPr>
          <w:sz w:val="21"/>
          <w:szCs w:val="21"/>
        </w:rPr>
      </w:pPr>
      <w:r>
        <w:rPr>
          <w:b/>
        </w:rPr>
        <w:t>Denominator:</w:t>
      </w:r>
      <w:r>
        <w:t xml:space="preserve"> # of CTE </w:t>
      </w:r>
      <w:r w:rsidR="00B73E4A">
        <w:t>c</w:t>
      </w:r>
      <w:r>
        <w:t>oncentrators who exited secondary education in the school year immediately preceding the reporting year</w:t>
      </w:r>
      <w:r w:rsidR="005716C2">
        <w:t>.</w:t>
      </w:r>
    </w:p>
    <w:p w14:paraId="330A5440" w14:textId="77777777" w:rsidR="0000407C" w:rsidRDefault="007E369D">
      <w:pPr>
        <w:keepNext/>
        <w:pBdr>
          <w:top w:val="nil"/>
          <w:left w:val="nil"/>
          <w:bottom w:val="nil"/>
          <w:right w:val="nil"/>
          <w:between w:val="nil"/>
        </w:pBdr>
        <w:spacing w:after="200" w:line="240" w:lineRule="auto"/>
        <w:rPr>
          <w:b/>
          <w:i/>
          <w:color w:val="134163"/>
          <w:sz w:val="20"/>
          <w:szCs w:val="20"/>
        </w:rPr>
      </w:pPr>
      <w:bookmarkStart w:id="21" w:name="_heading=h.3fwokq0" w:colFirst="0" w:colLast="0"/>
      <w:bookmarkEnd w:id="21"/>
      <w:r>
        <w:rPr>
          <w:b/>
          <w:i/>
          <w:color w:val="134163"/>
          <w:sz w:val="20"/>
          <w:szCs w:val="20"/>
        </w:rPr>
        <w:t xml:space="preserve">Table 19 Indicator 3S1 Performance Analysis </w:t>
      </w:r>
    </w:p>
    <w:tbl>
      <w:tblPr>
        <w:tblStyle w:val="6"/>
        <w:tblW w:w="9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155"/>
        <w:gridCol w:w="1710"/>
        <w:gridCol w:w="1710"/>
        <w:gridCol w:w="1823"/>
        <w:gridCol w:w="1001"/>
        <w:gridCol w:w="1350"/>
      </w:tblGrid>
      <w:tr w:rsidR="0000407C" w14:paraId="4FC910F1" w14:textId="77777777" w:rsidTr="00461043">
        <w:trPr>
          <w:trHeight w:val="580"/>
          <w:tblHeader/>
        </w:trPr>
        <w:tc>
          <w:tcPr>
            <w:tcW w:w="2155" w:type="dxa"/>
            <w:shd w:val="clear" w:color="auto" w:fill="1C6294"/>
          </w:tcPr>
          <w:p w14:paraId="2E4EEA27" w14:textId="77777777" w:rsidR="0000407C" w:rsidRDefault="007E369D">
            <w:pPr>
              <w:rPr>
                <w:b/>
                <w:color w:val="FFFFFF"/>
              </w:rPr>
            </w:pPr>
            <w:r>
              <w:rPr>
                <w:b/>
                <w:color w:val="FFFFFF"/>
              </w:rPr>
              <w:t>Indicator Value Type, 3S1</w:t>
            </w:r>
          </w:p>
        </w:tc>
        <w:tc>
          <w:tcPr>
            <w:tcW w:w="1710" w:type="dxa"/>
            <w:shd w:val="clear" w:color="auto" w:fill="1C6294"/>
          </w:tcPr>
          <w:p w14:paraId="247997E9" w14:textId="77777777" w:rsidR="0000407C" w:rsidRDefault="007E369D">
            <w:pPr>
              <w:rPr>
                <w:b/>
                <w:color w:val="FFFFFF"/>
              </w:rPr>
            </w:pPr>
            <w:r>
              <w:rPr>
                <w:b/>
                <w:color w:val="FFFFFF"/>
              </w:rPr>
              <w:t>Report year 2020-21</w:t>
            </w:r>
          </w:p>
        </w:tc>
        <w:tc>
          <w:tcPr>
            <w:tcW w:w="1710" w:type="dxa"/>
            <w:shd w:val="clear" w:color="auto" w:fill="1C6294"/>
          </w:tcPr>
          <w:p w14:paraId="67C592E5" w14:textId="77777777" w:rsidR="0000407C" w:rsidRDefault="007E369D">
            <w:pPr>
              <w:rPr>
                <w:b/>
                <w:color w:val="FFFFFF"/>
              </w:rPr>
            </w:pPr>
            <w:r>
              <w:rPr>
                <w:b/>
                <w:color w:val="FFFFFF"/>
              </w:rPr>
              <w:t>Report year 2021-22</w:t>
            </w:r>
          </w:p>
        </w:tc>
        <w:tc>
          <w:tcPr>
            <w:tcW w:w="1823" w:type="dxa"/>
            <w:shd w:val="clear" w:color="auto" w:fill="1C6294"/>
          </w:tcPr>
          <w:p w14:paraId="21A13F73" w14:textId="77777777" w:rsidR="0000407C" w:rsidRDefault="007E369D">
            <w:pPr>
              <w:rPr>
                <w:b/>
                <w:color w:val="FFFFFF"/>
              </w:rPr>
            </w:pPr>
            <w:r>
              <w:rPr>
                <w:b/>
                <w:color w:val="FFFFFF"/>
              </w:rPr>
              <w:t>Report year 2022-23</w:t>
            </w:r>
          </w:p>
        </w:tc>
        <w:tc>
          <w:tcPr>
            <w:tcW w:w="1001" w:type="dxa"/>
            <w:shd w:val="clear" w:color="auto" w:fill="1C6294"/>
          </w:tcPr>
          <w:p w14:paraId="420BD39A" w14:textId="77777777" w:rsidR="0000407C" w:rsidRDefault="007E369D">
            <w:pPr>
              <w:rPr>
                <w:b/>
                <w:color w:val="FFFFFF"/>
              </w:rPr>
            </w:pPr>
            <w:r>
              <w:rPr>
                <w:b/>
                <w:color w:val="FFFFFF"/>
              </w:rPr>
              <w:t>Base Level</w:t>
            </w:r>
          </w:p>
        </w:tc>
        <w:tc>
          <w:tcPr>
            <w:tcW w:w="1350" w:type="dxa"/>
            <w:shd w:val="clear" w:color="auto" w:fill="1C6294"/>
          </w:tcPr>
          <w:p w14:paraId="5AC196F5" w14:textId="77777777" w:rsidR="0000407C" w:rsidRDefault="007E369D">
            <w:pPr>
              <w:rPr>
                <w:b/>
                <w:color w:val="FFFFFF"/>
              </w:rPr>
            </w:pPr>
            <w:r>
              <w:rPr>
                <w:b/>
                <w:color w:val="FFFFFF"/>
              </w:rPr>
              <w:t>Report year 2023-24</w:t>
            </w:r>
          </w:p>
        </w:tc>
      </w:tr>
      <w:tr w:rsidR="0000407C" w14:paraId="315ACE57" w14:textId="77777777" w:rsidTr="00461043">
        <w:trPr>
          <w:trHeight w:val="290"/>
        </w:trPr>
        <w:tc>
          <w:tcPr>
            <w:tcW w:w="2155" w:type="dxa"/>
          </w:tcPr>
          <w:p w14:paraId="6F9BC284" w14:textId="77777777" w:rsidR="0000407C" w:rsidRDefault="007E369D">
            <w:r>
              <w:t>Numerator Count</w:t>
            </w:r>
          </w:p>
        </w:tc>
        <w:tc>
          <w:tcPr>
            <w:tcW w:w="1710" w:type="dxa"/>
          </w:tcPr>
          <w:p w14:paraId="45824168" w14:textId="77777777" w:rsidR="0000407C" w:rsidRDefault="007E369D">
            <w:pPr>
              <w:jc w:val="center"/>
            </w:pPr>
            <w:r>
              <w:t>3,322</w:t>
            </w:r>
          </w:p>
        </w:tc>
        <w:tc>
          <w:tcPr>
            <w:tcW w:w="1710" w:type="dxa"/>
          </w:tcPr>
          <w:p w14:paraId="31140B93" w14:textId="77777777" w:rsidR="0000407C" w:rsidRDefault="007E369D">
            <w:pPr>
              <w:jc w:val="center"/>
            </w:pPr>
            <w:r>
              <w:t>19,517</w:t>
            </w:r>
          </w:p>
        </w:tc>
        <w:tc>
          <w:tcPr>
            <w:tcW w:w="1823" w:type="dxa"/>
            <w:shd w:val="clear" w:color="auto" w:fill="auto"/>
          </w:tcPr>
          <w:p w14:paraId="690CC33E" w14:textId="77777777" w:rsidR="0000407C" w:rsidRDefault="007E369D">
            <w:pPr>
              <w:jc w:val="center"/>
            </w:pPr>
            <w:r>
              <w:t>11,846</w:t>
            </w:r>
          </w:p>
        </w:tc>
        <w:tc>
          <w:tcPr>
            <w:tcW w:w="1001" w:type="dxa"/>
            <w:shd w:val="clear" w:color="auto" w:fill="auto"/>
          </w:tcPr>
          <w:p w14:paraId="29AB0E3F" w14:textId="77777777" w:rsidR="0000407C" w:rsidRDefault="007E369D">
            <w:pPr>
              <w:jc w:val="center"/>
              <w:rPr>
                <w:b/>
              </w:rPr>
            </w:pPr>
            <w:r>
              <w:rPr>
                <w:b/>
              </w:rPr>
              <w:t>15,681.5</w:t>
            </w:r>
          </w:p>
        </w:tc>
        <w:tc>
          <w:tcPr>
            <w:tcW w:w="1350" w:type="dxa"/>
            <w:shd w:val="clear" w:color="auto" w:fill="D1E6F6"/>
          </w:tcPr>
          <w:p w14:paraId="224E4FDE" w14:textId="77777777" w:rsidR="0000407C" w:rsidRDefault="0000407C"/>
        </w:tc>
      </w:tr>
      <w:tr w:rsidR="0000407C" w14:paraId="5FF690F6" w14:textId="77777777" w:rsidTr="00461043">
        <w:trPr>
          <w:trHeight w:val="290"/>
        </w:trPr>
        <w:tc>
          <w:tcPr>
            <w:tcW w:w="2155" w:type="dxa"/>
          </w:tcPr>
          <w:p w14:paraId="03AABF85" w14:textId="77777777" w:rsidR="0000407C" w:rsidRDefault="007E369D">
            <w:r>
              <w:t>Denominator Count</w:t>
            </w:r>
          </w:p>
        </w:tc>
        <w:tc>
          <w:tcPr>
            <w:tcW w:w="1710" w:type="dxa"/>
          </w:tcPr>
          <w:p w14:paraId="4881F19C" w14:textId="77777777" w:rsidR="0000407C" w:rsidRDefault="007E369D">
            <w:pPr>
              <w:jc w:val="center"/>
            </w:pPr>
            <w:r>
              <w:t>9,185</w:t>
            </w:r>
          </w:p>
        </w:tc>
        <w:tc>
          <w:tcPr>
            <w:tcW w:w="1710" w:type="dxa"/>
          </w:tcPr>
          <w:p w14:paraId="3C1ED287" w14:textId="77777777" w:rsidR="0000407C" w:rsidRDefault="007E369D">
            <w:pPr>
              <w:jc w:val="center"/>
            </w:pPr>
            <w:r>
              <w:t>31,829</w:t>
            </w:r>
          </w:p>
        </w:tc>
        <w:tc>
          <w:tcPr>
            <w:tcW w:w="1823" w:type="dxa"/>
            <w:shd w:val="clear" w:color="auto" w:fill="auto"/>
          </w:tcPr>
          <w:p w14:paraId="057F4B41" w14:textId="77777777" w:rsidR="0000407C" w:rsidRDefault="007E369D">
            <w:pPr>
              <w:jc w:val="center"/>
            </w:pPr>
            <w:r>
              <w:t>19,832</w:t>
            </w:r>
          </w:p>
        </w:tc>
        <w:tc>
          <w:tcPr>
            <w:tcW w:w="1001" w:type="dxa"/>
            <w:shd w:val="clear" w:color="auto" w:fill="auto"/>
          </w:tcPr>
          <w:p w14:paraId="7F76B7A7" w14:textId="77777777" w:rsidR="0000407C" w:rsidRDefault="007E369D">
            <w:pPr>
              <w:jc w:val="center"/>
              <w:rPr>
                <w:b/>
              </w:rPr>
            </w:pPr>
            <w:r>
              <w:rPr>
                <w:b/>
              </w:rPr>
              <w:t>25,830.5</w:t>
            </w:r>
          </w:p>
        </w:tc>
        <w:tc>
          <w:tcPr>
            <w:tcW w:w="1350" w:type="dxa"/>
            <w:shd w:val="clear" w:color="auto" w:fill="D1E6F6"/>
          </w:tcPr>
          <w:p w14:paraId="087086F8" w14:textId="77777777" w:rsidR="0000407C" w:rsidRDefault="0000407C"/>
        </w:tc>
      </w:tr>
      <w:tr w:rsidR="0000407C" w14:paraId="15AA1097" w14:textId="77777777" w:rsidTr="00461043">
        <w:trPr>
          <w:trHeight w:val="290"/>
        </w:trPr>
        <w:tc>
          <w:tcPr>
            <w:tcW w:w="2155" w:type="dxa"/>
          </w:tcPr>
          <w:p w14:paraId="11242867" w14:textId="77777777" w:rsidR="0000407C" w:rsidRDefault="007E369D">
            <w:r>
              <w:t>Actual Performance</w:t>
            </w:r>
          </w:p>
        </w:tc>
        <w:tc>
          <w:tcPr>
            <w:tcW w:w="1710" w:type="dxa"/>
          </w:tcPr>
          <w:p w14:paraId="332EB4A3" w14:textId="77777777" w:rsidR="0000407C" w:rsidRDefault="007E369D">
            <w:pPr>
              <w:jc w:val="center"/>
              <w:rPr>
                <w:b/>
              </w:rPr>
            </w:pPr>
            <w:r>
              <w:rPr>
                <w:b/>
              </w:rPr>
              <w:t>36.17%</w:t>
            </w:r>
          </w:p>
        </w:tc>
        <w:tc>
          <w:tcPr>
            <w:tcW w:w="1710" w:type="dxa"/>
          </w:tcPr>
          <w:p w14:paraId="21D4940E" w14:textId="77777777" w:rsidR="0000407C" w:rsidRDefault="007E369D">
            <w:pPr>
              <w:jc w:val="center"/>
              <w:rPr>
                <w:b/>
              </w:rPr>
            </w:pPr>
            <w:r>
              <w:rPr>
                <w:b/>
              </w:rPr>
              <w:t>61.32%</w:t>
            </w:r>
          </w:p>
        </w:tc>
        <w:tc>
          <w:tcPr>
            <w:tcW w:w="1823" w:type="dxa"/>
            <w:shd w:val="clear" w:color="auto" w:fill="auto"/>
          </w:tcPr>
          <w:p w14:paraId="73409175" w14:textId="77777777" w:rsidR="0000407C" w:rsidRDefault="007E369D">
            <w:pPr>
              <w:jc w:val="center"/>
              <w:rPr>
                <w:b/>
              </w:rPr>
            </w:pPr>
            <w:r>
              <w:rPr>
                <w:b/>
              </w:rPr>
              <w:t>59.73%</w:t>
            </w:r>
          </w:p>
        </w:tc>
        <w:tc>
          <w:tcPr>
            <w:tcW w:w="1001" w:type="dxa"/>
            <w:shd w:val="clear" w:color="auto" w:fill="auto"/>
          </w:tcPr>
          <w:p w14:paraId="0F193470" w14:textId="77777777" w:rsidR="0000407C" w:rsidRDefault="007E369D">
            <w:pPr>
              <w:jc w:val="center"/>
              <w:rPr>
                <w:b/>
              </w:rPr>
            </w:pPr>
            <w:r>
              <w:rPr>
                <w:b/>
              </w:rPr>
              <w:t>60.53%</w:t>
            </w:r>
          </w:p>
        </w:tc>
        <w:tc>
          <w:tcPr>
            <w:tcW w:w="1350" w:type="dxa"/>
            <w:shd w:val="clear" w:color="auto" w:fill="D1E6F6"/>
          </w:tcPr>
          <w:p w14:paraId="54FD54C6" w14:textId="77777777" w:rsidR="0000407C" w:rsidRDefault="0000407C"/>
        </w:tc>
      </w:tr>
      <w:tr w:rsidR="0000407C" w14:paraId="37F93D92" w14:textId="77777777" w:rsidTr="00461043">
        <w:trPr>
          <w:trHeight w:val="290"/>
        </w:trPr>
        <w:tc>
          <w:tcPr>
            <w:tcW w:w="2155" w:type="dxa"/>
          </w:tcPr>
          <w:p w14:paraId="384B3078" w14:textId="77777777" w:rsidR="0000407C" w:rsidRDefault="007E369D">
            <w:r>
              <w:t>Performance Target</w:t>
            </w:r>
          </w:p>
        </w:tc>
        <w:tc>
          <w:tcPr>
            <w:tcW w:w="1710" w:type="dxa"/>
          </w:tcPr>
          <w:p w14:paraId="378F4D9A" w14:textId="77777777" w:rsidR="0000407C" w:rsidRDefault="007E369D">
            <w:pPr>
              <w:jc w:val="center"/>
            </w:pPr>
            <w:r>
              <w:t>49.30%</w:t>
            </w:r>
          </w:p>
        </w:tc>
        <w:tc>
          <w:tcPr>
            <w:tcW w:w="1710" w:type="dxa"/>
          </w:tcPr>
          <w:p w14:paraId="0FA0D6E7" w14:textId="77777777" w:rsidR="0000407C" w:rsidRDefault="007E369D">
            <w:pPr>
              <w:jc w:val="center"/>
            </w:pPr>
            <w:r>
              <w:t>47.20%</w:t>
            </w:r>
          </w:p>
        </w:tc>
        <w:tc>
          <w:tcPr>
            <w:tcW w:w="1823" w:type="dxa"/>
            <w:shd w:val="clear" w:color="auto" w:fill="auto"/>
          </w:tcPr>
          <w:p w14:paraId="28611A1C" w14:textId="77777777" w:rsidR="0000407C" w:rsidRDefault="007E369D">
            <w:pPr>
              <w:jc w:val="center"/>
            </w:pPr>
            <w:r>
              <w:t>55.80%</w:t>
            </w:r>
          </w:p>
        </w:tc>
        <w:tc>
          <w:tcPr>
            <w:tcW w:w="1001" w:type="dxa"/>
            <w:shd w:val="clear" w:color="auto" w:fill="D1E6F6"/>
          </w:tcPr>
          <w:p w14:paraId="303374DF" w14:textId="77777777" w:rsidR="0000407C" w:rsidRDefault="0000407C"/>
        </w:tc>
        <w:tc>
          <w:tcPr>
            <w:tcW w:w="1350" w:type="dxa"/>
          </w:tcPr>
          <w:p w14:paraId="41175A8A" w14:textId="77777777" w:rsidR="0000407C" w:rsidRDefault="007E369D">
            <w:pPr>
              <w:jc w:val="center"/>
            </w:pPr>
            <w:r>
              <w:t>59.85%</w:t>
            </w:r>
          </w:p>
        </w:tc>
      </w:tr>
      <w:tr w:rsidR="0000407C" w14:paraId="5159E961" w14:textId="77777777" w:rsidTr="00461043">
        <w:trPr>
          <w:trHeight w:val="290"/>
        </w:trPr>
        <w:tc>
          <w:tcPr>
            <w:tcW w:w="2155" w:type="dxa"/>
          </w:tcPr>
          <w:p w14:paraId="6FBBD0EB" w14:textId="77777777" w:rsidR="0000407C" w:rsidRDefault="007E369D">
            <w:r>
              <w:t>Performance Type</w:t>
            </w:r>
          </w:p>
        </w:tc>
        <w:tc>
          <w:tcPr>
            <w:tcW w:w="1710" w:type="dxa"/>
          </w:tcPr>
          <w:p w14:paraId="134AC122" w14:textId="77777777" w:rsidR="0000407C" w:rsidRDefault="007E369D">
            <w:r>
              <w:t>Below 90% Level</w:t>
            </w:r>
          </w:p>
        </w:tc>
        <w:tc>
          <w:tcPr>
            <w:tcW w:w="1710" w:type="dxa"/>
          </w:tcPr>
          <w:p w14:paraId="35DFEF46" w14:textId="77777777" w:rsidR="0000407C" w:rsidRDefault="007E369D">
            <w:r>
              <w:t>Met or Exceeded Target</w:t>
            </w:r>
          </w:p>
        </w:tc>
        <w:tc>
          <w:tcPr>
            <w:tcW w:w="1823" w:type="dxa"/>
            <w:shd w:val="clear" w:color="auto" w:fill="auto"/>
          </w:tcPr>
          <w:p w14:paraId="6AEB1390" w14:textId="77777777" w:rsidR="0000407C" w:rsidRDefault="007E369D">
            <w:r>
              <w:t>Met or Exceeded Target</w:t>
            </w:r>
          </w:p>
        </w:tc>
        <w:tc>
          <w:tcPr>
            <w:tcW w:w="1001" w:type="dxa"/>
            <w:shd w:val="clear" w:color="auto" w:fill="D1E6F6"/>
          </w:tcPr>
          <w:p w14:paraId="575A71EC" w14:textId="77777777" w:rsidR="0000407C" w:rsidRDefault="0000407C"/>
        </w:tc>
        <w:tc>
          <w:tcPr>
            <w:tcW w:w="1350" w:type="dxa"/>
            <w:shd w:val="clear" w:color="auto" w:fill="D1E6F6"/>
          </w:tcPr>
          <w:p w14:paraId="43D15941" w14:textId="77777777" w:rsidR="0000407C" w:rsidRDefault="0000407C"/>
        </w:tc>
      </w:tr>
    </w:tbl>
    <w:p w14:paraId="015B151E" w14:textId="77777777" w:rsidR="0000407C" w:rsidRDefault="007E369D">
      <w:pPr>
        <w:spacing w:before="240"/>
      </w:pPr>
      <w:r>
        <w:t xml:space="preserve">Oregon’s statewide performance in the </w:t>
      </w:r>
      <w:r>
        <w:rPr>
          <w:i/>
        </w:rPr>
        <w:t xml:space="preserve">Postsecondary Placement </w:t>
      </w:r>
      <w:r>
        <w:t>(3S1) indicator was 36.17% in 2020-21, 61.32% in 2021-22, and 59.73% in 2022-23. The average performance of the most recent two years is 60.53%. (</w:t>
      </w:r>
      <w:r>
        <w:rPr>
          <w:color w:val="134163"/>
        </w:rPr>
        <w:t>Table</w:t>
      </w:r>
      <w:r>
        <w:t xml:space="preserve"> 19)</w:t>
      </w:r>
    </w:p>
    <w:p w14:paraId="1E45E270" w14:textId="77777777" w:rsidR="0000407C" w:rsidRDefault="007E369D">
      <w:pPr>
        <w:keepNext/>
        <w:pBdr>
          <w:top w:val="nil"/>
          <w:left w:val="nil"/>
          <w:bottom w:val="nil"/>
          <w:right w:val="nil"/>
          <w:between w:val="nil"/>
        </w:pBdr>
        <w:spacing w:after="200" w:line="240" w:lineRule="auto"/>
        <w:rPr>
          <w:b/>
          <w:i/>
          <w:color w:val="134163"/>
          <w:sz w:val="20"/>
          <w:szCs w:val="20"/>
        </w:rPr>
      </w:pPr>
      <w:bookmarkStart w:id="22" w:name="_heading=h.1v1yuxt" w:colFirst="0" w:colLast="0"/>
      <w:bookmarkEnd w:id="22"/>
      <w:r>
        <w:rPr>
          <w:b/>
          <w:i/>
          <w:color w:val="134163"/>
          <w:sz w:val="20"/>
          <w:szCs w:val="20"/>
        </w:rPr>
        <w:t>Table 20 Indicator 3S1 Proposed Targets</w:t>
      </w:r>
    </w:p>
    <w:tbl>
      <w:tblPr>
        <w:tblStyle w:val="5"/>
        <w:tblW w:w="4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960"/>
        <w:gridCol w:w="2100"/>
      </w:tblGrid>
      <w:tr w:rsidR="0000407C" w14:paraId="4B71916B" w14:textId="77777777" w:rsidTr="00461043">
        <w:trPr>
          <w:trHeight w:val="290"/>
          <w:tblHeader/>
          <w:jc w:val="center"/>
        </w:trPr>
        <w:tc>
          <w:tcPr>
            <w:tcW w:w="1960" w:type="dxa"/>
            <w:shd w:val="clear" w:color="auto" w:fill="1C6294"/>
          </w:tcPr>
          <w:p w14:paraId="7A0CA18D" w14:textId="77777777" w:rsidR="0000407C" w:rsidRDefault="007E369D">
            <w:pPr>
              <w:jc w:val="center"/>
              <w:rPr>
                <w:b/>
                <w:color w:val="FFFFFF"/>
              </w:rPr>
            </w:pPr>
            <w:r>
              <w:rPr>
                <w:b/>
                <w:color w:val="FFFFFF"/>
              </w:rPr>
              <w:t>Report Year</w:t>
            </w:r>
          </w:p>
        </w:tc>
        <w:tc>
          <w:tcPr>
            <w:tcW w:w="2100" w:type="dxa"/>
            <w:shd w:val="clear" w:color="auto" w:fill="1C6294"/>
          </w:tcPr>
          <w:p w14:paraId="519E92C6" w14:textId="77777777" w:rsidR="0000407C" w:rsidRDefault="007E369D">
            <w:pPr>
              <w:jc w:val="center"/>
              <w:rPr>
                <w:b/>
                <w:color w:val="FFFFFF"/>
              </w:rPr>
            </w:pPr>
            <w:r>
              <w:rPr>
                <w:b/>
                <w:color w:val="FFFFFF"/>
              </w:rPr>
              <w:t>Proposed Target</w:t>
            </w:r>
          </w:p>
        </w:tc>
      </w:tr>
      <w:tr w:rsidR="0000407C" w14:paraId="0BA4D6EA" w14:textId="77777777" w:rsidTr="00461043">
        <w:trPr>
          <w:trHeight w:val="290"/>
          <w:jc w:val="center"/>
        </w:trPr>
        <w:tc>
          <w:tcPr>
            <w:tcW w:w="1960" w:type="dxa"/>
          </w:tcPr>
          <w:p w14:paraId="5EE48764" w14:textId="77777777" w:rsidR="0000407C" w:rsidRDefault="007E369D">
            <w:pPr>
              <w:tabs>
                <w:tab w:val="left" w:pos="7200"/>
              </w:tabs>
              <w:jc w:val="center"/>
            </w:pPr>
            <w:r>
              <w:t>2024-25</w:t>
            </w:r>
          </w:p>
        </w:tc>
        <w:tc>
          <w:tcPr>
            <w:tcW w:w="2100" w:type="dxa"/>
          </w:tcPr>
          <w:p w14:paraId="002AF926" w14:textId="77777777" w:rsidR="0000407C" w:rsidRDefault="007E369D">
            <w:pPr>
              <w:tabs>
                <w:tab w:val="left" w:pos="7200"/>
              </w:tabs>
              <w:jc w:val="center"/>
            </w:pPr>
            <w:r>
              <w:t>61.20%</w:t>
            </w:r>
          </w:p>
        </w:tc>
      </w:tr>
      <w:tr w:rsidR="0000407C" w14:paraId="1203310B" w14:textId="77777777" w:rsidTr="00461043">
        <w:trPr>
          <w:trHeight w:val="290"/>
          <w:jc w:val="center"/>
        </w:trPr>
        <w:tc>
          <w:tcPr>
            <w:tcW w:w="1960" w:type="dxa"/>
          </w:tcPr>
          <w:p w14:paraId="4DD573A6" w14:textId="77777777" w:rsidR="0000407C" w:rsidRDefault="007E369D">
            <w:pPr>
              <w:tabs>
                <w:tab w:val="left" w:pos="7200"/>
              </w:tabs>
              <w:jc w:val="center"/>
            </w:pPr>
            <w:r>
              <w:t>2025-26</w:t>
            </w:r>
          </w:p>
        </w:tc>
        <w:tc>
          <w:tcPr>
            <w:tcW w:w="2100" w:type="dxa"/>
          </w:tcPr>
          <w:p w14:paraId="10C288B5" w14:textId="77777777" w:rsidR="0000407C" w:rsidRDefault="007E369D">
            <w:pPr>
              <w:tabs>
                <w:tab w:val="left" w:pos="7200"/>
              </w:tabs>
              <w:jc w:val="center"/>
            </w:pPr>
            <w:r>
              <w:t>61.80%</w:t>
            </w:r>
          </w:p>
        </w:tc>
      </w:tr>
      <w:tr w:rsidR="0000407C" w14:paraId="0B99E02E" w14:textId="77777777" w:rsidTr="00461043">
        <w:trPr>
          <w:trHeight w:val="290"/>
          <w:jc w:val="center"/>
        </w:trPr>
        <w:tc>
          <w:tcPr>
            <w:tcW w:w="1960" w:type="dxa"/>
          </w:tcPr>
          <w:p w14:paraId="1F7D29B2" w14:textId="77777777" w:rsidR="0000407C" w:rsidRDefault="007E369D">
            <w:pPr>
              <w:tabs>
                <w:tab w:val="left" w:pos="7200"/>
              </w:tabs>
              <w:jc w:val="center"/>
            </w:pPr>
            <w:r>
              <w:t>2026-27</w:t>
            </w:r>
          </w:p>
        </w:tc>
        <w:tc>
          <w:tcPr>
            <w:tcW w:w="2100" w:type="dxa"/>
          </w:tcPr>
          <w:p w14:paraId="1FB55C12" w14:textId="77777777" w:rsidR="0000407C" w:rsidRDefault="007E369D">
            <w:pPr>
              <w:tabs>
                <w:tab w:val="left" w:pos="7200"/>
              </w:tabs>
              <w:jc w:val="center"/>
            </w:pPr>
            <w:r>
              <w:t>62.30%</w:t>
            </w:r>
          </w:p>
        </w:tc>
      </w:tr>
      <w:tr w:rsidR="0000407C" w14:paraId="74E4AC00" w14:textId="77777777" w:rsidTr="00461043">
        <w:trPr>
          <w:trHeight w:val="290"/>
          <w:jc w:val="center"/>
        </w:trPr>
        <w:tc>
          <w:tcPr>
            <w:tcW w:w="1960" w:type="dxa"/>
          </w:tcPr>
          <w:p w14:paraId="2939FCAF" w14:textId="77777777" w:rsidR="0000407C" w:rsidRDefault="007E369D">
            <w:pPr>
              <w:tabs>
                <w:tab w:val="left" w:pos="7200"/>
              </w:tabs>
              <w:jc w:val="center"/>
            </w:pPr>
            <w:r>
              <w:t>2027-28</w:t>
            </w:r>
          </w:p>
        </w:tc>
        <w:tc>
          <w:tcPr>
            <w:tcW w:w="2100" w:type="dxa"/>
          </w:tcPr>
          <w:p w14:paraId="309F935A" w14:textId="77777777" w:rsidR="0000407C" w:rsidRDefault="007E369D">
            <w:pPr>
              <w:tabs>
                <w:tab w:val="left" w:pos="7200"/>
              </w:tabs>
              <w:jc w:val="center"/>
            </w:pPr>
            <w:r>
              <w:t>62.90%</w:t>
            </w:r>
          </w:p>
        </w:tc>
      </w:tr>
    </w:tbl>
    <w:p w14:paraId="03A760B5" w14:textId="77777777" w:rsidR="0000407C" w:rsidRDefault="007E369D">
      <w:pPr>
        <w:spacing w:before="240"/>
      </w:pPr>
      <w:r>
        <w:t xml:space="preserve">While ODE has increased number of data partners to improve postsecondary matching and unemployment rates are stabilizing in the wake of early COVID pandemic disruptions across the nation and in Oregon, the first year of Perkins V performance targets saw the state fail to meet the 90% level on this metric. </w:t>
      </w:r>
    </w:p>
    <w:p w14:paraId="4735B806" w14:textId="01F9C943" w:rsidR="0000407C" w:rsidRDefault="007E369D">
      <w:pPr>
        <w:spacing w:before="240"/>
      </w:pPr>
      <w:r>
        <w:t xml:space="preserve">ODE has observed that the strong regional economies across the Pacific Northwest have presented unique hurdles in tracking postsecondary activity of secondary CTE </w:t>
      </w:r>
      <w:r w:rsidR="00B73E4A">
        <w:t>c</w:t>
      </w:r>
      <w:r>
        <w:t>oncentrators. Namely, students who proceed to work in neighboring states</w:t>
      </w:r>
      <w:r w:rsidR="005716C2">
        <w:t>—</w:t>
      </w:r>
      <w:r>
        <w:t>Idaho and Washington</w:t>
      </w:r>
      <w:r w:rsidR="005716C2">
        <w:t>—</w:t>
      </w:r>
      <w:r>
        <w:t xml:space="preserve">are not able to </w:t>
      </w:r>
      <w:proofErr w:type="gramStart"/>
      <w:r>
        <w:t>be identified</w:t>
      </w:r>
      <w:proofErr w:type="gramEnd"/>
      <w:r>
        <w:t xml:space="preserve"> in ODE Perkins reporting at this time. ODE continues to develop data partnerships that will support data agreements, producing information on CTE concentrator employment in the region. </w:t>
      </w:r>
    </w:p>
    <w:p w14:paraId="72E1A7D3" w14:textId="03F183DA" w:rsidR="0000407C" w:rsidRDefault="007E369D">
      <w:pPr>
        <w:pStyle w:val="Heading3"/>
        <w:rPr>
          <w:color w:val="1C6294"/>
        </w:rPr>
      </w:pPr>
      <w:r>
        <w:rPr>
          <w:color w:val="1C6294"/>
        </w:rPr>
        <w:t>4S1: Non</w:t>
      </w:r>
      <w:r w:rsidR="00F60333">
        <w:rPr>
          <w:color w:val="1C6294"/>
        </w:rPr>
        <w:t>tr</w:t>
      </w:r>
      <w:r>
        <w:rPr>
          <w:color w:val="1C6294"/>
        </w:rPr>
        <w:t xml:space="preserve">aditional Program Concentration </w:t>
      </w:r>
    </w:p>
    <w:p w14:paraId="55F04E33" w14:textId="69CF75C6" w:rsidR="0000407C" w:rsidRDefault="007E369D">
      <w:r>
        <w:t xml:space="preserve">The percentage of CTE </w:t>
      </w:r>
      <w:r w:rsidR="00B73E4A">
        <w:t>c</w:t>
      </w:r>
      <w:r>
        <w:t xml:space="preserve">oncentrators in CTE programs and Programs of Study that lead to fields that are nontraditional for the gender of the </w:t>
      </w:r>
      <w:r w:rsidR="00B73E4A">
        <w:t>c</w:t>
      </w:r>
      <w:r>
        <w:t xml:space="preserve">oncentrator. Programs’ traditional gender categories </w:t>
      </w:r>
      <w:proofErr w:type="gramStart"/>
      <w:r>
        <w:t>are identified</w:t>
      </w:r>
      <w:proofErr w:type="gramEnd"/>
      <w:r>
        <w:t xml:space="preserve"> using national designations. </w:t>
      </w:r>
    </w:p>
    <w:p w14:paraId="7EF4E0CD" w14:textId="635C0268" w:rsidR="0000407C" w:rsidRDefault="007E369D">
      <w:pPr>
        <w:pBdr>
          <w:bottom w:val="single" w:sz="8" w:space="0" w:color="1B75BB"/>
        </w:pBdr>
        <w:shd w:val="clear" w:color="auto" w:fill="D1E6F6"/>
        <w:spacing w:before="240" w:after="0" w:line="276" w:lineRule="auto"/>
        <w:ind w:left="85" w:right="194" w:hanging="10"/>
      </w:pPr>
      <w:r>
        <w:rPr>
          <w:b/>
        </w:rPr>
        <w:t>Numerator:</w:t>
      </w:r>
      <w:r>
        <w:t xml:space="preserve"> # of CTE </w:t>
      </w:r>
      <w:r w:rsidR="00B73E4A">
        <w:t>c</w:t>
      </w:r>
      <w:r>
        <w:t>oncentrators who concentrated in a state-approved Program of Study that leads to a nontraditional field for their gender</w:t>
      </w:r>
      <w:r w:rsidR="005716C2">
        <w:t>.</w:t>
      </w:r>
    </w:p>
    <w:p w14:paraId="1361165B" w14:textId="04B91B6D" w:rsidR="0000407C" w:rsidRDefault="007E369D">
      <w:pPr>
        <w:shd w:val="clear" w:color="auto" w:fill="D1E6F6"/>
        <w:spacing w:after="135" w:line="276" w:lineRule="auto"/>
        <w:ind w:left="85" w:right="216" w:hanging="10"/>
        <w:rPr>
          <w:sz w:val="21"/>
          <w:szCs w:val="21"/>
        </w:rPr>
      </w:pPr>
      <w:r>
        <w:rPr>
          <w:b/>
        </w:rPr>
        <w:t>Denominator:</w:t>
      </w:r>
      <w:r>
        <w:t xml:space="preserve"> # of CTE </w:t>
      </w:r>
      <w:r w:rsidR="00B73E4A">
        <w:t>c</w:t>
      </w:r>
      <w:r>
        <w:t>oncentrators in a state-approved Program of Study in the report year that is associated with a traditional gender</w:t>
      </w:r>
      <w:r w:rsidR="007413D1">
        <w:t>.</w:t>
      </w:r>
    </w:p>
    <w:p w14:paraId="0EA35A88" w14:textId="77777777" w:rsidR="0000407C" w:rsidRDefault="007E369D">
      <w:pPr>
        <w:keepNext/>
        <w:pBdr>
          <w:top w:val="nil"/>
          <w:left w:val="nil"/>
          <w:bottom w:val="nil"/>
          <w:right w:val="nil"/>
          <w:between w:val="nil"/>
        </w:pBdr>
        <w:spacing w:after="200" w:line="240" w:lineRule="auto"/>
        <w:rPr>
          <w:b/>
          <w:i/>
          <w:color w:val="134163"/>
          <w:sz w:val="20"/>
          <w:szCs w:val="20"/>
        </w:rPr>
      </w:pPr>
      <w:bookmarkStart w:id="23" w:name="_heading=h.4f1mdlm" w:colFirst="0" w:colLast="0"/>
      <w:bookmarkEnd w:id="23"/>
      <w:r>
        <w:rPr>
          <w:b/>
          <w:i/>
          <w:color w:val="134163"/>
          <w:sz w:val="20"/>
          <w:szCs w:val="20"/>
        </w:rPr>
        <w:t>Table 21 Indicator 4S1 Performance Analysis</w:t>
      </w:r>
    </w:p>
    <w:tbl>
      <w:tblPr>
        <w:tblStyle w:val="4"/>
        <w:tblW w:w="9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155"/>
        <w:gridCol w:w="1710"/>
        <w:gridCol w:w="1710"/>
        <w:gridCol w:w="1710"/>
        <w:gridCol w:w="1057"/>
        <w:gridCol w:w="1350"/>
      </w:tblGrid>
      <w:tr w:rsidR="0000407C" w14:paraId="1ED26D7F" w14:textId="77777777" w:rsidTr="005716C2">
        <w:trPr>
          <w:trHeight w:val="580"/>
          <w:tblHeader/>
        </w:trPr>
        <w:tc>
          <w:tcPr>
            <w:tcW w:w="2155" w:type="dxa"/>
            <w:shd w:val="clear" w:color="auto" w:fill="1C6294"/>
          </w:tcPr>
          <w:p w14:paraId="2BD4D319" w14:textId="77777777" w:rsidR="0000407C" w:rsidRDefault="007E369D">
            <w:pPr>
              <w:rPr>
                <w:b/>
                <w:color w:val="FFFFFF"/>
              </w:rPr>
            </w:pPr>
            <w:r>
              <w:rPr>
                <w:b/>
                <w:color w:val="FFFFFF"/>
              </w:rPr>
              <w:t>Indicator Value Type, 4S1</w:t>
            </w:r>
          </w:p>
        </w:tc>
        <w:tc>
          <w:tcPr>
            <w:tcW w:w="1710" w:type="dxa"/>
            <w:shd w:val="clear" w:color="auto" w:fill="1C6294"/>
          </w:tcPr>
          <w:p w14:paraId="1EB328B2" w14:textId="77777777" w:rsidR="0000407C" w:rsidRDefault="007E369D">
            <w:pPr>
              <w:rPr>
                <w:b/>
                <w:color w:val="FFFFFF"/>
              </w:rPr>
            </w:pPr>
            <w:r>
              <w:rPr>
                <w:b/>
                <w:color w:val="FFFFFF"/>
              </w:rPr>
              <w:t>Report year 2020-21</w:t>
            </w:r>
          </w:p>
        </w:tc>
        <w:tc>
          <w:tcPr>
            <w:tcW w:w="1710" w:type="dxa"/>
            <w:shd w:val="clear" w:color="auto" w:fill="1C6294"/>
          </w:tcPr>
          <w:p w14:paraId="5A2CFA7F" w14:textId="77777777" w:rsidR="0000407C" w:rsidRDefault="007E369D">
            <w:pPr>
              <w:rPr>
                <w:b/>
                <w:color w:val="FFFFFF"/>
              </w:rPr>
            </w:pPr>
            <w:r>
              <w:rPr>
                <w:b/>
                <w:color w:val="FFFFFF"/>
              </w:rPr>
              <w:t>Report year 2021-22</w:t>
            </w:r>
          </w:p>
        </w:tc>
        <w:tc>
          <w:tcPr>
            <w:tcW w:w="1710" w:type="dxa"/>
            <w:shd w:val="clear" w:color="auto" w:fill="1C6294"/>
          </w:tcPr>
          <w:p w14:paraId="0A92BF12" w14:textId="77777777" w:rsidR="0000407C" w:rsidRDefault="007E369D">
            <w:pPr>
              <w:rPr>
                <w:b/>
                <w:color w:val="FFFFFF"/>
              </w:rPr>
            </w:pPr>
            <w:r>
              <w:rPr>
                <w:b/>
                <w:color w:val="FFFFFF"/>
              </w:rPr>
              <w:t>Report year 2022-23</w:t>
            </w:r>
          </w:p>
        </w:tc>
        <w:tc>
          <w:tcPr>
            <w:tcW w:w="1057" w:type="dxa"/>
            <w:shd w:val="clear" w:color="auto" w:fill="1C6294"/>
          </w:tcPr>
          <w:p w14:paraId="3AB8BC5A" w14:textId="77777777" w:rsidR="0000407C" w:rsidRDefault="007E369D">
            <w:pPr>
              <w:rPr>
                <w:b/>
                <w:color w:val="FFFFFF"/>
              </w:rPr>
            </w:pPr>
            <w:r>
              <w:rPr>
                <w:b/>
                <w:color w:val="FFFFFF"/>
              </w:rPr>
              <w:t>Base Level</w:t>
            </w:r>
          </w:p>
        </w:tc>
        <w:tc>
          <w:tcPr>
            <w:tcW w:w="1350" w:type="dxa"/>
            <w:shd w:val="clear" w:color="auto" w:fill="1C6294"/>
          </w:tcPr>
          <w:p w14:paraId="5C1EA5FB" w14:textId="77777777" w:rsidR="0000407C" w:rsidRDefault="007E369D">
            <w:pPr>
              <w:rPr>
                <w:b/>
                <w:color w:val="FFFFFF"/>
              </w:rPr>
            </w:pPr>
            <w:r>
              <w:rPr>
                <w:b/>
                <w:color w:val="FFFFFF"/>
              </w:rPr>
              <w:t>Report year 2021-24</w:t>
            </w:r>
          </w:p>
        </w:tc>
      </w:tr>
      <w:tr w:rsidR="0000407C" w14:paraId="2FC4DF49" w14:textId="77777777" w:rsidTr="005716C2">
        <w:trPr>
          <w:trHeight w:val="290"/>
        </w:trPr>
        <w:tc>
          <w:tcPr>
            <w:tcW w:w="2155" w:type="dxa"/>
          </w:tcPr>
          <w:p w14:paraId="09BF566A" w14:textId="77777777" w:rsidR="0000407C" w:rsidRDefault="007E369D">
            <w:r>
              <w:t>Numerator Count</w:t>
            </w:r>
          </w:p>
        </w:tc>
        <w:tc>
          <w:tcPr>
            <w:tcW w:w="1710" w:type="dxa"/>
          </w:tcPr>
          <w:p w14:paraId="0C62D99B" w14:textId="31BD245C" w:rsidR="0000407C" w:rsidRDefault="007E369D">
            <w:r>
              <w:t>5</w:t>
            </w:r>
            <w:r w:rsidR="005716C2">
              <w:t>,</w:t>
            </w:r>
            <w:r>
              <w:t>726</w:t>
            </w:r>
          </w:p>
        </w:tc>
        <w:tc>
          <w:tcPr>
            <w:tcW w:w="1710" w:type="dxa"/>
          </w:tcPr>
          <w:p w14:paraId="4742D285" w14:textId="4028B90F" w:rsidR="0000407C" w:rsidRDefault="007E369D">
            <w:r>
              <w:t>3</w:t>
            </w:r>
            <w:r w:rsidR="005716C2">
              <w:t>,</w:t>
            </w:r>
            <w:r>
              <w:t>319</w:t>
            </w:r>
          </w:p>
        </w:tc>
        <w:tc>
          <w:tcPr>
            <w:tcW w:w="1710" w:type="dxa"/>
            <w:shd w:val="clear" w:color="auto" w:fill="auto"/>
          </w:tcPr>
          <w:p w14:paraId="69930F88" w14:textId="755053E8" w:rsidR="0000407C" w:rsidRDefault="007E369D">
            <w:r>
              <w:t>4</w:t>
            </w:r>
            <w:r w:rsidR="005716C2">
              <w:t>,</w:t>
            </w:r>
            <w:r>
              <w:t>912</w:t>
            </w:r>
          </w:p>
        </w:tc>
        <w:tc>
          <w:tcPr>
            <w:tcW w:w="1057" w:type="dxa"/>
            <w:shd w:val="clear" w:color="auto" w:fill="auto"/>
          </w:tcPr>
          <w:p w14:paraId="49C7BEBB" w14:textId="25AFD4DB" w:rsidR="0000407C" w:rsidRDefault="007E369D">
            <w:pPr>
              <w:rPr>
                <w:b/>
              </w:rPr>
            </w:pPr>
            <w:r>
              <w:rPr>
                <w:b/>
              </w:rPr>
              <w:t>4</w:t>
            </w:r>
            <w:r w:rsidR="005716C2">
              <w:rPr>
                <w:b/>
              </w:rPr>
              <w:t>,</w:t>
            </w:r>
            <w:r>
              <w:rPr>
                <w:b/>
              </w:rPr>
              <w:t>115.5</w:t>
            </w:r>
          </w:p>
        </w:tc>
        <w:tc>
          <w:tcPr>
            <w:tcW w:w="1350" w:type="dxa"/>
            <w:shd w:val="clear" w:color="auto" w:fill="D1E6F6"/>
          </w:tcPr>
          <w:p w14:paraId="0EECDC1C" w14:textId="77777777" w:rsidR="0000407C" w:rsidRDefault="0000407C"/>
        </w:tc>
      </w:tr>
      <w:tr w:rsidR="0000407C" w14:paraId="3632F3EB" w14:textId="77777777" w:rsidTr="005716C2">
        <w:trPr>
          <w:trHeight w:val="290"/>
        </w:trPr>
        <w:tc>
          <w:tcPr>
            <w:tcW w:w="2155" w:type="dxa"/>
          </w:tcPr>
          <w:p w14:paraId="2EB6C771" w14:textId="77777777" w:rsidR="0000407C" w:rsidRDefault="007E369D">
            <w:r>
              <w:t>Denominator Count</w:t>
            </w:r>
          </w:p>
        </w:tc>
        <w:tc>
          <w:tcPr>
            <w:tcW w:w="1710" w:type="dxa"/>
          </w:tcPr>
          <w:p w14:paraId="350DFE50" w14:textId="6585ACD9" w:rsidR="0000407C" w:rsidRDefault="007E369D">
            <w:r>
              <w:t>18</w:t>
            </w:r>
            <w:r w:rsidR="005716C2">
              <w:t>,</w:t>
            </w:r>
            <w:r>
              <w:t>030</w:t>
            </w:r>
          </w:p>
        </w:tc>
        <w:tc>
          <w:tcPr>
            <w:tcW w:w="1710" w:type="dxa"/>
          </w:tcPr>
          <w:p w14:paraId="74E208BE" w14:textId="5D96A69D" w:rsidR="0000407C" w:rsidRDefault="007E369D">
            <w:r>
              <w:t>9</w:t>
            </w:r>
            <w:r w:rsidR="00AA6E68">
              <w:t>,</w:t>
            </w:r>
            <w:r>
              <w:t>652</w:t>
            </w:r>
          </w:p>
        </w:tc>
        <w:tc>
          <w:tcPr>
            <w:tcW w:w="1710" w:type="dxa"/>
            <w:shd w:val="clear" w:color="auto" w:fill="auto"/>
          </w:tcPr>
          <w:p w14:paraId="1E765E61" w14:textId="7782B6AA" w:rsidR="0000407C" w:rsidRDefault="007E369D">
            <w:r>
              <w:t>14</w:t>
            </w:r>
            <w:r w:rsidR="00AA6E68">
              <w:t>,</w:t>
            </w:r>
            <w:r>
              <w:t>881</w:t>
            </w:r>
          </w:p>
        </w:tc>
        <w:tc>
          <w:tcPr>
            <w:tcW w:w="1057" w:type="dxa"/>
            <w:shd w:val="clear" w:color="auto" w:fill="auto"/>
          </w:tcPr>
          <w:p w14:paraId="3E0F84BB" w14:textId="5444F21F" w:rsidR="0000407C" w:rsidRDefault="007E369D">
            <w:pPr>
              <w:rPr>
                <w:b/>
              </w:rPr>
            </w:pPr>
            <w:r>
              <w:rPr>
                <w:b/>
              </w:rPr>
              <w:t>12</w:t>
            </w:r>
            <w:r w:rsidR="005716C2">
              <w:rPr>
                <w:b/>
              </w:rPr>
              <w:t>,</w:t>
            </w:r>
            <w:r>
              <w:rPr>
                <w:b/>
              </w:rPr>
              <w:t>266.5</w:t>
            </w:r>
          </w:p>
        </w:tc>
        <w:tc>
          <w:tcPr>
            <w:tcW w:w="1350" w:type="dxa"/>
            <w:shd w:val="clear" w:color="auto" w:fill="D1E6F6"/>
          </w:tcPr>
          <w:p w14:paraId="7463DD6F" w14:textId="77777777" w:rsidR="0000407C" w:rsidRDefault="0000407C"/>
        </w:tc>
      </w:tr>
      <w:tr w:rsidR="0000407C" w14:paraId="38F5CC35" w14:textId="77777777" w:rsidTr="005716C2">
        <w:trPr>
          <w:trHeight w:val="290"/>
        </w:trPr>
        <w:tc>
          <w:tcPr>
            <w:tcW w:w="2155" w:type="dxa"/>
          </w:tcPr>
          <w:p w14:paraId="5BC45D4E" w14:textId="77777777" w:rsidR="0000407C" w:rsidRDefault="007E369D">
            <w:r>
              <w:t>Actual Performance</w:t>
            </w:r>
          </w:p>
        </w:tc>
        <w:tc>
          <w:tcPr>
            <w:tcW w:w="1710" w:type="dxa"/>
          </w:tcPr>
          <w:p w14:paraId="173C587F" w14:textId="77777777" w:rsidR="0000407C" w:rsidRDefault="007E369D">
            <w:pPr>
              <w:rPr>
                <w:b/>
              </w:rPr>
            </w:pPr>
            <w:r>
              <w:rPr>
                <w:b/>
              </w:rPr>
              <w:t>31.76%</w:t>
            </w:r>
          </w:p>
        </w:tc>
        <w:tc>
          <w:tcPr>
            <w:tcW w:w="1710" w:type="dxa"/>
          </w:tcPr>
          <w:p w14:paraId="011BCDD7" w14:textId="77777777" w:rsidR="0000407C" w:rsidRDefault="007E369D">
            <w:pPr>
              <w:rPr>
                <w:b/>
              </w:rPr>
            </w:pPr>
            <w:r>
              <w:rPr>
                <w:b/>
              </w:rPr>
              <w:t>34.39%</w:t>
            </w:r>
          </w:p>
        </w:tc>
        <w:tc>
          <w:tcPr>
            <w:tcW w:w="1710" w:type="dxa"/>
            <w:shd w:val="clear" w:color="auto" w:fill="auto"/>
          </w:tcPr>
          <w:p w14:paraId="22B47272" w14:textId="77777777" w:rsidR="0000407C" w:rsidRDefault="007E369D">
            <w:pPr>
              <w:rPr>
                <w:b/>
              </w:rPr>
            </w:pPr>
            <w:r>
              <w:rPr>
                <w:b/>
              </w:rPr>
              <w:t>33.01%</w:t>
            </w:r>
          </w:p>
        </w:tc>
        <w:tc>
          <w:tcPr>
            <w:tcW w:w="1057" w:type="dxa"/>
            <w:shd w:val="clear" w:color="auto" w:fill="auto"/>
          </w:tcPr>
          <w:p w14:paraId="7F9741E0" w14:textId="77777777" w:rsidR="0000407C" w:rsidRDefault="007E369D">
            <w:pPr>
              <w:rPr>
                <w:b/>
              </w:rPr>
            </w:pPr>
            <w:r>
              <w:rPr>
                <w:b/>
              </w:rPr>
              <w:t>33.70%</w:t>
            </w:r>
          </w:p>
        </w:tc>
        <w:tc>
          <w:tcPr>
            <w:tcW w:w="1350" w:type="dxa"/>
            <w:shd w:val="clear" w:color="auto" w:fill="D1E6F6"/>
          </w:tcPr>
          <w:p w14:paraId="68C71822" w14:textId="77777777" w:rsidR="0000407C" w:rsidRDefault="0000407C"/>
        </w:tc>
      </w:tr>
      <w:tr w:rsidR="0000407C" w14:paraId="6B818DEB" w14:textId="77777777" w:rsidTr="005716C2">
        <w:trPr>
          <w:trHeight w:val="290"/>
        </w:trPr>
        <w:tc>
          <w:tcPr>
            <w:tcW w:w="2155" w:type="dxa"/>
          </w:tcPr>
          <w:p w14:paraId="48A7F0C2" w14:textId="77777777" w:rsidR="0000407C" w:rsidRDefault="007E369D">
            <w:r>
              <w:t>Performance Target</w:t>
            </w:r>
          </w:p>
        </w:tc>
        <w:tc>
          <w:tcPr>
            <w:tcW w:w="1710" w:type="dxa"/>
          </w:tcPr>
          <w:p w14:paraId="6DCC24B5" w14:textId="77777777" w:rsidR="0000407C" w:rsidRDefault="007E369D">
            <w:r>
              <w:t>27.50%</w:t>
            </w:r>
          </w:p>
        </w:tc>
        <w:tc>
          <w:tcPr>
            <w:tcW w:w="1710" w:type="dxa"/>
          </w:tcPr>
          <w:p w14:paraId="4BA9129D" w14:textId="77777777" w:rsidR="0000407C" w:rsidRDefault="007E369D">
            <w:r>
              <w:t>28.00%</w:t>
            </w:r>
          </w:p>
        </w:tc>
        <w:tc>
          <w:tcPr>
            <w:tcW w:w="1710" w:type="dxa"/>
            <w:shd w:val="clear" w:color="auto" w:fill="auto"/>
          </w:tcPr>
          <w:p w14:paraId="303BE960" w14:textId="77777777" w:rsidR="0000407C" w:rsidRDefault="007E369D">
            <w:r>
              <w:t>28.50%</w:t>
            </w:r>
          </w:p>
        </w:tc>
        <w:tc>
          <w:tcPr>
            <w:tcW w:w="1057" w:type="dxa"/>
            <w:shd w:val="clear" w:color="auto" w:fill="D1E6F6"/>
          </w:tcPr>
          <w:p w14:paraId="0574E7A3" w14:textId="77777777" w:rsidR="0000407C" w:rsidRDefault="0000407C"/>
        </w:tc>
        <w:tc>
          <w:tcPr>
            <w:tcW w:w="1350" w:type="dxa"/>
          </w:tcPr>
          <w:p w14:paraId="70E710EF" w14:textId="77777777" w:rsidR="0000407C" w:rsidRDefault="007E369D">
            <w:r>
              <w:t>29.00%</w:t>
            </w:r>
          </w:p>
        </w:tc>
      </w:tr>
      <w:tr w:rsidR="0000407C" w14:paraId="40D2F963" w14:textId="77777777" w:rsidTr="005716C2">
        <w:trPr>
          <w:trHeight w:val="290"/>
        </w:trPr>
        <w:tc>
          <w:tcPr>
            <w:tcW w:w="2155" w:type="dxa"/>
          </w:tcPr>
          <w:p w14:paraId="642E5C31" w14:textId="77777777" w:rsidR="0000407C" w:rsidRDefault="007E369D">
            <w:r>
              <w:t>Performance Type</w:t>
            </w:r>
          </w:p>
        </w:tc>
        <w:tc>
          <w:tcPr>
            <w:tcW w:w="1710" w:type="dxa"/>
          </w:tcPr>
          <w:p w14:paraId="6193AC53" w14:textId="77777777" w:rsidR="0000407C" w:rsidRDefault="007E369D">
            <w:r>
              <w:t>Met or Exceeded Target</w:t>
            </w:r>
          </w:p>
        </w:tc>
        <w:tc>
          <w:tcPr>
            <w:tcW w:w="1710" w:type="dxa"/>
          </w:tcPr>
          <w:p w14:paraId="7946D4E6" w14:textId="77777777" w:rsidR="0000407C" w:rsidRDefault="007E369D">
            <w:r>
              <w:t>Met or Exceeded Target</w:t>
            </w:r>
          </w:p>
        </w:tc>
        <w:tc>
          <w:tcPr>
            <w:tcW w:w="1710" w:type="dxa"/>
            <w:shd w:val="clear" w:color="auto" w:fill="auto"/>
          </w:tcPr>
          <w:p w14:paraId="2D627936" w14:textId="77777777" w:rsidR="0000407C" w:rsidRDefault="007E369D">
            <w:r>
              <w:t>Met or Exceeded Target</w:t>
            </w:r>
          </w:p>
        </w:tc>
        <w:tc>
          <w:tcPr>
            <w:tcW w:w="1057" w:type="dxa"/>
            <w:shd w:val="clear" w:color="auto" w:fill="auto"/>
          </w:tcPr>
          <w:p w14:paraId="35D0D79F" w14:textId="77777777" w:rsidR="0000407C" w:rsidRDefault="0000407C"/>
        </w:tc>
        <w:tc>
          <w:tcPr>
            <w:tcW w:w="1350" w:type="dxa"/>
            <w:shd w:val="clear" w:color="auto" w:fill="D1E6F6"/>
          </w:tcPr>
          <w:p w14:paraId="27ECC1C9" w14:textId="77777777" w:rsidR="0000407C" w:rsidRDefault="0000407C"/>
        </w:tc>
      </w:tr>
    </w:tbl>
    <w:p w14:paraId="78B61BBC" w14:textId="5C58AA6E" w:rsidR="0000407C" w:rsidRDefault="007E369D">
      <w:pPr>
        <w:spacing w:before="240"/>
      </w:pPr>
      <w:r>
        <w:t xml:space="preserve">Oregon’s statewide performance in the </w:t>
      </w:r>
      <w:r>
        <w:rPr>
          <w:i/>
        </w:rPr>
        <w:t>Non</w:t>
      </w:r>
      <w:r w:rsidR="00F60333">
        <w:rPr>
          <w:i/>
        </w:rPr>
        <w:t>t</w:t>
      </w:r>
      <w:r>
        <w:rPr>
          <w:i/>
        </w:rPr>
        <w:t xml:space="preserve">raditional Program Concentration </w:t>
      </w:r>
      <w:r>
        <w:t>(4S1) indicator was 31.76% in 2020-21, 34.39% in 2021-22, and 33.01% in 2022-23. The average performance of the most recent two years is 33.70%. (</w:t>
      </w:r>
      <w:r>
        <w:rPr>
          <w:color w:val="134163"/>
        </w:rPr>
        <w:t>Table</w:t>
      </w:r>
      <w:r>
        <w:t xml:space="preserve"> 21)</w:t>
      </w:r>
    </w:p>
    <w:p w14:paraId="7D52F427" w14:textId="77777777" w:rsidR="0000407C" w:rsidRDefault="007E369D">
      <w:pPr>
        <w:keepNext/>
        <w:pBdr>
          <w:top w:val="nil"/>
          <w:left w:val="nil"/>
          <w:bottom w:val="nil"/>
          <w:right w:val="nil"/>
          <w:between w:val="nil"/>
        </w:pBdr>
        <w:spacing w:after="200" w:line="240" w:lineRule="auto"/>
        <w:rPr>
          <w:b/>
          <w:i/>
          <w:color w:val="134163"/>
          <w:sz w:val="20"/>
          <w:szCs w:val="20"/>
        </w:rPr>
      </w:pPr>
      <w:bookmarkStart w:id="24" w:name="_heading=h.2u6wntf" w:colFirst="0" w:colLast="0"/>
      <w:bookmarkEnd w:id="24"/>
      <w:r>
        <w:rPr>
          <w:b/>
          <w:i/>
          <w:color w:val="134163"/>
          <w:sz w:val="20"/>
          <w:szCs w:val="20"/>
        </w:rPr>
        <w:t>Table 22 Indicator 4S1 Proposed Targets</w:t>
      </w:r>
    </w:p>
    <w:tbl>
      <w:tblPr>
        <w:tblStyle w:val="3"/>
        <w:tblW w:w="4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960"/>
        <w:gridCol w:w="2100"/>
      </w:tblGrid>
      <w:tr w:rsidR="0000407C" w14:paraId="12DABB12" w14:textId="77777777" w:rsidTr="00461043">
        <w:trPr>
          <w:trHeight w:val="290"/>
          <w:tblHeader/>
          <w:jc w:val="center"/>
        </w:trPr>
        <w:tc>
          <w:tcPr>
            <w:tcW w:w="1960" w:type="dxa"/>
            <w:shd w:val="clear" w:color="auto" w:fill="1C6294"/>
          </w:tcPr>
          <w:p w14:paraId="726D7BEB" w14:textId="77777777" w:rsidR="0000407C" w:rsidRDefault="007E369D">
            <w:pPr>
              <w:jc w:val="center"/>
              <w:rPr>
                <w:b/>
                <w:color w:val="FFFFFF"/>
              </w:rPr>
            </w:pPr>
            <w:r>
              <w:rPr>
                <w:b/>
                <w:color w:val="FFFFFF"/>
              </w:rPr>
              <w:t>Report Year</w:t>
            </w:r>
          </w:p>
        </w:tc>
        <w:tc>
          <w:tcPr>
            <w:tcW w:w="2100" w:type="dxa"/>
            <w:shd w:val="clear" w:color="auto" w:fill="1C6294"/>
          </w:tcPr>
          <w:p w14:paraId="6D37DB08" w14:textId="77777777" w:rsidR="0000407C" w:rsidRDefault="007E369D">
            <w:pPr>
              <w:jc w:val="center"/>
              <w:rPr>
                <w:b/>
                <w:color w:val="FFFFFF"/>
              </w:rPr>
            </w:pPr>
            <w:r>
              <w:rPr>
                <w:b/>
                <w:color w:val="FFFFFF"/>
              </w:rPr>
              <w:t>Proposed Target</w:t>
            </w:r>
          </w:p>
        </w:tc>
      </w:tr>
      <w:tr w:rsidR="0000407C" w14:paraId="216DDCFB" w14:textId="77777777" w:rsidTr="00461043">
        <w:trPr>
          <w:trHeight w:val="290"/>
          <w:jc w:val="center"/>
        </w:trPr>
        <w:tc>
          <w:tcPr>
            <w:tcW w:w="1960" w:type="dxa"/>
          </w:tcPr>
          <w:p w14:paraId="6C474A13" w14:textId="77777777" w:rsidR="0000407C" w:rsidRDefault="007E369D">
            <w:pPr>
              <w:tabs>
                <w:tab w:val="left" w:pos="7200"/>
              </w:tabs>
              <w:jc w:val="center"/>
            </w:pPr>
            <w:r>
              <w:t>2024-25</w:t>
            </w:r>
          </w:p>
        </w:tc>
        <w:tc>
          <w:tcPr>
            <w:tcW w:w="2100" w:type="dxa"/>
          </w:tcPr>
          <w:p w14:paraId="05F19F03" w14:textId="77777777" w:rsidR="0000407C" w:rsidRDefault="007E369D">
            <w:pPr>
              <w:tabs>
                <w:tab w:val="left" w:pos="7200"/>
              </w:tabs>
              <w:jc w:val="center"/>
            </w:pPr>
            <w:r>
              <w:t>35.00%</w:t>
            </w:r>
          </w:p>
        </w:tc>
      </w:tr>
      <w:tr w:rsidR="0000407C" w14:paraId="003A715F" w14:textId="77777777" w:rsidTr="00461043">
        <w:trPr>
          <w:trHeight w:val="290"/>
          <w:jc w:val="center"/>
        </w:trPr>
        <w:tc>
          <w:tcPr>
            <w:tcW w:w="1960" w:type="dxa"/>
          </w:tcPr>
          <w:p w14:paraId="0EC34714" w14:textId="77777777" w:rsidR="0000407C" w:rsidRDefault="007E369D">
            <w:pPr>
              <w:tabs>
                <w:tab w:val="left" w:pos="7200"/>
              </w:tabs>
              <w:jc w:val="center"/>
            </w:pPr>
            <w:r>
              <w:t>2025-26</w:t>
            </w:r>
          </w:p>
        </w:tc>
        <w:tc>
          <w:tcPr>
            <w:tcW w:w="2100" w:type="dxa"/>
          </w:tcPr>
          <w:p w14:paraId="748A7F16" w14:textId="77777777" w:rsidR="0000407C" w:rsidRDefault="007E369D">
            <w:pPr>
              <w:tabs>
                <w:tab w:val="left" w:pos="7200"/>
              </w:tabs>
              <w:jc w:val="center"/>
            </w:pPr>
            <w:r>
              <w:t>35.50%</w:t>
            </w:r>
          </w:p>
        </w:tc>
      </w:tr>
      <w:tr w:rsidR="0000407C" w14:paraId="5C0B9BD7" w14:textId="77777777" w:rsidTr="00461043">
        <w:trPr>
          <w:trHeight w:val="290"/>
          <w:jc w:val="center"/>
        </w:trPr>
        <w:tc>
          <w:tcPr>
            <w:tcW w:w="1960" w:type="dxa"/>
          </w:tcPr>
          <w:p w14:paraId="5D1BFF16" w14:textId="77777777" w:rsidR="0000407C" w:rsidRDefault="007E369D">
            <w:pPr>
              <w:tabs>
                <w:tab w:val="left" w:pos="7200"/>
              </w:tabs>
              <w:jc w:val="center"/>
            </w:pPr>
            <w:r>
              <w:t>2026-27</w:t>
            </w:r>
          </w:p>
        </w:tc>
        <w:tc>
          <w:tcPr>
            <w:tcW w:w="2100" w:type="dxa"/>
          </w:tcPr>
          <w:p w14:paraId="1615C3F7" w14:textId="77777777" w:rsidR="0000407C" w:rsidRDefault="007E369D">
            <w:pPr>
              <w:tabs>
                <w:tab w:val="left" w:pos="7200"/>
              </w:tabs>
              <w:jc w:val="center"/>
            </w:pPr>
            <w:r>
              <w:t>36.00%</w:t>
            </w:r>
          </w:p>
        </w:tc>
      </w:tr>
      <w:tr w:rsidR="0000407C" w14:paraId="33706F8A" w14:textId="77777777" w:rsidTr="00461043">
        <w:trPr>
          <w:trHeight w:val="290"/>
          <w:jc w:val="center"/>
        </w:trPr>
        <w:tc>
          <w:tcPr>
            <w:tcW w:w="1960" w:type="dxa"/>
          </w:tcPr>
          <w:p w14:paraId="44668163" w14:textId="77777777" w:rsidR="0000407C" w:rsidRDefault="007E369D">
            <w:pPr>
              <w:tabs>
                <w:tab w:val="left" w:pos="7200"/>
              </w:tabs>
              <w:jc w:val="center"/>
            </w:pPr>
            <w:r>
              <w:t>2027-28</w:t>
            </w:r>
          </w:p>
        </w:tc>
        <w:tc>
          <w:tcPr>
            <w:tcW w:w="2100" w:type="dxa"/>
          </w:tcPr>
          <w:p w14:paraId="2B7E9D97" w14:textId="77777777" w:rsidR="0000407C" w:rsidRDefault="007E369D">
            <w:pPr>
              <w:tabs>
                <w:tab w:val="left" w:pos="7200"/>
              </w:tabs>
              <w:jc w:val="center"/>
            </w:pPr>
            <w:r>
              <w:t>36.50%</w:t>
            </w:r>
          </w:p>
        </w:tc>
      </w:tr>
    </w:tbl>
    <w:p w14:paraId="7B73D81F" w14:textId="77777777" w:rsidR="0000407C" w:rsidRDefault="007E369D">
      <w:pPr>
        <w:spacing w:before="240"/>
      </w:pPr>
      <w:r>
        <w:t xml:space="preserve">Not all CTE programs are associated with a traditional gender for the field. Of the active program CIP codes in Oregon Perkins V CTE, 37.1% are associated with a traditional gender; this equates to </w:t>
      </w:r>
      <w:proofErr w:type="gramStart"/>
      <w:r>
        <w:t>roughly 42%</w:t>
      </w:r>
      <w:proofErr w:type="gramEnd"/>
      <w:r>
        <w:t xml:space="preserve"> of secondary CTE programs registered with ODE in the first years of tracking this metric. </w:t>
      </w:r>
    </w:p>
    <w:p w14:paraId="2637190C" w14:textId="77777777" w:rsidR="0000407C" w:rsidRDefault="007E369D">
      <w:pPr>
        <w:spacing w:before="240"/>
      </w:pPr>
      <w:r>
        <w:t>The inconsistent availability of programs eligible for this metric across the state is a primary reason for the conservatism in increases on this target. (</w:t>
      </w:r>
      <w:r>
        <w:rPr>
          <w:color w:val="134163"/>
        </w:rPr>
        <w:t>Table</w:t>
      </w:r>
      <w:r>
        <w:t xml:space="preserve"> 22)</w:t>
      </w:r>
    </w:p>
    <w:p w14:paraId="2AC89789" w14:textId="77777777" w:rsidR="0000407C" w:rsidRDefault="007E369D">
      <w:pPr>
        <w:spacing w:before="240"/>
        <w:rPr>
          <w:b/>
          <w:color w:val="1C6294"/>
          <w:sz w:val="28"/>
          <w:szCs w:val="28"/>
        </w:rPr>
      </w:pPr>
      <w:r>
        <w:t xml:space="preserve">ODE is actively developing statewide frameworks for CTE programs that </w:t>
      </w:r>
      <w:proofErr w:type="gramStart"/>
      <w:r>
        <w:t>are expected</w:t>
      </w:r>
      <w:proofErr w:type="gramEnd"/>
      <w:r>
        <w:t xml:space="preserve"> to support access to all program types in all areas of the state. As those frameworks gradually come online, we can reassess this set of targets.</w:t>
      </w:r>
    </w:p>
    <w:p w14:paraId="6C6A22C2" w14:textId="77777777" w:rsidR="0000407C" w:rsidRDefault="007E369D">
      <w:pPr>
        <w:pStyle w:val="Heading3"/>
        <w:rPr>
          <w:color w:val="1C6294"/>
        </w:rPr>
      </w:pPr>
      <w:r>
        <w:rPr>
          <w:color w:val="1C6294"/>
        </w:rPr>
        <w:t>5S3: Program Quality – Participated in Work-Based Learning</w:t>
      </w:r>
    </w:p>
    <w:p w14:paraId="3EC44AF6" w14:textId="5756CC4E" w:rsidR="0000407C" w:rsidRDefault="007E369D">
      <w:r>
        <w:t xml:space="preserve">CTE </w:t>
      </w:r>
      <w:r w:rsidR="00B244DE">
        <w:t>w</w:t>
      </w:r>
      <w:r>
        <w:t xml:space="preserve">ork-based </w:t>
      </w:r>
      <w:r w:rsidR="00B244DE">
        <w:t>l</w:t>
      </w:r>
      <w:r>
        <w:t xml:space="preserve">earning </w:t>
      </w:r>
      <w:proofErr w:type="gramStart"/>
      <w:r>
        <w:t>is defined</w:t>
      </w:r>
      <w:proofErr w:type="gramEnd"/>
      <w:r>
        <w:t xml:space="preserve"> in Oregon as “structured learning in the workplace or simulated environment that provides opportunities for sustained interactions with industry or community professionals that foster an in-depth, firsthand experience of the expectations and application of knowledge and skills required in a given career field.”</w:t>
      </w:r>
    </w:p>
    <w:p w14:paraId="0B7C9B28" w14:textId="458DB5B7" w:rsidR="0000407C" w:rsidRDefault="007E369D">
      <w:pPr>
        <w:pBdr>
          <w:bottom w:val="single" w:sz="8" w:space="0" w:color="1B75BB"/>
        </w:pBdr>
        <w:shd w:val="clear" w:color="auto" w:fill="D1E6F6"/>
        <w:spacing w:before="240" w:after="0" w:line="276" w:lineRule="auto"/>
        <w:ind w:left="85" w:right="194" w:hanging="10"/>
      </w:pPr>
      <w:r>
        <w:rPr>
          <w:b/>
        </w:rPr>
        <w:t>Numerator:</w:t>
      </w:r>
      <w:r>
        <w:t xml:space="preserve"> # of CTE </w:t>
      </w:r>
      <w:r w:rsidR="00B73E4A">
        <w:t>c</w:t>
      </w:r>
      <w:r>
        <w:t>oncentrators who graduated from high school the school year immediately preceding the report year and had a CTE WBL experience in their program of Concentration.</w:t>
      </w:r>
    </w:p>
    <w:p w14:paraId="46591490" w14:textId="385BEDF6" w:rsidR="0000407C" w:rsidRDefault="007E369D">
      <w:pPr>
        <w:shd w:val="clear" w:color="auto" w:fill="D1E6F6"/>
        <w:spacing w:after="135" w:line="276" w:lineRule="auto"/>
        <w:ind w:left="85" w:right="216" w:hanging="10"/>
        <w:rPr>
          <w:sz w:val="21"/>
          <w:szCs w:val="21"/>
        </w:rPr>
      </w:pPr>
      <w:r>
        <w:rPr>
          <w:b/>
        </w:rPr>
        <w:t>Denominator:</w:t>
      </w:r>
      <w:r>
        <w:t xml:space="preserve"> # of CTE </w:t>
      </w:r>
      <w:r w:rsidR="00B73E4A">
        <w:t>c</w:t>
      </w:r>
      <w:r>
        <w:t>oncentrators who graduated from high school the school year immediately preceding the report year</w:t>
      </w:r>
      <w:r w:rsidR="00AA6E68">
        <w:t>.</w:t>
      </w:r>
    </w:p>
    <w:p w14:paraId="6276B9A4" w14:textId="77777777" w:rsidR="0000407C" w:rsidRDefault="007E369D">
      <w:pPr>
        <w:keepNext/>
        <w:pBdr>
          <w:top w:val="nil"/>
          <w:left w:val="nil"/>
          <w:bottom w:val="nil"/>
          <w:right w:val="nil"/>
          <w:between w:val="nil"/>
        </w:pBdr>
        <w:spacing w:after="200" w:line="240" w:lineRule="auto"/>
        <w:rPr>
          <w:b/>
          <w:i/>
          <w:color w:val="134163"/>
          <w:sz w:val="20"/>
          <w:szCs w:val="20"/>
        </w:rPr>
      </w:pPr>
      <w:bookmarkStart w:id="25" w:name="_heading=h.19c6y18" w:colFirst="0" w:colLast="0"/>
      <w:bookmarkEnd w:id="25"/>
      <w:r>
        <w:rPr>
          <w:b/>
          <w:i/>
          <w:color w:val="134163"/>
          <w:sz w:val="20"/>
          <w:szCs w:val="20"/>
        </w:rPr>
        <w:t>Table 23 Indicator 5S3 Performance Analysis</w:t>
      </w:r>
    </w:p>
    <w:tbl>
      <w:tblPr>
        <w:tblStyle w:val="2"/>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155"/>
        <w:gridCol w:w="1710"/>
        <w:gridCol w:w="1710"/>
        <w:gridCol w:w="1710"/>
        <w:gridCol w:w="990"/>
        <w:gridCol w:w="1350"/>
      </w:tblGrid>
      <w:tr w:rsidR="0000407C" w14:paraId="39E73749" w14:textId="77777777" w:rsidTr="00461043">
        <w:trPr>
          <w:trHeight w:val="580"/>
          <w:tblHeader/>
        </w:trPr>
        <w:tc>
          <w:tcPr>
            <w:tcW w:w="2155" w:type="dxa"/>
            <w:shd w:val="clear" w:color="auto" w:fill="1C6294"/>
          </w:tcPr>
          <w:p w14:paraId="7FBCC6E7" w14:textId="77777777" w:rsidR="0000407C" w:rsidRDefault="007E369D">
            <w:pPr>
              <w:rPr>
                <w:b/>
                <w:color w:val="FFFFFF"/>
              </w:rPr>
            </w:pPr>
            <w:r>
              <w:rPr>
                <w:b/>
                <w:color w:val="FFFFFF"/>
              </w:rPr>
              <w:t>Indicator Value Type, 5S3</w:t>
            </w:r>
          </w:p>
        </w:tc>
        <w:tc>
          <w:tcPr>
            <w:tcW w:w="1710" w:type="dxa"/>
            <w:shd w:val="clear" w:color="auto" w:fill="1C6294"/>
          </w:tcPr>
          <w:p w14:paraId="08279591" w14:textId="77777777" w:rsidR="0000407C" w:rsidRDefault="007E369D">
            <w:pPr>
              <w:rPr>
                <w:b/>
                <w:color w:val="FFFFFF"/>
              </w:rPr>
            </w:pPr>
            <w:r>
              <w:rPr>
                <w:b/>
                <w:color w:val="FFFFFF"/>
              </w:rPr>
              <w:t>Report year 2020-21</w:t>
            </w:r>
          </w:p>
        </w:tc>
        <w:tc>
          <w:tcPr>
            <w:tcW w:w="1710" w:type="dxa"/>
            <w:shd w:val="clear" w:color="auto" w:fill="1C6294"/>
          </w:tcPr>
          <w:p w14:paraId="71A182B6" w14:textId="77777777" w:rsidR="0000407C" w:rsidRDefault="007E369D">
            <w:pPr>
              <w:rPr>
                <w:b/>
                <w:color w:val="FFFFFF"/>
              </w:rPr>
            </w:pPr>
            <w:r>
              <w:rPr>
                <w:b/>
                <w:color w:val="FFFFFF"/>
              </w:rPr>
              <w:t>Report year 2021-22</w:t>
            </w:r>
          </w:p>
        </w:tc>
        <w:tc>
          <w:tcPr>
            <w:tcW w:w="1710" w:type="dxa"/>
            <w:shd w:val="clear" w:color="auto" w:fill="1C6294"/>
          </w:tcPr>
          <w:p w14:paraId="5C20724E" w14:textId="77777777" w:rsidR="0000407C" w:rsidRDefault="007E369D">
            <w:pPr>
              <w:rPr>
                <w:b/>
                <w:color w:val="FFFFFF"/>
              </w:rPr>
            </w:pPr>
            <w:r>
              <w:rPr>
                <w:b/>
                <w:color w:val="FFFFFF"/>
              </w:rPr>
              <w:t>Report year 2021-23</w:t>
            </w:r>
          </w:p>
        </w:tc>
        <w:tc>
          <w:tcPr>
            <w:tcW w:w="990" w:type="dxa"/>
            <w:shd w:val="clear" w:color="auto" w:fill="1C6294"/>
          </w:tcPr>
          <w:p w14:paraId="63CE13A5" w14:textId="77777777" w:rsidR="0000407C" w:rsidRDefault="007E369D">
            <w:pPr>
              <w:rPr>
                <w:b/>
                <w:color w:val="FFFFFF"/>
              </w:rPr>
            </w:pPr>
            <w:r>
              <w:rPr>
                <w:b/>
                <w:color w:val="FFFFFF"/>
              </w:rPr>
              <w:t>Base Level</w:t>
            </w:r>
          </w:p>
        </w:tc>
        <w:tc>
          <w:tcPr>
            <w:tcW w:w="1350" w:type="dxa"/>
            <w:shd w:val="clear" w:color="auto" w:fill="1C6294"/>
          </w:tcPr>
          <w:p w14:paraId="73D47DB3" w14:textId="77777777" w:rsidR="0000407C" w:rsidRDefault="007E369D">
            <w:pPr>
              <w:rPr>
                <w:b/>
                <w:color w:val="FFFFFF"/>
              </w:rPr>
            </w:pPr>
            <w:r>
              <w:rPr>
                <w:b/>
                <w:color w:val="FFFFFF"/>
              </w:rPr>
              <w:t>Report year 2021-24</w:t>
            </w:r>
          </w:p>
        </w:tc>
      </w:tr>
      <w:tr w:rsidR="0000407C" w14:paraId="27087E7A" w14:textId="77777777" w:rsidTr="00461043">
        <w:trPr>
          <w:trHeight w:val="290"/>
        </w:trPr>
        <w:tc>
          <w:tcPr>
            <w:tcW w:w="2155" w:type="dxa"/>
          </w:tcPr>
          <w:p w14:paraId="7640BDB6" w14:textId="77777777" w:rsidR="0000407C" w:rsidRDefault="007E369D">
            <w:r>
              <w:t>Numerator Count</w:t>
            </w:r>
          </w:p>
        </w:tc>
        <w:tc>
          <w:tcPr>
            <w:tcW w:w="1710" w:type="dxa"/>
          </w:tcPr>
          <w:p w14:paraId="2CBAF949" w14:textId="4C463F87" w:rsidR="0000407C" w:rsidRDefault="007E369D">
            <w:r>
              <w:t>3</w:t>
            </w:r>
            <w:r w:rsidR="00AA6E68">
              <w:t>,</w:t>
            </w:r>
            <w:r>
              <w:t>273</w:t>
            </w:r>
          </w:p>
        </w:tc>
        <w:tc>
          <w:tcPr>
            <w:tcW w:w="1710" w:type="dxa"/>
          </w:tcPr>
          <w:p w14:paraId="1BFA3D43" w14:textId="3DFFFAE1" w:rsidR="0000407C" w:rsidRDefault="007E369D">
            <w:r>
              <w:t>2</w:t>
            </w:r>
            <w:r w:rsidR="00AA6E68">
              <w:t>,</w:t>
            </w:r>
            <w:r>
              <w:t>392</w:t>
            </w:r>
          </w:p>
        </w:tc>
        <w:tc>
          <w:tcPr>
            <w:tcW w:w="1710" w:type="dxa"/>
            <w:shd w:val="clear" w:color="auto" w:fill="auto"/>
          </w:tcPr>
          <w:p w14:paraId="6A0D01B6" w14:textId="2048659A" w:rsidR="0000407C" w:rsidRDefault="007E369D">
            <w:r>
              <w:t>6</w:t>
            </w:r>
            <w:r w:rsidR="00AA6E68">
              <w:t>,</w:t>
            </w:r>
            <w:r>
              <w:t>378</w:t>
            </w:r>
          </w:p>
        </w:tc>
        <w:tc>
          <w:tcPr>
            <w:tcW w:w="990" w:type="dxa"/>
            <w:shd w:val="clear" w:color="auto" w:fill="auto"/>
          </w:tcPr>
          <w:p w14:paraId="1007A32C" w14:textId="146E92F3" w:rsidR="0000407C" w:rsidRDefault="007E369D">
            <w:pPr>
              <w:rPr>
                <w:b/>
              </w:rPr>
            </w:pPr>
            <w:r>
              <w:rPr>
                <w:b/>
              </w:rPr>
              <w:t>4</w:t>
            </w:r>
            <w:r w:rsidR="00AA6E68">
              <w:rPr>
                <w:b/>
              </w:rPr>
              <w:t>,</w:t>
            </w:r>
            <w:r>
              <w:rPr>
                <w:b/>
              </w:rPr>
              <w:t>385</w:t>
            </w:r>
          </w:p>
        </w:tc>
        <w:tc>
          <w:tcPr>
            <w:tcW w:w="1350" w:type="dxa"/>
            <w:shd w:val="clear" w:color="auto" w:fill="D1E6F6"/>
          </w:tcPr>
          <w:p w14:paraId="100B92B9" w14:textId="77777777" w:rsidR="0000407C" w:rsidRDefault="0000407C"/>
        </w:tc>
      </w:tr>
      <w:tr w:rsidR="0000407C" w14:paraId="07202AC5" w14:textId="77777777" w:rsidTr="00461043">
        <w:trPr>
          <w:trHeight w:val="290"/>
        </w:trPr>
        <w:tc>
          <w:tcPr>
            <w:tcW w:w="2155" w:type="dxa"/>
          </w:tcPr>
          <w:p w14:paraId="0BE8DBCD" w14:textId="77777777" w:rsidR="0000407C" w:rsidRDefault="007E369D">
            <w:r>
              <w:t>Denominator Count</w:t>
            </w:r>
          </w:p>
        </w:tc>
        <w:tc>
          <w:tcPr>
            <w:tcW w:w="1710" w:type="dxa"/>
          </w:tcPr>
          <w:p w14:paraId="7F44F3E7" w14:textId="71082B1F" w:rsidR="0000407C" w:rsidRDefault="007E369D">
            <w:r>
              <w:t>9</w:t>
            </w:r>
            <w:r w:rsidR="00AA6E68">
              <w:t>,</w:t>
            </w:r>
            <w:r>
              <w:t>815</w:t>
            </w:r>
          </w:p>
        </w:tc>
        <w:tc>
          <w:tcPr>
            <w:tcW w:w="1710" w:type="dxa"/>
          </w:tcPr>
          <w:p w14:paraId="134DDA1C" w14:textId="616B42F7" w:rsidR="0000407C" w:rsidRDefault="007E369D">
            <w:r>
              <w:t>4</w:t>
            </w:r>
            <w:r w:rsidR="00AA6E68">
              <w:t>,</w:t>
            </w:r>
            <w:r>
              <w:t>746</w:t>
            </w:r>
          </w:p>
        </w:tc>
        <w:tc>
          <w:tcPr>
            <w:tcW w:w="1710" w:type="dxa"/>
            <w:shd w:val="clear" w:color="auto" w:fill="auto"/>
          </w:tcPr>
          <w:p w14:paraId="2CB51AF2" w14:textId="6AF4DD90" w:rsidR="0000407C" w:rsidRDefault="007E369D">
            <w:r>
              <w:t>10</w:t>
            </w:r>
            <w:r w:rsidR="00AA6E68">
              <w:t>,</w:t>
            </w:r>
            <w:r>
              <w:t>924</w:t>
            </w:r>
          </w:p>
        </w:tc>
        <w:tc>
          <w:tcPr>
            <w:tcW w:w="990" w:type="dxa"/>
            <w:shd w:val="clear" w:color="auto" w:fill="auto"/>
          </w:tcPr>
          <w:p w14:paraId="3AD78749" w14:textId="4EE4C35D" w:rsidR="0000407C" w:rsidRDefault="007E369D">
            <w:pPr>
              <w:rPr>
                <w:b/>
              </w:rPr>
            </w:pPr>
            <w:r>
              <w:rPr>
                <w:b/>
              </w:rPr>
              <w:t>7</w:t>
            </w:r>
            <w:r w:rsidR="00AA6E68">
              <w:rPr>
                <w:b/>
              </w:rPr>
              <w:t>,</w:t>
            </w:r>
            <w:r>
              <w:rPr>
                <w:b/>
              </w:rPr>
              <w:t>835</w:t>
            </w:r>
          </w:p>
        </w:tc>
        <w:tc>
          <w:tcPr>
            <w:tcW w:w="1350" w:type="dxa"/>
            <w:shd w:val="clear" w:color="auto" w:fill="D1E6F6"/>
          </w:tcPr>
          <w:p w14:paraId="796DDF65" w14:textId="77777777" w:rsidR="0000407C" w:rsidRDefault="0000407C"/>
        </w:tc>
      </w:tr>
      <w:tr w:rsidR="0000407C" w14:paraId="17018AEF" w14:textId="77777777" w:rsidTr="00461043">
        <w:trPr>
          <w:trHeight w:val="290"/>
        </w:trPr>
        <w:tc>
          <w:tcPr>
            <w:tcW w:w="2155" w:type="dxa"/>
          </w:tcPr>
          <w:p w14:paraId="78156B74" w14:textId="77777777" w:rsidR="0000407C" w:rsidRDefault="007E369D">
            <w:r>
              <w:t>Actual Performance</w:t>
            </w:r>
          </w:p>
        </w:tc>
        <w:tc>
          <w:tcPr>
            <w:tcW w:w="1710" w:type="dxa"/>
          </w:tcPr>
          <w:p w14:paraId="68C84191" w14:textId="77777777" w:rsidR="0000407C" w:rsidRDefault="007E369D">
            <w:pPr>
              <w:rPr>
                <w:b/>
              </w:rPr>
            </w:pPr>
            <w:r>
              <w:rPr>
                <w:b/>
              </w:rPr>
              <w:t>33.35%</w:t>
            </w:r>
          </w:p>
        </w:tc>
        <w:tc>
          <w:tcPr>
            <w:tcW w:w="1710" w:type="dxa"/>
          </w:tcPr>
          <w:p w14:paraId="65883E67" w14:textId="77777777" w:rsidR="0000407C" w:rsidRDefault="007E369D">
            <w:pPr>
              <w:rPr>
                <w:b/>
              </w:rPr>
            </w:pPr>
            <w:r>
              <w:rPr>
                <w:b/>
              </w:rPr>
              <w:t>50.40%</w:t>
            </w:r>
          </w:p>
        </w:tc>
        <w:tc>
          <w:tcPr>
            <w:tcW w:w="1710" w:type="dxa"/>
            <w:shd w:val="clear" w:color="auto" w:fill="auto"/>
          </w:tcPr>
          <w:p w14:paraId="36CED062" w14:textId="77777777" w:rsidR="0000407C" w:rsidRDefault="007E369D">
            <w:pPr>
              <w:rPr>
                <w:b/>
              </w:rPr>
            </w:pPr>
            <w:r>
              <w:rPr>
                <w:b/>
              </w:rPr>
              <w:t>58.39%</w:t>
            </w:r>
          </w:p>
        </w:tc>
        <w:tc>
          <w:tcPr>
            <w:tcW w:w="990" w:type="dxa"/>
            <w:shd w:val="clear" w:color="auto" w:fill="auto"/>
          </w:tcPr>
          <w:p w14:paraId="371D06B6" w14:textId="77777777" w:rsidR="0000407C" w:rsidRDefault="007E369D">
            <w:pPr>
              <w:rPr>
                <w:b/>
              </w:rPr>
            </w:pPr>
            <w:r>
              <w:rPr>
                <w:b/>
              </w:rPr>
              <w:t>54.40%</w:t>
            </w:r>
          </w:p>
        </w:tc>
        <w:tc>
          <w:tcPr>
            <w:tcW w:w="1350" w:type="dxa"/>
            <w:shd w:val="clear" w:color="auto" w:fill="D1E6F6"/>
          </w:tcPr>
          <w:p w14:paraId="6F97360D" w14:textId="77777777" w:rsidR="0000407C" w:rsidRDefault="0000407C"/>
        </w:tc>
      </w:tr>
      <w:tr w:rsidR="0000407C" w14:paraId="2A78EA28" w14:textId="77777777" w:rsidTr="00461043">
        <w:trPr>
          <w:trHeight w:val="290"/>
        </w:trPr>
        <w:tc>
          <w:tcPr>
            <w:tcW w:w="2155" w:type="dxa"/>
          </w:tcPr>
          <w:p w14:paraId="313BB031" w14:textId="77777777" w:rsidR="0000407C" w:rsidRDefault="007E369D">
            <w:r>
              <w:t>Performance Target</w:t>
            </w:r>
          </w:p>
        </w:tc>
        <w:tc>
          <w:tcPr>
            <w:tcW w:w="1710" w:type="dxa"/>
          </w:tcPr>
          <w:p w14:paraId="59E31892" w14:textId="77777777" w:rsidR="0000407C" w:rsidRDefault="007E369D">
            <w:r>
              <w:t>5.00%</w:t>
            </w:r>
          </w:p>
        </w:tc>
        <w:tc>
          <w:tcPr>
            <w:tcW w:w="1710" w:type="dxa"/>
          </w:tcPr>
          <w:p w14:paraId="783291E5" w14:textId="77777777" w:rsidR="0000407C" w:rsidRDefault="007E369D">
            <w:r>
              <w:t>12.00%</w:t>
            </w:r>
          </w:p>
        </w:tc>
        <w:tc>
          <w:tcPr>
            <w:tcW w:w="1710" w:type="dxa"/>
            <w:shd w:val="clear" w:color="auto" w:fill="auto"/>
          </w:tcPr>
          <w:p w14:paraId="4713FDDE" w14:textId="77777777" w:rsidR="0000407C" w:rsidRDefault="007E369D">
            <w:r>
              <w:t>20.00%</w:t>
            </w:r>
          </w:p>
        </w:tc>
        <w:tc>
          <w:tcPr>
            <w:tcW w:w="990" w:type="dxa"/>
            <w:shd w:val="clear" w:color="auto" w:fill="D1E6F6"/>
          </w:tcPr>
          <w:p w14:paraId="64FF1B44" w14:textId="77777777" w:rsidR="0000407C" w:rsidRDefault="0000407C"/>
        </w:tc>
        <w:tc>
          <w:tcPr>
            <w:tcW w:w="1350" w:type="dxa"/>
          </w:tcPr>
          <w:p w14:paraId="29C5F5F1" w14:textId="77777777" w:rsidR="0000407C" w:rsidRDefault="007E369D">
            <w:r>
              <w:t>25.00%</w:t>
            </w:r>
          </w:p>
        </w:tc>
      </w:tr>
      <w:tr w:rsidR="0000407C" w14:paraId="34CE39DE" w14:textId="77777777" w:rsidTr="00461043">
        <w:trPr>
          <w:trHeight w:val="290"/>
        </w:trPr>
        <w:tc>
          <w:tcPr>
            <w:tcW w:w="2155" w:type="dxa"/>
          </w:tcPr>
          <w:p w14:paraId="7BBBBE92" w14:textId="77777777" w:rsidR="0000407C" w:rsidRDefault="007E369D">
            <w:r>
              <w:t>Performance Type</w:t>
            </w:r>
          </w:p>
        </w:tc>
        <w:tc>
          <w:tcPr>
            <w:tcW w:w="1710" w:type="dxa"/>
          </w:tcPr>
          <w:p w14:paraId="6C8AD029" w14:textId="77777777" w:rsidR="0000407C" w:rsidRDefault="007E369D">
            <w:r>
              <w:t>Met or Exceeded Target</w:t>
            </w:r>
          </w:p>
        </w:tc>
        <w:tc>
          <w:tcPr>
            <w:tcW w:w="1710" w:type="dxa"/>
          </w:tcPr>
          <w:p w14:paraId="2460AF1B" w14:textId="77777777" w:rsidR="0000407C" w:rsidRDefault="007E369D">
            <w:r>
              <w:t>Met or Exceeded Target</w:t>
            </w:r>
          </w:p>
        </w:tc>
        <w:tc>
          <w:tcPr>
            <w:tcW w:w="1710" w:type="dxa"/>
            <w:shd w:val="clear" w:color="auto" w:fill="auto"/>
          </w:tcPr>
          <w:p w14:paraId="2C2A5C2D" w14:textId="77777777" w:rsidR="0000407C" w:rsidRDefault="007E369D">
            <w:r>
              <w:t>Met or Exceeded Target</w:t>
            </w:r>
          </w:p>
        </w:tc>
        <w:tc>
          <w:tcPr>
            <w:tcW w:w="990" w:type="dxa"/>
            <w:shd w:val="clear" w:color="auto" w:fill="D1E6F6"/>
          </w:tcPr>
          <w:p w14:paraId="701EFB1E" w14:textId="77777777" w:rsidR="0000407C" w:rsidRDefault="0000407C"/>
        </w:tc>
        <w:tc>
          <w:tcPr>
            <w:tcW w:w="1350" w:type="dxa"/>
            <w:shd w:val="clear" w:color="auto" w:fill="D1E6F6"/>
          </w:tcPr>
          <w:p w14:paraId="6F94A6C1" w14:textId="77777777" w:rsidR="0000407C" w:rsidRDefault="0000407C"/>
        </w:tc>
      </w:tr>
    </w:tbl>
    <w:p w14:paraId="668EC7F2" w14:textId="77777777" w:rsidR="0000407C" w:rsidRDefault="007E369D">
      <w:pPr>
        <w:spacing w:before="240"/>
      </w:pPr>
      <w:r>
        <w:t xml:space="preserve">Oregon’s statewide performance in the </w:t>
      </w:r>
      <w:r>
        <w:rPr>
          <w:i/>
        </w:rPr>
        <w:t xml:space="preserve">Program Quality – Participated in Work-Based Learning </w:t>
      </w:r>
      <w:r>
        <w:t>(5S3) indicator was 33.35% in 2020-21, 50.40% in 2021-22, and 58.39% in 2022-23. The average performance of the two most recent years is 54.40%. (</w:t>
      </w:r>
      <w:r>
        <w:rPr>
          <w:color w:val="134163"/>
        </w:rPr>
        <w:t>Table</w:t>
      </w:r>
      <w:r>
        <w:t xml:space="preserve"> 23)</w:t>
      </w:r>
    </w:p>
    <w:p w14:paraId="0E998800" w14:textId="77777777" w:rsidR="0000407C" w:rsidRDefault="007E369D">
      <w:pPr>
        <w:keepNext/>
        <w:pBdr>
          <w:top w:val="nil"/>
          <w:left w:val="nil"/>
          <w:bottom w:val="nil"/>
          <w:right w:val="nil"/>
          <w:between w:val="nil"/>
        </w:pBdr>
        <w:spacing w:after="200" w:line="240" w:lineRule="auto"/>
        <w:rPr>
          <w:b/>
          <w:i/>
          <w:color w:val="134163"/>
          <w:sz w:val="20"/>
          <w:szCs w:val="20"/>
        </w:rPr>
      </w:pPr>
      <w:bookmarkStart w:id="26" w:name="_heading=h.3tbugp1" w:colFirst="0" w:colLast="0"/>
      <w:bookmarkEnd w:id="26"/>
      <w:r>
        <w:rPr>
          <w:b/>
          <w:i/>
          <w:color w:val="134163"/>
          <w:sz w:val="20"/>
          <w:szCs w:val="20"/>
        </w:rPr>
        <w:t>Table 24 Indicator 5S3 Proposed Targets</w:t>
      </w:r>
    </w:p>
    <w:tbl>
      <w:tblPr>
        <w:tblStyle w:val="1"/>
        <w:tblW w:w="4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960"/>
        <w:gridCol w:w="2100"/>
      </w:tblGrid>
      <w:tr w:rsidR="0000407C" w14:paraId="3B64B3ED" w14:textId="77777777" w:rsidTr="00461043">
        <w:trPr>
          <w:trHeight w:val="290"/>
          <w:tblHeader/>
          <w:jc w:val="center"/>
        </w:trPr>
        <w:tc>
          <w:tcPr>
            <w:tcW w:w="1960" w:type="dxa"/>
            <w:shd w:val="clear" w:color="auto" w:fill="1C6294"/>
          </w:tcPr>
          <w:p w14:paraId="33032FDB" w14:textId="77777777" w:rsidR="0000407C" w:rsidRDefault="007E369D">
            <w:pPr>
              <w:jc w:val="center"/>
              <w:rPr>
                <w:b/>
                <w:color w:val="FFFFFF"/>
              </w:rPr>
            </w:pPr>
            <w:r>
              <w:rPr>
                <w:b/>
                <w:color w:val="FFFFFF"/>
              </w:rPr>
              <w:t>Report Year</w:t>
            </w:r>
          </w:p>
        </w:tc>
        <w:tc>
          <w:tcPr>
            <w:tcW w:w="2100" w:type="dxa"/>
            <w:shd w:val="clear" w:color="auto" w:fill="1C6294"/>
          </w:tcPr>
          <w:p w14:paraId="1C4FC5D1" w14:textId="77777777" w:rsidR="0000407C" w:rsidRDefault="007E369D">
            <w:pPr>
              <w:jc w:val="center"/>
              <w:rPr>
                <w:b/>
                <w:color w:val="FFFFFF"/>
              </w:rPr>
            </w:pPr>
            <w:r>
              <w:rPr>
                <w:b/>
                <w:color w:val="FFFFFF"/>
              </w:rPr>
              <w:t>Proposed Target</w:t>
            </w:r>
          </w:p>
        </w:tc>
      </w:tr>
      <w:tr w:rsidR="0000407C" w14:paraId="72FD1380" w14:textId="77777777" w:rsidTr="00461043">
        <w:trPr>
          <w:trHeight w:val="290"/>
          <w:jc w:val="center"/>
        </w:trPr>
        <w:tc>
          <w:tcPr>
            <w:tcW w:w="1960" w:type="dxa"/>
          </w:tcPr>
          <w:p w14:paraId="21574C23" w14:textId="77777777" w:rsidR="0000407C" w:rsidRDefault="007E369D">
            <w:pPr>
              <w:tabs>
                <w:tab w:val="left" w:pos="7200"/>
              </w:tabs>
              <w:jc w:val="center"/>
            </w:pPr>
            <w:r>
              <w:t>2024-25</w:t>
            </w:r>
          </w:p>
        </w:tc>
        <w:tc>
          <w:tcPr>
            <w:tcW w:w="2100" w:type="dxa"/>
          </w:tcPr>
          <w:p w14:paraId="2D10A7AB" w14:textId="77777777" w:rsidR="0000407C" w:rsidRDefault="007E369D">
            <w:pPr>
              <w:tabs>
                <w:tab w:val="left" w:pos="7200"/>
              </w:tabs>
              <w:jc w:val="center"/>
            </w:pPr>
            <w:r>
              <w:t>55.80%</w:t>
            </w:r>
          </w:p>
        </w:tc>
      </w:tr>
      <w:tr w:rsidR="0000407C" w14:paraId="584F051B" w14:textId="77777777" w:rsidTr="00461043">
        <w:trPr>
          <w:trHeight w:val="290"/>
          <w:jc w:val="center"/>
        </w:trPr>
        <w:tc>
          <w:tcPr>
            <w:tcW w:w="1960" w:type="dxa"/>
          </w:tcPr>
          <w:p w14:paraId="71E2012B" w14:textId="77777777" w:rsidR="0000407C" w:rsidRDefault="007E369D">
            <w:pPr>
              <w:tabs>
                <w:tab w:val="left" w:pos="7200"/>
              </w:tabs>
              <w:jc w:val="center"/>
            </w:pPr>
            <w:r>
              <w:t>2025-26</w:t>
            </w:r>
          </w:p>
        </w:tc>
        <w:tc>
          <w:tcPr>
            <w:tcW w:w="2100" w:type="dxa"/>
          </w:tcPr>
          <w:p w14:paraId="0653CF94" w14:textId="77777777" w:rsidR="0000407C" w:rsidRDefault="007E369D">
            <w:pPr>
              <w:tabs>
                <w:tab w:val="left" w:pos="7200"/>
              </w:tabs>
              <w:jc w:val="center"/>
            </w:pPr>
            <w:r>
              <w:t>56.40%</w:t>
            </w:r>
          </w:p>
        </w:tc>
      </w:tr>
      <w:tr w:rsidR="0000407C" w14:paraId="546BC7DA" w14:textId="77777777" w:rsidTr="00461043">
        <w:trPr>
          <w:trHeight w:val="290"/>
          <w:jc w:val="center"/>
        </w:trPr>
        <w:tc>
          <w:tcPr>
            <w:tcW w:w="1960" w:type="dxa"/>
          </w:tcPr>
          <w:p w14:paraId="6A83BA51" w14:textId="77777777" w:rsidR="0000407C" w:rsidRDefault="007E369D">
            <w:pPr>
              <w:tabs>
                <w:tab w:val="left" w:pos="7200"/>
              </w:tabs>
              <w:jc w:val="center"/>
            </w:pPr>
            <w:r>
              <w:t>2026-27</w:t>
            </w:r>
          </w:p>
        </w:tc>
        <w:tc>
          <w:tcPr>
            <w:tcW w:w="2100" w:type="dxa"/>
          </w:tcPr>
          <w:p w14:paraId="5A8FA9A3" w14:textId="77777777" w:rsidR="0000407C" w:rsidRDefault="007E369D">
            <w:pPr>
              <w:tabs>
                <w:tab w:val="left" w:pos="7200"/>
              </w:tabs>
              <w:jc w:val="center"/>
            </w:pPr>
            <w:r>
              <w:t>57.00%</w:t>
            </w:r>
          </w:p>
        </w:tc>
      </w:tr>
      <w:tr w:rsidR="0000407C" w14:paraId="59D4C319" w14:textId="77777777" w:rsidTr="00461043">
        <w:trPr>
          <w:trHeight w:val="290"/>
          <w:jc w:val="center"/>
        </w:trPr>
        <w:tc>
          <w:tcPr>
            <w:tcW w:w="1960" w:type="dxa"/>
          </w:tcPr>
          <w:p w14:paraId="45DED6C7" w14:textId="77777777" w:rsidR="0000407C" w:rsidRDefault="007E369D">
            <w:pPr>
              <w:tabs>
                <w:tab w:val="left" w:pos="7200"/>
              </w:tabs>
              <w:jc w:val="center"/>
            </w:pPr>
            <w:r>
              <w:t>2027-28</w:t>
            </w:r>
          </w:p>
        </w:tc>
        <w:tc>
          <w:tcPr>
            <w:tcW w:w="2100" w:type="dxa"/>
          </w:tcPr>
          <w:p w14:paraId="10E26F4E" w14:textId="77777777" w:rsidR="0000407C" w:rsidRDefault="007E369D">
            <w:pPr>
              <w:tabs>
                <w:tab w:val="left" w:pos="7200"/>
              </w:tabs>
              <w:jc w:val="center"/>
            </w:pPr>
            <w:r>
              <w:t>57.60%</w:t>
            </w:r>
          </w:p>
        </w:tc>
      </w:tr>
    </w:tbl>
    <w:p w14:paraId="524D8606" w14:textId="77777777" w:rsidR="0000407C" w:rsidRDefault="0000407C">
      <w:pPr>
        <w:tabs>
          <w:tab w:val="left" w:pos="7200"/>
        </w:tabs>
        <w:jc w:val="center"/>
        <w:sectPr w:rsidR="0000407C">
          <w:headerReference w:type="even" r:id="rId8"/>
          <w:footerReference w:type="even" r:id="rId9"/>
          <w:footerReference w:type="default" r:id="rId10"/>
          <w:headerReference w:type="first" r:id="rId11"/>
          <w:footerReference w:type="first" r:id="rId12"/>
          <w:pgSz w:w="12240" w:h="15840"/>
          <w:pgMar w:top="1080" w:right="1100" w:bottom="1080" w:left="1080" w:header="720" w:footer="720" w:gutter="0"/>
          <w:pgNumType w:start="1"/>
          <w:cols w:space="720"/>
        </w:sectPr>
      </w:pPr>
    </w:p>
    <w:p w14:paraId="031B7C42" w14:textId="3AE90E32" w:rsidR="0000407C" w:rsidRDefault="007E369D">
      <w:pPr>
        <w:tabs>
          <w:tab w:val="left" w:pos="7200"/>
        </w:tabs>
        <w:spacing w:before="240"/>
      </w:pPr>
      <w:r>
        <w:t xml:space="preserve">ODE has improved data tracking for this metric. This was a new performance indicator under Perkins V, and the initial years reporting on this metric revealed confusion in the field regarding both CTE classification of WBL and CTE WBL data submission specification that led to significant over-reporting of CTE WBL experiences. ODE has been refining programming guidance and data management around CTE WBL and is continually improving data literacy supports around this metric and for those reasons, anticipates an ostensible decrease in CTE WBL reporting in the coming years. ODE has specified </w:t>
      </w:r>
      <w:r w:rsidR="00AA6E68">
        <w:t>c</w:t>
      </w:r>
      <w:r>
        <w:t>linical/practicum/internships, school-based enterprises, workplace simulation/technology-based learning, service-learning, and cooperative work experiences for CTE WBL reporting and has recently added capacity to match CTE WBL to the appropriate C</w:t>
      </w:r>
      <w:r w:rsidR="005877F8">
        <w:t>T</w:t>
      </w:r>
      <w:r>
        <w:t xml:space="preserve">E program for a given student. Despite this anticipated adjustment to data reporting, CTE WBL </w:t>
      </w:r>
      <w:proofErr w:type="gramStart"/>
      <w:r>
        <w:t>is anticipated</w:t>
      </w:r>
      <w:proofErr w:type="gramEnd"/>
      <w:r>
        <w:t xml:space="preserve"> to be a significant and growing component of CTE programming across Oregon, as reflected in the proposed target set (</w:t>
      </w:r>
      <w:r>
        <w:rPr>
          <w:color w:val="134163"/>
        </w:rPr>
        <w:t>Table</w:t>
      </w:r>
      <w:r>
        <w:t xml:space="preserve"> 24).</w:t>
      </w:r>
    </w:p>
    <w:p w14:paraId="507AAEEA" w14:textId="77777777" w:rsidR="0000407C" w:rsidRDefault="0000407C">
      <w:pPr>
        <w:tabs>
          <w:tab w:val="left" w:pos="7200"/>
        </w:tabs>
        <w:spacing w:before="240"/>
      </w:pPr>
    </w:p>
    <w:sectPr w:rsidR="0000407C">
      <w:type w:val="continuous"/>
      <w:pgSz w:w="12240" w:h="15840"/>
      <w:pgMar w:top="1080" w:right="1168"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0F76F" w14:textId="77777777" w:rsidR="007E369D" w:rsidRDefault="007E369D">
      <w:pPr>
        <w:spacing w:after="0" w:line="240" w:lineRule="auto"/>
      </w:pPr>
      <w:r>
        <w:separator/>
      </w:r>
    </w:p>
  </w:endnote>
  <w:endnote w:type="continuationSeparator" w:id="0">
    <w:p w14:paraId="2E329873" w14:textId="77777777" w:rsidR="007E369D" w:rsidRDefault="007E3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D356" w14:textId="77777777" w:rsidR="0000407C" w:rsidRDefault="0000407C">
    <w:pPr>
      <w:pBdr>
        <w:top w:val="nil"/>
        <w:left w:val="nil"/>
        <w:bottom w:val="nil"/>
        <w:right w:val="nil"/>
        <w:between w:val="nil"/>
      </w:pBdr>
      <w:tabs>
        <w:tab w:val="center" w:pos="4680"/>
        <w:tab w:val="right" w:pos="9360"/>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7600D" w14:textId="77777777" w:rsidR="0000407C" w:rsidRDefault="007E369D">
    <w:pPr>
      <w:pBdr>
        <w:top w:val="nil"/>
        <w:left w:val="nil"/>
        <w:bottom w:val="nil"/>
        <w:right w:val="nil"/>
        <w:between w:val="nil"/>
      </w:pBdr>
      <w:tabs>
        <w:tab w:val="center" w:pos="4680"/>
        <w:tab w:val="right" w:pos="9360"/>
      </w:tabs>
      <w:spacing w:after="0" w:line="240" w:lineRule="auto"/>
    </w:pPr>
    <w:r>
      <w:t>Oregon Department of Education | Higher Education Coordinating Commission</w:t>
    </w:r>
  </w:p>
  <w:p w14:paraId="0A9C9EDA" w14:textId="77777777" w:rsidR="0000407C" w:rsidRDefault="007E369D">
    <w:pPr>
      <w:pBdr>
        <w:top w:val="nil"/>
        <w:left w:val="nil"/>
        <w:bottom w:val="nil"/>
        <w:right w:val="nil"/>
        <w:between w:val="nil"/>
      </w:pBdr>
      <w:tabs>
        <w:tab w:val="center" w:pos="4680"/>
        <w:tab w:val="right" w:pos="9360"/>
      </w:tabs>
      <w:spacing w:after="0" w:line="240" w:lineRule="auto"/>
      <w:jc w:val="right"/>
    </w:pPr>
    <w:r>
      <w:fldChar w:fldCharType="begin"/>
    </w:r>
    <w:r>
      <w:instrText>PAGE</w:instrText>
    </w:r>
    <w:r>
      <w:fldChar w:fldCharType="separate"/>
    </w:r>
    <w:r w:rsidR="00D605F6">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2BBB" w14:textId="77777777" w:rsidR="0000407C" w:rsidRDefault="0000407C">
    <w:pPr>
      <w:pBdr>
        <w:top w:val="nil"/>
        <w:left w:val="nil"/>
        <w:bottom w:val="nil"/>
        <w:right w:val="nil"/>
        <w:between w:val="nil"/>
      </w:pBd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F742F" w14:textId="77777777" w:rsidR="007E369D" w:rsidRDefault="007E369D">
      <w:pPr>
        <w:spacing w:after="0" w:line="240" w:lineRule="auto"/>
      </w:pPr>
      <w:r>
        <w:separator/>
      </w:r>
    </w:p>
  </w:footnote>
  <w:footnote w:type="continuationSeparator" w:id="0">
    <w:p w14:paraId="3568A255" w14:textId="77777777" w:rsidR="007E369D" w:rsidRDefault="007E369D">
      <w:pPr>
        <w:spacing w:after="0" w:line="240" w:lineRule="auto"/>
      </w:pPr>
      <w:r>
        <w:continuationSeparator/>
      </w:r>
    </w:p>
  </w:footnote>
  <w:footnote w:id="1">
    <w:p w14:paraId="2A76FBEF" w14:textId="77777777" w:rsidR="0000407C" w:rsidRDefault="007E369D">
      <w:pPr>
        <w:pBdr>
          <w:top w:val="nil"/>
          <w:left w:val="nil"/>
          <w:bottom w:val="nil"/>
          <w:right w:val="nil"/>
          <w:between w:val="nil"/>
        </w:pBdr>
        <w:spacing w:after="0" w:line="240" w:lineRule="auto"/>
        <w:rPr>
          <w:sz w:val="20"/>
          <w:szCs w:val="20"/>
        </w:rPr>
      </w:pPr>
      <w:r>
        <w:rPr>
          <w:rStyle w:val="FootnoteReference"/>
        </w:rPr>
        <w:footnoteRef/>
      </w:r>
      <w:r>
        <w:rPr>
          <w:sz w:val="20"/>
          <w:szCs w:val="20"/>
        </w:rPr>
        <w:t xml:space="preserve"> Circumstances exist for individual students to opt-out of these required assessments.</w:t>
      </w:r>
    </w:p>
  </w:footnote>
  <w:footnote w:id="2">
    <w:p w14:paraId="31ABCCED" w14:textId="77777777" w:rsidR="0000407C" w:rsidRDefault="007E369D">
      <w:pPr>
        <w:pBdr>
          <w:top w:val="nil"/>
          <w:left w:val="nil"/>
          <w:bottom w:val="nil"/>
          <w:right w:val="nil"/>
          <w:between w:val="nil"/>
        </w:pBdr>
        <w:spacing w:after="0" w:line="240" w:lineRule="auto"/>
        <w:rPr>
          <w:sz w:val="20"/>
          <w:szCs w:val="20"/>
        </w:rPr>
      </w:pPr>
      <w:r>
        <w:rPr>
          <w:rStyle w:val="FootnoteReference"/>
        </w:rPr>
        <w:footnoteRef/>
      </w:r>
      <w:r>
        <w:rPr>
          <w:sz w:val="20"/>
          <w:szCs w:val="20"/>
        </w:rPr>
        <w:t xml:space="preserve"> The range represents alternately substituting 0% and 5% for the suppressed actual performance in 2020-21.</w:t>
      </w:r>
    </w:p>
  </w:footnote>
  <w:footnote w:id="3">
    <w:p w14:paraId="26E1766B" w14:textId="77777777" w:rsidR="0000407C" w:rsidRDefault="007E369D">
      <w:pPr>
        <w:pBdr>
          <w:top w:val="nil"/>
          <w:left w:val="nil"/>
          <w:bottom w:val="nil"/>
          <w:right w:val="nil"/>
          <w:between w:val="nil"/>
        </w:pBdr>
        <w:spacing w:after="0" w:line="240" w:lineRule="auto"/>
        <w:rPr>
          <w:sz w:val="20"/>
          <w:szCs w:val="20"/>
        </w:rPr>
      </w:pPr>
      <w:r>
        <w:rPr>
          <w:rStyle w:val="FootnoteReference"/>
        </w:rPr>
        <w:footnoteRef/>
      </w:r>
      <w:r>
        <w:rPr>
          <w:sz w:val="20"/>
          <w:szCs w:val="20"/>
        </w:rPr>
        <w:t xml:space="preserve"> Circumstances exist for individual students to opt-out of these required assessments.</w:t>
      </w:r>
    </w:p>
  </w:footnote>
  <w:footnote w:id="4">
    <w:p w14:paraId="3288A3F0" w14:textId="77777777" w:rsidR="0000407C" w:rsidRDefault="007E369D">
      <w:pPr>
        <w:pBdr>
          <w:top w:val="nil"/>
          <w:left w:val="nil"/>
          <w:bottom w:val="nil"/>
          <w:right w:val="nil"/>
          <w:between w:val="nil"/>
        </w:pBdr>
        <w:spacing w:after="0" w:line="240" w:lineRule="auto"/>
        <w:rPr>
          <w:sz w:val="20"/>
          <w:szCs w:val="20"/>
        </w:rPr>
      </w:pPr>
      <w:r>
        <w:rPr>
          <w:rStyle w:val="FootnoteReference"/>
        </w:rPr>
        <w:footnoteRef/>
      </w:r>
      <w:r>
        <w:rPr>
          <w:sz w:val="20"/>
          <w:szCs w:val="20"/>
        </w:rPr>
        <w:t xml:space="preserve"> Circumstances exist for individual students to opt-out of these required assessments.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DE9B" w14:textId="77777777" w:rsidR="0000407C" w:rsidRDefault="0000407C">
    <w:pPr>
      <w:pBdr>
        <w:top w:val="nil"/>
        <w:left w:val="nil"/>
        <w:bottom w:val="nil"/>
        <w:right w:val="nil"/>
        <w:between w:val="nil"/>
      </w:pBdr>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A7F3" w14:textId="77777777" w:rsidR="0000407C" w:rsidRDefault="007E369D">
    <w:pPr>
      <w:spacing w:after="0"/>
      <w:ind w:left="4874" w:right="-20"/>
    </w:pPr>
    <w:r>
      <w:rPr>
        <w:noProof/>
      </w:rPr>
      <mc:AlternateContent>
        <mc:Choice Requires="wpg">
          <w:drawing>
            <wp:anchor distT="0" distB="0" distL="114300" distR="114300" simplePos="0" relativeHeight="251658240" behindDoc="0" locked="0" layoutInCell="1" hidden="0" allowOverlap="1" wp14:anchorId="41D90829" wp14:editId="62BBE24C">
              <wp:simplePos x="0" y="0"/>
              <wp:positionH relativeFrom="page">
                <wp:posOffset>685800</wp:posOffset>
              </wp:positionH>
              <wp:positionV relativeFrom="page">
                <wp:posOffset>877570</wp:posOffset>
              </wp:positionV>
              <wp:extent cx="6400800" cy="6350"/>
              <wp:effectExtent l="0" t="0" r="0" b="0"/>
              <wp:wrapSquare wrapText="bothSides" distT="0" distB="0" distL="114300" distR="114300"/>
              <wp:docPr id="2052899776" name="Group 20528997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00800" cy="6350"/>
                        <a:chOff x="2145600" y="3772050"/>
                        <a:chExt cx="6400800" cy="9825"/>
                      </a:xfrm>
                    </wpg:grpSpPr>
                    <wpg:grpSp>
                      <wpg:cNvPr id="1715364670" name="Group 1715364670"/>
                      <wpg:cNvGrpSpPr/>
                      <wpg:grpSpPr>
                        <a:xfrm>
                          <a:off x="2145600" y="3776825"/>
                          <a:ext cx="6400800" cy="5040"/>
                          <a:chOff x="0" y="0"/>
                          <a:chExt cx="64008" cy="50"/>
                        </a:xfrm>
                      </wpg:grpSpPr>
                      <wps:wsp>
                        <wps:cNvPr id="1790127868" name="Rectangle 1790127868"/>
                        <wps:cNvSpPr/>
                        <wps:spPr>
                          <a:xfrm>
                            <a:off x="0" y="0"/>
                            <a:ext cx="64000" cy="50"/>
                          </a:xfrm>
                          <a:prstGeom prst="rect">
                            <a:avLst/>
                          </a:prstGeom>
                          <a:noFill/>
                          <a:ln>
                            <a:noFill/>
                          </a:ln>
                        </wps:spPr>
                        <wps:txbx>
                          <w:txbxContent>
                            <w:p w14:paraId="65A563C1" w14:textId="77777777" w:rsidR="0000407C" w:rsidRDefault="0000407C">
                              <w:pPr>
                                <w:spacing w:after="0" w:line="240" w:lineRule="auto"/>
                                <w:textDirection w:val="btLr"/>
                              </w:pPr>
                            </w:p>
                          </w:txbxContent>
                        </wps:txbx>
                        <wps:bodyPr spcFirstLastPara="1" wrap="square" lIns="91425" tIns="91425" rIns="91425" bIns="91425" anchor="ctr" anchorCtr="0">
                          <a:noAutofit/>
                        </wps:bodyPr>
                      </wps:wsp>
                      <wps:wsp>
                        <wps:cNvPr id="1667654767" name="Freeform: Shape 1667654767"/>
                        <wps:cNvSpPr/>
                        <wps:spPr>
                          <a:xfrm>
                            <a:off x="0" y="0"/>
                            <a:ext cx="64008" cy="0"/>
                          </a:xfrm>
                          <a:custGeom>
                            <a:avLst/>
                            <a:gdLst/>
                            <a:ahLst/>
                            <a:cxnLst/>
                            <a:rect l="l" t="t" r="r" b="b"/>
                            <a:pathLst>
                              <a:path w="6400800" h="120000" extrusionOk="0">
                                <a:moveTo>
                                  <a:pt x="0" y="0"/>
                                </a:moveTo>
                                <a:lnTo>
                                  <a:pt x="6400800" y="0"/>
                                </a:lnTo>
                              </a:path>
                            </a:pathLst>
                          </a:custGeom>
                          <a:noFill/>
                          <a:ln w="9525" cap="flat" cmpd="sng">
                            <a:solidFill>
                              <a:srgbClr val="1B75BB"/>
                            </a:solidFill>
                            <a:prstDash val="solid"/>
                            <a:miter lim="100000"/>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41D90829" id="Group 2052899776" o:spid="_x0000_s1026" alt="&quot;&quot;" style="position:absolute;left:0;text-align:left;margin-left:54pt;margin-top:69.1pt;width:7in;height:.5pt;z-index:251658240;mso-position-horizontal-relative:page;mso-position-vertical-relative:page" coordorigin="21456,37720" coordsize="6400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">
              <v:group id="Group 1715364670" o:spid="_x0000_s1027" style="position:absolute;left:21456;top:37768;width:64008;height:50" coordsize="64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">
                <v:rect id="Rectangle 1790127868" o:spid="_x0000_s1028" style="position:absolute;width:64000;height: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" filled="f" stroked="f">
                  <v:textbox inset="2.53958mm,2.53958mm,2.53958mm,2.53958mm">
                    <w:txbxContent>
                      <w:p w14:paraId="65A563C1" w14:textId="77777777" w:rsidR="0000407C" w:rsidRDefault="0000407C">
                        <w:pPr>
                          <w:spacing w:after="0" w:line="240" w:lineRule="auto"/>
                          <w:textDirection w:val="btLr"/>
                        </w:pPr>
                      </w:p>
                    </w:txbxContent>
                  </v:textbox>
                </v:rect>
                <v:shape id="Freeform: Shape 1667654767" o:spid="_x0000_s1029" style="position:absolute;width:64008;height:0;visibility:visible;mso-wrap-style:square;v-text-anchor:middle" coordsize="64008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" path="m,l6400800,e" filled="f" strokecolor="#1b75bb">
                  <v:stroke miterlimit="1" joinstyle="miter"/>
                  <v:path arrowok="t" o:extrusionok="f"/>
                </v:shape>
              </v:group>
              <w10:wrap type="square" anchorx="page" anchory="page"/>
            </v:group>
          </w:pict>
        </mc:Fallback>
      </mc:AlternateContent>
    </w:r>
    <w:r>
      <w:rPr>
        <w:sz w:val="21"/>
        <w:szCs w:val="21"/>
      </w:rPr>
      <w:t>Appendix L: Performance Targets</w:t>
    </w:r>
    <w:r>
      <w:rPr>
        <w:b/>
        <w:color w:val="1B75BB"/>
        <w:sz w:val="21"/>
        <w:szCs w:val="21"/>
      </w:rPr>
      <w:t xml:space="preserve">   www.ode.state.or.us </w:t>
    </w:r>
    <w:r>
      <w:rPr>
        <w:sz w:val="21"/>
        <w:szCs w:val="21"/>
      </w:rPr>
      <w:t xml:space="preserve">|  </w:t>
    </w:r>
    <w:r>
      <w:fldChar w:fldCharType="begin"/>
    </w:r>
    <w:r>
      <w:instrText>PAGE</w:instrText>
    </w:r>
    <w:r w:rsidR="00C0093D">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471"/>
    <w:multiLevelType w:val="hybridMultilevel"/>
    <w:tmpl w:val="5742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EF0F09"/>
    <w:multiLevelType w:val="multilevel"/>
    <w:tmpl w:val="F92A6E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545678214">
    <w:abstractNumId w:val="1"/>
  </w:num>
  <w:num w:numId="2" w16cid:durableId="94169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7C"/>
    <w:rsid w:val="0000407C"/>
    <w:rsid w:val="000F38D3"/>
    <w:rsid w:val="00420FEF"/>
    <w:rsid w:val="00461043"/>
    <w:rsid w:val="005716C2"/>
    <w:rsid w:val="005877F8"/>
    <w:rsid w:val="007413D1"/>
    <w:rsid w:val="007E369D"/>
    <w:rsid w:val="00885308"/>
    <w:rsid w:val="008D2B31"/>
    <w:rsid w:val="0090022C"/>
    <w:rsid w:val="00A7623D"/>
    <w:rsid w:val="00AA6E68"/>
    <w:rsid w:val="00B244DE"/>
    <w:rsid w:val="00B2578C"/>
    <w:rsid w:val="00B73E4A"/>
    <w:rsid w:val="00C0093D"/>
    <w:rsid w:val="00D605F6"/>
    <w:rsid w:val="00D61E50"/>
    <w:rsid w:val="00D67F10"/>
    <w:rsid w:val="00E42B79"/>
    <w:rsid w:val="00E80C43"/>
    <w:rsid w:val="00F60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7EDC"/>
  <w15:docId w15:val="{BE4EDB79-1BB7-4123-8476-78872941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71F"/>
    <w:rPr>
      <w:color w:val="000000"/>
    </w:rPr>
  </w:style>
  <w:style w:type="paragraph" w:styleId="Heading1">
    <w:name w:val="heading 1"/>
    <w:next w:val="Normal"/>
    <w:link w:val="Heading1Char"/>
    <w:uiPriority w:val="9"/>
    <w:qFormat/>
    <w:pPr>
      <w:keepNext/>
      <w:keepLines/>
      <w:spacing w:after="0"/>
      <w:ind w:left="11" w:hanging="10"/>
      <w:jc w:val="right"/>
      <w:outlineLvl w:val="0"/>
    </w:pPr>
    <w:rPr>
      <w:b/>
      <w:color w:val="FFFFFF"/>
      <w:sz w:val="40"/>
    </w:rPr>
  </w:style>
  <w:style w:type="paragraph" w:styleId="Heading2">
    <w:name w:val="heading 2"/>
    <w:next w:val="Normal"/>
    <w:link w:val="Heading2Char"/>
    <w:uiPriority w:val="9"/>
    <w:unhideWhenUsed/>
    <w:qFormat/>
    <w:rsid w:val="00183475"/>
    <w:pPr>
      <w:keepNext/>
      <w:keepLines/>
      <w:spacing w:after="3"/>
      <w:ind w:left="10" w:hanging="10"/>
      <w:outlineLvl w:val="1"/>
    </w:pPr>
    <w:rPr>
      <w:rFonts w:ascii="Times New Roman" w:eastAsia="Times New Roman" w:hAnsi="Times New Roman" w:cs="Times New Roman"/>
      <w:b/>
      <w:sz w:val="36"/>
      <w:szCs w:val="36"/>
    </w:rPr>
  </w:style>
  <w:style w:type="paragraph" w:styleId="Heading3">
    <w:name w:val="heading 3"/>
    <w:next w:val="Normal"/>
    <w:link w:val="Heading3Char"/>
    <w:uiPriority w:val="9"/>
    <w:unhideWhenUsed/>
    <w:qFormat/>
    <w:pPr>
      <w:keepNext/>
      <w:keepLines/>
      <w:spacing w:after="0"/>
      <w:ind w:left="10" w:hanging="10"/>
      <w:outlineLvl w:val="2"/>
    </w:pPr>
    <w:rPr>
      <w:b/>
      <w:color w:val="1B75BB"/>
      <w:sz w:val="28"/>
    </w:rPr>
  </w:style>
  <w:style w:type="paragraph" w:styleId="Heading4">
    <w:name w:val="heading 4"/>
    <w:next w:val="Normal"/>
    <w:link w:val="Heading4Char"/>
    <w:uiPriority w:val="9"/>
    <w:semiHidden/>
    <w:unhideWhenUsed/>
    <w:qFormat/>
    <w:pPr>
      <w:keepNext/>
      <w:keepLines/>
      <w:spacing w:after="22" w:line="248" w:lineRule="auto"/>
      <w:ind w:left="10" w:right="665" w:hanging="10"/>
      <w:outlineLvl w:val="3"/>
    </w:pPr>
    <w:rPr>
      <w:b/>
      <w:color w:val="000000"/>
      <w:sz w:val="26"/>
    </w:rPr>
  </w:style>
  <w:style w:type="paragraph" w:styleId="Heading5">
    <w:name w:val="heading 5"/>
    <w:next w:val="Normal"/>
    <w:link w:val="Heading5Char"/>
    <w:uiPriority w:val="9"/>
    <w:semiHidden/>
    <w:unhideWhenUsed/>
    <w:qFormat/>
    <w:pPr>
      <w:keepNext/>
      <w:keepLines/>
      <w:spacing w:after="95"/>
      <w:ind w:left="10" w:hanging="10"/>
      <w:outlineLvl w:val="4"/>
    </w:pPr>
    <w:rPr>
      <w:b/>
      <w:color w:val="E26B2A"/>
      <w:sz w:val="28"/>
    </w:rPr>
  </w:style>
  <w:style w:type="paragraph" w:styleId="Heading6">
    <w:name w:val="heading 6"/>
    <w:next w:val="Normal"/>
    <w:link w:val="Heading6Char"/>
    <w:uiPriority w:val="9"/>
    <w:semiHidden/>
    <w:unhideWhenUsed/>
    <w:qFormat/>
    <w:pPr>
      <w:keepNext/>
      <w:keepLines/>
      <w:spacing w:after="22" w:line="248" w:lineRule="auto"/>
      <w:ind w:left="10" w:right="665" w:hanging="10"/>
      <w:outlineLvl w:val="5"/>
    </w:pPr>
    <w:rPr>
      <w:b/>
      <w:color w:val="000000"/>
      <w:sz w:val="26"/>
    </w:rPr>
  </w:style>
  <w:style w:type="paragraph" w:styleId="Heading7">
    <w:name w:val="heading 7"/>
    <w:next w:val="Normal"/>
    <w:link w:val="Heading7Char"/>
    <w:uiPriority w:val="9"/>
    <w:unhideWhenUsed/>
    <w:qFormat/>
    <w:pPr>
      <w:keepNext/>
      <w:keepLines/>
      <w:spacing w:after="0"/>
      <w:ind w:left="550" w:hanging="10"/>
      <w:outlineLvl w:val="6"/>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023F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Heading3Char">
    <w:name w:val="Heading 3 Char"/>
    <w:link w:val="Heading3"/>
    <w:rPr>
      <w:rFonts w:ascii="Calibri" w:eastAsia="Calibri" w:hAnsi="Calibri" w:cs="Calibri"/>
      <w:b/>
      <w:color w:val="1B75BB"/>
      <w:sz w:val="28"/>
    </w:rPr>
  </w:style>
  <w:style w:type="character" w:customStyle="1" w:styleId="Heading5Char">
    <w:name w:val="Heading 5 Char"/>
    <w:link w:val="Heading5"/>
    <w:rPr>
      <w:rFonts w:ascii="Calibri" w:eastAsia="Calibri" w:hAnsi="Calibri" w:cs="Calibri"/>
      <w:b/>
      <w:color w:val="E26B2A"/>
      <w:sz w:val="28"/>
    </w:rPr>
  </w:style>
  <w:style w:type="character" w:customStyle="1" w:styleId="Heading1Char">
    <w:name w:val="Heading 1 Char"/>
    <w:link w:val="Heading1"/>
    <w:rPr>
      <w:rFonts w:ascii="Calibri" w:eastAsia="Calibri" w:hAnsi="Calibri" w:cs="Calibri"/>
      <w:b/>
      <w:color w:val="FFFFFF"/>
      <w:sz w:val="40"/>
    </w:rPr>
  </w:style>
  <w:style w:type="paragraph" w:customStyle="1" w:styleId="footnotedescription">
    <w:name w:val="footnote description"/>
    <w:next w:val="Normal"/>
    <w:link w:val="footnotedescriptionChar"/>
    <w:hidden/>
    <w:pPr>
      <w:spacing w:after="40" w:line="248" w:lineRule="auto"/>
    </w:pPr>
    <w:rPr>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Heading7Char">
    <w:name w:val="Heading 7 Char"/>
    <w:link w:val="Heading7"/>
    <w:rPr>
      <w:rFonts w:ascii="Calibri" w:eastAsia="Calibri" w:hAnsi="Calibri" w:cs="Calibri"/>
      <w:b/>
      <w:color w:val="000000"/>
      <w:sz w:val="21"/>
    </w:rPr>
  </w:style>
  <w:style w:type="character" w:customStyle="1" w:styleId="Heading4Char">
    <w:name w:val="Heading 4 Char"/>
    <w:link w:val="Heading4"/>
    <w:rPr>
      <w:rFonts w:ascii="Calibri" w:eastAsia="Calibri" w:hAnsi="Calibri" w:cs="Calibri"/>
      <w:b/>
      <w:color w:val="000000"/>
      <w:sz w:val="26"/>
    </w:rPr>
  </w:style>
  <w:style w:type="character" w:customStyle="1" w:styleId="Heading6Char">
    <w:name w:val="Heading 6 Char"/>
    <w:link w:val="Heading6"/>
    <w:rPr>
      <w:rFonts w:ascii="Calibri" w:eastAsia="Calibri" w:hAnsi="Calibri" w:cs="Calibri"/>
      <w:b/>
      <w:color w:val="000000"/>
      <w:sz w:val="26"/>
    </w:rPr>
  </w:style>
  <w:style w:type="character" w:customStyle="1" w:styleId="Heading2Char">
    <w:name w:val="Heading 2 Char"/>
    <w:link w:val="Heading2"/>
    <w:uiPriority w:val="9"/>
    <w:rsid w:val="00183475"/>
    <w:rPr>
      <w:rFonts w:ascii="Times New Roman" w:eastAsia="Times New Roman" w:hAnsi="Times New Roman" w:cs="Times New Roman"/>
      <w:b/>
      <w:sz w:val="36"/>
      <w:szCs w:val="36"/>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6E1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069"/>
    <w:rPr>
      <w:rFonts w:ascii="Calibri" w:eastAsia="Calibri" w:hAnsi="Calibri" w:cs="Calibri"/>
      <w:color w:val="000000"/>
    </w:rPr>
  </w:style>
  <w:style w:type="paragraph" w:styleId="Header">
    <w:name w:val="header"/>
    <w:basedOn w:val="Normal"/>
    <w:link w:val="HeaderChar"/>
    <w:uiPriority w:val="99"/>
    <w:unhideWhenUsed/>
    <w:rsid w:val="006E1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069"/>
    <w:rPr>
      <w:rFonts w:ascii="Calibri" w:eastAsia="Calibri" w:hAnsi="Calibri" w:cs="Calibri"/>
      <w:color w:val="000000"/>
    </w:rPr>
  </w:style>
  <w:style w:type="paragraph" w:styleId="Caption">
    <w:name w:val="caption"/>
    <w:basedOn w:val="Normal"/>
    <w:next w:val="Normal"/>
    <w:autoRedefine/>
    <w:uiPriority w:val="35"/>
    <w:unhideWhenUsed/>
    <w:qFormat/>
    <w:rsid w:val="00B116CB"/>
    <w:pPr>
      <w:keepNext/>
      <w:spacing w:after="200" w:line="240" w:lineRule="auto"/>
    </w:pPr>
    <w:rPr>
      <w:b/>
      <w:i/>
      <w:iCs/>
      <w:color w:val="134163" w:themeColor="accent6" w:themeShade="80"/>
      <w:sz w:val="20"/>
      <w:szCs w:val="20"/>
    </w:rPr>
  </w:style>
  <w:style w:type="paragraph" w:styleId="FootnoteText">
    <w:name w:val="footnote text"/>
    <w:basedOn w:val="Normal"/>
    <w:link w:val="FootnoteTextChar"/>
    <w:uiPriority w:val="99"/>
    <w:semiHidden/>
    <w:unhideWhenUsed/>
    <w:rsid w:val="007858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8E0"/>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7858E0"/>
    <w:rPr>
      <w:vertAlign w:val="superscript"/>
    </w:rPr>
  </w:style>
  <w:style w:type="character" w:customStyle="1" w:styleId="TitleChar">
    <w:name w:val="Title Char"/>
    <w:basedOn w:val="DefaultParagraphFont"/>
    <w:link w:val="Title"/>
    <w:uiPriority w:val="10"/>
    <w:rsid w:val="00B023F1"/>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F21A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AC78AB"/>
  </w:style>
  <w:style w:type="table" w:styleId="TableGrid0">
    <w:name w:val="Table Grid"/>
    <w:basedOn w:val="TableNormal"/>
    <w:uiPriority w:val="39"/>
    <w:rsid w:val="00623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5E02"/>
    <w:pPr>
      <w:ind w:left="720"/>
      <w:contextualSpacing/>
    </w:pPr>
  </w:style>
  <w:style w:type="paragraph" w:styleId="EndnoteText">
    <w:name w:val="endnote text"/>
    <w:basedOn w:val="Normal"/>
    <w:link w:val="EndnoteTextChar"/>
    <w:uiPriority w:val="99"/>
    <w:semiHidden/>
    <w:unhideWhenUsed/>
    <w:rsid w:val="00E557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57E6"/>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E557E6"/>
    <w:rPr>
      <w:vertAlign w:val="superscript"/>
    </w:rPr>
  </w:style>
  <w:style w:type="character" w:styleId="Hyperlink">
    <w:name w:val="Hyperlink"/>
    <w:basedOn w:val="DefaultParagraphFont"/>
    <w:uiPriority w:val="99"/>
    <w:unhideWhenUsed/>
    <w:rsid w:val="00D55F47"/>
    <w:rPr>
      <w:color w:val="6B9F25" w:themeColor="hyperlink"/>
      <w:u w:val="single"/>
    </w:rPr>
  </w:style>
  <w:style w:type="character" w:styleId="UnresolvedMention">
    <w:name w:val="Unresolved Mention"/>
    <w:basedOn w:val="DefaultParagraphFont"/>
    <w:uiPriority w:val="99"/>
    <w:semiHidden/>
    <w:unhideWhenUsed/>
    <w:rsid w:val="00D55F47"/>
    <w:rPr>
      <w:color w:val="605E5C"/>
      <w:shd w:val="clear" w:color="auto" w:fill="E1DFDD"/>
    </w:rPr>
  </w:style>
  <w:style w:type="character" w:styleId="CommentReference">
    <w:name w:val="annotation reference"/>
    <w:basedOn w:val="DefaultParagraphFont"/>
    <w:uiPriority w:val="99"/>
    <w:semiHidden/>
    <w:unhideWhenUsed/>
    <w:rsid w:val="007F11F2"/>
    <w:rPr>
      <w:sz w:val="16"/>
      <w:szCs w:val="16"/>
    </w:rPr>
  </w:style>
  <w:style w:type="paragraph" w:styleId="CommentText">
    <w:name w:val="annotation text"/>
    <w:basedOn w:val="Normal"/>
    <w:link w:val="CommentTextChar"/>
    <w:uiPriority w:val="99"/>
    <w:unhideWhenUsed/>
    <w:rsid w:val="007F11F2"/>
    <w:pPr>
      <w:spacing w:line="240" w:lineRule="auto"/>
    </w:pPr>
    <w:rPr>
      <w:sz w:val="20"/>
      <w:szCs w:val="20"/>
    </w:rPr>
  </w:style>
  <w:style w:type="character" w:customStyle="1" w:styleId="CommentTextChar">
    <w:name w:val="Comment Text Char"/>
    <w:basedOn w:val="DefaultParagraphFont"/>
    <w:link w:val="CommentText"/>
    <w:uiPriority w:val="99"/>
    <w:rsid w:val="007F11F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F11F2"/>
    <w:rPr>
      <w:b/>
      <w:bCs/>
    </w:rPr>
  </w:style>
  <w:style w:type="character" w:customStyle="1" w:styleId="CommentSubjectChar">
    <w:name w:val="Comment Subject Char"/>
    <w:basedOn w:val="CommentTextChar"/>
    <w:link w:val="CommentSubject"/>
    <w:uiPriority w:val="99"/>
    <w:semiHidden/>
    <w:rsid w:val="007F11F2"/>
    <w:rPr>
      <w:rFonts w:ascii="Calibri" w:eastAsia="Calibri" w:hAnsi="Calibri" w:cs="Calibri"/>
      <w:b/>
      <w:bCs/>
      <w:color w:val="000000"/>
      <w:sz w:val="20"/>
      <w:szCs w:val="20"/>
    </w:rPr>
  </w:style>
  <w:style w:type="paragraph" w:styleId="TOCHeading">
    <w:name w:val="TOC Heading"/>
    <w:basedOn w:val="Heading1"/>
    <w:next w:val="Normal"/>
    <w:uiPriority w:val="39"/>
    <w:unhideWhenUsed/>
    <w:qFormat/>
    <w:rsid w:val="00DB5B9C"/>
    <w:pPr>
      <w:spacing w:before="240"/>
      <w:ind w:left="0" w:firstLine="0"/>
      <w:jc w:val="left"/>
      <w:outlineLvl w:val="9"/>
    </w:pPr>
    <w:rPr>
      <w:rFonts w:asciiTheme="majorHAnsi" w:eastAsiaTheme="majorEastAsia" w:hAnsiTheme="majorHAnsi" w:cstheme="majorBidi"/>
      <w:b w:val="0"/>
      <w:color w:val="276E8B" w:themeColor="accent1" w:themeShade="BF"/>
      <w:sz w:val="32"/>
      <w:szCs w:val="32"/>
    </w:rPr>
  </w:style>
  <w:style w:type="paragraph" w:styleId="TOC1">
    <w:name w:val="toc 1"/>
    <w:basedOn w:val="Normal"/>
    <w:next w:val="Normal"/>
    <w:autoRedefine/>
    <w:uiPriority w:val="39"/>
    <w:unhideWhenUsed/>
    <w:rsid w:val="00DB5B9C"/>
    <w:pPr>
      <w:spacing w:after="100"/>
    </w:pPr>
  </w:style>
  <w:style w:type="paragraph" w:styleId="TOC2">
    <w:name w:val="toc 2"/>
    <w:basedOn w:val="Normal"/>
    <w:next w:val="Normal"/>
    <w:autoRedefine/>
    <w:uiPriority w:val="39"/>
    <w:unhideWhenUsed/>
    <w:rsid w:val="00DB5B9C"/>
    <w:pPr>
      <w:spacing w:after="100"/>
      <w:ind w:left="220"/>
    </w:pPr>
  </w:style>
  <w:style w:type="paragraph" w:styleId="TOC3">
    <w:name w:val="toc 3"/>
    <w:basedOn w:val="Normal"/>
    <w:next w:val="Normal"/>
    <w:autoRedefine/>
    <w:uiPriority w:val="39"/>
    <w:unhideWhenUsed/>
    <w:rsid w:val="00DB5B9C"/>
    <w:pPr>
      <w:spacing w:after="100"/>
      <w:ind w:left="440"/>
    </w:pPr>
  </w:style>
  <w:style w:type="paragraph" w:styleId="TableofFigures">
    <w:name w:val="table of figures"/>
    <w:aliases w:val="Table of Tables"/>
    <w:basedOn w:val="Normal"/>
    <w:next w:val="Normal"/>
    <w:uiPriority w:val="99"/>
    <w:unhideWhenUsed/>
    <w:qFormat/>
    <w:rsid w:val="00AA77F0"/>
    <w:pPr>
      <w:spacing w:after="0"/>
      <w:ind w:left="440" w:hanging="440"/>
    </w:pPr>
    <w:rPr>
      <w:rFonts w:asciiTheme="minorHAnsi" w:hAnsiTheme="minorHAnsi" w:cstheme="minorHAnsi"/>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4">
    <w:name w:val="24"/>
    <w:basedOn w:val="TableNormal"/>
    <w:pPr>
      <w:spacing w:after="0" w:line="240" w:lineRule="auto"/>
    </w:pPr>
    <w:tblPr>
      <w:tblStyleRowBandSize w:val="1"/>
      <w:tblStyleColBandSize w:val="1"/>
      <w:tblCellMar>
        <w:top w:w="90" w:type="dxa"/>
        <w:left w:w="177" w:type="dxa"/>
        <w:right w:w="115" w:type="dxa"/>
      </w:tblCellMar>
    </w:tblPr>
  </w:style>
  <w:style w:type="table" w:customStyle="1" w:styleId="23">
    <w:name w:val="23"/>
    <w:basedOn w:val="TableNormal"/>
    <w:pPr>
      <w:spacing w:after="0" w:line="240" w:lineRule="auto"/>
    </w:pPr>
    <w:tblPr>
      <w:tblStyleRowBandSize w:val="1"/>
      <w:tblStyleColBandSize w:val="1"/>
      <w:tblCellMar>
        <w:top w:w="90" w:type="dxa"/>
        <w:left w:w="177" w:type="dxa"/>
        <w:right w:w="115" w:type="dxa"/>
      </w:tblCellMar>
    </w:tblPr>
  </w:style>
  <w:style w:type="table" w:customStyle="1" w:styleId="22">
    <w:name w:val="22"/>
    <w:basedOn w:val="TableNormal"/>
    <w:pPr>
      <w:spacing w:after="0" w:line="240" w:lineRule="auto"/>
    </w:pPr>
    <w:tblPr>
      <w:tblStyleRowBandSize w:val="1"/>
      <w:tblStyleColBandSize w:val="1"/>
    </w:tblPr>
  </w:style>
  <w:style w:type="table" w:customStyle="1" w:styleId="21">
    <w:name w:val="21"/>
    <w:basedOn w:val="TableNormal"/>
    <w:pPr>
      <w:spacing w:after="0" w:line="240" w:lineRule="auto"/>
    </w:pPr>
    <w:tblPr>
      <w:tblStyleRowBandSize w:val="1"/>
      <w:tblStyleColBandSize w:val="1"/>
    </w:tblPr>
  </w:style>
  <w:style w:type="table" w:customStyle="1" w:styleId="20">
    <w:name w:val="20"/>
    <w:basedOn w:val="TableNormal"/>
    <w:pPr>
      <w:spacing w:after="0" w:line="240" w:lineRule="auto"/>
    </w:pPr>
    <w:tblPr>
      <w:tblStyleRowBandSize w:val="1"/>
      <w:tblStyleColBandSize w:val="1"/>
    </w:tblPr>
  </w:style>
  <w:style w:type="table" w:customStyle="1" w:styleId="19">
    <w:name w:val="19"/>
    <w:basedOn w:val="TableNormal"/>
    <w:pPr>
      <w:spacing w:after="0" w:line="240" w:lineRule="auto"/>
    </w:pPr>
    <w:tblPr>
      <w:tblStyleRowBandSize w:val="1"/>
      <w:tblStyleColBandSize w:val="1"/>
    </w:tblPr>
  </w:style>
  <w:style w:type="table" w:customStyle="1" w:styleId="18">
    <w:name w:val="18"/>
    <w:basedOn w:val="TableNormal"/>
    <w:pPr>
      <w:spacing w:after="0" w:line="240" w:lineRule="auto"/>
    </w:pPr>
    <w:tblPr>
      <w:tblStyleRowBandSize w:val="1"/>
      <w:tblStyleColBandSize w:val="1"/>
    </w:tblPr>
  </w:style>
  <w:style w:type="table" w:customStyle="1" w:styleId="17">
    <w:name w:val="17"/>
    <w:basedOn w:val="TableNormal"/>
    <w:pPr>
      <w:spacing w:after="0" w:line="240" w:lineRule="auto"/>
    </w:pPr>
    <w:tblPr>
      <w:tblStyleRowBandSize w:val="1"/>
      <w:tblStyleColBandSize w:val="1"/>
    </w:tblPr>
  </w:style>
  <w:style w:type="table" w:customStyle="1" w:styleId="16">
    <w:name w:val="16"/>
    <w:basedOn w:val="TableNormal"/>
    <w:pPr>
      <w:spacing w:after="0" w:line="240" w:lineRule="auto"/>
    </w:pPr>
    <w:tblPr>
      <w:tblStyleRowBandSize w:val="1"/>
      <w:tblStyleColBandSize w:val="1"/>
    </w:tblPr>
  </w:style>
  <w:style w:type="table" w:customStyle="1" w:styleId="15">
    <w:name w:val="15"/>
    <w:basedOn w:val="TableNormal"/>
    <w:pPr>
      <w:spacing w:after="0" w:line="240" w:lineRule="auto"/>
    </w:pPr>
    <w:tblPr>
      <w:tblStyleRowBandSize w:val="1"/>
      <w:tblStyleColBandSize w:val="1"/>
    </w:tblPr>
  </w:style>
  <w:style w:type="table" w:customStyle="1" w:styleId="14">
    <w:name w:val="14"/>
    <w:basedOn w:val="TableNormal"/>
    <w:pPr>
      <w:spacing w:after="0" w:line="240" w:lineRule="auto"/>
    </w:pPr>
    <w:tblPr>
      <w:tblStyleRowBandSize w:val="1"/>
      <w:tblStyleColBandSize w:val="1"/>
    </w:tblPr>
  </w:style>
  <w:style w:type="table" w:customStyle="1" w:styleId="13">
    <w:name w:val="13"/>
    <w:basedOn w:val="TableNormal"/>
    <w:pPr>
      <w:spacing w:after="0" w:line="240" w:lineRule="auto"/>
    </w:pPr>
    <w:tblPr>
      <w:tblStyleRowBandSize w:val="1"/>
      <w:tblStyleColBandSize w:val="1"/>
    </w:tblPr>
  </w:style>
  <w:style w:type="table" w:customStyle="1" w:styleId="12">
    <w:name w:val="12"/>
    <w:basedOn w:val="TableNormal"/>
    <w:pPr>
      <w:spacing w:after="0" w:line="240" w:lineRule="auto"/>
    </w:pPr>
    <w:tblPr>
      <w:tblStyleRowBandSize w:val="1"/>
      <w:tblStyleColBandSize w:val="1"/>
    </w:tblPr>
  </w:style>
  <w:style w:type="table" w:customStyle="1" w:styleId="11">
    <w:name w:val="11"/>
    <w:basedOn w:val="TableNormal"/>
    <w:pPr>
      <w:spacing w:after="0" w:line="240" w:lineRule="auto"/>
    </w:pPr>
    <w:tblPr>
      <w:tblStyleRowBandSize w:val="1"/>
      <w:tblStyleColBandSize w:val="1"/>
    </w:tblPr>
  </w:style>
  <w:style w:type="table" w:customStyle="1" w:styleId="10">
    <w:name w:val="10"/>
    <w:basedOn w:val="TableNormal"/>
    <w:pPr>
      <w:spacing w:after="0" w:line="240" w:lineRule="auto"/>
    </w:pPr>
    <w:tblPr>
      <w:tblStyleRowBandSize w:val="1"/>
      <w:tblStyleColBandSize w:val="1"/>
    </w:tblPr>
  </w:style>
  <w:style w:type="table" w:customStyle="1" w:styleId="9">
    <w:name w:val="9"/>
    <w:basedOn w:val="TableNormal"/>
    <w:pPr>
      <w:spacing w:after="0" w:line="240" w:lineRule="auto"/>
    </w:pPr>
    <w:tblPr>
      <w:tblStyleRowBandSize w:val="1"/>
      <w:tblStyleColBandSize w:val="1"/>
    </w:tblPr>
  </w:style>
  <w:style w:type="table" w:customStyle="1" w:styleId="8">
    <w:name w:val="8"/>
    <w:basedOn w:val="TableNormal"/>
    <w:pPr>
      <w:spacing w:after="0" w:line="240" w:lineRule="auto"/>
    </w:pPr>
    <w:tblPr>
      <w:tblStyleRowBandSize w:val="1"/>
      <w:tblStyleColBandSize w:val="1"/>
    </w:tblPr>
  </w:style>
  <w:style w:type="table" w:customStyle="1" w:styleId="7">
    <w:name w:val="7"/>
    <w:basedOn w:val="TableNormal"/>
    <w:pPr>
      <w:spacing w:after="0" w:line="240" w:lineRule="auto"/>
    </w:pPr>
    <w:tblPr>
      <w:tblStyleRowBandSize w:val="1"/>
      <w:tblStyleColBandSize w:val="1"/>
    </w:tbl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661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YbEPS37jB7ffPlu497HMiw677w==">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2024-05-09T18:56:32+00:00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6EF2C89-0540-4B6D-950A-F79A46491298}"/>
</file>

<file path=customXml/itemProps3.xml><?xml version="1.0" encoding="utf-8"?>
<ds:datastoreItem xmlns:ds="http://schemas.openxmlformats.org/officeDocument/2006/customXml" ds:itemID="{C1F1CADE-6A1C-4C96-BF22-5228567D208A}"/>
</file>

<file path=customXml/itemProps4.xml><?xml version="1.0" encoding="utf-8"?>
<ds:datastoreItem xmlns:ds="http://schemas.openxmlformats.org/officeDocument/2006/customXml" ds:itemID="{5DD0976F-BE8A-4894-BF0A-F7C7DC0FA817}"/>
</file>

<file path=docProps/app.xml><?xml version="1.0" encoding="utf-8"?>
<Properties xmlns="http://schemas.openxmlformats.org/officeDocument/2006/extended-properties" xmlns:vt="http://schemas.openxmlformats.org/officeDocument/2006/docPropsVTypes">
  <Template>Normal</Template>
  <TotalTime>202</TotalTime>
  <Pages>13</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AMODEO Rebecca * ODE</dc:creator>
  <cp:lastModifiedBy>CATTERALL Linda * ODE</cp:lastModifiedBy>
  <cp:revision>16</cp:revision>
  <dcterms:created xsi:type="dcterms:W3CDTF">2024-01-24T23:06:00Z</dcterms:created>
  <dcterms:modified xsi:type="dcterms:W3CDTF">2024-05-09T18:55:00Z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2024-01-23T23:45:42Z</vt:lpwstr>
  </property>
  <property fmtid="{D5CDD505-2E9C-101B-9397-08002B2CF9AE}" pid="4" name="MSIP_Label_7730ea53-6f5e-4160-81a5-992a9105450a_Method">
    <vt:lpwstr>Privileged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6006fdd1-a146-42cc-9e6b-a5cce8f0349d</vt:lpwstr>
  </property>
  <property fmtid="{D5CDD505-2E9C-101B-9397-08002B2CF9AE}" pid="8" name="MSIP_Label_7730ea53-6f5e-4160-81a5-992a9105450a_ContentBits">
    <vt:lpwstr>0</vt:lpwstr>
  </property>
  <property fmtid="{D5CDD505-2E9C-101B-9397-08002B2CF9AE}" pid="9" name="ContentTypeId">
    <vt:lpwstr>0x010100370A246D552C07439E8981692F46C31B</vt:lpwstr>
  </property>
</Properties>
</file>