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DE6AFD" w:rsidRDefault="006E4784">
      <w:pPr>
        <w:pStyle w:val="Heading1"/>
        <w:widowControl w:val="0"/>
        <w:spacing w:before="0" w:line="240" w:lineRule="auto"/>
        <w:ind w:left="6"/>
      </w:pPr>
      <w:bookmarkStart w:id="0" w:name="_mffjhtjnr8gv" w:colFirst="0" w:colLast="0"/>
      <w:bookmarkEnd w:id="0"/>
      <w:r>
        <w:rPr>
          <w:rFonts w:ascii="Calibri" w:eastAsia="Calibri" w:hAnsi="Calibri" w:cs="Calibri"/>
          <w:b/>
          <w:color w:val="0B5394"/>
          <w:sz w:val="32"/>
          <w:szCs w:val="32"/>
        </w:rPr>
        <w:t>Appendix J: CTE State Plan Glossary</w:t>
      </w:r>
      <w:r>
        <w:rPr>
          <w:b/>
          <w:color w:val="0B5394"/>
        </w:rPr>
        <w:t xml:space="preserve"> </w:t>
      </w:r>
      <w:r>
        <w:tab/>
      </w:r>
      <w:r>
        <w:tab/>
      </w:r>
      <w:r>
        <w:tab/>
      </w:r>
      <w:r>
        <w:tab/>
      </w:r>
    </w:p>
    <w:p w14:paraId="00000002" w14:textId="276347CE" w:rsidR="00DE6AFD" w:rsidRPr="00515289" w:rsidRDefault="006E4784">
      <w:pPr>
        <w:pStyle w:val="Heading1"/>
        <w:widowControl w:val="0"/>
        <w:spacing w:line="240" w:lineRule="auto"/>
        <w:ind w:left="6"/>
        <w:rPr>
          <w:rFonts w:asciiTheme="majorHAnsi" w:hAnsiTheme="majorHAnsi" w:cstheme="majorHAnsi"/>
          <w:sz w:val="22"/>
          <w:szCs w:val="22"/>
        </w:rPr>
      </w:pPr>
      <w:bookmarkStart w:id="1" w:name="_jw8uscr094oh" w:colFirst="0" w:colLast="0"/>
      <w:bookmarkEnd w:id="1"/>
      <w:r w:rsidRPr="00515289">
        <w:rPr>
          <w:rFonts w:asciiTheme="majorHAnsi" w:hAnsiTheme="majorHAnsi" w:cstheme="majorHAnsi"/>
          <w:b/>
          <w:color w:val="000000"/>
          <w:sz w:val="22"/>
          <w:szCs w:val="22"/>
        </w:rPr>
        <w:t xml:space="preserve">Accelerated Learning </w:t>
      </w:r>
      <w:r w:rsidRPr="00515289">
        <w:rPr>
          <w:rFonts w:asciiTheme="majorHAnsi" w:hAnsiTheme="majorHAnsi" w:cstheme="majorHAnsi"/>
          <w:color w:val="000000"/>
          <w:sz w:val="22"/>
          <w:szCs w:val="22"/>
        </w:rPr>
        <w:t>(</w:t>
      </w:r>
      <w:r w:rsidR="009C1EDC">
        <w:rPr>
          <w:rFonts w:asciiTheme="majorHAnsi" w:hAnsiTheme="majorHAnsi" w:cstheme="majorHAnsi"/>
          <w:color w:val="000000"/>
          <w:sz w:val="22"/>
          <w:szCs w:val="22"/>
        </w:rPr>
        <w:t>c</w:t>
      </w:r>
      <w:r w:rsidRPr="00515289">
        <w:rPr>
          <w:rFonts w:asciiTheme="majorHAnsi" w:hAnsiTheme="majorHAnsi" w:cstheme="majorHAnsi"/>
          <w:color w:val="000000"/>
          <w:sz w:val="22"/>
          <w:szCs w:val="22"/>
        </w:rPr>
        <w:t xml:space="preserve">ollege </w:t>
      </w:r>
      <w:r w:rsidR="009C1EDC">
        <w:rPr>
          <w:rFonts w:asciiTheme="majorHAnsi" w:hAnsiTheme="majorHAnsi" w:cstheme="majorHAnsi"/>
          <w:color w:val="000000"/>
          <w:sz w:val="22"/>
          <w:szCs w:val="22"/>
        </w:rPr>
        <w:t>c</w:t>
      </w:r>
      <w:r w:rsidRPr="00515289">
        <w:rPr>
          <w:rFonts w:asciiTheme="majorHAnsi" w:hAnsiTheme="majorHAnsi" w:cstheme="majorHAnsi"/>
          <w:color w:val="000000"/>
          <w:sz w:val="22"/>
          <w:szCs w:val="22"/>
        </w:rPr>
        <w:t xml:space="preserve">redit </w:t>
      </w:r>
      <w:r w:rsidR="009C1EDC">
        <w:rPr>
          <w:rFonts w:asciiTheme="majorHAnsi" w:hAnsiTheme="majorHAnsi" w:cstheme="majorHAnsi"/>
          <w:color w:val="000000"/>
          <w:sz w:val="22"/>
          <w:szCs w:val="22"/>
        </w:rPr>
        <w:t>w</w:t>
      </w:r>
      <w:r w:rsidRPr="00515289">
        <w:rPr>
          <w:rFonts w:asciiTheme="majorHAnsi" w:hAnsiTheme="majorHAnsi" w:cstheme="majorHAnsi"/>
          <w:color w:val="000000"/>
          <w:sz w:val="22"/>
          <w:szCs w:val="22"/>
        </w:rPr>
        <w:t xml:space="preserve">hile in </w:t>
      </w:r>
      <w:r w:rsidR="009C1EDC">
        <w:rPr>
          <w:rFonts w:asciiTheme="majorHAnsi" w:hAnsiTheme="majorHAnsi" w:cstheme="majorHAnsi"/>
          <w:color w:val="000000"/>
          <w:sz w:val="22"/>
          <w:szCs w:val="22"/>
        </w:rPr>
        <w:t>h</w:t>
      </w:r>
      <w:r w:rsidRPr="00515289">
        <w:rPr>
          <w:rFonts w:asciiTheme="majorHAnsi" w:hAnsiTheme="majorHAnsi" w:cstheme="majorHAnsi"/>
          <w:color w:val="000000"/>
          <w:sz w:val="22"/>
          <w:szCs w:val="22"/>
        </w:rPr>
        <w:t xml:space="preserve">igh </w:t>
      </w:r>
      <w:r w:rsidR="009C1EDC">
        <w:rPr>
          <w:rFonts w:asciiTheme="majorHAnsi" w:hAnsiTheme="majorHAnsi" w:cstheme="majorHAnsi"/>
          <w:color w:val="000000"/>
          <w:sz w:val="22"/>
          <w:szCs w:val="22"/>
        </w:rPr>
        <w:t>s</w:t>
      </w:r>
      <w:r w:rsidRPr="00515289">
        <w:rPr>
          <w:rFonts w:asciiTheme="majorHAnsi" w:hAnsiTheme="majorHAnsi" w:cstheme="majorHAnsi"/>
          <w:color w:val="000000"/>
          <w:sz w:val="22"/>
          <w:szCs w:val="22"/>
        </w:rPr>
        <w:t>chool): Educational experiences that</w:t>
      </w:r>
      <w:r w:rsidRPr="00515289">
        <w:rPr>
          <w:rFonts w:asciiTheme="majorHAnsi" w:hAnsiTheme="majorHAnsi" w:cstheme="majorHAnsi"/>
          <w:sz w:val="22"/>
          <w:szCs w:val="22"/>
        </w:rPr>
        <w:t xml:space="preserve"> allow high school students</w:t>
      </w:r>
      <w:r w:rsidRPr="00515289">
        <w:rPr>
          <w:rFonts w:asciiTheme="majorHAnsi" w:hAnsiTheme="majorHAnsi" w:cstheme="majorHAnsi"/>
          <w:color w:val="000000"/>
          <w:sz w:val="22"/>
          <w:szCs w:val="22"/>
        </w:rPr>
        <w:t xml:space="preserve"> to earn college credit while</w:t>
      </w:r>
      <w:r w:rsidRPr="00515289">
        <w:rPr>
          <w:rFonts w:asciiTheme="majorHAnsi" w:hAnsiTheme="majorHAnsi" w:cstheme="majorHAnsi"/>
          <w:sz w:val="22"/>
          <w:szCs w:val="22"/>
        </w:rPr>
        <w:t xml:space="preserve"> </w:t>
      </w:r>
      <w:r w:rsidRPr="00515289">
        <w:rPr>
          <w:rFonts w:asciiTheme="majorHAnsi" w:hAnsiTheme="majorHAnsi" w:cstheme="majorHAnsi"/>
          <w:color w:val="000000"/>
          <w:sz w:val="22"/>
          <w:szCs w:val="22"/>
        </w:rPr>
        <w:t>in high school. These educational experiences may occur at a college/university or as part of the high school</w:t>
      </w:r>
      <w:r w:rsidRPr="00515289">
        <w:rPr>
          <w:rFonts w:asciiTheme="majorHAnsi" w:hAnsiTheme="majorHAnsi" w:cstheme="majorHAnsi"/>
          <w:sz w:val="22"/>
          <w:szCs w:val="22"/>
        </w:rPr>
        <w:t xml:space="preserve"> </w:t>
      </w:r>
      <w:r w:rsidRPr="00515289">
        <w:rPr>
          <w:rFonts w:asciiTheme="majorHAnsi" w:hAnsiTheme="majorHAnsi" w:cstheme="majorHAnsi"/>
          <w:color w:val="000000"/>
          <w:sz w:val="22"/>
          <w:szCs w:val="22"/>
        </w:rPr>
        <w:t>program. In many cases, students earn both high school and college credit. In Oregon, there</w:t>
      </w:r>
      <w:r w:rsidRPr="00515289">
        <w:rPr>
          <w:rFonts w:asciiTheme="majorHAnsi" w:hAnsiTheme="majorHAnsi" w:cstheme="majorHAnsi"/>
          <w:sz w:val="22"/>
          <w:szCs w:val="22"/>
        </w:rPr>
        <w:t xml:space="preserve"> </w:t>
      </w:r>
      <w:r w:rsidRPr="00515289">
        <w:rPr>
          <w:rFonts w:asciiTheme="majorHAnsi" w:hAnsiTheme="majorHAnsi" w:cstheme="majorHAnsi"/>
          <w:color w:val="000000"/>
          <w:sz w:val="22"/>
          <w:szCs w:val="22"/>
        </w:rPr>
        <w:t>are multiple types of accelerated learning: Advanced Placement</w:t>
      </w:r>
      <w:r w:rsidRPr="00515289">
        <w:rPr>
          <w:rFonts w:asciiTheme="majorHAnsi" w:hAnsiTheme="majorHAnsi" w:cstheme="majorHAnsi"/>
          <w:sz w:val="22"/>
          <w:szCs w:val="22"/>
        </w:rPr>
        <w:t>,</w:t>
      </w:r>
      <w:r w:rsidRPr="00515289">
        <w:rPr>
          <w:rFonts w:asciiTheme="majorHAnsi" w:hAnsiTheme="majorHAnsi" w:cstheme="majorHAnsi"/>
          <w:color w:val="000000"/>
          <w:sz w:val="22"/>
          <w:szCs w:val="22"/>
        </w:rPr>
        <w:t xml:space="preserve"> </w:t>
      </w:r>
      <w:proofErr w:type="gramStart"/>
      <w:r w:rsidR="004C0180">
        <w:rPr>
          <w:rFonts w:asciiTheme="majorHAnsi" w:hAnsiTheme="majorHAnsi" w:cstheme="majorHAnsi"/>
          <w:color w:val="000000"/>
          <w:sz w:val="22"/>
          <w:szCs w:val="22"/>
        </w:rPr>
        <w:t>a</w:t>
      </w:r>
      <w:r w:rsidRPr="00515289">
        <w:rPr>
          <w:rFonts w:asciiTheme="majorHAnsi" w:hAnsiTheme="majorHAnsi" w:cstheme="majorHAnsi"/>
          <w:color w:val="000000"/>
          <w:sz w:val="22"/>
          <w:szCs w:val="22"/>
        </w:rPr>
        <w:t>ssessment based</w:t>
      </w:r>
      <w:proofErr w:type="gramEnd"/>
      <w:r w:rsidRPr="00515289">
        <w:rPr>
          <w:rFonts w:asciiTheme="majorHAnsi" w:hAnsiTheme="majorHAnsi" w:cstheme="majorHAnsi"/>
          <w:color w:val="000000"/>
          <w:sz w:val="22"/>
          <w:szCs w:val="22"/>
        </w:rPr>
        <w:t xml:space="preserve"> learning</w:t>
      </w:r>
      <w:r w:rsidRPr="00515289">
        <w:rPr>
          <w:rFonts w:asciiTheme="majorHAnsi" w:hAnsiTheme="majorHAnsi" w:cstheme="majorHAnsi"/>
          <w:sz w:val="22"/>
          <w:szCs w:val="22"/>
        </w:rPr>
        <w:t xml:space="preserve"> </w:t>
      </w:r>
      <w:r w:rsidRPr="00515289">
        <w:rPr>
          <w:rFonts w:asciiTheme="majorHAnsi" w:hAnsiTheme="majorHAnsi" w:cstheme="majorHAnsi"/>
          <w:color w:val="000000"/>
          <w:sz w:val="22"/>
          <w:szCs w:val="22"/>
        </w:rPr>
        <w:t>credit</w:t>
      </w:r>
      <w:r w:rsidRPr="00515289">
        <w:rPr>
          <w:rFonts w:asciiTheme="majorHAnsi" w:hAnsiTheme="majorHAnsi" w:cstheme="majorHAnsi"/>
          <w:sz w:val="22"/>
          <w:szCs w:val="22"/>
        </w:rPr>
        <w:t>,</w:t>
      </w:r>
      <w:r w:rsidRPr="00515289">
        <w:rPr>
          <w:rFonts w:asciiTheme="majorHAnsi" w:hAnsiTheme="majorHAnsi" w:cstheme="majorHAnsi"/>
          <w:color w:val="000000"/>
          <w:sz w:val="22"/>
          <w:szCs w:val="22"/>
        </w:rPr>
        <w:t xml:space="preserve"> </w:t>
      </w:r>
      <w:r w:rsidR="004C0180">
        <w:rPr>
          <w:rFonts w:asciiTheme="majorHAnsi" w:hAnsiTheme="majorHAnsi" w:cstheme="majorHAnsi"/>
          <w:color w:val="000000"/>
          <w:sz w:val="22"/>
          <w:szCs w:val="22"/>
        </w:rPr>
        <w:t>d</w:t>
      </w:r>
      <w:r w:rsidRPr="00515289">
        <w:rPr>
          <w:rFonts w:asciiTheme="majorHAnsi" w:hAnsiTheme="majorHAnsi" w:cstheme="majorHAnsi"/>
          <w:color w:val="000000"/>
          <w:sz w:val="22"/>
          <w:szCs w:val="22"/>
        </w:rPr>
        <w:t>ual credit; International Baccalaureate</w:t>
      </w:r>
      <w:r w:rsidRPr="00515289">
        <w:rPr>
          <w:rFonts w:asciiTheme="majorHAnsi" w:hAnsiTheme="majorHAnsi" w:cstheme="majorHAnsi"/>
          <w:sz w:val="22"/>
          <w:szCs w:val="22"/>
        </w:rPr>
        <w:t>,</w:t>
      </w:r>
      <w:r w:rsidRPr="00515289">
        <w:rPr>
          <w:rFonts w:asciiTheme="majorHAnsi" w:hAnsiTheme="majorHAnsi" w:cstheme="majorHAnsi"/>
          <w:color w:val="000000"/>
          <w:sz w:val="22"/>
          <w:szCs w:val="22"/>
        </w:rPr>
        <w:t xml:space="preserve"> </w:t>
      </w:r>
      <w:r w:rsidR="004C0180">
        <w:rPr>
          <w:rFonts w:asciiTheme="majorHAnsi" w:hAnsiTheme="majorHAnsi" w:cstheme="majorHAnsi"/>
          <w:color w:val="000000"/>
          <w:sz w:val="22"/>
          <w:szCs w:val="22"/>
        </w:rPr>
        <w:t>s</w:t>
      </w:r>
      <w:r w:rsidRPr="00515289">
        <w:rPr>
          <w:rFonts w:asciiTheme="majorHAnsi" w:hAnsiTheme="majorHAnsi" w:cstheme="majorHAnsi"/>
          <w:color w:val="000000"/>
          <w:sz w:val="22"/>
          <w:szCs w:val="22"/>
        </w:rPr>
        <w:t xml:space="preserve">ponsored dual credit; and </w:t>
      </w:r>
      <w:r w:rsidR="004C0180">
        <w:rPr>
          <w:rFonts w:asciiTheme="majorHAnsi" w:hAnsiTheme="majorHAnsi" w:cstheme="majorHAnsi"/>
          <w:color w:val="000000"/>
          <w:sz w:val="22"/>
          <w:szCs w:val="22"/>
        </w:rPr>
        <w:t>h</w:t>
      </w:r>
      <w:r w:rsidRPr="00515289">
        <w:rPr>
          <w:rFonts w:asciiTheme="majorHAnsi" w:hAnsiTheme="majorHAnsi" w:cstheme="majorHAnsi"/>
          <w:color w:val="000000"/>
          <w:sz w:val="22"/>
          <w:szCs w:val="22"/>
        </w:rPr>
        <w:t>igh school</w:t>
      </w:r>
      <w:r w:rsidRPr="00515289">
        <w:rPr>
          <w:rFonts w:asciiTheme="majorHAnsi" w:hAnsiTheme="majorHAnsi" w:cstheme="majorHAnsi"/>
          <w:sz w:val="22"/>
          <w:szCs w:val="22"/>
        </w:rPr>
        <w:t xml:space="preserve"> </w:t>
      </w:r>
      <w:r w:rsidRPr="00515289">
        <w:rPr>
          <w:rFonts w:asciiTheme="majorHAnsi" w:hAnsiTheme="majorHAnsi" w:cstheme="majorHAnsi"/>
          <w:color w:val="000000"/>
          <w:sz w:val="22"/>
          <w:szCs w:val="22"/>
        </w:rPr>
        <w:t xml:space="preserve">students taking courses at the college/university </w:t>
      </w:r>
      <w:r w:rsidRPr="00515289">
        <w:rPr>
          <w:rFonts w:asciiTheme="majorHAnsi" w:hAnsiTheme="majorHAnsi" w:cstheme="majorHAnsi"/>
          <w:sz w:val="22"/>
          <w:szCs w:val="22"/>
        </w:rPr>
        <w:t>through direct enrollment</w:t>
      </w:r>
      <w:r w:rsidRPr="00515289">
        <w:rPr>
          <w:rFonts w:asciiTheme="majorHAnsi" w:hAnsiTheme="majorHAnsi" w:cstheme="majorHAnsi"/>
          <w:color w:val="000000"/>
          <w:sz w:val="22"/>
          <w:szCs w:val="22"/>
        </w:rPr>
        <w:t xml:space="preserve">. </w:t>
      </w:r>
    </w:p>
    <w:p w14:paraId="00000003" w14:textId="77777777" w:rsidR="00DE6AFD" w:rsidRPr="00515289" w:rsidRDefault="006E4784">
      <w:pPr>
        <w:widowControl w:val="0"/>
        <w:pBdr>
          <w:top w:val="nil"/>
          <w:left w:val="nil"/>
          <w:bottom w:val="nil"/>
          <w:right w:val="nil"/>
          <w:between w:val="nil"/>
        </w:pBdr>
        <w:spacing w:before="196" w:line="264" w:lineRule="auto"/>
        <w:ind w:left="6" w:right="275" w:firstLine="1"/>
        <w:rPr>
          <w:rFonts w:asciiTheme="majorHAnsi" w:hAnsiTheme="majorHAnsi" w:cstheme="majorHAnsi"/>
        </w:rPr>
      </w:pPr>
      <w:r w:rsidRPr="00515289">
        <w:rPr>
          <w:rFonts w:asciiTheme="majorHAnsi" w:hAnsiTheme="majorHAnsi" w:cstheme="majorHAnsi"/>
          <w:b/>
          <w:color w:val="000000"/>
        </w:rPr>
        <w:t>Adult Basic Skills (ABS)</w:t>
      </w:r>
      <w:r w:rsidRPr="00515289">
        <w:rPr>
          <w:rFonts w:asciiTheme="majorHAnsi" w:hAnsiTheme="majorHAnsi" w:cstheme="majorHAnsi"/>
          <w:color w:val="000000"/>
        </w:rPr>
        <w:t>: Pre-college instruction divisions in Oregon community colleges that</w:t>
      </w:r>
      <w:r w:rsidRPr="00515289">
        <w:rPr>
          <w:rFonts w:asciiTheme="majorHAnsi" w:hAnsiTheme="majorHAnsi" w:cstheme="majorHAnsi"/>
        </w:rPr>
        <w:t xml:space="preserve"> </w:t>
      </w:r>
      <w:r w:rsidRPr="00515289">
        <w:rPr>
          <w:rFonts w:asciiTheme="majorHAnsi" w:hAnsiTheme="majorHAnsi" w:cstheme="majorHAnsi"/>
          <w:color w:val="000000"/>
        </w:rPr>
        <w:t>provide non-credit course instruction and remediation in Adult Basic Education (reading, writing, math), high school equivalency preparation, and English as a Second Language (reading</w:t>
      </w:r>
      <w:r w:rsidRPr="00515289">
        <w:rPr>
          <w:rFonts w:asciiTheme="majorHAnsi" w:hAnsiTheme="majorHAnsi" w:cstheme="majorHAnsi"/>
        </w:rPr>
        <w:t>, writing, speaking, and listening)</w:t>
      </w:r>
      <w:r w:rsidRPr="00515289">
        <w:rPr>
          <w:rFonts w:asciiTheme="majorHAnsi" w:hAnsiTheme="majorHAnsi" w:cstheme="majorHAnsi"/>
          <w:color w:val="000000"/>
        </w:rPr>
        <w:t xml:space="preserve">. </w:t>
      </w:r>
    </w:p>
    <w:p w14:paraId="00000004" w14:textId="5EECAA42" w:rsidR="00DE6AFD" w:rsidRPr="00515289" w:rsidRDefault="006E4784">
      <w:pPr>
        <w:widowControl w:val="0"/>
        <w:pBdr>
          <w:top w:val="nil"/>
          <w:left w:val="nil"/>
          <w:bottom w:val="nil"/>
          <w:right w:val="nil"/>
          <w:between w:val="nil"/>
        </w:pBdr>
        <w:spacing w:before="196" w:line="264" w:lineRule="auto"/>
        <w:ind w:left="6" w:right="275" w:firstLine="1"/>
        <w:rPr>
          <w:rFonts w:asciiTheme="majorHAnsi" w:hAnsiTheme="majorHAnsi" w:cstheme="majorHAnsi"/>
        </w:rPr>
      </w:pPr>
      <w:r w:rsidRPr="00515289">
        <w:rPr>
          <w:rFonts w:asciiTheme="majorHAnsi" w:hAnsiTheme="majorHAnsi" w:cstheme="majorHAnsi"/>
          <w:b/>
          <w:color w:val="000000"/>
        </w:rPr>
        <w:t>Career</w:t>
      </w:r>
      <w:r w:rsidRPr="00515289">
        <w:rPr>
          <w:rFonts w:asciiTheme="majorHAnsi" w:hAnsiTheme="majorHAnsi" w:cstheme="majorHAnsi"/>
          <w:b/>
        </w:rPr>
        <w:t xml:space="preserve"> </w:t>
      </w:r>
      <w:r w:rsidRPr="00515289">
        <w:rPr>
          <w:rFonts w:asciiTheme="majorHAnsi" w:hAnsiTheme="majorHAnsi" w:cstheme="majorHAnsi"/>
          <w:b/>
          <w:color w:val="000000"/>
        </w:rPr>
        <w:t>Connected Learning</w:t>
      </w:r>
      <w:r w:rsidRPr="00515289">
        <w:rPr>
          <w:rFonts w:asciiTheme="majorHAnsi" w:hAnsiTheme="majorHAnsi" w:cstheme="majorHAnsi"/>
          <w:color w:val="000000"/>
        </w:rPr>
        <w:t>: A continuum of experiences within a framework of career</w:t>
      </w:r>
      <w:r w:rsidRPr="00515289">
        <w:rPr>
          <w:rFonts w:asciiTheme="majorHAnsi" w:hAnsiTheme="majorHAnsi" w:cstheme="majorHAnsi"/>
        </w:rPr>
        <w:t xml:space="preserve"> </w:t>
      </w:r>
      <w:r w:rsidRPr="00515289">
        <w:rPr>
          <w:rFonts w:asciiTheme="majorHAnsi" w:hAnsiTheme="majorHAnsi" w:cstheme="majorHAnsi"/>
          <w:color w:val="000000"/>
        </w:rPr>
        <w:t>awareness, exploration, preparation, and training that are learner-relevant and directly</w:t>
      </w:r>
      <w:r w:rsidRPr="00515289">
        <w:rPr>
          <w:rFonts w:asciiTheme="majorHAnsi" w:hAnsiTheme="majorHAnsi" w:cstheme="majorHAnsi"/>
        </w:rPr>
        <w:t xml:space="preserve"> </w:t>
      </w:r>
      <w:r w:rsidRPr="00515289">
        <w:rPr>
          <w:rFonts w:asciiTheme="majorHAnsi" w:hAnsiTheme="majorHAnsi" w:cstheme="majorHAnsi"/>
          <w:color w:val="000000"/>
        </w:rPr>
        <w:t>linked to professional and industry-based expectations. These experiences provide multiple</w:t>
      </w:r>
      <w:r w:rsidRPr="00515289">
        <w:rPr>
          <w:rFonts w:asciiTheme="majorHAnsi" w:hAnsiTheme="majorHAnsi" w:cstheme="majorHAnsi"/>
        </w:rPr>
        <w:t xml:space="preserve"> </w:t>
      </w:r>
      <w:r w:rsidRPr="00515289">
        <w:rPr>
          <w:rFonts w:asciiTheme="majorHAnsi" w:hAnsiTheme="majorHAnsi" w:cstheme="majorHAnsi"/>
          <w:color w:val="000000"/>
        </w:rPr>
        <w:t>paths to success and are selected by individual learners based on their own lived experiences,</w:t>
      </w:r>
      <w:r w:rsidRPr="00515289">
        <w:rPr>
          <w:rFonts w:asciiTheme="majorHAnsi" w:hAnsiTheme="majorHAnsi" w:cstheme="majorHAnsi"/>
        </w:rPr>
        <w:t xml:space="preserve"> </w:t>
      </w:r>
      <w:r w:rsidRPr="00515289">
        <w:rPr>
          <w:rFonts w:asciiTheme="majorHAnsi" w:hAnsiTheme="majorHAnsi" w:cstheme="majorHAnsi"/>
          <w:color w:val="000000"/>
        </w:rPr>
        <w:t>skills, interests, learning styles, and life goals. Educators, counselors, business and industry, and community leaders work as partners to deliver career</w:t>
      </w:r>
      <w:r w:rsidRPr="00515289">
        <w:rPr>
          <w:rFonts w:asciiTheme="majorHAnsi" w:hAnsiTheme="majorHAnsi" w:cstheme="majorHAnsi"/>
        </w:rPr>
        <w:t xml:space="preserve"> </w:t>
      </w:r>
      <w:r w:rsidRPr="00515289">
        <w:rPr>
          <w:rFonts w:asciiTheme="majorHAnsi" w:hAnsiTheme="majorHAnsi" w:cstheme="majorHAnsi"/>
          <w:color w:val="000000"/>
        </w:rPr>
        <w:t>connected learning opportunities and</w:t>
      </w:r>
      <w:r w:rsidRPr="00515289">
        <w:rPr>
          <w:rFonts w:asciiTheme="majorHAnsi" w:hAnsiTheme="majorHAnsi" w:cstheme="majorHAnsi"/>
        </w:rPr>
        <w:t xml:space="preserve"> </w:t>
      </w:r>
      <w:r w:rsidRPr="00515289">
        <w:rPr>
          <w:rFonts w:asciiTheme="majorHAnsi" w:hAnsiTheme="majorHAnsi" w:cstheme="majorHAnsi"/>
          <w:color w:val="000000"/>
        </w:rPr>
        <w:t>support along the continuum. This continuum recognizes that learners may have multiple entry</w:t>
      </w:r>
      <w:r w:rsidRPr="00515289">
        <w:rPr>
          <w:rFonts w:asciiTheme="majorHAnsi" w:hAnsiTheme="majorHAnsi" w:cstheme="majorHAnsi"/>
        </w:rPr>
        <w:t xml:space="preserve"> </w:t>
      </w:r>
      <w:r w:rsidRPr="00515289">
        <w:rPr>
          <w:rFonts w:asciiTheme="majorHAnsi" w:hAnsiTheme="majorHAnsi" w:cstheme="majorHAnsi"/>
          <w:color w:val="000000"/>
        </w:rPr>
        <w:t>and exit points as their balance of work and education may shift as paths diverge and reconnect</w:t>
      </w:r>
      <w:r w:rsidRPr="00515289">
        <w:rPr>
          <w:rFonts w:asciiTheme="majorHAnsi" w:hAnsiTheme="majorHAnsi" w:cstheme="majorHAnsi"/>
        </w:rPr>
        <w:t xml:space="preserve"> </w:t>
      </w:r>
      <w:r w:rsidRPr="00515289">
        <w:rPr>
          <w:rFonts w:asciiTheme="majorHAnsi" w:hAnsiTheme="majorHAnsi" w:cstheme="majorHAnsi"/>
          <w:color w:val="000000"/>
        </w:rPr>
        <w:t xml:space="preserve">over time and that each individual should be able to build academic, technical, entrepreneurial,  and </w:t>
      </w:r>
      <w:r w:rsidRPr="00515289">
        <w:rPr>
          <w:rFonts w:asciiTheme="majorHAnsi" w:hAnsiTheme="majorHAnsi" w:cstheme="majorHAnsi"/>
        </w:rPr>
        <w:t>employability</w:t>
      </w:r>
      <w:r w:rsidRPr="00515289">
        <w:rPr>
          <w:rFonts w:asciiTheme="majorHAnsi" w:hAnsiTheme="majorHAnsi" w:cstheme="majorHAnsi"/>
          <w:color w:val="000000"/>
        </w:rPr>
        <w:t xml:space="preserve"> skills that will prepare them for meaningful careers and life-long learning. </w:t>
      </w:r>
    </w:p>
    <w:p w14:paraId="00000005" w14:textId="52F1CF3E" w:rsidR="00DE6AFD" w:rsidRDefault="006E4784">
      <w:pPr>
        <w:widowControl w:val="0"/>
        <w:pBdr>
          <w:top w:val="nil"/>
          <w:left w:val="nil"/>
          <w:bottom w:val="nil"/>
          <w:right w:val="nil"/>
          <w:between w:val="nil"/>
        </w:pBdr>
        <w:spacing w:before="196" w:line="264" w:lineRule="auto"/>
        <w:ind w:left="6" w:right="275" w:firstLine="1"/>
        <w:rPr>
          <w:rFonts w:asciiTheme="majorHAnsi" w:hAnsiTheme="majorHAnsi" w:cstheme="majorHAnsi"/>
          <w:b/>
          <w:i/>
        </w:rPr>
      </w:pPr>
      <w:r w:rsidRPr="00515289">
        <w:rPr>
          <w:rFonts w:asciiTheme="majorHAnsi" w:hAnsiTheme="majorHAnsi" w:cstheme="majorHAnsi"/>
          <w:b/>
          <w:color w:val="000000"/>
        </w:rPr>
        <w:t>Career Pathways</w:t>
      </w:r>
      <w:r w:rsidRPr="00515289">
        <w:rPr>
          <w:rFonts w:asciiTheme="majorHAnsi" w:hAnsiTheme="majorHAnsi" w:cstheme="majorHAnsi"/>
          <w:b/>
        </w:rPr>
        <w:t>:</w:t>
      </w:r>
      <w:r w:rsidRPr="00515289">
        <w:rPr>
          <w:rFonts w:asciiTheme="majorHAnsi" w:hAnsiTheme="majorHAnsi" w:cstheme="majorHAnsi"/>
          <w:b/>
          <w:color w:val="000000"/>
        </w:rPr>
        <w:t xml:space="preserve"> </w:t>
      </w:r>
      <w:r w:rsidRPr="00515289">
        <w:rPr>
          <w:rFonts w:asciiTheme="majorHAnsi" w:hAnsiTheme="majorHAnsi" w:cstheme="majorHAnsi"/>
          <w:color w:val="000000"/>
        </w:rPr>
        <w:t xml:space="preserve">The life-long learning journey of each person </w:t>
      </w:r>
      <w:r w:rsidRPr="00515289">
        <w:rPr>
          <w:rFonts w:asciiTheme="majorHAnsi" w:hAnsiTheme="majorHAnsi" w:cstheme="majorHAnsi"/>
        </w:rPr>
        <w:t xml:space="preserve">begins with early childhood experiences </w:t>
      </w:r>
      <w:r w:rsidRPr="00515289">
        <w:rPr>
          <w:rFonts w:asciiTheme="majorHAnsi" w:hAnsiTheme="majorHAnsi" w:cstheme="majorHAnsi"/>
          <w:color w:val="000000"/>
        </w:rPr>
        <w:t xml:space="preserve">shaped by school, community, and home </w:t>
      </w:r>
      <w:r w:rsidRPr="00515289">
        <w:rPr>
          <w:rFonts w:asciiTheme="majorHAnsi" w:hAnsiTheme="majorHAnsi" w:cstheme="majorHAnsi"/>
        </w:rPr>
        <w:t>experiences</w:t>
      </w:r>
      <w:r w:rsidRPr="00515289">
        <w:rPr>
          <w:rFonts w:asciiTheme="majorHAnsi" w:hAnsiTheme="majorHAnsi" w:cstheme="majorHAnsi"/>
          <w:color w:val="000000"/>
        </w:rPr>
        <w:t>. These pathways become more formally focused through secondary and postsecondary experiences and are continually developed through on-the-job experiences, additional</w:t>
      </w:r>
      <w:r w:rsidRPr="00515289">
        <w:rPr>
          <w:rFonts w:asciiTheme="majorHAnsi" w:hAnsiTheme="majorHAnsi" w:cstheme="majorHAnsi"/>
        </w:rPr>
        <w:t xml:space="preserve"> </w:t>
      </w:r>
      <w:r w:rsidRPr="00515289">
        <w:rPr>
          <w:rFonts w:asciiTheme="majorHAnsi" w:hAnsiTheme="majorHAnsi" w:cstheme="majorHAnsi"/>
          <w:color w:val="000000"/>
        </w:rPr>
        <w:t xml:space="preserve">education and training, and other life experiences as the career unfolds over time. There are </w:t>
      </w:r>
      <w:r w:rsidRPr="00515289">
        <w:rPr>
          <w:rFonts w:asciiTheme="majorHAnsi" w:hAnsiTheme="majorHAnsi" w:cstheme="majorHAnsi"/>
        </w:rPr>
        <w:t>other</w:t>
      </w:r>
      <w:r w:rsidRPr="00515289">
        <w:rPr>
          <w:rFonts w:asciiTheme="majorHAnsi" w:hAnsiTheme="majorHAnsi" w:cstheme="majorHAnsi"/>
          <w:color w:val="000000"/>
        </w:rPr>
        <w:t xml:space="preserve"> definitions used in Oregon listed below. </w:t>
      </w:r>
      <w:r w:rsidRPr="00515289">
        <w:rPr>
          <w:rFonts w:asciiTheme="majorHAnsi" w:hAnsiTheme="majorHAnsi" w:cstheme="majorHAnsi"/>
          <w:b/>
          <w:i/>
        </w:rPr>
        <w:t>See also: Career Pathway Programs, Secondary Career Pathways Grant, Postsecondary Career Pathways</w:t>
      </w:r>
    </w:p>
    <w:p w14:paraId="65CFCC00" w14:textId="124989D0" w:rsidR="00076CED" w:rsidRPr="00076CED" w:rsidRDefault="00194AE0" w:rsidP="00076CED">
      <w:pPr>
        <w:pStyle w:val="ListParagraph"/>
        <w:widowControl w:val="0"/>
        <w:numPr>
          <w:ilvl w:val="0"/>
          <w:numId w:val="13"/>
        </w:numPr>
        <w:pBdr>
          <w:top w:val="nil"/>
          <w:left w:val="nil"/>
          <w:bottom w:val="nil"/>
          <w:right w:val="nil"/>
          <w:between w:val="nil"/>
        </w:pBdr>
        <w:spacing w:before="196" w:line="264" w:lineRule="auto"/>
        <w:ind w:right="275"/>
        <w:rPr>
          <w:rFonts w:asciiTheme="majorHAnsi" w:hAnsiTheme="majorHAnsi" w:cstheme="majorHAnsi"/>
          <w:bCs/>
          <w:color w:val="000000"/>
        </w:rPr>
      </w:pPr>
      <w:hyperlink r:id="rId10" w:history="1">
        <w:r w:rsidR="00076CED" w:rsidRPr="00076CED">
          <w:rPr>
            <w:rStyle w:val="Hyperlink"/>
            <w:rFonts w:asciiTheme="majorHAnsi" w:hAnsiTheme="majorHAnsi" w:cstheme="majorHAnsi"/>
            <w:bCs/>
          </w:rPr>
          <w:t>National/WIOA Career Pathways Definition</w:t>
        </w:r>
      </w:hyperlink>
    </w:p>
    <w:p w14:paraId="00A94EC2" w14:textId="442ABAB2" w:rsidR="00076CED" w:rsidRPr="00076CED" w:rsidRDefault="00194AE0" w:rsidP="00076CED">
      <w:pPr>
        <w:pStyle w:val="ListParagraph"/>
        <w:widowControl w:val="0"/>
        <w:numPr>
          <w:ilvl w:val="0"/>
          <w:numId w:val="13"/>
        </w:numPr>
        <w:pBdr>
          <w:top w:val="nil"/>
          <w:left w:val="nil"/>
          <w:bottom w:val="nil"/>
          <w:right w:val="nil"/>
          <w:between w:val="nil"/>
        </w:pBdr>
        <w:spacing w:before="196" w:line="264" w:lineRule="auto"/>
        <w:ind w:right="275"/>
        <w:rPr>
          <w:rFonts w:asciiTheme="majorHAnsi" w:hAnsiTheme="majorHAnsi" w:cstheme="majorHAnsi"/>
          <w:bCs/>
          <w:i/>
        </w:rPr>
      </w:pPr>
      <w:hyperlink r:id="rId11" w:history="1">
        <w:r w:rsidR="00076CED" w:rsidRPr="00076CED">
          <w:rPr>
            <w:rStyle w:val="Hyperlink"/>
            <w:rFonts w:asciiTheme="majorHAnsi" w:hAnsiTheme="majorHAnsi" w:cstheme="majorHAnsi"/>
            <w:bCs/>
          </w:rPr>
          <w:t>Oregon Community College Career Pathways</w:t>
        </w:r>
      </w:hyperlink>
    </w:p>
    <w:p w14:paraId="00000008" w14:textId="5C8947D1" w:rsidR="00DE6AFD" w:rsidRPr="00515289" w:rsidRDefault="006E4784">
      <w:pPr>
        <w:widowControl w:val="0"/>
        <w:pBdr>
          <w:top w:val="nil"/>
          <w:left w:val="nil"/>
          <w:bottom w:val="nil"/>
          <w:right w:val="nil"/>
          <w:between w:val="nil"/>
        </w:pBdr>
        <w:spacing w:before="302" w:line="264" w:lineRule="auto"/>
        <w:ind w:left="6" w:right="75" w:firstLine="6"/>
        <w:rPr>
          <w:rFonts w:asciiTheme="majorHAnsi" w:hAnsiTheme="majorHAnsi" w:cstheme="majorHAnsi"/>
          <w:b/>
          <w:color w:val="365F91"/>
        </w:rPr>
      </w:pPr>
      <w:r w:rsidRPr="00515289">
        <w:rPr>
          <w:rFonts w:asciiTheme="majorHAnsi" w:hAnsiTheme="majorHAnsi" w:cstheme="majorHAnsi"/>
          <w:b/>
          <w:color w:val="000000"/>
        </w:rPr>
        <w:t>Career Pathway Programs</w:t>
      </w:r>
      <w:r w:rsidRPr="00515289">
        <w:rPr>
          <w:rFonts w:asciiTheme="majorHAnsi" w:hAnsiTheme="majorHAnsi" w:cstheme="majorHAnsi"/>
          <w:color w:val="000000"/>
        </w:rPr>
        <w:t>: Collaborations between education and training partners from</w:t>
      </w:r>
      <w:r w:rsidRPr="00515289">
        <w:rPr>
          <w:rFonts w:asciiTheme="majorHAnsi" w:hAnsiTheme="majorHAnsi" w:cstheme="majorHAnsi"/>
        </w:rPr>
        <w:t xml:space="preserve"> </w:t>
      </w:r>
      <w:r w:rsidRPr="00515289">
        <w:rPr>
          <w:rFonts w:asciiTheme="majorHAnsi" w:hAnsiTheme="majorHAnsi" w:cstheme="majorHAnsi"/>
          <w:color w:val="000000"/>
        </w:rPr>
        <w:t>secondary schools, community colleges, universities, private career schools, registered</w:t>
      </w:r>
      <w:r w:rsidRPr="00515289">
        <w:rPr>
          <w:rFonts w:asciiTheme="majorHAnsi" w:hAnsiTheme="majorHAnsi" w:cstheme="majorHAnsi"/>
        </w:rPr>
        <w:t xml:space="preserve"> </w:t>
      </w:r>
      <w:r w:rsidRPr="00515289">
        <w:rPr>
          <w:rFonts w:asciiTheme="majorHAnsi" w:hAnsiTheme="majorHAnsi" w:cstheme="majorHAnsi"/>
          <w:color w:val="000000"/>
        </w:rPr>
        <w:t>apprenticeships, and/or industry trainers to provide standards-based curriculum and give</w:t>
      </w:r>
      <w:r w:rsidRPr="00515289">
        <w:rPr>
          <w:rFonts w:asciiTheme="majorHAnsi" w:hAnsiTheme="majorHAnsi" w:cstheme="majorHAnsi"/>
        </w:rPr>
        <w:t xml:space="preserve"> </w:t>
      </w:r>
      <w:r w:rsidRPr="00515289">
        <w:rPr>
          <w:rFonts w:asciiTheme="majorHAnsi" w:hAnsiTheme="majorHAnsi" w:cstheme="majorHAnsi"/>
          <w:color w:val="000000"/>
        </w:rPr>
        <w:t>direction to the school-based experiences of a student. These career pathways are complete, non-duplicated sequences of learning experiences aimed at preparing students for occupations</w:t>
      </w:r>
      <w:r w:rsidRPr="00515289">
        <w:rPr>
          <w:rFonts w:asciiTheme="majorHAnsi" w:hAnsiTheme="majorHAnsi" w:cstheme="majorHAnsi"/>
        </w:rPr>
        <w:t xml:space="preserve"> </w:t>
      </w:r>
      <w:r w:rsidRPr="00515289">
        <w:rPr>
          <w:rFonts w:asciiTheme="majorHAnsi" w:hAnsiTheme="majorHAnsi" w:cstheme="majorHAnsi"/>
          <w:color w:val="000000"/>
        </w:rPr>
        <w:t xml:space="preserve">in specific career areas. Career pathways programs also provide intentional student </w:t>
      </w:r>
      <w:r w:rsidRPr="00515289">
        <w:rPr>
          <w:rFonts w:asciiTheme="majorHAnsi" w:hAnsiTheme="majorHAnsi" w:cstheme="majorHAnsi"/>
        </w:rPr>
        <w:t>supports</w:t>
      </w:r>
      <w:r w:rsidRPr="00515289">
        <w:rPr>
          <w:rFonts w:asciiTheme="majorHAnsi" w:hAnsiTheme="majorHAnsi" w:cstheme="majorHAnsi"/>
          <w:color w:val="000000"/>
        </w:rPr>
        <w:t xml:space="preserve"> that </w:t>
      </w:r>
      <w:r w:rsidRPr="00515289">
        <w:rPr>
          <w:rFonts w:asciiTheme="majorHAnsi" w:hAnsiTheme="majorHAnsi" w:cstheme="majorHAnsi"/>
        </w:rPr>
        <w:t>ease</w:t>
      </w:r>
      <w:r w:rsidRPr="00515289">
        <w:rPr>
          <w:rFonts w:asciiTheme="majorHAnsi" w:hAnsiTheme="majorHAnsi" w:cstheme="majorHAnsi"/>
          <w:color w:val="000000"/>
        </w:rPr>
        <w:t xml:space="preserve"> and </w:t>
      </w:r>
      <w:r w:rsidRPr="00515289">
        <w:rPr>
          <w:rFonts w:asciiTheme="majorHAnsi" w:hAnsiTheme="majorHAnsi" w:cstheme="majorHAnsi"/>
        </w:rPr>
        <w:t>facilitate</w:t>
      </w:r>
      <w:r w:rsidRPr="00515289">
        <w:rPr>
          <w:rFonts w:asciiTheme="majorHAnsi" w:hAnsiTheme="majorHAnsi" w:cstheme="majorHAnsi"/>
          <w:color w:val="000000"/>
        </w:rPr>
        <w:t xml:space="preserve"> student transitions from high school to community college,</w:t>
      </w:r>
      <w:r w:rsidRPr="00515289">
        <w:rPr>
          <w:rFonts w:asciiTheme="majorHAnsi" w:hAnsiTheme="majorHAnsi" w:cstheme="majorHAnsi"/>
        </w:rPr>
        <w:t xml:space="preserve"> </w:t>
      </w:r>
      <w:r w:rsidRPr="00515289">
        <w:rPr>
          <w:rFonts w:asciiTheme="majorHAnsi" w:hAnsiTheme="majorHAnsi" w:cstheme="majorHAnsi"/>
          <w:color w:val="000000"/>
        </w:rPr>
        <w:t>from pre-college courses to credit-bearing postsecondary programs, and from community college to university or employment. Oregon</w:t>
      </w:r>
      <w:r w:rsidRPr="00515289">
        <w:rPr>
          <w:rFonts w:asciiTheme="majorHAnsi" w:hAnsiTheme="majorHAnsi" w:cstheme="majorHAnsi"/>
        </w:rPr>
        <w:t xml:space="preserve">’s community colleges receive a </w:t>
      </w:r>
      <w:hyperlink r:id="rId12">
        <w:r w:rsidRPr="00515289">
          <w:rPr>
            <w:rFonts w:asciiTheme="majorHAnsi" w:hAnsiTheme="majorHAnsi" w:cstheme="majorHAnsi"/>
            <w:color w:val="1155CC"/>
            <w:u w:val="single"/>
          </w:rPr>
          <w:t>biennial grant</w:t>
        </w:r>
      </w:hyperlink>
      <w:r w:rsidRPr="00515289">
        <w:rPr>
          <w:rFonts w:asciiTheme="majorHAnsi" w:hAnsiTheme="majorHAnsi" w:cstheme="majorHAnsi"/>
        </w:rPr>
        <w:t xml:space="preserve"> to develop Career Pathways programs and support services.</w:t>
      </w:r>
    </w:p>
    <w:p w14:paraId="1D47C179" w14:textId="77777777" w:rsidR="00684F01" w:rsidRDefault="00684F01" w:rsidP="009354E3">
      <w:pPr>
        <w:widowControl w:val="0"/>
        <w:pBdr>
          <w:top w:val="nil"/>
          <w:left w:val="nil"/>
          <w:bottom w:val="nil"/>
          <w:right w:val="nil"/>
          <w:between w:val="nil"/>
        </w:pBdr>
        <w:spacing w:before="302" w:line="264" w:lineRule="auto"/>
        <w:ind w:left="6" w:right="75" w:firstLine="6"/>
        <w:rPr>
          <w:rFonts w:asciiTheme="majorHAnsi" w:hAnsiTheme="majorHAnsi" w:cstheme="majorHAnsi"/>
          <w:b/>
          <w:color w:val="000000"/>
        </w:rPr>
      </w:pPr>
    </w:p>
    <w:p w14:paraId="0000000A" w14:textId="64D5F1AE" w:rsidR="00DE6AFD" w:rsidRPr="009354E3" w:rsidRDefault="006E4784" w:rsidP="009354E3">
      <w:pPr>
        <w:widowControl w:val="0"/>
        <w:pBdr>
          <w:top w:val="nil"/>
          <w:left w:val="nil"/>
          <w:bottom w:val="nil"/>
          <w:right w:val="nil"/>
          <w:between w:val="nil"/>
        </w:pBdr>
        <w:spacing w:before="302" w:line="264" w:lineRule="auto"/>
        <w:ind w:left="6" w:right="75" w:firstLine="6"/>
        <w:rPr>
          <w:rFonts w:asciiTheme="majorHAnsi" w:hAnsiTheme="majorHAnsi" w:cstheme="majorHAnsi"/>
          <w:b/>
          <w:color w:val="365F91"/>
        </w:rPr>
      </w:pPr>
      <w:r w:rsidRPr="00515289">
        <w:rPr>
          <w:rFonts w:asciiTheme="majorHAnsi" w:hAnsiTheme="majorHAnsi" w:cstheme="majorHAnsi"/>
          <w:b/>
          <w:color w:val="000000"/>
        </w:rPr>
        <w:lastRenderedPageBreak/>
        <w:t xml:space="preserve">Career and Technical Education (CTE): </w:t>
      </w:r>
      <w:r w:rsidRPr="00515289">
        <w:rPr>
          <w:rFonts w:asciiTheme="majorHAnsi" w:hAnsiTheme="majorHAnsi" w:cstheme="majorHAnsi"/>
          <w:color w:val="000000"/>
        </w:rPr>
        <w:t>Content, programs, and instructional strategies based</w:t>
      </w:r>
      <w:r w:rsidRPr="00515289">
        <w:rPr>
          <w:rFonts w:asciiTheme="majorHAnsi" w:hAnsiTheme="majorHAnsi" w:cstheme="majorHAnsi"/>
        </w:rPr>
        <w:t xml:space="preserve"> </w:t>
      </w:r>
      <w:r w:rsidRPr="00515289">
        <w:rPr>
          <w:rFonts w:asciiTheme="majorHAnsi" w:hAnsiTheme="majorHAnsi" w:cstheme="majorHAnsi"/>
          <w:color w:val="000000"/>
        </w:rPr>
        <w:t>on business and industry skill sets and needs. Instruction incorporates standards-based</w:t>
      </w:r>
      <w:r w:rsidRPr="00515289">
        <w:rPr>
          <w:rFonts w:asciiTheme="majorHAnsi" w:hAnsiTheme="majorHAnsi" w:cstheme="majorHAnsi"/>
        </w:rPr>
        <w:t xml:space="preserve"> </w:t>
      </w:r>
      <w:r w:rsidRPr="00515289">
        <w:rPr>
          <w:rFonts w:asciiTheme="majorHAnsi" w:hAnsiTheme="majorHAnsi" w:cstheme="majorHAnsi"/>
          <w:color w:val="000000"/>
        </w:rPr>
        <w:t>academic content, technical skills, and workplace behaviors necessary for success in careers of the 21st century. CTE incorporates applied learning that contributes to the individual’s</w:t>
      </w:r>
      <w:r w:rsidRPr="00515289">
        <w:rPr>
          <w:rFonts w:asciiTheme="majorHAnsi" w:hAnsiTheme="majorHAnsi" w:cstheme="majorHAnsi"/>
        </w:rPr>
        <w:t xml:space="preserve"> </w:t>
      </w:r>
      <w:r w:rsidRPr="00515289">
        <w:rPr>
          <w:rFonts w:asciiTheme="majorHAnsi" w:hAnsiTheme="majorHAnsi" w:cstheme="majorHAnsi"/>
          <w:color w:val="000000"/>
        </w:rPr>
        <w:t>development of higher-order reasoning and problem-solving skills</w:t>
      </w:r>
      <w:r w:rsidRPr="00515289">
        <w:rPr>
          <w:rFonts w:asciiTheme="majorHAnsi" w:hAnsiTheme="majorHAnsi" w:cstheme="majorHAnsi"/>
        </w:rPr>
        <w:t>,</w:t>
      </w:r>
      <w:r w:rsidRPr="00515289">
        <w:rPr>
          <w:rFonts w:asciiTheme="majorHAnsi" w:hAnsiTheme="majorHAnsi" w:cstheme="majorHAnsi"/>
          <w:color w:val="000000"/>
        </w:rPr>
        <w:t xml:space="preserve"> work attitudes</w:t>
      </w:r>
      <w:r w:rsidRPr="00515289">
        <w:rPr>
          <w:rFonts w:asciiTheme="majorHAnsi" w:hAnsiTheme="majorHAnsi" w:cstheme="majorHAnsi"/>
        </w:rPr>
        <w:t>,</w:t>
      </w:r>
      <w:r w:rsidRPr="00515289">
        <w:rPr>
          <w:rFonts w:asciiTheme="majorHAnsi" w:hAnsiTheme="majorHAnsi" w:cstheme="majorHAnsi"/>
          <w:color w:val="000000"/>
        </w:rPr>
        <w:t xml:space="preserve"> general</w:t>
      </w:r>
      <w:r w:rsidRPr="00515289">
        <w:rPr>
          <w:rFonts w:asciiTheme="majorHAnsi" w:hAnsiTheme="majorHAnsi" w:cstheme="majorHAnsi"/>
        </w:rPr>
        <w:t xml:space="preserve"> </w:t>
      </w:r>
      <w:r w:rsidRPr="00515289">
        <w:rPr>
          <w:rFonts w:asciiTheme="majorHAnsi" w:hAnsiTheme="majorHAnsi" w:cstheme="majorHAnsi"/>
          <w:color w:val="000000"/>
        </w:rPr>
        <w:t>employability skills</w:t>
      </w:r>
      <w:r w:rsidRPr="00515289">
        <w:rPr>
          <w:rFonts w:asciiTheme="majorHAnsi" w:hAnsiTheme="majorHAnsi" w:cstheme="majorHAnsi"/>
        </w:rPr>
        <w:t>,</w:t>
      </w:r>
      <w:r w:rsidRPr="00515289">
        <w:rPr>
          <w:rFonts w:asciiTheme="majorHAnsi" w:hAnsiTheme="majorHAnsi" w:cstheme="majorHAnsi"/>
          <w:color w:val="000000"/>
        </w:rPr>
        <w:t xml:space="preserve"> technical skills</w:t>
      </w:r>
      <w:r w:rsidRPr="00515289">
        <w:rPr>
          <w:rFonts w:asciiTheme="majorHAnsi" w:hAnsiTheme="majorHAnsi" w:cstheme="majorHAnsi"/>
        </w:rPr>
        <w:t>,</w:t>
      </w:r>
      <w:r w:rsidRPr="00515289">
        <w:rPr>
          <w:rFonts w:asciiTheme="majorHAnsi" w:hAnsiTheme="majorHAnsi" w:cstheme="majorHAnsi"/>
          <w:color w:val="000000"/>
        </w:rPr>
        <w:t xml:space="preserve"> occupation-specific skills</w:t>
      </w:r>
      <w:r w:rsidRPr="00515289">
        <w:rPr>
          <w:rFonts w:asciiTheme="majorHAnsi" w:hAnsiTheme="majorHAnsi" w:cstheme="majorHAnsi"/>
        </w:rPr>
        <w:t>,</w:t>
      </w:r>
      <w:r w:rsidRPr="00515289">
        <w:rPr>
          <w:rFonts w:asciiTheme="majorHAnsi" w:hAnsiTheme="majorHAnsi" w:cstheme="majorHAnsi"/>
          <w:color w:val="000000"/>
        </w:rPr>
        <w:t xml:space="preserve"> and knowledge of all aspects of</w:t>
      </w:r>
      <w:r w:rsidRPr="00515289">
        <w:rPr>
          <w:rFonts w:asciiTheme="majorHAnsi" w:hAnsiTheme="majorHAnsi" w:cstheme="majorHAnsi"/>
        </w:rPr>
        <w:t xml:space="preserve"> </w:t>
      </w:r>
      <w:r w:rsidRPr="00515289">
        <w:rPr>
          <w:rFonts w:asciiTheme="majorHAnsi" w:hAnsiTheme="majorHAnsi" w:cstheme="majorHAnsi"/>
          <w:color w:val="000000"/>
        </w:rPr>
        <w:t xml:space="preserve">an industry, including entrepreneurship. Instruction focuses </w:t>
      </w:r>
      <w:r w:rsidRPr="00515289">
        <w:rPr>
          <w:rFonts w:asciiTheme="majorHAnsi" w:hAnsiTheme="majorHAnsi" w:cstheme="majorHAnsi"/>
        </w:rPr>
        <w:t>on</w:t>
      </w:r>
      <w:r w:rsidRPr="00515289">
        <w:rPr>
          <w:rFonts w:asciiTheme="majorHAnsi" w:hAnsiTheme="majorHAnsi" w:cstheme="majorHAnsi"/>
          <w:color w:val="000000"/>
        </w:rPr>
        <w:t xml:space="preserve"> areas such as Agriculture, Food, and Natural Resource Systems; Arts</w:t>
      </w:r>
      <w:r w:rsidR="009354E3">
        <w:rPr>
          <w:rFonts w:asciiTheme="majorHAnsi" w:hAnsiTheme="majorHAnsi" w:cstheme="majorHAnsi"/>
          <w:color w:val="000000"/>
        </w:rPr>
        <w:t>,</w:t>
      </w:r>
      <w:r w:rsidRPr="00515289">
        <w:rPr>
          <w:rFonts w:asciiTheme="majorHAnsi" w:hAnsiTheme="majorHAnsi" w:cstheme="majorHAnsi"/>
          <w:color w:val="000000"/>
        </w:rPr>
        <w:t xml:space="preserve"> Info</w:t>
      </w:r>
      <w:r w:rsidR="00BF703D">
        <w:rPr>
          <w:rFonts w:asciiTheme="majorHAnsi" w:hAnsiTheme="majorHAnsi" w:cstheme="majorHAnsi"/>
          <w:color w:val="000000"/>
        </w:rPr>
        <w:t>rmation</w:t>
      </w:r>
      <w:r w:rsidRPr="00515289">
        <w:rPr>
          <w:rFonts w:asciiTheme="majorHAnsi" w:hAnsiTheme="majorHAnsi" w:cstheme="majorHAnsi"/>
          <w:color w:val="000000"/>
        </w:rPr>
        <w:t xml:space="preserve"> and Communications; Business and Management; Health Sciences; Human Resources; and Industrial and Engineering Systems.</w:t>
      </w:r>
      <w:r w:rsidRPr="00515289">
        <w:rPr>
          <w:rFonts w:asciiTheme="majorHAnsi" w:hAnsiTheme="majorHAnsi" w:cstheme="majorHAnsi"/>
        </w:rPr>
        <w:t xml:space="preserve"> </w:t>
      </w:r>
      <w:r w:rsidRPr="00515289">
        <w:rPr>
          <w:rFonts w:asciiTheme="majorHAnsi" w:hAnsiTheme="majorHAnsi" w:cstheme="majorHAnsi"/>
          <w:b/>
          <w:i/>
        </w:rPr>
        <w:t>See also: CTE Program (Postsecondary), CTE Program of Study (POS).</w:t>
      </w:r>
    </w:p>
    <w:p w14:paraId="0000000B" w14:textId="77777777" w:rsidR="00DE6AFD" w:rsidRPr="00515289" w:rsidRDefault="006E4784">
      <w:pPr>
        <w:widowControl w:val="0"/>
        <w:pBdr>
          <w:top w:val="nil"/>
          <w:left w:val="nil"/>
          <w:bottom w:val="nil"/>
          <w:right w:val="nil"/>
          <w:between w:val="nil"/>
        </w:pBdr>
        <w:spacing w:before="302" w:line="264" w:lineRule="auto"/>
        <w:ind w:left="11" w:right="47" w:firstLine="1"/>
        <w:rPr>
          <w:rFonts w:asciiTheme="majorHAnsi" w:hAnsiTheme="majorHAnsi" w:cstheme="majorHAnsi"/>
        </w:rPr>
      </w:pPr>
      <w:r w:rsidRPr="00515289">
        <w:rPr>
          <w:rFonts w:asciiTheme="majorHAnsi" w:hAnsiTheme="majorHAnsi" w:cstheme="majorHAnsi"/>
          <w:b/>
          <w:color w:val="000000"/>
          <w:highlight w:val="white"/>
        </w:rPr>
        <w:t xml:space="preserve">Civil Rights Protected Classes: </w:t>
      </w:r>
      <w:r w:rsidRPr="00515289">
        <w:rPr>
          <w:rFonts w:asciiTheme="majorHAnsi" w:hAnsiTheme="majorHAnsi" w:cstheme="majorHAnsi"/>
          <w:color w:val="000000"/>
          <w:highlight w:val="white"/>
        </w:rPr>
        <w:t>Oregon law (</w:t>
      </w:r>
      <w:hyperlink r:id="rId13">
        <w:r w:rsidRPr="00515289">
          <w:rPr>
            <w:rFonts w:asciiTheme="majorHAnsi" w:eastAsia="Roboto" w:hAnsiTheme="majorHAnsi" w:cstheme="majorHAnsi"/>
            <w:color w:val="1155CC"/>
            <w:u w:val="single"/>
          </w:rPr>
          <w:t>OAR 839.005</w:t>
        </w:r>
      </w:hyperlink>
      <w:r w:rsidRPr="00515289">
        <w:rPr>
          <w:rFonts w:asciiTheme="majorHAnsi" w:hAnsiTheme="majorHAnsi" w:cstheme="majorHAnsi"/>
          <w:color w:val="000000"/>
          <w:highlight w:val="white"/>
        </w:rPr>
        <w:t xml:space="preserve">) protects from discrimination based on race, color, </w:t>
      </w:r>
      <w:r w:rsidRPr="00515289">
        <w:rPr>
          <w:rFonts w:asciiTheme="majorHAnsi" w:hAnsiTheme="majorHAnsi" w:cstheme="majorHAnsi"/>
          <w:color w:val="000000"/>
        </w:rPr>
        <w:t xml:space="preserve"> </w:t>
      </w:r>
      <w:r w:rsidRPr="00515289">
        <w:rPr>
          <w:rFonts w:asciiTheme="majorHAnsi" w:hAnsiTheme="majorHAnsi" w:cstheme="majorHAnsi"/>
          <w:color w:val="000000"/>
          <w:highlight w:val="white"/>
        </w:rPr>
        <w:t>religion, sex, sexual orientation (includes gender identity), national origin, marital status, age</w:t>
      </w:r>
      <w:r w:rsidRPr="00515289">
        <w:rPr>
          <w:rFonts w:asciiTheme="majorHAnsi" w:hAnsiTheme="majorHAnsi" w:cstheme="majorHAnsi"/>
          <w:highlight w:val="white"/>
        </w:rPr>
        <w:t xml:space="preserve">, </w:t>
      </w:r>
      <w:r w:rsidRPr="00515289">
        <w:rPr>
          <w:rFonts w:asciiTheme="majorHAnsi" w:hAnsiTheme="majorHAnsi" w:cstheme="majorHAnsi"/>
          <w:color w:val="000000"/>
          <w:highlight w:val="white"/>
        </w:rPr>
        <w:t xml:space="preserve">and disability. </w:t>
      </w:r>
    </w:p>
    <w:p w14:paraId="0000000C" w14:textId="530E05F5" w:rsidR="00DE6AFD" w:rsidRPr="00515289" w:rsidRDefault="006E4784">
      <w:pPr>
        <w:widowControl w:val="0"/>
        <w:pBdr>
          <w:top w:val="nil"/>
          <w:left w:val="nil"/>
          <w:bottom w:val="nil"/>
          <w:right w:val="nil"/>
          <w:between w:val="nil"/>
        </w:pBdr>
        <w:spacing w:before="302" w:line="264" w:lineRule="auto"/>
        <w:ind w:left="11" w:right="47" w:firstLine="1"/>
        <w:rPr>
          <w:rFonts w:asciiTheme="majorHAnsi" w:hAnsiTheme="majorHAnsi" w:cstheme="majorHAnsi"/>
        </w:rPr>
      </w:pPr>
      <w:r w:rsidRPr="00515289">
        <w:rPr>
          <w:rFonts w:asciiTheme="majorHAnsi" w:hAnsiTheme="majorHAnsi" w:cstheme="majorHAnsi"/>
          <w:b/>
        </w:rPr>
        <w:t>Competency Based Education:</w:t>
      </w:r>
      <w:r w:rsidRPr="00515289">
        <w:rPr>
          <w:rFonts w:asciiTheme="majorHAnsi" w:hAnsiTheme="majorHAnsi" w:cstheme="majorHAnsi"/>
        </w:rPr>
        <w:t xml:space="preserve"> An educational approach that focuses on </w:t>
      </w:r>
      <w:r w:rsidR="009354E3">
        <w:rPr>
          <w:rFonts w:asciiTheme="majorHAnsi" w:hAnsiTheme="majorHAnsi" w:cstheme="majorHAnsi"/>
        </w:rPr>
        <w:t xml:space="preserve">a </w:t>
      </w:r>
      <w:r w:rsidRPr="00515289">
        <w:rPr>
          <w:rFonts w:asciiTheme="majorHAnsi" w:hAnsiTheme="majorHAnsi" w:cstheme="majorHAnsi"/>
        </w:rPr>
        <w:t>student’s mastery of specific skills or competencies rather than on time spent in a classroom. It is a student-centered approach that aims to ensure learners acquire the necessary knowledge, skills, and abilities to succeed in their chosen field or profession.</w:t>
      </w:r>
    </w:p>
    <w:p w14:paraId="0000000D" w14:textId="77777777" w:rsidR="00DE6AFD" w:rsidRPr="00515289" w:rsidRDefault="006E4784">
      <w:pPr>
        <w:widowControl w:val="0"/>
        <w:pBdr>
          <w:top w:val="nil"/>
          <w:left w:val="nil"/>
          <w:bottom w:val="nil"/>
          <w:right w:val="nil"/>
          <w:between w:val="nil"/>
        </w:pBdr>
        <w:spacing w:before="302" w:line="264" w:lineRule="auto"/>
        <w:ind w:left="11" w:right="47" w:firstLine="1"/>
        <w:rPr>
          <w:rFonts w:asciiTheme="majorHAnsi" w:hAnsiTheme="majorHAnsi" w:cstheme="majorHAnsi"/>
        </w:rPr>
      </w:pPr>
      <w:r w:rsidRPr="00515289">
        <w:rPr>
          <w:rFonts w:asciiTheme="majorHAnsi" w:hAnsiTheme="majorHAnsi" w:cstheme="majorHAnsi"/>
          <w:b/>
        </w:rPr>
        <w:t xml:space="preserve">Cooperative Work Experience (CWE): </w:t>
      </w:r>
      <w:r w:rsidRPr="00515289">
        <w:rPr>
          <w:rFonts w:asciiTheme="majorHAnsi" w:hAnsiTheme="majorHAnsi" w:cstheme="majorHAnsi"/>
        </w:rPr>
        <w:t xml:space="preserve">Cooperative work experience (CWE) means the placement of students by the high school and/or college in a structured work-based learning experience directly related to their classroom studies and under the control of the high school and/or college. Each student should have theoretical knowledge and/or practical experience in a relevant major field of study before being placed in a cooperative work experience. </w:t>
      </w:r>
    </w:p>
    <w:p w14:paraId="0000000F" w14:textId="5C077D1E" w:rsidR="00DE6AFD" w:rsidRPr="009354E3" w:rsidRDefault="006E4784" w:rsidP="009354E3">
      <w:pPr>
        <w:widowControl w:val="0"/>
        <w:pBdr>
          <w:top w:val="nil"/>
          <w:left w:val="nil"/>
          <w:bottom w:val="nil"/>
          <w:right w:val="nil"/>
          <w:between w:val="nil"/>
        </w:pBdr>
        <w:spacing w:before="302" w:line="264" w:lineRule="auto"/>
        <w:ind w:left="11" w:right="47" w:firstLine="1"/>
        <w:rPr>
          <w:rFonts w:asciiTheme="majorHAnsi" w:hAnsiTheme="majorHAnsi" w:cstheme="majorHAnsi"/>
          <w:b/>
          <w:color w:val="365F91"/>
        </w:rPr>
      </w:pPr>
      <w:r w:rsidRPr="00515289">
        <w:rPr>
          <w:rFonts w:asciiTheme="majorHAnsi" w:hAnsiTheme="majorHAnsi" w:cstheme="majorHAnsi"/>
          <w:b/>
        </w:rPr>
        <w:t xml:space="preserve">Credit for Prior Learning (CPL): </w:t>
      </w:r>
      <w:r w:rsidRPr="00515289">
        <w:rPr>
          <w:rFonts w:asciiTheme="majorHAnsi" w:hAnsiTheme="majorHAnsi" w:cstheme="majorHAnsi"/>
        </w:rPr>
        <w:t>The demonstration of knowledge and skills gained outside the traditional classroom setting for which community college academic credit is awarded. ORS 350.110 defines “prior learning” as the knowledge and skills gained through work and life experience, through military training and experience, and through formal and informal education and training from institutions of higher education in the United States and in other nations.</w:t>
      </w:r>
    </w:p>
    <w:p w14:paraId="00000010" w14:textId="77777777" w:rsidR="00DE6AFD" w:rsidRPr="00515289" w:rsidRDefault="00DE6AFD">
      <w:pPr>
        <w:widowControl w:val="0"/>
        <w:spacing w:line="264" w:lineRule="auto"/>
        <w:ind w:right="49"/>
        <w:rPr>
          <w:rFonts w:asciiTheme="majorHAnsi" w:hAnsiTheme="majorHAnsi" w:cstheme="majorHAnsi"/>
        </w:rPr>
      </w:pPr>
    </w:p>
    <w:p w14:paraId="00000011" w14:textId="2657BE11" w:rsidR="00DE6AFD" w:rsidRPr="00515289" w:rsidRDefault="006E4784">
      <w:pPr>
        <w:widowControl w:val="0"/>
        <w:spacing w:line="264" w:lineRule="auto"/>
        <w:ind w:right="49"/>
        <w:rPr>
          <w:rFonts w:asciiTheme="majorHAnsi" w:hAnsiTheme="majorHAnsi" w:cstheme="majorHAnsi"/>
        </w:rPr>
      </w:pPr>
      <w:r w:rsidRPr="00515289">
        <w:rPr>
          <w:rFonts w:asciiTheme="majorHAnsi" w:hAnsiTheme="majorHAnsi" w:cstheme="majorHAnsi"/>
          <w:b/>
        </w:rPr>
        <w:t xml:space="preserve">Credit for Proficiency: </w:t>
      </w:r>
      <w:r w:rsidRPr="00515289">
        <w:rPr>
          <w:rFonts w:asciiTheme="majorHAnsi" w:hAnsiTheme="majorHAnsi" w:cstheme="majorHAnsi"/>
        </w:rPr>
        <w:t xml:space="preserve">State-approved policy that allows academic credit to be awarded when there is sufficient evidence of student-demonstrated knowledge and skills that meet or exceed defined levels of performance. It may also be referred to at the postsecondary level as credit for professional certification, credit by challenge examination, or the College Level Examination Program. </w:t>
      </w:r>
    </w:p>
    <w:p w14:paraId="00000012" w14:textId="77777777" w:rsidR="00DE6AFD" w:rsidRPr="00515289" w:rsidRDefault="00DE6AFD">
      <w:pPr>
        <w:widowControl w:val="0"/>
        <w:spacing w:line="264" w:lineRule="auto"/>
        <w:ind w:right="49"/>
        <w:rPr>
          <w:rFonts w:asciiTheme="majorHAnsi" w:hAnsiTheme="majorHAnsi" w:cstheme="majorHAnsi"/>
        </w:rPr>
      </w:pPr>
    </w:p>
    <w:p w14:paraId="00000013" w14:textId="7EA59F49" w:rsidR="00DE6AFD" w:rsidRPr="00515289" w:rsidRDefault="006E4784">
      <w:pPr>
        <w:widowControl w:val="0"/>
        <w:spacing w:line="264" w:lineRule="auto"/>
        <w:ind w:right="49"/>
        <w:rPr>
          <w:rFonts w:asciiTheme="majorHAnsi" w:hAnsiTheme="majorHAnsi" w:cstheme="majorHAnsi"/>
          <w:i/>
        </w:rPr>
      </w:pPr>
      <w:r w:rsidRPr="00515289">
        <w:rPr>
          <w:rFonts w:asciiTheme="majorHAnsi" w:hAnsiTheme="majorHAnsi" w:cstheme="majorHAnsi"/>
          <w:b/>
          <w:color w:val="000000"/>
        </w:rPr>
        <w:t xml:space="preserve">CTE Program (Postsecondary </w:t>
      </w:r>
      <w:r w:rsidRPr="00515289">
        <w:rPr>
          <w:rFonts w:asciiTheme="majorHAnsi" w:hAnsiTheme="majorHAnsi" w:cstheme="majorHAnsi"/>
          <w:b/>
        </w:rPr>
        <w:t>Component</w:t>
      </w:r>
      <w:r w:rsidRPr="00515289">
        <w:rPr>
          <w:rFonts w:asciiTheme="majorHAnsi" w:hAnsiTheme="majorHAnsi" w:cstheme="majorHAnsi"/>
          <w:b/>
          <w:color w:val="000000"/>
        </w:rPr>
        <w:t xml:space="preserve">): </w:t>
      </w:r>
      <w:r w:rsidRPr="00515289">
        <w:rPr>
          <w:rFonts w:asciiTheme="majorHAnsi" w:hAnsiTheme="majorHAnsi" w:cstheme="majorHAnsi"/>
        </w:rPr>
        <w:t>C</w:t>
      </w:r>
      <w:r w:rsidRPr="00515289">
        <w:rPr>
          <w:rFonts w:asciiTheme="majorHAnsi" w:hAnsiTheme="majorHAnsi" w:cstheme="majorHAnsi"/>
          <w:color w:val="000000"/>
        </w:rPr>
        <w:t>ollegiate-level coursework designed to prepare</w:t>
      </w:r>
      <w:r w:rsidRPr="00515289">
        <w:rPr>
          <w:rFonts w:asciiTheme="majorHAnsi" w:hAnsiTheme="majorHAnsi" w:cstheme="majorHAnsi"/>
        </w:rPr>
        <w:t xml:space="preserve"> </w:t>
      </w:r>
      <w:r w:rsidRPr="00515289">
        <w:rPr>
          <w:rFonts w:asciiTheme="majorHAnsi" w:hAnsiTheme="majorHAnsi" w:cstheme="majorHAnsi"/>
          <w:color w:val="000000"/>
        </w:rPr>
        <w:t>persons for employment, stability, and advancement in specific occupations or clusters of</w:t>
      </w:r>
      <w:r w:rsidRPr="00515289">
        <w:rPr>
          <w:rFonts w:asciiTheme="majorHAnsi" w:hAnsiTheme="majorHAnsi" w:cstheme="majorHAnsi"/>
        </w:rPr>
        <w:t xml:space="preserve"> </w:t>
      </w:r>
      <w:r w:rsidRPr="00515289">
        <w:rPr>
          <w:rFonts w:asciiTheme="majorHAnsi" w:hAnsiTheme="majorHAnsi" w:cstheme="majorHAnsi"/>
          <w:color w:val="000000"/>
        </w:rPr>
        <w:t xml:space="preserve">closely related occupations. Career </w:t>
      </w:r>
      <w:r w:rsidR="009354E3">
        <w:rPr>
          <w:rFonts w:asciiTheme="majorHAnsi" w:hAnsiTheme="majorHAnsi" w:cstheme="majorHAnsi"/>
          <w:color w:val="000000"/>
        </w:rPr>
        <w:t xml:space="preserve">and </w:t>
      </w:r>
      <w:r w:rsidR="00996A8A">
        <w:rPr>
          <w:rFonts w:asciiTheme="majorHAnsi" w:hAnsiTheme="majorHAnsi" w:cstheme="majorHAnsi"/>
          <w:color w:val="000000"/>
        </w:rPr>
        <w:t>t</w:t>
      </w:r>
      <w:r w:rsidRPr="00515289">
        <w:rPr>
          <w:rFonts w:asciiTheme="majorHAnsi" w:hAnsiTheme="majorHAnsi" w:cstheme="majorHAnsi"/>
          <w:color w:val="000000"/>
        </w:rPr>
        <w:t xml:space="preserve">echnical </w:t>
      </w:r>
      <w:r w:rsidR="00996A8A">
        <w:rPr>
          <w:rFonts w:asciiTheme="majorHAnsi" w:hAnsiTheme="majorHAnsi" w:cstheme="majorHAnsi"/>
          <w:color w:val="000000"/>
        </w:rPr>
        <w:t>e</w:t>
      </w:r>
      <w:r w:rsidRPr="00515289">
        <w:rPr>
          <w:rFonts w:asciiTheme="majorHAnsi" w:hAnsiTheme="majorHAnsi" w:cstheme="majorHAnsi"/>
          <w:color w:val="000000"/>
        </w:rPr>
        <w:t xml:space="preserve">ducation programs result in the achievement of a certificate of completion, </w:t>
      </w:r>
      <w:r w:rsidRPr="00515289">
        <w:rPr>
          <w:rFonts w:asciiTheme="majorHAnsi" w:hAnsiTheme="majorHAnsi" w:cstheme="majorHAnsi"/>
        </w:rPr>
        <w:t xml:space="preserve">an </w:t>
      </w:r>
      <w:r w:rsidRPr="00515289">
        <w:rPr>
          <w:rFonts w:asciiTheme="majorHAnsi" w:hAnsiTheme="majorHAnsi" w:cstheme="majorHAnsi"/>
          <w:color w:val="000000"/>
        </w:rPr>
        <w:t xml:space="preserve">associate of applied science degree or option, or a </w:t>
      </w:r>
      <w:proofErr w:type="gramStart"/>
      <w:r w:rsidRPr="00515289">
        <w:rPr>
          <w:rFonts w:asciiTheme="majorHAnsi" w:hAnsiTheme="majorHAnsi" w:cstheme="majorHAnsi"/>
          <w:color w:val="000000"/>
        </w:rPr>
        <w:t>bachelor of</w:t>
      </w:r>
      <w:r w:rsidRPr="00515289">
        <w:rPr>
          <w:rFonts w:asciiTheme="majorHAnsi" w:hAnsiTheme="majorHAnsi" w:cstheme="majorHAnsi"/>
        </w:rPr>
        <w:t xml:space="preserve"> </w:t>
      </w:r>
      <w:r w:rsidRPr="00515289">
        <w:rPr>
          <w:rFonts w:asciiTheme="majorHAnsi" w:hAnsiTheme="majorHAnsi" w:cstheme="majorHAnsi"/>
          <w:color w:val="000000"/>
        </w:rPr>
        <w:t>applied science</w:t>
      </w:r>
      <w:proofErr w:type="gramEnd"/>
      <w:r w:rsidRPr="00515289">
        <w:rPr>
          <w:rFonts w:asciiTheme="majorHAnsi" w:hAnsiTheme="majorHAnsi" w:cstheme="majorHAnsi"/>
        </w:rPr>
        <w:t>,</w:t>
      </w:r>
      <w:r w:rsidRPr="00515289">
        <w:rPr>
          <w:rFonts w:asciiTheme="majorHAnsi" w:hAnsiTheme="majorHAnsi" w:cstheme="majorHAnsi"/>
          <w:color w:val="000000"/>
        </w:rPr>
        <w:t xml:space="preserve"> which have been approved by the community college board and the Commission or its designee. </w:t>
      </w:r>
      <w:r w:rsidRPr="00515289">
        <w:rPr>
          <w:rFonts w:asciiTheme="majorHAnsi" w:hAnsiTheme="majorHAnsi" w:cstheme="majorHAnsi"/>
          <w:i/>
          <w:color w:val="000000"/>
        </w:rPr>
        <w:t xml:space="preserve"> </w:t>
      </w:r>
      <w:r w:rsidRPr="00515289">
        <w:rPr>
          <w:rFonts w:asciiTheme="majorHAnsi" w:hAnsiTheme="majorHAnsi" w:cstheme="majorHAnsi"/>
          <w:b/>
          <w:i/>
        </w:rPr>
        <w:t>See also: CTE Program of Study (POS).</w:t>
      </w:r>
      <w:r w:rsidRPr="00515289">
        <w:rPr>
          <w:rFonts w:asciiTheme="majorHAnsi" w:hAnsiTheme="majorHAnsi" w:cstheme="majorHAnsi"/>
          <w:i/>
          <w:color w:val="000000"/>
        </w:rPr>
        <w:t xml:space="preserve"> </w:t>
      </w:r>
    </w:p>
    <w:p w14:paraId="00000015" w14:textId="77777777" w:rsidR="00DE6AFD" w:rsidRPr="00515289" w:rsidRDefault="00DE6AFD">
      <w:pPr>
        <w:widowControl w:val="0"/>
        <w:spacing w:line="264" w:lineRule="auto"/>
        <w:ind w:right="49"/>
        <w:rPr>
          <w:rFonts w:asciiTheme="majorHAnsi" w:hAnsiTheme="majorHAnsi" w:cstheme="majorHAnsi"/>
          <w:b/>
          <w:iCs/>
        </w:rPr>
      </w:pPr>
    </w:p>
    <w:p w14:paraId="00000016" w14:textId="77777777" w:rsidR="00DE6AFD" w:rsidRPr="00515289" w:rsidRDefault="006E4784">
      <w:pPr>
        <w:widowControl w:val="0"/>
        <w:spacing w:line="264" w:lineRule="auto"/>
        <w:ind w:right="49"/>
        <w:rPr>
          <w:rFonts w:asciiTheme="majorHAnsi" w:hAnsiTheme="majorHAnsi" w:cstheme="majorHAnsi"/>
          <w:b/>
          <w:i/>
        </w:rPr>
      </w:pPr>
      <w:r w:rsidRPr="00515289">
        <w:rPr>
          <w:rFonts w:asciiTheme="majorHAnsi" w:hAnsiTheme="majorHAnsi" w:cstheme="majorHAnsi"/>
          <w:b/>
        </w:rPr>
        <w:t xml:space="preserve">CTE Program (Secondary): </w:t>
      </w:r>
      <w:r w:rsidRPr="00515289">
        <w:rPr>
          <w:rFonts w:asciiTheme="majorHAnsi" w:hAnsiTheme="majorHAnsi" w:cstheme="majorHAnsi"/>
        </w:rPr>
        <w:t xml:space="preserve"> A high school program that addresses the six elements of a CTE Program of Study and receives approval from the Oregon Department of Education. A secondary program can be a </w:t>
      </w:r>
      <w:r w:rsidRPr="00515289">
        <w:rPr>
          <w:rFonts w:asciiTheme="majorHAnsi" w:hAnsiTheme="majorHAnsi" w:cstheme="majorHAnsi"/>
        </w:rPr>
        <w:lastRenderedPageBreak/>
        <w:t xml:space="preserve">Start-Up POS for three years, working to acquire </w:t>
      </w:r>
      <w:proofErr w:type="gramStart"/>
      <w:r w:rsidRPr="00515289">
        <w:rPr>
          <w:rFonts w:asciiTheme="majorHAnsi" w:hAnsiTheme="majorHAnsi" w:cstheme="majorHAnsi"/>
        </w:rPr>
        <w:t>all of</w:t>
      </w:r>
      <w:proofErr w:type="gramEnd"/>
      <w:r w:rsidRPr="00515289">
        <w:rPr>
          <w:rFonts w:asciiTheme="majorHAnsi" w:hAnsiTheme="majorHAnsi" w:cstheme="majorHAnsi"/>
        </w:rPr>
        <w:t xml:space="preserve"> those necessary elements for a full POS, but must then be approved as a full POS, meeting the minimal expectations for all six of the POS elements. </w:t>
      </w:r>
      <w:r w:rsidRPr="00515289">
        <w:rPr>
          <w:rFonts w:asciiTheme="majorHAnsi" w:hAnsiTheme="majorHAnsi" w:cstheme="majorHAnsi"/>
          <w:b/>
        </w:rPr>
        <w:t xml:space="preserve"> </w:t>
      </w:r>
      <w:r w:rsidRPr="00515289">
        <w:rPr>
          <w:rFonts w:asciiTheme="majorHAnsi" w:hAnsiTheme="majorHAnsi" w:cstheme="majorHAnsi"/>
          <w:b/>
          <w:i/>
        </w:rPr>
        <w:t>See also: CTE Program of Study (POS).</w:t>
      </w:r>
    </w:p>
    <w:p w14:paraId="00000017" w14:textId="77777777" w:rsidR="00DE6AFD" w:rsidRPr="00515289" w:rsidRDefault="00DE6AFD">
      <w:pPr>
        <w:widowControl w:val="0"/>
        <w:spacing w:line="264" w:lineRule="auto"/>
        <w:ind w:right="49"/>
        <w:rPr>
          <w:rFonts w:asciiTheme="majorHAnsi" w:hAnsiTheme="majorHAnsi" w:cstheme="majorHAnsi"/>
          <w:b/>
          <w:i/>
        </w:rPr>
      </w:pPr>
    </w:p>
    <w:p w14:paraId="00000018" w14:textId="25A975FA" w:rsidR="00DE6AFD" w:rsidRPr="00515289" w:rsidRDefault="006E4784">
      <w:pPr>
        <w:widowControl w:val="0"/>
        <w:spacing w:line="264" w:lineRule="auto"/>
        <w:ind w:right="49"/>
        <w:rPr>
          <w:rFonts w:asciiTheme="majorHAnsi" w:hAnsiTheme="majorHAnsi" w:cstheme="majorHAnsi"/>
          <w:color w:val="000000"/>
        </w:rPr>
      </w:pPr>
      <w:r w:rsidRPr="00515289">
        <w:rPr>
          <w:rFonts w:asciiTheme="majorHAnsi" w:hAnsiTheme="majorHAnsi" w:cstheme="majorHAnsi"/>
          <w:b/>
          <w:color w:val="000000"/>
        </w:rPr>
        <w:t>CTE Program of Study (POS)</w:t>
      </w:r>
      <w:r w:rsidRPr="00515289">
        <w:rPr>
          <w:rFonts w:asciiTheme="majorHAnsi" w:hAnsiTheme="majorHAnsi" w:cstheme="majorHAnsi"/>
          <w:color w:val="000000"/>
        </w:rPr>
        <w:t>: A state-approved sequence of non-duplicative courses</w:t>
      </w:r>
      <w:r w:rsidRPr="00515289">
        <w:rPr>
          <w:rFonts w:asciiTheme="majorHAnsi" w:hAnsiTheme="majorHAnsi" w:cstheme="majorHAnsi"/>
        </w:rPr>
        <w:t xml:space="preserve"> </w:t>
      </w:r>
      <w:r w:rsidRPr="00515289">
        <w:rPr>
          <w:rFonts w:asciiTheme="majorHAnsi" w:hAnsiTheme="majorHAnsi" w:cstheme="majorHAnsi"/>
          <w:color w:val="000000"/>
        </w:rPr>
        <w:t>developed by a partnering secondary school district and a postsecondary institution that</w:t>
      </w:r>
      <w:r w:rsidRPr="00515289">
        <w:rPr>
          <w:rFonts w:asciiTheme="majorHAnsi" w:hAnsiTheme="majorHAnsi" w:cstheme="majorHAnsi"/>
        </w:rPr>
        <w:t xml:space="preserve"> </w:t>
      </w:r>
      <w:r w:rsidRPr="00515289">
        <w:rPr>
          <w:rFonts w:asciiTheme="majorHAnsi" w:hAnsiTheme="majorHAnsi" w:cstheme="majorHAnsi"/>
          <w:color w:val="000000"/>
        </w:rPr>
        <w:t xml:space="preserve">prepares students </w:t>
      </w:r>
      <w:r w:rsidRPr="00515289">
        <w:rPr>
          <w:rFonts w:asciiTheme="majorHAnsi" w:hAnsiTheme="majorHAnsi" w:cstheme="majorHAnsi"/>
        </w:rPr>
        <w:t>to transition across education levels and into the workforce seamlessly</w:t>
      </w:r>
      <w:r w:rsidRPr="00515289">
        <w:rPr>
          <w:rFonts w:asciiTheme="majorHAnsi" w:hAnsiTheme="majorHAnsi" w:cstheme="majorHAnsi"/>
          <w:color w:val="000000"/>
        </w:rPr>
        <w:t>. Coursework integrates rigorous academic knowledge with industry-validated technical and</w:t>
      </w:r>
      <w:r w:rsidRPr="00515289">
        <w:rPr>
          <w:rFonts w:asciiTheme="majorHAnsi" w:hAnsiTheme="majorHAnsi" w:cstheme="majorHAnsi"/>
        </w:rPr>
        <w:t xml:space="preserve"> </w:t>
      </w:r>
      <w:r w:rsidRPr="00515289">
        <w:rPr>
          <w:rFonts w:asciiTheme="majorHAnsi" w:hAnsiTheme="majorHAnsi" w:cstheme="majorHAnsi"/>
          <w:color w:val="000000"/>
        </w:rPr>
        <w:t>employability skills, progressing in specificity and aligned with labor market needs. A CTE POS must (1) have a secondary and a postsecondary partner that mutually develop the program</w:t>
      </w:r>
      <w:r w:rsidRPr="00515289">
        <w:rPr>
          <w:rFonts w:asciiTheme="majorHAnsi" w:hAnsiTheme="majorHAnsi" w:cstheme="majorHAnsi"/>
        </w:rPr>
        <w:t xml:space="preserve"> </w:t>
      </w:r>
      <w:r w:rsidRPr="00515289">
        <w:rPr>
          <w:rFonts w:asciiTheme="majorHAnsi" w:hAnsiTheme="majorHAnsi" w:cstheme="majorHAnsi"/>
          <w:color w:val="000000"/>
        </w:rPr>
        <w:t>based on a common set of industry standards and industry needs</w:t>
      </w:r>
      <w:r w:rsidR="009354E3">
        <w:rPr>
          <w:rFonts w:asciiTheme="majorHAnsi" w:hAnsiTheme="majorHAnsi" w:cstheme="majorHAnsi"/>
          <w:color w:val="000000"/>
        </w:rPr>
        <w:t>;</w:t>
      </w:r>
      <w:r w:rsidRPr="00515289">
        <w:rPr>
          <w:rFonts w:asciiTheme="majorHAnsi" w:hAnsiTheme="majorHAnsi" w:cstheme="majorHAnsi"/>
          <w:color w:val="000000"/>
        </w:rPr>
        <w:t xml:space="preserve"> (2) have aligned, unduplicated curriculum that may offer the student college credit</w:t>
      </w:r>
      <w:r w:rsidR="009354E3">
        <w:rPr>
          <w:rFonts w:asciiTheme="majorHAnsi" w:hAnsiTheme="majorHAnsi" w:cstheme="majorHAnsi"/>
          <w:color w:val="000000"/>
        </w:rPr>
        <w:t>;</w:t>
      </w:r>
      <w:r w:rsidRPr="00515289">
        <w:rPr>
          <w:rFonts w:asciiTheme="majorHAnsi" w:hAnsiTheme="majorHAnsi" w:cstheme="majorHAnsi"/>
          <w:color w:val="000000"/>
        </w:rPr>
        <w:t xml:space="preserve"> (3) use data and feedback to continuously improve the program</w:t>
      </w:r>
      <w:r w:rsidR="009354E3">
        <w:rPr>
          <w:rFonts w:asciiTheme="majorHAnsi" w:hAnsiTheme="majorHAnsi" w:cstheme="majorHAnsi"/>
          <w:color w:val="000000"/>
        </w:rPr>
        <w:t>;</w:t>
      </w:r>
      <w:r w:rsidRPr="00515289">
        <w:rPr>
          <w:rFonts w:asciiTheme="majorHAnsi" w:hAnsiTheme="majorHAnsi" w:cstheme="majorHAnsi"/>
          <w:color w:val="000000"/>
        </w:rPr>
        <w:t xml:space="preserve"> (4) provide students with comprehensive guidance and</w:t>
      </w:r>
      <w:r w:rsidRPr="00515289">
        <w:rPr>
          <w:rFonts w:asciiTheme="majorHAnsi" w:hAnsiTheme="majorHAnsi" w:cstheme="majorHAnsi"/>
        </w:rPr>
        <w:t xml:space="preserve"> </w:t>
      </w:r>
      <w:r w:rsidRPr="00515289">
        <w:rPr>
          <w:rFonts w:asciiTheme="majorHAnsi" w:hAnsiTheme="majorHAnsi" w:cstheme="majorHAnsi"/>
          <w:color w:val="000000"/>
        </w:rPr>
        <w:t>counseling and/or other student support services</w:t>
      </w:r>
      <w:r w:rsidR="009354E3">
        <w:rPr>
          <w:rFonts w:asciiTheme="majorHAnsi" w:hAnsiTheme="majorHAnsi" w:cstheme="majorHAnsi"/>
          <w:color w:val="000000"/>
        </w:rPr>
        <w:t>;</w:t>
      </w:r>
      <w:r w:rsidRPr="00515289">
        <w:rPr>
          <w:rFonts w:asciiTheme="majorHAnsi" w:hAnsiTheme="majorHAnsi" w:cstheme="majorHAnsi"/>
          <w:color w:val="000000"/>
        </w:rPr>
        <w:t xml:space="preserve"> and (5) include a plan for professional</w:t>
      </w:r>
      <w:r w:rsidRPr="00515289">
        <w:rPr>
          <w:rFonts w:asciiTheme="majorHAnsi" w:hAnsiTheme="majorHAnsi" w:cstheme="majorHAnsi"/>
        </w:rPr>
        <w:t xml:space="preserve"> </w:t>
      </w:r>
      <w:r w:rsidRPr="00515289">
        <w:rPr>
          <w:rFonts w:asciiTheme="majorHAnsi" w:hAnsiTheme="majorHAnsi" w:cstheme="majorHAnsi"/>
          <w:color w:val="000000"/>
        </w:rPr>
        <w:t>development that helps the instructors stay current with technical advances in their</w:t>
      </w:r>
      <w:r w:rsidRPr="00515289">
        <w:rPr>
          <w:rFonts w:asciiTheme="majorHAnsi" w:hAnsiTheme="majorHAnsi" w:cstheme="majorHAnsi"/>
        </w:rPr>
        <w:t xml:space="preserve"> </w:t>
      </w:r>
      <w:r w:rsidRPr="00515289">
        <w:rPr>
          <w:rFonts w:asciiTheme="majorHAnsi" w:hAnsiTheme="majorHAnsi" w:cstheme="majorHAnsi"/>
          <w:color w:val="000000"/>
        </w:rPr>
        <w:t xml:space="preserve">industry. </w:t>
      </w:r>
    </w:p>
    <w:p w14:paraId="00000019" w14:textId="77777777" w:rsidR="00DE6AFD" w:rsidRPr="00515289" w:rsidRDefault="006E4784">
      <w:pPr>
        <w:widowControl w:val="0"/>
        <w:numPr>
          <w:ilvl w:val="0"/>
          <w:numId w:val="8"/>
        </w:numPr>
        <w:spacing w:line="264" w:lineRule="auto"/>
        <w:ind w:right="49"/>
        <w:rPr>
          <w:rFonts w:asciiTheme="majorHAnsi" w:hAnsiTheme="majorHAnsi" w:cstheme="majorHAnsi"/>
        </w:rPr>
      </w:pPr>
      <w:r w:rsidRPr="00515289">
        <w:rPr>
          <w:rFonts w:asciiTheme="majorHAnsi" w:hAnsiTheme="majorHAnsi" w:cstheme="majorHAnsi"/>
          <w:color w:val="000000"/>
        </w:rPr>
        <w:t xml:space="preserve"> </w:t>
      </w:r>
      <w:hyperlink r:id="rId14">
        <w:r w:rsidRPr="00515289">
          <w:rPr>
            <w:rFonts w:asciiTheme="majorHAnsi" w:hAnsiTheme="majorHAnsi" w:cstheme="majorHAnsi"/>
            <w:color w:val="1155CC"/>
            <w:u w:val="single"/>
          </w:rPr>
          <w:t>CTE Programs Application Resources</w:t>
        </w:r>
      </w:hyperlink>
    </w:p>
    <w:p w14:paraId="0000001B" w14:textId="14B5C505" w:rsidR="00DE6AFD" w:rsidRPr="000A5EB0" w:rsidRDefault="006E4784">
      <w:pPr>
        <w:widowControl w:val="0"/>
        <w:pBdr>
          <w:top w:val="nil"/>
          <w:left w:val="nil"/>
          <w:bottom w:val="nil"/>
          <w:right w:val="nil"/>
          <w:between w:val="nil"/>
        </w:pBdr>
        <w:spacing w:before="302" w:line="264" w:lineRule="auto"/>
        <w:ind w:left="6" w:right="35" w:firstLine="6"/>
        <w:rPr>
          <w:rFonts w:asciiTheme="majorHAnsi" w:hAnsiTheme="majorHAnsi" w:cstheme="majorHAnsi"/>
        </w:rPr>
      </w:pPr>
      <w:r w:rsidRPr="00515289">
        <w:rPr>
          <w:rFonts w:asciiTheme="majorHAnsi" w:hAnsiTheme="majorHAnsi" w:cstheme="majorHAnsi"/>
          <w:b/>
          <w:color w:val="000000"/>
        </w:rPr>
        <w:t>CTE Regional Coordinators</w:t>
      </w:r>
      <w:r w:rsidRPr="00515289">
        <w:rPr>
          <w:rFonts w:asciiTheme="majorHAnsi" w:hAnsiTheme="majorHAnsi" w:cstheme="majorHAnsi"/>
          <w:color w:val="000000"/>
        </w:rPr>
        <w:t>: CTE leaders who help school districts and community colleges</w:t>
      </w:r>
      <w:r w:rsidRPr="00515289">
        <w:rPr>
          <w:rFonts w:asciiTheme="majorHAnsi" w:hAnsiTheme="majorHAnsi" w:cstheme="majorHAnsi"/>
        </w:rPr>
        <w:t xml:space="preserve"> </w:t>
      </w:r>
      <w:r w:rsidRPr="00515289">
        <w:rPr>
          <w:rFonts w:asciiTheme="majorHAnsi" w:hAnsiTheme="majorHAnsi" w:cstheme="majorHAnsi"/>
          <w:color w:val="000000"/>
        </w:rPr>
        <w:t xml:space="preserve">develop and maintain their CTE Programs of Study. There are currently 17 CTE </w:t>
      </w:r>
      <w:r w:rsidR="005139BE">
        <w:rPr>
          <w:rFonts w:asciiTheme="majorHAnsi" w:hAnsiTheme="majorHAnsi" w:cstheme="majorHAnsi"/>
          <w:color w:val="000000"/>
        </w:rPr>
        <w:t>r</w:t>
      </w:r>
      <w:r w:rsidRPr="00515289">
        <w:rPr>
          <w:rFonts w:asciiTheme="majorHAnsi" w:hAnsiTheme="majorHAnsi" w:cstheme="majorHAnsi"/>
          <w:color w:val="000000"/>
        </w:rPr>
        <w:t xml:space="preserve">egional </w:t>
      </w:r>
      <w:r w:rsidR="005139BE">
        <w:rPr>
          <w:rFonts w:asciiTheme="majorHAnsi" w:hAnsiTheme="majorHAnsi" w:cstheme="majorHAnsi"/>
          <w:color w:val="000000"/>
        </w:rPr>
        <w:t>c</w:t>
      </w:r>
      <w:r w:rsidRPr="00515289">
        <w:rPr>
          <w:rFonts w:asciiTheme="majorHAnsi" w:hAnsiTheme="majorHAnsi" w:cstheme="majorHAnsi"/>
          <w:color w:val="000000"/>
        </w:rPr>
        <w:t xml:space="preserve">oordinators. The CTE </w:t>
      </w:r>
      <w:r w:rsidR="005139BE">
        <w:rPr>
          <w:rFonts w:asciiTheme="majorHAnsi" w:hAnsiTheme="majorHAnsi" w:cstheme="majorHAnsi"/>
          <w:color w:val="000000"/>
        </w:rPr>
        <w:t>r</w:t>
      </w:r>
      <w:r w:rsidRPr="00515289">
        <w:rPr>
          <w:rFonts w:asciiTheme="majorHAnsi" w:hAnsiTheme="majorHAnsi" w:cstheme="majorHAnsi"/>
          <w:color w:val="000000"/>
        </w:rPr>
        <w:t xml:space="preserve">egional </w:t>
      </w:r>
      <w:r w:rsidR="005139BE">
        <w:rPr>
          <w:rFonts w:asciiTheme="majorHAnsi" w:hAnsiTheme="majorHAnsi" w:cstheme="majorHAnsi"/>
          <w:color w:val="000000"/>
        </w:rPr>
        <w:t>c</w:t>
      </w:r>
      <w:r w:rsidRPr="00515289">
        <w:rPr>
          <w:rFonts w:asciiTheme="majorHAnsi" w:hAnsiTheme="majorHAnsi" w:cstheme="majorHAnsi"/>
          <w:color w:val="000000"/>
        </w:rPr>
        <w:t>oordinators each have unique funding and support and are</w:t>
      </w:r>
      <w:r w:rsidRPr="00515289">
        <w:rPr>
          <w:rFonts w:asciiTheme="majorHAnsi" w:hAnsiTheme="majorHAnsi" w:cstheme="majorHAnsi"/>
        </w:rPr>
        <w:t xml:space="preserve"> </w:t>
      </w:r>
      <w:r w:rsidRPr="00515289">
        <w:rPr>
          <w:rFonts w:asciiTheme="majorHAnsi" w:hAnsiTheme="majorHAnsi" w:cstheme="majorHAnsi"/>
          <w:color w:val="000000"/>
        </w:rPr>
        <w:t xml:space="preserve">housed at the regional </w:t>
      </w:r>
      <w:r w:rsidR="0034782E">
        <w:rPr>
          <w:rFonts w:asciiTheme="majorHAnsi" w:hAnsiTheme="majorHAnsi" w:cstheme="majorHAnsi"/>
          <w:color w:val="000000"/>
        </w:rPr>
        <w:t>e</w:t>
      </w:r>
      <w:r w:rsidRPr="00515289">
        <w:rPr>
          <w:rFonts w:asciiTheme="majorHAnsi" w:hAnsiTheme="majorHAnsi" w:cstheme="majorHAnsi"/>
          <w:color w:val="000000"/>
        </w:rPr>
        <w:t xml:space="preserve">ducation </w:t>
      </w:r>
      <w:r w:rsidR="0034782E">
        <w:rPr>
          <w:rFonts w:asciiTheme="majorHAnsi" w:hAnsiTheme="majorHAnsi" w:cstheme="majorHAnsi"/>
          <w:color w:val="000000"/>
        </w:rPr>
        <w:t>s</w:t>
      </w:r>
      <w:r w:rsidRPr="00515289">
        <w:rPr>
          <w:rFonts w:asciiTheme="majorHAnsi" w:hAnsiTheme="majorHAnsi" w:cstheme="majorHAnsi"/>
          <w:color w:val="000000"/>
        </w:rPr>
        <w:t xml:space="preserve">ervice </w:t>
      </w:r>
      <w:r w:rsidR="0034782E">
        <w:rPr>
          <w:rFonts w:asciiTheme="majorHAnsi" w:hAnsiTheme="majorHAnsi" w:cstheme="majorHAnsi"/>
          <w:color w:val="000000"/>
        </w:rPr>
        <w:t>d</w:t>
      </w:r>
      <w:r w:rsidRPr="00515289">
        <w:rPr>
          <w:rFonts w:asciiTheme="majorHAnsi" w:hAnsiTheme="majorHAnsi" w:cstheme="majorHAnsi"/>
          <w:color w:val="000000"/>
        </w:rPr>
        <w:t>istrict or the local community college. They</w:t>
      </w:r>
      <w:r w:rsidRPr="00515289">
        <w:rPr>
          <w:rFonts w:asciiTheme="majorHAnsi" w:hAnsiTheme="majorHAnsi" w:cstheme="majorHAnsi"/>
        </w:rPr>
        <w:t xml:space="preserve"> are generally</w:t>
      </w:r>
      <w:r w:rsidRPr="00515289">
        <w:rPr>
          <w:rFonts w:asciiTheme="majorHAnsi" w:hAnsiTheme="majorHAnsi" w:cstheme="majorHAnsi"/>
          <w:color w:val="000000"/>
        </w:rPr>
        <w:t xml:space="preserve"> responsible for the development, local approval, state submission, </w:t>
      </w:r>
      <w:r w:rsidRPr="00515289">
        <w:rPr>
          <w:rFonts w:asciiTheme="majorHAnsi" w:hAnsiTheme="majorHAnsi" w:cstheme="majorHAnsi"/>
        </w:rPr>
        <w:t>teacher approval and endorsement processing,</w:t>
      </w:r>
      <w:r w:rsidRPr="00515289">
        <w:rPr>
          <w:rFonts w:asciiTheme="majorHAnsi" w:hAnsiTheme="majorHAnsi" w:cstheme="majorHAnsi"/>
          <w:color w:val="000000"/>
        </w:rPr>
        <w:t xml:space="preserve"> and continuous</w:t>
      </w:r>
      <w:r w:rsidRPr="00515289">
        <w:rPr>
          <w:rFonts w:asciiTheme="majorHAnsi" w:hAnsiTheme="majorHAnsi" w:cstheme="majorHAnsi"/>
        </w:rPr>
        <w:t xml:space="preserve"> </w:t>
      </w:r>
      <w:r w:rsidRPr="00515289">
        <w:rPr>
          <w:rFonts w:asciiTheme="majorHAnsi" w:hAnsiTheme="majorHAnsi" w:cstheme="majorHAnsi"/>
          <w:color w:val="000000"/>
        </w:rPr>
        <w:t xml:space="preserve">improvement of CTE POS in their regions. CTE </w:t>
      </w:r>
      <w:r w:rsidR="005139BE">
        <w:rPr>
          <w:rFonts w:asciiTheme="majorHAnsi" w:hAnsiTheme="majorHAnsi" w:cstheme="majorHAnsi"/>
          <w:color w:val="000000"/>
        </w:rPr>
        <w:t>r</w:t>
      </w:r>
      <w:r w:rsidRPr="00515289">
        <w:rPr>
          <w:rFonts w:asciiTheme="majorHAnsi" w:hAnsiTheme="majorHAnsi" w:cstheme="majorHAnsi"/>
          <w:color w:val="000000"/>
        </w:rPr>
        <w:t xml:space="preserve">egional </w:t>
      </w:r>
      <w:r w:rsidR="005139BE">
        <w:rPr>
          <w:rFonts w:asciiTheme="majorHAnsi" w:hAnsiTheme="majorHAnsi" w:cstheme="majorHAnsi"/>
          <w:color w:val="000000"/>
        </w:rPr>
        <w:t>c</w:t>
      </w:r>
      <w:r w:rsidRPr="00515289">
        <w:rPr>
          <w:rFonts w:asciiTheme="majorHAnsi" w:hAnsiTheme="majorHAnsi" w:cstheme="majorHAnsi"/>
          <w:color w:val="000000"/>
        </w:rPr>
        <w:t>oordina</w:t>
      </w:r>
      <w:r w:rsidRPr="00515289">
        <w:rPr>
          <w:rFonts w:asciiTheme="majorHAnsi" w:hAnsiTheme="majorHAnsi" w:cstheme="majorHAnsi"/>
        </w:rPr>
        <w:t>tors partner and interact with HECC/CCWD and ODE CTE staff to support pr</w:t>
      </w:r>
      <w:r w:rsidRPr="000A5EB0">
        <w:rPr>
          <w:rFonts w:asciiTheme="majorHAnsi" w:hAnsiTheme="majorHAnsi" w:cstheme="majorHAnsi"/>
        </w:rPr>
        <w:t xml:space="preserve">ograms. </w:t>
      </w:r>
    </w:p>
    <w:p w14:paraId="0000001C" w14:textId="087D5025" w:rsidR="00DE6AFD" w:rsidRPr="001B4C99" w:rsidRDefault="000A5EB0">
      <w:pPr>
        <w:widowControl w:val="0"/>
        <w:numPr>
          <w:ilvl w:val="0"/>
          <w:numId w:val="4"/>
        </w:numPr>
        <w:pBdr>
          <w:top w:val="nil"/>
          <w:left w:val="nil"/>
          <w:bottom w:val="nil"/>
          <w:right w:val="nil"/>
          <w:between w:val="nil"/>
        </w:pBdr>
        <w:spacing w:line="264" w:lineRule="auto"/>
        <w:ind w:right="36"/>
        <w:rPr>
          <w:rStyle w:val="Hyperlink"/>
          <w:rFonts w:asciiTheme="majorHAnsi" w:hAnsiTheme="majorHAnsi" w:cstheme="majorHAnsi"/>
          <w:color w:val="4471C4"/>
        </w:rPr>
      </w:pPr>
      <w:r w:rsidRPr="001B4C99">
        <w:rPr>
          <w:rFonts w:asciiTheme="majorHAnsi" w:hAnsiTheme="majorHAnsi" w:cstheme="majorHAnsi"/>
          <w:color w:val="4471C4"/>
          <w:u w:val="single"/>
        </w:rPr>
        <w:fldChar w:fldCharType="begin"/>
      </w:r>
      <w:r w:rsidRPr="001B4C99">
        <w:rPr>
          <w:rFonts w:asciiTheme="majorHAnsi" w:hAnsiTheme="majorHAnsi" w:cstheme="majorHAnsi"/>
          <w:color w:val="4471C4"/>
          <w:u w:val="single"/>
        </w:rPr>
        <w:instrText>HYPERLINK "https://www.oregon.gov/ode/learning-options/CTE/TLCresources/Documents/CTE%20Contact%20Information.xlsx"</w:instrText>
      </w:r>
      <w:r w:rsidRPr="001B4C99">
        <w:rPr>
          <w:rFonts w:asciiTheme="majorHAnsi" w:hAnsiTheme="majorHAnsi" w:cstheme="majorHAnsi"/>
          <w:color w:val="4471C4"/>
          <w:u w:val="single"/>
        </w:rPr>
      </w:r>
      <w:r w:rsidRPr="001B4C99">
        <w:rPr>
          <w:rFonts w:asciiTheme="majorHAnsi" w:hAnsiTheme="majorHAnsi" w:cstheme="majorHAnsi"/>
          <w:color w:val="4471C4"/>
          <w:u w:val="single"/>
        </w:rPr>
        <w:fldChar w:fldCharType="separate"/>
      </w:r>
      <w:r w:rsidR="006E4784" w:rsidRPr="001B4C99">
        <w:rPr>
          <w:rStyle w:val="Hyperlink"/>
          <w:rFonts w:asciiTheme="majorHAnsi" w:hAnsiTheme="majorHAnsi" w:cstheme="majorHAnsi"/>
          <w:color w:val="4471C4"/>
        </w:rPr>
        <w:t>CTE Regional Coordinators and Community College CTE D</w:t>
      </w:r>
      <w:r w:rsidR="006E4784" w:rsidRPr="001B4C99">
        <w:rPr>
          <w:rStyle w:val="Hyperlink"/>
          <w:rFonts w:asciiTheme="majorHAnsi" w:hAnsiTheme="majorHAnsi" w:cstheme="majorHAnsi"/>
          <w:color w:val="4471C4"/>
        </w:rPr>
        <w:t>e</w:t>
      </w:r>
      <w:r w:rsidR="006E4784" w:rsidRPr="001B4C99">
        <w:rPr>
          <w:rStyle w:val="Hyperlink"/>
          <w:rFonts w:asciiTheme="majorHAnsi" w:hAnsiTheme="majorHAnsi" w:cstheme="majorHAnsi"/>
          <w:color w:val="4471C4"/>
        </w:rPr>
        <w:t>ans</w:t>
      </w:r>
    </w:p>
    <w:p w14:paraId="0000001D" w14:textId="533547D8" w:rsidR="00DE6AFD" w:rsidRPr="00515289" w:rsidRDefault="000A5EB0">
      <w:pPr>
        <w:widowControl w:val="0"/>
        <w:pBdr>
          <w:top w:val="nil"/>
          <w:left w:val="nil"/>
          <w:bottom w:val="nil"/>
          <w:right w:val="nil"/>
          <w:between w:val="nil"/>
        </w:pBdr>
        <w:spacing w:before="303" w:line="264" w:lineRule="auto"/>
        <w:ind w:left="10" w:right="36" w:firstLine="1"/>
        <w:rPr>
          <w:rFonts w:asciiTheme="majorHAnsi" w:hAnsiTheme="majorHAnsi" w:cstheme="majorHAnsi"/>
        </w:rPr>
      </w:pPr>
      <w:r w:rsidRPr="001B4C99">
        <w:rPr>
          <w:rFonts w:asciiTheme="majorHAnsi" w:hAnsiTheme="majorHAnsi" w:cstheme="majorHAnsi"/>
          <w:color w:val="4471C4"/>
          <w:u w:val="single"/>
        </w:rPr>
        <w:fldChar w:fldCharType="end"/>
      </w:r>
      <w:r w:rsidR="006E4784" w:rsidRPr="00515289">
        <w:rPr>
          <w:rFonts w:asciiTheme="majorHAnsi" w:hAnsiTheme="majorHAnsi" w:cstheme="majorHAnsi"/>
          <w:b/>
        </w:rPr>
        <w:t>CTE Revitalization Grant Program:</w:t>
      </w:r>
      <w:r w:rsidR="006E4784" w:rsidRPr="00515289">
        <w:rPr>
          <w:rFonts w:asciiTheme="majorHAnsi" w:hAnsiTheme="majorHAnsi" w:cstheme="majorHAnsi"/>
        </w:rPr>
        <w:t xml:space="preserve"> Established by the Oregon Legislature through HB 3362 (2011) and reauthorized through HB 3072 and HB 5016 (2015), the CTE Revitalization Grant Program has been established to strengthen the alignment of </w:t>
      </w:r>
      <w:r w:rsidR="00996A8A">
        <w:rPr>
          <w:rFonts w:asciiTheme="majorHAnsi" w:hAnsiTheme="majorHAnsi" w:cstheme="majorHAnsi"/>
        </w:rPr>
        <w:t>c</w:t>
      </w:r>
      <w:r w:rsidR="006E4784" w:rsidRPr="00515289">
        <w:rPr>
          <w:rFonts w:asciiTheme="majorHAnsi" w:hAnsiTheme="majorHAnsi" w:cstheme="majorHAnsi"/>
        </w:rPr>
        <w:t xml:space="preserve">areer and </w:t>
      </w:r>
      <w:r w:rsidR="00996A8A">
        <w:rPr>
          <w:rFonts w:asciiTheme="majorHAnsi" w:hAnsiTheme="majorHAnsi" w:cstheme="majorHAnsi"/>
        </w:rPr>
        <w:t>t</w:t>
      </w:r>
      <w:r w:rsidR="006E4784" w:rsidRPr="00515289">
        <w:rPr>
          <w:rFonts w:asciiTheme="majorHAnsi" w:hAnsiTheme="majorHAnsi" w:cstheme="majorHAnsi"/>
        </w:rPr>
        <w:t xml:space="preserve">echnical </w:t>
      </w:r>
      <w:r w:rsidR="00996A8A">
        <w:rPr>
          <w:rFonts w:asciiTheme="majorHAnsi" w:hAnsiTheme="majorHAnsi" w:cstheme="majorHAnsi"/>
        </w:rPr>
        <w:t>e</w:t>
      </w:r>
      <w:r w:rsidR="006E4784" w:rsidRPr="00515289">
        <w:rPr>
          <w:rFonts w:asciiTheme="majorHAnsi" w:hAnsiTheme="majorHAnsi" w:cstheme="majorHAnsi"/>
        </w:rPr>
        <w:t>ducation, workforce development, and economic development by providing a means to invigorate existing CTE programs and providing support to create new programs that align with local industry needs. This is a biennial grant program for secondary CTE.</w:t>
      </w:r>
    </w:p>
    <w:p w14:paraId="00000021" w14:textId="77777777" w:rsidR="00DE6AFD" w:rsidRPr="00515289" w:rsidRDefault="00DE6AFD" w:rsidP="00515289">
      <w:pPr>
        <w:widowControl w:val="0"/>
        <w:spacing w:line="240" w:lineRule="auto"/>
        <w:rPr>
          <w:rFonts w:asciiTheme="majorHAnsi" w:hAnsiTheme="majorHAnsi" w:cstheme="majorHAnsi"/>
          <w:b/>
        </w:rPr>
      </w:pPr>
    </w:p>
    <w:p w14:paraId="00000022" w14:textId="77777777" w:rsidR="00DE6AFD" w:rsidRPr="00515289" w:rsidRDefault="006E4784">
      <w:pPr>
        <w:widowControl w:val="0"/>
        <w:pBdr>
          <w:top w:val="nil"/>
          <w:left w:val="nil"/>
          <w:bottom w:val="nil"/>
          <w:right w:val="nil"/>
          <w:between w:val="nil"/>
        </w:pBdr>
        <w:spacing w:line="264" w:lineRule="auto"/>
        <w:ind w:right="36"/>
        <w:rPr>
          <w:rFonts w:asciiTheme="majorHAnsi" w:hAnsiTheme="majorHAnsi" w:cstheme="majorHAnsi"/>
        </w:rPr>
      </w:pPr>
      <w:r w:rsidRPr="00515289">
        <w:rPr>
          <w:rFonts w:asciiTheme="majorHAnsi" w:hAnsiTheme="majorHAnsi" w:cstheme="majorHAnsi"/>
          <w:b/>
        </w:rPr>
        <w:t>CTE State Plan:</w:t>
      </w:r>
      <w:r w:rsidRPr="00515289">
        <w:rPr>
          <w:rFonts w:asciiTheme="majorHAnsi" w:hAnsiTheme="majorHAnsi" w:cstheme="majorHAnsi"/>
        </w:rPr>
        <w:t xml:space="preserve"> The official State Board of Education and Governor-approved plan to implement the Strengthening Career and Technical Education for the 21st Century Act (Perkins V) in Oregon. </w:t>
      </w:r>
    </w:p>
    <w:p w14:paraId="00000023" w14:textId="77777777" w:rsidR="00DE6AFD" w:rsidRPr="00515289" w:rsidRDefault="00194AE0">
      <w:pPr>
        <w:widowControl w:val="0"/>
        <w:numPr>
          <w:ilvl w:val="0"/>
          <w:numId w:val="7"/>
        </w:numPr>
        <w:pBdr>
          <w:top w:val="nil"/>
          <w:left w:val="nil"/>
          <w:bottom w:val="nil"/>
          <w:right w:val="nil"/>
          <w:between w:val="nil"/>
        </w:pBdr>
        <w:spacing w:line="264" w:lineRule="auto"/>
        <w:ind w:right="36"/>
        <w:rPr>
          <w:rFonts w:asciiTheme="majorHAnsi" w:hAnsiTheme="majorHAnsi" w:cstheme="majorHAnsi"/>
        </w:rPr>
      </w:pPr>
      <w:hyperlink r:id="rId15">
        <w:r w:rsidR="006E4784" w:rsidRPr="00515289">
          <w:rPr>
            <w:rFonts w:asciiTheme="majorHAnsi" w:hAnsiTheme="majorHAnsi" w:cstheme="majorHAnsi"/>
            <w:color w:val="1155CC"/>
            <w:u w:val="single"/>
          </w:rPr>
          <w:t>Oregon State Plan</w:t>
        </w:r>
      </w:hyperlink>
      <w:r w:rsidR="006E4784" w:rsidRPr="00515289">
        <w:rPr>
          <w:rFonts w:asciiTheme="majorHAnsi" w:hAnsiTheme="majorHAnsi" w:cstheme="majorHAnsi"/>
        </w:rPr>
        <w:t xml:space="preserve"> </w:t>
      </w:r>
    </w:p>
    <w:p w14:paraId="00000024" w14:textId="76D917AB" w:rsidR="00DE6AFD" w:rsidRPr="00515289" w:rsidRDefault="006E4784">
      <w:pPr>
        <w:widowControl w:val="0"/>
        <w:pBdr>
          <w:top w:val="nil"/>
          <w:left w:val="nil"/>
          <w:bottom w:val="nil"/>
          <w:right w:val="nil"/>
          <w:between w:val="nil"/>
        </w:pBdr>
        <w:spacing w:before="252" w:line="264" w:lineRule="auto"/>
        <w:ind w:left="3" w:right="63" w:firstLine="9"/>
        <w:rPr>
          <w:rFonts w:asciiTheme="majorHAnsi" w:hAnsiTheme="majorHAnsi" w:cstheme="majorHAnsi"/>
        </w:rPr>
      </w:pPr>
      <w:r w:rsidRPr="00515289">
        <w:rPr>
          <w:rFonts w:asciiTheme="majorHAnsi" w:hAnsiTheme="majorHAnsi" w:cstheme="majorHAnsi"/>
          <w:b/>
          <w:color w:val="000000"/>
        </w:rPr>
        <w:t>Culturally Responsive Pedagogy and Practices</w:t>
      </w:r>
      <w:r w:rsidR="0034782E">
        <w:rPr>
          <w:rFonts w:asciiTheme="majorHAnsi" w:hAnsiTheme="majorHAnsi" w:cstheme="majorHAnsi"/>
          <w:b/>
          <w:color w:val="000000"/>
        </w:rPr>
        <w:t xml:space="preserve"> (CRP)</w:t>
      </w:r>
      <w:r w:rsidRPr="00515289">
        <w:rPr>
          <w:rFonts w:asciiTheme="majorHAnsi" w:hAnsiTheme="majorHAnsi" w:cstheme="majorHAnsi"/>
          <w:b/>
          <w:color w:val="000000"/>
        </w:rPr>
        <w:t xml:space="preserve">: </w:t>
      </w:r>
      <w:r w:rsidRPr="00515289">
        <w:rPr>
          <w:rFonts w:asciiTheme="majorHAnsi" w:hAnsiTheme="majorHAnsi" w:cstheme="majorHAnsi"/>
          <w:color w:val="000000"/>
        </w:rPr>
        <w:t>(CRP) are defined as “using the cultural</w:t>
      </w:r>
      <w:r w:rsidRPr="00515289">
        <w:rPr>
          <w:rFonts w:asciiTheme="majorHAnsi" w:hAnsiTheme="majorHAnsi" w:cstheme="majorHAnsi"/>
        </w:rPr>
        <w:t xml:space="preserve"> </w:t>
      </w:r>
      <w:r w:rsidRPr="00515289">
        <w:rPr>
          <w:rFonts w:asciiTheme="majorHAnsi" w:hAnsiTheme="majorHAnsi" w:cstheme="majorHAnsi"/>
          <w:color w:val="000000"/>
        </w:rPr>
        <w:t>knowledge, prior experiences, frames of reference, and performance styles of ethnically diverse</w:t>
      </w:r>
      <w:r w:rsidRPr="00515289">
        <w:rPr>
          <w:rFonts w:asciiTheme="majorHAnsi" w:hAnsiTheme="majorHAnsi" w:cstheme="majorHAnsi"/>
        </w:rPr>
        <w:t xml:space="preserve"> </w:t>
      </w:r>
      <w:r w:rsidRPr="00515289">
        <w:rPr>
          <w:rFonts w:asciiTheme="majorHAnsi" w:hAnsiTheme="majorHAnsi" w:cstheme="majorHAnsi"/>
          <w:color w:val="000000"/>
        </w:rPr>
        <w:t>students to make learning more relevant and effective for them” (Gay, 2000). CRP requires</w:t>
      </w:r>
      <w:r w:rsidRPr="00515289">
        <w:rPr>
          <w:rFonts w:asciiTheme="majorHAnsi" w:hAnsiTheme="majorHAnsi" w:cstheme="majorHAnsi"/>
        </w:rPr>
        <w:t xml:space="preserve"> </w:t>
      </w:r>
      <w:r w:rsidRPr="00515289">
        <w:rPr>
          <w:rFonts w:asciiTheme="majorHAnsi" w:hAnsiTheme="majorHAnsi" w:cstheme="majorHAnsi"/>
          <w:color w:val="000000"/>
        </w:rPr>
        <w:t xml:space="preserve">educators </w:t>
      </w:r>
      <w:r w:rsidRPr="00515289">
        <w:rPr>
          <w:rFonts w:asciiTheme="majorHAnsi" w:hAnsiTheme="majorHAnsi" w:cstheme="majorHAnsi"/>
        </w:rPr>
        <w:t xml:space="preserve">to </w:t>
      </w:r>
      <w:r w:rsidRPr="00515289">
        <w:rPr>
          <w:rFonts w:asciiTheme="majorHAnsi" w:hAnsiTheme="majorHAnsi" w:cstheme="majorHAnsi"/>
          <w:color w:val="000000"/>
        </w:rPr>
        <w:t>have the skills and knowledge to address students’ diverse cultural experiences</w:t>
      </w:r>
      <w:r w:rsidRPr="00515289">
        <w:rPr>
          <w:rFonts w:asciiTheme="majorHAnsi" w:hAnsiTheme="majorHAnsi" w:cstheme="majorHAnsi"/>
        </w:rPr>
        <w:t xml:space="preserve"> </w:t>
      </w:r>
      <w:r w:rsidRPr="00515289">
        <w:rPr>
          <w:rFonts w:asciiTheme="majorHAnsi" w:hAnsiTheme="majorHAnsi" w:cstheme="majorHAnsi"/>
          <w:color w:val="000000"/>
        </w:rPr>
        <w:t>while acknowledging the dominant cultural aspects of school and the “cultural mismatch” that</w:t>
      </w:r>
      <w:r w:rsidRPr="00515289">
        <w:rPr>
          <w:rFonts w:asciiTheme="majorHAnsi" w:hAnsiTheme="majorHAnsi" w:cstheme="majorHAnsi"/>
        </w:rPr>
        <w:t xml:space="preserve"> results.</w:t>
      </w:r>
    </w:p>
    <w:p w14:paraId="00000025" w14:textId="77777777" w:rsidR="00DE6AFD" w:rsidRPr="00515289" w:rsidRDefault="006E4784">
      <w:pPr>
        <w:widowControl w:val="0"/>
        <w:pBdr>
          <w:top w:val="nil"/>
          <w:left w:val="nil"/>
          <w:bottom w:val="nil"/>
          <w:right w:val="nil"/>
          <w:between w:val="nil"/>
        </w:pBdr>
        <w:spacing w:before="252" w:line="264" w:lineRule="auto"/>
        <w:ind w:left="3" w:right="63" w:firstLine="9"/>
        <w:rPr>
          <w:rFonts w:asciiTheme="majorHAnsi" w:hAnsiTheme="majorHAnsi" w:cstheme="majorHAnsi"/>
        </w:rPr>
      </w:pPr>
      <w:r w:rsidRPr="00515289">
        <w:rPr>
          <w:rFonts w:asciiTheme="majorHAnsi" w:hAnsiTheme="majorHAnsi" w:cstheme="majorHAnsi"/>
          <w:b/>
          <w:color w:val="000000"/>
        </w:rPr>
        <w:t xml:space="preserve">Equitable Access: </w:t>
      </w:r>
      <w:r w:rsidRPr="00515289">
        <w:rPr>
          <w:rFonts w:asciiTheme="majorHAnsi" w:hAnsiTheme="majorHAnsi" w:cstheme="majorHAnsi"/>
          <w:color w:val="000000"/>
        </w:rPr>
        <w:t>The ability of all students to receive an education from qualified educators in</w:t>
      </w:r>
      <w:r w:rsidRPr="00515289">
        <w:rPr>
          <w:rFonts w:asciiTheme="majorHAnsi" w:hAnsiTheme="majorHAnsi" w:cstheme="majorHAnsi"/>
        </w:rPr>
        <w:t xml:space="preserve"> </w:t>
      </w:r>
      <w:r w:rsidRPr="00515289">
        <w:rPr>
          <w:rFonts w:asciiTheme="majorHAnsi" w:hAnsiTheme="majorHAnsi" w:cstheme="majorHAnsi"/>
          <w:color w:val="000000"/>
        </w:rPr>
        <w:t>buildings that are safe and conducive to learning with sufficient resources, including digital,</w:t>
      </w:r>
      <w:r w:rsidRPr="00515289">
        <w:rPr>
          <w:rFonts w:asciiTheme="majorHAnsi" w:hAnsiTheme="majorHAnsi" w:cstheme="majorHAnsi"/>
        </w:rPr>
        <w:t xml:space="preserve"> career-specific</w:t>
      </w:r>
      <w:r w:rsidRPr="00515289">
        <w:rPr>
          <w:rFonts w:asciiTheme="majorHAnsi" w:hAnsiTheme="majorHAnsi" w:cstheme="majorHAnsi"/>
          <w:color w:val="000000"/>
        </w:rPr>
        <w:t>, and other specialized equipment used in courses. In short, all students should</w:t>
      </w:r>
      <w:r w:rsidRPr="00515289">
        <w:rPr>
          <w:rFonts w:asciiTheme="majorHAnsi" w:hAnsiTheme="majorHAnsi" w:cstheme="majorHAnsi"/>
        </w:rPr>
        <w:t xml:space="preserve"> </w:t>
      </w:r>
      <w:r w:rsidRPr="00515289">
        <w:rPr>
          <w:rFonts w:asciiTheme="majorHAnsi" w:hAnsiTheme="majorHAnsi" w:cstheme="majorHAnsi"/>
          <w:color w:val="000000"/>
        </w:rPr>
        <w:t>have an equal opportunity to learn, succeed</w:t>
      </w:r>
      <w:r w:rsidRPr="00515289">
        <w:rPr>
          <w:rFonts w:asciiTheme="majorHAnsi" w:hAnsiTheme="majorHAnsi" w:cstheme="majorHAnsi"/>
        </w:rPr>
        <w:t>,</w:t>
      </w:r>
      <w:r w:rsidRPr="00515289">
        <w:rPr>
          <w:rFonts w:asciiTheme="majorHAnsi" w:hAnsiTheme="majorHAnsi" w:cstheme="majorHAnsi"/>
          <w:color w:val="000000"/>
        </w:rPr>
        <w:t xml:space="preserve"> and thrive in CTE experiences, regardless of</w:t>
      </w:r>
      <w:r w:rsidRPr="00515289">
        <w:rPr>
          <w:rFonts w:asciiTheme="majorHAnsi" w:hAnsiTheme="majorHAnsi" w:cstheme="majorHAnsi"/>
        </w:rPr>
        <w:t xml:space="preserve"> </w:t>
      </w:r>
      <w:r w:rsidRPr="00515289">
        <w:rPr>
          <w:rFonts w:asciiTheme="majorHAnsi" w:hAnsiTheme="majorHAnsi" w:cstheme="majorHAnsi"/>
          <w:color w:val="000000"/>
        </w:rPr>
        <w:t>identity, geographic location, economic status, family or marital status, and all other protected</w:t>
      </w:r>
      <w:r w:rsidRPr="00515289">
        <w:rPr>
          <w:rFonts w:asciiTheme="majorHAnsi" w:hAnsiTheme="majorHAnsi" w:cstheme="majorHAnsi"/>
        </w:rPr>
        <w:t xml:space="preserve"> </w:t>
      </w:r>
      <w:r w:rsidRPr="00515289">
        <w:rPr>
          <w:rFonts w:asciiTheme="majorHAnsi" w:hAnsiTheme="majorHAnsi" w:cstheme="majorHAnsi"/>
          <w:color w:val="000000"/>
        </w:rPr>
        <w:t xml:space="preserve">classes or special population designations.  </w:t>
      </w:r>
    </w:p>
    <w:p w14:paraId="00000026" w14:textId="77777777" w:rsidR="00DE6AFD" w:rsidRPr="00515289" w:rsidRDefault="006E4784">
      <w:pPr>
        <w:widowControl w:val="0"/>
        <w:pBdr>
          <w:top w:val="nil"/>
          <w:left w:val="nil"/>
          <w:bottom w:val="nil"/>
          <w:right w:val="nil"/>
          <w:between w:val="nil"/>
        </w:pBdr>
        <w:spacing w:before="252" w:line="264" w:lineRule="auto"/>
        <w:ind w:left="3" w:right="63" w:firstLine="9"/>
        <w:rPr>
          <w:rFonts w:asciiTheme="majorHAnsi" w:hAnsiTheme="majorHAnsi" w:cstheme="majorHAnsi"/>
        </w:rPr>
      </w:pPr>
      <w:r w:rsidRPr="00515289">
        <w:rPr>
          <w:rFonts w:asciiTheme="majorHAnsi" w:hAnsiTheme="majorHAnsi" w:cstheme="majorHAnsi"/>
          <w:b/>
        </w:rPr>
        <w:t xml:space="preserve">Essential Employability Skills: </w:t>
      </w:r>
      <w:r w:rsidRPr="00515289">
        <w:rPr>
          <w:rFonts w:asciiTheme="majorHAnsi" w:hAnsiTheme="majorHAnsi" w:cstheme="majorHAnsi"/>
        </w:rPr>
        <w:t>The collection of skills necessary to succeed in the workplace beyond those typically learned in academic settings. They include skills such as communication, problem-solving, critical thinking, teamwork, and work ethic.</w:t>
      </w:r>
    </w:p>
    <w:p w14:paraId="00000027" w14:textId="77777777" w:rsidR="00DE6AFD" w:rsidRPr="00515289" w:rsidRDefault="006E4784">
      <w:pPr>
        <w:widowControl w:val="0"/>
        <w:pBdr>
          <w:top w:val="nil"/>
          <w:left w:val="nil"/>
          <w:bottom w:val="nil"/>
          <w:right w:val="nil"/>
          <w:between w:val="nil"/>
        </w:pBdr>
        <w:spacing w:before="252" w:line="264" w:lineRule="auto"/>
        <w:ind w:left="3" w:right="63" w:firstLine="9"/>
        <w:rPr>
          <w:rFonts w:asciiTheme="majorHAnsi" w:hAnsiTheme="majorHAnsi" w:cstheme="majorHAnsi"/>
          <w:color w:val="000000"/>
        </w:rPr>
      </w:pPr>
      <w:r w:rsidRPr="00515289">
        <w:rPr>
          <w:rFonts w:asciiTheme="majorHAnsi" w:hAnsiTheme="majorHAnsi" w:cstheme="majorHAnsi"/>
          <w:b/>
          <w:color w:val="000000"/>
        </w:rPr>
        <w:t xml:space="preserve">High-Wage, High-Skill, In-Demand Careers: </w:t>
      </w:r>
      <w:r w:rsidRPr="00515289">
        <w:rPr>
          <w:rFonts w:asciiTheme="majorHAnsi" w:hAnsiTheme="majorHAnsi" w:cstheme="majorHAnsi"/>
          <w:color w:val="000000"/>
        </w:rPr>
        <w:t xml:space="preserve">Occupations defined by the Oregon Employment  Department, in collaboration with the Oregon Workforce Investment Board (OWIB), Oregon  Department of Education, and other partners, as follows: </w:t>
      </w:r>
    </w:p>
    <w:p w14:paraId="00000028" w14:textId="77777777" w:rsidR="00DE6AFD" w:rsidRPr="00515289" w:rsidRDefault="006E4784">
      <w:pPr>
        <w:widowControl w:val="0"/>
        <w:pBdr>
          <w:top w:val="nil"/>
          <w:left w:val="nil"/>
          <w:bottom w:val="nil"/>
          <w:right w:val="nil"/>
          <w:between w:val="nil"/>
        </w:pBdr>
        <w:spacing w:before="12" w:line="264" w:lineRule="auto"/>
        <w:ind w:left="737" w:right="60" w:firstLine="1"/>
        <w:rPr>
          <w:rFonts w:asciiTheme="majorHAnsi" w:hAnsiTheme="majorHAnsi" w:cstheme="majorHAnsi"/>
          <w:color w:val="000000"/>
        </w:rPr>
      </w:pPr>
      <w:r w:rsidRPr="00515289">
        <w:rPr>
          <w:rFonts w:asciiTheme="majorHAnsi" w:hAnsiTheme="majorHAnsi" w:cstheme="majorHAnsi"/>
          <w:b/>
          <w:color w:val="000000"/>
        </w:rPr>
        <w:t xml:space="preserve">High-Wage Occupations: </w:t>
      </w:r>
      <w:r w:rsidRPr="00515289">
        <w:rPr>
          <w:rFonts w:asciiTheme="majorHAnsi" w:hAnsiTheme="majorHAnsi" w:cstheme="majorHAnsi"/>
          <w:color w:val="000000"/>
        </w:rPr>
        <w:t>Occupations paying more than the all-industry, all-ownership</w:t>
      </w:r>
      <w:r w:rsidRPr="00515289">
        <w:rPr>
          <w:rFonts w:asciiTheme="majorHAnsi" w:hAnsiTheme="majorHAnsi" w:cstheme="majorHAnsi"/>
        </w:rPr>
        <w:t xml:space="preserve"> </w:t>
      </w:r>
      <w:r w:rsidRPr="00515289">
        <w:rPr>
          <w:rFonts w:asciiTheme="majorHAnsi" w:hAnsiTheme="majorHAnsi" w:cstheme="majorHAnsi"/>
          <w:color w:val="000000"/>
        </w:rPr>
        <w:t xml:space="preserve">median wage for statewide or a particular region. </w:t>
      </w:r>
    </w:p>
    <w:p w14:paraId="00000029" w14:textId="77777777" w:rsidR="00DE6AFD" w:rsidRPr="00515289" w:rsidRDefault="006E4784">
      <w:pPr>
        <w:widowControl w:val="0"/>
        <w:pBdr>
          <w:top w:val="nil"/>
          <w:left w:val="nil"/>
          <w:bottom w:val="nil"/>
          <w:right w:val="nil"/>
          <w:between w:val="nil"/>
        </w:pBdr>
        <w:spacing w:before="13" w:line="264" w:lineRule="auto"/>
        <w:ind w:left="738" w:right="308"/>
        <w:rPr>
          <w:rFonts w:asciiTheme="majorHAnsi" w:hAnsiTheme="majorHAnsi" w:cstheme="majorHAnsi"/>
          <w:b/>
          <w:color w:val="365F91"/>
        </w:rPr>
      </w:pPr>
      <w:r w:rsidRPr="00515289">
        <w:rPr>
          <w:rFonts w:asciiTheme="majorHAnsi" w:hAnsiTheme="majorHAnsi" w:cstheme="majorHAnsi"/>
          <w:b/>
          <w:color w:val="000000"/>
        </w:rPr>
        <w:t xml:space="preserve">In-Demand Occupations: </w:t>
      </w:r>
      <w:r w:rsidRPr="00515289">
        <w:rPr>
          <w:rFonts w:asciiTheme="majorHAnsi" w:hAnsiTheme="majorHAnsi" w:cstheme="majorHAnsi"/>
          <w:color w:val="000000"/>
        </w:rPr>
        <w:t>Occupations having more than the median number of total  (growth plus replacement) openings for statewide or a particular region.</w:t>
      </w:r>
    </w:p>
    <w:p w14:paraId="0000002A" w14:textId="79F74AE1" w:rsidR="00DE6AFD" w:rsidRPr="00515289" w:rsidRDefault="006E4784">
      <w:pPr>
        <w:widowControl w:val="0"/>
        <w:pBdr>
          <w:top w:val="nil"/>
          <w:left w:val="nil"/>
          <w:bottom w:val="nil"/>
          <w:right w:val="nil"/>
          <w:between w:val="nil"/>
        </w:pBdr>
        <w:spacing w:line="264" w:lineRule="auto"/>
        <w:ind w:left="726" w:right="33" w:firstLine="12"/>
        <w:rPr>
          <w:rFonts w:asciiTheme="majorHAnsi" w:hAnsiTheme="majorHAnsi" w:cstheme="majorHAnsi"/>
          <w:color w:val="000000"/>
        </w:rPr>
      </w:pPr>
      <w:r w:rsidRPr="00515289">
        <w:rPr>
          <w:rFonts w:asciiTheme="majorHAnsi" w:hAnsiTheme="majorHAnsi" w:cstheme="majorHAnsi"/>
          <w:b/>
          <w:color w:val="000000"/>
        </w:rPr>
        <w:t xml:space="preserve">High-Skill Occupations: </w:t>
      </w:r>
      <w:r w:rsidRPr="00515289">
        <w:rPr>
          <w:rFonts w:asciiTheme="majorHAnsi" w:hAnsiTheme="majorHAnsi" w:cstheme="majorHAnsi"/>
          <w:color w:val="000000"/>
        </w:rPr>
        <w:t>Occupations that typically require</w:t>
      </w:r>
      <w:r w:rsidRPr="00515289">
        <w:rPr>
          <w:rFonts w:asciiTheme="majorHAnsi" w:hAnsiTheme="majorHAnsi" w:cstheme="majorHAnsi"/>
        </w:rPr>
        <w:t xml:space="preserve"> </w:t>
      </w:r>
      <w:r w:rsidRPr="00515289">
        <w:rPr>
          <w:rFonts w:asciiTheme="majorHAnsi" w:hAnsiTheme="majorHAnsi" w:cstheme="majorHAnsi"/>
          <w:color w:val="000000"/>
        </w:rPr>
        <w:t>postsecondary</w:t>
      </w:r>
      <w:r w:rsidRPr="00515289">
        <w:rPr>
          <w:rFonts w:asciiTheme="majorHAnsi" w:hAnsiTheme="majorHAnsi" w:cstheme="majorHAnsi"/>
        </w:rPr>
        <w:t xml:space="preserve"> </w:t>
      </w:r>
      <w:r w:rsidRPr="00515289">
        <w:rPr>
          <w:rFonts w:asciiTheme="majorHAnsi" w:hAnsiTheme="majorHAnsi" w:cstheme="majorHAnsi"/>
          <w:color w:val="000000"/>
        </w:rPr>
        <w:t>training (</w:t>
      </w:r>
      <w:r w:rsidRPr="00515289">
        <w:rPr>
          <w:rFonts w:asciiTheme="majorHAnsi" w:hAnsiTheme="majorHAnsi" w:cstheme="majorHAnsi"/>
        </w:rPr>
        <w:t>non-degree</w:t>
      </w:r>
      <w:r w:rsidRPr="00515289">
        <w:rPr>
          <w:rFonts w:asciiTheme="majorHAnsi" w:hAnsiTheme="majorHAnsi" w:cstheme="majorHAnsi"/>
          <w:color w:val="000000"/>
        </w:rPr>
        <w:t xml:space="preserve">) or </w:t>
      </w:r>
      <w:r w:rsidRPr="00515289">
        <w:rPr>
          <w:rFonts w:asciiTheme="majorHAnsi" w:hAnsiTheme="majorHAnsi" w:cstheme="majorHAnsi"/>
        </w:rPr>
        <w:t>higher for entry</w:t>
      </w:r>
      <w:r w:rsidRPr="00515289">
        <w:rPr>
          <w:rFonts w:asciiTheme="majorHAnsi" w:hAnsiTheme="majorHAnsi" w:cstheme="majorHAnsi"/>
          <w:color w:val="000000"/>
        </w:rPr>
        <w:t>, an apprenticeship a</w:t>
      </w:r>
      <w:r w:rsidR="001268B9">
        <w:rPr>
          <w:rFonts w:asciiTheme="majorHAnsi" w:hAnsiTheme="majorHAnsi" w:cstheme="majorHAnsi"/>
          <w:color w:val="000000"/>
        </w:rPr>
        <w:t>t</w:t>
      </w:r>
      <w:r w:rsidRPr="00515289">
        <w:rPr>
          <w:rFonts w:asciiTheme="majorHAnsi" w:hAnsiTheme="majorHAnsi" w:cstheme="majorHAnsi"/>
          <w:color w:val="000000"/>
        </w:rPr>
        <w:t xml:space="preserve"> the “typical on-the-job training”  level, OR related work experience or long-term OJT for entry and postsecondary training (non-degree) or above as competitive. </w:t>
      </w:r>
    </w:p>
    <w:p w14:paraId="0000002B" w14:textId="77777777" w:rsidR="00DE6AFD" w:rsidRPr="00515289" w:rsidRDefault="00DE6AFD">
      <w:pPr>
        <w:widowControl w:val="0"/>
        <w:pBdr>
          <w:top w:val="nil"/>
          <w:left w:val="nil"/>
          <w:bottom w:val="nil"/>
          <w:right w:val="nil"/>
          <w:between w:val="nil"/>
        </w:pBdr>
        <w:spacing w:line="264" w:lineRule="auto"/>
        <w:ind w:left="6" w:right="33" w:firstLine="12"/>
        <w:rPr>
          <w:rFonts w:asciiTheme="majorHAnsi" w:hAnsiTheme="majorHAnsi" w:cstheme="majorHAnsi"/>
          <w:b/>
        </w:rPr>
      </w:pPr>
    </w:p>
    <w:p w14:paraId="0000002C" w14:textId="407BF6B5" w:rsidR="00DE6AFD" w:rsidRPr="00515289" w:rsidRDefault="006E4784">
      <w:pPr>
        <w:widowControl w:val="0"/>
        <w:pBdr>
          <w:top w:val="nil"/>
          <w:left w:val="nil"/>
          <w:bottom w:val="nil"/>
          <w:right w:val="nil"/>
          <w:between w:val="nil"/>
        </w:pBdr>
        <w:spacing w:line="264" w:lineRule="auto"/>
        <w:ind w:left="6" w:right="33" w:firstLine="12"/>
        <w:rPr>
          <w:rFonts w:asciiTheme="majorHAnsi" w:hAnsiTheme="majorHAnsi" w:cstheme="majorHAnsi"/>
        </w:rPr>
      </w:pPr>
      <w:r w:rsidRPr="00515289">
        <w:rPr>
          <w:rFonts w:asciiTheme="majorHAnsi" w:hAnsiTheme="majorHAnsi" w:cstheme="majorHAnsi"/>
          <w:b/>
        </w:rPr>
        <w:t>High</w:t>
      </w:r>
      <w:r w:rsidR="0034782E">
        <w:rPr>
          <w:rFonts w:asciiTheme="majorHAnsi" w:hAnsiTheme="majorHAnsi" w:cstheme="majorHAnsi"/>
          <w:b/>
        </w:rPr>
        <w:t xml:space="preserve"> </w:t>
      </w:r>
      <w:r w:rsidRPr="00515289">
        <w:rPr>
          <w:rFonts w:asciiTheme="majorHAnsi" w:hAnsiTheme="majorHAnsi" w:cstheme="majorHAnsi"/>
          <w:b/>
        </w:rPr>
        <w:t xml:space="preserve">Quality Program of Study: </w:t>
      </w:r>
      <w:r w:rsidRPr="00515289">
        <w:rPr>
          <w:rFonts w:asciiTheme="majorHAnsi" w:hAnsiTheme="majorHAnsi" w:cstheme="majorHAnsi"/>
        </w:rPr>
        <w:t xml:space="preserve">To be considered a HQPOS, a POS meets </w:t>
      </w:r>
      <w:proofErr w:type="gramStart"/>
      <w:r w:rsidRPr="00515289">
        <w:rPr>
          <w:rFonts w:asciiTheme="majorHAnsi" w:hAnsiTheme="majorHAnsi" w:cstheme="majorHAnsi"/>
        </w:rPr>
        <w:t>all of</w:t>
      </w:r>
      <w:proofErr w:type="gramEnd"/>
      <w:r w:rsidRPr="00515289">
        <w:rPr>
          <w:rFonts w:asciiTheme="majorHAnsi" w:hAnsiTheme="majorHAnsi" w:cstheme="majorHAnsi"/>
        </w:rPr>
        <w:t xml:space="preserve"> the criteria of the HQPOS Rubric at the minimum of the level three. A HQPOS provides the richest opportunities for students to achieve success on their career pathway, including postsecondary educational opportunities and career opportunities. It provides all the experiences expected in CTE, including but not limited to equitable access</w:t>
      </w:r>
      <w:r w:rsidR="0034782E">
        <w:rPr>
          <w:rFonts w:asciiTheme="majorHAnsi" w:hAnsiTheme="majorHAnsi" w:cstheme="majorHAnsi"/>
        </w:rPr>
        <w:t>;</w:t>
      </w:r>
      <w:r w:rsidRPr="00515289">
        <w:rPr>
          <w:rFonts w:asciiTheme="majorHAnsi" w:hAnsiTheme="majorHAnsi" w:cstheme="majorHAnsi"/>
        </w:rPr>
        <w:t xml:space="preserve"> interwoven technical, academic, and employability skill building</w:t>
      </w:r>
      <w:r w:rsidR="0034782E">
        <w:rPr>
          <w:rFonts w:asciiTheme="majorHAnsi" w:hAnsiTheme="majorHAnsi" w:cstheme="majorHAnsi"/>
        </w:rPr>
        <w:t>;</w:t>
      </w:r>
      <w:r w:rsidRPr="00515289">
        <w:rPr>
          <w:rFonts w:asciiTheme="majorHAnsi" w:hAnsiTheme="majorHAnsi" w:cstheme="majorHAnsi"/>
        </w:rPr>
        <w:t xml:space="preserve"> workplace learning</w:t>
      </w:r>
      <w:r w:rsidR="0034782E">
        <w:rPr>
          <w:rFonts w:asciiTheme="majorHAnsi" w:hAnsiTheme="majorHAnsi" w:cstheme="majorHAnsi"/>
        </w:rPr>
        <w:t>;</w:t>
      </w:r>
      <w:r w:rsidRPr="00515289">
        <w:rPr>
          <w:rFonts w:asciiTheme="majorHAnsi" w:hAnsiTheme="majorHAnsi" w:cstheme="majorHAnsi"/>
        </w:rPr>
        <w:t xml:space="preserve"> student leadership</w:t>
      </w:r>
      <w:r w:rsidR="0034782E">
        <w:rPr>
          <w:rFonts w:asciiTheme="majorHAnsi" w:hAnsiTheme="majorHAnsi" w:cstheme="majorHAnsi"/>
        </w:rPr>
        <w:t>;</w:t>
      </w:r>
      <w:r w:rsidRPr="00515289">
        <w:rPr>
          <w:rFonts w:asciiTheme="majorHAnsi" w:hAnsiTheme="majorHAnsi" w:cstheme="majorHAnsi"/>
        </w:rPr>
        <w:t xml:space="preserve"> and industry recognition of learning.</w:t>
      </w:r>
    </w:p>
    <w:p w14:paraId="00000032" w14:textId="77777777" w:rsidR="00DE6AFD" w:rsidRPr="00515289" w:rsidRDefault="00DE6AFD" w:rsidP="00515289">
      <w:pPr>
        <w:widowControl w:val="0"/>
        <w:pBdr>
          <w:top w:val="nil"/>
          <w:left w:val="nil"/>
          <w:bottom w:val="nil"/>
          <w:right w:val="nil"/>
          <w:between w:val="nil"/>
        </w:pBdr>
        <w:spacing w:line="264" w:lineRule="auto"/>
        <w:ind w:right="33"/>
        <w:rPr>
          <w:rFonts w:asciiTheme="majorHAnsi" w:hAnsiTheme="majorHAnsi" w:cstheme="majorHAnsi"/>
          <w:b/>
        </w:rPr>
      </w:pPr>
    </w:p>
    <w:p w14:paraId="00000033" w14:textId="1AA74E51" w:rsidR="00DE6AFD" w:rsidRPr="00515289" w:rsidRDefault="006E4784">
      <w:pPr>
        <w:widowControl w:val="0"/>
        <w:pBdr>
          <w:top w:val="nil"/>
          <w:left w:val="nil"/>
          <w:bottom w:val="nil"/>
          <w:right w:val="nil"/>
          <w:between w:val="nil"/>
        </w:pBdr>
        <w:spacing w:line="264" w:lineRule="auto"/>
        <w:ind w:left="6" w:right="33" w:firstLine="12"/>
        <w:rPr>
          <w:rFonts w:asciiTheme="majorHAnsi" w:hAnsiTheme="majorHAnsi" w:cstheme="majorHAnsi"/>
        </w:rPr>
      </w:pPr>
      <w:r w:rsidRPr="00515289">
        <w:rPr>
          <w:rFonts w:asciiTheme="majorHAnsi" w:hAnsiTheme="majorHAnsi" w:cstheme="majorHAnsi"/>
          <w:b/>
        </w:rPr>
        <w:t>High</w:t>
      </w:r>
      <w:r w:rsidR="001268B9">
        <w:rPr>
          <w:rFonts w:asciiTheme="majorHAnsi" w:hAnsiTheme="majorHAnsi" w:cstheme="majorHAnsi"/>
          <w:b/>
        </w:rPr>
        <w:t xml:space="preserve"> </w:t>
      </w:r>
      <w:r w:rsidRPr="00515289">
        <w:rPr>
          <w:rFonts w:asciiTheme="majorHAnsi" w:hAnsiTheme="majorHAnsi" w:cstheme="majorHAnsi"/>
          <w:b/>
        </w:rPr>
        <w:t>Quality Program of Study Rubric:</w:t>
      </w:r>
      <w:r w:rsidRPr="00515289">
        <w:rPr>
          <w:rFonts w:asciiTheme="majorHAnsi" w:hAnsiTheme="majorHAnsi" w:cstheme="majorHAnsi"/>
        </w:rPr>
        <w:t xml:space="preserve"> Each POS should constantly strive to meet the </w:t>
      </w:r>
      <w:proofErr w:type="gramStart"/>
      <w:r w:rsidRPr="00515289">
        <w:rPr>
          <w:rFonts w:asciiTheme="majorHAnsi" w:hAnsiTheme="majorHAnsi" w:cstheme="majorHAnsi"/>
        </w:rPr>
        <w:t>High</w:t>
      </w:r>
      <w:r w:rsidR="001268B9">
        <w:rPr>
          <w:rFonts w:asciiTheme="majorHAnsi" w:hAnsiTheme="majorHAnsi" w:cstheme="majorHAnsi"/>
        </w:rPr>
        <w:t xml:space="preserve"> </w:t>
      </w:r>
      <w:r w:rsidRPr="00515289">
        <w:rPr>
          <w:rFonts w:asciiTheme="majorHAnsi" w:hAnsiTheme="majorHAnsi" w:cstheme="majorHAnsi"/>
        </w:rPr>
        <w:t>Quality</w:t>
      </w:r>
      <w:proofErr w:type="gramEnd"/>
      <w:r w:rsidRPr="00515289">
        <w:rPr>
          <w:rFonts w:asciiTheme="majorHAnsi" w:hAnsiTheme="majorHAnsi" w:cstheme="majorHAnsi"/>
        </w:rPr>
        <w:t xml:space="preserve"> Program of Study criteria. The Rubric is a tool that breaks down the six elements of the Program of Study and provides measurable targets for meeting the criteria of those elements. Acceptable performance for each criterion is level three, but each POS is encouraged to strive for level four.</w:t>
      </w:r>
    </w:p>
    <w:p w14:paraId="00000034" w14:textId="77777777" w:rsidR="00DE6AFD" w:rsidRPr="00515289" w:rsidRDefault="00194AE0">
      <w:pPr>
        <w:widowControl w:val="0"/>
        <w:numPr>
          <w:ilvl w:val="0"/>
          <w:numId w:val="2"/>
        </w:numPr>
        <w:spacing w:line="264" w:lineRule="auto"/>
        <w:ind w:right="33"/>
        <w:rPr>
          <w:rFonts w:asciiTheme="majorHAnsi" w:hAnsiTheme="majorHAnsi" w:cstheme="majorHAnsi"/>
        </w:rPr>
      </w:pPr>
      <w:hyperlink r:id="rId16">
        <w:r w:rsidR="006E4784" w:rsidRPr="00515289">
          <w:rPr>
            <w:rFonts w:asciiTheme="majorHAnsi" w:hAnsiTheme="majorHAnsi" w:cstheme="majorHAnsi"/>
            <w:color w:val="1155CC"/>
            <w:u w:val="single"/>
          </w:rPr>
          <w:t>HQPOS Rubric</w:t>
        </w:r>
      </w:hyperlink>
    </w:p>
    <w:p w14:paraId="00000035" w14:textId="77777777" w:rsidR="00DE6AFD" w:rsidRPr="00515289" w:rsidRDefault="00DE6AFD">
      <w:pPr>
        <w:widowControl w:val="0"/>
        <w:spacing w:line="264" w:lineRule="auto"/>
        <w:ind w:right="33"/>
        <w:rPr>
          <w:rFonts w:asciiTheme="majorHAnsi" w:hAnsiTheme="majorHAnsi" w:cstheme="majorHAnsi"/>
          <w:b/>
        </w:rPr>
      </w:pPr>
    </w:p>
    <w:p w14:paraId="00000036" w14:textId="77777777" w:rsidR="00DE6AFD" w:rsidRPr="00515289" w:rsidRDefault="006E4784">
      <w:pPr>
        <w:widowControl w:val="0"/>
        <w:spacing w:line="264" w:lineRule="auto"/>
        <w:ind w:right="33"/>
        <w:rPr>
          <w:rFonts w:asciiTheme="majorHAnsi" w:hAnsiTheme="majorHAnsi" w:cstheme="majorHAnsi"/>
        </w:rPr>
      </w:pPr>
      <w:r w:rsidRPr="00515289">
        <w:rPr>
          <w:rFonts w:asciiTheme="majorHAnsi" w:hAnsiTheme="majorHAnsi" w:cstheme="majorHAnsi"/>
          <w:b/>
        </w:rPr>
        <w:t xml:space="preserve">Integrated Education and Training: </w:t>
      </w:r>
      <w:r w:rsidRPr="00515289">
        <w:rPr>
          <w:rFonts w:asciiTheme="majorHAnsi" w:hAnsiTheme="majorHAnsi" w:cstheme="majorHAnsi"/>
        </w:rPr>
        <w:t>Integrated Education and Training is a service approach that provides adult education and literacy activities concurrently and contextually with workforce preparation activities and workforce training for a specific occupation or occupational cluster for the purpose of educational and career advancement.</w:t>
      </w:r>
    </w:p>
    <w:p w14:paraId="00000037" w14:textId="77777777" w:rsidR="00DE6AFD" w:rsidRPr="00515289" w:rsidRDefault="00DE6AFD">
      <w:pPr>
        <w:widowControl w:val="0"/>
        <w:spacing w:line="264" w:lineRule="auto"/>
        <w:ind w:right="33"/>
        <w:rPr>
          <w:rFonts w:asciiTheme="majorHAnsi" w:hAnsiTheme="majorHAnsi" w:cstheme="majorHAnsi"/>
        </w:rPr>
      </w:pPr>
    </w:p>
    <w:p w14:paraId="00000038" w14:textId="77777777" w:rsidR="00DE6AFD" w:rsidRPr="00515289" w:rsidRDefault="006E4784">
      <w:pPr>
        <w:widowControl w:val="0"/>
        <w:spacing w:line="264" w:lineRule="auto"/>
        <w:ind w:right="33"/>
        <w:rPr>
          <w:rFonts w:asciiTheme="majorHAnsi" w:hAnsiTheme="majorHAnsi" w:cstheme="majorHAnsi"/>
        </w:rPr>
      </w:pPr>
      <w:r w:rsidRPr="00515289">
        <w:rPr>
          <w:rFonts w:asciiTheme="majorHAnsi" w:hAnsiTheme="majorHAnsi" w:cstheme="majorHAnsi"/>
          <w:b/>
          <w:color w:val="000000"/>
        </w:rPr>
        <w:t xml:space="preserve">Oregon Labor Market Information System (OLMIS): </w:t>
      </w:r>
      <w:r w:rsidRPr="00515289">
        <w:rPr>
          <w:rFonts w:asciiTheme="majorHAnsi" w:hAnsiTheme="majorHAnsi" w:cstheme="majorHAnsi"/>
          <w:color w:val="000000"/>
        </w:rPr>
        <w:t>The market analysis system for the state</w:t>
      </w:r>
      <w:r w:rsidRPr="00515289">
        <w:rPr>
          <w:rFonts w:asciiTheme="majorHAnsi" w:hAnsiTheme="majorHAnsi" w:cstheme="majorHAnsi"/>
        </w:rPr>
        <w:t xml:space="preserve"> </w:t>
      </w:r>
      <w:r w:rsidRPr="00515289">
        <w:rPr>
          <w:rFonts w:asciiTheme="majorHAnsi" w:hAnsiTheme="majorHAnsi" w:cstheme="majorHAnsi"/>
          <w:color w:val="000000"/>
        </w:rPr>
        <w:t xml:space="preserve">of Oregon, which provides economic information to employers, job seekers, students, </w:t>
      </w:r>
      <w:r w:rsidRPr="00515289">
        <w:rPr>
          <w:rFonts w:asciiTheme="majorHAnsi" w:hAnsiTheme="majorHAnsi" w:cstheme="majorHAnsi"/>
        </w:rPr>
        <w:t>policymakers</w:t>
      </w:r>
      <w:r w:rsidRPr="00515289">
        <w:rPr>
          <w:rFonts w:asciiTheme="majorHAnsi" w:hAnsiTheme="majorHAnsi" w:cstheme="majorHAnsi"/>
          <w:color w:val="000000"/>
        </w:rPr>
        <w:t>, analysts, and others. It gives users access to the Employment Department’s</w:t>
      </w:r>
      <w:r w:rsidRPr="00515289">
        <w:rPr>
          <w:rFonts w:asciiTheme="majorHAnsi" w:hAnsiTheme="majorHAnsi" w:cstheme="majorHAnsi"/>
        </w:rPr>
        <w:t xml:space="preserve"> </w:t>
      </w:r>
      <w:r w:rsidRPr="00515289">
        <w:rPr>
          <w:rFonts w:asciiTheme="majorHAnsi" w:hAnsiTheme="majorHAnsi" w:cstheme="majorHAnsi"/>
          <w:color w:val="000000"/>
        </w:rPr>
        <w:t>information resources, free of limitations due to time or location.</w:t>
      </w:r>
    </w:p>
    <w:p w14:paraId="00000039" w14:textId="2639CE38" w:rsidR="00DE6AFD" w:rsidRPr="001268B9" w:rsidRDefault="00194AE0">
      <w:pPr>
        <w:widowControl w:val="0"/>
        <w:numPr>
          <w:ilvl w:val="0"/>
          <w:numId w:val="9"/>
        </w:numPr>
        <w:spacing w:line="264" w:lineRule="auto"/>
        <w:ind w:right="33"/>
        <w:rPr>
          <w:rFonts w:asciiTheme="majorHAnsi" w:hAnsiTheme="majorHAnsi" w:cstheme="majorHAnsi"/>
        </w:rPr>
      </w:pPr>
      <w:hyperlink r:id="rId17" w:history="1">
        <w:r w:rsidR="001268B9" w:rsidRPr="001268B9">
          <w:rPr>
            <w:rStyle w:val="Hyperlink"/>
            <w:rFonts w:asciiTheme="majorHAnsi" w:hAnsiTheme="majorHAnsi" w:cstheme="majorHAnsi"/>
          </w:rPr>
          <w:t>State of Oregon Employment Department – Quality Information</w:t>
        </w:r>
      </w:hyperlink>
    </w:p>
    <w:p w14:paraId="0000003A" w14:textId="77777777" w:rsidR="00DE6AFD" w:rsidRPr="00515289" w:rsidRDefault="00DE6AFD">
      <w:pPr>
        <w:widowControl w:val="0"/>
        <w:spacing w:line="264" w:lineRule="auto"/>
        <w:ind w:right="33"/>
        <w:rPr>
          <w:rFonts w:asciiTheme="majorHAnsi" w:hAnsiTheme="majorHAnsi" w:cstheme="majorHAnsi"/>
        </w:rPr>
      </w:pPr>
    </w:p>
    <w:p w14:paraId="1532AF2E" w14:textId="77777777" w:rsidR="0034782E" w:rsidRDefault="0034782E">
      <w:pPr>
        <w:widowControl w:val="0"/>
        <w:spacing w:line="264" w:lineRule="auto"/>
        <w:ind w:right="33"/>
        <w:rPr>
          <w:rFonts w:asciiTheme="majorHAnsi" w:hAnsiTheme="majorHAnsi" w:cstheme="majorHAnsi"/>
          <w:b/>
          <w:color w:val="000000"/>
        </w:rPr>
      </w:pPr>
    </w:p>
    <w:p w14:paraId="0054279D" w14:textId="6EB447C8" w:rsidR="00F42F5A" w:rsidRPr="00F42F5A" w:rsidRDefault="00F42F5A">
      <w:pPr>
        <w:widowControl w:val="0"/>
        <w:spacing w:line="264" w:lineRule="auto"/>
        <w:ind w:right="33"/>
        <w:rPr>
          <w:rFonts w:asciiTheme="majorHAnsi" w:hAnsiTheme="majorHAnsi" w:cstheme="majorHAnsi"/>
          <w:bCs/>
          <w:color w:val="000000"/>
        </w:rPr>
      </w:pPr>
      <w:r>
        <w:rPr>
          <w:rFonts w:asciiTheme="majorHAnsi" w:hAnsiTheme="majorHAnsi" w:cstheme="majorHAnsi"/>
          <w:b/>
          <w:color w:val="000000"/>
        </w:rPr>
        <w:t xml:space="preserve">Oregon Secondary CTE </w:t>
      </w:r>
      <w:r w:rsidR="00671BF6">
        <w:rPr>
          <w:rFonts w:asciiTheme="majorHAnsi" w:hAnsiTheme="majorHAnsi" w:cstheme="majorHAnsi"/>
          <w:b/>
          <w:color w:val="000000"/>
        </w:rPr>
        <w:t>Completer</w:t>
      </w:r>
      <w:r>
        <w:rPr>
          <w:rFonts w:asciiTheme="majorHAnsi" w:hAnsiTheme="majorHAnsi" w:cstheme="majorHAnsi"/>
          <w:b/>
          <w:color w:val="000000"/>
        </w:rPr>
        <w:t>:</w:t>
      </w:r>
      <w:r>
        <w:rPr>
          <w:rFonts w:asciiTheme="majorHAnsi" w:hAnsiTheme="majorHAnsi" w:cstheme="majorHAnsi"/>
          <w:bCs/>
          <w:color w:val="000000"/>
        </w:rPr>
        <w:t xml:space="preserve"> A student who has earned 3 credits in a single CTE Program of Study, with at least 0.5 credit in an advanced course, and who has a reported CTE WBL </w:t>
      </w:r>
      <w:r w:rsidR="00671BF6">
        <w:rPr>
          <w:rFonts w:asciiTheme="majorHAnsi" w:hAnsiTheme="majorHAnsi" w:cstheme="majorHAnsi"/>
          <w:bCs/>
          <w:color w:val="000000"/>
        </w:rPr>
        <w:t xml:space="preserve">experience </w:t>
      </w:r>
      <w:r>
        <w:rPr>
          <w:rFonts w:asciiTheme="majorHAnsi" w:hAnsiTheme="majorHAnsi" w:cstheme="majorHAnsi"/>
          <w:bCs/>
          <w:color w:val="000000"/>
        </w:rPr>
        <w:t>in that program.</w:t>
      </w:r>
    </w:p>
    <w:p w14:paraId="52F14DB4" w14:textId="77777777" w:rsidR="00F42F5A" w:rsidRDefault="00F42F5A">
      <w:pPr>
        <w:widowControl w:val="0"/>
        <w:spacing w:line="264" w:lineRule="auto"/>
        <w:ind w:right="33"/>
        <w:rPr>
          <w:rFonts w:asciiTheme="majorHAnsi" w:hAnsiTheme="majorHAnsi" w:cstheme="majorHAnsi"/>
          <w:b/>
          <w:color w:val="000000"/>
        </w:rPr>
      </w:pPr>
    </w:p>
    <w:p w14:paraId="0000003B" w14:textId="3780600B" w:rsidR="00DE6AFD" w:rsidRPr="00515289" w:rsidRDefault="006E4784">
      <w:pPr>
        <w:widowControl w:val="0"/>
        <w:spacing w:line="264" w:lineRule="auto"/>
        <w:ind w:right="33"/>
        <w:rPr>
          <w:rFonts w:asciiTheme="majorHAnsi" w:hAnsiTheme="majorHAnsi" w:cstheme="majorHAnsi"/>
          <w:color w:val="000000"/>
        </w:rPr>
      </w:pPr>
      <w:r w:rsidRPr="00515289">
        <w:rPr>
          <w:rFonts w:asciiTheme="majorHAnsi" w:hAnsiTheme="majorHAnsi" w:cstheme="majorHAnsi"/>
          <w:b/>
          <w:color w:val="000000"/>
        </w:rPr>
        <w:t xml:space="preserve">Oregon Skill Sets: </w:t>
      </w:r>
      <w:r w:rsidRPr="00515289">
        <w:rPr>
          <w:rFonts w:asciiTheme="majorHAnsi" w:hAnsiTheme="majorHAnsi" w:cstheme="majorHAnsi"/>
          <w:color w:val="000000"/>
        </w:rPr>
        <w:t>Oregon’s version of the National Career Clusters® skill sets, now known as</w:t>
      </w:r>
      <w:r w:rsidRPr="00515289">
        <w:rPr>
          <w:rFonts w:asciiTheme="majorHAnsi" w:hAnsiTheme="majorHAnsi" w:cstheme="majorHAnsi"/>
        </w:rPr>
        <w:t xml:space="preserve"> </w:t>
      </w:r>
      <w:r w:rsidRPr="00515289">
        <w:rPr>
          <w:rFonts w:asciiTheme="majorHAnsi" w:hAnsiTheme="majorHAnsi" w:cstheme="majorHAnsi"/>
          <w:color w:val="000000"/>
        </w:rPr>
        <w:t xml:space="preserve">the Common Career Technical Core (CCTC). This extensive framework provides </w:t>
      </w:r>
      <w:r w:rsidRPr="00515289">
        <w:rPr>
          <w:rFonts w:asciiTheme="majorHAnsi" w:hAnsiTheme="majorHAnsi" w:cstheme="majorHAnsi"/>
        </w:rPr>
        <w:t>industry-specific</w:t>
      </w:r>
      <w:r w:rsidRPr="00515289">
        <w:rPr>
          <w:rFonts w:asciiTheme="majorHAnsi" w:hAnsiTheme="majorHAnsi" w:cstheme="majorHAnsi"/>
          <w:color w:val="000000"/>
        </w:rPr>
        <w:t xml:space="preserve"> lists of career-related knowledge and skills that students need to know and be able to</w:t>
      </w:r>
      <w:r w:rsidRPr="00515289">
        <w:rPr>
          <w:rFonts w:asciiTheme="majorHAnsi" w:hAnsiTheme="majorHAnsi" w:cstheme="majorHAnsi"/>
        </w:rPr>
        <w:t xml:space="preserve"> </w:t>
      </w:r>
      <w:r w:rsidRPr="00515289">
        <w:rPr>
          <w:rFonts w:asciiTheme="majorHAnsi" w:hAnsiTheme="majorHAnsi" w:cstheme="majorHAnsi"/>
          <w:color w:val="000000"/>
        </w:rPr>
        <w:t>do to be successful in Oregon’s educational and career environments. It includes academic, technical, and workplace skills. The six career learning areas that frame the Oregon Skill Sets are</w:t>
      </w:r>
      <w:r w:rsidR="00BF703D">
        <w:rPr>
          <w:rFonts w:asciiTheme="majorHAnsi" w:hAnsiTheme="majorHAnsi" w:cstheme="majorHAnsi"/>
          <w:color w:val="000000"/>
        </w:rPr>
        <w:t xml:space="preserve"> as follows</w:t>
      </w:r>
      <w:r w:rsidRPr="00515289">
        <w:rPr>
          <w:rFonts w:asciiTheme="majorHAnsi" w:hAnsiTheme="majorHAnsi" w:cstheme="majorHAnsi"/>
          <w:color w:val="000000"/>
        </w:rPr>
        <w:t xml:space="preserve">: </w:t>
      </w:r>
    </w:p>
    <w:p w14:paraId="0000003C" w14:textId="158742E1" w:rsidR="00DE6AFD" w:rsidRPr="00BF703D" w:rsidRDefault="006E4784" w:rsidP="00BF703D">
      <w:pPr>
        <w:pStyle w:val="ListParagraph"/>
        <w:widowControl w:val="0"/>
        <w:numPr>
          <w:ilvl w:val="0"/>
          <w:numId w:val="11"/>
        </w:numPr>
        <w:pBdr>
          <w:top w:val="nil"/>
          <w:left w:val="nil"/>
          <w:bottom w:val="nil"/>
          <w:right w:val="nil"/>
          <w:between w:val="nil"/>
        </w:pBdr>
        <w:spacing w:before="11" w:line="240" w:lineRule="auto"/>
        <w:rPr>
          <w:rFonts w:asciiTheme="majorHAnsi" w:hAnsiTheme="majorHAnsi" w:cstheme="majorHAnsi"/>
          <w:color w:val="000000"/>
        </w:rPr>
      </w:pPr>
      <w:r w:rsidRPr="00BF703D">
        <w:rPr>
          <w:rFonts w:asciiTheme="majorHAnsi" w:hAnsiTheme="majorHAnsi" w:cstheme="majorHAnsi"/>
          <w:color w:val="000000"/>
        </w:rPr>
        <w:t>Agriculture, Food, and Natural Resource Systems</w:t>
      </w:r>
    </w:p>
    <w:p w14:paraId="0000003D" w14:textId="011D7F85" w:rsidR="00DE6AFD" w:rsidRPr="00BF703D" w:rsidRDefault="006E4784" w:rsidP="00BF703D">
      <w:pPr>
        <w:pStyle w:val="ListParagraph"/>
        <w:widowControl w:val="0"/>
        <w:numPr>
          <w:ilvl w:val="0"/>
          <w:numId w:val="11"/>
        </w:numPr>
        <w:pBdr>
          <w:top w:val="nil"/>
          <w:left w:val="nil"/>
          <w:bottom w:val="nil"/>
          <w:right w:val="nil"/>
          <w:between w:val="nil"/>
        </w:pBdr>
        <w:spacing w:before="34" w:line="240" w:lineRule="auto"/>
        <w:rPr>
          <w:rFonts w:asciiTheme="majorHAnsi" w:hAnsiTheme="majorHAnsi" w:cstheme="majorHAnsi"/>
          <w:color w:val="000000"/>
        </w:rPr>
      </w:pPr>
      <w:r w:rsidRPr="00BF703D">
        <w:rPr>
          <w:rFonts w:asciiTheme="majorHAnsi" w:hAnsiTheme="majorHAnsi" w:cstheme="majorHAnsi"/>
          <w:color w:val="000000"/>
        </w:rPr>
        <w:t xml:space="preserve">Arts, Information, and Communications </w:t>
      </w:r>
    </w:p>
    <w:p w14:paraId="0000003E" w14:textId="3336CFAF" w:rsidR="00DE6AFD" w:rsidRPr="00BF703D" w:rsidRDefault="006E4784" w:rsidP="00BF703D">
      <w:pPr>
        <w:pStyle w:val="ListParagraph"/>
        <w:widowControl w:val="0"/>
        <w:numPr>
          <w:ilvl w:val="0"/>
          <w:numId w:val="11"/>
        </w:numPr>
        <w:pBdr>
          <w:top w:val="nil"/>
          <w:left w:val="nil"/>
          <w:bottom w:val="nil"/>
          <w:right w:val="nil"/>
          <w:between w:val="nil"/>
        </w:pBdr>
        <w:spacing w:before="35" w:line="240" w:lineRule="auto"/>
        <w:rPr>
          <w:rFonts w:asciiTheme="majorHAnsi" w:hAnsiTheme="majorHAnsi" w:cstheme="majorHAnsi"/>
          <w:color w:val="000000"/>
        </w:rPr>
      </w:pPr>
      <w:r w:rsidRPr="00BF703D">
        <w:rPr>
          <w:rFonts w:asciiTheme="majorHAnsi" w:hAnsiTheme="majorHAnsi" w:cstheme="majorHAnsi"/>
          <w:color w:val="000000"/>
        </w:rPr>
        <w:t>Business and Management</w:t>
      </w:r>
    </w:p>
    <w:p w14:paraId="0000003F" w14:textId="58CA304F" w:rsidR="00DE6AFD" w:rsidRPr="00BF703D" w:rsidRDefault="006E4784" w:rsidP="00BF703D">
      <w:pPr>
        <w:pStyle w:val="ListParagraph"/>
        <w:widowControl w:val="0"/>
        <w:numPr>
          <w:ilvl w:val="0"/>
          <w:numId w:val="11"/>
        </w:numPr>
        <w:pBdr>
          <w:top w:val="nil"/>
          <w:left w:val="nil"/>
          <w:bottom w:val="nil"/>
          <w:right w:val="nil"/>
          <w:between w:val="nil"/>
        </w:pBdr>
        <w:spacing w:before="34" w:line="240" w:lineRule="auto"/>
        <w:rPr>
          <w:rFonts w:asciiTheme="majorHAnsi" w:hAnsiTheme="majorHAnsi" w:cstheme="majorHAnsi"/>
          <w:color w:val="000000"/>
        </w:rPr>
      </w:pPr>
      <w:r w:rsidRPr="00BF703D">
        <w:rPr>
          <w:rFonts w:asciiTheme="majorHAnsi" w:hAnsiTheme="majorHAnsi" w:cstheme="majorHAnsi"/>
          <w:color w:val="000000"/>
        </w:rPr>
        <w:t xml:space="preserve">Health Sciences </w:t>
      </w:r>
    </w:p>
    <w:p w14:paraId="00000040" w14:textId="68F29B08" w:rsidR="00DE6AFD" w:rsidRPr="00BF703D" w:rsidRDefault="006E4784" w:rsidP="00BF703D">
      <w:pPr>
        <w:pStyle w:val="ListParagraph"/>
        <w:widowControl w:val="0"/>
        <w:numPr>
          <w:ilvl w:val="0"/>
          <w:numId w:val="11"/>
        </w:numPr>
        <w:pBdr>
          <w:top w:val="nil"/>
          <w:left w:val="nil"/>
          <w:bottom w:val="nil"/>
          <w:right w:val="nil"/>
          <w:between w:val="nil"/>
        </w:pBdr>
        <w:spacing w:before="35" w:line="240" w:lineRule="auto"/>
        <w:rPr>
          <w:rFonts w:asciiTheme="majorHAnsi" w:hAnsiTheme="majorHAnsi" w:cstheme="majorHAnsi"/>
          <w:color w:val="000000"/>
        </w:rPr>
      </w:pPr>
      <w:r w:rsidRPr="00BF703D">
        <w:rPr>
          <w:rFonts w:asciiTheme="majorHAnsi" w:hAnsiTheme="majorHAnsi" w:cstheme="majorHAnsi"/>
          <w:color w:val="000000"/>
        </w:rPr>
        <w:t>Human Resources</w:t>
      </w:r>
    </w:p>
    <w:p w14:paraId="00000041" w14:textId="3E3265F0" w:rsidR="00DE6AFD" w:rsidRPr="00BF703D" w:rsidRDefault="006E4784" w:rsidP="00BF703D">
      <w:pPr>
        <w:pStyle w:val="ListParagraph"/>
        <w:widowControl w:val="0"/>
        <w:numPr>
          <w:ilvl w:val="0"/>
          <w:numId w:val="11"/>
        </w:numPr>
        <w:pBdr>
          <w:top w:val="nil"/>
          <w:left w:val="nil"/>
          <w:bottom w:val="nil"/>
          <w:right w:val="nil"/>
          <w:between w:val="nil"/>
        </w:pBdr>
        <w:spacing w:before="34" w:line="240" w:lineRule="auto"/>
        <w:rPr>
          <w:rFonts w:asciiTheme="majorHAnsi" w:hAnsiTheme="majorHAnsi" w:cstheme="majorHAnsi"/>
        </w:rPr>
      </w:pPr>
      <w:r w:rsidRPr="00BF703D">
        <w:rPr>
          <w:rFonts w:asciiTheme="majorHAnsi" w:hAnsiTheme="majorHAnsi" w:cstheme="majorHAnsi"/>
          <w:color w:val="000000"/>
        </w:rPr>
        <w:t>Industrial and Engineering Systems</w:t>
      </w:r>
    </w:p>
    <w:p w14:paraId="00000042" w14:textId="77777777" w:rsidR="00DE6AFD" w:rsidRPr="00515289" w:rsidRDefault="00DE6AFD">
      <w:pPr>
        <w:widowControl w:val="0"/>
        <w:pBdr>
          <w:top w:val="nil"/>
          <w:left w:val="nil"/>
          <w:bottom w:val="nil"/>
          <w:right w:val="nil"/>
          <w:between w:val="nil"/>
        </w:pBdr>
        <w:spacing w:before="34" w:line="240" w:lineRule="auto"/>
        <w:ind w:left="743"/>
        <w:rPr>
          <w:rFonts w:asciiTheme="majorHAnsi" w:hAnsiTheme="majorHAnsi" w:cstheme="majorHAnsi"/>
        </w:rPr>
      </w:pPr>
    </w:p>
    <w:p w14:paraId="00000043" w14:textId="11927AE7" w:rsidR="00DE6AFD" w:rsidRPr="00515289" w:rsidRDefault="006E4784">
      <w:pPr>
        <w:widowControl w:val="0"/>
        <w:pBdr>
          <w:top w:val="nil"/>
          <w:left w:val="nil"/>
          <w:bottom w:val="nil"/>
          <w:right w:val="nil"/>
          <w:between w:val="nil"/>
        </w:pBdr>
        <w:spacing w:before="34" w:line="240" w:lineRule="auto"/>
        <w:ind w:left="23"/>
        <w:rPr>
          <w:rFonts w:asciiTheme="majorHAnsi" w:hAnsiTheme="majorHAnsi" w:cstheme="majorHAnsi"/>
        </w:rPr>
      </w:pPr>
      <w:r w:rsidRPr="00515289">
        <w:rPr>
          <w:rFonts w:asciiTheme="majorHAnsi" w:hAnsiTheme="majorHAnsi" w:cstheme="majorHAnsi"/>
          <w:b/>
        </w:rPr>
        <w:t xml:space="preserve">Perkins V: </w:t>
      </w:r>
      <w:r w:rsidRPr="00515289">
        <w:rPr>
          <w:rFonts w:asciiTheme="majorHAnsi" w:hAnsiTheme="majorHAnsi" w:cstheme="majorHAnsi"/>
        </w:rPr>
        <w:t xml:space="preserve">The </w:t>
      </w:r>
      <w:hyperlink r:id="rId18">
        <w:r w:rsidRPr="00515289">
          <w:rPr>
            <w:rFonts w:asciiTheme="majorHAnsi" w:hAnsiTheme="majorHAnsi" w:cstheme="majorHAnsi"/>
            <w:color w:val="1155CC"/>
            <w:u w:val="single"/>
          </w:rPr>
          <w:t>Strengthening Career and Technical Education for the 21st Century Act (Perkins V)</w:t>
        </w:r>
      </w:hyperlink>
      <w:r w:rsidRPr="00515289">
        <w:rPr>
          <w:rFonts w:asciiTheme="majorHAnsi" w:hAnsiTheme="majorHAnsi" w:cstheme="majorHAnsi"/>
          <w:b/>
        </w:rPr>
        <w:t xml:space="preserve"> </w:t>
      </w:r>
      <w:r w:rsidRPr="00515289">
        <w:rPr>
          <w:rFonts w:asciiTheme="majorHAnsi" w:hAnsiTheme="majorHAnsi" w:cstheme="majorHAnsi"/>
        </w:rPr>
        <w:t>is the reauthorization of the Carl D. Perkins Career and Technical Education Act of 2006 (Perkins IV). The current reauthorization continues congressional support for career and technical education (CTE) programs at the secondary and postsecondary levels.</w:t>
      </w:r>
    </w:p>
    <w:p w14:paraId="00000044" w14:textId="77777777" w:rsidR="00DE6AFD" w:rsidRPr="00515289" w:rsidRDefault="00DE6AFD">
      <w:pPr>
        <w:widowControl w:val="0"/>
        <w:pBdr>
          <w:top w:val="nil"/>
          <w:left w:val="nil"/>
          <w:bottom w:val="nil"/>
          <w:right w:val="nil"/>
          <w:between w:val="nil"/>
        </w:pBdr>
        <w:spacing w:before="34" w:line="240" w:lineRule="auto"/>
        <w:ind w:left="23"/>
        <w:rPr>
          <w:rFonts w:asciiTheme="majorHAnsi" w:hAnsiTheme="majorHAnsi" w:cstheme="majorHAnsi"/>
        </w:rPr>
      </w:pPr>
    </w:p>
    <w:p w14:paraId="00000045" w14:textId="77777777" w:rsidR="00DE6AFD" w:rsidRPr="00515289" w:rsidRDefault="006E4784">
      <w:pPr>
        <w:widowControl w:val="0"/>
        <w:pBdr>
          <w:top w:val="nil"/>
          <w:left w:val="nil"/>
          <w:bottom w:val="nil"/>
          <w:right w:val="nil"/>
          <w:between w:val="nil"/>
        </w:pBdr>
        <w:spacing w:before="34" w:line="240" w:lineRule="auto"/>
        <w:ind w:left="23"/>
        <w:rPr>
          <w:rFonts w:asciiTheme="majorHAnsi" w:hAnsiTheme="majorHAnsi" w:cstheme="majorHAnsi"/>
          <w:i/>
        </w:rPr>
      </w:pPr>
      <w:r w:rsidRPr="00515289">
        <w:rPr>
          <w:rFonts w:asciiTheme="majorHAnsi" w:hAnsiTheme="majorHAnsi" w:cstheme="majorHAnsi"/>
          <w:b/>
          <w:color w:val="000000"/>
        </w:rPr>
        <w:t xml:space="preserve">Postsecondary Career Pathways: </w:t>
      </w:r>
      <w:r w:rsidRPr="00515289">
        <w:rPr>
          <w:rFonts w:asciiTheme="majorHAnsi" w:hAnsiTheme="majorHAnsi" w:cstheme="majorHAnsi"/>
          <w:color w:val="000000"/>
        </w:rPr>
        <w:t>Linked education and training with intentional student</w:t>
      </w:r>
      <w:r w:rsidRPr="00515289">
        <w:rPr>
          <w:rFonts w:asciiTheme="majorHAnsi" w:hAnsiTheme="majorHAnsi" w:cstheme="majorHAnsi"/>
        </w:rPr>
        <w:t xml:space="preserve"> </w:t>
      </w:r>
      <w:r w:rsidRPr="00515289">
        <w:rPr>
          <w:rFonts w:asciiTheme="majorHAnsi" w:hAnsiTheme="majorHAnsi" w:cstheme="majorHAnsi"/>
          <w:color w:val="000000"/>
        </w:rPr>
        <w:t xml:space="preserve">support that </w:t>
      </w:r>
      <w:r w:rsidRPr="00515289">
        <w:rPr>
          <w:rFonts w:asciiTheme="majorHAnsi" w:hAnsiTheme="majorHAnsi" w:cstheme="majorHAnsi"/>
        </w:rPr>
        <w:t>enables</w:t>
      </w:r>
      <w:r w:rsidRPr="00515289">
        <w:rPr>
          <w:rFonts w:asciiTheme="majorHAnsi" w:hAnsiTheme="majorHAnsi" w:cstheme="majorHAnsi"/>
          <w:color w:val="000000"/>
        </w:rPr>
        <w:t xml:space="preserve"> individuals to secure credentials and advance to higher levels of</w:t>
      </w:r>
      <w:r w:rsidRPr="00515289">
        <w:rPr>
          <w:rFonts w:asciiTheme="majorHAnsi" w:hAnsiTheme="majorHAnsi" w:cstheme="majorHAnsi"/>
        </w:rPr>
        <w:t xml:space="preserve"> </w:t>
      </w:r>
      <w:r w:rsidRPr="00515289">
        <w:rPr>
          <w:rFonts w:asciiTheme="majorHAnsi" w:hAnsiTheme="majorHAnsi" w:cstheme="majorHAnsi"/>
          <w:color w:val="000000"/>
        </w:rPr>
        <w:t xml:space="preserve">education and employment </w:t>
      </w:r>
      <w:proofErr w:type="gramStart"/>
      <w:r w:rsidRPr="00515289">
        <w:rPr>
          <w:rFonts w:asciiTheme="majorHAnsi" w:hAnsiTheme="majorHAnsi" w:cstheme="majorHAnsi"/>
          <w:color w:val="000000"/>
        </w:rPr>
        <w:t>in a given</w:t>
      </w:r>
      <w:proofErr w:type="gramEnd"/>
      <w:r w:rsidRPr="00515289">
        <w:rPr>
          <w:rFonts w:asciiTheme="majorHAnsi" w:hAnsiTheme="majorHAnsi" w:cstheme="majorHAnsi"/>
          <w:color w:val="000000"/>
        </w:rPr>
        <w:t xml:space="preserve"> occupation or industry sector. Career pathways facilitate</w:t>
      </w:r>
      <w:r w:rsidRPr="00515289">
        <w:rPr>
          <w:rFonts w:asciiTheme="majorHAnsi" w:hAnsiTheme="majorHAnsi" w:cstheme="majorHAnsi"/>
        </w:rPr>
        <w:t xml:space="preserve"> </w:t>
      </w:r>
      <w:r w:rsidRPr="00515289">
        <w:rPr>
          <w:rFonts w:asciiTheme="majorHAnsi" w:hAnsiTheme="majorHAnsi" w:cstheme="majorHAnsi"/>
          <w:color w:val="000000"/>
        </w:rPr>
        <w:t>student transitions from high school to community college</w:t>
      </w:r>
      <w:r w:rsidRPr="00515289">
        <w:rPr>
          <w:rFonts w:asciiTheme="majorHAnsi" w:hAnsiTheme="majorHAnsi" w:cstheme="majorHAnsi"/>
        </w:rPr>
        <w:t>,</w:t>
      </w:r>
      <w:r w:rsidRPr="00515289">
        <w:rPr>
          <w:rFonts w:asciiTheme="majorHAnsi" w:hAnsiTheme="majorHAnsi" w:cstheme="majorHAnsi"/>
          <w:color w:val="000000"/>
        </w:rPr>
        <w:t xml:space="preserve"> from pre-college courses to credit</w:t>
      </w:r>
      <w:r w:rsidRPr="00515289">
        <w:rPr>
          <w:rFonts w:asciiTheme="majorHAnsi" w:hAnsiTheme="majorHAnsi" w:cstheme="majorHAnsi"/>
        </w:rPr>
        <w:t xml:space="preserve"> </w:t>
      </w:r>
      <w:r w:rsidRPr="00515289">
        <w:rPr>
          <w:rFonts w:asciiTheme="majorHAnsi" w:hAnsiTheme="majorHAnsi" w:cstheme="majorHAnsi"/>
          <w:color w:val="000000"/>
        </w:rPr>
        <w:t>postsecondary programs</w:t>
      </w:r>
      <w:r w:rsidRPr="00515289">
        <w:rPr>
          <w:rFonts w:asciiTheme="majorHAnsi" w:hAnsiTheme="majorHAnsi" w:cstheme="majorHAnsi"/>
        </w:rPr>
        <w:t>,</w:t>
      </w:r>
      <w:r w:rsidRPr="00515289">
        <w:rPr>
          <w:rFonts w:asciiTheme="majorHAnsi" w:hAnsiTheme="majorHAnsi" w:cstheme="majorHAnsi"/>
          <w:color w:val="000000"/>
        </w:rPr>
        <w:t xml:space="preserve"> and from community college to university or employment</w:t>
      </w:r>
      <w:r w:rsidRPr="00515289">
        <w:rPr>
          <w:rFonts w:asciiTheme="majorHAnsi" w:hAnsiTheme="majorHAnsi" w:cstheme="majorHAnsi"/>
        </w:rPr>
        <w:t>.</w:t>
      </w:r>
      <w:r w:rsidRPr="00515289">
        <w:rPr>
          <w:rFonts w:asciiTheme="majorHAnsi" w:hAnsiTheme="majorHAnsi" w:cstheme="majorHAnsi"/>
          <w:color w:val="000000"/>
        </w:rPr>
        <w:t xml:space="preserve"> </w:t>
      </w:r>
      <w:r w:rsidRPr="00515289">
        <w:rPr>
          <w:rFonts w:asciiTheme="majorHAnsi" w:hAnsiTheme="majorHAnsi" w:cstheme="majorHAnsi"/>
          <w:b/>
          <w:i/>
        </w:rPr>
        <w:t>See also: Career Pathways, Career Pathways Programs.</w:t>
      </w:r>
    </w:p>
    <w:p w14:paraId="0000004A" w14:textId="77777777" w:rsidR="00DE6AFD" w:rsidRPr="00515289" w:rsidRDefault="00DE6AFD" w:rsidP="00515289">
      <w:pPr>
        <w:widowControl w:val="0"/>
        <w:pBdr>
          <w:top w:val="nil"/>
          <w:left w:val="nil"/>
          <w:bottom w:val="nil"/>
          <w:right w:val="nil"/>
          <w:between w:val="nil"/>
        </w:pBdr>
        <w:spacing w:before="34" w:line="240" w:lineRule="auto"/>
        <w:rPr>
          <w:rFonts w:asciiTheme="majorHAnsi" w:hAnsiTheme="majorHAnsi" w:cstheme="majorHAnsi"/>
          <w:iCs/>
        </w:rPr>
      </w:pPr>
    </w:p>
    <w:p w14:paraId="4D3830FD" w14:textId="712590CB" w:rsidR="00F42F5A" w:rsidRPr="00F42F5A" w:rsidRDefault="00F42F5A">
      <w:pPr>
        <w:widowControl w:val="0"/>
        <w:pBdr>
          <w:top w:val="nil"/>
          <w:left w:val="nil"/>
          <w:bottom w:val="nil"/>
          <w:right w:val="nil"/>
          <w:between w:val="nil"/>
        </w:pBdr>
        <w:spacing w:before="34" w:line="240" w:lineRule="auto"/>
        <w:ind w:left="23"/>
        <w:rPr>
          <w:rFonts w:asciiTheme="majorHAnsi" w:hAnsiTheme="majorHAnsi" w:cstheme="majorHAnsi"/>
          <w:bCs/>
          <w:color w:val="000000"/>
        </w:rPr>
      </w:pPr>
      <w:r>
        <w:rPr>
          <w:rFonts w:asciiTheme="majorHAnsi" w:hAnsiTheme="majorHAnsi" w:cstheme="majorHAnsi"/>
          <w:b/>
          <w:color w:val="000000"/>
        </w:rPr>
        <w:t>Postsecondary CTE Concentrator:</w:t>
      </w:r>
      <w:r>
        <w:rPr>
          <w:rFonts w:asciiTheme="majorHAnsi" w:hAnsiTheme="majorHAnsi" w:cstheme="majorHAnsi"/>
          <w:bCs/>
          <w:color w:val="000000"/>
        </w:rPr>
        <w:t xml:space="preserve"> Under Perkins, a Postsecondary CTE Concentrator in Oregon is defined as a student who has earned at least 12 credits</w:t>
      </w:r>
      <w:r w:rsidRPr="0071749F">
        <w:rPr>
          <w:rFonts w:asciiTheme="majorHAnsi" w:hAnsiTheme="majorHAnsi" w:cstheme="majorHAnsi"/>
          <w:bCs/>
          <w:i/>
          <w:iCs/>
          <w:color w:val="000000"/>
        </w:rPr>
        <w:t>, with a minimum of 9 CTE-specific, program-specific credits in career and technical education</w:t>
      </w:r>
      <w:r>
        <w:rPr>
          <w:rFonts w:asciiTheme="majorHAnsi" w:hAnsiTheme="majorHAnsi" w:cstheme="majorHAnsi"/>
          <w:bCs/>
          <w:color w:val="000000"/>
        </w:rPr>
        <w:t>, within a career and technical education program or program of study</w:t>
      </w:r>
      <w:r w:rsidR="0071749F">
        <w:rPr>
          <w:rFonts w:asciiTheme="majorHAnsi" w:hAnsiTheme="majorHAnsi" w:cstheme="majorHAnsi"/>
          <w:bCs/>
          <w:color w:val="000000"/>
        </w:rPr>
        <w:t xml:space="preserve"> or completed the program if it is fewer than 12 credits.</w:t>
      </w:r>
    </w:p>
    <w:p w14:paraId="72D21624" w14:textId="77777777" w:rsidR="00F42F5A" w:rsidRDefault="00F42F5A">
      <w:pPr>
        <w:widowControl w:val="0"/>
        <w:pBdr>
          <w:top w:val="nil"/>
          <w:left w:val="nil"/>
          <w:bottom w:val="nil"/>
          <w:right w:val="nil"/>
          <w:between w:val="nil"/>
        </w:pBdr>
        <w:spacing w:before="34" w:line="240" w:lineRule="auto"/>
        <w:ind w:left="23"/>
        <w:rPr>
          <w:rFonts w:asciiTheme="majorHAnsi" w:hAnsiTheme="majorHAnsi" w:cstheme="majorHAnsi"/>
          <w:b/>
          <w:color w:val="000000"/>
        </w:rPr>
      </w:pPr>
    </w:p>
    <w:p w14:paraId="6962DC2A" w14:textId="2E835063" w:rsidR="0071749F" w:rsidRDefault="0071749F">
      <w:pPr>
        <w:widowControl w:val="0"/>
        <w:pBdr>
          <w:top w:val="nil"/>
          <w:left w:val="nil"/>
          <w:bottom w:val="nil"/>
          <w:right w:val="nil"/>
          <w:between w:val="nil"/>
        </w:pBdr>
        <w:spacing w:before="34" w:line="240" w:lineRule="auto"/>
        <w:ind w:left="23"/>
        <w:rPr>
          <w:rFonts w:asciiTheme="majorHAnsi" w:hAnsiTheme="majorHAnsi" w:cstheme="majorHAnsi"/>
          <w:bCs/>
          <w:color w:val="000000"/>
        </w:rPr>
      </w:pPr>
      <w:r>
        <w:rPr>
          <w:rFonts w:asciiTheme="majorHAnsi" w:hAnsiTheme="majorHAnsi" w:cstheme="majorHAnsi"/>
          <w:b/>
          <w:color w:val="000000"/>
        </w:rPr>
        <w:t>Postsecondary CTE Participant:</w:t>
      </w:r>
      <w:r>
        <w:rPr>
          <w:rFonts w:asciiTheme="majorHAnsi" w:hAnsiTheme="majorHAnsi" w:cstheme="majorHAnsi"/>
          <w:bCs/>
          <w:color w:val="000000"/>
        </w:rPr>
        <w:t xml:space="preserve"> Under Perkins, a Postsecondary CTE Participant in Oregon is defined as a student with</w:t>
      </w:r>
    </w:p>
    <w:p w14:paraId="4C2916A8" w14:textId="6D0716F6" w:rsidR="0071749F" w:rsidRPr="0071749F" w:rsidRDefault="0071749F" w:rsidP="0071749F">
      <w:pPr>
        <w:pStyle w:val="ListParagraph"/>
        <w:widowControl w:val="0"/>
        <w:numPr>
          <w:ilvl w:val="0"/>
          <w:numId w:val="12"/>
        </w:numPr>
        <w:pBdr>
          <w:top w:val="nil"/>
          <w:left w:val="nil"/>
          <w:bottom w:val="nil"/>
          <w:right w:val="nil"/>
          <w:between w:val="nil"/>
        </w:pBdr>
        <w:spacing w:before="34" w:line="240" w:lineRule="auto"/>
        <w:rPr>
          <w:rFonts w:asciiTheme="majorHAnsi" w:hAnsiTheme="majorHAnsi" w:cstheme="majorHAnsi"/>
          <w:bCs/>
          <w:color w:val="000000"/>
        </w:rPr>
      </w:pPr>
      <w:r w:rsidRPr="0071749F">
        <w:rPr>
          <w:rFonts w:asciiTheme="majorHAnsi" w:hAnsiTheme="majorHAnsi" w:cstheme="majorHAnsi"/>
          <w:bCs/>
          <w:color w:val="000000"/>
        </w:rPr>
        <w:t xml:space="preserve">fewer than 12.0 credits completed </w:t>
      </w:r>
      <w:r w:rsidRPr="0071749F">
        <w:rPr>
          <w:rFonts w:asciiTheme="majorHAnsi" w:hAnsiTheme="majorHAnsi" w:cstheme="majorHAnsi"/>
          <w:bCs/>
          <w:color w:val="000000"/>
          <w:u w:val="single"/>
        </w:rPr>
        <w:t>and/or</w:t>
      </w:r>
      <w:r w:rsidRPr="0071749F">
        <w:rPr>
          <w:rFonts w:asciiTheme="majorHAnsi" w:hAnsiTheme="majorHAnsi" w:cstheme="majorHAnsi"/>
          <w:bCs/>
          <w:color w:val="000000"/>
        </w:rPr>
        <w:t xml:space="preserve"> fewer than 9.0 program credits that are CTE-specific in a program offering at least 12.0 credits, </w:t>
      </w:r>
      <w:r w:rsidRPr="0071749F">
        <w:rPr>
          <w:rFonts w:asciiTheme="majorHAnsi" w:hAnsiTheme="majorHAnsi" w:cstheme="majorHAnsi"/>
          <w:b/>
          <w:color w:val="000000"/>
        </w:rPr>
        <w:t>OR</w:t>
      </w:r>
    </w:p>
    <w:p w14:paraId="1F4FEAA8" w14:textId="08F4803F" w:rsidR="0071749F" w:rsidRPr="0071749F" w:rsidRDefault="0071749F" w:rsidP="0071749F">
      <w:pPr>
        <w:pStyle w:val="ListParagraph"/>
        <w:widowControl w:val="0"/>
        <w:numPr>
          <w:ilvl w:val="0"/>
          <w:numId w:val="12"/>
        </w:numPr>
        <w:pBdr>
          <w:top w:val="nil"/>
          <w:left w:val="nil"/>
          <w:bottom w:val="nil"/>
          <w:right w:val="nil"/>
          <w:between w:val="nil"/>
        </w:pBdr>
        <w:spacing w:before="34" w:line="240" w:lineRule="auto"/>
        <w:rPr>
          <w:rFonts w:asciiTheme="majorHAnsi" w:hAnsiTheme="majorHAnsi" w:cstheme="majorHAnsi"/>
          <w:bCs/>
          <w:color w:val="000000"/>
        </w:rPr>
      </w:pPr>
      <w:r w:rsidRPr="0071749F">
        <w:rPr>
          <w:rFonts w:asciiTheme="majorHAnsi" w:hAnsiTheme="majorHAnsi" w:cstheme="majorHAnsi"/>
          <w:bCs/>
          <w:color w:val="000000"/>
        </w:rPr>
        <w:t>who has not completed a CTE program that offers fewer than 12.0 credits.</w:t>
      </w:r>
    </w:p>
    <w:p w14:paraId="2D3F1C30" w14:textId="77777777" w:rsidR="0071749F" w:rsidRDefault="0071749F">
      <w:pPr>
        <w:widowControl w:val="0"/>
        <w:pBdr>
          <w:top w:val="nil"/>
          <w:left w:val="nil"/>
          <w:bottom w:val="nil"/>
          <w:right w:val="nil"/>
          <w:between w:val="nil"/>
        </w:pBdr>
        <w:spacing w:before="34" w:line="240" w:lineRule="auto"/>
        <w:ind w:left="23"/>
        <w:rPr>
          <w:rFonts w:asciiTheme="majorHAnsi" w:hAnsiTheme="majorHAnsi" w:cstheme="majorHAnsi"/>
          <w:b/>
          <w:color w:val="000000"/>
        </w:rPr>
      </w:pPr>
    </w:p>
    <w:p w14:paraId="0000004B" w14:textId="10A53717" w:rsidR="00DE6AFD" w:rsidRPr="00515289" w:rsidRDefault="006E4784">
      <w:pPr>
        <w:widowControl w:val="0"/>
        <w:pBdr>
          <w:top w:val="nil"/>
          <w:left w:val="nil"/>
          <w:bottom w:val="nil"/>
          <w:right w:val="nil"/>
          <w:between w:val="nil"/>
        </w:pBdr>
        <w:spacing w:before="34" w:line="240" w:lineRule="auto"/>
        <w:ind w:left="23"/>
        <w:rPr>
          <w:rFonts w:asciiTheme="majorHAnsi" w:hAnsiTheme="majorHAnsi" w:cstheme="majorHAnsi"/>
        </w:rPr>
      </w:pPr>
      <w:r w:rsidRPr="00515289">
        <w:rPr>
          <w:rFonts w:asciiTheme="majorHAnsi" w:hAnsiTheme="majorHAnsi" w:cstheme="majorHAnsi"/>
          <w:b/>
          <w:color w:val="000000"/>
        </w:rPr>
        <w:t xml:space="preserve">Pre-Apprenticeship: </w:t>
      </w:r>
      <w:r w:rsidRPr="00515289">
        <w:rPr>
          <w:rFonts w:asciiTheme="majorHAnsi" w:hAnsiTheme="majorHAnsi" w:cstheme="majorHAnsi"/>
          <w:color w:val="000000"/>
        </w:rPr>
        <w:t xml:space="preserve">A program or set of strategies that </w:t>
      </w:r>
      <w:r w:rsidRPr="00515289">
        <w:rPr>
          <w:rFonts w:asciiTheme="majorHAnsi" w:hAnsiTheme="majorHAnsi" w:cstheme="majorHAnsi"/>
        </w:rPr>
        <w:t>are</w:t>
      </w:r>
      <w:r w:rsidRPr="00515289">
        <w:rPr>
          <w:rFonts w:asciiTheme="majorHAnsi" w:hAnsiTheme="majorHAnsi" w:cstheme="majorHAnsi"/>
          <w:color w:val="000000"/>
        </w:rPr>
        <w:t xml:space="preserve"> designed to prepare individuals to</w:t>
      </w:r>
      <w:r w:rsidRPr="00515289">
        <w:rPr>
          <w:rFonts w:asciiTheme="majorHAnsi" w:hAnsiTheme="majorHAnsi" w:cstheme="majorHAnsi"/>
        </w:rPr>
        <w:t xml:space="preserve"> </w:t>
      </w:r>
      <w:r w:rsidRPr="00515289">
        <w:rPr>
          <w:rFonts w:asciiTheme="majorHAnsi" w:hAnsiTheme="majorHAnsi" w:cstheme="majorHAnsi"/>
          <w:color w:val="000000"/>
        </w:rPr>
        <w:t>enter and succeed in a Registered Apprenticeship program</w:t>
      </w:r>
      <w:r w:rsidR="00823862">
        <w:rPr>
          <w:rFonts w:asciiTheme="majorHAnsi" w:hAnsiTheme="majorHAnsi" w:cstheme="majorHAnsi"/>
          <w:color w:val="000000"/>
        </w:rPr>
        <w:t xml:space="preserve"> and which</w:t>
      </w:r>
      <w:r w:rsidRPr="00515289">
        <w:rPr>
          <w:rFonts w:asciiTheme="majorHAnsi" w:hAnsiTheme="majorHAnsi" w:cstheme="majorHAnsi"/>
          <w:color w:val="000000"/>
        </w:rPr>
        <w:t xml:space="preserve"> ha</w:t>
      </w:r>
      <w:r w:rsidR="00823862">
        <w:rPr>
          <w:rFonts w:asciiTheme="majorHAnsi" w:hAnsiTheme="majorHAnsi" w:cstheme="majorHAnsi"/>
          <w:color w:val="000000"/>
        </w:rPr>
        <w:t>ve</w:t>
      </w:r>
      <w:r w:rsidRPr="00515289">
        <w:rPr>
          <w:rFonts w:asciiTheme="majorHAnsi" w:hAnsiTheme="majorHAnsi" w:cstheme="majorHAnsi"/>
          <w:color w:val="000000"/>
        </w:rPr>
        <w:t xml:space="preserve"> a documented partnership with</w:t>
      </w:r>
      <w:r w:rsidRPr="00515289">
        <w:rPr>
          <w:rFonts w:asciiTheme="majorHAnsi" w:hAnsiTheme="majorHAnsi" w:cstheme="majorHAnsi"/>
        </w:rPr>
        <w:t xml:space="preserve"> </w:t>
      </w:r>
      <w:r w:rsidRPr="00515289">
        <w:rPr>
          <w:rFonts w:asciiTheme="majorHAnsi" w:hAnsiTheme="majorHAnsi" w:cstheme="majorHAnsi"/>
          <w:color w:val="000000"/>
        </w:rPr>
        <w:t>at least one, if not more, Registered Apprenticeship program(s)</w:t>
      </w:r>
      <w:r w:rsidR="00823862">
        <w:rPr>
          <w:rFonts w:asciiTheme="majorHAnsi" w:hAnsiTheme="majorHAnsi" w:cstheme="majorHAnsi"/>
          <w:color w:val="000000"/>
        </w:rPr>
        <w:t>, and are</w:t>
      </w:r>
      <w:r w:rsidRPr="00515289">
        <w:rPr>
          <w:rFonts w:asciiTheme="majorHAnsi" w:hAnsiTheme="majorHAnsi" w:cstheme="majorHAnsi"/>
          <w:color w:val="000000"/>
        </w:rPr>
        <w:t xml:space="preserve"> approved by the Oregon State  Apprenticeship &amp; Training Council</w:t>
      </w:r>
      <w:r w:rsidRPr="00515289">
        <w:rPr>
          <w:rFonts w:asciiTheme="majorHAnsi" w:hAnsiTheme="majorHAnsi" w:cstheme="majorHAnsi"/>
        </w:rPr>
        <w:t>, a governing body sanctioned by the Oregon Bureau of Labor and Industries (BOLI).</w:t>
      </w:r>
    </w:p>
    <w:p w14:paraId="0000004C" w14:textId="77777777" w:rsidR="00DE6AFD" w:rsidRPr="00515289" w:rsidRDefault="00DE6AFD">
      <w:pPr>
        <w:widowControl w:val="0"/>
        <w:pBdr>
          <w:top w:val="nil"/>
          <w:left w:val="nil"/>
          <w:bottom w:val="nil"/>
          <w:right w:val="nil"/>
          <w:between w:val="nil"/>
        </w:pBdr>
        <w:spacing w:before="34" w:line="240" w:lineRule="auto"/>
        <w:ind w:left="23"/>
        <w:rPr>
          <w:rFonts w:asciiTheme="majorHAnsi" w:hAnsiTheme="majorHAnsi" w:cstheme="majorHAnsi"/>
        </w:rPr>
      </w:pPr>
    </w:p>
    <w:p w14:paraId="0000004D" w14:textId="0782E0D4" w:rsidR="00DE6AFD" w:rsidRPr="00515289" w:rsidRDefault="006E4784">
      <w:pPr>
        <w:widowControl w:val="0"/>
        <w:pBdr>
          <w:top w:val="nil"/>
          <w:left w:val="nil"/>
          <w:bottom w:val="nil"/>
          <w:right w:val="nil"/>
          <w:between w:val="nil"/>
        </w:pBdr>
        <w:spacing w:before="34" w:line="240" w:lineRule="auto"/>
        <w:ind w:left="23"/>
        <w:rPr>
          <w:rFonts w:asciiTheme="majorHAnsi" w:hAnsiTheme="majorHAnsi" w:cstheme="majorHAnsi"/>
          <w:b/>
          <w:color w:val="365F91"/>
        </w:rPr>
      </w:pPr>
      <w:r w:rsidRPr="00515289">
        <w:rPr>
          <w:rFonts w:asciiTheme="majorHAnsi" w:hAnsiTheme="majorHAnsi" w:cstheme="majorHAnsi"/>
          <w:b/>
          <w:color w:val="000000"/>
        </w:rPr>
        <w:t xml:space="preserve">Program of Study: </w:t>
      </w:r>
      <w:r w:rsidRPr="00515289">
        <w:rPr>
          <w:rFonts w:asciiTheme="majorHAnsi" w:hAnsiTheme="majorHAnsi" w:cstheme="majorHAnsi"/>
          <w:b/>
          <w:i/>
          <w:color w:val="000000"/>
        </w:rPr>
        <w:t>See also</w:t>
      </w:r>
      <w:r w:rsidRPr="00515289">
        <w:rPr>
          <w:rFonts w:asciiTheme="majorHAnsi" w:hAnsiTheme="majorHAnsi" w:cstheme="majorHAnsi"/>
          <w:b/>
          <w:i/>
        </w:rPr>
        <w:t>:</w:t>
      </w:r>
      <w:r w:rsidRPr="00515289">
        <w:rPr>
          <w:rFonts w:asciiTheme="majorHAnsi" w:hAnsiTheme="majorHAnsi" w:cstheme="majorHAnsi"/>
          <w:b/>
          <w:i/>
          <w:color w:val="000000"/>
        </w:rPr>
        <w:t xml:space="preserve"> CTE Program of Study (POS). </w:t>
      </w:r>
    </w:p>
    <w:p w14:paraId="0000004E" w14:textId="77777777" w:rsidR="00DE6AFD" w:rsidRPr="00515289" w:rsidRDefault="00DE6AFD">
      <w:pPr>
        <w:widowControl w:val="0"/>
        <w:pBdr>
          <w:top w:val="nil"/>
          <w:left w:val="nil"/>
          <w:bottom w:val="nil"/>
          <w:right w:val="nil"/>
          <w:between w:val="nil"/>
        </w:pBdr>
        <w:spacing w:before="34" w:line="240" w:lineRule="auto"/>
        <w:ind w:left="23"/>
        <w:rPr>
          <w:rFonts w:asciiTheme="majorHAnsi" w:hAnsiTheme="majorHAnsi" w:cstheme="majorHAnsi"/>
          <w:b/>
        </w:rPr>
      </w:pPr>
    </w:p>
    <w:p w14:paraId="0000004F" w14:textId="1693B447" w:rsidR="00DE6AFD" w:rsidRPr="00515289" w:rsidRDefault="006E4784">
      <w:pPr>
        <w:widowControl w:val="0"/>
        <w:pBdr>
          <w:top w:val="nil"/>
          <w:left w:val="nil"/>
          <w:bottom w:val="nil"/>
          <w:right w:val="nil"/>
          <w:between w:val="nil"/>
        </w:pBdr>
        <w:spacing w:before="34" w:line="240" w:lineRule="auto"/>
        <w:ind w:left="23"/>
        <w:rPr>
          <w:rFonts w:asciiTheme="majorHAnsi" w:hAnsiTheme="majorHAnsi" w:cstheme="majorHAnsi"/>
        </w:rPr>
      </w:pPr>
      <w:r w:rsidRPr="00515289">
        <w:rPr>
          <w:rFonts w:asciiTheme="majorHAnsi" w:hAnsiTheme="majorHAnsi" w:cstheme="majorHAnsi"/>
          <w:b/>
          <w:color w:val="000000"/>
        </w:rPr>
        <w:t xml:space="preserve">Registered Apprenticeship: </w:t>
      </w:r>
      <w:r w:rsidRPr="00515289">
        <w:rPr>
          <w:rFonts w:asciiTheme="majorHAnsi" w:hAnsiTheme="majorHAnsi" w:cstheme="majorHAnsi"/>
          <w:color w:val="000000"/>
        </w:rPr>
        <w:t xml:space="preserve">A flexible training model that combines structured, paid, </w:t>
      </w:r>
      <w:r w:rsidRPr="00515289">
        <w:rPr>
          <w:rFonts w:asciiTheme="majorHAnsi" w:hAnsiTheme="majorHAnsi" w:cstheme="majorHAnsi"/>
        </w:rPr>
        <w:t>on-the-job</w:t>
      </w:r>
      <w:r w:rsidRPr="00515289">
        <w:rPr>
          <w:rFonts w:asciiTheme="majorHAnsi" w:hAnsiTheme="majorHAnsi" w:cstheme="majorHAnsi"/>
          <w:color w:val="000000"/>
        </w:rPr>
        <w:t xml:space="preserve"> learning experiences with related classroom instruction to train individuals to a high </w:t>
      </w:r>
      <w:r w:rsidRPr="00515289">
        <w:rPr>
          <w:rFonts w:asciiTheme="majorHAnsi" w:hAnsiTheme="majorHAnsi" w:cstheme="majorHAnsi"/>
        </w:rPr>
        <w:t>industry-recognized</w:t>
      </w:r>
      <w:r w:rsidRPr="00515289">
        <w:rPr>
          <w:rFonts w:asciiTheme="majorHAnsi" w:hAnsiTheme="majorHAnsi" w:cstheme="majorHAnsi"/>
          <w:color w:val="000000"/>
        </w:rPr>
        <w:t xml:space="preserve"> standard</w:t>
      </w:r>
      <w:r w:rsidR="00823862">
        <w:rPr>
          <w:rFonts w:asciiTheme="majorHAnsi" w:hAnsiTheme="majorHAnsi" w:cstheme="majorHAnsi"/>
          <w:color w:val="000000"/>
        </w:rPr>
        <w:t xml:space="preserve"> and which is </w:t>
      </w:r>
      <w:r w:rsidRPr="00515289">
        <w:rPr>
          <w:rFonts w:asciiTheme="majorHAnsi" w:hAnsiTheme="majorHAnsi" w:cstheme="majorHAnsi"/>
          <w:color w:val="000000"/>
        </w:rPr>
        <w:t xml:space="preserve">approved by the Oregon State Apprenticeship &amp; Training  Council, a governing body sanctioned by the Oregon Bureau of Labor and Industries (BOLI). </w:t>
      </w:r>
    </w:p>
    <w:p w14:paraId="00000050" w14:textId="77777777" w:rsidR="00DE6AFD" w:rsidRPr="00515289" w:rsidRDefault="00DE6AFD">
      <w:pPr>
        <w:widowControl w:val="0"/>
        <w:pBdr>
          <w:top w:val="nil"/>
          <w:left w:val="nil"/>
          <w:bottom w:val="nil"/>
          <w:right w:val="nil"/>
          <w:between w:val="nil"/>
        </w:pBdr>
        <w:spacing w:before="34" w:line="240" w:lineRule="auto"/>
        <w:ind w:left="23"/>
        <w:rPr>
          <w:rFonts w:asciiTheme="majorHAnsi" w:hAnsiTheme="majorHAnsi" w:cstheme="majorHAnsi"/>
        </w:rPr>
      </w:pPr>
    </w:p>
    <w:p w14:paraId="00000051" w14:textId="613E55E0" w:rsidR="00DE6AFD" w:rsidRPr="00515289" w:rsidRDefault="006E4784">
      <w:pPr>
        <w:widowControl w:val="0"/>
        <w:pBdr>
          <w:top w:val="nil"/>
          <w:left w:val="nil"/>
          <w:bottom w:val="nil"/>
          <w:right w:val="nil"/>
          <w:between w:val="nil"/>
        </w:pBdr>
        <w:spacing w:before="34" w:line="240" w:lineRule="auto"/>
        <w:ind w:left="23"/>
        <w:rPr>
          <w:rFonts w:asciiTheme="majorHAnsi" w:hAnsiTheme="majorHAnsi" w:cstheme="majorHAnsi"/>
        </w:rPr>
      </w:pPr>
      <w:r w:rsidRPr="00515289">
        <w:rPr>
          <w:rFonts w:asciiTheme="majorHAnsi" w:hAnsiTheme="majorHAnsi" w:cstheme="majorHAnsi"/>
          <w:b/>
          <w:color w:val="000000"/>
        </w:rPr>
        <w:t xml:space="preserve">Secondary Career Pathways </w:t>
      </w:r>
      <w:r w:rsidRPr="00515289">
        <w:rPr>
          <w:rFonts w:asciiTheme="majorHAnsi" w:hAnsiTheme="majorHAnsi" w:cstheme="majorHAnsi"/>
          <w:b/>
        </w:rPr>
        <w:t>Grant Program</w:t>
      </w:r>
      <w:r w:rsidRPr="00515289">
        <w:rPr>
          <w:rFonts w:asciiTheme="majorHAnsi" w:hAnsiTheme="majorHAnsi" w:cstheme="majorHAnsi"/>
          <w:color w:val="000000"/>
        </w:rPr>
        <w:t>: Established by the Oregon Legislature through HB 3072</w:t>
      </w:r>
      <w:r w:rsidR="0034782E">
        <w:rPr>
          <w:rFonts w:asciiTheme="majorHAnsi" w:hAnsiTheme="majorHAnsi" w:cstheme="majorHAnsi"/>
          <w:color w:val="000000"/>
        </w:rPr>
        <w:t>,</w:t>
      </w:r>
      <w:r w:rsidRPr="00515289">
        <w:rPr>
          <w:rFonts w:asciiTheme="majorHAnsi" w:hAnsiTheme="majorHAnsi" w:cstheme="majorHAnsi"/>
          <w:color w:val="000000"/>
        </w:rPr>
        <w:t xml:space="preserve"> </w:t>
      </w:r>
      <w:r w:rsidR="0034782E">
        <w:rPr>
          <w:rFonts w:asciiTheme="majorHAnsi" w:hAnsiTheme="majorHAnsi" w:cstheme="majorHAnsi"/>
          <w:color w:val="000000"/>
        </w:rPr>
        <w:t>t</w:t>
      </w:r>
      <w:r w:rsidRPr="00515289">
        <w:rPr>
          <w:rFonts w:asciiTheme="majorHAnsi" w:hAnsiTheme="majorHAnsi" w:cstheme="majorHAnsi"/>
          <w:color w:val="000000"/>
        </w:rPr>
        <w:t xml:space="preserve">his sustained funding for secondary CTE is meant to incentivize </w:t>
      </w:r>
      <w:r w:rsidRPr="00515289">
        <w:rPr>
          <w:rFonts w:asciiTheme="majorHAnsi" w:hAnsiTheme="majorHAnsi" w:cstheme="majorHAnsi"/>
        </w:rPr>
        <w:t>High</w:t>
      </w:r>
      <w:r w:rsidR="00F37D4A">
        <w:rPr>
          <w:rFonts w:asciiTheme="majorHAnsi" w:hAnsiTheme="majorHAnsi" w:cstheme="majorHAnsi"/>
        </w:rPr>
        <w:t xml:space="preserve"> </w:t>
      </w:r>
      <w:r w:rsidRPr="00515289">
        <w:rPr>
          <w:rFonts w:asciiTheme="majorHAnsi" w:hAnsiTheme="majorHAnsi" w:cstheme="majorHAnsi"/>
        </w:rPr>
        <w:t xml:space="preserve">Quality </w:t>
      </w:r>
      <w:r w:rsidRPr="00515289">
        <w:rPr>
          <w:rFonts w:asciiTheme="majorHAnsi" w:hAnsiTheme="majorHAnsi" w:cstheme="majorHAnsi"/>
          <w:color w:val="000000"/>
        </w:rPr>
        <w:t xml:space="preserve">Programs of Study. The funds are allocated based on students who earned three or more credits and/or an </w:t>
      </w:r>
      <w:r w:rsidRPr="00515289">
        <w:rPr>
          <w:rFonts w:asciiTheme="majorHAnsi" w:hAnsiTheme="majorHAnsi" w:cstheme="majorHAnsi"/>
        </w:rPr>
        <w:t>Industry Recognized Credential</w:t>
      </w:r>
      <w:r w:rsidRPr="00515289">
        <w:rPr>
          <w:rFonts w:asciiTheme="majorHAnsi" w:hAnsiTheme="majorHAnsi" w:cstheme="majorHAnsi"/>
          <w:color w:val="000000"/>
        </w:rPr>
        <w:t xml:space="preserve"> in an approved CTE Program of Study. Additional funds are allocated for historically underserved (economically disadvantaged, stud</w:t>
      </w:r>
      <w:r w:rsidRPr="00515289">
        <w:rPr>
          <w:rFonts w:asciiTheme="majorHAnsi" w:hAnsiTheme="majorHAnsi" w:cstheme="majorHAnsi"/>
        </w:rPr>
        <w:t>ents with disabilities, English learners, non-white race/ethnicities) who meet the above criteria.</w:t>
      </w:r>
    </w:p>
    <w:p w14:paraId="00000052" w14:textId="77777777" w:rsidR="00DE6AFD" w:rsidRPr="00515289" w:rsidRDefault="00DE6AFD">
      <w:pPr>
        <w:widowControl w:val="0"/>
        <w:pBdr>
          <w:top w:val="nil"/>
          <w:left w:val="nil"/>
          <w:bottom w:val="nil"/>
          <w:right w:val="nil"/>
          <w:between w:val="nil"/>
        </w:pBdr>
        <w:spacing w:before="34" w:line="240" w:lineRule="auto"/>
        <w:ind w:left="23"/>
        <w:rPr>
          <w:rFonts w:asciiTheme="majorHAnsi" w:hAnsiTheme="majorHAnsi" w:cstheme="majorHAnsi"/>
        </w:rPr>
      </w:pPr>
    </w:p>
    <w:p w14:paraId="3339633B" w14:textId="33A5366A" w:rsidR="0071749F" w:rsidRPr="0071749F" w:rsidRDefault="0071749F">
      <w:pPr>
        <w:widowControl w:val="0"/>
        <w:pBdr>
          <w:top w:val="nil"/>
          <w:left w:val="nil"/>
          <w:bottom w:val="nil"/>
          <w:right w:val="nil"/>
          <w:between w:val="nil"/>
        </w:pBdr>
        <w:spacing w:before="34" w:line="240" w:lineRule="auto"/>
        <w:ind w:left="23"/>
        <w:rPr>
          <w:rFonts w:asciiTheme="majorHAnsi" w:hAnsiTheme="majorHAnsi" w:cstheme="majorHAnsi"/>
          <w:bCs/>
          <w:color w:val="000000"/>
        </w:rPr>
      </w:pPr>
      <w:r>
        <w:rPr>
          <w:rFonts w:asciiTheme="majorHAnsi" w:hAnsiTheme="majorHAnsi" w:cstheme="majorHAnsi"/>
          <w:b/>
          <w:color w:val="000000"/>
        </w:rPr>
        <w:t>Secondary CTE Concentrator:</w:t>
      </w:r>
      <w:r>
        <w:rPr>
          <w:rFonts w:asciiTheme="majorHAnsi" w:hAnsiTheme="majorHAnsi" w:cstheme="majorHAnsi"/>
          <w:bCs/>
          <w:color w:val="000000"/>
        </w:rPr>
        <w:t xml:space="preserve"> Under Perkins, a Secondary CTE Concentrator in Oregon is defined as a student who has earned at least 2.0 credits (earned in grade level 9 or higher) </w:t>
      </w:r>
      <w:r w:rsidRPr="00E37C64">
        <w:rPr>
          <w:rFonts w:asciiTheme="majorHAnsi" w:hAnsiTheme="majorHAnsi" w:cstheme="majorHAnsi"/>
          <w:bCs/>
          <w:color w:val="000000"/>
        </w:rPr>
        <w:t>in a single CTE POS and</w:t>
      </w:r>
      <w:r>
        <w:rPr>
          <w:rFonts w:asciiTheme="majorHAnsi" w:hAnsiTheme="majorHAnsi" w:cstheme="majorHAnsi"/>
          <w:bCs/>
          <w:color w:val="000000"/>
        </w:rPr>
        <w:t xml:space="preserve"> at least 1.0 of those credits is in intermediate or advanced coursework.</w:t>
      </w:r>
    </w:p>
    <w:p w14:paraId="1B422FAD" w14:textId="77777777" w:rsidR="0071749F" w:rsidRDefault="0071749F">
      <w:pPr>
        <w:widowControl w:val="0"/>
        <w:pBdr>
          <w:top w:val="nil"/>
          <w:left w:val="nil"/>
          <w:bottom w:val="nil"/>
          <w:right w:val="nil"/>
          <w:between w:val="nil"/>
        </w:pBdr>
        <w:spacing w:before="34" w:line="240" w:lineRule="auto"/>
        <w:ind w:left="23"/>
        <w:rPr>
          <w:rFonts w:asciiTheme="majorHAnsi" w:hAnsiTheme="majorHAnsi" w:cstheme="majorHAnsi"/>
          <w:b/>
          <w:color w:val="000000"/>
        </w:rPr>
      </w:pPr>
    </w:p>
    <w:p w14:paraId="3EA1E03C" w14:textId="1E3E26B9" w:rsidR="002A2204" w:rsidRPr="002A2204" w:rsidRDefault="002A2204">
      <w:pPr>
        <w:widowControl w:val="0"/>
        <w:pBdr>
          <w:top w:val="nil"/>
          <w:left w:val="nil"/>
          <w:bottom w:val="nil"/>
          <w:right w:val="nil"/>
          <w:between w:val="nil"/>
        </w:pBdr>
        <w:spacing w:before="34" w:line="240" w:lineRule="auto"/>
        <w:ind w:left="23"/>
        <w:rPr>
          <w:rFonts w:asciiTheme="majorHAnsi" w:hAnsiTheme="majorHAnsi" w:cstheme="majorHAnsi"/>
          <w:bCs/>
          <w:color w:val="000000"/>
        </w:rPr>
      </w:pPr>
      <w:r>
        <w:rPr>
          <w:rFonts w:asciiTheme="majorHAnsi" w:hAnsiTheme="majorHAnsi" w:cstheme="majorHAnsi"/>
          <w:b/>
          <w:color w:val="000000"/>
        </w:rPr>
        <w:t>Secondary CTE Participant:</w:t>
      </w:r>
      <w:r>
        <w:rPr>
          <w:rFonts w:asciiTheme="majorHAnsi" w:hAnsiTheme="majorHAnsi" w:cstheme="majorHAnsi"/>
          <w:bCs/>
          <w:color w:val="000000"/>
        </w:rPr>
        <w:t xml:space="preserve"> Under Perkins, a Secondary CTE Participant in Oregon is defined as a student who has earned at least 0.5 credits (earned in grade level 9 or higher) in a single CTE start-up or Program of Study (POS). For local program improvement information, Oregon has also adopted a definition of a Secondary CTE Completer.</w:t>
      </w:r>
      <w:r w:rsidR="00E37C64">
        <w:rPr>
          <w:rFonts w:asciiTheme="majorHAnsi" w:hAnsiTheme="majorHAnsi" w:cstheme="majorHAnsi"/>
          <w:bCs/>
          <w:color w:val="000000"/>
        </w:rPr>
        <w:t xml:space="preserve"> </w:t>
      </w:r>
      <w:r w:rsidR="00E37C64" w:rsidRPr="00E37C64">
        <w:rPr>
          <w:rFonts w:asciiTheme="majorHAnsi" w:hAnsiTheme="majorHAnsi" w:cstheme="majorHAnsi"/>
          <w:b/>
          <w:i/>
          <w:iCs/>
          <w:color w:val="000000"/>
        </w:rPr>
        <w:t>See also:</w:t>
      </w:r>
      <w:r w:rsidR="00E37C64" w:rsidRPr="00E37C64">
        <w:rPr>
          <w:rFonts w:asciiTheme="majorHAnsi" w:hAnsiTheme="majorHAnsi" w:cstheme="majorHAnsi"/>
          <w:bCs/>
          <w:i/>
          <w:iCs/>
          <w:color w:val="000000"/>
        </w:rPr>
        <w:t xml:space="preserve"> </w:t>
      </w:r>
      <w:r w:rsidR="00E37C64" w:rsidRPr="00E37C64">
        <w:rPr>
          <w:rFonts w:asciiTheme="majorHAnsi" w:hAnsiTheme="majorHAnsi" w:cstheme="majorHAnsi"/>
          <w:b/>
          <w:i/>
          <w:iCs/>
          <w:color w:val="000000"/>
        </w:rPr>
        <w:t>Oregon Secondary CTE Completer</w:t>
      </w:r>
    </w:p>
    <w:p w14:paraId="7CF076FB" w14:textId="77777777" w:rsidR="002A2204" w:rsidRDefault="002A2204">
      <w:pPr>
        <w:widowControl w:val="0"/>
        <w:pBdr>
          <w:top w:val="nil"/>
          <w:left w:val="nil"/>
          <w:bottom w:val="nil"/>
          <w:right w:val="nil"/>
          <w:between w:val="nil"/>
        </w:pBdr>
        <w:spacing w:before="34" w:line="240" w:lineRule="auto"/>
        <w:ind w:left="23"/>
        <w:rPr>
          <w:rFonts w:asciiTheme="majorHAnsi" w:hAnsiTheme="majorHAnsi" w:cstheme="majorHAnsi"/>
          <w:b/>
          <w:color w:val="000000"/>
        </w:rPr>
      </w:pPr>
    </w:p>
    <w:p w14:paraId="00000053" w14:textId="632426C6" w:rsidR="00DE6AFD" w:rsidRPr="00515289" w:rsidRDefault="006E4784">
      <w:pPr>
        <w:widowControl w:val="0"/>
        <w:pBdr>
          <w:top w:val="nil"/>
          <w:left w:val="nil"/>
          <w:bottom w:val="nil"/>
          <w:right w:val="nil"/>
          <w:between w:val="nil"/>
        </w:pBdr>
        <w:spacing w:before="34" w:line="240" w:lineRule="auto"/>
        <w:ind w:left="23"/>
        <w:rPr>
          <w:rFonts w:asciiTheme="majorHAnsi" w:hAnsiTheme="majorHAnsi" w:cstheme="majorHAnsi"/>
        </w:rPr>
      </w:pPr>
      <w:r w:rsidRPr="00515289">
        <w:rPr>
          <w:rFonts w:asciiTheme="majorHAnsi" w:hAnsiTheme="majorHAnsi" w:cstheme="majorHAnsi"/>
          <w:b/>
          <w:color w:val="000000"/>
        </w:rPr>
        <w:t xml:space="preserve">Size, Scope, and Quality: </w:t>
      </w:r>
      <w:r w:rsidRPr="00515289">
        <w:rPr>
          <w:rFonts w:asciiTheme="majorHAnsi" w:hAnsiTheme="majorHAnsi" w:cstheme="majorHAnsi"/>
          <w:color w:val="000000"/>
        </w:rPr>
        <w:t>Size, scope, and quality are a measure of the overall ability of the CTE Program of Study to address all the standards of its identified skill set and to intentionally</w:t>
      </w:r>
      <w:r w:rsidRPr="00515289">
        <w:rPr>
          <w:rFonts w:asciiTheme="majorHAnsi" w:hAnsiTheme="majorHAnsi" w:cstheme="majorHAnsi"/>
        </w:rPr>
        <w:t xml:space="preserve"> </w:t>
      </w:r>
      <w:r w:rsidRPr="00515289">
        <w:rPr>
          <w:rFonts w:asciiTheme="majorHAnsi" w:hAnsiTheme="majorHAnsi" w:cstheme="majorHAnsi"/>
          <w:color w:val="000000"/>
        </w:rPr>
        <w:t>prepare the student for</w:t>
      </w:r>
      <w:r w:rsidRPr="00515289">
        <w:rPr>
          <w:rFonts w:asciiTheme="majorHAnsi" w:hAnsiTheme="majorHAnsi" w:cstheme="majorHAnsi"/>
          <w:color w:val="FF0000"/>
        </w:rPr>
        <w:t xml:space="preserve"> </w:t>
      </w:r>
      <w:r w:rsidRPr="00515289">
        <w:rPr>
          <w:rFonts w:asciiTheme="majorHAnsi" w:hAnsiTheme="majorHAnsi" w:cstheme="majorHAnsi"/>
        </w:rPr>
        <w:t xml:space="preserve">the </w:t>
      </w:r>
      <w:r w:rsidRPr="00515289">
        <w:rPr>
          <w:rFonts w:asciiTheme="majorHAnsi" w:hAnsiTheme="majorHAnsi" w:cstheme="majorHAnsi"/>
          <w:color w:val="000000"/>
        </w:rPr>
        <w:t xml:space="preserve">next steps </w:t>
      </w:r>
      <w:r w:rsidRPr="00515289">
        <w:rPr>
          <w:rFonts w:asciiTheme="majorHAnsi" w:hAnsiTheme="majorHAnsi" w:cstheme="majorHAnsi"/>
        </w:rPr>
        <w:t>for</w:t>
      </w:r>
      <w:r w:rsidRPr="00515289">
        <w:rPr>
          <w:rFonts w:asciiTheme="majorHAnsi" w:hAnsiTheme="majorHAnsi" w:cstheme="majorHAnsi"/>
          <w:color w:val="000000"/>
        </w:rPr>
        <w:t xml:space="preserve"> a complete and robust career pathway</w:t>
      </w:r>
      <w:r w:rsidRPr="00515289">
        <w:rPr>
          <w:rFonts w:asciiTheme="majorHAnsi" w:hAnsiTheme="majorHAnsi" w:cstheme="majorHAnsi"/>
        </w:rPr>
        <w:t>.</w:t>
      </w:r>
    </w:p>
    <w:p w14:paraId="00000054" w14:textId="467A3B9A" w:rsidR="00DE6AFD" w:rsidRPr="00E37C64" w:rsidRDefault="00E37C64">
      <w:pPr>
        <w:widowControl w:val="0"/>
        <w:numPr>
          <w:ilvl w:val="0"/>
          <w:numId w:val="5"/>
        </w:numPr>
        <w:pBdr>
          <w:top w:val="nil"/>
          <w:left w:val="nil"/>
          <w:bottom w:val="nil"/>
          <w:right w:val="nil"/>
          <w:between w:val="nil"/>
        </w:pBdr>
        <w:spacing w:before="34" w:line="240" w:lineRule="auto"/>
        <w:rPr>
          <w:rStyle w:val="Hyperlink"/>
          <w:rFonts w:asciiTheme="majorHAnsi" w:hAnsiTheme="majorHAnsi" w:cstheme="majorHAnsi"/>
        </w:rPr>
      </w:pPr>
      <w:r>
        <w:rPr>
          <w:rFonts w:asciiTheme="majorHAnsi" w:hAnsiTheme="majorHAnsi" w:cstheme="majorHAnsi"/>
          <w:color w:val="1155CC"/>
          <w:u w:val="single"/>
        </w:rPr>
        <w:fldChar w:fldCharType="begin"/>
      </w:r>
      <w:r>
        <w:rPr>
          <w:rFonts w:asciiTheme="majorHAnsi" w:hAnsiTheme="majorHAnsi" w:cstheme="majorHAnsi"/>
          <w:color w:val="1155CC"/>
          <w:u w:val="single"/>
        </w:rPr>
        <w:instrText>HYPERLINK "https://www.oregon.gov/ode/learning-options/CTE/FedFund/Documents/CTE%20State%20Plan%2024-27_Appendix%20F_CTE%20Program%20Size%2C%20Scope%2C%20and%20Quality.docx"</w:instrText>
      </w:r>
      <w:r>
        <w:rPr>
          <w:rFonts w:asciiTheme="majorHAnsi" w:hAnsiTheme="majorHAnsi" w:cstheme="majorHAnsi"/>
          <w:color w:val="1155CC"/>
          <w:u w:val="single"/>
        </w:rPr>
      </w:r>
      <w:r>
        <w:rPr>
          <w:rFonts w:asciiTheme="majorHAnsi" w:hAnsiTheme="majorHAnsi" w:cstheme="majorHAnsi"/>
          <w:color w:val="1155CC"/>
          <w:u w:val="single"/>
        </w:rPr>
        <w:fldChar w:fldCharType="separate"/>
      </w:r>
      <w:r w:rsidR="006E4784" w:rsidRPr="00E37C64">
        <w:rPr>
          <w:rStyle w:val="Hyperlink"/>
          <w:rFonts w:asciiTheme="majorHAnsi" w:hAnsiTheme="majorHAnsi" w:cstheme="majorHAnsi"/>
        </w:rPr>
        <w:t>Appendix F: Size, Scope, and Quality</w:t>
      </w:r>
    </w:p>
    <w:p w14:paraId="00000055" w14:textId="7D77CDBB" w:rsidR="00DE6AFD" w:rsidRPr="00515289" w:rsidRDefault="00E37C64">
      <w:pPr>
        <w:widowControl w:val="0"/>
        <w:pBdr>
          <w:top w:val="nil"/>
          <w:left w:val="nil"/>
          <w:bottom w:val="nil"/>
          <w:right w:val="nil"/>
          <w:between w:val="nil"/>
        </w:pBdr>
        <w:spacing w:before="34" w:line="240" w:lineRule="auto"/>
        <w:rPr>
          <w:rFonts w:asciiTheme="majorHAnsi" w:hAnsiTheme="majorHAnsi" w:cstheme="majorHAnsi"/>
          <w:b/>
          <w:i/>
        </w:rPr>
      </w:pPr>
      <w:r>
        <w:rPr>
          <w:rFonts w:asciiTheme="majorHAnsi" w:hAnsiTheme="majorHAnsi" w:cstheme="majorHAnsi"/>
          <w:color w:val="1155CC"/>
          <w:u w:val="single"/>
        </w:rPr>
        <w:fldChar w:fldCharType="end"/>
      </w:r>
    </w:p>
    <w:p w14:paraId="00000056" w14:textId="05647C00" w:rsidR="00DE6AFD" w:rsidRPr="00515289" w:rsidRDefault="006E4784">
      <w:pPr>
        <w:widowControl w:val="0"/>
        <w:pBdr>
          <w:top w:val="nil"/>
          <w:left w:val="nil"/>
          <w:bottom w:val="nil"/>
          <w:right w:val="nil"/>
          <w:between w:val="nil"/>
        </w:pBdr>
        <w:spacing w:before="34" w:line="240" w:lineRule="auto"/>
        <w:rPr>
          <w:rFonts w:asciiTheme="majorHAnsi" w:hAnsiTheme="majorHAnsi" w:cstheme="majorHAnsi"/>
          <w:color w:val="000000"/>
        </w:rPr>
      </w:pPr>
      <w:r w:rsidRPr="00515289">
        <w:rPr>
          <w:rFonts w:asciiTheme="majorHAnsi" w:hAnsiTheme="majorHAnsi" w:cstheme="majorHAnsi"/>
          <w:b/>
          <w:color w:val="000000"/>
        </w:rPr>
        <w:t xml:space="preserve">Special Populations: </w:t>
      </w:r>
      <w:r w:rsidRPr="00515289">
        <w:rPr>
          <w:rFonts w:asciiTheme="majorHAnsi" w:hAnsiTheme="majorHAnsi" w:cstheme="majorHAnsi"/>
          <w:color w:val="000000"/>
        </w:rPr>
        <w:t xml:space="preserve">When Perkins V was reauthorized, it increased the focus of CTE programs on serving the needs of special populations and expanded the definition to include nine distinct groups:  </w:t>
      </w:r>
    </w:p>
    <w:p w14:paraId="00000057" w14:textId="77777777" w:rsidR="00DE6AFD" w:rsidRPr="00515289" w:rsidRDefault="006E4784">
      <w:pPr>
        <w:widowControl w:val="0"/>
        <w:numPr>
          <w:ilvl w:val="0"/>
          <w:numId w:val="3"/>
        </w:numPr>
        <w:pBdr>
          <w:top w:val="nil"/>
          <w:left w:val="nil"/>
          <w:bottom w:val="nil"/>
          <w:right w:val="nil"/>
          <w:between w:val="nil"/>
        </w:pBdr>
        <w:spacing w:before="11" w:line="240" w:lineRule="auto"/>
        <w:rPr>
          <w:rFonts w:asciiTheme="majorHAnsi" w:hAnsiTheme="majorHAnsi" w:cstheme="majorHAnsi"/>
          <w:color w:val="000000"/>
        </w:rPr>
      </w:pPr>
      <w:r w:rsidRPr="00515289">
        <w:rPr>
          <w:rFonts w:asciiTheme="majorHAnsi" w:hAnsiTheme="majorHAnsi" w:cstheme="majorHAnsi"/>
          <w:color w:val="000000"/>
          <w:highlight w:val="white"/>
        </w:rPr>
        <w:t>Individuals experiencing disability</w:t>
      </w:r>
      <w:r w:rsidRPr="00515289">
        <w:rPr>
          <w:rFonts w:asciiTheme="majorHAnsi" w:hAnsiTheme="majorHAnsi" w:cstheme="majorHAnsi"/>
          <w:color w:val="000000"/>
        </w:rPr>
        <w:t xml:space="preserve"> </w:t>
      </w:r>
    </w:p>
    <w:p w14:paraId="00000058" w14:textId="77777777" w:rsidR="00DE6AFD" w:rsidRPr="00515289" w:rsidRDefault="006E4784">
      <w:pPr>
        <w:widowControl w:val="0"/>
        <w:numPr>
          <w:ilvl w:val="0"/>
          <w:numId w:val="3"/>
        </w:numPr>
        <w:pBdr>
          <w:top w:val="nil"/>
          <w:left w:val="nil"/>
          <w:bottom w:val="nil"/>
          <w:right w:val="nil"/>
          <w:between w:val="nil"/>
        </w:pBdr>
        <w:spacing w:line="240" w:lineRule="auto"/>
        <w:rPr>
          <w:rFonts w:asciiTheme="majorHAnsi" w:hAnsiTheme="majorHAnsi" w:cstheme="majorHAnsi"/>
          <w:color w:val="000000"/>
        </w:rPr>
      </w:pPr>
      <w:r w:rsidRPr="00515289">
        <w:rPr>
          <w:rFonts w:asciiTheme="majorHAnsi" w:hAnsiTheme="majorHAnsi" w:cstheme="majorHAnsi"/>
          <w:color w:val="000000"/>
          <w:highlight w:val="white"/>
        </w:rPr>
        <w:t>Individuals from economically disadvantaged families, including low-income youth and adults</w:t>
      </w:r>
      <w:r w:rsidRPr="00515289">
        <w:rPr>
          <w:rFonts w:asciiTheme="majorHAnsi" w:hAnsiTheme="majorHAnsi" w:cstheme="majorHAnsi"/>
          <w:color w:val="000000"/>
        </w:rPr>
        <w:t xml:space="preserve"> </w:t>
      </w:r>
    </w:p>
    <w:p w14:paraId="00000059" w14:textId="77777777" w:rsidR="00DE6AFD" w:rsidRPr="00515289" w:rsidRDefault="006E4784">
      <w:pPr>
        <w:widowControl w:val="0"/>
        <w:numPr>
          <w:ilvl w:val="0"/>
          <w:numId w:val="3"/>
        </w:numPr>
        <w:pBdr>
          <w:top w:val="nil"/>
          <w:left w:val="nil"/>
          <w:bottom w:val="nil"/>
          <w:right w:val="nil"/>
          <w:between w:val="nil"/>
        </w:pBdr>
        <w:spacing w:line="240" w:lineRule="auto"/>
        <w:rPr>
          <w:rFonts w:asciiTheme="majorHAnsi" w:hAnsiTheme="majorHAnsi" w:cstheme="majorHAnsi"/>
          <w:color w:val="000000"/>
        </w:rPr>
      </w:pPr>
      <w:r w:rsidRPr="00515289">
        <w:rPr>
          <w:rFonts w:asciiTheme="majorHAnsi" w:hAnsiTheme="majorHAnsi" w:cstheme="majorHAnsi"/>
          <w:color w:val="000000"/>
          <w:highlight w:val="white"/>
        </w:rPr>
        <w:t>Individuals preparing for nontraditional fields</w:t>
      </w:r>
      <w:r w:rsidRPr="00515289">
        <w:rPr>
          <w:rFonts w:asciiTheme="majorHAnsi" w:hAnsiTheme="majorHAnsi" w:cstheme="majorHAnsi"/>
          <w:color w:val="000000"/>
        </w:rPr>
        <w:t xml:space="preserve"> </w:t>
      </w:r>
    </w:p>
    <w:p w14:paraId="0000005A" w14:textId="77777777" w:rsidR="00DE6AFD" w:rsidRPr="00515289" w:rsidRDefault="006E4784">
      <w:pPr>
        <w:widowControl w:val="0"/>
        <w:numPr>
          <w:ilvl w:val="0"/>
          <w:numId w:val="3"/>
        </w:numPr>
        <w:pBdr>
          <w:top w:val="nil"/>
          <w:left w:val="nil"/>
          <w:bottom w:val="nil"/>
          <w:right w:val="nil"/>
          <w:between w:val="nil"/>
        </w:pBdr>
        <w:spacing w:line="240" w:lineRule="auto"/>
        <w:rPr>
          <w:rFonts w:asciiTheme="majorHAnsi" w:hAnsiTheme="majorHAnsi" w:cstheme="majorHAnsi"/>
          <w:color w:val="000000"/>
        </w:rPr>
      </w:pPr>
      <w:r w:rsidRPr="00515289">
        <w:rPr>
          <w:rFonts w:asciiTheme="majorHAnsi" w:hAnsiTheme="majorHAnsi" w:cstheme="majorHAnsi"/>
          <w:color w:val="000000"/>
          <w:highlight w:val="white"/>
        </w:rPr>
        <w:t>Single parents, including single expecting women</w:t>
      </w:r>
      <w:r w:rsidRPr="00515289">
        <w:rPr>
          <w:rFonts w:asciiTheme="majorHAnsi" w:hAnsiTheme="majorHAnsi" w:cstheme="majorHAnsi"/>
          <w:color w:val="000000"/>
        </w:rPr>
        <w:t xml:space="preserve"> </w:t>
      </w:r>
    </w:p>
    <w:p w14:paraId="0000005B" w14:textId="77777777" w:rsidR="00DE6AFD" w:rsidRPr="00515289" w:rsidRDefault="006E4784">
      <w:pPr>
        <w:widowControl w:val="0"/>
        <w:numPr>
          <w:ilvl w:val="0"/>
          <w:numId w:val="3"/>
        </w:numPr>
        <w:pBdr>
          <w:top w:val="nil"/>
          <w:left w:val="nil"/>
          <w:bottom w:val="nil"/>
          <w:right w:val="nil"/>
          <w:between w:val="nil"/>
        </w:pBdr>
        <w:spacing w:line="240" w:lineRule="auto"/>
        <w:rPr>
          <w:rFonts w:asciiTheme="majorHAnsi" w:hAnsiTheme="majorHAnsi" w:cstheme="majorHAnsi"/>
          <w:color w:val="000000"/>
        </w:rPr>
      </w:pPr>
      <w:r w:rsidRPr="00515289">
        <w:rPr>
          <w:rFonts w:asciiTheme="majorHAnsi" w:hAnsiTheme="majorHAnsi" w:cstheme="majorHAnsi"/>
          <w:highlight w:val="white"/>
        </w:rPr>
        <w:t>Out-of-workforce</w:t>
      </w:r>
      <w:r w:rsidRPr="00515289">
        <w:rPr>
          <w:rFonts w:asciiTheme="majorHAnsi" w:hAnsiTheme="majorHAnsi" w:cstheme="majorHAnsi"/>
          <w:color w:val="000000"/>
          <w:highlight w:val="white"/>
        </w:rPr>
        <w:t xml:space="preserve"> individuals</w:t>
      </w:r>
      <w:r w:rsidRPr="00515289">
        <w:rPr>
          <w:rFonts w:asciiTheme="majorHAnsi" w:hAnsiTheme="majorHAnsi" w:cstheme="majorHAnsi"/>
          <w:color w:val="000000"/>
        </w:rPr>
        <w:t xml:space="preserve"> </w:t>
      </w:r>
    </w:p>
    <w:p w14:paraId="0000005C" w14:textId="77777777" w:rsidR="00DE6AFD" w:rsidRPr="00515289" w:rsidRDefault="006E4784">
      <w:pPr>
        <w:widowControl w:val="0"/>
        <w:numPr>
          <w:ilvl w:val="0"/>
          <w:numId w:val="3"/>
        </w:numPr>
        <w:pBdr>
          <w:top w:val="nil"/>
          <w:left w:val="nil"/>
          <w:bottom w:val="nil"/>
          <w:right w:val="nil"/>
          <w:between w:val="nil"/>
        </w:pBdr>
        <w:spacing w:line="240" w:lineRule="auto"/>
        <w:rPr>
          <w:rFonts w:asciiTheme="majorHAnsi" w:hAnsiTheme="majorHAnsi" w:cstheme="majorHAnsi"/>
          <w:color w:val="000000"/>
        </w:rPr>
      </w:pPr>
      <w:r w:rsidRPr="00515289">
        <w:rPr>
          <w:rFonts w:asciiTheme="majorHAnsi" w:hAnsiTheme="majorHAnsi" w:cstheme="majorHAnsi"/>
          <w:color w:val="000000"/>
          <w:highlight w:val="white"/>
        </w:rPr>
        <w:t>Houseless individuals, described in Section 725 of the McKinney-Vento Homeless Assistance Act (42 U.S.C.11434a)</w:t>
      </w:r>
      <w:r w:rsidRPr="00515289">
        <w:rPr>
          <w:rFonts w:asciiTheme="majorHAnsi" w:hAnsiTheme="majorHAnsi" w:cstheme="majorHAnsi"/>
          <w:color w:val="000000"/>
        </w:rPr>
        <w:t xml:space="preserve"> </w:t>
      </w:r>
    </w:p>
    <w:p w14:paraId="0000005D" w14:textId="77777777" w:rsidR="00DE6AFD" w:rsidRPr="00515289" w:rsidRDefault="006E4784">
      <w:pPr>
        <w:widowControl w:val="0"/>
        <w:numPr>
          <w:ilvl w:val="0"/>
          <w:numId w:val="3"/>
        </w:numPr>
        <w:pBdr>
          <w:top w:val="nil"/>
          <w:left w:val="nil"/>
          <w:bottom w:val="nil"/>
          <w:right w:val="nil"/>
          <w:between w:val="nil"/>
        </w:pBdr>
        <w:spacing w:line="240" w:lineRule="auto"/>
        <w:rPr>
          <w:rFonts w:asciiTheme="majorHAnsi" w:hAnsiTheme="majorHAnsi" w:cstheme="majorHAnsi"/>
          <w:color w:val="000000"/>
        </w:rPr>
      </w:pPr>
      <w:r w:rsidRPr="00515289">
        <w:rPr>
          <w:rFonts w:asciiTheme="majorHAnsi" w:hAnsiTheme="majorHAnsi" w:cstheme="majorHAnsi"/>
          <w:color w:val="000000"/>
          <w:highlight w:val="white"/>
        </w:rPr>
        <w:t xml:space="preserve">Youth who are in or who have aged out of </w:t>
      </w:r>
      <w:r w:rsidRPr="00515289">
        <w:rPr>
          <w:rFonts w:asciiTheme="majorHAnsi" w:hAnsiTheme="majorHAnsi" w:cstheme="majorHAnsi"/>
          <w:highlight w:val="white"/>
        </w:rPr>
        <w:t xml:space="preserve">the </w:t>
      </w:r>
      <w:r w:rsidRPr="00515289">
        <w:rPr>
          <w:rFonts w:asciiTheme="majorHAnsi" w:hAnsiTheme="majorHAnsi" w:cstheme="majorHAnsi"/>
          <w:color w:val="000000"/>
          <w:highlight w:val="white"/>
        </w:rPr>
        <w:t>foster care system</w:t>
      </w:r>
      <w:r w:rsidRPr="00515289">
        <w:rPr>
          <w:rFonts w:asciiTheme="majorHAnsi" w:hAnsiTheme="majorHAnsi" w:cstheme="majorHAnsi"/>
          <w:color w:val="000000"/>
        </w:rPr>
        <w:t xml:space="preserve"> </w:t>
      </w:r>
    </w:p>
    <w:p w14:paraId="0000005E" w14:textId="77777777" w:rsidR="00DE6AFD" w:rsidRPr="00515289" w:rsidRDefault="006E4784">
      <w:pPr>
        <w:widowControl w:val="0"/>
        <w:numPr>
          <w:ilvl w:val="0"/>
          <w:numId w:val="3"/>
        </w:numPr>
        <w:pBdr>
          <w:top w:val="nil"/>
          <w:left w:val="nil"/>
          <w:bottom w:val="nil"/>
          <w:right w:val="nil"/>
          <w:between w:val="nil"/>
        </w:pBdr>
        <w:spacing w:line="240" w:lineRule="auto"/>
        <w:rPr>
          <w:rFonts w:asciiTheme="majorHAnsi" w:hAnsiTheme="majorHAnsi" w:cstheme="majorHAnsi"/>
          <w:color w:val="000000"/>
        </w:rPr>
      </w:pPr>
      <w:r w:rsidRPr="00515289">
        <w:rPr>
          <w:rFonts w:asciiTheme="majorHAnsi" w:hAnsiTheme="majorHAnsi" w:cstheme="majorHAnsi"/>
          <w:color w:val="000000"/>
          <w:highlight w:val="white"/>
        </w:rPr>
        <w:t>Youth with a parent on active duty in the armed forces</w:t>
      </w:r>
      <w:r w:rsidRPr="00515289">
        <w:rPr>
          <w:rFonts w:asciiTheme="majorHAnsi" w:hAnsiTheme="majorHAnsi" w:cstheme="majorHAnsi"/>
          <w:color w:val="000000"/>
        </w:rPr>
        <w:t xml:space="preserve"> </w:t>
      </w:r>
    </w:p>
    <w:p w14:paraId="0000005F" w14:textId="7AF5B7E8" w:rsidR="00DE6AFD" w:rsidRPr="00515289" w:rsidRDefault="006E4784">
      <w:pPr>
        <w:widowControl w:val="0"/>
        <w:numPr>
          <w:ilvl w:val="0"/>
          <w:numId w:val="3"/>
        </w:numPr>
        <w:pBdr>
          <w:top w:val="nil"/>
          <w:left w:val="nil"/>
          <w:bottom w:val="nil"/>
          <w:right w:val="nil"/>
          <w:between w:val="nil"/>
        </w:pBdr>
        <w:spacing w:line="240" w:lineRule="auto"/>
        <w:rPr>
          <w:rFonts w:asciiTheme="majorHAnsi" w:hAnsiTheme="majorHAnsi" w:cstheme="majorHAnsi"/>
          <w:color w:val="000000"/>
        </w:rPr>
      </w:pPr>
      <w:r w:rsidRPr="00515289">
        <w:rPr>
          <w:rFonts w:asciiTheme="majorHAnsi" w:hAnsiTheme="majorHAnsi" w:cstheme="majorHAnsi"/>
          <w:color w:val="000000"/>
          <w:highlight w:val="white"/>
        </w:rPr>
        <w:t>Emergent bilingual/</w:t>
      </w:r>
      <w:r w:rsidRPr="00515289">
        <w:rPr>
          <w:rFonts w:asciiTheme="majorHAnsi" w:hAnsiTheme="majorHAnsi" w:cstheme="majorHAnsi"/>
          <w:highlight w:val="white"/>
        </w:rPr>
        <w:t>multilingual</w:t>
      </w:r>
      <w:r w:rsidRPr="00515289">
        <w:rPr>
          <w:rFonts w:asciiTheme="majorHAnsi" w:hAnsiTheme="majorHAnsi" w:cstheme="majorHAnsi"/>
          <w:color w:val="000000"/>
          <w:highlight w:val="white"/>
        </w:rPr>
        <w:t xml:space="preserve"> students</w:t>
      </w:r>
      <w:r w:rsidRPr="00515289">
        <w:rPr>
          <w:rFonts w:asciiTheme="majorHAnsi" w:hAnsiTheme="majorHAnsi" w:cstheme="majorHAnsi"/>
          <w:color w:val="000000"/>
        </w:rPr>
        <w:t xml:space="preserve"> </w:t>
      </w:r>
    </w:p>
    <w:p w14:paraId="0ED54B25" w14:textId="77777777" w:rsidR="00F37D4A" w:rsidRDefault="00F37D4A">
      <w:pPr>
        <w:widowControl w:val="0"/>
        <w:pBdr>
          <w:top w:val="nil"/>
          <w:left w:val="nil"/>
          <w:bottom w:val="nil"/>
          <w:right w:val="nil"/>
          <w:between w:val="nil"/>
        </w:pBdr>
        <w:spacing w:before="11" w:line="240" w:lineRule="auto"/>
        <w:rPr>
          <w:rFonts w:asciiTheme="majorHAnsi" w:hAnsiTheme="majorHAnsi" w:cstheme="majorHAnsi"/>
          <w:color w:val="000000"/>
          <w:highlight w:val="white"/>
        </w:rPr>
      </w:pPr>
    </w:p>
    <w:p w14:paraId="00000060" w14:textId="3F9D410C" w:rsidR="00DE6AFD" w:rsidRPr="00515289" w:rsidRDefault="006E4784">
      <w:pPr>
        <w:widowControl w:val="0"/>
        <w:pBdr>
          <w:top w:val="nil"/>
          <w:left w:val="nil"/>
          <w:bottom w:val="nil"/>
          <w:right w:val="nil"/>
          <w:between w:val="nil"/>
        </w:pBdr>
        <w:spacing w:before="11" w:line="240" w:lineRule="auto"/>
        <w:rPr>
          <w:rFonts w:asciiTheme="majorHAnsi" w:hAnsiTheme="majorHAnsi" w:cstheme="majorHAnsi"/>
        </w:rPr>
      </w:pPr>
      <w:r w:rsidRPr="00515289">
        <w:rPr>
          <w:rFonts w:asciiTheme="majorHAnsi" w:hAnsiTheme="majorHAnsi" w:cstheme="majorHAnsi"/>
          <w:color w:val="000000"/>
          <w:highlight w:val="white"/>
        </w:rPr>
        <w:t>CTE data must be disaggregated by special population, race, and gender.</w:t>
      </w:r>
      <w:r w:rsidRPr="00515289">
        <w:rPr>
          <w:rFonts w:asciiTheme="majorHAnsi" w:hAnsiTheme="majorHAnsi" w:cstheme="majorHAnsi"/>
          <w:color w:val="000000"/>
        </w:rPr>
        <w:t xml:space="preserve"> </w:t>
      </w:r>
    </w:p>
    <w:p w14:paraId="00000069" w14:textId="77777777" w:rsidR="00DE6AFD" w:rsidRPr="00515289" w:rsidRDefault="00DE6AFD">
      <w:pPr>
        <w:widowControl w:val="0"/>
        <w:pBdr>
          <w:top w:val="nil"/>
          <w:left w:val="nil"/>
          <w:bottom w:val="nil"/>
          <w:right w:val="nil"/>
          <w:between w:val="nil"/>
        </w:pBdr>
        <w:spacing w:before="11" w:line="240" w:lineRule="auto"/>
        <w:rPr>
          <w:rFonts w:asciiTheme="majorHAnsi" w:hAnsiTheme="majorHAnsi" w:cstheme="majorHAnsi"/>
        </w:rPr>
      </w:pPr>
    </w:p>
    <w:p w14:paraId="0000006A" w14:textId="04F32972" w:rsidR="00DE6AFD" w:rsidRPr="00515289" w:rsidRDefault="006E4784">
      <w:pPr>
        <w:widowControl w:val="0"/>
        <w:pBdr>
          <w:top w:val="nil"/>
          <w:left w:val="nil"/>
          <w:bottom w:val="nil"/>
          <w:right w:val="nil"/>
          <w:between w:val="nil"/>
        </w:pBdr>
        <w:spacing w:before="11" w:line="240" w:lineRule="auto"/>
        <w:rPr>
          <w:rFonts w:asciiTheme="majorHAnsi" w:hAnsiTheme="majorHAnsi" w:cstheme="majorHAnsi"/>
          <w:color w:val="000000"/>
        </w:rPr>
      </w:pPr>
      <w:r w:rsidRPr="00515289">
        <w:rPr>
          <w:rFonts w:asciiTheme="majorHAnsi" w:hAnsiTheme="majorHAnsi" w:cstheme="majorHAnsi"/>
          <w:b/>
          <w:color w:val="000000"/>
        </w:rPr>
        <w:t xml:space="preserve">Work-Based Learning: </w:t>
      </w:r>
      <w:r w:rsidRPr="00515289">
        <w:rPr>
          <w:rFonts w:asciiTheme="majorHAnsi" w:hAnsiTheme="majorHAnsi" w:cstheme="majorHAnsi"/>
          <w:color w:val="000000"/>
        </w:rPr>
        <w:t>Structured learning in the workplace or simulated environment that</w:t>
      </w:r>
      <w:r w:rsidRPr="00515289">
        <w:rPr>
          <w:rFonts w:asciiTheme="majorHAnsi" w:hAnsiTheme="majorHAnsi" w:cstheme="majorHAnsi"/>
        </w:rPr>
        <w:t xml:space="preserve"> </w:t>
      </w:r>
      <w:r w:rsidRPr="00515289">
        <w:rPr>
          <w:rFonts w:asciiTheme="majorHAnsi" w:hAnsiTheme="majorHAnsi" w:cstheme="majorHAnsi"/>
          <w:color w:val="000000"/>
        </w:rPr>
        <w:t>provides opportunities for sustained interactions with industry or community professionals that</w:t>
      </w:r>
      <w:r w:rsidRPr="00515289">
        <w:rPr>
          <w:rFonts w:asciiTheme="majorHAnsi" w:hAnsiTheme="majorHAnsi" w:cstheme="majorHAnsi"/>
        </w:rPr>
        <w:t xml:space="preserve"> </w:t>
      </w:r>
      <w:r w:rsidRPr="00515289">
        <w:rPr>
          <w:rFonts w:asciiTheme="majorHAnsi" w:hAnsiTheme="majorHAnsi" w:cstheme="majorHAnsi"/>
          <w:color w:val="000000"/>
        </w:rPr>
        <w:t>foster in-depth, firsthand experience of the expectations and application of knowledge and skills</w:t>
      </w:r>
      <w:r w:rsidRPr="00515289">
        <w:rPr>
          <w:rFonts w:asciiTheme="majorHAnsi" w:hAnsiTheme="majorHAnsi" w:cstheme="majorHAnsi"/>
        </w:rPr>
        <w:t xml:space="preserve"> </w:t>
      </w:r>
      <w:r w:rsidRPr="00515289">
        <w:rPr>
          <w:rFonts w:asciiTheme="majorHAnsi" w:hAnsiTheme="majorHAnsi" w:cstheme="majorHAnsi"/>
          <w:color w:val="000000"/>
        </w:rPr>
        <w:t xml:space="preserve">required </w:t>
      </w:r>
      <w:proofErr w:type="gramStart"/>
      <w:r w:rsidRPr="00515289">
        <w:rPr>
          <w:rFonts w:asciiTheme="majorHAnsi" w:hAnsiTheme="majorHAnsi" w:cstheme="majorHAnsi"/>
          <w:color w:val="000000"/>
        </w:rPr>
        <w:t>in a given</w:t>
      </w:r>
      <w:proofErr w:type="gramEnd"/>
      <w:r w:rsidRPr="00515289">
        <w:rPr>
          <w:rFonts w:asciiTheme="majorHAnsi" w:hAnsiTheme="majorHAnsi" w:cstheme="majorHAnsi"/>
          <w:color w:val="000000"/>
        </w:rPr>
        <w:t xml:space="preserve"> career field. Examples include clinical/practicum/internships, </w:t>
      </w:r>
      <w:r w:rsidRPr="00515289">
        <w:rPr>
          <w:rFonts w:asciiTheme="majorHAnsi" w:hAnsiTheme="majorHAnsi" w:cstheme="majorHAnsi"/>
        </w:rPr>
        <w:t xml:space="preserve">school-based </w:t>
      </w:r>
      <w:r w:rsidRPr="00515289">
        <w:rPr>
          <w:rFonts w:asciiTheme="majorHAnsi" w:hAnsiTheme="majorHAnsi" w:cstheme="majorHAnsi"/>
          <w:color w:val="000000"/>
        </w:rPr>
        <w:t>enterprises, workplace simulation</w:t>
      </w:r>
      <w:r w:rsidR="00F37D4A">
        <w:rPr>
          <w:rFonts w:asciiTheme="majorHAnsi" w:hAnsiTheme="majorHAnsi" w:cstheme="majorHAnsi"/>
          <w:color w:val="000000"/>
        </w:rPr>
        <w:t>,</w:t>
      </w:r>
      <w:r w:rsidRPr="00515289">
        <w:rPr>
          <w:rFonts w:asciiTheme="majorHAnsi" w:hAnsiTheme="majorHAnsi" w:cstheme="majorHAnsi"/>
          <w:color w:val="000000"/>
        </w:rPr>
        <w:t xml:space="preserve"> technology-based learning, service-learning, and cooperative</w:t>
      </w:r>
      <w:r w:rsidRPr="00515289">
        <w:rPr>
          <w:rFonts w:asciiTheme="majorHAnsi" w:hAnsiTheme="majorHAnsi" w:cstheme="majorHAnsi"/>
        </w:rPr>
        <w:t xml:space="preserve"> </w:t>
      </w:r>
      <w:r w:rsidRPr="00515289">
        <w:rPr>
          <w:rFonts w:asciiTheme="majorHAnsi" w:hAnsiTheme="majorHAnsi" w:cstheme="majorHAnsi"/>
          <w:color w:val="000000"/>
        </w:rPr>
        <w:t>work experiences. Criteria</w:t>
      </w:r>
      <w:r w:rsidR="00F37D4A">
        <w:rPr>
          <w:rFonts w:asciiTheme="majorHAnsi" w:hAnsiTheme="majorHAnsi" w:cstheme="majorHAnsi"/>
          <w:color w:val="000000"/>
        </w:rPr>
        <w:t xml:space="preserve"> are as follows</w:t>
      </w:r>
      <w:r w:rsidRPr="00515289">
        <w:rPr>
          <w:rFonts w:asciiTheme="majorHAnsi" w:hAnsiTheme="majorHAnsi" w:cstheme="majorHAnsi"/>
          <w:color w:val="000000"/>
        </w:rPr>
        <w:t xml:space="preserve">: </w:t>
      </w:r>
    </w:p>
    <w:p w14:paraId="0000006B" w14:textId="69569899" w:rsidR="00DE6AFD" w:rsidRPr="00515289" w:rsidRDefault="006E4784">
      <w:pPr>
        <w:widowControl w:val="0"/>
        <w:numPr>
          <w:ilvl w:val="0"/>
          <w:numId w:val="10"/>
        </w:numPr>
        <w:pBdr>
          <w:top w:val="nil"/>
          <w:left w:val="nil"/>
          <w:bottom w:val="nil"/>
          <w:right w:val="nil"/>
          <w:between w:val="nil"/>
        </w:pBdr>
        <w:spacing w:before="11" w:line="240" w:lineRule="auto"/>
        <w:rPr>
          <w:rFonts w:asciiTheme="majorHAnsi" w:hAnsiTheme="majorHAnsi" w:cstheme="majorHAnsi"/>
          <w:color w:val="000000"/>
        </w:rPr>
      </w:pPr>
      <w:r w:rsidRPr="00515289">
        <w:rPr>
          <w:rFonts w:asciiTheme="majorHAnsi" w:hAnsiTheme="majorHAnsi" w:cstheme="majorHAnsi"/>
          <w:color w:val="000000"/>
        </w:rPr>
        <w:t>Sustained interaction with industry and business</w:t>
      </w:r>
    </w:p>
    <w:p w14:paraId="0000006C" w14:textId="530F3611" w:rsidR="00DE6AFD" w:rsidRPr="00515289" w:rsidRDefault="006E4784">
      <w:pPr>
        <w:widowControl w:val="0"/>
        <w:numPr>
          <w:ilvl w:val="0"/>
          <w:numId w:val="10"/>
        </w:numPr>
        <w:pBdr>
          <w:top w:val="nil"/>
          <w:left w:val="nil"/>
          <w:bottom w:val="nil"/>
          <w:right w:val="nil"/>
          <w:between w:val="nil"/>
        </w:pBdr>
        <w:spacing w:line="240" w:lineRule="auto"/>
        <w:rPr>
          <w:rFonts w:asciiTheme="majorHAnsi" w:hAnsiTheme="majorHAnsi" w:cstheme="majorHAnsi"/>
          <w:color w:val="000000"/>
        </w:rPr>
      </w:pPr>
      <w:r w:rsidRPr="00515289">
        <w:rPr>
          <w:rFonts w:asciiTheme="majorHAnsi" w:hAnsiTheme="majorHAnsi" w:cstheme="majorHAnsi"/>
          <w:color w:val="000000"/>
        </w:rPr>
        <w:t>Earning of credit/outcome verification (</w:t>
      </w:r>
      <w:r w:rsidRPr="00515289">
        <w:rPr>
          <w:rFonts w:asciiTheme="majorHAnsi" w:hAnsiTheme="majorHAnsi" w:cstheme="majorHAnsi"/>
        </w:rPr>
        <w:t>including</w:t>
      </w:r>
      <w:r w:rsidRPr="00515289">
        <w:rPr>
          <w:rFonts w:asciiTheme="majorHAnsi" w:hAnsiTheme="majorHAnsi" w:cstheme="majorHAnsi"/>
          <w:color w:val="000000"/>
        </w:rPr>
        <w:t xml:space="preserve"> student learning outcomes and  measurable objectives)</w:t>
      </w:r>
    </w:p>
    <w:p w14:paraId="0000006D" w14:textId="61799916" w:rsidR="00DE6AFD" w:rsidRPr="00515289" w:rsidRDefault="006E4784">
      <w:pPr>
        <w:widowControl w:val="0"/>
        <w:numPr>
          <w:ilvl w:val="0"/>
          <w:numId w:val="10"/>
        </w:numPr>
        <w:pBdr>
          <w:top w:val="nil"/>
          <w:left w:val="nil"/>
          <w:bottom w:val="nil"/>
          <w:right w:val="nil"/>
          <w:between w:val="nil"/>
        </w:pBdr>
        <w:spacing w:line="240" w:lineRule="auto"/>
        <w:rPr>
          <w:rFonts w:asciiTheme="majorHAnsi" w:hAnsiTheme="majorHAnsi" w:cstheme="majorHAnsi"/>
          <w:color w:val="000000"/>
        </w:rPr>
      </w:pPr>
      <w:r w:rsidRPr="00515289">
        <w:rPr>
          <w:rFonts w:asciiTheme="majorHAnsi" w:hAnsiTheme="majorHAnsi" w:cstheme="majorHAnsi"/>
          <w:color w:val="000000"/>
        </w:rPr>
        <w:t xml:space="preserve">Aligned with curriculum and instruction </w:t>
      </w:r>
    </w:p>
    <w:p w14:paraId="0000006E" w14:textId="10F2DD74" w:rsidR="00DE6AFD" w:rsidRPr="00515289" w:rsidRDefault="006E4784">
      <w:pPr>
        <w:widowControl w:val="0"/>
        <w:numPr>
          <w:ilvl w:val="0"/>
          <w:numId w:val="10"/>
        </w:numPr>
        <w:pBdr>
          <w:top w:val="nil"/>
          <w:left w:val="nil"/>
          <w:bottom w:val="nil"/>
          <w:right w:val="nil"/>
          <w:between w:val="nil"/>
        </w:pBdr>
        <w:spacing w:line="240" w:lineRule="auto"/>
        <w:rPr>
          <w:rFonts w:asciiTheme="majorHAnsi" w:hAnsiTheme="majorHAnsi" w:cstheme="majorHAnsi"/>
          <w:color w:val="000000"/>
        </w:rPr>
      </w:pPr>
      <w:r w:rsidRPr="00515289">
        <w:rPr>
          <w:rFonts w:asciiTheme="majorHAnsi" w:hAnsiTheme="majorHAnsi" w:cstheme="majorHAnsi"/>
          <w:color w:val="000000"/>
        </w:rPr>
        <w:t xml:space="preserve">At the workplace, virtual, or simulated in the classroom, lab, or other site </w:t>
      </w:r>
    </w:p>
    <w:p w14:paraId="00000070" w14:textId="5DECAC00" w:rsidR="00DE6AFD" w:rsidRPr="00F37D4A" w:rsidRDefault="006E4784" w:rsidP="00F37D4A">
      <w:pPr>
        <w:widowControl w:val="0"/>
        <w:pBdr>
          <w:top w:val="nil"/>
          <w:left w:val="nil"/>
          <w:bottom w:val="nil"/>
          <w:right w:val="nil"/>
          <w:between w:val="nil"/>
        </w:pBdr>
        <w:spacing w:before="325" w:line="264" w:lineRule="auto"/>
        <w:ind w:left="10" w:right="148" w:hanging="4"/>
        <w:rPr>
          <w:rFonts w:asciiTheme="majorHAnsi" w:hAnsiTheme="majorHAnsi" w:cstheme="majorHAnsi"/>
          <w:color w:val="000000"/>
        </w:rPr>
      </w:pPr>
      <w:r w:rsidRPr="00515289">
        <w:rPr>
          <w:rFonts w:asciiTheme="majorHAnsi" w:hAnsiTheme="majorHAnsi" w:cstheme="majorHAnsi"/>
          <w:b/>
          <w:color w:val="000000"/>
        </w:rPr>
        <w:t>Workforce In</w:t>
      </w:r>
      <w:r w:rsidRPr="00515289">
        <w:rPr>
          <w:rFonts w:asciiTheme="majorHAnsi" w:hAnsiTheme="majorHAnsi" w:cstheme="majorHAnsi"/>
          <w:b/>
        </w:rPr>
        <w:t>novation</w:t>
      </w:r>
      <w:r w:rsidRPr="00515289">
        <w:rPr>
          <w:rFonts w:asciiTheme="majorHAnsi" w:hAnsiTheme="majorHAnsi" w:cstheme="majorHAnsi"/>
          <w:b/>
          <w:color w:val="000000"/>
        </w:rPr>
        <w:t xml:space="preserve"> and Opportunity Act (WIOA): </w:t>
      </w:r>
      <w:r w:rsidRPr="00515289">
        <w:rPr>
          <w:rFonts w:asciiTheme="majorHAnsi" w:hAnsiTheme="majorHAnsi" w:cstheme="majorHAnsi"/>
        </w:rPr>
        <w:t>F</w:t>
      </w:r>
      <w:r w:rsidRPr="00515289">
        <w:rPr>
          <w:rFonts w:asciiTheme="majorHAnsi" w:hAnsiTheme="majorHAnsi" w:cstheme="majorHAnsi"/>
          <w:color w:val="000000"/>
        </w:rPr>
        <w:t xml:space="preserve">ederal statute </w:t>
      </w:r>
      <w:r w:rsidRPr="00515289">
        <w:rPr>
          <w:rFonts w:asciiTheme="majorHAnsi" w:hAnsiTheme="majorHAnsi" w:cstheme="majorHAnsi"/>
        </w:rPr>
        <w:t>establishing federal policy direction and allocating</w:t>
      </w:r>
      <w:r w:rsidRPr="00515289">
        <w:rPr>
          <w:rFonts w:asciiTheme="majorHAnsi" w:hAnsiTheme="majorHAnsi" w:cstheme="majorHAnsi"/>
          <w:color w:val="000000"/>
        </w:rPr>
        <w:t xml:space="preserve"> federal funds for employment and training programs. WIOA is</w:t>
      </w:r>
      <w:r w:rsidRPr="00515289">
        <w:rPr>
          <w:rFonts w:asciiTheme="majorHAnsi" w:hAnsiTheme="majorHAnsi" w:cstheme="majorHAnsi"/>
        </w:rPr>
        <w:t xml:space="preserve"> </w:t>
      </w:r>
      <w:r w:rsidRPr="00515289">
        <w:rPr>
          <w:rFonts w:asciiTheme="majorHAnsi" w:hAnsiTheme="majorHAnsi" w:cstheme="majorHAnsi"/>
          <w:color w:val="000000"/>
        </w:rPr>
        <w:t>designed to help job seekers access employment, education, training, and support services to succeed in the labor market and match employers with the skilled workers they need to</w:t>
      </w:r>
      <w:r w:rsidRPr="00515289">
        <w:rPr>
          <w:rFonts w:asciiTheme="majorHAnsi" w:hAnsiTheme="majorHAnsi" w:cstheme="majorHAnsi"/>
        </w:rPr>
        <w:t xml:space="preserve"> </w:t>
      </w:r>
      <w:r w:rsidRPr="00515289">
        <w:rPr>
          <w:rFonts w:asciiTheme="majorHAnsi" w:hAnsiTheme="majorHAnsi" w:cstheme="majorHAnsi"/>
          <w:color w:val="000000"/>
        </w:rPr>
        <w:t>compete in the global economy.</w:t>
      </w:r>
    </w:p>
    <w:p w14:paraId="00000071" w14:textId="77777777" w:rsidR="00DE6AFD" w:rsidRPr="00515289" w:rsidRDefault="00DE6AFD">
      <w:pPr>
        <w:widowControl w:val="0"/>
        <w:pBdr>
          <w:top w:val="nil"/>
          <w:left w:val="nil"/>
          <w:bottom w:val="nil"/>
          <w:right w:val="nil"/>
          <w:between w:val="nil"/>
        </w:pBdr>
        <w:spacing w:before="11" w:line="265" w:lineRule="auto"/>
        <w:ind w:left="12" w:right="650" w:hanging="1"/>
        <w:rPr>
          <w:rFonts w:asciiTheme="majorHAnsi" w:hAnsiTheme="majorHAnsi" w:cstheme="majorHAnsi"/>
        </w:rPr>
      </w:pPr>
    </w:p>
    <w:p w14:paraId="00000072" w14:textId="77360250" w:rsidR="00DE6AFD" w:rsidRPr="00515289" w:rsidRDefault="006E4784">
      <w:pPr>
        <w:widowControl w:val="0"/>
        <w:pBdr>
          <w:top w:val="nil"/>
          <w:left w:val="nil"/>
          <w:bottom w:val="nil"/>
          <w:right w:val="nil"/>
          <w:between w:val="nil"/>
        </w:pBdr>
        <w:spacing w:line="264" w:lineRule="auto"/>
        <w:ind w:left="6" w:right="146"/>
        <w:rPr>
          <w:rFonts w:asciiTheme="majorHAnsi" w:hAnsiTheme="majorHAnsi" w:cstheme="majorHAnsi"/>
          <w:color w:val="000000"/>
        </w:rPr>
      </w:pPr>
      <w:r w:rsidRPr="00515289">
        <w:rPr>
          <w:rFonts w:asciiTheme="majorHAnsi" w:hAnsiTheme="majorHAnsi" w:cstheme="majorHAnsi"/>
          <w:b/>
          <w:color w:val="000000"/>
        </w:rPr>
        <w:t xml:space="preserve">WorkSource Oregon Centers: </w:t>
      </w:r>
      <w:r w:rsidRPr="00515289">
        <w:rPr>
          <w:rFonts w:asciiTheme="majorHAnsi" w:hAnsiTheme="majorHAnsi" w:cstheme="majorHAnsi"/>
          <w:color w:val="000000"/>
        </w:rPr>
        <w:t xml:space="preserve">Also known as One-Stop Career Centers or American </w:t>
      </w:r>
      <w:r w:rsidRPr="00515289">
        <w:rPr>
          <w:rFonts w:asciiTheme="majorHAnsi" w:hAnsiTheme="majorHAnsi" w:cstheme="majorHAnsi"/>
        </w:rPr>
        <w:t>Job Centers</w:t>
      </w:r>
      <w:r w:rsidR="00F37D4A">
        <w:rPr>
          <w:rFonts w:asciiTheme="majorHAnsi" w:hAnsiTheme="majorHAnsi" w:cstheme="majorHAnsi"/>
          <w:color w:val="000000"/>
        </w:rPr>
        <w:t>, these are</w:t>
      </w:r>
      <w:r w:rsidRPr="00515289">
        <w:rPr>
          <w:rFonts w:asciiTheme="majorHAnsi" w:hAnsiTheme="majorHAnsi" w:cstheme="majorHAnsi"/>
          <w:color w:val="000000"/>
        </w:rPr>
        <w:t xml:space="preserve"> a statewide network</w:t>
      </w:r>
      <w:r w:rsidRPr="00515289">
        <w:rPr>
          <w:rFonts w:asciiTheme="majorHAnsi" w:hAnsiTheme="majorHAnsi" w:cstheme="majorHAnsi"/>
        </w:rPr>
        <w:t xml:space="preserve"> </w:t>
      </w:r>
      <w:r w:rsidRPr="00515289">
        <w:rPr>
          <w:rFonts w:asciiTheme="majorHAnsi" w:hAnsiTheme="majorHAnsi" w:cstheme="majorHAnsi"/>
          <w:color w:val="000000"/>
        </w:rPr>
        <w:t>that stimulates job growth by connecting businesses and workers with the resources they need</w:t>
      </w:r>
      <w:r w:rsidRPr="00515289">
        <w:rPr>
          <w:rFonts w:asciiTheme="majorHAnsi" w:hAnsiTheme="majorHAnsi" w:cstheme="majorHAnsi"/>
        </w:rPr>
        <w:t xml:space="preserve"> </w:t>
      </w:r>
      <w:r w:rsidRPr="00515289">
        <w:rPr>
          <w:rFonts w:asciiTheme="majorHAnsi" w:hAnsiTheme="majorHAnsi" w:cstheme="majorHAnsi"/>
          <w:color w:val="000000"/>
        </w:rPr>
        <w:t xml:space="preserve">to succeed. It is a network of public and private partners working together for businesses and workers to: </w:t>
      </w:r>
    </w:p>
    <w:p w14:paraId="00000073" w14:textId="77777777" w:rsidR="00DE6AFD" w:rsidRPr="00515289" w:rsidRDefault="006E4784">
      <w:pPr>
        <w:widowControl w:val="0"/>
        <w:numPr>
          <w:ilvl w:val="0"/>
          <w:numId w:val="6"/>
        </w:numPr>
        <w:pBdr>
          <w:top w:val="nil"/>
          <w:left w:val="nil"/>
          <w:bottom w:val="nil"/>
          <w:right w:val="nil"/>
          <w:between w:val="nil"/>
        </w:pBdr>
        <w:spacing w:before="13" w:line="264" w:lineRule="auto"/>
        <w:ind w:right="135"/>
        <w:rPr>
          <w:rFonts w:asciiTheme="majorHAnsi" w:hAnsiTheme="majorHAnsi" w:cstheme="majorHAnsi"/>
          <w:color w:val="000000"/>
        </w:rPr>
      </w:pPr>
      <w:r w:rsidRPr="00515289">
        <w:rPr>
          <w:rFonts w:asciiTheme="majorHAnsi" w:hAnsiTheme="majorHAnsi" w:cstheme="majorHAnsi"/>
          <w:color w:val="000000"/>
        </w:rPr>
        <w:t xml:space="preserve">Ensure that businesses have a ready supply of trained workers whose skills and talents  are aligned with the expectations and needs of business and </w:t>
      </w:r>
      <w:proofErr w:type="gramStart"/>
      <w:r w:rsidRPr="00515289">
        <w:rPr>
          <w:rFonts w:asciiTheme="majorHAnsi" w:hAnsiTheme="majorHAnsi" w:cstheme="majorHAnsi"/>
          <w:color w:val="000000"/>
        </w:rPr>
        <w:t>industry;</w:t>
      </w:r>
      <w:proofErr w:type="gramEnd"/>
      <w:r w:rsidRPr="00515289">
        <w:rPr>
          <w:rFonts w:asciiTheme="majorHAnsi" w:hAnsiTheme="majorHAnsi" w:cstheme="majorHAnsi"/>
          <w:color w:val="000000"/>
        </w:rPr>
        <w:t xml:space="preserve"> </w:t>
      </w:r>
    </w:p>
    <w:p w14:paraId="00000074" w14:textId="6E039D56" w:rsidR="00DE6AFD" w:rsidRPr="00515289" w:rsidRDefault="006E4784">
      <w:pPr>
        <w:widowControl w:val="0"/>
        <w:numPr>
          <w:ilvl w:val="0"/>
          <w:numId w:val="6"/>
        </w:numPr>
        <w:pBdr>
          <w:top w:val="nil"/>
          <w:left w:val="nil"/>
          <w:bottom w:val="nil"/>
          <w:right w:val="nil"/>
          <w:between w:val="nil"/>
        </w:pBdr>
        <w:spacing w:line="264" w:lineRule="auto"/>
        <w:ind w:right="135"/>
        <w:rPr>
          <w:rFonts w:asciiTheme="majorHAnsi" w:hAnsiTheme="majorHAnsi" w:cstheme="majorHAnsi"/>
          <w:color w:val="000000"/>
        </w:rPr>
      </w:pPr>
      <w:r w:rsidRPr="00515289">
        <w:rPr>
          <w:rFonts w:asciiTheme="majorHAnsi" w:hAnsiTheme="majorHAnsi" w:cstheme="majorHAnsi"/>
          <w:color w:val="000000"/>
        </w:rPr>
        <w:t xml:space="preserve">Connect businesses with the resources they need to grow their workforce and their business; and </w:t>
      </w:r>
    </w:p>
    <w:p w14:paraId="00000075" w14:textId="77777777" w:rsidR="00DE6AFD" w:rsidRPr="00515289" w:rsidRDefault="006E4784">
      <w:pPr>
        <w:widowControl w:val="0"/>
        <w:numPr>
          <w:ilvl w:val="0"/>
          <w:numId w:val="6"/>
        </w:numPr>
        <w:pBdr>
          <w:top w:val="nil"/>
          <w:left w:val="nil"/>
          <w:bottom w:val="nil"/>
          <w:right w:val="nil"/>
          <w:between w:val="nil"/>
        </w:pBdr>
        <w:spacing w:line="264" w:lineRule="auto"/>
        <w:ind w:right="135"/>
        <w:rPr>
          <w:rFonts w:asciiTheme="majorHAnsi" w:hAnsiTheme="majorHAnsi" w:cstheme="majorHAnsi"/>
          <w:color w:val="000000"/>
        </w:rPr>
      </w:pPr>
      <w:r w:rsidRPr="00515289">
        <w:rPr>
          <w:rFonts w:asciiTheme="majorHAnsi" w:hAnsiTheme="majorHAnsi" w:cstheme="majorHAnsi"/>
          <w:color w:val="000000"/>
        </w:rPr>
        <w:t>Provide the resources to help Oregon’s unemployed and underemployed get connected</w:t>
      </w:r>
      <w:r w:rsidRPr="00515289">
        <w:rPr>
          <w:rFonts w:asciiTheme="majorHAnsi" w:hAnsiTheme="majorHAnsi" w:cstheme="majorHAnsi"/>
        </w:rPr>
        <w:t xml:space="preserve"> </w:t>
      </w:r>
      <w:r w:rsidRPr="00515289">
        <w:rPr>
          <w:rFonts w:asciiTheme="majorHAnsi" w:hAnsiTheme="majorHAnsi" w:cstheme="majorHAnsi"/>
          <w:color w:val="000000"/>
        </w:rPr>
        <w:t>with the employers that are right for them, find the jobs they are looking for, and get</w:t>
      </w:r>
      <w:r w:rsidRPr="00515289">
        <w:rPr>
          <w:rFonts w:asciiTheme="majorHAnsi" w:hAnsiTheme="majorHAnsi" w:cstheme="majorHAnsi"/>
        </w:rPr>
        <w:t xml:space="preserve"> </w:t>
      </w:r>
      <w:r w:rsidRPr="00515289">
        <w:rPr>
          <w:rFonts w:asciiTheme="majorHAnsi" w:hAnsiTheme="majorHAnsi" w:cstheme="majorHAnsi"/>
          <w:color w:val="000000"/>
        </w:rPr>
        <w:t>trained for jobs they want.</w:t>
      </w:r>
    </w:p>
    <w:sectPr w:rsidR="00DE6AFD" w:rsidRPr="00515289">
      <w:headerReference w:type="default" r:id="rId19"/>
      <w:footerReference w:type="default" r:id="rId20"/>
      <w:pgSz w:w="12240" w:h="15840"/>
      <w:pgMar w:top="1424" w:right="1387" w:bottom="765" w:left="1436"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434093" w14:textId="77777777" w:rsidR="006E4784" w:rsidRDefault="006E4784">
      <w:pPr>
        <w:spacing w:line="240" w:lineRule="auto"/>
      </w:pPr>
      <w:r>
        <w:separator/>
      </w:r>
    </w:p>
  </w:endnote>
  <w:endnote w:type="continuationSeparator" w:id="0">
    <w:p w14:paraId="053A8988" w14:textId="77777777" w:rsidR="006E4784" w:rsidRDefault="006E47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76" w14:textId="657D87B9" w:rsidR="00DE6AFD" w:rsidRDefault="006E4784">
    <w:pPr>
      <w:ind w:left="8640" w:firstLine="720"/>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FEA9F3" w14:textId="77777777" w:rsidR="006E4784" w:rsidRDefault="006E4784">
      <w:pPr>
        <w:spacing w:line="240" w:lineRule="auto"/>
      </w:pPr>
      <w:r>
        <w:separator/>
      </w:r>
    </w:p>
  </w:footnote>
  <w:footnote w:type="continuationSeparator" w:id="0">
    <w:p w14:paraId="7378F51C" w14:textId="77777777" w:rsidR="006E4784" w:rsidRDefault="006E478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77" w14:textId="77777777" w:rsidR="00DE6AFD" w:rsidRDefault="00DE6AF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7D1169"/>
    <w:multiLevelType w:val="multilevel"/>
    <w:tmpl w:val="354CFD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96F5EB7"/>
    <w:multiLevelType w:val="multilevel"/>
    <w:tmpl w:val="A74CA8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B900B3E"/>
    <w:multiLevelType w:val="multilevel"/>
    <w:tmpl w:val="DA8CDA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EBC45F0"/>
    <w:multiLevelType w:val="hybridMultilevel"/>
    <w:tmpl w:val="7CF66542"/>
    <w:lvl w:ilvl="0" w:tplc="04090001">
      <w:start w:val="1"/>
      <w:numFmt w:val="bullet"/>
      <w:lvlText w:val=""/>
      <w:lvlJc w:val="left"/>
      <w:pPr>
        <w:ind w:left="743" w:hanging="360"/>
      </w:pPr>
      <w:rPr>
        <w:rFonts w:ascii="Symbol" w:hAnsi="Symbol"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4" w15:restartNumberingAfterBreak="0">
    <w:nsid w:val="509C2ADD"/>
    <w:multiLevelType w:val="multilevel"/>
    <w:tmpl w:val="10D89F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7120BBB"/>
    <w:multiLevelType w:val="multilevel"/>
    <w:tmpl w:val="8710D1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C3071E9"/>
    <w:multiLevelType w:val="multilevel"/>
    <w:tmpl w:val="83B685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E070E23"/>
    <w:multiLevelType w:val="multilevel"/>
    <w:tmpl w:val="0548EF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2090760"/>
    <w:multiLevelType w:val="hybridMultilevel"/>
    <w:tmpl w:val="21401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02703E"/>
    <w:multiLevelType w:val="multilevel"/>
    <w:tmpl w:val="8AA41C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AEF6962"/>
    <w:multiLevelType w:val="multilevel"/>
    <w:tmpl w:val="8AA41C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B757954"/>
    <w:multiLevelType w:val="multilevel"/>
    <w:tmpl w:val="AFF282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FAF20C3"/>
    <w:multiLevelType w:val="multilevel"/>
    <w:tmpl w:val="248EBB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82021279">
    <w:abstractNumId w:val="9"/>
  </w:num>
  <w:num w:numId="2" w16cid:durableId="1602840555">
    <w:abstractNumId w:val="4"/>
  </w:num>
  <w:num w:numId="3" w16cid:durableId="142891435">
    <w:abstractNumId w:val="2"/>
  </w:num>
  <w:num w:numId="4" w16cid:durableId="1926108886">
    <w:abstractNumId w:val="6"/>
  </w:num>
  <w:num w:numId="5" w16cid:durableId="813176402">
    <w:abstractNumId w:val="7"/>
  </w:num>
  <w:num w:numId="6" w16cid:durableId="603225605">
    <w:abstractNumId w:val="0"/>
  </w:num>
  <w:num w:numId="7" w16cid:durableId="1040670691">
    <w:abstractNumId w:val="5"/>
  </w:num>
  <w:num w:numId="8" w16cid:durableId="53087105">
    <w:abstractNumId w:val="12"/>
  </w:num>
  <w:num w:numId="9" w16cid:durableId="749814288">
    <w:abstractNumId w:val="11"/>
  </w:num>
  <w:num w:numId="10" w16cid:durableId="2005892116">
    <w:abstractNumId w:val="1"/>
  </w:num>
  <w:num w:numId="11" w16cid:durableId="1099522831">
    <w:abstractNumId w:val="8"/>
  </w:num>
  <w:num w:numId="12" w16cid:durableId="1459684146">
    <w:abstractNumId w:val="3"/>
  </w:num>
  <w:num w:numId="13" w16cid:durableId="19782200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AFD"/>
    <w:rsid w:val="00076CED"/>
    <w:rsid w:val="000A5EB0"/>
    <w:rsid w:val="00102EDE"/>
    <w:rsid w:val="001268B9"/>
    <w:rsid w:val="001B4C99"/>
    <w:rsid w:val="002A2204"/>
    <w:rsid w:val="002D7DB5"/>
    <w:rsid w:val="0034782E"/>
    <w:rsid w:val="00401210"/>
    <w:rsid w:val="004B501F"/>
    <w:rsid w:val="004C0180"/>
    <w:rsid w:val="005139BE"/>
    <w:rsid w:val="00515289"/>
    <w:rsid w:val="005271ED"/>
    <w:rsid w:val="00671BF6"/>
    <w:rsid w:val="00684F01"/>
    <w:rsid w:val="006E4784"/>
    <w:rsid w:val="0071749F"/>
    <w:rsid w:val="00823862"/>
    <w:rsid w:val="009354E3"/>
    <w:rsid w:val="00996A8A"/>
    <w:rsid w:val="009C1EDC"/>
    <w:rsid w:val="00BC5922"/>
    <w:rsid w:val="00BF703D"/>
    <w:rsid w:val="00DE6AFD"/>
    <w:rsid w:val="00E37C64"/>
    <w:rsid w:val="00F37D4A"/>
    <w:rsid w:val="00F42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F562E"/>
  <w15:docId w15:val="{BE4EDB79-1BB7-4123-8476-78872941E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1268B9"/>
    <w:rPr>
      <w:color w:val="0000FF" w:themeColor="hyperlink"/>
      <w:u w:val="single"/>
    </w:rPr>
  </w:style>
  <w:style w:type="character" w:styleId="UnresolvedMention">
    <w:name w:val="Unresolved Mention"/>
    <w:basedOn w:val="DefaultParagraphFont"/>
    <w:uiPriority w:val="99"/>
    <w:semiHidden/>
    <w:unhideWhenUsed/>
    <w:rsid w:val="001268B9"/>
    <w:rPr>
      <w:color w:val="605E5C"/>
      <w:shd w:val="clear" w:color="auto" w:fill="E1DFDD"/>
    </w:rPr>
  </w:style>
  <w:style w:type="character" w:styleId="FollowedHyperlink">
    <w:name w:val="FollowedHyperlink"/>
    <w:basedOn w:val="DefaultParagraphFont"/>
    <w:uiPriority w:val="99"/>
    <w:semiHidden/>
    <w:unhideWhenUsed/>
    <w:rsid w:val="00BF703D"/>
    <w:rPr>
      <w:color w:val="800080" w:themeColor="followedHyperlink"/>
      <w:u w:val="single"/>
    </w:rPr>
  </w:style>
  <w:style w:type="paragraph" w:styleId="ListParagraph">
    <w:name w:val="List Paragraph"/>
    <w:basedOn w:val="Normal"/>
    <w:uiPriority w:val="34"/>
    <w:qFormat/>
    <w:rsid w:val="00BF70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ecure.sos.state.or.us/oard/displayDivisionRules.action?selectedDivision=3830" TargetMode="External"/><Relationship Id="rId18" Type="http://schemas.openxmlformats.org/officeDocument/2006/relationships/hyperlink" Target="https://www.govinfo.gov/content/pkg/COMPS-3096/pdf/COMPS-3096.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oregon.gov/highered/institutions-programs/ccwd/Pages/career-pathways.aspx" TargetMode="External"/><Relationship Id="rId17" Type="http://schemas.openxmlformats.org/officeDocument/2006/relationships/hyperlink" Target="https://www.qualityinfo.org/" TargetMode="External"/><Relationship Id="rId2" Type="http://schemas.openxmlformats.org/officeDocument/2006/relationships/customXml" Target="../customXml/item2.xml"/><Relationship Id="rId16" Type="http://schemas.openxmlformats.org/officeDocument/2006/relationships/hyperlink" Target="https://www.oregon.gov/ode/learning-options/CTE/resources/Pages/High-Quality-CTE-Program-of-Study-Rubric.asp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regon.gov/ode/learning-options/CTE/FedFund/Documents/HECC_%20Career%20Pathways%20Definition%20Final.docx" TargetMode="External"/><Relationship Id="rId5" Type="http://schemas.openxmlformats.org/officeDocument/2006/relationships/styles" Target="styles.xml"/><Relationship Id="rId15" Type="http://schemas.openxmlformats.org/officeDocument/2006/relationships/hyperlink" Target="https://www.oregon.gov/ode/learning-options/CTE/FedFund/Pages/Oregon-CTE-State-Plan.aspx" TargetMode="External"/><Relationship Id="rId10" Type="http://schemas.openxmlformats.org/officeDocument/2006/relationships/hyperlink" Target="https://www.dol.gov/agencies/eta/wioa"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regon.gov/ode/learning-options/CTE/resources/Pages/CTEPOS_Application_Resources.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0A246D552C07439E8981692F46C31B" ma:contentTypeVersion="8" ma:contentTypeDescription="Create a new document." ma:contentTypeScope="" ma:versionID="8da0082f3385fc33a28784faa64f0708">
  <xsd:schema xmlns:xsd="http://www.w3.org/2001/XMLSchema" xmlns:xs="http://www.w3.org/2001/XMLSchema" xmlns:p="http://schemas.microsoft.com/office/2006/metadata/properties" xmlns:ns1="http://schemas.microsoft.com/sharepoint/v3" xmlns:ns2="afac9031-5f96-4f43-a642-40c4ec1d4f3f" xmlns:ns3="54031767-dd6d-417c-ab73-583408f47564" targetNamespace="http://schemas.microsoft.com/office/2006/metadata/properties" ma:root="true" ma:fieldsID="9857c2729952d191b2dd9b58af602dbc" ns1:_="" ns2:_="" ns3:_="">
    <xsd:import namespace="http://schemas.microsoft.com/sharepoint/v3"/>
    <xsd:import namespace="afac9031-5f96-4f43-a642-40c4ec1d4f3f"/>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ac9031-5f96-4f43-a642-40c4ec1d4f3f"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mediation_x0020_Date xmlns="afac9031-5f96-4f43-a642-40c4ec1d4f3f">2024-05-09T19:35:37+00:00</Remediation_x0020_Date>
    <PublishingExpirationDate xmlns="http://schemas.microsoft.com/sharepoint/v3" xsi:nil="true"/>
    <PublishingStartDate xmlns="http://schemas.microsoft.com/sharepoint/v3" xsi:nil="true"/>
    <Estimated_x0020_Creation_x0020_Date xmlns="afac9031-5f96-4f43-a642-40c4ec1d4f3f" xsi:nil="true"/>
    <Priority xmlns="afac9031-5f96-4f43-a642-40c4ec1d4f3f">New</Priorit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43EF65-B67C-4DD2-AF49-3616FBCEC1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fac9031-5f96-4f43-a642-40c4ec1d4f3f"/>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5649E7-6C6D-4F14-B4BD-F3687A5C32C7}">
  <ds:schemaRefs>
    <ds:schemaRef ds:uri="http://schemas.microsoft.com/office/2006/documentManagement/types"/>
    <ds:schemaRef ds:uri="http://schemas.openxmlformats.org/package/2006/metadata/core-properties"/>
    <ds:schemaRef ds:uri="http://purl.org/dc/elements/1.1/"/>
    <ds:schemaRef ds:uri="afac9031-5f96-4f43-a642-40c4ec1d4f3f"/>
    <ds:schemaRef ds:uri="http://schemas.microsoft.com/office/2006/metadata/properties"/>
    <ds:schemaRef ds:uri="http://purl.org/dc/terms/"/>
    <ds:schemaRef ds:uri="http://schemas.microsoft.com/sharepoint/v3"/>
    <ds:schemaRef ds:uri="http://schemas.microsoft.com/office/infopath/2007/PartnerControls"/>
    <ds:schemaRef ds:uri="54031767-dd6d-417c-ab73-583408f47564"/>
    <ds:schemaRef ds:uri="http://www.w3.org/XML/1998/namespace"/>
    <ds:schemaRef ds:uri="http://purl.org/dc/dcmitype/"/>
  </ds:schemaRefs>
</ds:datastoreItem>
</file>

<file path=customXml/itemProps3.xml><?xml version="1.0" encoding="utf-8"?>
<ds:datastoreItem xmlns:ds="http://schemas.openxmlformats.org/officeDocument/2006/customXml" ds:itemID="{18576D27-57A4-4DE5-92ED-76EB409071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3261</Words>
  <Characters>18754</Characters>
  <Application>Microsoft Office Word</Application>
  <DocSecurity>2</DocSecurity>
  <Lines>390</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CATTERALL Linda * ODE</dc:creator>
  <cp:lastModifiedBy>CATTERALL Linda * ODE</cp:lastModifiedBy>
  <cp:revision>5</cp:revision>
  <dcterms:created xsi:type="dcterms:W3CDTF">2024-08-06T21:25:00Z</dcterms:created>
  <dcterms:modified xsi:type="dcterms:W3CDTF">2024-08-06T22:07:00Z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2024-02-13T19:25:54Z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d2e14ec0-5e9e-4a4b-85ee-bac4e4b25b94</vt:lpwstr>
  </property>
  <property fmtid="{D5CDD505-2E9C-101B-9397-08002B2CF9AE}" pid="8" name="MSIP_Label_7730ea53-6f5e-4160-81a5-992a9105450a_ContentBits">
    <vt:lpwstr>0</vt:lpwstr>
  </property>
  <property fmtid="{D5CDD505-2E9C-101B-9397-08002B2CF9AE}" pid="9" name="ContentTypeId">
    <vt:lpwstr>0x010100370A246D552C07439E8981692F46C31B</vt:lpwstr>
  </property>
</Properties>
</file>