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7B1506">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Pr>
          <w:noProof/>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00A8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806DE"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" strokecolor="#00a8a5" strokeweight="2pt">
                <v:stroke endcap="square"/>
              </v:line>
            </w:pict>
          </mc:Fallback>
        </mc:AlternateContent>
      </w:r>
    </w:p>
    <w:p w:rsidR="004B7C1C" w:rsidRDefault="00370A15" w:rsidP="007B1506">
      <w:pPr>
        <w:tabs>
          <w:tab w:val="left" w:pos="6088"/>
        </w:tabs>
        <w:rPr>
          <w:rStyle w:val="jsgrdq"/>
          <w:i/>
          <w:color w:val="000000"/>
        </w:rPr>
      </w:pPr>
      <w:r w:rsidRPr="00370A15">
        <w:rPr>
          <w:rStyle w:val="jsgrdq"/>
          <w:i/>
          <w:noProof/>
          <w:color w:val="000000"/>
        </w:rPr>
        <mc:AlternateContent>
          <mc:Choice Requires="wps">
            <w:drawing>
              <wp:anchor distT="45720" distB="45720" distL="114300" distR="114300" simplePos="0" relativeHeight="251712512" behindDoc="0" locked="0" layoutInCell="1" allowOverlap="1">
                <wp:simplePos x="0" y="0"/>
                <wp:positionH relativeFrom="column">
                  <wp:posOffset>3530600</wp:posOffset>
                </wp:positionH>
                <wp:positionV relativeFrom="paragraph">
                  <wp:posOffset>33655</wp:posOffset>
                </wp:positionV>
                <wp:extent cx="2038350" cy="2857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85750"/>
                        </a:xfrm>
                        <a:prstGeom prst="rect">
                          <a:avLst/>
                        </a:prstGeom>
                        <a:solidFill>
                          <a:srgbClr val="00A8A5"/>
                        </a:solidFill>
                        <a:ln w="9525">
                          <a:solidFill>
                            <a:srgbClr val="00A8A5"/>
                          </a:solidFill>
                          <a:miter lim="800000"/>
                          <a:headEnd/>
                          <a:tailEnd/>
                        </a:ln>
                      </wps:spPr>
                      <wps:txbx>
                        <w:txbxContent>
                          <w:p w:rsidR="00370A15" w:rsidRPr="00370A15" w:rsidRDefault="00370A15">
                            <w:pPr>
                              <w:rPr>
                                <w:b/>
                                <w:color w:val="FFFFFF" w:themeColor="background1"/>
                              </w:rPr>
                            </w:pPr>
                            <w:r w:rsidRPr="00370A15">
                              <w:rPr>
                                <w:b/>
                                <w:color w:val="FFFFFF" w:themeColor="background1"/>
                              </w:rPr>
                              <w:t>CTE STATE PLAN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8pt;margin-top:2.65pt;width:160.5pt;height:2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" fillcolor="#00a8a5" strokecolor="#00a8a5">
                <v:textbox>
                  <w:txbxContent>
                    <w:p w:rsidR="00370A15" w:rsidRPr="00370A15" w:rsidRDefault="00370A15">
                      <w:pPr>
                        <w:rPr>
                          <w:b/>
                          <w:color w:val="FFFFFF" w:themeColor="background1"/>
                        </w:rPr>
                      </w:pPr>
                      <w:r w:rsidRPr="00370A15">
                        <w:rPr>
                          <w:b/>
                          <w:color w:val="FFFFFF" w:themeColor="background1"/>
                        </w:rPr>
                        <w:t>CTE STATE PLAN REFLECTION</w:t>
                      </w:r>
                    </w:p>
                  </w:txbxContent>
                </v:textbox>
                <w10:wrap type="square"/>
              </v:shape>
            </w:pict>
          </mc:Fallback>
        </mc:AlternateContent>
      </w:r>
      <w:r w:rsidR="00671A2E"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671A2E" w:rsidRPr="00370A15" w:rsidRDefault="00671A2E" w:rsidP="00671A2E">
                            <w:pPr>
                              <w:jc w:val="right"/>
                              <w:rPr>
                                <w:color w:val="00A8A5"/>
                              </w:rPr>
                            </w:pPr>
                            <w:r w:rsidRPr="00370A15">
                              <w:rPr>
                                <w:color w:val="00A8A5"/>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6.45pt;margin-top:2.65pt;width:84.75pt;height:2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671A2E" w:rsidRPr="00370A15" w:rsidRDefault="00671A2E" w:rsidP="00671A2E">
                      <w:pPr>
                        <w:jc w:val="right"/>
                        <w:rPr>
                          <w:color w:val="00A8A5"/>
                        </w:rPr>
                      </w:pPr>
                      <w:r w:rsidRPr="00370A15">
                        <w:rPr>
                          <w:color w:val="00A8A5"/>
                        </w:rPr>
                        <w:t>2021-2022</w:t>
                      </w:r>
                    </w:p>
                  </w:txbxContent>
                </v:textbox>
                <w10:wrap type="square"/>
              </v:shape>
            </w:pict>
          </mc:Fallback>
        </mc:AlternateContent>
      </w:r>
    </w:p>
    <w:p w:rsidR="00CD78C0" w:rsidRDefault="00370A15" w:rsidP="007B1506">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3425673</wp:posOffset>
                </wp:positionH>
                <wp:positionV relativeFrom="paragraph">
                  <wp:posOffset>44450</wp:posOffset>
                </wp:positionV>
                <wp:extent cx="3346450" cy="473075"/>
                <wp:effectExtent l="0" t="0" r="6350"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473075"/>
                        </a:xfrm>
                        <a:prstGeom prst="rect">
                          <a:avLst/>
                        </a:prstGeom>
                        <a:solidFill>
                          <a:srgbClr val="FFFFFF"/>
                        </a:solidFill>
                        <a:ln w="9525">
                          <a:noFill/>
                          <a:miter lim="800000"/>
                          <a:headEnd/>
                          <a:tailEnd/>
                        </a:ln>
                      </wps:spPr>
                      <wps:txbx>
                        <w:txbxContent>
                          <w:p w:rsidR="00CD78C0" w:rsidRPr="00370A15" w:rsidRDefault="00370A15" w:rsidP="00CD78C0">
                            <w:pPr>
                              <w:rPr>
                                <w:b/>
                                <w:color w:val="00A8A5"/>
                              </w:rPr>
                            </w:pPr>
                            <w:r w:rsidRPr="00370A15">
                              <w:rPr>
                                <w:b/>
                                <w:color w:val="00A8A5"/>
                                <w:sz w:val="52"/>
                                <w:szCs w:val="52"/>
                              </w:rPr>
                              <w:t>Equity &amp; Civil Rights</w:t>
                            </w:r>
                            <w:r w:rsidR="00CD78C0" w:rsidRPr="00370A15">
                              <w:rPr>
                                <w:b/>
                                <w:color w:val="00A8A5"/>
                                <w:sz w:val="52"/>
                                <w:szCs w:val="52"/>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69.75pt;margin-top:3.5pt;width:263.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" stroked="f">
                <v:textbox>
                  <w:txbxContent>
                    <w:p w:rsidR="00CD78C0" w:rsidRPr="00370A15" w:rsidRDefault="00370A15" w:rsidP="00CD78C0">
                      <w:pPr>
                        <w:rPr>
                          <w:b/>
                          <w:color w:val="00A8A5"/>
                        </w:rPr>
                      </w:pPr>
                      <w:r w:rsidRPr="00370A15">
                        <w:rPr>
                          <w:b/>
                          <w:color w:val="00A8A5"/>
                          <w:sz w:val="52"/>
                          <w:szCs w:val="52"/>
                        </w:rPr>
                        <w:t>Equity &amp; Civil Rights</w:t>
                      </w:r>
                      <w:r w:rsidR="00CD78C0" w:rsidRPr="00370A15">
                        <w:rPr>
                          <w:b/>
                          <w:color w:val="00A8A5"/>
                          <w:sz w:val="52"/>
                          <w:szCs w:val="52"/>
                        </w:rPr>
                        <w:t xml:space="preserve">     </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3530600</wp:posOffset>
                </wp:positionH>
                <wp:positionV relativeFrom="page">
                  <wp:posOffset>1226185</wp:posOffset>
                </wp:positionV>
                <wp:extent cx="2120900" cy="264795"/>
                <wp:effectExtent l="0" t="0" r="0" b="190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264795"/>
                        </a:xfrm>
                        <a:prstGeom prst="rect">
                          <a:avLst/>
                        </a:prstGeom>
                        <a:noFill/>
                        <a:ln w="9525">
                          <a:noFill/>
                          <a:miter lim="800000"/>
                          <a:headEnd/>
                          <a:tailEnd/>
                        </a:ln>
                      </wps:spPr>
                      <wps:txbx>
                        <w:txbxContent>
                          <w:p w:rsidR="00CD78C0" w:rsidRPr="00370A15" w:rsidRDefault="00370A15" w:rsidP="00CD78C0">
                            <w:pPr>
                              <w:rPr>
                                <w:b/>
                                <w:color w:val="1B75BC"/>
                              </w:rPr>
                            </w:pPr>
                            <w:r w:rsidRPr="00370A15">
                              <w:rPr>
                                <w:b/>
                                <w:color w:val="FFFFFF" w:themeColor="background1"/>
                              </w:rPr>
                              <w:t>CTE STATE PLAN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itle: Equiity &amp; Civil Rights      Reflection" style="position:absolute;margin-left:278pt;margin-top:96.55pt;width:167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" filled="f" stroked="f">
                <v:textbox>
                  <w:txbxContent>
                    <w:p w:rsidR="00CD78C0" w:rsidRPr="00370A15" w:rsidRDefault="00370A15" w:rsidP="00CD78C0">
                      <w:pPr>
                        <w:rPr>
                          <w:b/>
                          <w:color w:val="1B75BC"/>
                        </w:rPr>
                      </w:pPr>
                      <w:r w:rsidRPr="00370A15">
                        <w:rPr>
                          <w:b/>
                          <w:color w:val="FFFFFF" w:themeColor="background1"/>
                        </w:rPr>
                        <w:t>CTE STATE PLAN REFLECTION</w:t>
                      </w:r>
                    </w:p>
                  </w:txbxContent>
                </v:textbox>
                <w10:wrap anchory="page"/>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00A8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ED3A4"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" strokecolor="#00a8a5" strokeweight="2pt">
                <v:stroke endcap="square"/>
                <w10:wrap anchory="page"/>
              </v:line>
            </w:pict>
          </mc:Fallback>
        </mc:AlternateContent>
      </w:r>
    </w:p>
    <w:p w:rsidR="00246AAD" w:rsidRDefault="00246AAD" w:rsidP="009B20BF">
      <w:pPr>
        <w:tabs>
          <w:tab w:val="left" w:pos="6088"/>
        </w:tabs>
        <w:rPr>
          <w:rStyle w:val="jsgrdq"/>
          <w:i/>
          <w:color w:val="000000"/>
        </w:rPr>
      </w:pPr>
    </w:p>
    <w:p w:rsidR="00370A15" w:rsidRPr="00370A15" w:rsidRDefault="00370A15" w:rsidP="009B20BF">
      <w:pPr>
        <w:tabs>
          <w:tab w:val="left" w:pos="6088"/>
        </w:tabs>
        <w:rPr>
          <w:rStyle w:val="jsgrdq"/>
          <w:b/>
          <w:i/>
          <w:color w:val="4F81BD"/>
        </w:rPr>
      </w:pPr>
      <w:r w:rsidRPr="00370A15">
        <w:rPr>
          <w:rFonts w:cs="Arial"/>
          <w:i/>
          <w:color w:val="000000"/>
          <w:sz w:val="22"/>
          <w:szCs w:val="22"/>
        </w:rPr>
        <w:t xml:space="preserve">The Oregon CTE State Plan is a high level, four-year strategic plan that integrates state and federal priorities to implement the "Strengthening Career and Technical Education for the 21st Century Act" (commonly known as Perkins V). </w:t>
      </w:r>
      <w:r w:rsidRPr="00370A15">
        <w:rPr>
          <w:rFonts w:cs="Arial"/>
          <w:b/>
          <w:i/>
          <w:iCs/>
          <w:color w:val="00A8A5"/>
          <w:sz w:val="22"/>
          <w:szCs w:val="22"/>
        </w:rPr>
        <w:t>Equity has been infused as an important consideration in all aspects of the state plan, and we have identified specific goals to help support this important work. </w:t>
      </w:r>
      <w:r w:rsidRPr="00370A15">
        <w:rPr>
          <w:rFonts w:cs="Arial"/>
          <w:i/>
          <w:iCs/>
          <w:color w:val="000000"/>
          <w:sz w:val="22"/>
          <w:szCs w:val="22"/>
        </w:rPr>
        <w:t xml:space="preserve"> </w:t>
      </w:r>
      <w:r w:rsidRPr="00370A15">
        <w:rPr>
          <w:rFonts w:cs="Arial"/>
          <w:i/>
          <w:color w:val="000000"/>
          <w:sz w:val="22"/>
          <w:szCs w:val="22"/>
        </w:rPr>
        <w:t xml:space="preserve">The following are Local and State accomplishments made around </w:t>
      </w:r>
      <w:r w:rsidR="00FD485B">
        <w:rPr>
          <w:rFonts w:cs="Arial"/>
          <w:i/>
          <w:color w:val="000000"/>
          <w:sz w:val="22"/>
          <w:szCs w:val="22"/>
        </w:rPr>
        <w:t>Equity and Civil Rights</w:t>
      </w:r>
      <w:r w:rsidRPr="00370A15">
        <w:rPr>
          <w:rFonts w:cs="Arial"/>
          <w:i/>
          <w:color w:val="000000"/>
          <w:sz w:val="22"/>
          <w:szCs w:val="22"/>
        </w:rPr>
        <w:t xml:space="preserve"> goals during the second year.</w:t>
      </w:r>
    </w:p>
    <w:p w:rsidR="00067E99" w:rsidRDefault="00246AAD" w:rsidP="00067E99">
      <w:pPr>
        <w:tabs>
          <w:tab w:val="left" w:pos="6088"/>
        </w:tabs>
        <w:jc w:val="center"/>
        <w:rPr>
          <w:rStyle w:val="jsgrdq"/>
          <w:b/>
          <w:color w:val="00A8A5"/>
          <w:sz w:val="32"/>
          <w:szCs w:val="32"/>
        </w:rPr>
      </w:pPr>
      <w:r w:rsidRPr="00370A15">
        <w:rPr>
          <w:rStyle w:val="jsgrdq"/>
          <w:noProof/>
          <w:color w:val="00A8A5"/>
          <w:sz w:val="32"/>
          <w:szCs w:val="32"/>
        </w:rPr>
        <mc:AlternateContent>
          <mc:Choice Requires="wps">
            <w:drawing>
              <wp:anchor distT="45720" distB="45720" distL="114300" distR="114300" simplePos="0" relativeHeight="251710464" behindDoc="0" locked="0" layoutInCell="1" allowOverlap="1">
                <wp:simplePos x="0" y="0"/>
                <wp:positionH relativeFrom="column">
                  <wp:posOffset>3552190</wp:posOffset>
                </wp:positionH>
                <wp:positionV relativeFrom="paragraph">
                  <wp:posOffset>1577340</wp:posOffset>
                </wp:positionV>
                <wp:extent cx="3293110" cy="1485900"/>
                <wp:effectExtent l="19050" t="19050" r="2159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1485900"/>
                        </a:xfrm>
                        <a:prstGeom prst="rect">
                          <a:avLst/>
                        </a:prstGeom>
                        <a:solidFill>
                          <a:srgbClr val="FFFFFF"/>
                        </a:solidFill>
                        <a:ln w="28575">
                          <a:solidFill>
                            <a:srgbClr val="00A8A5"/>
                          </a:solidFill>
                          <a:miter lim="800000"/>
                          <a:headEnd/>
                          <a:tailEnd/>
                        </a:ln>
                      </wps:spPr>
                      <wps:txbx>
                        <w:txbxContent>
                          <w:p w:rsidR="00803ED6" w:rsidRPr="00067E99" w:rsidRDefault="00370A15" w:rsidP="00803ED6">
                            <w:pPr>
                              <w:widowControl w:val="0"/>
                              <w:rPr>
                                <w:b/>
                                <w:color w:val="00A8A5"/>
                              </w:rPr>
                            </w:pPr>
                            <w:r w:rsidRPr="00067E99">
                              <w:rPr>
                                <w:rFonts w:cs="Arial"/>
                                <w:b/>
                                <w:color w:val="00A8A5"/>
                                <w:sz w:val="22"/>
                                <w:szCs w:val="22"/>
                              </w:rPr>
                              <w:t>A Community College was able to create an equitable student success program that identified six priority areas to improve equitable access to higher education. This new focus brought substantial changes in support for students in several ways and provided equitable access to educational opportunities and career pathways in CTE programs within their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9.7pt;margin-top:124.2pt;width:259.3pt;height:117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" strokecolor="#00a8a5" strokeweight="2.25pt">
                <v:textbox>
                  <w:txbxContent>
                    <w:p w:rsidR="00803ED6" w:rsidRPr="00067E99" w:rsidRDefault="00370A15" w:rsidP="00803ED6">
                      <w:pPr>
                        <w:widowControl w:val="0"/>
                        <w:rPr>
                          <w:b/>
                          <w:color w:val="00A8A5"/>
                        </w:rPr>
                      </w:pPr>
                      <w:r w:rsidRPr="00067E99">
                        <w:rPr>
                          <w:rFonts w:cs="Arial"/>
                          <w:b/>
                          <w:color w:val="00A8A5"/>
                          <w:sz w:val="22"/>
                          <w:szCs w:val="22"/>
                        </w:rPr>
                        <w:t>A Community College was able to create an equitable student success program that identified six priority areas to improve equitable access to higher education. This new focus brought substantial changes in support for students in several ways and provided equitable access to educational opportunities and career pathways in CTE programs within their region.</w:t>
                      </w:r>
                    </w:p>
                  </w:txbxContent>
                </v:textbox>
                <w10:wrap type="square"/>
              </v:shape>
            </w:pict>
          </mc:Fallback>
        </mc:AlternateContent>
      </w:r>
      <w:r w:rsidRPr="00370A15">
        <w:rPr>
          <w:rStyle w:val="jsgrdq"/>
          <w:b/>
          <w:noProof/>
          <w:color w:val="00A8A5"/>
          <w:sz w:val="32"/>
          <w:szCs w:val="32"/>
        </w:rPr>
        <mc:AlternateContent>
          <mc:Choice Requires="wps">
            <w:drawing>
              <wp:anchor distT="45720" distB="45720" distL="114300" distR="114300" simplePos="0" relativeHeight="251704320" behindDoc="0" locked="0" layoutInCell="1" allowOverlap="1">
                <wp:simplePos x="0" y="0"/>
                <wp:positionH relativeFrom="column">
                  <wp:posOffset>-2540</wp:posOffset>
                </wp:positionH>
                <wp:positionV relativeFrom="paragraph">
                  <wp:posOffset>1465875</wp:posOffset>
                </wp:positionV>
                <wp:extent cx="3315970" cy="1485900"/>
                <wp:effectExtent l="0" t="0" r="1778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1485900"/>
                        </a:xfrm>
                        <a:prstGeom prst="rect">
                          <a:avLst/>
                        </a:prstGeom>
                        <a:solidFill>
                          <a:srgbClr val="00A8A5"/>
                        </a:solidFill>
                        <a:ln w="9525">
                          <a:solidFill>
                            <a:srgbClr val="00A8A5"/>
                          </a:solidFill>
                          <a:miter lim="800000"/>
                          <a:headEnd/>
                          <a:tailEnd/>
                        </a:ln>
                      </wps:spPr>
                      <wps:txbx>
                        <w:txbxContent>
                          <w:p w:rsidR="00671A2E" w:rsidRPr="00370A15" w:rsidRDefault="00370A15" w:rsidP="00803ED6">
                            <w:pPr>
                              <w:rPr>
                                <w:b/>
                                <w:color w:val="FFFFFF" w:themeColor="background1"/>
                              </w:rPr>
                            </w:pPr>
                            <w:r w:rsidRPr="00370A15">
                              <w:rPr>
                                <w:rFonts w:cs="Arial"/>
                                <w:b/>
                                <w:color w:val="FFFFFF" w:themeColor="background1"/>
                                <w:sz w:val="22"/>
                                <w:szCs w:val="22"/>
                              </w:rPr>
                              <w:t>Cultivation of the cross-agency collaboration between the Oregon De</w:t>
                            </w:r>
                            <w:r w:rsidR="00FD485B">
                              <w:rPr>
                                <w:rFonts w:cs="Arial"/>
                                <w:b/>
                                <w:color w:val="FFFFFF" w:themeColor="background1"/>
                                <w:sz w:val="22"/>
                                <w:szCs w:val="22"/>
                              </w:rPr>
                              <w:t>partment of Education Secondary-</w:t>
                            </w:r>
                            <w:r w:rsidRPr="00370A15">
                              <w:rPr>
                                <w:rFonts w:cs="Arial"/>
                                <w:b/>
                                <w:color w:val="FFFFFF" w:themeColor="background1"/>
                                <w:sz w:val="22"/>
                                <w:szCs w:val="22"/>
                              </w:rPr>
                              <w:t>Postsecondary Transitions Team and the Higher Education Coordinating Commission Office of Community College and Workforce Development strengthened systems, improved the experiences of CTE students, and provided equity focused technical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pt;margin-top:115.4pt;width:261.1pt;height:11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" fillcolor="#00a8a5" strokecolor="#00a8a5">
                <v:textbox>
                  <w:txbxContent>
                    <w:p w:rsidR="00671A2E" w:rsidRPr="00370A15" w:rsidRDefault="00370A15" w:rsidP="00803ED6">
                      <w:pPr>
                        <w:rPr>
                          <w:b/>
                          <w:color w:val="FFFFFF" w:themeColor="background1"/>
                        </w:rPr>
                      </w:pPr>
                      <w:r w:rsidRPr="00370A15">
                        <w:rPr>
                          <w:rFonts w:cs="Arial"/>
                          <w:b/>
                          <w:color w:val="FFFFFF" w:themeColor="background1"/>
                          <w:sz w:val="22"/>
                          <w:szCs w:val="22"/>
                        </w:rPr>
                        <w:t>Cultivation of the cross-agency collaboration between the Oregon De</w:t>
                      </w:r>
                      <w:r w:rsidR="00FD485B">
                        <w:rPr>
                          <w:rFonts w:cs="Arial"/>
                          <w:b/>
                          <w:color w:val="FFFFFF" w:themeColor="background1"/>
                          <w:sz w:val="22"/>
                          <w:szCs w:val="22"/>
                        </w:rPr>
                        <w:t>partment of Education Secondary-</w:t>
                      </w:r>
                      <w:r w:rsidRPr="00370A15">
                        <w:rPr>
                          <w:rFonts w:cs="Arial"/>
                          <w:b/>
                          <w:color w:val="FFFFFF" w:themeColor="background1"/>
                          <w:sz w:val="22"/>
                          <w:szCs w:val="22"/>
                        </w:rPr>
                        <w:t>Postsecondary Transitions Team and the Higher Education Coordinating Commission Office of Community College and Workforce Development strengthened systems, improved the experiences of CTE students, and provided equity focused technical assistance.</w:t>
                      </w:r>
                    </w:p>
                  </w:txbxContent>
                </v:textbox>
                <w10:wrap type="square"/>
              </v:shape>
            </w:pict>
          </mc:Fallback>
        </mc:AlternateContent>
      </w:r>
      <w:r w:rsidRPr="00370A15">
        <w:rPr>
          <w:rStyle w:val="jsgrdq"/>
          <w:b/>
          <w:noProof/>
          <w:color w:val="00A8A5"/>
          <w:sz w:val="32"/>
          <w:szCs w:val="32"/>
        </w:rPr>
        <mc:AlternateContent>
          <mc:Choice Requires="wps">
            <w:drawing>
              <wp:anchor distT="45720" distB="45720" distL="114300" distR="114300" simplePos="0" relativeHeight="251702272" behindDoc="0" locked="0" layoutInCell="1" allowOverlap="1">
                <wp:simplePos x="0" y="0"/>
                <wp:positionH relativeFrom="column">
                  <wp:posOffset>-2540</wp:posOffset>
                </wp:positionH>
                <wp:positionV relativeFrom="paragraph">
                  <wp:posOffset>319405</wp:posOffset>
                </wp:positionV>
                <wp:extent cx="3316605" cy="1028700"/>
                <wp:effectExtent l="19050" t="19050" r="1714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028700"/>
                        </a:xfrm>
                        <a:prstGeom prst="rect">
                          <a:avLst/>
                        </a:prstGeom>
                        <a:solidFill>
                          <a:srgbClr val="FFFFFF"/>
                        </a:solidFill>
                        <a:ln w="28575">
                          <a:solidFill>
                            <a:srgbClr val="00A8A5"/>
                          </a:solidFill>
                          <a:miter lim="800000"/>
                          <a:headEnd/>
                          <a:tailEnd/>
                        </a:ln>
                      </wps:spPr>
                      <wps:txbx>
                        <w:txbxContent>
                          <w:p w:rsidR="00671A2E" w:rsidRPr="00370A15" w:rsidRDefault="00370A15" w:rsidP="00E06DD2">
                            <w:pPr>
                              <w:rPr>
                                <w:b/>
                                <w:color w:val="00A8A5"/>
                              </w:rPr>
                            </w:pPr>
                            <w:r w:rsidRPr="00370A15">
                              <w:rPr>
                                <w:rFonts w:cs="Arial"/>
                                <w:b/>
                                <w:color w:val="00A8A5"/>
                                <w:sz w:val="22"/>
                                <w:szCs w:val="22"/>
                              </w:rPr>
                              <w:t>Used a new data system to create reports for the Civil Rights selection, investigation, engagement</w:t>
                            </w:r>
                            <w:r w:rsidR="00FD485B">
                              <w:rPr>
                                <w:rFonts w:cs="Arial"/>
                                <w:b/>
                                <w:color w:val="00A8A5"/>
                                <w:sz w:val="22"/>
                                <w:szCs w:val="22"/>
                              </w:rPr>
                              <w:t>,</w:t>
                            </w:r>
                            <w:r w:rsidRPr="00370A15">
                              <w:rPr>
                                <w:rFonts w:cs="Arial"/>
                                <w:b/>
                                <w:color w:val="00A8A5"/>
                                <w:sz w:val="22"/>
                                <w:szCs w:val="22"/>
                              </w:rPr>
                              <w:t xml:space="preserve"> and inclusion audit processes. Data from these reports showed an increase in the diversity of students and a decrease in equity gaps within CTE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pt;margin-top:25.15pt;width:261.15pt;height:8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" strokecolor="#00a8a5" strokeweight="2.25pt">
                <v:textbox>
                  <w:txbxContent>
                    <w:p w:rsidR="00671A2E" w:rsidRPr="00370A15" w:rsidRDefault="00370A15" w:rsidP="00E06DD2">
                      <w:pPr>
                        <w:rPr>
                          <w:b/>
                          <w:color w:val="00A8A5"/>
                        </w:rPr>
                      </w:pPr>
                      <w:r w:rsidRPr="00370A15">
                        <w:rPr>
                          <w:rFonts w:cs="Arial"/>
                          <w:b/>
                          <w:color w:val="00A8A5"/>
                          <w:sz w:val="22"/>
                          <w:szCs w:val="22"/>
                        </w:rPr>
                        <w:t>Used a new data system to create reports for the Civil Rights selection, investigation, engagement</w:t>
                      </w:r>
                      <w:r w:rsidR="00FD485B">
                        <w:rPr>
                          <w:rFonts w:cs="Arial"/>
                          <w:b/>
                          <w:color w:val="00A8A5"/>
                          <w:sz w:val="22"/>
                          <w:szCs w:val="22"/>
                        </w:rPr>
                        <w:t>,</w:t>
                      </w:r>
                      <w:r w:rsidRPr="00370A15">
                        <w:rPr>
                          <w:rFonts w:cs="Arial"/>
                          <w:b/>
                          <w:color w:val="00A8A5"/>
                          <w:sz w:val="22"/>
                          <w:szCs w:val="22"/>
                        </w:rPr>
                        <w:t xml:space="preserve"> and inclusion audit processes. Data from these reports showed an increase in the diversity of students and a decrease in equity gaps within CTE Programs.</w:t>
                      </w:r>
                    </w:p>
                  </w:txbxContent>
                </v:textbox>
                <w10:wrap type="square"/>
              </v:shape>
            </w:pict>
          </mc:Fallback>
        </mc:AlternateContent>
      </w:r>
      <w:r w:rsidR="00067E99" w:rsidRPr="00370A15">
        <w:rPr>
          <w:rStyle w:val="jsgrdq"/>
          <w:b/>
          <w:noProof/>
          <w:color w:val="00A8A5"/>
          <w:sz w:val="32"/>
          <w:szCs w:val="32"/>
        </w:rPr>
        <mc:AlternateContent>
          <mc:Choice Requires="wps">
            <w:drawing>
              <wp:anchor distT="45720" distB="45720" distL="114300" distR="114300" simplePos="0" relativeHeight="251709439" behindDoc="0" locked="0" layoutInCell="1" allowOverlap="1">
                <wp:simplePos x="0" y="0"/>
                <wp:positionH relativeFrom="column">
                  <wp:posOffset>3550920</wp:posOffset>
                </wp:positionH>
                <wp:positionV relativeFrom="paragraph">
                  <wp:posOffset>323215</wp:posOffset>
                </wp:positionV>
                <wp:extent cx="3307080" cy="1028700"/>
                <wp:effectExtent l="0" t="0" r="2667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028700"/>
                        </a:xfrm>
                        <a:prstGeom prst="rect">
                          <a:avLst/>
                        </a:prstGeom>
                        <a:solidFill>
                          <a:srgbClr val="00A8A5"/>
                        </a:solidFill>
                        <a:ln w="9525">
                          <a:solidFill>
                            <a:srgbClr val="00A8A5"/>
                          </a:solidFill>
                          <a:miter lim="800000"/>
                          <a:headEnd/>
                          <a:tailEnd/>
                        </a:ln>
                      </wps:spPr>
                      <wps:txbx>
                        <w:txbxContent>
                          <w:p w:rsidR="00671A2E" w:rsidRPr="00370A15" w:rsidRDefault="00370A15" w:rsidP="00E06DD2">
                            <w:pPr>
                              <w:rPr>
                                <w:b/>
                                <w:color w:val="FFFFFF" w:themeColor="background1"/>
                              </w:rPr>
                            </w:pPr>
                            <w:r w:rsidRPr="00370A15">
                              <w:rPr>
                                <w:rFonts w:cs="Arial"/>
                                <w:b/>
                                <w:color w:val="FFFFFF" w:themeColor="background1"/>
                                <w:sz w:val="22"/>
                                <w:szCs w:val="22"/>
                              </w:rPr>
                              <w:t>Inter-agency collaboration with teams who work with student focal groups</w:t>
                            </w:r>
                            <w:r w:rsidR="0080528B">
                              <w:rPr>
                                <w:rFonts w:cs="Arial"/>
                                <w:b/>
                                <w:color w:val="FFFFFF" w:themeColor="background1"/>
                                <w:sz w:val="22"/>
                                <w:szCs w:val="22"/>
                              </w:rPr>
                              <w:t>*</w:t>
                            </w:r>
                            <w:r w:rsidRPr="00370A15">
                              <w:rPr>
                                <w:rFonts w:cs="Arial"/>
                                <w:b/>
                                <w:color w:val="FFFFFF" w:themeColor="background1"/>
                                <w:sz w:val="22"/>
                                <w:szCs w:val="22"/>
                              </w:rPr>
                              <w:t xml:space="preserve"> to ai</w:t>
                            </w:r>
                            <w:r>
                              <w:rPr>
                                <w:rFonts w:cs="Arial"/>
                                <w:b/>
                                <w:color w:val="FFFFFF" w:themeColor="background1"/>
                                <w:sz w:val="22"/>
                                <w:szCs w:val="22"/>
                              </w:rPr>
                              <w:t>d in understanding systems and </w:t>
                            </w:r>
                            <w:r w:rsidRPr="00370A15">
                              <w:rPr>
                                <w:rFonts w:cs="Arial"/>
                                <w:b/>
                                <w:color w:val="FFFFFF" w:themeColor="background1"/>
                                <w:sz w:val="22"/>
                                <w:szCs w:val="22"/>
                              </w:rPr>
                              <w:t>rule-making. Creatio</w:t>
                            </w:r>
                            <w:r w:rsidR="00FD485B">
                              <w:rPr>
                                <w:rFonts w:cs="Arial"/>
                                <w:b/>
                                <w:color w:val="FFFFFF" w:themeColor="background1"/>
                                <w:sz w:val="22"/>
                                <w:szCs w:val="22"/>
                              </w:rPr>
                              <w:t>n and training of the Secondary-</w:t>
                            </w:r>
                            <w:r w:rsidRPr="00370A15">
                              <w:rPr>
                                <w:rFonts w:cs="Arial"/>
                                <w:b/>
                                <w:color w:val="FFFFFF" w:themeColor="background1"/>
                                <w:sz w:val="22"/>
                                <w:szCs w:val="22"/>
                              </w:rPr>
                              <w:t>Postsecondary Transitions Team (</w:t>
                            </w:r>
                            <w:r w:rsidR="0080528B">
                              <w:rPr>
                                <w:rFonts w:cs="Arial"/>
                                <w:b/>
                                <w:color w:val="FFFFFF" w:themeColor="background1"/>
                                <w:sz w:val="22"/>
                                <w:szCs w:val="22"/>
                              </w:rPr>
                              <w:t xml:space="preserve">SPST) Equity Decision Tool.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9.6pt;margin-top:25.45pt;width:260.4pt;height:81pt;z-index:251709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" fillcolor="#00a8a5" strokecolor="#00a8a5">
                <v:textbox>
                  <w:txbxContent>
                    <w:p w:rsidR="00671A2E" w:rsidRPr="00370A15" w:rsidRDefault="00370A15" w:rsidP="00E06DD2">
                      <w:pPr>
                        <w:rPr>
                          <w:b/>
                          <w:color w:val="FFFFFF" w:themeColor="background1"/>
                        </w:rPr>
                      </w:pPr>
                      <w:r w:rsidRPr="00370A15">
                        <w:rPr>
                          <w:rFonts w:cs="Arial"/>
                          <w:b/>
                          <w:color w:val="FFFFFF" w:themeColor="background1"/>
                          <w:sz w:val="22"/>
                          <w:szCs w:val="22"/>
                        </w:rPr>
                        <w:t>Inter-agency collaboration with teams who work with student focal groups</w:t>
                      </w:r>
                      <w:r w:rsidR="0080528B">
                        <w:rPr>
                          <w:rFonts w:cs="Arial"/>
                          <w:b/>
                          <w:color w:val="FFFFFF" w:themeColor="background1"/>
                          <w:sz w:val="22"/>
                          <w:szCs w:val="22"/>
                        </w:rPr>
                        <w:t>*</w:t>
                      </w:r>
                      <w:r w:rsidRPr="00370A15">
                        <w:rPr>
                          <w:rFonts w:cs="Arial"/>
                          <w:b/>
                          <w:color w:val="FFFFFF" w:themeColor="background1"/>
                          <w:sz w:val="22"/>
                          <w:szCs w:val="22"/>
                        </w:rPr>
                        <w:t xml:space="preserve"> to ai</w:t>
                      </w:r>
                      <w:r>
                        <w:rPr>
                          <w:rFonts w:cs="Arial"/>
                          <w:b/>
                          <w:color w:val="FFFFFF" w:themeColor="background1"/>
                          <w:sz w:val="22"/>
                          <w:szCs w:val="22"/>
                        </w:rPr>
                        <w:t>d in understanding systems and </w:t>
                      </w:r>
                      <w:r w:rsidRPr="00370A15">
                        <w:rPr>
                          <w:rFonts w:cs="Arial"/>
                          <w:b/>
                          <w:color w:val="FFFFFF" w:themeColor="background1"/>
                          <w:sz w:val="22"/>
                          <w:szCs w:val="22"/>
                        </w:rPr>
                        <w:t>rule-making. Creatio</w:t>
                      </w:r>
                      <w:r w:rsidR="00FD485B">
                        <w:rPr>
                          <w:rFonts w:cs="Arial"/>
                          <w:b/>
                          <w:color w:val="FFFFFF" w:themeColor="background1"/>
                          <w:sz w:val="22"/>
                          <w:szCs w:val="22"/>
                        </w:rPr>
                        <w:t>n and training of the Secondary-</w:t>
                      </w:r>
                      <w:r w:rsidRPr="00370A15">
                        <w:rPr>
                          <w:rFonts w:cs="Arial"/>
                          <w:b/>
                          <w:color w:val="FFFFFF" w:themeColor="background1"/>
                          <w:sz w:val="22"/>
                          <w:szCs w:val="22"/>
                        </w:rPr>
                        <w:t>Postsecondary Transitions Team (</w:t>
                      </w:r>
                      <w:r w:rsidR="0080528B">
                        <w:rPr>
                          <w:rFonts w:cs="Arial"/>
                          <w:b/>
                          <w:color w:val="FFFFFF" w:themeColor="background1"/>
                          <w:sz w:val="22"/>
                          <w:szCs w:val="22"/>
                        </w:rPr>
                        <w:t xml:space="preserve">SPST) Equity Decision Tool. </w:t>
                      </w:r>
                    </w:p>
                  </w:txbxContent>
                </v:textbox>
                <w10:wrap type="square"/>
              </v:shape>
            </w:pict>
          </mc:Fallback>
        </mc:AlternateContent>
      </w:r>
      <w:r w:rsidR="00A149EF" w:rsidRPr="00370A15">
        <w:rPr>
          <w:rStyle w:val="jsgrdq"/>
          <w:b/>
          <w:color w:val="00A8A5"/>
          <w:sz w:val="32"/>
          <w:szCs w:val="32"/>
        </w:rPr>
        <w:t>2021-2022 ACCOMPLISHMENT HIGHLIGHTS</w:t>
      </w:r>
      <w:bookmarkStart w:id="0" w:name="_GoBack"/>
      <w:bookmarkEnd w:id="0"/>
    </w:p>
    <w:p w:rsidR="00067E99" w:rsidRDefault="00246AAD" w:rsidP="00067E99">
      <w:pPr>
        <w:tabs>
          <w:tab w:val="left" w:pos="6088"/>
        </w:tabs>
        <w:jc w:val="center"/>
        <w:rPr>
          <w:b/>
          <w:color w:val="00A8A5"/>
          <w:sz w:val="32"/>
          <w:szCs w:val="32"/>
        </w:rPr>
      </w:pPr>
      <w:r w:rsidRPr="00370A15">
        <w:rPr>
          <w:rStyle w:val="jsgrdq"/>
          <w:b/>
          <w:noProof/>
          <w:color w:val="00A8A5"/>
          <w:sz w:val="32"/>
          <w:szCs w:val="32"/>
        </w:rPr>
        <mc:AlternateContent>
          <mc:Choice Requires="wps">
            <w:drawing>
              <wp:anchor distT="45720" distB="45720" distL="114300" distR="114300" simplePos="0" relativeHeight="251708416" behindDoc="1" locked="0" layoutInCell="1" allowOverlap="1">
                <wp:simplePos x="0" y="0"/>
                <wp:positionH relativeFrom="column">
                  <wp:posOffset>3534536</wp:posOffset>
                </wp:positionH>
                <wp:positionV relativeFrom="paragraph">
                  <wp:posOffset>2919730</wp:posOffset>
                </wp:positionV>
                <wp:extent cx="3319780" cy="800100"/>
                <wp:effectExtent l="0" t="0" r="1397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00100"/>
                        </a:xfrm>
                        <a:prstGeom prst="rect">
                          <a:avLst/>
                        </a:prstGeom>
                        <a:solidFill>
                          <a:srgbClr val="00A8A5"/>
                        </a:solidFill>
                        <a:ln w="9525">
                          <a:solidFill>
                            <a:srgbClr val="00A8A5"/>
                          </a:solidFill>
                          <a:miter lim="800000"/>
                          <a:headEnd/>
                          <a:tailEnd/>
                        </a:ln>
                      </wps:spPr>
                      <wps:txbx>
                        <w:txbxContent>
                          <w:p w:rsidR="00803ED6" w:rsidRDefault="00370A15" w:rsidP="00803ED6">
                            <w:pPr>
                              <w:widowControl w:val="0"/>
                              <w:rPr>
                                <w:rFonts w:cs="Arial"/>
                                <w:b/>
                                <w:color w:val="FFFFFF" w:themeColor="background1"/>
                                <w:sz w:val="22"/>
                                <w:szCs w:val="22"/>
                              </w:rPr>
                            </w:pPr>
                            <w:r w:rsidRPr="00067E99">
                              <w:rPr>
                                <w:rFonts w:cs="Arial"/>
                                <w:b/>
                                <w:color w:val="FFFFFF" w:themeColor="background1"/>
                                <w:sz w:val="22"/>
                                <w:szCs w:val="22"/>
                              </w:rPr>
                              <w:t>Several regions were able to create web pages and social media posts in multiple languages to increase access and equity.</w:t>
                            </w: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Pr="00067E99" w:rsidRDefault="00067E99" w:rsidP="00803ED6">
                            <w:pPr>
                              <w:widowControl w:val="0"/>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78.3pt;margin-top:229.9pt;width:261.4pt;height:63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" fillcolor="#00a8a5" strokecolor="#00a8a5">
                <v:textbox>
                  <w:txbxContent>
                    <w:p w:rsidR="00803ED6" w:rsidRDefault="00370A15" w:rsidP="00803ED6">
                      <w:pPr>
                        <w:widowControl w:val="0"/>
                        <w:rPr>
                          <w:rFonts w:cs="Arial"/>
                          <w:b/>
                          <w:color w:val="FFFFFF" w:themeColor="background1"/>
                          <w:sz w:val="22"/>
                          <w:szCs w:val="22"/>
                        </w:rPr>
                      </w:pPr>
                      <w:r w:rsidRPr="00067E99">
                        <w:rPr>
                          <w:rFonts w:cs="Arial"/>
                          <w:b/>
                          <w:color w:val="FFFFFF" w:themeColor="background1"/>
                          <w:sz w:val="22"/>
                          <w:szCs w:val="22"/>
                        </w:rPr>
                        <w:t>Several regions were able to create web pages and social media posts in multiple languages to increase access and equity.</w:t>
                      </w: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Default="00067E99" w:rsidP="00803ED6">
                      <w:pPr>
                        <w:widowControl w:val="0"/>
                        <w:rPr>
                          <w:rFonts w:cs="Arial"/>
                          <w:b/>
                          <w:color w:val="FFFFFF" w:themeColor="background1"/>
                          <w:sz w:val="22"/>
                          <w:szCs w:val="22"/>
                        </w:rPr>
                      </w:pPr>
                    </w:p>
                    <w:p w:rsidR="00067E99" w:rsidRPr="00067E99" w:rsidRDefault="00067E99" w:rsidP="00803ED6">
                      <w:pPr>
                        <w:widowControl w:val="0"/>
                        <w:rPr>
                          <w:b/>
                          <w:color w:val="FFFFFF" w:themeColor="background1"/>
                        </w:rPr>
                      </w:pPr>
                    </w:p>
                  </w:txbxContent>
                </v:textbox>
              </v:shape>
            </w:pict>
          </mc:Fallback>
        </mc:AlternateContent>
      </w:r>
      <w:r w:rsidRPr="00370A15">
        <w:rPr>
          <w:rStyle w:val="jsgrdq"/>
          <w:b/>
          <w:noProof/>
          <w:color w:val="00A8A5"/>
          <w:sz w:val="32"/>
          <w:szCs w:val="32"/>
        </w:rPr>
        <mc:AlternateContent>
          <mc:Choice Requires="wps">
            <w:drawing>
              <wp:anchor distT="45720" distB="45720" distL="114300" distR="114300" simplePos="0" relativeHeight="251706368" behindDoc="1" locked="0" layoutInCell="1" allowOverlap="1">
                <wp:simplePos x="0" y="0"/>
                <wp:positionH relativeFrom="column">
                  <wp:posOffset>2146</wp:posOffset>
                </wp:positionH>
                <wp:positionV relativeFrom="paragraph">
                  <wp:posOffset>2687910</wp:posOffset>
                </wp:positionV>
                <wp:extent cx="3307715" cy="1031920"/>
                <wp:effectExtent l="19050" t="19050" r="26035" b="158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031920"/>
                        </a:xfrm>
                        <a:prstGeom prst="rect">
                          <a:avLst/>
                        </a:prstGeom>
                        <a:solidFill>
                          <a:srgbClr val="FFFFFF"/>
                        </a:solidFill>
                        <a:ln w="28575">
                          <a:solidFill>
                            <a:srgbClr val="00A8A5"/>
                          </a:solidFill>
                          <a:miter lim="800000"/>
                          <a:headEnd/>
                          <a:tailEnd/>
                        </a:ln>
                      </wps:spPr>
                      <wps:txbx>
                        <w:txbxContent>
                          <w:p w:rsidR="00246AAD" w:rsidRPr="00246AAD" w:rsidRDefault="00246AAD" w:rsidP="00246AAD">
                            <w:pPr>
                              <w:rPr>
                                <w:b/>
                                <w:color w:val="00A8A5"/>
                                <w:sz w:val="22"/>
                                <w:szCs w:val="22"/>
                              </w:rPr>
                            </w:pPr>
                            <w:r w:rsidRPr="00246AAD">
                              <w:rPr>
                                <w:b/>
                                <w:color w:val="00A8A5"/>
                                <w:sz w:val="22"/>
                                <w:szCs w:val="22"/>
                              </w:rPr>
                              <w:t xml:space="preserve">Business and Industry partners offered a wide variety of in-person experiences—on and off campus—to meet students where they are, increase their skills, and bridge the gap of Career Distance Learning (CDL). </w:t>
                            </w:r>
                          </w:p>
                          <w:p w:rsidR="00803ED6" w:rsidRPr="00246AAD" w:rsidRDefault="00803ED6" w:rsidP="00803ED6">
                            <w:pPr>
                              <w:widowControl w:val="0"/>
                              <w:rPr>
                                <w:b/>
                                <w:color w:val="00A8A5"/>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5pt;margin-top:211.65pt;width:260.45pt;height:81.2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" strokecolor="#00a8a5" strokeweight="2.25pt">
                <v:textbox>
                  <w:txbxContent>
                    <w:p w:rsidR="00246AAD" w:rsidRPr="00246AAD" w:rsidRDefault="00246AAD" w:rsidP="00246AAD">
                      <w:pPr>
                        <w:rPr>
                          <w:b/>
                          <w:color w:val="00A8A5"/>
                          <w:sz w:val="22"/>
                          <w:szCs w:val="22"/>
                        </w:rPr>
                      </w:pPr>
                      <w:r w:rsidRPr="00246AAD">
                        <w:rPr>
                          <w:b/>
                          <w:color w:val="00A8A5"/>
                          <w:sz w:val="22"/>
                          <w:szCs w:val="22"/>
                        </w:rPr>
                        <w:t xml:space="preserve">Business and Industry partners offered a wide variety of in-person experiences—on and off campus—to meet students where they are, increase their skills, and bridge the gap of Career Distance Learning (CDL). </w:t>
                      </w:r>
                    </w:p>
                    <w:p w:rsidR="00803ED6" w:rsidRPr="00246AAD" w:rsidRDefault="00803ED6" w:rsidP="00803ED6">
                      <w:pPr>
                        <w:widowControl w:val="0"/>
                        <w:rPr>
                          <w:b/>
                          <w:color w:val="00A8A5"/>
                          <w:sz w:val="22"/>
                          <w:szCs w:val="22"/>
                        </w:rPr>
                      </w:pPr>
                    </w:p>
                  </w:txbxContent>
                </v:textbox>
              </v:shape>
            </w:pict>
          </mc:Fallback>
        </mc:AlternateContent>
      </w:r>
    </w:p>
    <w:p w:rsidR="00566102" w:rsidRDefault="00566102" w:rsidP="00067E99">
      <w:pPr>
        <w:jc w:val="center"/>
        <w:rPr>
          <w:b/>
          <w:color w:val="00A8A5"/>
          <w:sz w:val="32"/>
          <w:szCs w:val="32"/>
        </w:rPr>
      </w:pPr>
    </w:p>
    <w:p w:rsidR="00067E99" w:rsidRDefault="00067E99" w:rsidP="00246AAD">
      <w:pPr>
        <w:spacing w:after="0"/>
        <w:jc w:val="center"/>
        <w:rPr>
          <w:b/>
          <w:color w:val="00A8A5"/>
          <w:sz w:val="32"/>
          <w:szCs w:val="32"/>
        </w:rPr>
      </w:pPr>
    </w:p>
    <w:p w:rsidR="00246AAD" w:rsidRPr="00067E99" w:rsidRDefault="00246AAD" w:rsidP="00246AAD">
      <w:pPr>
        <w:spacing w:before="240" w:after="0"/>
        <w:jc w:val="center"/>
        <w:rPr>
          <w:b/>
          <w:color w:val="00A8A5"/>
          <w:sz w:val="32"/>
          <w:szCs w:val="32"/>
        </w:rPr>
      </w:pPr>
      <w:r w:rsidRPr="00067E99">
        <w:rPr>
          <w:b/>
          <w:noProof/>
          <w:color w:val="00A8A5"/>
          <w:sz w:val="32"/>
          <w:szCs w:val="32"/>
        </w:rPr>
        <mc:AlternateContent>
          <mc:Choice Requires="wps">
            <w:drawing>
              <wp:anchor distT="45720" distB="45720" distL="114300" distR="114300" simplePos="0" relativeHeight="251714560" behindDoc="1" locked="0" layoutInCell="1" allowOverlap="1">
                <wp:simplePos x="0" y="0"/>
                <wp:positionH relativeFrom="column">
                  <wp:posOffset>-32769</wp:posOffset>
                </wp:positionH>
                <wp:positionV relativeFrom="paragraph">
                  <wp:posOffset>511675</wp:posOffset>
                </wp:positionV>
                <wp:extent cx="6837045" cy="1301750"/>
                <wp:effectExtent l="0" t="0" r="2095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301750"/>
                        </a:xfrm>
                        <a:prstGeom prst="rect">
                          <a:avLst/>
                        </a:prstGeom>
                        <a:solidFill>
                          <a:srgbClr val="00A8A5"/>
                        </a:solidFill>
                        <a:ln w="9525">
                          <a:solidFill>
                            <a:srgbClr val="00A8A5"/>
                          </a:solidFill>
                          <a:miter lim="800000"/>
                          <a:headEnd/>
                          <a:tailEnd/>
                        </a:ln>
                      </wps:spPr>
                      <wps:txbx>
                        <w:txbxContent>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 xml:space="preserve">Goal 1: </w:t>
                            </w:r>
                            <w:r w:rsidRPr="0015357A">
                              <w:rPr>
                                <w:i/>
                                <w:color w:val="FFFFFF" w:themeColor="background1"/>
                                <w:sz w:val="22"/>
                                <w:szCs w:val="22"/>
                              </w:rPr>
                              <w:t>Implementation of the MOA State Plan.</w:t>
                            </w:r>
                          </w:p>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 xml:space="preserve">Goal 2: </w:t>
                            </w:r>
                            <w:r w:rsidRPr="0015357A">
                              <w:rPr>
                                <w:i/>
                                <w:color w:val="FFFFFF" w:themeColor="background1"/>
                                <w:sz w:val="22"/>
                                <w:szCs w:val="22"/>
                              </w:rPr>
                              <w:t>Center on equity in rule making, budgeting, and resources allocation through a close examination of data and partner feedback to identify and interrupt patterns of inequity.</w:t>
                            </w:r>
                          </w:p>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Goal 3:</w:t>
                            </w:r>
                            <w:r w:rsidRPr="0015357A">
                              <w:rPr>
                                <w:i/>
                                <w:color w:val="FFFFFF" w:themeColor="background1"/>
                                <w:sz w:val="22"/>
                                <w:szCs w:val="22"/>
                              </w:rPr>
                              <w:t xml:space="preserve"> Pursue meaningful collaboration with communities and students to provide comprehensive outreach and communication for those who are impacted by decisions regarding CTE.</w:t>
                            </w:r>
                          </w:p>
                          <w:p w:rsidR="00067E99" w:rsidRPr="0015357A" w:rsidRDefault="00067E99">
                            <w:pPr>
                              <w:rPr>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6pt;margin-top:40.3pt;width:538.35pt;height:102.5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" fillcolor="#00a8a5" strokecolor="#00a8a5">
                <v:textbox>
                  <w:txbxContent>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 xml:space="preserve">Goal 1: </w:t>
                      </w:r>
                      <w:r w:rsidRPr="0015357A">
                        <w:rPr>
                          <w:i/>
                          <w:color w:val="FFFFFF" w:themeColor="background1"/>
                          <w:sz w:val="22"/>
                          <w:szCs w:val="22"/>
                        </w:rPr>
                        <w:t>Implementation of the MOA State Plan.</w:t>
                      </w:r>
                    </w:p>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 xml:space="preserve">Goal 2: </w:t>
                      </w:r>
                      <w:r w:rsidRPr="0015357A">
                        <w:rPr>
                          <w:i/>
                          <w:color w:val="FFFFFF" w:themeColor="background1"/>
                          <w:sz w:val="22"/>
                          <w:szCs w:val="22"/>
                        </w:rPr>
                        <w:t>Center on equity in rule making, budgeting, and resources allocation through a close examination of data and partner feedback to identify and interrupt patterns of inequity.</w:t>
                      </w:r>
                    </w:p>
                    <w:p w:rsidR="00067E99" w:rsidRPr="0015357A" w:rsidRDefault="00067E99" w:rsidP="0015357A">
                      <w:pPr>
                        <w:widowControl w:val="0"/>
                        <w:rPr>
                          <w:i/>
                          <w:color w:val="FFFFFF" w:themeColor="background1"/>
                          <w:sz w:val="22"/>
                          <w:szCs w:val="22"/>
                        </w:rPr>
                      </w:pPr>
                      <w:r w:rsidRPr="0015357A">
                        <w:rPr>
                          <w:b/>
                          <w:color w:val="FFFFFF" w:themeColor="background1"/>
                          <w:sz w:val="22"/>
                          <w:szCs w:val="22"/>
                        </w:rPr>
                        <w:t>Goal 3:</w:t>
                      </w:r>
                      <w:r w:rsidRPr="0015357A">
                        <w:rPr>
                          <w:i/>
                          <w:color w:val="FFFFFF" w:themeColor="background1"/>
                          <w:sz w:val="22"/>
                          <w:szCs w:val="22"/>
                        </w:rPr>
                        <w:t xml:space="preserve"> Pursue meaningful collaboration with communities and students to provide comprehensive outreach and communication for those who are impacted by decisions regarding CTE.</w:t>
                      </w:r>
                    </w:p>
                    <w:p w:rsidR="00067E99" w:rsidRPr="0015357A" w:rsidRDefault="00067E99">
                      <w:pPr>
                        <w:rPr>
                          <w:color w:val="FFFFFF" w:themeColor="background1"/>
                          <w:sz w:val="22"/>
                          <w:szCs w:val="22"/>
                        </w:rPr>
                      </w:pPr>
                    </w:p>
                  </w:txbxContent>
                </v:textbox>
              </v:shape>
            </w:pict>
          </mc:Fallback>
        </mc:AlternateContent>
      </w:r>
      <w:r>
        <w:rPr>
          <w:b/>
          <w:color w:val="00A8A5"/>
          <w:sz w:val="32"/>
          <w:szCs w:val="32"/>
        </w:rPr>
        <w:t>2022-2023 GOALS</w:t>
      </w:r>
    </w:p>
    <w:sectPr w:rsidR="00246AAD" w:rsidRPr="00067E99"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11" w:rsidRDefault="000F7211" w:rsidP="00370A15">
      <w:pPr>
        <w:spacing w:after="0"/>
      </w:pPr>
      <w:r>
        <w:separator/>
      </w:r>
    </w:p>
  </w:endnote>
  <w:endnote w:type="continuationSeparator" w:id="0">
    <w:p w:rsidR="000F7211" w:rsidRDefault="000F7211" w:rsidP="00370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8B" w:rsidRDefault="0080528B">
    <w:pPr>
      <w:pStyle w:val="Footer"/>
      <w:rPr>
        <w:rFonts w:ascii="Calibri" w:hAnsi="Calibri" w:cs="Calibri"/>
        <w:i/>
        <w:iCs/>
        <w:color w:val="A6A6A6" w:themeColor="background1" w:themeShade="A6"/>
        <w:sz w:val="10"/>
        <w:szCs w:val="10"/>
      </w:rPr>
    </w:pPr>
    <w:r>
      <w:rPr>
        <w:rFonts w:ascii="Calibri" w:hAnsi="Calibri" w:cs="Calibri"/>
        <w:i/>
        <w:iCs/>
        <w:color w:val="A6A6A6" w:themeColor="background1" w:themeShade="A6"/>
        <w:sz w:val="10"/>
        <w:szCs w:val="10"/>
      </w:rPr>
      <w:t>*</w:t>
    </w:r>
    <w:r w:rsidRPr="00F67FF8">
      <w:rPr>
        <w:rFonts w:ascii="Calibri" w:hAnsi="Calibri" w:cs="Calibri"/>
        <w:i/>
        <w:iCs/>
        <w:color w:val="A6A6A6" w:themeColor="background1" w:themeShade="A6"/>
        <w:sz w:val="10"/>
        <w:szCs w:val="10"/>
      </w:rPr>
      <w:t xml:space="preserve">Student focal groups include: Students experiencing poverty, Students of color (Asian, Black/African American, American Indian/Alaska Native, Native Hawaiian/Pacific Islander, </w:t>
    </w:r>
    <w:r>
      <w:rPr>
        <w:rFonts w:ascii="Calibri" w:hAnsi="Calibri" w:cs="Calibri"/>
        <w:i/>
        <w:iCs/>
        <w:color w:val="A6A6A6" w:themeColor="background1" w:themeShade="A6"/>
        <w:sz w:val="10"/>
        <w:szCs w:val="10"/>
      </w:rPr>
      <w:tab/>
      <w:t xml:space="preserve">                                                          </w:t>
    </w:r>
    <w:r w:rsidRPr="0080528B">
      <w:rPr>
        <w:color w:val="A6A6A6" w:themeColor="background1" w:themeShade="A6"/>
        <w:sz w:val="16"/>
        <w:szCs w:val="16"/>
      </w:rPr>
      <w:t>Oregon Department of Education</w:t>
    </w:r>
  </w:p>
  <w:p w:rsidR="0080528B" w:rsidRDefault="0080528B">
    <w:pPr>
      <w:pStyle w:val="Footer"/>
      <w:rPr>
        <w:rFonts w:ascii="Calibri" w:hAnsi="Calibri" w:cs="Calibri"/>
        <w:i/>
        <w:iCs/>
        <w:color w:val="A6A6A6" w:themeColor="background1" w:themeShade="A6"/>
        <w:sz w:val="10"/>
        <w:szCs w:val="10"/>
      </w:rPr>
    </w:pPr>
    <w:r w:rsidRPr="00F67FF8">
      <w:rPr>
        <w:rFonts w:ascii="Calibri" w:hAnsi="Calibri" w:cs="Calibri"/>
        <w:i/>
        <w:iCs/>
        <w:color w:val="A6A6A6" w:themeColor="background1" w:themeShade="A6"/>
        <w:sz w:val="10"/>
        <w:szCs w:val="10"/>
      </w:rPr>
      <w:t>Hispanic/Latino/a/x, Multiracial), Students with disabilities, Studen</w:t>
    </w:r>
    <w:r>
      <w:rPr>
        <w:rFonts w:ascii="Calibri" w:hAnsi="Calibri" w:cs="Calibri"/>
        <w:i/>
        <w:iCs/>
        <w:color w:val="A6A6A6" w:themeColor="background1" w:themeShade="A6"/>
        <w:sz w:val="10"/>
        <w:szCs w:val="10"/>
      </w:rPr>
      <w:t xml:space="preserve">ts who are emergent bilinguals, </w:t>
    </w:r>
    <w:r w:rsidRPr="00F67FF8">
      <w:rPr>
        <w:rFonts w:ascii="Calibri" w:hAnsi="Calibri" w:cs="Calibri"/>
        <w:i/>
        <w:iCs/>
        <w:color w:val="A6A6A6" w:themeColor="background1" w:themeShade="A6"/>
        <w:sz w:val="10"/>
        <w:szCs w:val="10"/>
      </w:rPr>
      <w:t>Students experiencing homelessness, Students experiencing foster care,</w:t>
    </w:r>
  </w:p>
  <w:p w:rsidR="0080528B" w:rsidRDefault="0080528B">
    <w:pPr>
      <w:pStyle w:val="Footer"/>
      <w:rPr>
        <w:rFonts w:ascii="Calibri" w:hAnsi="Calibri" w:cs="Calibri"/>
        <w:i/>
        <w:iCs/>
        <w:color w:val="A6A6A6" w:themeColor="background1" w:themeShade="A6"/>
        <w:sz w:val="10"/>
        <w:szCs w:val="10"/>
      </w:rPr>
    </w:pPr>
    <w:r w:rsidRPr="00F67FF8">
      <w:rPr>
        <w:rFonts w:ascii="Calibri" w:hAnsi="Calibri" w:cs="Calibri"/>
        <w:i/>
        <w:iCs/>
        <w:color w:val="A6A6A6" w:themeColor="background1" w:themeShade="A6"/>
        <w:sz w:val="10"/>
        <w:szCs w:val="10"/>
      </w:rPr>
      <w:t xml:space="preserve"> LGBTQ2SIA+ students, Students recently arri</w:t>
    </w:r>
    <w:r>
      <w:rPr>
        <w:rFonts w:ascii="Calibri" w:hAnsi="Calibri" w:cs="Calibri"/>
        <w:i/>
        <w:iCs/>
        <w:color w:val="A6A6A6" w:themeColor="background1" w:themeShade="A6"/>
        <w:sz w:val="10"/>
        <w:szCs w:val="10"/>
      </w:rPr>
      <w:t xml:space="preserve">ved, Migrant students, Students </w:t>
    </w:r>
    <w:r w:rsidRPr="00F67FF8">
      <w:rPr>
        <w:rFonts w:ascii="Calibri" w:hAnsi="Calibri" w:cs="Calibri"/>
        <w:i/>
        <w:iCs/>
        <w:color w:val="A6A6A6" w:themeColor="background1" w:themeShade="A6"/>
        <w:sz w:val="10"/>
        <w:szCs w:val="10"/>
      </w:rPr>
      <w:t>with experience of incarceration or detention. These categories also include the federal Perkins</w:t>
    </w:r>
  </w:p>
  <w:p w:rsidR="00067E99" w:rsidRPr="00067E99" w:rsidRDefault="0080528B">
    <w:pPr>
      <w:pStyle w:val="Footer"/>
      <w:rPr>
        <w:color w:val="A6A6A6" w:themeColor="background1" w:themeShade="A6"/>
        <w:sz w:val="16"/>
        <w:szCs w:val="16"/>
      </w:rPr>
    </w:pPr>
    <w:r>
      <w:rPr>
        <w:rFonts w:ascii="Calibri" w:hAnsi="Calibri" w:cs="Calibri"/>
        <w:i/>
        <w:iCs/>
        <w:color w:val="A6A6A6" w:themeColor="background1" w:themeShade="A6"/>
        <w:sz w:val="10"/>
        <w:szCs w:val="10"/>
      </w:rPr>
      <w:t xml:space="preserve"> </w:t>
    </w:r>
    <w:r w:rsidRPr="00F67FF8">
      <w:rPr>
        <w:rFonts w:ascii="Calibri" w:hAnsi="Calibri" w:cs="Calibri"/>
        <w:i/>
        <w:iCs/>
        <w:color w:val="A6A6A6" w:themeColor="background1" w:themeShade="A6"/>
        <w:sz w:val="10"/>
        <w:szCs w:val="10"/>
      </w:rPr>
      <w:t>definition of “Special Populations.”</w:t>
    </w:r>
    <w:r>
      <w:rPr>
        <w:rFonts w:ascii="Calibri" w:hAnsi="Calibri" w:cs="Calibri"/>
        <w:i/>
        <w:iCs/>
        <w:color w:val="A6A6A6" w:themeColor="background1" w:themeShade="A6"/>
        <w:sz w:val="10"/>
        <w:szCs w:val="10"/>
      </w:rPr>
      <w:t xml:space="preserve">   </w:t>
    </w:r>
    <w:r w:rsidRPr="0080528B">
      <w:rPr>
        <w:color w:val="A6A6A6" w:themeColor="background1" w:themeShade="A6"/>
        <w:sz w:val="16"/>
        <w:szCs w:val="16"/>
      </w:rPr>
      <w:ptab w:relativeTo="margin" w:alignment="center" w:leader="none"/>
    </w:r>
    <w:r w:rsidRPr="0080528B">
      <w:rPr>
        <w:color w:val="A6A6A6" w:themeColor="background1" w:themeShade="A6"/>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11" w:rsidRDefault="000F7211" w:rsidP="00370A15">
      <w:pPr>
        <w:spacing w:after="0"/>
      </w:pPr>
      <w:r>
        <w:separator/>
      </w:r>
    </w:p>
  </w:footnote>
  <w:footnote w:type="continuationSeparator" w:id="0">
    <w:p w:rsidR="000F7211" w:rsidRDefault="000F7211" w:rsidP="00370A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B62B2"/>
    <w:multiLevelType w:val="hybridMultilevel"/>
    <w:tmpl w:val="FF0A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E02D9"/>
    <w:multiLevelType w:val="hybridMultilevel"/>
    <w:tmpl w:val="F216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57FD8"/>
    <w:rsid w:val="00067E99"/>
    <w:rsid w:val="0009345E"/>
    <w:rsid w:val="000A5756"/>
    <w:rsid w:val="000C14A2"/>
    <w:rsid w:val="000D36B7"/>
    <w:rsid w:val="000E7BC7"/>
    <w:rsid w:val="000F7211"/>
    <w:rsid w:val="0015357A"/>
    <w:rsid w:val="00187FD9"/>
    <w:rsid w:val="0022037B"/>
    <w:rsid w:val="00223DAF"/>
    <w:rsid w:val="00246AAD"/>
    <w:rsid w:val="00295954"/>
    <w:rsid w:val="002D37BB"/>
    <w:rsid w:val="00300E2F"/>
    <w:rsid w:val="003367CC"/>
    <w:rsid w:val="00346621"/>
    <w:rsid w:val="00370A15"/>
    <w:rsid w:val="0038567A"/>
    <w:rsid w:val="003A5E26"/>
    <w:rsid w:val="003C731B"/>
    <w:rsid w:val="003E5AD4"/>
    <w:rsid w:val="003F6983"/>
    <w:rsid w:val="004024D8"/>
    <w:rsid w:val="004159AA"/>
    <w:rsid w:val="004447F4"/>
    <w:rsid w:val="00465BAE"/>
    <w:rsid w:val="004B38C1"/>
    <w:rsid w:val="004B7C1C"/>
    <w:rsid w:val="005110C4"/>
    <w:rsid w:val="00532D27"/>
    <w:rsid w:val="00547BF2"/>
    <w:rsid w:val="00566102"/>
    <w:rsid w:val="005F1295"/>
    <w:rsid w:val="00617A1A"/>
    <w:rsid w:val="00671A2E"/>
    <w:rsid w:val="00712E0C"/>
    <w:rsid w:val="00785F07"/>
    <w:rsid w:val="007B1506"/>
    <w:rsid w:val="00803ED6"/>
    <w:rsid w:val="0080528B"/>
    <w:rsid w:val="009B20BF"/>
    <w:rsid w:val="00A00D35"/>
    <w:rsid w:val="00A1287D"/>
    <w:rsid w:val="00A149EF"/>
    <w:rsid w:val="00A33CC3"/>
    <w:rsid w:val="00AB351A"/>
    <w:rsid w:val="00AD1307"/>
    <w:rsid w:val="00B00F77"/>
    <w:rsid w:val="00B01343"/>
    <w:rsid w:val="00B04F92"/>
    <w:rsid w:val="00B35935"/>
    <w:rsid w:val="00B3764B"/>
    <w:rsid w:val="00B556B7"/>
    <w:rsid w:val="00B56B6A"/>
    <w:rsid w:val="00BA7544"/>
    <w:rsid w:val="00C10699"/>
    <w:rsid w:val="00C26B6D"/>
    <w:rsid w:val="00CB1057"/>
    <w:rsid w:val="00CB56F4"/>
    <w:rsid w:val="00CD776F"/>
    <w:rsid w:val="00CD78C0"/>
    <w:rsid w:val="00D93014"/>
    <w:rsid w:val="00DD212E"/>
    <w:rsid w:val="00E06DD2"/>
    <w:rsid w:val="00E13D62"/>
    <w:rsid w:val="00E70EDF"/>
    <w:rsid w:val="00E73AC0"/>
    <w:rsid w:val="00E90494"/>
    <w:rsid w:val="00F15D58"/>
    <w:rsid w:val="00F27DCD"/>
    <w:rsid w:val="00FD0BDE"/>
    <w:rsid w:val="00FD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28FC"/>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FootnoteText">
    <w:name w:val="footnote text"/>
    <w:basedOn w:val="Normal"/>
    <w:link w:val="FootnoteTextChar"/>
    <w:uiPriority w:val="99"/>
    <w:semiHidden/>
    <w:unhideWhenUsed/>
    <w:rsid w:val="00370A15"/>
    <w:pPr>
      <w:spacing w:after="0"/>
    </w:pPr>
    <w:rPr>
      <w:sz w:val="20"/>
      <w:szCs w:val="20"/>
    </w:rPr>
  </w:style>
  <w:style w:type="character" w:customStyle="1" w:styleId="FootnoteTextChar">
    <w:name w:val="Footnote Text Char"/>
    <w:basedOn w:val="DefaultParagraphFont"/>
    <w:link w:val="FootnoteText"/>
    <w:uiPriority w:val="99"/>
    <w:semiHidden/>
    <w:rsid w:val="00370A15"/>
    <w:rPr>
      <w:sz w:val="20"/>
      <w:szCs w:val="20"/>
    </w:rPr>
  </w:style>
  <w:style w:type="character" w:styleId="FootnoteReference">
    <w:name w:val="footnote reference"/>
    <w:basedOn w:val="DefaultParagraphFont"/>
    <w:uiPriority w:val="99"/>
    <w:semiHidden/>
    <w:unhideWhenUsed/>
    <w:rsid w:val="00370A15"/>
    <w:rPr>
      <w:vertAlign w:val="superscript"/>
    </w:rPr>
  </w:style>
  <w:style w:type="paragraph" w:styleId="Header">
    <w:name w:val="header"/>
    <w:basedOn w:val="Normal"/>
    <w:link w:val="HeaderChar"/>
    <w:uiPriority w:val="99"/>
    <w:unhideWhenUsed/>
    <w:rsid w:val="00067E99"/>
    <w:pPr>
      <w:tabs>
        <w:tab w:val="center" w:pos="4680"/>
        <w:tab w:val="right" w:pos="9360"/>
      </w:tabs>
      <w:spacing w:after="0"/>
    </w:pPr>
  </w:style>
  <w:style w:type="character" w:customStyle="1" w:styleId="HeaderChar">
    <w:name w:val="Header Char"/>
    <w:basedOn w:val="DefaultParagraphFont"/>
    <w:link w:val="Header"/>
    <w:uiPriority w:val="99"/>
    <w:rsid w:val="00067E99"/>
  </w:style>
  <w:style w:type="paragraph" w:styleId="Footer">
    <w:name w:val="footer"/>
    <w:basedOn w:val="Normal"/>
    <w:link w:val="FooterChar"/>
    <w:uiPriority w:val="99"/>
    <w:unhideWhenUsed/>
    <w:rsid w:val="00067E99"/>
    <w:pPr>
      <w:tabs>
        <w:tab w:val="center" w:pos="4680"/>
        <w:tab w:val="right" w:pos="9360"/>
      </w:tabs>
      <w:spacing w:after="0"/>
    </w:pPr>
  </w:style>
  <w:style w:type="character" w:customStyle="1" w:styleId="FooterChar">
    <w:name w:val="Footer Char"/>
    <w:basedOn w:val="DefaultParagraphFont"/>
    <w:link w:val="Footer"/>
    <w:uiPriority w:val="99"/>
    <w:rsid w:val="0006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 w:id="20901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6241B859-62D1-4743-9AAE-F8D8DCB7B31E}">
  <ds:schemaRefs>
    <ds:schemaRef ds:uri="http://schemas.openxmlformats.org/officeDocument/2006/bibliography"/>
  </ds:schemaRefs>
</ds:datastoreItem>
</file>

<file path=customXml/itemProps2.xml><?xml version="1.0" encoding="utf-8"?>
<ds:datastoreItem xmlns:ds="http://schemas.openxmlformats.org/officeDocument/2006/customXml" ds:itemID="{95B5EDDC-BFBF-4101-A1D4-9C3768A7331B}"/>
</file>

<file path=customXml/itemProps3.xml><?xml version="1.0" encoding="utf-8"?>
<ds:datastoreItem xmlns:ds="http://schemas.openxmlformats.org/officeDocument/2006/customXml" ds:itemID="{5A7F2DD0-E19C-483C-9BA1-60B439959E97}"/>
</file>

<file path=customXml/itemProps4.xml><?xml version="1.0" encoding="utf-8"?>
<ds:datastoreItem xmlns:ds="http://schemas.openxmlformats.org/officeDocument/2006/customXml" ds:itemID="{7EA6C681-AD7B-4FDE-B72A-F6AA02808321}"/>
</file>

<file path=docProps/app.xml><?xml version="1.0" encoding="utf-8"?>
<Properties xmlns="http://schemas.openxmlformats.org/officeDocument/2006/extended-properties" xmlns:vt="http://schemas.openxmlformats.org/officeDocument/2006/docPropsVTypes">
  <Template>Normal</Template>
  <TotalTime>53</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11</cp:revision>
  <dcterms:created xsi:type="dcterms:W3CDTF">2022-09-06T21:55:00Z</dcterms:created>
  <dcterms:modified xsi:type="dcterms:W3CDTF">2022-10-19T20:35:00Z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