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7C4E" w14:textId="5EB1C1B2" w:rsidR="00995F86" w:rsidRPr="00995F86" w:rsidRDefault="00995F86" w:rsidP="00995F86">
      <w:pPr>
        <w:pStyle w:val="Heading1"/>
        <w:rPr>
          <w:rFonts w:ascii="Calibri" w:hAnsi="Calibri" w:cs="Calibri"/>
          <w:color w:val="0F4761"/>
        </w:rPr>
      </w:pPr>
      <w:r w:rsidRPr="00995F86">
        <w:rPr>
          <w:rFonts w:ascii="Calibri" w:hAnsi="Calibri" w:cs="Calibri"/>
          <w:color w:val="0F4761"/>
        </w:rPr>
        <w:t>Hazard Assessment and Equipment Inventory</w:t>
      </w:r>
    </w:p>
    <w:p w14:paraId="193D4090" w14:textId="77777777" w:rsidR="00995F86" w:rsidRPr="00995F86" w:rsidRDefault="00995F86" w:rsidP="00E6395C">
      <w:pPr>
        <w:rPr>
          <w:rFonts w:ascii="Calibri" w:hAnsi="Calibri" w:cs="Calibri"/>
        </w:rPr>
      </w:pPr>
    </w:p>
    <w:p w14:paraId="6CB80694" w14:textId="3E568BC8" w:rsidR="00E6395C" w:rsidRPr="00995F86" w:rsidRDefault="00E6395C" w:rsidP="00995F86">
      <w:pPr>
        <w:spacing w:line="278" w:lineRule="auto"/>
        <w:rPr>
          <w:rFonts w:ascii="Calibri" w:hAnsi="Calibri" w:cs="Calibri"/>
        </w:rPr>
      </w:pPr>
      <w:r w:rsidRPr="00995F86">
        <w:rPr>
          <w:rFonts w:ascii="Calibri" w:hAnsi="Calibri" w:cs="Calibri"/>
        </w:rPr>
        <w:t>A thorough hazard assessment and detailed equipment inventory are critical first steps in establishing an effective safety system within Career Technical Education (CTE) programs. These processes enable the identification of potential risks and the prioritization of controls for the most hazardous equipment, ensuring a safe learning environment for students and staff.</w:t>
      </w:r>
    </w:p>
    <w:p w14:paraId="6AE14ED1" w14:textId="77777777" w:rsidR="00E6395C" w:rsidRPr="00995F86" w:rsidRDefault="00E6395C" w:rsidP="00995F86">
      <w:pPr>
        <w:spacing w:line="278" w:lineRule="auto"/>
        <w:rPr>
          <w:rFonts w:ascii="Calibri" w:hAnsi="Calibri" w:cs="Calibri"/>
        </w:rPr>
      </w:pPr>
      <w:r w:rsidRPr="00995F86">
        <w:rPr>
          <w:rFonts w:ascii="Calibri" w:hAnsi="Calibri" w:cs="Calibri"/>
        </w:rPr>
        <w:t>By systematically addressing hazards, schools can allocate safety resources efficiently, comply with regulatory standards, and foster a proactive safety culture. Even with limited budgets and time, strategic approaches can help achieve these goals without compromising safety.</w:t>
      </w:r>
    </w:p>
    <w:p w14:paraId="60999180" w14:textId="77777777" w:rsidR="00E6395C" w:rsidRPr="00995F86" w:rsidRDefault="00660078" w:rsidP="00E6395C">
      <w:pPr>
        <w:rPr>
          <w:rFonts w:ascii="Calibri" w:hAnsi="Calibri" w:cs="Calibri"/>
        </w:rPr>
      </w:pPr>
      <w:r>
        <w:rPr>
          <w:rFonts w:ascii="Calibri" w:hAnsi="Calibri" w:cs="Calibri"/>
        </w:rPr>
        <w:pict w14:anchorId="24DD540F">
          <v:rect id="_x0000_i1025" style="width:0;height:1.5pt" o:hralign="center" o:hrstd="t" o:hr="t" fillcolor="#a0a0a0" stroked="f"/>
        </w:pict>
      </w:r>
    </w:p>
    <w:p w14:paraId="7E6FB2CA" w14:textId="0BB0AB2E" w:rsidR="00E6395C" w:rsidRPr="00766814" w:rsidRDefault="00E6395C" w:rsidP="00766814">
      <w:pPr>
        <w:pStyle w:val="Heading2"/>
        <w:rPr>
          <w:rFonts w:ascii="Calibri" w:hAnsi="Calibri" w:cs="Calibri"/>
          <w:color w:val="0F4761"/>
        </w:rPr>
      </w:pPr>
      <w:r w:rsidRPr="00766814">
        <w:rPr>
          <w:rFonts w:ascii="Calibri" w:hAnsi="Calibri" w:cs="Calibri"/>
          <w:color w:val="0F4761"/>
        </w:rPr>
        <w:t>H</w:t>
      </w:r>
      <w:r w:rsidR="00766814" w:rsidRPr="00766814">
        <w:rPr>
          <w:rFonts w:ascii="Calibri" w:hAnsi="Calibri" w:cs="Calibri"/>
          <w:color w:val="0F4761"/>
        </w:rPr>
        <w:t>azard</w:t>
      </w:r>
      <w:r w:rsidRPr="00766814">
        <w:rPr>
          <w:rFonts w:ascii="Calibri" w:hAnsi="Calibri" w:cs="Calibri"/>
          <w:color w:val="0F4761"/>
        </w:rPr>
        <w:t xml:space="preserve"> A</w:t>
      </w:r>
      <w:r w:rsidR="00766814" w:rsidRPr="00766814">
        <w:rPr>
          <w:rFonts w:ascii="Calibri" w:hAnsi="Calibri" w:cs="Calibri"/>
          <w:color w:val="0F4761"/>
        </w:rPr>
        <w:t>ssessment</w:t>
      </w:r>
      <w:r w:rsidRPr="00766814">
        <w:rPr>
          <w:rFonts w:ascii="Calibri" w:hAnsi="Calibri" w:cs="Calibri"/>
          <w:color w:val="0F4761"/>
        </w:rPr>
        <w:t xml:space="preserve"> </w:t>
      </w:r>
      <w:r w:rsidR="00766814" w:rsidRPr="00766814">
        <w:rPr>
          <w:rFonts w:ascii="Calibri" w:hAnsi="Calibri" w:cs="Calibri"/>
          <w:color w:val="0F4761"/>
        </w:rPr>
        <w:t>in</w:t>
      </w:r>
      <w:r w:rsidRPr="00766814">
        <w:rPr>
          <w:rFonts w:ascii="Calibri" w:hAnsi="Calibri" w:cs="Calibri"/>
          <w:color w:val="0F4761"/>
        </w:rPr>
        <w:t xml:space="preserve"> S</w:t>
      </w:r>
      <w:r w:rsidR="00766814" w:rsidRPr="00766814">
        <w:rPr>
          <w:rFonts w:ascii="Calibri" w:hAnsi="Calibri" w:cs="Calibri"/>
          <w:color w:val="0F4761"/>
        </w:rPr>
        <w:t>afety</w:t>
      </w:r>
      <w:r w:rsidRPr="00766814">
        <w:rPr>
          <w:rFonts w:ascii="Calibri" w:hAnsi="Calibri" w:cs="Calibri"/>
          <w:color w:val="0F4761"/>
        </w:rPr>
        <w:t xml:space="preserve"> S</w:t>
      </w:r>
      <w:r w:rsidR="00766814" w:rsidRPr="00766814">
        <w:rPr>
          <w:rFonts w:ascii="Calibri" w:hAnsi="Calibri" w:cs="Calibri"/>
          <w:color w:val="0F4761"/>
        </w:rPr>
        <w:t>ystem</w:t>
      </w:r>
      <w:r w:rsidRPr="00766814">
        <w:rPr>
          <w:rFonts w:ascii="Calibri" w:hAnsi="Calibri" w:cs="Calibri"/>
          <w:color w:val="0F4761"/>
        </w:rPr>
        <w:t xml:space="preserve"> I</w:t>
      </w:r>
      <w:r w:rsidR="00766814" w:rsidRPr="00766814">
        <w:rPr>
          <w:rFonts w:ascii="Calibri" w:hAnsi="Calibri" w:cs="Calibri"/>
          <w:color w:val="0F4761"/>
        </w:rPr>
        <w:t>mplementation</w:t>
      </w:r>
    </w:p>
    <w:p w14:paraId="1E2AE0AD" w14:textId="77777777" w:rsidR="00E6395C" w:rsidRPr="00995F86" w:rsidRDefault="00E6395C" w:rsidP="00995F86">
      <w:pPr>
        <w:spacing w:line="278" w:lineRule="auto"/>
        <w:rPr>
          <w:rFonts w:ascii="Calibri" w:hAnsi="Calibri" w:cs="Calibri"/>
        </w:rPr>
      </w:pPr>
      <w:r w:rsidRPr="00995F86">
        <w:rPr>
          <w:rFonts w:ascii="Calibri" w:hAnsi="Calibri" w:cs="Calibri"/>
        </w:rPr>
        <w:t>A comprehensive hazard assessment is essential for designing and implementing an effective safety system in CTE programs. This critical step provides the data needed to identify, prioritize, and address risks specific to the unique environments and activities of each program.</w:t>
      </w:r>
    </w:p>
    <w:p w14:paraId="6DFA18E6" w14:textId="77777777" w:rsidR="00E6395C" w:rsidRPr="00995F86" w:rsidRDefault="00E6395C" w:rsidP="00E6395C">
      <w:pPr>
        <w:rPr>
          <w:rFonts w:ascii="Calibri" w:hAnsi="Calibri" w:cs="Calibri"/>
          <w:b/>
          <w:bCs/>
        </w:rPr>
      </w:pPr>
      <w:r w:rsidRPr="00995F86">
        <w:rPr>
          <w:rFonts w:ascii="Calibri" w:hAnsi="Calibri" w:cs="Calibri"/>
          <w:b/>
          <w:bCs/>
        </w:rPr>
        <w:t>Understanding the Environment</w:t>
      </w:r>
    </w:p>
    <w:p w14:paraId="2E9A1768" w14:textId="77777777" w:rsidR="00E6395C" w:rsidRPr="00995F86" w:rsidRDefault="00E6395C" w:rsidP="00E6395C">
      <w:pPr>
        <w:numPr>
          <w:ilvl w:val="0"/>
          <w:numId w:val="1"/>
        </w:numPr>
        <w:rPr>
          <w:rFonts w:ascii="Calibri" w:hAnsi="Calibri" w:cs="Calibri"/>
        </w:rPr>
      </w:pPr>
      <w:r w:rsidRPr="00995F86">
        <w:rPr>
          <w:rFonts w:ascii="Calibri" w:hAnsi="Calibri" w:cs="Calibri"/>
          <w:b/>
          <w:bCs/>
        </w:rPr>
        <w:t>Identify Specific Hazards</w:t>
      </w:r>
      <w:r w:rsidRPr="00995F86">
        <w:rPr>
          <w:rFonts w:ascii="Calibri" w:hAnsi="Calibri" w:cs="Calibri"/>
        </w:rPr>
        <w:br/>
        <w:t>Every CTE program involves unique tools, materials, and processes. A hazard assessment uncovers risks inherent to the environment, ensuring all potential dangers are accounted for.</w:t>
      </w:r>
    </w:p>
    <w:p w14:paraId="6880C154" w14:textId="77777777" w:rsidR="00E6395C" w:rsidRPr="00995F86" w:rsidRDefault="00E6395C" w:rsidP="00E6395C">
      <w:pPr>
        <w:numPr>
          <w:ilvl w:val="0"/>
          <w:numId w:val="1"/>
        </w:numPr>
        <w:rPr>
          <w:rFonts w:ascii="Calibri" w:hAnsi="Calibri" w:cs="Calibri"/>
        </w:rPr>
      </w:pPr>
      <w:r w:rsidRPr="00995F86">
        <w:rPr>
          <w:rFonts w:ascii="Calibri" w:hAnsi="Calibri" w:cs="Calibri"/>
          <w:b/>
          <w:bCs/>
        </w:rPr>
        <w:t>Customized Risk Controls</w:t>
      </w:r>
      <w:r w:rsidRPr="00995F86">
        <w:rPr>
          <w:rFonts w:ascii="Calibri" w:hAnsi="Calibri" w:cs="Calibri"/>
        </w:rPr>
        <w:br/>
        <w:t>Effective safety measures depend on accurate hazard identification. Tailored controls prevent over-engineering (wasting resources) or under-engineering (leaving risks unmanaged), providing a balanced approach to safety.</w:t>
      </w:r>
    </w:p>
    <w:p w14:paraId="2E859779" w14:textId="77777777" w:rsidR="00E6395C" w:rsidRPr="00995F86" w:rsidRDefault="00660078" w:rsidP="00E6395C">
      <w:pPr>
        <w:rPr>
          <w:rFonts w:ascii="Calibri" w:hAnsi="Calibri" w:cs="Calibri"/>
        </w:rPr>
      </w:pPr>
      <w:r>
        <w:rPr>
          <w:rFonts w:ascii="Calibri" w:hAnsi="Calibri" w:cs="Calibri"/>
        </w:rPr>
        <w:pict w14:anchorId="59EE7A38">
          <v:rect id="_x0000_i1026" style="width:0;height:1.5pt" o:hralign="center" o:hrstd="t" o:hr="t" fillcolor="#a0a0a0" stroked="f"/>
        </w:pict>
      </w:r>
    </w:p>
    <w:p w14:paraId="5610BC45" w14:textId="77777777" w:rsidR="00E6395C" w:rsidRPr="00995F86" w:rsidRDefault="00E6395C" w:rsidP="00E6395C">
      <w:pPr>
        <w:rPr>
          <w:rFonts w:ascii="Calibri" w:hAnsi="Calibri" w:cs="Calibri"/>
          <w:b/>
          <w:bCs/>
        </w:rPr>
      </w:pPr>
      <w:r w:rsidRPr="00995F86">
        <w:rPr>
          <w:rFonts w:ascii="Calibri" w:hAnsi="Calibri" w:cs="Calibri"/>
          <w:b/>
          <w:bCs/>
        </w:rPr>
        <w:t>Why Hazard Assessment Must Come First</w:t>
      </w:r>
    </w:p>
    <w:p w14:paraId="5B138F90" w14:textId="77777777" w:rsidR="00E6395C" w:rsidRPr="00995F86" w:rsidRDefault="00E6395C" w:rsidP="00E6395C">
      <w:pPr>
        <w:numPr>
          <w:ilvl w:val="0"/>
          <w:numId w:val="2"/>
        </w:numPr>
        <w:rPr>
          <w:rFonts w:ascii="Calibri" w:hAnsi="Calibri" w:cs="Calibri"/>
        </w:rPr>
      </w:pPr>
      <w:r w:rsidRPr="00995F86">
        <w:rPr>
          <w:rFonts w:ascii="Calibri" w:hAnsi="Calibri" w:cs="Calibri"/>
          <w:b/>
          <w:bCs/>
        </w:rPr>
        <w:t>Informed Decision-Making</w:t>
      </w:r>
      <w:r w:rsidRPr="00995F86">
        <w:rPr>
          <w:rFonts w:ascii="Calibri" w:hAnsi="Calibri" w:cs="Calibri"/>
        </w:rPr>
        <w:br/>
        <w:t>A hazard assessment provides the insight needed to implement appropriate controls. For example, identifying high-risk machinery may require specific engineering controls like guards or emergency shut-off systems.</w:t>
      </w:r>
    </w:p>
    <w:p w14:paraId="187761C1" w14:textId="77777777" w:rsidR="00E6395C" w:rsidRPr="00995F86" w:rsidRDefault="00E6395C" w:rsidP="00E6395C">
      <w:pPr>
        <w:numPr>
          <w:ilvl w:val="0"/>
          <w:numId w:val="2"/>
        </w:numPr>
        <w:rPr>
          <w:rFonts w:ascii="Calibri" w:hAnsi="Calibri" w:cs="Calibri"/>
        </w:rPr>
      </w:pPr>
      <w:r w:rsidRPr="00995F86">
        <w:rPr>
          <w:rFonts w:ascii="Calibri" w:hAnsi="Calibri" w:cs="Calibri"/>
          <w:b/>
          <w:bCs/>
        </w:rPr>
        <w:t>Prioritization of Controls</w:t>
      </w:r>
      <w:r w:rsidRPr="00995F86">
        <w:rPr>
          <w:rFonts w:ascii="Calibri" w:hAnsi="Calibri" w:cs="Calibri"/>
        </w:rPr>
        <w:br/>
        <w:t>Not all risks are equal. A hazard assessment helps prioritize the most critical issues, ensuring resources are focused on addressing the most dangerous hazards first.</w:t>
      </w:r>
    </w:p>
    <w:p w14:paraId="36EDE5CE" w14:textId="77777777" w:rsidR="00E6395C" w:rsidRPr="00995F86" w:rsidRDefault="00E6395C" w:rsidP="00E6395C">
      <w:pPr>
        <w:numPr>
          <w:ilvl w:val="0"/>
          <w:numId w:val="2"/>
        </w:numPr>
        <w:rPr>
          <w:rFonts w:ascii="Calibri" w:hAnsi="Calibri" w:cs="Calibri"/>
        </w:rPr>
      </w:pPr>
      <w:r w:rsidRPr="00995F86">
        <w:rPr>
          <w:rFonts w:ascii="Calibri" w:hAnsi="Calibri" w:cs="Calibri"/>
          <w:b/>
          <w:bCs/>
        </w:rPr>
        <w:lastRenderedPageBreak/>
        <w:t>Compliance and Best Practices</w:t>
      </w:r>
      <w:r w:rsidRPr="00995F86">
        <w:rPr>
          <w:rFonts w:ascii="Calibri" w:hAnsi="Calibri" w:cs="Calibri"/>
        </w:rPr>
        <w:br/>
        <w:t>Regulatory agencies, such as OSHA, require hazard assessments. Conducting one ensures compliance and aligns with industry best practices, reducing the risk of penalties or substandard safety measures.</w:t>
      </w:r>
    </w:p>
    <w:p w14:paraId="5F95EE9E" w14:textId="77777777" w:rsidR="00E6395C" w:rsidRPr="00995F86" w:rsidRDefault="00660078" w:rsidP="00E6395C">
      <w:pPr>
        <w:rPr>
          <w:rFonts w:ascii="Calibri" w:hAnsi="Calibri" w:cs="Calibri"/>
        </w:rPr>
      </w:pPr>
      <w:r>
        <w:rPr>
          <w:rFonts w:ascii="Calibri" w:hAnsi="Calibri" w:cs="Calibri"/>
        </w:rPr>
        <w:pict w14:anchorId="2CD3AE15">
          <v:rect id="_x0000_i1027" style="width:0;height:1.5pt" o:hralign="center" o:hrstd="t" o:hr="t" fillcolor="#a0a0a0" stroked="f"/>
        </w:pict>
      </w:r>
    </w:p>
    <w:p w14:paraId="15F01AFD" w14:textId="77777777" w:rsidR="00E6395C" w:rsidRPr="00995F86" w:rsidRDefault="00E6395C" w:rsidP="00E6395C">
      <w:pPr>
        <w:rPr>
          <w:rFonts w:ascii="Calibri" w:hAnsi="Calibri" w:cs="Calibri"/>
          <w:b/>
          <w:bCs/>
        </w:rPr>
      </w:pPr>
      <w:r w:rsidRPr="00995F86">
        <w:rPr>
          <w:rFonts w:ascii="Calibri" w:hAnsi="Calibri" w:cs="Calibri"/>
          <w:b/>
          <w:bCs/>
        </w:rPr>
        <w:t>Overcoming Budget and Time Constraints</w:t>
      </w:r>
    </w:p>
    <w:p w14:paraId="37480B7E" w14:textId="77777777" w:rsidR="00E6395C" w:rsidRPr="00995F86" w:rsidRDefault="00E6395C" w:rsidP="00E6395C">
      <w:pPr>
        <w:rPr>
          <w:rFonts w:ascii="Calibri" w:hAnsi="Calibri" w:cs="Calibri"/>
        </w:rPr>
      </w:pPr>
      <w:r w:rsidRPr="00995F86">
        <w:rPr>
          <w:rFonts w:ascii="Calibri" w:hAnsi="Calibri" w:cs="Calibri"/>
        </w:rPr>
        <w:t>Even with limited resources, effective hazard assessment and safety system implementation are achievable with strategic planning and creativity.</w:t>
      </w:r>
    </w:p>
    <w:p w14:paraId="61EDA15C" w14:textId="77777777" w:rsidR="00E6395C" w:rsidRPr="00995F86" w:rsidRDefault="00E6395C" w:rsidP="00E6395C">
      <w:pPr>
        <w:numPr>
          <w:ilvl w:val="0"/>
          <w:numId w:val="3"/>
        </w:numPr>
        <w:rPr>
          <w:rFonts w:ascii="Calibri" w:hAnsi="Calibri" w:cs="Calibri"/>
        </w:rPr>
      </w:pPr>
      <w:r w:rsidRPr="00995F86">
        <w:rPr>
          <w:rFonts w:ascii="Calibri" w:hAnsi="Calibri" w:cs="Calibri"/>
          <w:b/>
          <w:bCs/>
        </w:rPr>
        <w:t>Leverage Existing Resources</w:t>
      </w:r>
    </w:p>
    <w:p w14:paraId="74543649" w14:textId="6E3F9671" w:rsidR="00E6395C" w:rsidRPr="00995F86" w:rsidRDefault="00E6395C" w:rsidP="00E6395C">
      <w:pPr>
        <w:numPr>
          <w:ilvl w:val="1"/>
          <w:numId w:val="3"/>
        </w:numPr>
        <w:rPr>
          <w:rFonts w:ascii="Calibri" w:hAnsi="Calibri" w:cs="Calibri"/>
        </w:rPr>
      </w:pPr>
      <w:r w:rsidRPr="00995F86">
        <w:rPr>
          <w:rFonts w:ascii="Calibri" w:hAnsi="Calibri" w:cs="Calibri"/>
          <w:b/>
          <w:bCs/>
        </w:rPr>
        <w:t>Use Free or Low-Cost Tools:</w:t>
      </w:r>
      <w:r w:rsidRPr="00995F86">
        <w:rPr>
          <w:rFonts w:ascii="Calibri" w:hAnsi="Calibri" w:cs="Calibri"/>
        </w:rPr>
        <w:t xml:space="preserve"> Many regulatory agencies, such as OSHA, provide free hazard assessment templates, checklists, and training resources.</w:t>
      </w:r>
      <w:r w:rsidR="3EBA5ED0" w:rsidRPr="00995F86">
        <w:rPr>
          <w:rFonts w:ascii="Calibri" w:hAnsi="Calibri" w:cs="Calibri"/>
        </w:rPr>
        <w:t xml:space="preserve"> </w:t>
      </w:r>
      <w:hyperlink r:id="rId7">
        <w:r w:rsidR="3EBA5ED0" w:rsidRPr="00995F86">
          <w:rPr>
            <w:rStyle w:val="Hyperlink"/>
            <w:rFonts w:ascii="Calibri" w:hAnsi="Calibri" w:cs="Calibri"/>
          </w:rPr>
          <w:t>NIOSH Safety Checklist for CTE Programs</w:t>
        </w:r>
      </w:hyperlink>
    </w:p>
    <w:p w14:paraId="5DB395FD" w14:textId="77777777" w:rsidR="00E6395C" w:rsidRPr="00995F86" w:rsidRDefault="00E6395C" w:rsidP="00E6395C">
      <w:pPr>
        <w:numPr>
          <w:ilvl w:val="1"/>
          <w:numId w:val="3"/>
        </w:numPr>
        <w:rPr>
          <w:rFonts w:ascii="Calibri" w:hAnsi="Calibri" w:cs="Calibri"/>
        </w:rPr>
      </w:pPr>
      <w:r w:rsidRPr="00995F86">
        <w:rPr>
          <w:rFonts w:ascii="Calibri" w:hAnsi="Calibri" w:cs="Calibri"/>
          <w:b/>
          <w:bCs/>
        </w:rPr>
        <w:t>Collaborate with Industry Partners:</w:t>
      </w:r>
      <w:r w:rsidRPr="00995F86">
        <w:rPr>
          <w:rFonts w:ascii="Calibri" w:hAnsi="Calibri" w:cs="Calibri"/>
        </w:rPr>
        <w:t xml:space="preserve"> Local businesses or trade associations may offer expertise, equipment, or training support in exchange for partnership opportunities or recognition.</w:t>
      </w:r>
    </w:p>
    <w:p w14:paraId="4D8DF455" w14:textId="77777777" w:rsidR="00E6395C" w:rsidRPr="00995F86" w:rsidRDefault="00E6395C" w:rsidP="00E6395C">
      <w:pPr>
        <w:numPr>
          <w:ilvl w:val="0"/>
          <w:numId w:val="3"/>
        </w:numPr>
        <w:rPr>
          <w:rFonts w:ascii="Calibri" w:hAnsi="Calibri" w:cs="Calibri"/>
        </w:rPr>
      </w:pPr>
      <w:r w:rsidRPr="00995F86">
        <w:rPr>
          <w:rFonts w:ascii="Calibri" w:hAnsi="Calibri" w:cs="Calibri"/>
          <w:b/>
          <w:bCs/>
        </w:rPr>
        <w:t>Engage Your Team</w:t>
      </w:r>
    </w:p>
    <w:p w14:paraId="59E35085" w14:textId="77777777" w:rsidR="00E6395C" w:rsidRPr="00995F86" w:rsidRDefault="00E6395C" w:rsidP="00E6395C">
      <w:pPr>
        <w:numPr>
          <w:ilvl w:val="1"/>
          <w:numId w:val="3"/>
        </w:numPr>
        <w:rPr>
          <w:rFonts w:ascii="Calibri" w:hAnsi="Calibri" w:cs="Calibri"/>
        </w:rPr>
      </w:pPr>
      <w:r w:rsidRPr="00995F86">
        <w:rPr>
          <w:rFonts w:ascii="Calibri" w:hAnsi="Calibri" w:cs="Calibri"/>
          <w:b/>
          <w:bCs/>
        </w:rPr>
        <w:t>Empower Staff and Students:</w:t>
      </w:r>
      <w:r w:rsidRPr="00995F86">
        <w:rPr>
          <w:rFonts w:ascii="Calibri" w:hAnsi="Calibri" w:cs="Calibri"/>
        </w:rPr>
        <w:t xml:space="preserve"> Teachers, students, and support staff often have valuable insights into potential hazards. Use collaborative workshops or group discussions to identify risks.</w:t>
      </w:r>
    </w:p>
    <w:p w14:paraId="0094F0E3" w14:textId="77777777" w:rsidR="00E6395C" w:rsidRPr="00995F86" w:rsidRDefault="00E6395C" w:rsidP="00E6395C">
      <w:pPr>
        <w:numPr>
          <w:ilvl w:val="1"/>
          <w:numId w:val="3"/>
        </w:numPr>
        <w:rPr>
          <w:rFonts w:ascii="Calibri" w:hAnsi="Calibri" w:cs="Calibri"/>
        </w:rPr>
      </w:pPr>
      <w:r w:rsidRPr="00995F86">
        <w:rPr>
          <w:rFonts w:ascii="Calibri" w:hAnsi="Calibri" w:cs="Calibri"/>
          <w:b/>
          <w:bCs/>
        </w:rPr>
        <w:t>Create a Safety Task Force:</w:t>
      </w:r>
      <w:r w:rsidRPr="00995F86">
        <w:rPr>
          <w:rFonts w:ascii="Calibri" w:hAnsi="Calibri" w:cs="Calibri"/>
        </w:rPr>
        <w:t xml:space="preserve"> Designate a small team of staff and students to conduct initial assessments and recommend priorities.</w:t>
      </w:r>
    </w:p>
    <w:p w14:paraId="6CE9DD86" w14:textId="77777777" w:rsidR="00E6395C" w:rsidRPr="00995F86" w:rsidRDefault="00E6395C" w:rsidP="00E6395C">
      <w:pPr>
        <w:numPr>
          <w:ilvl w:val="0"/>
          <w:numId w:val="3"/>
        </w:numPr>
        <w:rPr>
          <w:rFonts w:ascii="Calibri" w:hAnsi="Calibri" w:cs="Calibri"/>
        </w:rPr>
      </w:pPr>
      <w:r w:rsidRPr="00995F86">
        <w:rPr>
          <w:rFonts w:ascii="Calibri" w:hAnsi="Calibri" w:cs="Calibri"/>
          <w:b/>
          <w:bCs/>
        </w:rPr>
        <w:t>Focus on High-Impact Areas</w:t>
      </w:r>
    </w:p>
    <w:p w14:paraId="62E44C33" w14:textId="77777777" w:rsidR="00E6395C" w:rsidRPr="00995F86" w:rsidRDefault="00E6395C" w:rsidP="00E6395C">
      <w:pPr>
        <w:numPr>
          <w:ilvl w:val="1"/>
          <w:numId w:val="3"/>
        </w:numPr>
        <w:rPr>
          <w:rFonts w:ascii="Calibri" w:hAnsi="Calibri" w:cs="Calibri"/>
        </w:rPr>
      </w:pPr>
      <w:r w:rsidRPr="00995F86">
        <w:rPr>
          <w:rFonts w:ascii="Calibri" w:hAnsi="Calibri" w:cs="Calibri"/>
          <w:b/>
          <w:bCs/>
        </w:rPr>
        <w:t>Prioritize High-Risk Hazards:</w:t>
      </w:r>
      <w:r w:rsidRPr="00995F86">
        <w:rPr>
          <w:rFonts w:ascii="Calibri" w:hAnsi="Calibri" w:cs="Calibri"/>
        </w:rPr>
        <w:t xml:space="preserve"> Start with the most critical risks, such as unguarded machinery or hazardous chemicals. Addressing these issues first provides the greatest safety return on investment.</w:t>
      </w:r>
    </w:p>
    <w:p w14:paraId="6B4C22E8" w14:textId="77777777" w:rsidR="00E6395C" w:rsidRPr="00995F86" w:rsidRDefault="00E6395C" w:rsidP="00E6395C">
      <w:pPr>
        <w:numPr>
          <w:ilvl w:val="1"/>
          <w:numId w:val="3"/>
        </w:numPr>
        <w:rPr>
          <w:rFonts w:ascii="Calibri" w:hAnsi="Calibri" w:cs="Calibri"/>
        </w:rPr>
      </w:pPr>
      <w:r w:rsidRPr="00995F86">
        <w:rPr>
          <w:rFonts w:ascii="Calibri" w:hAnsi="Calibri" w:cs="Calibri"/>
          <w:b/>
          <w:bCs/>
        </w:rPr>
        <w:t>Implement Incremental Changes:</w:t>
      </w:r>
      <w:r w:rsidRPr="00995F86">
        <w:rPr>
          <w:rFonts w:ascii="Calibri" w:hAnsi="Calibri" w:cs="Calibri"/>
        </w:rPr>
        <w:t xml:space="preserve"> Break larger safety upgrades into smaller, manageable steps to spread costs over time.</w:t>
      </w:r>
    </w:p>
    <w:p w14:paraId="62E40B13" w14:textId="77777777" w:rsidR="00E6395C" w:rsidRPr="00995F86" w:rsidRDefault="00E6395C" w:rsidP="00E6395C">
      <w:pPr>
        <w:numPr>
          <w:ilvl w:val="0"/>
          <w:numId w:val="3"/>
        </w:numPr>
        <w:rPr>
          <w:rFonts w:ascii="Calibri" w:hAnsi="Calibri" w:cs="Calibri"/>
        </w:rPr>
      </w:pPr>
      <w:r w:rsidRPr="00995F86">
        <w:rPr>
          <w:rFonts w:ascii="Calibri" w:hAnsi="Calibri" w:cs="Calibri"/>
          <w:b/>
          <w:bCs/>
        </w:rPr>
        <w:t>Maximize Training Opportunities</w:t>
      </w:r>
    </w:p>
    <w:p w14:paraId="6189CE36" w14:textId="77777777" w:rsidR="00E6395C" w:rsidRPr="00995F86" w:rsidRDefault="00E6395C" w:rsidP="00E6395C">
      <w:pPr>
        <w:numPr>
          <w:ilvl w:val="1"/>
          <w:numId w:val="3"/>
        </w:numPr>
        <w:rPr>
          <w:rFonts w:ascii="Calibri" w:hAnsi="Calibri" w:cs="Calibri"/>
        </w:rPr>
      </w:pPr>
      <w:r w:rsidRPr="00995F86">
        <w:rPr>
          <w:rFonts w:ascii="Calibri" w:hAnsi="Calibri" w:cs="Calibri"/>
          <w:b/>
          <w:bCs/>
        </w:rPr>
        <w:t>Tap Into Online Resources:</w:t>
      </w:r>
      <w:r w:rsidRPr="00995F86">
        <w:rPr>
          <w:rFonts w:ascii="Calibri" w:hAnsi="Calibri" w:cs="Calibri"/>
        </w:rPr>
        <w:t xml:space="preserve"> Online courses and webinars often provide free or affordable training for teachers and students on safety protocols and hazard identification.</w:t>
      </w:r>
    </w:p>
    <w:p w14:paraId="7EB8E68C" w14:textId="77777777" w:rsidR="00E6395C" w:rsidRPr="00995F86" w:rsidRDefault="00E6395C" w:rsidP="00E6395C">
      <w:pPr>
        <w:numPr>
          <w:ilvl w:val="1"/>
          <w:numId w:val="3"/>
        </w:numPr>
        <w:rPr>
          <w:rFonts w:ascii="Calibri" w:hAnsi="Calibri" w:cs="Calibri"/>
        </w:rPr>
      </w:pPr>
      <w:r w:rsidRPr="00995F86">
        <w:rPr>
          <w:rFonts w:ascii="Calibri" w:hAnsi="Calibri" w:cs="Calibri"/>
          <w:b/>
          <w:bCs/>
        </w:rPr>
        <w:t>Peer Training:</w:t>
      </w:r>
      <w:r w:rsidRPr="00995F86">
        <w:rPr>
          <w:rFonts w:ascii="Calibri" w:hAnsi="Calibri" w:cs="Calibri"/>
        </w:rPr>
        <w:t xml:space="preserve"> Train a core group of staff or students who can then train others, multiplying the impact of a single session.</w:t>
      </w:r>
    </w:p>
    <w:p w14:paraId="16718F82" w14:textId="77777777" w:rsidR="00E6395C" w:rsidRPr="00995F86" w:rsidRDefault="00E6395C" w:rsidP="00E6395C">
      <w:pPr>
        <w:numPr>
          <w:ilvl w:val="0"/>
          <w:numId w:val="3"/>
        </w:numPr>
        <w:rPr>
          <w:rFonts w:ascii="Calibri" w:hAnsi="Calibri" w:cs="Calibri"/>
        </w:rPr>
      </w:pPr>
      <w:r w:rsidRPr="00995F86">
        <w:rPr>
          <w:rFonts w:ascii="Calibri" w:hAnsi="Calibri" w:cs="Calibri"/>
          <w:b/>
          <w:bCs/>
        </w:rPr>
        <w:lastRenderedPageBreak/>
        <w:t>Audit Regularly and Adjust</w:t>
      </w:r>
    </w:p>
    <w:p w14:paraId="1D9B3171" w14:textId="77777777" w:rsidR="00E6395C" w:rsidRPr="00995F86" w:rsidRDefault="00E6395C" w:rsidP="00E6395C">
      <w:pPr>
        <w:numPr>
          <w:ilvl w:val="1"/>
          <w:numId w:val="3"/>
        </w:numPr>
        <w:rPr>
          <w:rFonts w:ascii="Calibri" w:hAnsi="Calibri" w:cs="Calibri"/>
        </w:rPr>
      </w:pPr>
      <w:r w:rsidRPr="00995F86">
        <w:rPr>
          <w:rFonts w:ascii="Calibri" w:hAnsi="Calibri" w:cs="Calibri"/>
          <w:b/>
          <w:bCs/>
        </w:rPr>
        <w:t>Schedule Quick Reviews:</w:t>
      </w:r>
      <w:r w:rsidRPr="00995F86">
        <w:rPr>
          <w:rFonts w:ascii="Calibri" w:hAnsi="Calibri" w:cs="Calibri"/>
        </w:rPr>
        <w:t xml:space="preserve"> Periodic, informal walkthroughs can supplement formal hazard assessments, catching issues early without requiring significant time or resources.</w:t>
      </w:r>
    </w:p>
    <w:p w14:paraId="65C46CE7" w14:textId="77777777" w:rsidR="00E6395C" w:rsidRPr="00995F86" w:rsidRDefault="00E6395C" w:rsidP="00E6395C">
      <w:pPr>
        <w:numPr>
          <w:ilvl w:val="1"/>
          <w:numId w:val="3"/>
        </w:numPr>
        <w:rPr>
          <w:rFonts w:ascii="Calibri" w:hAnsi="Calibri" w:cs="Calibri"/>
        </w:rPr>
      </w:pPr>
      <w:r w:rsidRPr="00995F86">
        <w:rPr>
          <w:rFonts w:ascii="Calibri" w:hAnsi="Calibri" w:cs="Calibri"/>
          <w:b/>
          <w:bCs/>
        </w:rPr>
        <w:t>Document Progress:</w:t>
      </w:r>
      <w:r w:rsidRPr="00995F86">
        <w:rPr>
          <w:rFonts w:ascii="Calibri" w:hAnsi="Calibri" w:cs="Calibri"/>
        </w:rPr>
        <w:t xml:space="preserve"> Use simple logs to track completed improvements and outstanding risks, ensuring resources remain focused on priority areas.</w:t>
      </w:r>
    </w:p>
    <w:p w14:paraId="3B92C43E" w14:textId="77777777" w:rsidR="00E6395C" w:rsidRPr="00995F86" w:rsidRDefault="00660078" w:rsidP="00E6395C">
      <w:pPr>
        <w:rPr>
          <w:rFonts w:ascii="Calibri" w:hAnsi="Calibri" w:cs="Calibri"/>
        </w:rPr>
      </w:pPr>
      <w:r>
        <w:rPr>
          <w:rFonts w:ascii="Calibri" w:hAnsi="Calibri" w:cs="Calibri"/>
        </w:rPr>
        <w:pict w14:anchorId="4FCA1925">
          <v:rect id="_x0000_i1028" style="width:0;height:1.5pt" o:hralign="center" o:hrstd="t" o:hr="t" fillcolor="#a0a0a0" stroked="f"/>
        </w:pict>
      </w:r>
    </w:p>
    <w:p w14:paraId="46960D50" w14:textId="77777777" w:rsidR="00E6395C" w:rsidRPr="00766814" w:rsidRDefault="00E6395C" w:rsidP="00766814">
      <w:pPr>
        <w:pStyle w:val="Heading3"/>
        <w:rPr>
          <w:rFonts w:ascii="Calibri" w:eastAsia="Urbanist" w:hAnsi="Calibri" w:cs="Calibri"/>
          <w:color w:val="0F4761"/>
        </w:rPr>
      </w:pPr>
      <w:r w:rsidRPr="00766814">
        <w:rPr>
          <w:rFonts w:ascii="Calibri" w:eastAsia="Urbanist" w:hAnsi="Calibri" w:cs="Calibri"/>
          <w:color w:val="0F4761"/>
        </w:rPr>
        <w:t>Consequences of Skipping Hazard Assessment</w:t>
      </w:r>
    </w:p>
    <w:p w14:paraId="05899F57" w14:textId="77777777" w:rsidR="00E6395C" w:rsidRPr="00995F86" w:rsidRDefault="00E6395C" w:rsidP="00E6395C">
      <w:pPr>
        <w:numPr>
          <w:ilvl w:val="0"/>
          <w:numId w:val="6"/>
        </w:numPr>
        <w:rPr>
          <w:rFonts w:ascii="Calibri" w:hAnsi="Calibri" w:cs="Calibri"/>
        </w:rPr>
      </w:pPr>
      <w:r w:rsidRPr="00995F86">
        <w:rPr>
          <w:rFonts w:ascii="Calibri" w:hAnsi="Calibri" w:cs="Calibri"/>
          <w:b/>
          <w:bCs/>
        </w:rPr>
        <w:t>Inadequate Safety Measures</w:t>
      </w:r>
      <w:r w:rsidRPr="00995F86">
        <w:rPr>
          <w:rFonts w:ascii="Calibri" w:hAnsi="Calibri" w:cs="Calibri"/>
        </w:rPr>
        <w:br/>
        <w:t>Failure to identify hazards can result in insufficient controls, leaving students and staff exposed to preventable risks. For example, unrecognized chemical hazards might lead to a lack of proper ventilation or emergency protocols, increasing the likelihood of exposure-related incidents.</w:t>
      </w:r>
    </w:p>
    <w:p w14:paraId="0BB287F4" w14:textId="77777777" w:rsidR="00E6395C" w:rsidRPr="00995F86" w:rsidRDefault="00E6395C" w:rsidP="00E6395C">
      <w:pPr>
        <w:numPr>
          <w:ilvl w:val="0"/>
          <w:numId w:val="6"/>
        </w:numPr>
        <w:rPr>
          <w:rFonts w:ascii="Calibri" w:hAnsi="Calibri" w:cs="Calibri"/>
        </w:rPr>
      </w:pPr>
      <w:r w:rsidRPr="00995F86">
        <w:rPr>
          <w:rFonts w:ascii="Calibri" w:hAnsi="Calibri" w:cs="Calibri"/>
          <w:b/>
          <w:bCs/>
        </w:rPr>
        <w:t>Increased Risk of Incidents</w:t>
      </w:r>
      <w:r w:rsidRPr="00995F86">
        <w:rPr>
          <w:rFonts w:ascii="Calibri" w:hAnsi="Calibri" w:cs="Calibri"/>
        </w:rPr>
        <w:br/>
        <w:t>Overlooking hazards significantly raises the likelihood of accidents and injuries in the classroom. This can disrupt educational activities, cause harm to individuals, and create long-term challenges for the program.</w:t>
      </w:r>
    </w:p>
    <w:p w14:paraId="5B1649B8" w14:textId="77777777" w:rsidR="00E6395C" w:rsidRPr="00995F86" w:rsidRDefault="00E6395C" w:rsidP="00E6395C">
      <w:pPr>
        <w:numPr>
          <w:ilvl w:val="0"/>
          <w:numId w:val="6"/>
        </w:numPr>
        <w:rPr>
          <w:rFonts w:ascii="Calibri" w:hAnsi="Calibri" w:cs="Calibri"/>
        </w:rPr>
      </w:pPr>
      <w:r w:rsidRPr="00995F86">
        <w:rPr>
          <w:rFonts w:ascii="Calibri" w:hAnsi="Calibri" w:cs="Calibri"/>
          <w:b/>
          <w:bCs/>
        </w:rPr>
        <w:t>Costly Legal and Financial Implications</w:t>
      </w:r>
      <w:r w:rsidRPr="00995F86">
        <w:rPr>
          <w:rFonts w:ascii="Calibri" w:hAnsi="Calibri" w:cs="Calibri"/>
        </w:rPr>
        <w:br/>
        <w:t>A hazardous environment that results in injury can lead to severe financial repercussions, including legal action, insurance claims, and potential penalties for non-compliance with safety regulations. These costs can strain budgets far beyond the investment required to conduct a thorough hazard assessment.</w:t>
      </w:r>
    </w:p>
    <w:p w14:paraId="6AB3058C" w14:textId="77777777" w:rsidR="00E6395C" w:rsidRPr="00995F86" w:rsidRDefault="00E6395C" w:rsidP="00E6395C">
      <w:pPr>
        <w:numPr>
          <w:ilvl w:val="0"/>
          <w:numId w:val="6"/>
        </w:numPr>
        <w:rPr>
          <w:rFonts w:ascii="Calibri" w:hAnsi="Calibri" w:cs="Calibri"/>
        </w:rPr>
      </w:pPr>
      <w:r w:rsidRPr="00995F86">
        <w:rPr>
          <w:rFonts w:ascii="Calibri" w:hAnsi="Calibri" w:cs="Calibri"/>
          <w:b/>
          <w:bCs/>
        </w:rPr>
        <w:t>Wasted Resources</w:t>
      </w:r>
      <w:r w:rsidRPr="00995F86">
        <w:rPr>
          <w:rFonts w:ascii="Calibri" w:hAnsi="Calibri" w:cs="Calibri"/>
        </w:rPr>
        <w:br/>
        <w:t>Implementing safety measures without a hazard assessment may result in misallocated funds, with resources spent on unnecessary or ineffective solutions. This inefficiency detracts from areas that may urgently need attention and weakens the overall safety system.</w:t>
      </w:r>
    </w:p>
    <w:p w14:paraId="67EC5705" w14:textId="500F0155" w:rsidR="00E6395C" w:rsidRPr="00995F86" w:rsidRDefault="00660078" w:rsidP="00E6395C">
      <w:pPr>
        <w:rPr>
          <w:rFonts w:ascii="Calibri" w:hAnsi="Calibri" w:cs="Calibri"/>
        </w:rPr>
      </w:pPr>
      <w:r>
        <w:rPr>
          <w:rFonts w:ascii="Calibri" w:hAnsi="Calibri" w:cs="Calibri"/>
        </w:rPr>
        <w:pict w14:anchorId="17337F27">
          <v:rect id="_x0000_i1029" style="width:0;height:1.5pt" o:hralign="center" o:hrstd="t" o:hr="t" fillcolor="#a0a0a0" stroked="f"/>
        </w:pict>
      </w:r>
    </w:p>
    <w:p w14:paraId="70D3582B" w14:textId="77777777" w:rsidR="00E6395C" w:rsidRPr="00766814" w:rsidRDefault="00E6395C" w:rsidP="00766814">
      <w:pPr>
        <w:pStyle w:val="Heading3"/>
        <w:rPr>
          <w:rFonts w:ascii="Calibri" w:hAnsi="Calibri" w:cs="Calibri"/>
          <w:color w:val="0F4761"/>
        </w:rPr>
      </w:pPr>
      <w:r w:rsidRPr="00766814">
        <w:rPr>
          <w:rFonts w:ascii="Calibri" w:hAnsi="Calibri" w:cs="Calibri"/>
          <w:color w:val="0F4761"/>
        </w:rPr>
        <w:t>Conclusion</w:t>
      </w:r>
    </w:p>
    <w:p w14:paraId="3FA62BA6" w14:textId="7BEB35CD" w:rsidR="00B00F77" w:rsidRPr="00995F86" w:rsidRDefault="00E6395C" w:rsidP="00766814">
      <w:pPr>
        <w:spacing w:line="278" w:lineRule="auto"/>
        <w:rPr>
          <w:rFonts w:ascii="Calibri" w:hAnsi="Calibri" w:cs="Calibri"/>
        </w:rPr>
      </w:pPr>
      <w:r w:rsidRPr="00995F86">
        <w:rPr>
          <w:rFonts w:ascii="Calibri" w:hAnsi="Calibri" w:cs="Calibri"/>
        </w:rPr>
        <w:t>Hazard assessment is the cornerstone of effective safety management in CTE programs. By identifying, prioritizing, and controlling risks systematically, schools can ensure a safer environment, compliance with regulations, and an efficient use of resources. Even with limited budgets and time, leveraging existing tools, prioritizing critical risks, and engaging the school community can make significant strides toward safety. This proactive, strategic approach creates a foundation for sustainable safety improvements and fosters a culture of awareness and accountability.</w:t>
      </w:r>
    </w:p>
    <w:sectPr w:rsidR="00B00F77" w:rsidRPr="00995F86" w:rsidSect="00E6395C">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7BCA" w14:textId="77777777" w:rsidR="003559D9" w:rsidRDefault="003559D9" w:rsidP="00E6395C">
      <w:pPr>
        <w:spacing w:after="0"/>
      </w:pPr>
      <w:r>
        <w:separator/>
      </w:r>
    </w:p>
  </w:endnote>
  <w:endnote w:type="continuationSeparator" w:id="0">
    <w:p w14:paraId="35B9A996" w14:textId="77777777" w:rsidR="003559D9" w:rsidRDefault="003559D9" w:rsidP="00E639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rbanist">
    <w:altName w:val="Times New Roman"/>
    <w:charset w:val="00"/>
    <w:family w:val="swiss"/>
    <w:pitch w:val="variable"/>
    <w:sig w:usb0="A00000EF" w:usb1="0000207B" w:usb2="00000028" w:usb3="00000000" w:csb0="00000093" w:csb1="00000000"/>
  </w:font>
  <w:font w:name="Livvic">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D1D4" w14:textId="4BBEADB1" w:rsidR="00995F86" w:rsidRPr="00995F86" w:rsidRDefault="00995F86">
    <w:pPr>
      <w:pStyle w:val="Footer"/>
      <w:rPr>
        <w:rFonts w:ascii="Calibri" w:hAnsi="Calibri" w:cs="Calibri"/>
        <w:sz w:val="20"/>
        <w:szCs w:val="20"/>
      </w:rPr>
    </w:pPr>
    <w:r w:rsidRPr="00995F86">
      <w:rPr>
        <w:rFonts w:ascii="Calibri" w:hAnsi="Calibri" w:cs="Calibri"/>
        <w:sz w:val="20"/>
        <w:szCs w:val="20"/>
      </w:rPr>
      <w:t>Oregon Department of Education | March 2025</w:t>
    </w:r>
    <w:r w:rsidR="000B6C98">
      <w:rPr>
        <w:rFonts w:ascii="Calibri" w:hAnsi="Calibri" w:cs="Calibri"/>
        <w:sz w:val="20"/>
        <w:szCs w:val="20"/>
      </w:rPr>
      <w:tab/>
    </w:r>
    <w:r w:rsidR="000B6C98">
      <w:rPr>
        <w:rFonts w:ascii="Calibri" w:hAnsi="Calibri" w:cs="Calibri"/>
        <w:sz w:val="20"/>
        <w:szCs w:val="20"/>
      </w:rPr>
      <w:tab/>
    </w:r>
    <w:r w:rsidR="000B6C98" w:rsidRPr="000B6C98">
      <w:rPr>
        <w:rFonts w:ascii="Calibri" w:hAnsi="Calibri" w:cs="Calibri"/>
        <w:sz w:val="20"/>
        <w:szCs w:val="20"/>
      </w:rPr>
      <w:fldChar w:fldCharType="begin"/>
    </w:r>
    <w:r w:rsidR="000B6C98" w:rsidRPr="000B6C98">
      <w:rPr>
        <w:rFonts w:ascii="Calibri" w:hAnsi="Calibri" w:cs="Calibri"/>
        <w:sz w:val="20"/>
        <w:szCs w:val="20"/>
      </w:rPr>
      <w:instrText xml:space="preserve"> PAGE   \* MERGEFORMAT </w:instrText>
    </w:r>
    <w:r w:rsidR="000B6C98" w:rsidRPr="000B6C98">
      <w:rPr>
        <w:rFonts w:ascii="Calibri" w:hAnsi="Calibri" w:cs="Calibri"/>
        <w:sz w:val="20"/>
        <w:szCs w:val="20"/>
      </w:rPr>
      <w:fldChar w:fldCharType="separate"/>
    </w:r>
    <w:r w:rsidR="000B6C98" w:rsidRPr="000B6C98">
      <w:rPr>
        <w:rFonts w:ascii="Calibri" w:hAnsi="Calibri" w:cs="Calibri"/>
        <w:noProof/>
        <w:sz w:val="20"/>
        <w:szCs w:val="20"/>
      </w:rPr>
      <w:t>1</w:t>
    </w:r>
    <w:r w:rsidR="000B6C98" w:rsidRPr="000B6C98">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863A" w14:textId="65944693" w:rsidR="000B6C98" w:rsidRPr="000B6C98" w:rsidRDefault="000B6C98">
    <w:pPr>
      <w:pStyle w:val="Footer"/>
      <w:rPr>
        <w:rFonts w:ascii="Calibri" w:hAnsi="Calibri" w:cs="Calibri"/>
        <w:sz w:val="20"/>
        <w:szCs w:val="20"/>
      </w:rPr>
    </w:pPr>
    <w:r w:rsidRPr="000B6C98">
      <w:rPr>
        <w:rFonts w:ascii="Calibri" w:hAnsi="Calibri" w:cs="Calibri"/>
        <w:sz w:val="20"/>
        <w:szCs w:val="20"/>
      </w:rPr>
      <w:t>Oregon Department of Education | March 2025</w:t>
    </w:r>
    <w:r>
      <w:rPr>
        <w:rFonts w:ascii="Calibri" w:hAnsi="Calibri" w:cs="Calibri"/>
        <w:sz w:val="20"/>
        <w:szCs w:val="20"/>
      </w:rPr>
      <w:tab/>
    </w:r>
    <w:r>
      <w:rPr>
        <w:rFonts w:ascii="Calibri" w:hAnsi="Calibri" w:cs="Calibri"/>
        <w:sz w:val="20"/>
        <w:szCs w:val="20"/>
      </w:rPr>
      <w:tab/>
    </w:r>
    <w:r w:rsidRPr="000B6C98">
      <w:rPr>
        <w:rFonts w:ascii="Calibri" w:hAnsi="Calibri" w:cs="Calibri"/>
        <w:sz w:val="20"/>
        <w:szCs w:val="20"/>
      </w:rPr>
      <w:fldChar w:fldCharType="begin"/>
    </w:r>
    <w:r w:rsidRPr="000B6C98">
      <w:rPr>
        <w:rFonts w:ascii="Calibri" w:hAnsi="Calibri" w:cs="Calibri"/>
        <w:sz w:val="20"/>
        <w:szCs w:val="20"/>
      </w:rPr>
      <w:instrText xml:space="preserve"> PAGE   \* MERGEFORMAT </w:instrText>
    </w:r>
    <w:r w:rsidRPr="000B6C98">
      <w:rPr>
        <w:rFonts w:ascii="Calibri" w:hAnsi="Calibri" w:cs="Calibri"/>
        <w:sz w:val="20"/>
        <w:szCs w:val="20"/>
      </w:rPr>
      <w:fldChar w:fldCharType="separate"/>
    </w:r>
    <w:r w:rsidRPr="000B6C98">
      <w:rPr>
        <w:rFonts w:ascii="Calibri" w:hAnsi="Calibri" w:cs="Calibri"/>
        <w:noProof/>
        <w:sz w:val="20"/>
        <w:szCs w:val="20"/>
      </w:rPr>
      <w:t>1</w:t>
    </w:r>
    <w:r w:rsidRPr="000B6C98">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30C06" w14:textId="77777777" w:rsidR="003559D9" w:rsidRDefault="003559D9" w:rsidP="00E6395C">
      <w:pPr>
        <w:spacing w:after="0"/>
      </w:pPr>
      <w:r>
        <w:separator/>
      </w:r>
    </w:p>
  </w:footnote>
  <w:footnote w:type="continuationSeparator" w:id="0">
    <w:p w14:paraId="5D5CDE98" w14:textId="77777777" w:rsidR="003559D9" w:rsidRDefault="003559D9" w:rsidP="00E639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67A5"/>
    <w:multiLevelType w:val="multilevel"/>
    <w:tmpl w:val="0568C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C725F"/>
    <w:multiLevelType w:val="multilevel"/>
    <w:tmpl w:val="045CB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E85AF9"/>
    <w:multiLevelType w:val="multilevel"/>
    <w:tmpl w:val="9E2C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C05FA3"/>
    <w:multiLevelType w:val="multilevel"/>
    <w:tmpl w:val="6CFA2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8D67F6"/>
    <w:multiLevelType w:val="multilevel"/>
    <w:tmpl w:val="1EC24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557B6F"/>
    <w:multiLevelType w:val="multilevel"/>
    <w:tmpl w:val="6CFA2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3365624">
    <w:abstractNumId w:val="1"/>
  </w:num>
  <w:num w:numId="2" w16cid:durableId="997423348">
    <w:abstractNumId w:val="3"/>
  </w:num>
  <w:num w:numId="3" w16cid:durableId="1629511780">
    <w:abstractNumId w:val="0"/>
  </w:num>
  <w:num w:numId="4" w16cid:durableId="1279408663">
    <w:abstractNumId w:val="2"/>
  </w:num>
  <w:num w:numId="5" w16cid:durableId="935097625">
    <w:abstractNumId w:val="4"/>
  </w:num>
  <w:num w:numId="6" w16cid:durableId="387804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5C"/>
    <w:rsid w:val="00057FD8"/>
    <w:rsid w:val="0009345E"/>
    <w:rsid w:val="000A5756"/>
    <w:rsid w:val="000B6C98"/>
    <w:rsid w:val="000C14A2"/>
    <w:rsid w:val="000D36B7"/>
    <w:rsid w:val="000E7BC7"/>
    <w:rsid w:val="00187FD9"/>
    <w:rsid w:val="0022037B"/>
    <w:rsid w:val="00223DAF"/>
    <w:rsid w:val="00295954"/>
    <w:rsid w:val="002D37BB"/>
    <w:rsid w:val="00300E2F"/>
    <w:rsid w:val="00307B43"/>
    <w:rsid w:val="003367CC"/>
    <w:rsid w:val="00346621"/>
    <w:rsid w:val="003559D9"/>
    <w:rsid w:val="0038567A"/>
    <w:rsid w:val="003A5E26"/>
    <w:rsid w:val="003E5AD4"/>
    <w:rsid w:val="003F6983"/>
    <w:rsid w:val="004024D8"/>
    <w:rsid w:val="004159AA"/>
    <w:rsid w:val="00465BAE"/>
    <w:rsid w:val="004B38C1"/>
    <w:rsid w:val="005110C4"/>
    <w:rsid w:val="00532D27"/>
    <w:rsid w:val="00617A1A"/>
    <w:rsid w:val="00660078"/>
    <w:rsid w:val="00712E0C"/>
    <w:rsid w:val="00766814"/>
    <w:rsid w:val="00995F86"/>
    <w:rsid w:val="00A00D35"/>
    <w:rsid w:val="00A1287D"/>
    <w:rsid w:val="00AB351A"/>
    <w:rsid w:val="00AD1307"/>
    <w:rsid w:val="00B00F77"/>
    <w:rsid w:val="00B01343"/>
    <w:rsid w:val="00B04F92"/>
    <w:rsid w:val="00B3764B"/>
    <w:rsid w:val="00B556B7"/>
    <w:rsid w:val="00B56B6A"/>
    <w:rsid w:val="00BA7BBF"/>
    <w:rsid w:val="00BB5E32"/>
    <w:rsid w:val="00C25BBC"/>
    <w:rsid w:val="00C26B6D"/>
    <w:rsid w:val="00CB1057"/>
    <w:rsid w:val="00CB56F4"/>
    <w:rsid w:val="00D429F2"/>
    <w:rsid w:val="00D93014"/>
    <w:rsid w:val="00DD212E"/>
    <w:rsid w:val="00E13D62"/>
    <w:rsid w:val="00E1697C"/>
    <w:rsid w:val="00E6395C"/>
    <w:rsid w:val="00E70EDF"/>
    <w:rsid w:val="00E73AC0"/>
    <w:rsid w:val="00E90494"/>
    <w:rsid w:val="00EE2D65"/>
    <w:rsid w:val="00F27DCD"/>
    <w:rsid w:val="00FD0BDE"/>
    <w:rsid w:val="1F0F1589"/>
    <w:rsid w:val="332073DE"/>
    <w:rsid w:val="37A646CD"/>
    <w:rsid w:val="3EBA5ED0"/>
    <w:rsid w:val="5A39B3ED"/>
    <w:rsid w:val="5BEA1092"/>
    <w:rsid w:val="64352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7EEF916"/>
  <w15:chartTrackingRefBased/>
  <w15:docId w15:val="{5781E256-D208-42BD-9DAC-105FCDA3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E6395C"/>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unhideWhenUsed/>
    <w:qFormat/>
    <w:rsid w:val="00E6395C"/>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unhideWhenUsed/>
    <w:qFormat/>
    <w:rsid w:val="00E6395C"/>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6395C"/>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6395C"/>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6395C"/>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6395C"/>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6395C"/>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6395C"/>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95C"/>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rsid w:val="00E6395C"/>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rsid w:val="00E6395C"/>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6395C"/>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6395C"/>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6395C"/>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6395C"/>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6395C"/>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6395C"/>
    <w:rPr>
      <w:rFonts w:eastAsiaTheme="majorEastAsia" w:cstheme="majorBidi"/>
      <w:color w:val="005196" w:themeColor="text1" w:themeTint="D8"/>
    </w:rPr>
  </w:style>
  <w:style w:type="paragraph" w:styleId="Title">
    <w:name w:val="Title"/>
    <w:basedOn w:val="Normal"/>
    <w:next w:val="Normal"/>
    <w:link w:val="TitleChar"/>
    <w:uiPriority w:val="10"/>
    <w:qFormat/>
    <w:rsid w:val="00E639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95C"/>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6395C"/>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6395C"/>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E6395C"/>
    <w:rPr>
      <w:i/>
      <w:iCs/>
      <w:color w:val="0067BF" w:themeColor="text1" w:themeTint="BF"/>
    </w:rPr>
  </w:style>
  <w:style w:type="paragraph" w:styleId="ListParagraph">
    <w:name w:val="List Paragraph"/>
    <w:basedOn w:val="Normal"/>
    <w:uiPriority w:val="34"/>
    <w:qFormat/>
    <w:rsid w:val="00E6395C"/>
    <w:pPr>
      <w:ind w:left="720"/>
      <w:contextualSpacing/>
    </w:pPr>
  </w:style>
  <w:style w:type="character" w:styleId="IntenseEmphasis">
    <w:name w:val="Intense Emphasis"/>
    <w:basedOn w:val="DefaultParagraphFont"/>
    <w:uiPriority w:val="21"/>
    <w:qFormat/>
    <w:rsid w:val="00E6395C"/>
    <w:rPr>
      <w:i/>
      <w:iCs/>
      <w:color w:val="DA1F12" w:themeColor="accent1" w:themeShade="BF"/>
    </w:rPr>
  </w:style>
  <w:style w:type="paragraph" w:styleId="IntenseQuote">
    <w:name w:val="Intense Quote"/>
    <w:basedOn w:val="Normal"/>
    <w:next w:val="Normal"/>
    <w:link w:val="IntenseQuoteChar"/>
    <w:uiPriority w:val="30"/>
    <w:qFormat/>
    <w:rsid w:val="00E6395C"/>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6395C"/>
    <w:rPr>
      <w:i/>
      <w:iCs/>
      <w:color w:val="DA1F12" w:themeColor="accent1" w:themeShade="BF"/>
    </w:rPr>
  </w:style>
  <w:style w:type="character" w:styleId="IntenseReference">
    <w:name w:val="Intense Reference"/>
    <w:basedOn w:val="DefaultParagraphFont"/>
    <w:uiPriority w:val="32"/>
    <w:qFormat/>
    <w:rsid w:val="00E6395C"/>
    <w:rPr>
      <w:b/>
      <w:bCs/>
      <w:smallCaps/>
      <w:color w:val="DA1F12" w:themeColor="accent1" w:themeShade="BF"/>
      <w:spacing w:val="5"/>
    </w:rPr>
  </w:style>
  <w:style w:type="paragraph" w:styleId="Header">
    <w:name w:val="header"/>
    <w:basedOn w:val="Normal"/>
    <w:link w:val="HeaderChar"/>
    <w:uiPriority w:val="99"/>
    <w:unhideWhenUsed/>
    <w:rsid w:val="00E6395C"/>
    <w:pPr>
      <w:tabs>
        <w:tab w:val="center" w:pos="4680"/>
        <w:tab w:val="right" w:pos="9360"/>
      </w:tabs>
      <w:spacing w:after="0"/>
    </w:pPr>
  </w:style>
  <w:style w:type="character" w:customStyle="1" w:styleId="HeaderChar">
    <w:name w:val="Header Char"/>
    <w:basedOn w:val="DefaultParagraphFont"/>
    <w:link w:val="Header"/>
    <w:uiPriority w:val="99"/>
    <w:rsid w:val="00E6395C"/>
  </w:style>
  <w:style w:type="paragraph" w:styleId="Footer">
    <w:name w:val="footer"/>
    <w:basedOn w:val="Normal"/>
    <w:link w:val="FooterChar"/>
    <w:uiPriority w:val="99"/>
    <w:unhideWhenUsed/>
    <w:rsid w:val="00E6395C"/>
    <w:pPr>
      <w:tabs>
        <w:tab w:val="center" w:pos="4680"/>
        <w:tab w:val="right" w:pos="9360"/>
      </w:tabs>
      <w:spacing w:after="0"/>
    </w:pPr>
  </w:style>
  <w:style w:type="character" w:customStyle="1" w:styleId="FooterChar">
    <w:name w:val="Footer Char"/>
    <w:basedOn w:val="DefaultParagraphFont"/>
    <w:link w:val="Footer"/>
    <w:uiPriority w:val="99"/>
    <w:rsid w:val="00E6395C"/>
  </w:style>
  <w:style w:type="character" w:styleId="Hyperlink">
    <w:name w:val="Hyperlink"/>
    <w:basedOn w:val="DefaultParagraphFont"/>
    <w:uiPriority w:val="99"/>
    <w:unhideWhenUsed/>
    <w:rsid w:val="5BEA1092"/>
    <w:rPr>
      <w:color w:val="002E55" w:themeColor="background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20978">
      <w:bodyDiv w:val="1"/>
      <w:marLeft w:val="0"/>
      <w:marRight w:val="0"/>
      <w:marTop w:val="0"/>
      <w:marBottom w:val="0"/>
      <w:divBdr>
        <w:top w:val="none" w:sz="0" w:space="0" w:color="auto"/>
        <w:left w:val="none" w:sz="0" w:space="0" w:color="auto"/>
        <w:bottom w:val="none" w:sz="0" w:space="0" w:color="auto"/>
        <w:right w:val="none" w:sz="0" w:space="0" w:color="auto"/>
      </w:divBdr>
    </w:div>
    <w:div w:id="837234876">
      <w:bodyDiv w:val="1"/>
      <w:marLeft w:val="0"/>
      <w:marRight w:val="0"/>
      <w:marTop w:val="0"/>
      <w:marBottom w:val="0"/>
      <w:divBdr>
        <w:top w:val="none" w:sz="0" w:space="0" w:color="auto"/>
        <w:left w:val="none" w:sz="0" w:space="0" w:color="auto"/>
        <w:bottom w:val="none" w:sz="0" w:space="0" w:color="auto"/>
        <w:right w:val="none" w:sz="0" w:space="0" w:color="auto"/>
      </w:divBdr>
    </w:div>
    <w:div w:id="848564222">
      <w:bodyDiv w:val="1"/>
      <w:marLeft w:val="0"/>
      <w:marRight w:val="0"/>
      <w:marTop w:val="0"/>
      <w:marBottom w:val="0"/>
      <w:divBdr>
        <w:top w:val="none" w:sz="0" w:space="0" w:color="auto"/>
        <w:left w:val="none" w:sz="0" w:space="0" w:color="auto"/>
        <w:bottom w:val="none" w:sz="0" w:space="0" w:color="auto"/>
        <w:right w:val="none" w:sz="0" w:space="0" w:color="auto"/>
      </w:divBdr>
    </w:div>
    <w:div w:id="867523960">
      <w:bodyDiv w:val="1"/>
      <w:marLeft w:val="0"/>
      <w:marRight w:val="0"/>
      <w:marTop w:val="0"/>
      <w:marBottom w:val="0"/>
      <w:divBdr>
        <w:top w:val="none" w:sz="0" w:space="0" w:color="auto"/>
        <w:left w:val="none" w:sz="0" w:space="0" w:color="auto"/>
        <w:bottom w:val="none" w:sz="0" w:space="0" w:color="auto"/>
        <w:right w:val="none" w:sz="0" w:space="0" w:color="auto"/>
      </w:divBdr>
    </w:div>
    <w:div w:id="20115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cdc.gov/niosh/docs/2004-101/indexprog.htm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2025-04-03T16:16:37+00:00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87E7F661-4285-4926-BCD9-161A06423680}"/>
</file>

<file path=customXml/itemProps2.xml><?xml version="1.0" encoding="utf-8"?>
<ds:datastoreItem xmlns:ds="http://schemas.openxmlformats.org/officeDocument/2006/customXml" ds:itemID="{279E8AD7-7D1C-4ED8-B0DF-71D553D67E3E}"/>
</file>

<file path=customXml/itemProps3.xml><?xml version="1.0" encoding="utf-8"?>
<ds:datastoreItem xmlns:ds="http://schemas.openxmlformats.org/officeDocument/2006/customXml" ds:itemID="{ABF1C8A7-E043-43E9-AA95-9F6609864BD4}"/>
</file>

<file path=docProps/app.xml><?xml version="1.0" encoding="utf-8"?>
<Properties xmlns="http://schemas.openxmlformats.org/officeDocument/2006/extended-properties" xmlns:vt="http://schemas.openxmlformats.org/officeDocument/2006/docPropsVTypes">
  <Template>Normal</Template>
  <TotalTime>975</TotalTime>
  <Pages>3</Pages>
  <Words>899</Words>
  <Characters>5130</Characters>
  <Application>Microsoft Office Word</Application>
  <DocSecurity>2</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CATTERALL Linda * ODE</cp:lastModifiedBy>
  <cp:revision>9</cp:revision>
  <dcterms:created xsi:type="dcterms:W3CDTF">2024-12-06T13:38:00Z</dcterms:created>
  <dcterms:modified xsi:type="dcterms:W3CDTF">2025-04-03T16:10:00Z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2024-12-06T13:43:51Z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083e001b-4567-4062-8c4e-23e5f661d30d</vt:lpwstr>
  </property>
  <property fmtid="{D5CDD505-2E9C-101B-9397-08002B2CF9AE}" pid="8" name="MSIP_Label_7730ea53-6f5e-4160-81a5-992a9105450a_ContentBits">
    <vt:lpwstr>0</vt:lpwstr>
  </property>
  <property fmtid="{D5CDD505-2E9C-101B-9397-08002B2CF9AE}" pid="9" name="ContentTypeId">
    <vt:lpwstr>0x0101005A134A395911EF47963D75C96E13D29E</vt:lpwstr>
  </property>
</Properties>
</file>