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6D04B" w14:textId="23C1A9EF" w:rsidR="0017766C" w:rsidRPr="0017766C" w:rsidRDefault="0017766C" w:rsidP="0017766C">
      <w:pPr>
        <w:pStyle w:val="Heading1"/>
        <w:spacing w:after="240"/>
        <w:rPr>
          <w:rFonts w:ascii="Calibri" w:hAnsi="Calibri" w:cs="Calibri"/>
          <w:color w:val="0F4761"/>
        </w:rPr>
      </w:pPr>
      <w:r w:rsidRPr="0017766C">
        <w:rPr>
          <w:rFonts w:ascii="Calibri" w:hAnsi="Calibri" w:cs="Calibri"/>
          <w:color w:val="0F4761"/>
        </w:rPr>
        <w:t>Implementing a Lockout/Tagout Program</w:t>
      </w:r>
    </w:p>
    <w:p w14:paraId="08F14708" w14:textId="26D45A3E" w:rsidR="002D63CE" w:rsidRPr="0017766C" w:rsidRDefault="002D63CE" w:rsidP="00DC6287">
      <w:pPr>
        <w:spacing w:after="360" w:line="278" w:lineRule="auto"/>
        <w:rPr>
          <w:rFonts w:ascii="Calibri" w:hAnsi="Calibri" w:cs="Calibri"/>
        </w:rPr>
      </w:pPr>
      <w:r w:rsidRPr="0017766C">
        <w:rPr>
          <w:rFonts w:ascii="Calibri" w:hAnsi="Calibri" w:cs="Calibri"/>
        </w:rPr>
        <w:t>Implementing a Lockout/Tagout (LOTO) program is essential in Career Technical Education (CTE) high-hazard programs to ensure the safety of students and staff. LOTO procedures are designed to prevent the unexpected release of hazardous energy during the servicing and maintenance of machinery and equipment. This process involves isolating energy sources and securing them in an "off" state to protect individuals from potential harm.</w:t>
      </w:r>
    </w:p>
    <w:p w14:paraId="2B3EB308" w14:textId="77777777" w:rsidR="002D63CE" w:rsidRPr="00DC6287" w:rsidRDefault="002D63CE" w:rsidP="00DC6287">
      <w:pPr>
        <w:pStyle w:val="Heading2"/>
        <w:rPr>
          <w:rFonts w:ascii="Calibri" w:hAnsi="Calibri" w:cs="Calibri"/>
          <w:color w:val="0F4761"/>
        </w:rPr>
      </w:pPr>
      <w:r w:rsidRPr="00DC6287">
        <w:rPr>
          <w:rFonts w:ascii="Calibri" w:hAnsi="Calibri" w:cs="Calibri"/>
          <w:color w:val="0F4761"/>
        </w:rPr>
        <w:t>Understanding Hazardous Energy</w:t>
      </w:r>
    </w:p>
    <w:p w14:paraId="1F670B6E" w14:textId="77777777" w:rsidR="002D63CE" w:rsidRPr="0017766C" w:rsidRDefault="002D63CE" w:rsidP="0017766C">
      <w:pPr>
        <w:spacing w:line="278" w:lineRule="auto"/>
        <w:rPr>
          <w:rFonts w:ascii="Calibri" w:hAnsi="Calibri" w:cs="Calibri"/>
        </w:rPr>
      </w:pPr>
      <w:r w:rsidRPr="0017766C">
        <w:rPr>
          <w:rFonts w:ascii="Calibri" w:hAnsi="Calibri" w:cs="Calibri"/>
        </w:rPr>
        <w:t>Hazardous energy refers to the various forms of energy that can pose risks if not properly controlled. In CTE environments, common types include:</w:t>
      </w:r>
    </w:p>
    <w:p w14:paraId="4F2E466A" w14:textId="77777777" w:rsidR="002D63CE" w:rsidRPr="0017766C" w:rsidRDefault="002D63CE" w:rsidP="002D63CE">
      <w:pPr>
        <w:numPr>
          <w:ilvl w:val="0"/>
          <w:numId w:val="1"/>
        </w:numPr>
        <w:rPr>
          <w:rFonts w:ascii="Calibri" w:hAnsi="Calibri" w:cs="Calibri"/>
        </w:rPr>
      </w:pPr>
      <w:r w:rsidRPr="0017766C">
        <w:rPr>
          <w:rFonts w:ascii="Calibri" w:hAnsi="Calibri" w:cs="Calibri"/>
          <w:b/>
          <w:bCs/>
        </w:rPr>
        <w:t>Electrical Energy:</w:t>
      </w:r>
      <w:r w:rsidRPr="0017766C">
        <w:rPr>
          <w:rFonts w:ascii="Calibri" w:hAnsi="Calibri" w:cs="Calibri"/>
        </w:rPr>
        <w:t xml:space="preserve"> Energy from electrical sources, which can cause shocks or electrocution.</w:t>
      </w:r>
    </w:p>
    <w:p w14:paraId="3D5026FA" w14:textId="77777777" w:rsidR="002D63CE" w:rsidRPr="0017766C" w:rsidRDefault="002D63CE" w:rsidP="002D63CE">
      <w:pPr>
        <w:numPr>
          <w:ilvl w:val="0"/>
          <w:numId w:val="1"/>
        </w:numPr>
        <w:rPr>
          <w:rFonts w:ascii="Calibri" w:hAnsi="Calibri" w:cs="Calibri"/>
        </w:rPr>
      </w:pPr>
      <w:r w:rsidRPr="0017766C">
        <w:rPr>
          <w:rFonts w:ascii="Calibri" w:hAnsi="Calibri" w:cs="Calibri"/>
          <w:b/>
          <w:bCs/>
        </w:rPr>
        <w:t>Mechanical Energy:</w:t>
      </w:r>
      <w:r w:rsidRPr="0017766C">
        <w:rPr>
          <w:rFonts w:ascii="Calibri" w:hAnsi="Calibri" w:cs="Calibri"/>
        </w:rPr>
        <w:t xml:space="preserve"> Energy from moving parts that can cause crushing or cutting injuries.</w:t>
      </w:r>
    </w:p>
    <w:p w14:paraId="46F40FD3" w14:textId="77777777" w:rsidR="002D63CE" w:rsidRPr="0017766C" w:rsidRDefault="002D63CE" w:rsidP="002D63CE">
      <w:pPr>
        <w:numPr>
          <w:ilvl w:val="0"/>
          <w:numId w:val="1"/>
        </w:numPr>
        <w:rPr>
          <w:rFonts w:ascii="Calibri" w:hAnsi="Calibri" w:cs="Calibri"/>
        </w:rPr>
      </w:pPr>
      <w:r w:rsidRPr="0017766C">
        <w:rPr>
          <w:rFonts w:ascii="Calibri" w:hAnsi="Calibri" w:cs="Calibri"/>
          <w:b/>
          <w:bCs/>
        </w:rPr>
        <w:t>Hydraulic and Pneumatic Energy:</w:t>
      </w:r>
      <w:r w:rsidRPr="0017766C">
        <w:rPr>
          <w:rFonts w:ascii="Calibri" w:hAnsi="Calibri" w:cs="Calibri"/>
        </w:rPr>
        <w:t xml:space="preserve"> Pressurized fluids or gases that can lead to unexpected movement or release.</w:t>
      </w:r>
    </w:p>
    <w:p w14:paraId="1C0FE4AD" w14:textId="77777777" w:rsidR="002D63CE" w:rsidRPr="0017766C" w:rsidRDefault="002D63CE" w:rsidP="002D63CE">
      <w:pPr>
        <w:numPr>
          <w:ilvl w:val="0"/>
          <w:numId w:val="1"/>
        </w:numPr>
        <w:rPr>
          <w:rFonts w:ascii="Calibri" w:hAnsi="Calibri" w:cs="Calibri"/>
        </w:rPr>
      </w:pPr>
      <w:r w:rsidRPr="0017766C">
        <w:rPr>
          <w:rFonts w:ascii="Calibri" w:hAnsi="Calibri" w:cs="Calibri"/>
          <w:b/>
          <w:bCs/>
        </w:rPr>
        <w:t>Thermal Energy:</w:t>
      </w:r>
      <w:r w:rsidRPr="0017766C">
        <w:rPr>
          <w:rFonts w:ascii="Calibri" w:hAnsi="Calibri" w:cs="Calibri"/>
        </w:rPr>
        <w:t xml:space="preserve"> High temperatures that can cause burns.</w:t>
      </w:r>
    </w:p>
    <w:p w14:paraId="28C47E37" w14:textId="77777777" w:rsidR="002D63CE" w:rsidRPr="0017766C" w:rsidRDefault="002D63CE" w:rsidP="002D63CE">
      <w:pPr>
        <w:numPr>
          <w:ilvl w:val="0"/>
          <w:numId w:val="1"/>
        </w:numPr>
        <w:rPr>
          <w:rFonts w:ascii="Calibri" w:hAnsi="Calibri" w:cs="Calibri"/>
        </w:rPr>
      </w:pPr>
      <w:r w:rsidRPr="0017766C">
        <w:rPr>
          <w:rFonts w:ascii="Calibri" w:hAnsi="Calibri" w:cs="Calibri"/>
          <w:b/>
          <w:bCs/>
        </w:rPr>
        <w:t>Chemical Energy:</w:t>
      </w:r>
      <w:r w:rsidRPr="0017766C">
        <w:rPr>
          <w:rFonts w:ascii="Calibri" w:hAnsi="Calibri" w:cs="Calibri"/>
        </w:rPr>
        <w:t xml:space="preserve"> Reactions that can release harmful substances or energy.</w:t>
      </w:r>
    </w:p>
    <w:p w14:paraId="152AD4C2" w14:textId="77777777" w:rsidR="002D63CE" w:rsidRPr="0017766C" w:rsidRDefault="002D63CE" w:rsidP="002D63CE">
      <w:pPr>
        <w:rPr>
          <w:rFonts w:ascii="Calibri" w:hAnsi="Calibri" w:cs="Calibri"/>
        </w:rPr>
      </w:pPr>
      <w:r w:rsidRPr="0017766C">
        <w:rPr>
          <w:rFonts w:ascii="Calibri" w:hAnsi="Calibri" w:cs="Calibri"/>
        </w:rPr>
        <w:t>Controlling these energy sources is vital to prevent accidents during maintenance activities.</w:t>
      </w:r>
    </w:p>
    <w:p w14:paraId="2730C29C" w14:textId="77777777" w:rsidR="002D63CE" w:rsidRPr="0017766C" w:rsidRDefault="002D63CE" w:rsidP="002D63CE">
      <w:pPr>
        <w:rPr>
          <w:rFonts w:ascii="Calibri" w:hAnsi="Calibri" w:cs="Calibri"/>
        </w:rPr>
      </w:pPr>
      <w:r w:rsidRPr="0017766C">
        <w:rPr>
          <w:rFonts w:ascii="Calibri" w:hAnsi="Calibri" w:cs="Calibri"/>
          <w:b/>
          <w:bCs/>
        </w:rPr>
        <w:t>Key Components of a LOTO Program</w:t>
      </w:r>
    </w:p>
    <w:p w14:paraId="14A6B3FD" w14:textId="468305F8" w:rsidR="002D63CE" w:rsidRPr="0017766C" w:rsidRDefault="002D63CE" w:rsidP="0017766C">
      <w:pPr>
        <w:numPr>
          <w:ilvl w:val="0"/>
          <w:numId w:val="1"/>
        </w:numPr>
        <w:spacing w:line="278" w:lineRule="auto"/>
        <w:rPr>
          <w:rFonts w:ascii="Calibri" w:hAnsi="Calibri" w:cs="Calibri"/>
        </w:rPr>
      </w:pPr>
      <w:r w:rsidRPr="0017766C">
        <w:rPr>
          <w:rFonts w:ascii="Calibri" w:hAnsi="Calibri" w:cs="Calibri"/>
          <w:b/>
          <w:bCs/>
        </w:rPr>
        <w:t>Energy Control Procedures</w:t>
      </w:r>
      <w:r w:rsidRPr="0017766C">
        <w:rPr>
          <w:rFonts w:ascii="Calibri" w:hAnsi="Calibri" w:cs="Calibri"/>
        </w:rPr>
        <w:t xml:space="preserve">: Develop clear, written </w:t>
      </w:r>
      <w:r w:rsidR="412EA09C" w:rsidRPr="0017766C">
        <w:rPr>
          <w:rFonts w:ascii="Calibri" w:hAnsi="Calibri" w:cs="Calibri"/>
        </w:rPr>
        <w:t xml:space="preserve">site-specific </w:t>
      </w:r>
      <w:r w:rsidRPr="0017766C">
        <w:rPr>
          <w:rFonts w:ascii="Calibri" w:hAnsi="Calibri" w:cs="Calibri"/>
        </w:rPr>
        <w:t xml:space="preserve">procedures outlining the steps to isolate and control hazardous energy for each piece of equipment. These procedures should detail the specific steps for shutting down, isolating, blocking, and securing equipment to control hazardous energy. </w:t>
      </w:r>
      <w:hyperlink r:id="rId7">
        <w:r w:rsidRPr="00DC6287">
          <w:rPr>
            <w:rFonts w:ascii="Calibri" w:hAnsi="Calibri" w:cs="Calibri"/>
            <w:i/>
            <w:iCs/>
          </w:rPr>
          <w:t>OSHA</w:t>
        </w:r>
      </w:hyperlink>
    </w:p>
    <w:p w14:paraId="58CD197E" w14:textId="49F9B0E4" w:rsidR="002D63CE" w:rsidRPr="0017766C" w:rsidRDefault="002D63CE" w:rsidP="0017766C">
      <w:pPr>
        <w:numPr>
          <w:ilvl w:val="0"/>
          <w:numId w:val="1"/>
        </w:numPr>
        <w:spacing w:line="278" w:lineRule="auto"/>
        <w:rPr>
          <w:rFonts w:ascii="Calibri" w:hAnsi="Calibri" w:cs="Calibri"/>
        </w:rPr>
      </w:pPr>
      <w:r w:rsidRPr="0017766C">
        <w:rPr>
          <w:rFonts w:ascii="Calibri" w:hAnsi="Calibri" w:cs="Calibri"/>
          <w:b/>
          <w:bCs/>
        </w:rPr>
        <w:t>Employee Training</w:t>
      </w:r>
      <w:r w:rsidRPr="0017766C">
        <w:rPr>
          <w:rFonts w:ascii="Calibri" w:hAnsi="Calibri" w:cs="Calibri"/>
        </w:rPr>
        <w:t xml:space="preserve">: Provide comprehensive training for all students and staff on LOTO practices, ensuring they understand the importance of controlling hazardous energy and are competent in applying LOTO procedures. Training should cover the purpose and function of the energy control program, as well as the knowledge and skills required for the safe application, usage, and removal of energy controls. </w:t>
      </w:r>
      <w:hyperlink r:id="rId8" w:tgtFrame="_blank" w:history="1">
        <w:r w:rsidRPr="00DC6287">
          <w:rPr>
            <w:rFonts w:ascii="Calibri" w:hAnsi="Calibri" w:cs="Calibri"/>
            <w:i/>
            <w:iCs/>
          </w:rPr>
          <w:t>OSHA</w:t>
        </w:r>
      </w:hyperlink>
    </w:p>
    <w:p w14:paraId="7A887F10" w14:textId="0181325C" w:rsidR="002D63CE" w:rsidRPr="0017766C" w:rsidRDefault="002D63CE" w:rsidP="0017766C">
      <w:pPr>
        <w:numPr>
          <w:ilvl w:val="0"/>
          <w:numId w:val="1"/>
        </w:numPr>
        <w:spacing w:line="278" w:lineRule="auto"/>
        <w:rPr>
          <w:rFonts w:ascii="Calibri" w:hAnsi="Calibri" w:cs="Calibri"/>
        </w:rPr>
      </w:pPr>
      <w:r w:rsidRPr="0017766C">
        <w:rPr>
          <w:rFonts w:ascii="Calibri" w:hAnsi="Calibri" w:cs="Calibri"/>
          <w:b/>
          <w:bCs/>
        </w:rPr>
        <w:lastRenderedPageBreak/>
        <w:t>Periodic Inspections</w:t>
      </w:r>
      <w:r w:rsidRPr="0017766C">
        <w:rPr>
          <w:rFonts w:ascii="Calibri" w:hAnsi="Calibri" w:cs="Calibri"/>
        </w:rPr>
        <w:t xml:space="preserve">: Regularly inspect LOTO procedures to ensure compliance and effectiveness. This includes </w:t>
      </w:r>
      <w:r w:rsidR="53DDC22C" w:rsidRPr="0017766C">
        <w:rPr>
          <w:rFonts w:ascii="Calibri" w:hAnsi="Calibri" w:cs="Calibri"/>
        </w:rPr>
        <w:t xml:space="preserve">updating electrical panel labels, </w:t>
      </w:r>
      <w:r w:rsidRPr="0017766C">
        <w:rPr>
          <w:rFonts w:ascii="Calibri" w:hAnsi="Calibri" w:cs="Calibri"/>
        </w:rPr>
        <w:t xml:space="preserve">reviewing the procedures and correcting any deviations or inadequacies identified. </w:t>
      </w:r>
      <w:hyperlink r:id="rId9">
        <w:r w:rsidRPr="00DC6287">
          <w:rPr>
            <w:rFonts w:ascii="Calibri" w:hAnsi="Calibri" w:cs="Calibri"/>
            <w:i/>
            <w:iCs/>
          </w:rPr>
          <w:t>OSHA</w:t>
        </w:r>
      </w:hyperlink>
    </w:p>
    <w:p w14:paraId="7142D808" w14:textId="77777777" w:rsidR="002D63CE" w:rsidRPr="0017766C" w:rsidRDefault="002D63CE" w:rsidP="002D63CE">
      <w:pPr>
        <w:rPr>
          <w:rFonts w:ascii="Calibri" w:hAnsi="Calibri" w:cs="Calibri"/>
        </w:rPr>
      </w:pPr>
      <w:r w:rsidRPr="0017766C">
        <w:rPr>
          <w:rFonts w:ascii="Calibri" w:hAnsi="Calibri" w:cs="Calibri"/>
          <w:b/>
          <w:bCs/>
        </w:rPr>
        <w:t>Implementing LOTO in CTE Programs</w:t>
      </w:r>
    </w:p>
    <w:p w14:paraId="2C668E90" w14:textId="77777777" w:rsidR="002D63CE" w:rsidRPr="0017766C" w:rsidRDefault="002D63CE" w:rsidP="002D63CE">
      <w:pPr>
        <w:rPr>
          <w:rFonts w:ascii="Calibri" w:hAnsi="Calibri" w:cs="Calibri"/>
        </w:rPr>
      </w:pPr>
      <w:r w:rsidRPr="0017766C">
        <w:rPr>
          <w:rFonts w:ascii="Calibri" w:hAnsi="Calibri" w:cs="Calibri"/>
        </w:rPr>
        <w:t>Incorporating LOTO procedures in CTE programs involves:</w:t>
      </w:r>
    </w:p>
    <w:p w14:paraId="7577F444" w14:textId="77777777" w:rsidR="002D63CE" w:rsidRPr="0017766C" w:rsidRDefault="002D63CE" w:rsidP="002D63CE">
      <w:pPr>
        <w:numPr>
          <w:ilvl w:val="0"/>
          <w:numId w:val="3"/>
        </w:numPr>
        <w:rPr>
          <w:rFonts w:ascii="Calibri" w:hAnsi="Calibri" w:cs="Calibri"/>
        </w:rPr>
      </w:pPr>
      <w:r w:rsidRPr="0017766C">
        <w:rPr>
          <w:rFonts w:ascii="Calibri" w:hAnsi="Calibri" w:cs="Calibri"/>
          <w:b/>
          <w:bCs/>
        </w:rPr>
        <w:t>Identifying Equipment:</w:t>
      </w:r>
      <w:r w:rsidRPr="0017766C">
        <w:rPr>
          <w:rFonts w:ascii="Calibri" w:hAnsi="Calibri" w:cs="Calibri"/>
        </w:rPr>
        <w:t xml:space="preserve"> Determine which machines and equipment require LOTO during servicing or maintenance.</w:t>
      </w:r>
    </w:p>
    <w:p w14:paraId="15E2B943" w14:textId="77777777" w:rsidR="002D63CE" w:rsidRPr="0017766C" w:rsidRDefault="002D63CE" w:rsidP="002D63CE">
      <w:pPr>
        <w:numPr>
          <w:ilvl w:val="0"/>
          <w:numId w:val="3"/>
        </w:numPr>
        <w:rPr>
          <w:rFonts w:ascii="Calibri" w:hAnsi="Calibri" w:cs="Calibri"/>
        </w:rPr>
      </w:pPr>
      <w:r w:rsidRPr="0017766C">
        <w:rPr>
          <w:rFonts w:ascii="Calibri" w:hAnsi="Calibri" w:cs="Calibri"/>
          <w:b/>
          <w:bCs/>
        </w:rPr>
        <w:t>Developing Procedures:</w:t>
      </w:r>
      <w:r w:rsidRPr="0017766C">
        <w:rPr>
          <w:rFonts w:ascii="Calibri" w:hAnsi="Calibri" w:cs="Calibri"/>
        </w:rPr>
        <w:t xml:space="preserve"> Create specific LOTO procedures for each piece of equipment, detailing the steps to control hazardous energy.</w:t>
      </w:r>
    </w:p>
    <w:p w14:paraId="35E9E9D3" w14:textId="77777777" w:rsidR="002D63CE" w:rsidRPr="0017766C" w:rsidRDefault="002D63CE" w:rsidP="002D63CE">
      <w:pPr>
        <w:numPr>
          <w:ilvl w:val="0"/>
          <w:numId w:val="3"/>
        </w:numPr>
        <w:rPr>
          <w:rFonts w:ascii="Calibri" w:hAnsi="Calibri" w:cs="Calibri"/>
        </w:rPr>
      </w:pPr>
      <w:r w:rsidRPr="0017766C">
        <w:rPr>
          <w:rFonts w:ascii="Calibri" w:hAnsi="Calibri" w:cs="Calibri"/>
          <w:b/>
          <w:bCs/>
        </w:rPr>
        <w:t>Training Students and Staff:</w:t>
      </w:r>
      <w:r w:rsidRPr="0017766C">
        <w:rPr>
          <w:rFonts w:ascii="Calibri" w:hAnsi="Calibri" w:cs="Calibri"/>
        </w:rPr>
        <w:t xml:space="preserve"> Educate all individuals involved in operating or maintaining equipment on LOTO practices and the importance of controlling hazardous energy.</w:t>
      </w:r>
    </w:p>
    <w:p w14:paraId="69BC1D1D" w14:textId="77777777" w:rsidR="002D63CE" w:rsidRPr="0017766C" w:rsidRDefault="002D63CE" w:rsidP="00DC6287">
      <w:pPr>
        <w:numPr>
          <w:ilvl w:val="0"/>
          <w:numId w:val="3"/>
        </w:numPr>
        <w:spacing w:after="360"/>
        <w:rPr>
          <w:rFonts w:ascii="Calibri" w:hAnsi="Calibri" w:cs="Calibri"/>
        </w:rPr>
      </w:pPr>
      <w:r w:rsidRPr="0017766C">
        <w:rPr>
          <w:rFonts w:ascii="Calibri" w:hAnsi="Calibri" w:cs="Calibri"/>
          <w:b/>
          <w:bCs/>
        </w:rPr>
        <w:t>Enforcing Compliance:</w:t>
      </w:r>
      <w:r w:rsidRPr="0017766C">
        <w:rPr>
          <w:rFonts w:ascii="Calibri" w:hAnsi="Calibri" w:cs="Calibri"/>
        </w:rPr>
        <w:t xml:space="preserve"> Ensure adherence to LOTO procedures through supervision and regular audits.</w:t>
      </w:r>
    </w:p>
    <w:p w14:paraId="70B5DD17" w14:textId="77777777" w:rsidR="002D63CE" w:rsidRPr="00DC6287" w:rsidRDefault="002D63CE" w:rsidP="00DC6287">
      <w:pPr>
        <w:pStyle w:val="Heading2"/>
        <w:rPr>
          <w:rFonts w:ascii="Calibri" w:hAnsi="Calibri" w:cs="Calibri"/>
          <w:color w:val="0F4761"/>
        </w:rPr>
      </w:pPr>
      <w:r w:rsidRPr="00DC6287">
        <w:rPr>
          <w:rFonts w:ascii="Calibri" w:hAnsi="Calibri" w:cs="Calibri"/>
          <w:color w:val="0F4761"/>
        </w:rPr>
        <w:t>Conclusion</w:t>
      </w:r>
    </w:p>
    <w:p w14:paraId="0BEFA95B" w14:textId="77777777" w:rsidR="002D63CE" w:rsidRPr="0017766C" w:rsidRDefault="002D63CE" w:rsidP="0017766C">
      <w:pPr>
        <w:spacing w:line="278" w:lineRule="auto"/>
        <w:rPr>
          <w:rFonts w:ascii="Calibri" w:hAnsi="Calibri" w:cs="Calibri"/>
        </w:rPr>
      </w:pPr>
      <w:r w:rsidRPr="0017766C">
        <w:rPr>
          <w:rFonts w:ascii="Calibri" w:hAnsi="Calibri" w:cs="Calibri"/>
        </w:rPr>
        <w:t>Implementing a Lockout/Tagout program in CTE high-hazard programs is crucial for preventing accidents and injuries related to the uncontrolled release of hazardous energy. By establishing clear procedures, providing thorough training, and ensuring compliance, educational institutions can create a safer environment that protects both students and staff.</w:t>
      </w:r>
    </w:p>
    <w:p w14:paraId="7C0A2D84" w14:textId="77777777" w:rsidR="00B00F77" w:rsidRPr="0017766C" w:rsidRDefault="00B00F77">
      <w:pPr>
        <w:rPr>
          <w:rFonts w:ascii="Calibri" w:hAnsi="Calibri" w:cs="Calibri"/>
        </w:rPr>
      </w:pPr>
    </w:p>
    <w:sectPr w:rsidR="00B00F77" w:rsidRPr="001776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D3738" w14:textId="77777777" w:rsidR="002D63CE" w:rsidRDefault="002D63CE" w:rsidP="002D63CE">
      <w:pPr>
        <w:spacing w:after="0"/>
      </w:pPr>
      <w:r>
        <w:separator/>
      </w:r>
    </w:p>
  </w:endnote>
  <w:endnote w:type="continuationSeparator" w:id="0">
    <w:p w14:paraId="752047CC" w14:textId="77777777" w:rsidR="002D63CE" w:rsidRDefault="002D63CE" w:rsidP="002D63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9572" w14:textId="557C5E98" w:rsidR="0017766C" w:rsidRPr="0017766C" w:rsidRDefault="0017766C">
    <w:pPr>
      <w:pStyle w:val="Footer"/>
      <w:rPr>
        <w:rFonts w:ascii="Calibri" w:hAnsi="Calibri" w:cs="Calibri"/>
        <w:sz w:val="20"/>
        <w:szCs w:val="20"/>
      </w:rPr>
    </w:pPr>
    <w:r w:rsidRPr="0017766C">
      <w:rPr>
        <w:rFonts w:ascii="Calibri" w:hAnsi="Calibri" w:cs="Calibri"/>
        <w:sz w:val="20"/>
        <w:szCs w:val="20"/>
      </w:rPr>
      <w:t>Oregon Department of Education | March 2025</w:t>
    </w:r>
    <w:r w:rsidR="00A53F89">
      <w:rPr>
        <w:rFonts w:ascii="Calibri" w:hAnsi="Calibri" w:cs="Calibri"/>
        <w:sz w:val="20"/>
        <w:szCs w:val="20"/>
      </w:rPr>
      <w:tab/>
    </w:r>
    <w:r w:rsidR="00A53F89">
      <w:rPr>
        <w:rFonts w:ascii="Calibri" w:hAnsi="Calibri" w:cs="Calibri"/>
        <w:sz w:val="20"/>
        <w:szCs w:val="20"/>
      </w:rPr>
      <w:tab/>
    </w:r>
    <w:r w:rsidR="00A53F89" w:rsidRPr="00A53F89">
      <w:rPr>
        <w:rFonts w:ascii="Calibri" w:hAnsi="Calibri" w:cs="Calibri"/>
        <w:sz w:val="20"/>
        <w:szCs w:val="20"/>
      </w:rPr>
      <w:fldChar w:fldCharType="begin"/>
    </w:r>
    <w:r w:rsidR="00A53F89" w:rsidRPr="00A53F89">
      <w:rPr>
        <w:rFonts w:ascii="Calibri" w:hAnsi="Calibri" w:cs="Calibri"/>
        <w:sz w:val="20"/>
        <w:szCs w:val="20"/>
      </w:rPr>
      <w:instrText xml:space="preserve"> PAGE   \* MERGEFORMAT </w:instrText>
    </w:r>
    <w:r w:rsidR="00A53F89" w:rsidRPr="00A53F89">
      <w:rPr>
        <w:rFonts w:ascii="Calibri" w:hAnsi="Calibri" w:cs="Calibri"/>
        <w:sz w:val="20"/>
        <w:szCs w:val="20"/>
      </w:rPr>
      <w:fldChar w:fldCharType="separate"/>
    </w:r>
    <w:r w:rsidR="00A53F89" w:rsidRPr="00A53F89">
      <w:rPr>
        <w:rFonts w:ascii="Calibri" w:hAnsi="Calibri" w:cs="Calibri"/>
        <w:noProof/>
        <w:sz w:val="20"/>
        <w:szCs w:val="20"/>
      </w:rPr>
      <w:t>1</w:t>
    </w:r>
    <w:r w:rsidR="00A53F89" w:rsidRPr="00A53F89">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8CD92" w14:textId="77777777" w:rsidR="002D63CE" w:rsidRDefault="002D63CE" w:rsidP="002D63CE">
      <w:pPr>
        <w:spacing w:after="0"/>
      </w:pPr>
      <w:r>
        <w:separator/>
      </w:r>
    </w:p>
  </w:footnote>
  <w:footnote w:type="continuationSeparator" w:id="0">
    <w:p w14:paraId="25C4C704" w14:textId="77777777" w:rsidR="002D63CE" w:rsidRDefault="002D63CE" w:rsidP="002D63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F3AC5"/>
    <w:multiLevelType w:val="multilevel"/>
    <w:tmpl w:val="6CFA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E32B80"/>
    <w:multiLevelType w:val="hybridMultilevel"/>
    <w:tmpl w:val="EC42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04A51"/>
    <w:multiLevelType w:val="multilevel"/>
    <w:tmpl w:val="A38C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B7034"/>
    <w:multiLevelType w:val="multilevel"/>
    <w:tmpl w:val="754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822680">
    <w:abstractNumId w:val="2"/>
  </w:num>
  <w:num w:numId="2" w16cid:durableId="1747730442">
    <w:abstractNumId w:val="0"/>
  </w:num>
  <w:num w:numId="3" w16cid:durableId="2025592166">
    <w:abstractNumId w:val="3"/>
  </w:num>
  <w:num w:numId="4" w16cid:durableId="95544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CE"/>
    <w:rsid w:val="00057FD8"/>
    <w:rsid w:val="0009345E"/>
    <w:rsid w:val="000A5756"/>
    <w:rsid w:val="000C14A2"/>
    <w:rsid w:val="000D36B7"/>
    <w:rsid w:val="000E7BC7"/>
    <w:rsid w:val="00157B3E"/>
    <w:rsid w:val="0017766C"/>
    <w:rsid w:val="00187FD9"/>
    <w:rsid w:val="001B6661"/>
    <w:rsid w:val="0022037B"/>
    <w:rsid w:val="00223DAF"/>
    <w:rsid w:val="00295954"/>
    <w:rsid w:val="002D37BB"/>
    <w:rsid w:val="002D63CE"/>
    <w:rsid w:val="00300E2F"/>
    <w:rsid w:val="00307B43"/>
    <w:rsid w:val="003367CC"/>
    <w:rsid w:val="00346621"/>
    <w:rsid w:val="0038567A"/>
    <w:rsid w:val="003A5E26"/>
    <w:rsid w:val="003E5AD4"/>
    <w:rsid w:val="003F6983"/>
    <w:rsid w:val="004024D8"/>
    <w:rsid w:val="004159AA"/>
    <w:rsid w:val="00465BAE"/>
    <w:rsid w:val="004B38C1"/>
    <w:rsid w:val="005110C4"/>
    <w:rsid w:val="00532D27"/>
    <w:rsid w:val="00617A1A"/>
    <w:rsid w:val="00712E0C"/>
    <w:rsid w:val="00A00D35"/>
    <w:rsid w:val="00A1287D"/>
    <w:rsid w:val="00A53F89"/>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C6287"/>
    <w:rsid w:val="00DD212E"/>
    <w:rsid w:val="00E13D62"/>
    <w:rsid w:val="00E1697C"/>
    <w:rsid w:val="00E70EDF"/>
    <w:rsid w:val="00E73AC0"/>
    <w:rsid w:val="00E90494"/>
    <w:rsid w:val="00EE2D65"/>
    <w:rsid w:val="00F27DCD"/>
    <w:rsid w:val="00FD0BDE"/>
    <w:rsid w:val="0A0F2FAB"/>
    <w:rsid w:val="225ED307"/>
    <w:rsid w:val="32F92ADE"/>
    <w:rsid w:val="34727567"/>
    <w:rsid w:val="412EA09C"/>
    <w:rsid w:val="50F9CAA9"/>
    <w:rsid w:val="53DDC22C"/>
    <w:rsid w:val="6DD5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7D13"/>
  <w15:chartTrackingRefBased/>
  <w15:docId w15:val="{973A0DA9-3C32-40C5-A89D-A19FEA43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2D63C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unhideWhenUsed/>
    <w:qFormat/>
    <w:rsid w:val="002D63CE"/>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2D63CE"/>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2D63C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2D63C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2D63C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2D63C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2D63C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2D63C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3C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rsid w:val="002D63C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2D63C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2D63C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2D63C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2D63C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2D63C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2D63C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2D63CE"/>
    <w:rPr>
      <w:rFonts w:eastAsiaTheme="majorEastAsia" w:cstheme="majorBidi"/>
      <w:color w:val="005196" w:themeColor="text1" w:themeTint="D8"/>
    </w:rPr>
  </w:style>
  <w:style w:type="paragraph" w:styleId="Title">
    <w:name w:val="Title"/>
    <w:basedOn w:val="Normal"/>
    <w:next w:val="Normal"/>
    <w:link w:val="TitleChar"/>
    <w:uiPriority w:val="10"/>
    <w:qFormat/>
    <w:rsid w:val="002D63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3C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2D63C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2D63CE"/>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2D63CE"/>
    <w:rPr>
      <w:i/>
      <w:iCs/>
      <w:color w:val="0067BF" w:themeColor="text1" w:themeTint="BF"/>
    </w:rPr>
  </w:style>
  <w:style w:type="paragraph" w:styleId="ListParagraph">
    <w:name w:val="List Paragraph"/>
    <w:basedOn w:val="Normal"/>
    <w:uiPriority w:val="34"/>
    <w:qFormat/>
    <w:rsid w:val="002D63CE"/>
    <w:pPr>
      <w:ind w:left="720"/>
      <w:contextualSpacing/>
    </w:pPr>
  </w:style>
  <w:style w:type="character" w:styleId="IntenseEmphasis">
    <w:name w:val="Intense Emphasis"/>
    <w:basedOn w:val="DefaultParagraphFont"/>
    <w:uiPriority w:val="21"/>
    <w:qFormat/>
    <w:rsid w:val="002D63CE"/>
    <w:rPr>
      <w:i/>
      <w:iCs/>
      <w:color w:val="DA1F12" w:themeColor="accent1" w:themeShade="BF"/>
    </w:rPr>
  </w:style>
  <w:style w:type="paragraph" w:styleId="IntenseQuote">
    <w:name w:val="Intense Quote"/>
    <w:basedOn w:val="Normal"/>
    <w:next w:val="Normal"/>
    <w:link w:val="IntenseQuoteChar"/>
    <w:uiPriority w:val="30"/>
    <w:qFormat/>
    <w:rsid w:val="002D63C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2D63CE"/>
    <w:rPr>
      <w:i/>
      <w:iCs/>
      <w:color w:val="DA1F12" w:themeColor="accent1" w:themeShade="BF"/>
    </w:rPr>
  </w:style>
  <w:style w:type="character" w:styleId="IntenseReference">
    <w:name w:val="Intense Reference"/>
    <w:basedOn w:val="DefaultParagraphFont"/>
    <w:uiPriority w:val="32"/>
    <w:qFormat/>
    <w:rsid w:val="002D63CE"/>
    <w:rPr>
      <w:b/>
      <w:bCs/>
      <w:smallCaps/>
      <w:color w:val="DA1F12" w:themeColor="accent1" w:themeShade="BF"/>
      <w:spacing w:val="5"/>
    </w:rPr>
  </w:style>
  <w:style w:type="character" w:styleId="Hyperlink">
    <w:name w:val="Hyperlink"/>
    <w:basedOn w:val="DefaultParagraphFont"/>
    <w:uiPriority w:val="99"/>
    <w:unhideWhenUsed/>
    <w:rsid w:val="002D63CE"/>
    <w:rPr>
      <w:color w:val="002E55" w:themeColor="hyperlink"/>
      <w:u w:val="single"/>
    </w:rPr>
  </w:style>
  <w:style w:type="character" w:styleId="UnresolvedMention">
    <w:name w:val="Unresolved Mention"/>
    <w:basedOn w:val="DefaultParagraphFont"/>
    <w:uiPriority w:val="99"/>
    <w:semiHidden/>
    <w:unhideWhenUsed/>
    <w:rsid w:val="002D63CE"/>
    <w:rPr>
      <w:color w:val="605E5C"/>
      <w:shd w:val="clear" w:color="auto" w:fill="E1DFDD"/>
    </w:rPr>
  </w:style>
  <w:style w:type="paragraph" w:styleId="Header">
    <w:name w:val="header"/>
    <w:basedOn w:val="Normal"/>
    <w:link w:val="HeaderChar"/>
    <w:uiPriority w:val="99"/>
    <w:unhideWhenUsed/>
    <w:rsid w:val="002D63CE"/>
    <w:pPr>
      <w:tabs>
        <w:tab w:val="center" w:pos="4680"/>
        <w:tab w:val="right" w:pos="9360"/>
      </w:tabs>
      <w:spacing w:after="0"/>
    </w:pPr>
  </w:style>
  <w:style w:type="character" w:customStyle="1" w:styleId="HeaderChar">
    <w:name w:val="Header Char"/>
    <w:basedOn w:val="DefaultParagraphFont"/>
    <w:link w:val="Header"/>
    <w:uiPriority w:val="99"/>
    <w:rsid w:val="002D63CE"/>
  </w:style>
  <w:style w:type="paragraph" w:styleId="Footer">
    <w:name w:val="footer"/>
    <w:basedOn w:val="Normal"/>
    <w:link w:val="FooterChar"/>
    <w:uiPriority w:val="99"/>
    <w:unhideWhenUsed/>
    <w:rsid w:val="002D63CE"/>
    <w:pPr>
      <w:tabs>
        <w:tab w:val="center" w:pos="4680"/>
        <w:tab w:val="right" w:pos="9360"/>
      </w:tabs>
      <w:spacing w:after="0"/>
    </w:pPr>
  </w:style>
  <w:style w:type="character" w:customStyle="1" w:styleId="FooterChar">
    <w:name w:val="Footer Char"/>
    <w:basedOn w:val="DefaultParagraphFont"/>
    <w:link w:val="Footer"/>
    <w:uiPriority w:val="99"/>
    <w:rsid w:val="002D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91048">
      <w:bodyDiv w:val="1"/>
      <w:marLeft w:val="0"/>
      <w:marRight w:val="0"/>
      <w:marTop w:val="0"/>
      <w:marBottom w:val="0"/>
      <w:divBdr>
        <w:top w:val="none" w:sz="0" w:space="0" w:color="auto"/>
        <w:left w:val="none" w:sz="0" w:space="0" w:color="auto"/>
        <w:bottom w:val="none" w:sz="0" w:space="0" w:color="auto"/>
        <w:right w:val="none" w:sz="0" w:space="0" w:color="auto"/>
      </w:divBdr>
      <w:divsChild>
        <w:div w:id="1502701832">
          <w:marLeft w:val="0"/>
          <w:marRight w:val="0"/>
          <w:marTop w:val="0"/>
          <w:marBottom w:val="0"/>
          <w:divBdr>
            <w:top w:val="none" w:sz="0" w:space="0" w:color="auto"/>
            <w:left w:val="none" w:sz="0" w:space="0" w:color="auto"/>
            <w:bottom w:val="none" w:sz="0" w:space="0" w:color="auto"/>
            <w:right w:val="none" w:sz="0" w:space="0" w:color="auto"/>
          </w:divBdr>
        </w:div>
        <w:div w:id="9335053">
          <w:marLeft w:val="0"/>
          <w:marRight w:val="0"/>
          <w:marTop w:val="0"/>
          <w:marBottom w:val="0"/>
          <w:divBdr>
            <w:top w:val="none" w:sz="0" w:space="0" w:color="auto"/>
            <w:left w:val="none" w:sz="0" w:space="0" w:color="auto"/>
            <w:bottom w:val="none" w:sz="0" w:space="0" w:color="auto"/>
            <w:right w:val="none" w:sz="0" w:space="0" w:color="auto"/>
          </w:divBdr>
        </w:div>
        <w:div w:id="706371401">
          <w:marLeft w:val="0"/>
          <w:marRight w:val="0"/>
          <w:marTop w:val="0"/>
          <w:marBottom w:val="0"/>
          <w:divBdr>
            <w:top w:val="none" w:sz="0" w:space="0" w:color="auto"/>
            <w:left w:val="none" w:sz="0" w:space="0" w:color="auto"/>
            <w:bottom w:val="none" w:sz="0" w:space="0" w:color="auto"/>
            <w:right w:val="none" w:sz="0" w:space="0" w:color="auto"/>
          </w:divBdr>
        </w:div>
      </w:divsChild>
    </w:div>
    <w:div w:id="365522648">
      <w:bodyDiv w:val="1"/>
      <w:marLeft w:val="0"/>
      <w:marRight w:val="0"/>
      <w:marTop w:val="0"/>
      <w:marBottom w:val="0"/>
      <w:divBdr>
        <w:top w:val="none" w:sz="0" w:space="0" w:color="auto"/>
        <w:left w:val="none" w:sz="0" w:space="0" w:color="auto"/>
        <w:bottom w:val="none" w:sz="0" w:space="0" w:color="auto"/>
        <w:right w:val="none" w:sz="0" w:space="0" w:color="auto"/>
      </w:divBdr>
      <w:divsChild>
        <w:div w:id="250742127">
          <w:marLeft w:val="0"/>
          <w:marRight w:val="0"/>
          <w:marTop w:val="0"/>
          <w:marBottom w:val="0"/>
          <w:divBdr>
            <w:top w:val="none" w:sz="0" w:space="0" w:color="auto"/>
            <w:left w:val="none" w:sz="0" w:space="0" w:color="auto"/>
            <w:bottom w:val="none" w:sz="0" w:space="0" w:color="auto"/>
            <w:right w:val="none" w:sz="0" w:space="0" w:color="auto"/>
          </w:divBdr>
        </w:div>
        <w:div w:id="99959429">
          <w:marLeft w:val="0"/>
          <w:marRight w:val="0"/>
          <w:marTop w:val="0"/>
          <w:marBottom w:val="0"/>
          <w:divBdr>
            <w:top w:val="none" w:sz="0" w:space="0" w:color="auto"/>
            <w:left w:val="none" w:sz="0" w:space="0" w:color="auto"/>
            <w:bottom w:val="none" w:sz="0" w:space="0" w:color="auto"/>
            <w:right w:val="none" w:sz="0" w:space="0" w:color="auto"/>
          </w:divBdr>
        </w:div>
        <w:div w:id="35711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control-hazardous-energy?utm_source=chatgpt.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sha.gov/laws-regs/regulations/standardnumber/1910/1910.147?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sha.gov/laws-regs/regulations/standardnumber/1910/1910.147?utm_source=chatgpt.com" TargetMode="External"/><Relationship Id="rId14"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2025-04-03T16:16:37+00:00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27D268FF-9D1A-4BCF-8CF2-DFB9BF3795CC}"/>
</file>

<file path=customXml/itemProps2.xml><?xml version="1.0" encoding="utf-8"?>
<ds:datastoreItem xmlns:ds="http://schemas.openxmlformats.org/officeDocument/2006/customXml" ds:itemID="{A961BC5F-5A61-48FE-B5EB-7B929023FF41}"/>
</file>

<file path=customXml/itemProps3.xml><?xml version="1.0" encoding="utf-8"?>
<ds:datastoreItem xmlns:ds="http://schemas.openxmlformats.org/officeDocument/2006/customXml" ds:itemID="{C24ABFBD-EB08-47F6-BD62-EAC9687AE477}"/>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2923</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8</cp:revision>
  <dcterms:created xsi:type="dcterms:W3CDTF">2024-12-06T14:18:00Z</dcterms:created>
  <dcterms:modified xsi:type="dcterms:W3CDTF">2025-04-03T16:12:00Z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2024-12-06T14:21:49Z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b09dc2b3-daab-41f9-b2da-f10c87b83de5</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