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5C" w:rsidRPr="008B1B5C" w:rsidRDefault="003B64D0" w:rsidP="008B1B5C">
      <w:pPr>
        <w:rPr>
          <w:color w:val="1F497D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40D1B447" wp14:editId="338B8D7E">
            <wp:simplePos x="0" y="0"/>
            <wp:positionH relativeFrom="column">
              <wp:posOffset>3495675</wp:posOffset>
            </wp:positionH>
            <wp:positionV relativeFrom="paragraph">
              <wp:posOffset>110490</wp:posOffset>
            </wp:positionV>
            <wp:extent cx="2432685" cy="1209675"/>
            <wp:effectExtent l="0" t="0" r="0" b="0"/>
            <wp:wrapSquare wrapText="bothSides"/>
            <wp:docPr id="3" name="Picture 3" title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70823_ODE_HLogo TAG_2016-FINAL-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B5C" w:rsidRPr="008B1B5C" w:rsidRDefault="008B1B5C" w:rsidP="008B1B5C">
      <w:pPr>
        <w:rPr>
          <w:sz w:val="20"/>
        </w:rPr>
      </w:pPr>
    </w:p>
    <w:p w:rsidR="008B1B5C" w:rsidRPr="008B1B5C" w:rsidRDefault="008B1B5C" w:rsidP="008B1B5C">
      <w:pPr>
        <w:jc w:val="center"/>
        <w:rPr>
          <w:sz w:val="20"/>
        </w:rPr>
      </w:pPr>
      <w:r w:rsidRPr="008B1B5C">
        <w:rPr>
          <w:b/>
          <w:bCs/>
          <w:noProof/>
          <w:sz w:val="28"/>
          <w:szCs w:val="32"/>
        </w:rPr>
        <w:drawing>
          <wp:inline distT="0" distB="0" distL="0" distR="0" wp14:anchorId="773E8A14" wp14:editId="6B225404">
            <wp:extent cx="1720215" cy="868666"/>
            <wp:effectExtent l="0" t="0" r="0" b="8255"/>
            <wp:docPr id="2" name="Picture 2" title="Bureau of Labor and Industr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14DD8.D8B7BD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8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5C" w:rsidRPr="008B1B5C" w:rsidRDefault="008B1B5C" w:rsidP="008B1B5C">
      <w:pPr>
        <w:rPr>
          <w:b/>
          <w:bCs/>
          <w:sz w:val="20"/>
        </w:rPr>
      </w:pPr>
    </w:p>
    <w:p w:rsidR="008B1B5C" w:rsidRPr="00465D6B" w:rsidRDefault="008B1B5C" w:rsidP="008B1B5C">
      <w:r w:rsidRPr="00465D6B">
        <w:t>For immediate release</w:t>
      </w:r>
    </w:p>
    <w:p w:rsidR="008B1B5C" w:rsidRPr="00465D6B" w:rsidRDefault="00AD582B" w:rsidP="008B1B5C">
      <w:pPr>
        <w:rPr>
          <w:b/>
          <w:bCs/>
        </w:rPr>
      </w:pPr>
      <w:r>
        <w:rPr>
          <w:b/>
          <w:bCs/>
        </w:rPr>
        <w:t>December 4</w:t>
      </w:r>
      <w:r w:rsidR="00B55CEE" w:rsidRPr="00465D6B">
        <w:rPr>
          <w:b/>
          <w:bCs/>
        </w:rPr>
        <w:t>, 2017</w:t>
      </w:r>
    </w:p>
    <w:p w:rsidR="008B1B5C" w:rsidRPr="00465D6B" w:rsidRDefault="008B1B5C" w:rsidP="008B1B5C">
      <w:r w:rsidRPr="00465D6B">
        <w:t xml:space="preserve">Contact:                Charlie Burr, BOLI, (971) 673-0788  </w:t>
      </w:r>
    </w:p>
    <w:p w:rsidR="008B1B5C" w:rsidRPr="00465D6B" w:rsidRDefault="008B1B5C" w:rsidP="008B1B5C">
      <w:r w:rsidRPr="00465D6B">
        <w:t>                              </w:t>
      </w:r>
      <w:r w:rsidR="00CC6491" w:rsidRPr="00CF4B6C">
        <w:t>Tricia Yates</w:t>
      </w:r>
      <w:r w:rsidRPr="00465D6B">
        <w:t>, ODE, (503) 947-5650</w:t>
      </w:r>
    </w:p>
    <w:p w:rsidR="008B1B5C" w:rsidRPr="008B1B5C" w:rsidRDefault="008B1B5C" w:rsidP="008B1B5C">
      <w:pPr>
        <w:rPr>
          <w:szCs w:val="24"/>
        </w:rPr>
      </w:pPr>
      <w:r w:rsidRPr="008B1B5C">
        <w:rPr>
          <w:sz w:val="20"/>
        </w:rPr>
        <w:t xml:space="preserve">                                </w:t>
      </w:r>
    </w:p>
    <w:p w:rsidR="008B1B5C" w:rsidRPr="008B1B5C" w:rsidRDefault="008B1B5C" w:rsidP="008B1B5C">
      <w:pPr>
        <w:jc w:val="center"/>
        <w:rPr>
          <w:b/>
          <w:bCs/>
          <w:sz w:val="24"/>
        </w:rPr>
      </w:pPr>
      <w:r w:rsidRPr="008B1B5C">
        <w:rPr>
          <w:b/>
          <w:bCs/>
          <w:sz w:val="24"/>
        </w:rPr>
        <w:t xml:space="preserve">Oregon </w:t>
      </w:r>
      <w:r w:rsidR="00B55CEE">
        <w:rPr>
          <w:b/>
          <w:bCs/>
          <w:sz w:val="24"/>
        </w:rPr>
        <w:t>expands career readiness with $10.3</w:t>
      </w:r>
      <w:r w:rsidRPr="008B1B5C">
        <w:rPr>
          <w:b/>
          <w:bCs/>
          <w:sz w:val="24"/>
        </w:rPr>
        <w:t xml:space="preserve"> million investm</w:t>
      </w:r>
      <w:r w:rsidR="00D83728">
        <w:rPr>
          <w:b/>
          <w:bCs/>
          <w:sz w:val="24"/>
        </w:rPr>
        <w:t>ent in hands-on learning for 101</w:t>
      </w:r>
      <w:r w:rsidRPr="008B1B5C">
        <w:rPr>
          <w:b/>
          <w:bCs/>
          <w:sz w:val="24"/>
        </w:rPr>
        <w:t xml:space="preserve"> schools</w:t>
      </w:r>
    </w:p>
    <w:p w:rsidR="008B1B5C" w:rsidRPr="008B1B5C" w:rsidRDefault="008B1B5C" w:rsidP="008B1B5C">
      <w:pPr>
        <w:jc w:val="center"/>
        <w:rPr>
          <w:i/>
          <w:iCs/>
          <w:sz w:val="24"/>
        </w:rPr>
      </w:pPr>
      <w:r w:rsidRPr="00465D6B">
        <w:rPr>
          <w:i/>
          <w:iCs/>
          <w:sz w:val="24"/>
        </w:rPr>
        <w:t>“</w:t>
      </w:r>
      <w:r w:rsidR="00C632B8" w:rsidRPr="00AA51DA">
        <w:rPr>
          <w:sz w:val="24"/>
        </w:rPr>
        <w:t>Our</w:t>
      </w:r>
      <w:r w:rsidR="00C632B8">
        <w:rPr>
          <w:sz w:val="24"/>
        </w:rPr>
        <w:t xml:space="preserve"> ability to attract good jobs is fundamentally linked to the availability of a skilled workforc</w:t>
      </w:r>
      <w:r w:rsidR="00C632B8" w:rsidRPr="00AA51DA">
        <w:rPr>
          <w:sz w:val="24"/>
        </w:rPr>
        <w:t>e</w:t>
      </w:r>
      <w:r w:rsidRPr="00465D6B">
        <w:rPr>
          <w:i/>
          <w:iCs/>
          <w:sz w:val="24"/>
        </w:rPr>
        <w:t>,”</w:t>
      </w:r>
      <w:r w:rsidRPr="008B1B5C">
        <w:rPr>
          <w:i/>
          <w:iCs/>
          <w:sz w:val="24"/>
        </w:rPr>
        <w:t xml:space="preserve"> says Avakian</w:t>
      </w:r>
    </w:p>
    <w:p w:rsidR="008B1B5C" w:rsidRPr="008B1B5C" w:rsidRDefault="008B1B5C" w:rsidP="008B1B5C">
      <w:pPr>
        <w:spacing w:before="100" w:beforeAutospacing="1" w:after="100" w:afterAutospacing="1"/>
        <w:rPr>
          <w:sz w:val="24"/>
        </w:rPr>
      </w:pPr>
      <w:r w:rsidRPr="008B1B5C">
        <w:rPr>
          <w:b/>
          <w:bCs/>
          <w:sz w:val="24"/>
        </w:rPr>
        <w:t>PORTLAND, OR—</w:t>
      </w:r>
      <w:r w:rsidR="00BA3944">
        <w:rPr>
          <w:sz w:val="24"/>
        </w:rPr>
        <w:t xml:space="preserve">One hundred and </w:t>
      </w:r>
      <w:r w:rsidR="00D6727F">
        <w:rPr>
          <w:sz w:val="24"/>
        </w:rPr>
        <w:t>one</w:t>
      </w:r>
      <w:r w:rsidRPr="008B1B5C">
        <w:rPr>
          <w:sz w:val="24"/>
        </w:rPr>
        <w:t xml:space="preserve"> Oregon m</w:t>
      </w:r>
      <w:r w:rsidR="00737C5B">
        <w:rPr>
          <w:sz w:val="24"/>
        </w:rPr>
        <w:t xml:space="preserve">iddle schools and high schools </w:t>
      </w:r>
      <w:r w:rsidRPr="008B1B5C">
        <w:rPr>
          <w:sz w:val="24"/>
        </w:rPr>
        <w:t>have secured care</w:t>
      </w:r>
      <w:r w:rsidR="00737C5B">
        <w:rPr>
          <w:sz w:val="24"/>
        </w:rPr>
        <w:t>er readiness grants totaling $10.3</w:t>
      </w:r>
      <w:r w:rsidRPr="008B1B5C">
        <w:rPr>
          <w:sz w:val="24"/>
        </w:rPr>
        <w:t xml:space="preserve"> million, Labor Commissioner Brad Avakian and </w:t>
      </w:r>
      <w:r w:rsidR="00AD582B">
        <w:rPr>
          <w:sz w:val="24"/>
        </w:rPr>
        <w:t xml:space="preserve">Acting </w:t>
      </w:r>
      <w:r w:rsidRPr="008B1B5C">
        <w:rPr>
          <w:sz w:val="24"/>
        </w:rPr>
        <w:t>Deputy Superintendent o</w:t>
      </w:r>
      <w:r w:rsidR="00B55CEE">
        <w:rPr>
          <w:sz w:val="24"/>
        </w:rPr>
        <w:t xml:space="preserve">f Public Instruction Colt Gill </w:t>
      </w:r>
      <w:r w:rsidRPr="008B1B5C">
        <w:rPr>
          <w:sz w:val="24"/>
        </w:rPr>
        <w:t>announced today.   </w:t>
      </w:r>
    </w:p>
    <w:p w:rsidR="008B1B5C" w:rsidRPr="008B1B5C" w:rsidRDefault="008B1B5C" w:rsidP="008B1B5C">
      <w:pPr>
        <w:spacing w:before="100" w:beforeAutospacing="1" w:after="100" w:afterAutospacing="1"/>
        <w:rPr>
          <w:sz w:val="24"/>
        </w:rPr>
      </w:pPr>
      <w:r w:rsidRPr="008B1B5C">
        <w:rPr>
          <w:sz w:val="24"/>
        </w:rPr>
        <w:t>The CTE Revitalization Grant funds will serve diverse communities around the state with programs focused on advanced manufacturing, engineering, agric</w:t>
      </w:r>
      <w:r w:rsidR="00737C5B">
        <w:rPr>
          <w:sz w:val="24"/>
        </w:rPr>
        <w:t>ultural science, aviation, robotics</w:t>
      </w:r>
      <w:r w:rsidRPr="008B1B5C">
        <w:rPr>
          <w:sz w:val="24"/>
        </w:rPr>
        <w:t>, forestry,</w:t>
      </w:r>
      <w:r w:rsidR="00737C5B">
        <w:rPr>
          <w:sz w:val="24"/>
        </w:rPr>
        <w:t xml:space="preserve"> home construction/renovation and biomedical/health sciences.</w:t>
      </w:r>
    </w:p>
    <w:p w:rsidR="00BB5E1C" w:rsidRDefault="008B1B5C" w:rsidP="008B1B5C">
      <w:pPr>
        <w:spacing w:before="100" w:beforeAutospacing="1" w:after="100" w:afterAutospacing="1"/>
        <w:rPr>
          <w:sz w:val="24"/>
          <w:highlight w:val="yellow"/>
        </w:rPr>
      </w:pPr>
      <w:r w:rsidRPr="008B1B5C">
        <w:rPr>
          <w:sz w:val="24"/>
        </w:rPr>
        <w:t>“</w:t>
      </w:r>
      <w:r w:rsidR="00BB5E1C">
        <w:rPr>
          <w:sz w:val="24"/>
        </w:rPr>
        <w:t>Our state’s ability to attract and retain good jobs is fundamentally linked to the availability of a skilled workforce</w:t>
      </w:r>
      <w:r w:rsidRPr="008B1B5C">
        <w:rPr>
          <w:sz w:val="24"/>
        </w:rPr>
        <w:t xml:space="preserve">,” said </w:t>
      </w:r>
      <w:r w:rsidRPr="00AA51DA">
        <w:rPr>
          <w:sz w:val="24"/>
        </w:rPr>
        <w:t>Labor Commissioner Brad Avakian. “</w:t>
      </w:r>
      <w:r w:rsidRPr="00465D6B">
        <w:rPr>
          <w:sz w:val="24"/>
        </w:rPr>
        <w:t xml:space="preserve">Today’s grants </w:t>
      </w:r>
      <w:r w:rsidR="00BB5E1C" w:rsidRPr="00465D6B">
        <w:rPr>
          <w:sz w:val="24"/>
        </w:rPr>
        <w:t xml:space="preserve">mean that more students </w:t>
      </w:r>
      <w:r w:rsidR="00C632B8" w:rsidRPr="00465D6B">
        <w:rPr>
          <w:sz w:val="24"/>
        </w:rPr>
        <w:t xml:space="preserve">around the state </w:t>
      </w:r>
      <w:r w:rsidR="00BB5E1C" w:rsidRPr="00465D6B">
        <w:rPr>
          <w:sz w:val="24"/>
        </w:rPr>
        <w:t>will have access to hand</w:t>
      </w:r>
      <w:r w:rsidR="003A7CBD">
        <w:rPr>
          <w:sz w:val="24"/>
        </w:rPr>
        <w:t>s-on learning programs</w:t>
      </w:r>
      <w:r w:rsidR="00BB5E1C" w:rsidRPr="00465D6B">
        <w:rPr>
          <w:sz w:val="24"/>
        </w:rPr>
        <w:t xml:space="preserve">. As our economy changes </w:t>
      </w:r>
      <w:r w:rsidR="00C632B8" w:rsidRPr="00465D6B">
        <w:rPr>
          <w:sz w:val="24"/>
        </w:rPr>
        <w:t xml:space="preserve">– especially with automation on the rise – the importance of </w:t>
      </w:r>
      <w:r w:rsidR="00C37949" w:rsidRPr="00AA51DA">
        <w:rPr>
          <w:sz w:val="24"/>
        </w:rPr>
        <w:t xml:space="preserve">skills training in </w:t>
      </w:r>
      <w:r w:rsidR="00C632B8" w:rsidRPr="00465D6B">
        <w:rPr>
          <w:sz w:val="24"/>
        </w:rPr>
        <w:t>middle school</w:t>
      </w:r>
      <w:r w:rsidR="00C37949">
        <w:rPr>
          <w:sz w:val="24"/>
        </w:rPr>
        <w:t>, high school</w:t>
      </w:r>
      <w:r w:rsidR="00C632B8" w:rsidRPr="00465D6B">
        <w:rPr>
          <w:sz w:val="24"/>
        </w:rPr>
        <w:t xml:space="preserve"> and throughout a person’s career will only continue to grow.”</w:t>
      </w:r>
    </w:p>
    <w:p w:rsidR="008B1B5C" w:rsidRPr="008B1B5C" w:rsidRDefault="008B1B5C" w:rsidP="008B1B5C">
      <w:pPr>
        <w:spacing w:before="100" w:beforeAutospacing="1" w:after="100" w:afterAutospacing="1"/>
        <w:rPr>
          <w:sz w:val="24"/>
        </w:rPr>
      </w:pPr>
      <w:r w:rsidRPr="008B1B5C">
        <w:rPr>
          <w:sz w:val="24"/>
        </w:rPr>
        <w:t>I</w:t>
      </w:r>
      <w:r w:rsidR="00737C5B">
        <w:rPr>
          <w:sz w:val="24"/>
        </w:rPr>
        <w:t>n total, the 32</w:t>
      </w:r>
      <w:r w:rsidRPr="008B1B5C">
        <w:rPr>
          <w:sz w:val="24"/>
        </w:rPr>
        <w:t xml:space="preserve"> grants will leverage additional funds</w:t>
      </w:r>
      <w:r w:rsidR="00737C5B">
        <w:rPr>
          <w:sz w:val="24"/>
        </w:rPr>
        <w:t xml:space="preserve"> and</w:t>
      </w:r>
      <w:r w:rsidR="00BA3944">
        <w:rPr>
          <w:sz w:val="24"/>
        </w:rPr>
        <w:t xml:space="preserve"> resources from 335</w:t>
      </w:r>
      <w:r w:rsidR="00737C5B">
        <w:rPr>
          <w:sz w:val="24"/>
        </w:rPr>
        <w:t xml:space="preserve"> </w:t>
      </w:r>
      <w:r w:rsidRPr="008B1B5C">
        <w:rPr>
          <w:sz w:val="24"/>
        </w:rPr>
        <w:t xml:space="preserve">local business and community partners.  </w:t>
      </w:r>
    </w:p>
    <w:p w:rsidR="008B1B5C" w:rsidRPr="008B1B5C" w:rsidRDefault="008B1B5C" w:rsidP="008B1B5C">
      <w:pPr>
        <w:pStyle w:val="NormalWeb"/>
        <w:rPr>
          <w:rFonts w:ascii="Calibri" w:hAnsi="Calibri"/>
          <w:color w:val="000000"/>
          <w:szCs w:val="22"/>
          <w:shd w:val="clear" w:color="auto" w:fill="FFFFFF"/>
        </w:rPr>
      </w:pPr>
      <w:r w:rsidRPr="008B1B5C">
        <w:rPr>
          <w:rFonts w:ascii="Calibri" w:hAnsi="Calibri"/>
          <w:color w:val="000000"/>
          <w:szCs w:val="22"/>
          <w:shd w:val="clear" w:color="auto" w:fill="FFFFFF"/>
        </w:rPr>
        <w:t> “</w:t>
      </w:r>
      <w:r w:rsidRPr="00465D6B">
        <w:rPr>
          <w:rFonts w:ascii="Calibri" w:hAnsi="Calibri"/>
          <w:color w:val="000000"/>
          <w:szCs w:val="22"/>
          <w:shd w:val="clear" w:color="auto" w:fill="FFFFFF"/>
        </w:rPr>
        <w:t xml:space="preserve">These grants will help more students prepare for college and career,” said </w:t>
      </w:r>
      <w:r w:rsidR="00AD582B" w:rsidRPr="00477053">
        <w:rPr>
          <w:rFonts w:ascii="Calibri" w:hAnsi="Calibri"/>
          <w:color w:val="000000"/>
          <w:szCs w:val="22"/>
          <w:shd w:val="clear" w:color="auto" w:fill="FFFFFF"/>
        </w:rPr>
        <w:t xml:space="preserve">Acting </w:t>
      </w:r>
      <w:r w:rsidR="00737C5B" w:rsidRPr="00477053">
        <w:rPr>
          <w:rFonts w:ascii="Calibri" w:hAnsi="Calibri"/>
          <w:color w:val="000000"/>
          <w:szCs w:val="22"/>
          <w:shd w:val="clear" w:color="auto" w:fill="FFFFFF"/>
        </w:rPr>
        <w:t>Deputy Superintendent Colt Gill</w:t>
      </w:r>
      <w:r w:rsidRPr="00477053">
        <w:rPr>
          <w:rFonts w:ascii="Calibri" w:hAnsi="Calibri"/>
          <w:color w:val="000000"/>
          <w:szCs w:val="22"/>
          <w:shd w:val="clear" w:color="auto" w:fill="FFFFFF"/>
        </w:rPr>
        <w:t>. "I’m very pleased to see the ongoing expansion of hands-on, applied learning to more schools around the state. These programs are good for students, good for businesses, and good for local communities.”</w:t>
      </w:r>
    </w:p>
    <w:p w:rsidR="008B1B5C" w:rsidRPr="008B1B5C" w:rsidRDefault="008B1B5C" w:rsidP="008B1B5C">
      <w:pPr>
        <w:pStyle w:val="NormalWeb"/>
        <w:rPr>
          <w:rFonts w:ascii="Calibri" w:hAnsi="Calibri"/>
          <w:szCs w:val="22"/>
        </w:rPr>
      </w:pPr>
      <w:r w:rsidRPr="008B1B5C">
        <w:rPr>
          <w:rFonts w:ascii="Calibri" w:hAnsi="Calibri"/>
          <w:szCs w:val="22"/>
        </w:rPr>
        <w:t xml:space="preserve">Graduation rates for students in </w:t>
      </w:r>
      <w:r w:rsidR="00737C5B">
        <w:rPr>
          <w:rFonts w:ascii="Calibri" w:hAnsi="Calibri"/>
          <w:szCs w:val="22"/>
        </w:rPr>
        <w:t xml:space="preserve">Oregon </w:t>
      </w:r>
      <w:r w:rsidRPr="008B1B5C">
        <w:rPr>
          <w:rFonts w:ascii="Calibri" w:hAnsi="Calibri"/>
          <w:szCs w:val="22"/>
        </w:rPr>
        <w:t>CT</w:t>
      </w:r>
      <w:r w:rsidR="009475E3">
        <w:rPr>
          <w:rFonts w:ascii="Calibri" w:hAnsi="Calibri"/>
          <w:szCs w:val="22"/>
        </w:rPr>
        <w:t xml:space="preserve">E programs are 15.5% </w:t>
      </w:r>
      <w:r w:rsidR="00C632B8">
        <w:rPr>
          <w:rFonts w:ascii="Calibri" w:hAnsi="Calibri"/>
          <w:szCs w:val="22"/>
        </w:rPr>
        <w:t xml:space="preserve">higher </w:t>
      </w:r>
      <w:r w:rsidR="009475E3">
        <w:rPr>
          <w:rFonts w:ascii="Calibri" w:hAnsi="Calibri"/>
          <w:szCs w:val="22"/>
        </w:rPr>
        <w:t>than the statewide average.</w:t>
      </w:r>
    </w:p>
    <w:p w:rsidR="008B1B5C" w:rsidRPr="008B1B5C" w:rsidRDefault="008B1B5C" w:rsidP="008B1B5C">
      <w:pPr>
        <w:spacing w:before="100" w:beforeAutospacing="1" w:after="100" w:afterAutospacing="1"/>
        <w:rPr>
          <w:rFonts w:ascii="Arial" w:hAnsi="Arial" w:cs="Arial"/>
          <w:sz w:val="24"/>
        </w:rPr>
      </w:pPr>
      <w:r w:rsidRPr="008B1B5C">
        <w:rPr>
          <w:sz w:val="24"/>
        </w:rPr>
        <w:t>The grants build on earlier investments by the Orego</w:t>
      </w:r>
      <w:r w:rsidR="00737C5B">
        <w:rPr>
          <w:sz w:val="24"/>
        </w:rPr>
        <w:t xml:space="preserve">n Legislature in 2011, 2013, </w:t>
      </w:r>
      <w:r w:rsidRPr="008B1B5C">
        <w:rPr>
          <w:sz w:val="24"/>
        </w:rPr>
        <w:t>20</w:t>
      </w:r>
      <w:r w:rsidR="00737C5B">
        <w:rPr>
          <w:sz w:val="24"/>
        </w:rPr>
        <w:t>14, and 2015 totaling $23</w:t>
      </w:r>
      <w:r w:rsidRPr="008B1B5C">
        <w:rPr>
          <w:sz w:val="24"/>
        </w:rPr>
        <w:t xml:space="preserve"> million.</w:t>
      </w:r>
      <w:r w:rsidRPr="008B1B5C">
        <w:rPr>
          <w:b/>
          <w:bCs/>
          <w:sz w:val="24"/>
        </w:rPr>
        <w:t xml:space="preserve"> </w:t>
      </w:r>
    </w:p>
    <w:p w:rsidR="008B1B5C" w:rsidRDefault="008B1B5C" w:rsidP="002C52DC">
      <w:pPr>
        <w:spacing w:before="100" w:beforeAutospacing="1" w:after="100" w:afterAutospacing="1"/>
        <w:rPr>
          <w:sz w:val="24"/>
        </w:rPr>
      </w:pPr>
      <w:r w:rsidRPr="008B1B5C">
        <w:rPr>
          <w:sz w:val="24"/>
        </w:rPr>
        <w:t xml:space="preserve">The CTE Revitalization Advisory Committee – comprised of representatives from organized labor, trade organizations, education and Oregon’s energy and </w:t>
      </w:r>
      <w:r w:rsidR="00737C5B">
        <w:rPr>
          <w:sz w:val="24"/>
        </w:rPr>
        <w:t>business community – reviewed 64</w:t>
      </w:r>
      <w:r w:rsidR="009475E3">
        <w:rPr>
          <w:sz w:val="24"/>
        </w:rPr>
        <w:t xml:space="preserve"> applications totaling $21</w:t>
      </w:r>
      <w:r w:rsidRPr="008B1B5C">
        <w:rPr>
          <w:sz w:val="24"/>
        </w:rPr>
        <w:t xml:space="preserve"> million in requests. The committee prioritized applications based on geographic diversity, community partnerships, and programs that lead to high-wage, high-demand occupations, especially for historically underserved students.</w:t>
      </w:r>
      <w:r w:rsidR="009475E3">
        <w:rPr>
          <w:sz w:val="24"/>
        </w:rPr>
        <w:t xml:space="preserve">  </w:t>
      </w:r>
    </w:p>
    <w:p w:rsidR="00CC6491" w:rsidRPr="008B1B5C" w:rsidRDefault="00CC6491" w:rsidP="002C52DC">
      <w:pPr>
        <w:spacing w:before="100" w:beforeAutospacing="1" w:after="100" w:afterAutospacing="1"/>
        <w:rPr>
          <w:sz w:val="24"/>
        </w:rPr>
      </w:pPr>
      <w:r>
        <w:t xml:space="preserve">In addition to the regular CTE Revitalization Grant, a summer supplement was also offered for schools wishing to expand opportunities for students outside of the regular school year.  </w:t>
      </w:r>
    </w:p>
    <w:tbl>
      <w:tblPr>
        <w:tblStyle w:val="TableGridLight"/>
        <w:tblW w:w="9918" w:type="dxa"/>
        <w:tblLook w:val="04A0" w:firstRow="1" w:lastRow="0" w:firstColumn="1" w:lastColumn="0" w:noHBand="0" w:noVBand="1"/>
        <w:tblCaption w:val="Table of CTE Grant Recipients and Award Amounts"/>
        <w:tblDescription w:val="Athena Weston SD: $271,628; Beaverton SD: $317,286; Bend La Pine SD/Bend High School: $328,126; Bend La Pine SD/La Pine High School: $334,715; Bethel SD: $332,181; Cascade SD: $45,000; Lincoln City Career Tech High School: $336,286; David Douglas SD: $44,506; Dayton SD: $418,829; Douglas ESD: $432,367; Forest Grove SD: $434,387; Gresham Barlow SD: $430,493; Hillsboro SD: $434,675; Jefferson County SD: $436,286; Junction City SD: $336,286; Lake County SD: $336,286; Lincoln County SD: $335,459; McMinnville SD: $283,711; Mt. Angel SD: $283,993; Multnomah ESD: $336,286; North Bend SD: $336,286; North Marion SD: $75,615; North Santiam SD: $376,286; Perrydale SD: $372,286; Prairie City SD: $336,286; Roseburg SD: $99,999; Salem Keizer SD: $98,885; Scappoose SD: $423,455; Southern Oregon ESD: $382,226; Wallowa County ESD: $431,162; Warrenton Hammond SD: $436,286; West Linn Wilsonville SD: $422,715."/>
      </w:tblPr>
      <w:tblGrid>
        <w:gridCol w:w="1908"/>
        <w:gridCol w:w="3240"/>
        <w:gridCol w:w="1800"/>
        <w:gridCol w:w="1710"/>
        <w:gridCol w:w="1260"/>
      </w:tblGrid>
      <w:tr w:rsidR="002C52DC" w:rsidRPr="002C52DC" w:rsidTr="00B36F60">
        <w:trPr>
          <w:trHeight w:val="485"/>
          <w:tblHeader/>
        </w:trPr>
        <w:tc>
          <w:tcPr>
            <w:tcW w:w="1908" w:type="dxa"/>
            <w:shd w:val="clear" w:color="auto" w:fill="F2F2F2" w:themeFill="background1" w:themeFillShade="F2"/>
            <w:vAlign w:val="center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b/>
                <w:i/>
                <w:sz w:val="20"/>
              </w:rPr>
              <w:t>Recipient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b/>
                <w:i/>
                <w:sz w:val="20"/>
              </w:rPr>
              <w:t>Project Name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b/>
                <w:i/>
                <w:sz w:val="20"/>
              </w:rPr>
              <w:t>Regular Award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b/>
                <w:i/>
                <w:sz w:val="20"/>
              </w:rPr>
              <w:t>Summer Award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b/>
                <w:i/>
                <w:sz w:val="20"/>
              </w:rPr>
              <w:t>Total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Athena Weston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Weston McEwen CTE Project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$271,628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$271,628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Beaverton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Southridge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Embrace, Inspire, Empower-CTE Opportunities for All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$317,286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$317,286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Bend-La Pine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Bend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Bend High School Culinary Kitchen Upgrade and Food Truck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$328,126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$328,126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Bend-La Pine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La Pine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LaPine HS MFG &amp; Construction Tech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$334,715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$334,715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Bethel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CTE Cruise: Engaging &amp; Inspiring Grade 8 Students to Pursue CTE Pathways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$332,181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$332,181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Cascade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Approaching MACH Speed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$45,000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$45,000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Lincoln City Career Tech HS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Coastal Drone Academy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David Douglas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Design, Create, Make! Middle School Summer Camp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$44,506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$44,506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Dayton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Innovate Dayton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$336,029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$82,800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$418,829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Douglas ESD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Douglas Healthcare Career Pathways Program (DCHCP)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$432,367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sz w:val="20"/>
              </w:rPr>
            </w:pPr>
            <w:r w:rsidRPr="002C52DC">
              <w:rPr>
                <w:sz w:val="20"/>
              </w:rPr>
              <w:t>$432,367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Forest Grove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Forest Grove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Forest Grove HS Mechatronics Pathway</w:t>
            </w:r>
          </w:p>
        </w:tc>
        <w:tc>
          <w:tcPr>
            <w:tcW w:w="1800" w:type="dxa"/>
          </w:tcPr>
          <w:p w:rsidR="002C52DC" w:rsidRPr="002C52DC" w:rsidRDefault="006B6572" w:rsidP="00B36F60">
            <w:pPr>
              <w:rPr>
                <w:sz w:val="20"/>
              </w:rPr>
            </w:pPr>
            <w:r>
              <w:rPr>
                <w:sz w:val="20"/>
              </w:rPr>
              <w:t>$334,68</w:t>
            </w:r>
            <w:r w:rsidR="002C52DC" w:rsidRPr="002C52DC">
              <w:rPr>
                <w:sz w:val="20"/>
              </w:rPr>
              <w:t>8</w:t>
            </w:r>
          </w:p>
        </w:tc>
        <w:tc>
          <w:tcPr>
            <w:tcW w:w="1710" w:type="dxa"/>
          </w:tcPr>
          <w:p w:rsidR="002C52DC" w:rsidRPr="002C52DC" w:rsidRDefault="006B6572" w:rsidP="00B36F60">
            <w:pPr>
              <w:rPr>
                <w:sz w:val="20"/>
              </w:rPr>
            </w:pPr>
            <w:r>
              <w:rPr>
                <w:sz w:val="20"/>
              </w:rPr>
              <w:t>$99,699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</w:t>
            </w:r>
            <w:r w:rsidR="00FD590F" w:rsidRPr="00FD590F">
              <w:rPr>
                <w:sz w:val="20"/>
              </w:rPr>
              <w:t>434,387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Gresham-Barlow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Center for Advanced Learning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Updraft to Apprenticeship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$430,493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$0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$430,493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Hillsboro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Bioscience Technologies Program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$334,715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$99,960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$434,675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Jefferson County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Warm Springs &amp; Madras: Middle School to High School CTE Pathway Focused on Underrepresented Minorities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$100,000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$436,286</w:t>
            </w:r>
          </w:p>
        </w:tc>
      </w:tr>
      <w:tr w:rsidR="002C52DC" w:rsidRPr="002C52DC" w:rsidTr="00B36F60">
        <w:trPr>
          <w:trHeight w:val="620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Junction City SD</w:t>
            </w:r>
          </w:p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Junction City High School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Junction City HS Culinary Arts Revitalization Project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Lake County SD 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Revitalization of Welding and Small Engines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Lincoln County SD</w:t>
            </w:r>
            <w:r w:rsidR="00000B4F">
              <w:rPr>
                <w:sz w:val="20"/>
              </w:rPr>
              <w:t xml:space="preserve"> </w:t>
            </w:r>
            <w:r w:rsidR="00000B4F" w:rsidRPr="002C52DC">
              <w:rPr>
                <w:sz w:val="20"/>
              </w:rPr>
              <w:t>Waldport High S</w:t>
            </w:r>
            <w:r w:rsidR="00000B4F">
              <w:rPr>
                <w:sz w:val="20"/>
              </w:rPr>
              <w:t>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Full Steam Ahead 2.0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$335,459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$335,459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McMinnville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CTE Seminar Project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$190,574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$93,137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$283,711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Mt. Angel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Building Opportunities by Local Design (BOLD)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$283,993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$283,993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Multnomah ESD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Helensview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Blazing the Way: Phoenix Industries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Bend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Bend Trades Center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Marion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Marion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Marion Habitat Partnership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$75,615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$75,615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Santiam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North Santiam Pathways to Health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$40,000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$376,286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Perrydale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Designing the Future of Agriculture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$36,000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$372,286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Prairie City 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Agricultural Science &amp; Technology Instructor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</w:tr>
      <w:tr w:rsidR="002C52DC" w:rsidRPr="002C52DC" w:rsidTr="00B36F60">
        <w:trPr>
          <w:trHeight w:val="593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Roseburg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Roseburg High School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Expanding Horizons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$99,999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$99,999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Salem-Keizer SD 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Roadmap for Success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$0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$98,885 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$98,885 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Scappoose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Scappoose High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SHS Innovation Center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$336,286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$87,169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$423,455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Southern Oregon ESD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Southern Oregon Air Academy Partnership Project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$382,226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$382,226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Wallowa County ESD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Joseph Charter School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Joseph Charter School New Heights Aviation Center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$431,162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$431,162</w:t>
            </w:r>
          </w:p>
        </w:tc>
      </w:tr>
      <w:tr w:rsidR="002C52DC" w:rsidRPr="002C52DC" w:rsidTr="00B36F60">
        <w:trPr>
          <w:trHeight w:val="620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Warrenton-Hammond SD</w:t>
            </w:r>
          </w:p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Warrenton High School</w:t>
            </w: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Revolutionizing CTE with Warrenton Technology Center</w:t>
            </w: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 xml:space="preserve">$336,286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 xml:space="preserve">$100,000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b/>
                <w:i/>
                <w:sz w:val="20"/>
              </w:rPr>
            </w:pPr>
            <w:r w:rsidRPr="002C52DC">
              <w:rPr>
                <w:sz w:val="20"/>
              </w:rPr>
              <w:t>$436,286</w:t>
            </w:r>
          </w:p>
        </w:tc>
      </w:tr>
      <w:tr w:rsidR="002C52DC" w:rsidRPr="002C52DC" w:rsidTr="00B36F60">
        <w:trPr>
          <w:trHeight w:val="478"/>
        </w:trPr>
        <w:tc>
          <w:tcPr>
            <w:tcW w:w="1908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West Linn-Wilsonville SD</w:t>
            </w:r>
          </w:p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West Linn-Wilsonville School District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324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Engineering &amp; Multimedia Design Project</w:t>
            </w:r>
          </w:p>
          <w:p w:rsidR="002C52DC" w:rsidRPr="002C52DC" w:rsidRDefault="002C52DC" w:rsidP="00B36F60">
            <w:pPr>
              <w:rPr>
                <w:sz w:val="20"/>
              </w:rPr>
            </w:pPr>
          </w:p>
        </w:tc>
        <w:tc>
          <w:tcPr>
            <w:tcW w:w="180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$328,215 </w:t>
            </w:r>
          </w:p>
        </w:tc>
        <w:tc>
          <w:tcPr>
            <w:tcW w:w="171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 xml:space="preserve">$94,500 </w:t>
            </w:r>
          </w:p>
        </w:tc>
        <w:tc>
          <w:tcPr>
            <w:tcW w:w="1260" w:type="dxa"/>
          </w:tcPr>
          <w:p w:rsidR="002C52DC" w:rsidRPr="002C52DC" w:rsidRDefault="002C52DC" w:rsidP="00B36F60">
            <w:pPr>
              <w:rPr>
                <w:sz w:val="20"/>
              </w:rPr>
            </w:pPr>
            <w:r w:rsidRPr="002C52DC">
              <w:rPr>
                <w:sz w:val="20"/>
              </w:rPr>
              <w:t>$422,715</w:t>
            </w:r>
          </w:p>
        </w:tc>
      </w:tr>
    </w:tbl>
    <w:p w:rsidR="008B1B5C" w:rsidRPr="00005CE1" w:rsidRDefault="008B1B5C" w:rsidP="008B1B5C">
      <w:pPr>
        <w:spacing w:before="100" w:beforeAutospacing="1" w:after="100" w:afterAutospacing="1"/>
        <w:rPr>
          <w:sz w:val="24"/>
        </w:rPr>
      </w:pPr>
      <w:r w:rsidRPr="00005CE1">
        <w:rPr>
          <w:sz w:val="24"/>
        </w:rPr>
        <w:t>A diverse coalition of advocates will seek to refill and expan</w:t>
      </w:r>
      <w:r w:rsidR="009475E3" w:rsidRPr="00005CE1">
        <w:rPr>
          <w:sz w:val="24"/>
        </w:rPr>
        <w:t>d the grant fund during the 2019</w:t>
      </w:r>
      <w:r w:rsidRPr="00005CE1">
        <w:rPr>
          <w:sz w:val="24"/>
        </w:rPr>
        <w:t xml:space="preserve"> Oregon legislative session as part of the larger effort to ensure that every middle school and high school has access to high-quality and engaging CTE programs. </w:t>
      </w:r>
    </w:p>
    <w:p w:rsidR="001C26BA" w:rsidRPr="009475E3" w:rsidRDefault="00E21D18" w:rsidP="00E21D18">
      <w:pPr>
        <w:spacing w:after="240"/>
        <w:jc w:val="center"/>
        <w:rPr>
          <w:sz w:val="24"/>
        </w:rPr>
      </w:pPr>
      <w:r>
        <w:rPr>
          <w:sz w:val="24"/>
        </w:rPr>
        <w:t># # #</w:t>
      </w:r>
    </w:p>
    <w:sectPr w:rsidR="001C26BA" w:rsidRPr="009475E3" w:rsidSect="002C52D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B48" w:rsidRDefault="004C2B48" w:rsidP="002C52DC">
      <w:r>
        <w:separator/>
      </w:r>
    </w:p>
  </w:endnote>
  <w:endnote w:type="continuationSeparator" w:id="0">
    <w:p w:rsidR="004C2B48" w:rsidRDefault="004C2B48" w:rsidP="002C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B48" w:rsidRDefault="004C2B48" w:rsidP="002C52DC">
      <w:r>
        <w:separator/>
      </w:r>
    </w:p>
  </w:footnote>
  <w:footnote w:type="continuationSeparator" w:id="0">
    <w:p w:rsidR="004C2B48" w:rsidRDefault="004C2B48" w:rsidP="002C5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2DC" w:rsidRDefault="002C52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B5C"/>
    <w:rsid w:val="00000B4F"/>
    <w:rsid w:val="00005CE1"/>
    <w:rsid w:val="000447DF"/>
    <w:rsid w:val="001C26BA"/>
    <w:rsid w:val="001E37B9"/>
    <w:rsid w:val="001F5DCB"/>
    <w:rsid w:val="002B379E"/>
    <w:rsid w:val="002C52DC"/>
    <w:rsid w:val="003A7CBD"/>
    <w:rsid w:val="003B64D0"/>
    <w:rsid w:val="00465D6B"/>
    <w:rsid w:val="00477053"/>
    <w:rsid w:val="004C2B48"/>
    <w:rsid w:val="00583877"/>
    <w:rsid w:val="006B6572"/>
    <w:rsid w:val="00702C1A"/>
    <w:rsid w:val="007340EF"/>
    <w:rsid w:val="00737C5B"/>
    <w:rsid w:val="00847270"/>
    <w:rsid w:val="008758C8"/>
    <w:rsid w:val="008B1B5C"/>
    <w:rsid w:val="009475E3"/>
    <w:rsid w:val="00AA51DA"/>
    <w:rsid w:val="00AD582B"/>
    <w:rsid w:val="00AD76F6"/>
    <w:rsid w:val="00B55CEE"/>
    <w:rsid w:val="00BA3944"/>
    <w:rsid w:val="00BB5E1C"/>
    <w:rsid w:val="00C37949"/>
    <w:rsid w:val="00C632B8"/>
    <w:rsid w:val="00CC6491"/>
    <w:rsid w:val="00CF4B6C"/>
    <w:rsid w:val="00D6727F"/>
    <w:rsid w:val="00D83728"/>
    <w:rsid w:val="00E21D18"/>
    <w:rsid w:val="00E32CDD"/>
    <w:rsid w:val="00EF1E08"/>
    <w:rsid w:val="00F4574C"/>
    <w:rsid w:val="00F559A6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CE56F"/>
  <w15:docId w15:val="{BD168BF8-F9C1-4FD8-9D8A-12EFBB9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5C"/>
    <w:pPr>
      <w:spacing w:after="0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B1B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1B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B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75E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C52D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52D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2C5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DC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C5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2DC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C69E13DAE343B30BD11D4AE94B07" ma:contentTypeVersion="6" ma:contentTypeDescription="Create a new document." ma:contentTypeScope="" ma:versionID="d5a156f56fc17e7a6852c1333a683a5d">
  <xsd:schema xmlns:xsd="http://www.w3.org/2001/XMLSchema" xmlns:xs="http://www.w3.org/2001/XMLSchema" xmlns:p="http://schemas.microsoft.com/office/2006/metadata/properties" xmlns:ns1="http://schemas.microsoft.com/sharepoint/v3" xmlns:ns2="4b67475f-cf35-47d1-ae69-d1c08a43b1c2" targetNamespace="http://schemas.microsoft.com/office/2006/metadata/properties" ma:root="true" ma:fieldsID="690910a98ffa37479aa1316fc441be78" ns1:_="" ns2:_="">
    <xsd:import namespace="http://schemas.microsoft.com/sharepoint/v3"/>
    <xsd:import namespace="4b67475f-cf35-47d1-ae69-d1c08a43b1c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475f-cf35-47d1-ae69-d1c08a43b1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b67475f-cf35-47d1-ae69-d1c08a43b1c2">2017-12-04T08:00:00+00:00</Estimated_x0020_Creation_x0020_Date>
    <Priority xmlns="4b67475f-cf35-47d1-ae69-d1c08a43b1c2">New</Priority>
    <Remediation_x0020_Date xmlns="4b67475f-cf35-47d1-ae69-d1c08a43b1c2">2019-02-07T08:00:00+00:00</Remediation_x0020_Date>
  </documentManagement>
</p:properties>
</file>

<file path=customXml/itemProps1.xml><?xml version="1.0" encoding="utf-8"?>
<ds:datastoreItem xmlns:ds="http://schemas.openxmlformats.org/officeDocument/2006/customXml" ds:itemID="{E5A4C1D8-7E52-45D8-A2D4-5F0B3886B6F9}"/>
</file>

<file path=customXml/itemProps2.xml><?xml version="1.0" encoding="utf-8"?>
<ds:datastoreItem xmlns:ds="http://schemas.openxmlformats.org/officeDocument/2006/customXml" ds:itemID="{0B3F3B36-70EE-48C6-8FCB-78E5D9211662}"/>
</file>

<file path=customXml/itemProps3.xml><?xml version="1.0" encoding="utf-8"?>
<ds:datastoreItem xmlns:ds="http://schemas.openxmlformats.org/officeDocument/2006/customXml" ds:itemID="{72C949B3-2025-43D0-BB41-0390805D4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Announcing Grant Awards 12-4-2017</dc:title>
  <dc:creator>Art</dc:creator>
  <cp:lastModifiedBy>WITKOWSKI Art - ODE</cp:lastModifiedBy>
  <cp:revision>7</cp:revision>
  <cp:lastPrinted>2017-12-04T19:34:00Z</cp:lastPrinted>
  <dcterms:created xsi:type="dcterms:W3CDTF">2017-12-04T19:10:00Z</dcterms:created>
  <dcterms:modified xsi:type="dcterms:W3CDTF">2017-12-05T22:18:00Z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0x010100882AC69E13DAE343B30BD11D4AE94B07</vt:lpwstr>
  </property>
</Properties>
</file>