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5354" w14:textId="4815C8F2" w:rsidR="002E293A" w:rsidRPr="00E31B11" w:rsidRDefault="00EA5C0C" w:rsidP="00131E8B">
      <w:pPr>
        <w:pStyle w:val="Title"/>
      </w:pPr>
      <w:r>
        <w:t>Oregon Statewide</w:t>
      </w:r>
      <w:r w:rsidR="00E31B11" w:rsidRPr="00E31B11">
        <w:t xml:space="preserve"> </w:t>
      </w:r>
      <w:r w:rsidR="00377C55">
        <w:t xml:space="preserve">Secondary </w:t>
      </w:r>
      <w:r w:rsidR="00C45A59" w:rsidRPr="00E31B11">
        <w:t>Perkins</w:t>
      </w:r>
      <w:r w:rsidR="002E293A" w:rsidRPr="00E31B11">
        <w:t xml:space="preserve"> </w:t>
      </w:r>
      <w:r w:rsidR="00E4301B" w:rsidRPr="00E31B11">
        <w:t xml:space="preserve">CTE </w:t>
      </w:r>
      <w:r w:rsidR="002E293A" w:rsidRPr="00E31B11">
        <w:t>Report</w:t>
      </w:r>
      <w:r w:rsidR="00E4301B" w:rsidRPr="00E31B11">
        <w:t xml:space="preserve"> 24-25</w:t>
      </w:r>
      <w:r w:rsidR="002E293A" w:rsidRPr="00E31B11">
        <w:t xml:space="preserve"> </w:t>
      </w:r>
      <w:r w:rsidR="00EB7618" w:rsidRPr="00E31B11">
        <w:t xml:space="preserve">User </w:t>
      </w:r>
      <w:r w:rsidR="00C45A59" w:rsidRPr="00E31B11">
        <w:t>Guide</w:t>
      </w:r>
    </w:p>
    <w:p w14:paraId="5DD97E67" w14:textId="7C3924D0" w:rsidR="002E293A" w:rsidRDefault="002E293A" w:rsidP="00131E8B">
      <w:pPr>
        <w:pStyle w:val="Subtitle"/>
      </w:pPr>
      <w:r>
        <w:t xml:space="preserve">Oregon Department of Education | </w:t>
      </w:r>
      <w:r w:rsidR="00EA5C0C" w:rsidRPr="00810F49">
        <w:t>March</w:t>
      </w:r>
      <w:r w:rsidR="00EA3425">
        <w:t xml:space="preserve"> </w:t>
      </w:r>
      <w:r w:rsidR="00866885">
        <w:t>16</w:t>
      </w:r>
      <w:r w:rsidR="00EA3425">
        <w:t>,</w:t>
      </w:r>
      <w:r>
        <w:t xml:space="preserve"> 202</w:t>
      </w:r>
      <w:r w:rsidR="00D46377">
        <w:t>6</w:t>
      </w:r>
      <w:r w:rsidR="002F2E45">
        <w:t xml:space="preserve"> </w:t>
      </w:r>
    </w:p>
    <w:p w14:paraId="7631CEEC" w14:textId="27A5364B" w:rsidR="00B6042D" w:rsidRDefault="00EC6034" w:rsidP="00131E8B">
      <w:pPr>
        <w:pStyle w:val="Heading1"/>
      </w:pPr>
      <w:bookmarkStart w:id="0" w:name="_Toc155258777"/>
      <w:bookmarkStart w:id="1" w:name="_Toc216850954"/>
      <w:bookmarkStart w:id="2" w:name="_Ref155164114"/>
      <w:bookmarkStart w:id="3" w:name="_Ref155164115"/>
      <w:bookmarkStart w:id="4" w:name="_Ref155164118"/>
      <w:r>
        <w:t xml:space="preserve">Report </w:t>
      </w:r>
      <w:r w:rsidR="00EF04C2">
        <w:t>Introduction</w:t>
      </w:r>
    </w:p>
    <w:p w14:paraId="0A2418DA" w14:textId="4187E567" w:rsidR="002746D6" w:rsidRDefault="00EC6034" w:rsidP="00131E8B">
      <w:r>
        <w:t xml:space="preserve">The Statewide </w:t>
      </w:r>
      <w:r w:rsidR="00243119">
        <w:t xml:space="preserve">Secondary Perkins </w:t>
      </w:r>
      <w:r w:rsidR="00EA5C0C">
        <w:t xml:space="preserve">CTE </w:t>
      </w:r>
      <w:r w:rsidR="00A36E4A">
        <w:t xml:space="preserve">Performance </w:t>
      </w:r>
      <w:r w:rsidR="003B12D7">
        <w:t>R</w:t>
      </w:r>
      <w:r w:rsidR="00EA5C0C">
        <w:t xml:space="preserve">eport </w:t>
      </w:r>
      <w:r>
        <w:t>is</w:t>
      </w:r>
      <w:r w:rsidR="00EA5C0C">
        <w:t xml:space="preserve"> published annually at the state level with disaggregation by grantee, career cluster, and student focal groups</w:t>
      </w:r>
      <w:r w:rsidR="00243119">
        <w:t xml:space="preserve">. </w:t>
      </w:r>
      <w:r>
        <w:t>Data</w:t>
      </w:r>
      <w:r w:rsidR="00EA5C0C">
        <w:t xml:space="preserve"> suppression</w:t>
      </w:r>
      <w:r>
        <w:t xml:space="preserve"> is</w:t>
      </w:r>
      <w:r w:rsidR="00EA5C0C">
        <w:t xml:space="preserve"> applied </w:t>
      </w:r>
      <w:r w:rsidR="002746D6">
        <w:t>as needed to protect student PII (personally identifiable information)</w:t>
      </w:r>
      <w:r w:rsidR="00E4301B">
        <w:t>.</w:t>
      </w:r>
      <w:r w:rsidR="00B6042D">
        <w:t xml:space="preserve"> The report</w:t>
      </w:r>
      <w:r w:rsidR="00B43763">
        <w:t xml:space="preserve"> is available on the </w:t>
      </w:r>
      <w:hyperlink r:id="rId11" w:history="1">
        <w:r w:rsidR="00B43763" w:rsidRPr="00B43763">
          <w:rPr>
            <w:rStyle w:val="Hyperlink"/>
          </w:rPr>
          <w:t>OR CTE Data Informed Decision Making page</w:t>
        </w:r>
      </w:hyperlink>
      <w:r w:rsidR="00B43763">
        <w:t xml:space="preserve"> and</w:t>
      </w:r>
      <w:r w:rsidR="00B6042D">
        <w:t xml:space="preserve"> consists of </w:t>
      </w:r>
      <w:r>
        <w:t>eight (8)</w:t>
      </w:r>
      <w:r w:rsidR="00B6042D">
        <w:t xml:space="preserve"> </w:t>
      </w:r>
      <w:r w:rsidR="00EF04C2">
        <w:t>tables</w:t>
      </w:r>
      <w:r w:rsidR="00B43763">
        <w:t>. Aside from the Report key / legend table, they each</w:t>
      </w:r>
      <w:r w:rsidR="00B6042D">
        <w:t xml:space="preserve"> display the respective</w:t>
      </w:r>
      <w:r w:rsidR="00B43763">
        <w:t>ly named</w:t>
      </w:r>
      <w:r w:rsidR="00043871">
        <w:t xml:space="preserve"> group’s</w:t>
      </w:r>
      <w:r w:rsidR="00B6042D">
        <w:t xml:space="preserve"> status and performance </w:t>
      </w:r>
      <w:r w:rsidR="00877D48">
        <w:t>in</w:t>
      </w:r>
      <w:r w:rsidR="00B6042D">
        <w:t xml:space="preserve"> each of the eight (8) Perkins Performance </w:t>
      </w:r>
      <w:r w:rsidR="009B10D1">
        <w:t>Measures</w:t>
      </w:r>
      <w:r w:rsidR="00B6042D">
        <w:t>.</w:t>
      </w:r>
    </w:p>
    <w:p w14:paraId="1398622C" w14:textId="3DA9F8F8" w:rsidR="00EC6034" w:rsidRDefault="00EC6034" w:rsidP="00131E8B">
      <w:pPr>
        <w:pStyle w:val="ListParagraph"/>
        <w:numPr>
          <w:ilvl w:val="0"/>
          <w:numId w:val="11"/>
        </w:numPr>
        <w:contextualSpacing w:val="0"/>
      </w:pPr>
      <w:r>
        <w:t>Perkins Performance Measure Summaries</w:t>
      </w:r>
    </w:p>
    <w:p w14:paraId="7CE38F4E" w14:textId="02F1DC2D" w:rsidR="00B6042D" w:rsidRDefault="00B6042D" w:rsidP="00131E8B">
      <w:pPr>
        <w:pStyle w:val="ListParagraph"/>
        <w:numPr>
          <w:ilvl w:val="0"/>
          <w:numId w:val="11"/>
        </w:numPr>
        <w:contextualSpacing w:val="0"/>
      </w:pPr>
      <w:r>
        <w:t>Report Key / legend</w:t>
      </w:r>
    </w:p>
    <w:p w14:paraId="1C212ACD" w14:textId="124A6422" w:rsidR="008C50BC" w:rsidRDefault="00B6042D" w:rsidP="00131E8B">
      <w:pPr>
        <w:pStyle w:val="ListParagraph"/>
        <w:numPr>
          <w:ilvl w:val="0"/>
          <w:numId w:val="11"/>
        </w:numPr>
        <w:contextualSpacing w:val="0"/>
      </w:pPr>
      <w:r>
        <w:t xml:space="preserve">Performance </w:t>
      </w:r>
      <w:r w:rsidR="008C50BC">
        <w:t>Benchmarks</w:t>
      </w:r>
      <w:r w:rsidR="008B496A">
        <w:t xml:space="preserve"> (</w:t>
      </w:r>
      <w:r>
        <w:t>Targets, 90% Level</w:t>
      </w:r>
      <w:r w:rsidR="003B12D7">
        <w:t>s</w:t>
      </w:r>
      <w:r>
        <w:t>, and Statewide</w:t>
      </w:r>
      <w:r w:rsidR="00C96BE5">
        <w:t xml:space="preserve"> Aggregate</w:t>
      </w:r>
      <w:r>
        <w:t xml:space="preserve"> Performance</w:t>
      </w:r>
      <w:r w:rsidR="003B12D7">
        <w:t xml:space="preserve"> Levels</w:t>
      </w:r>
      <w:r w:rsidR="008B496A">
        <w:t>)</w:t>
      </w:r>
    </w:p>
    <w:p w14:paraId="740A5F4C" w14:textId="5796CDC6" w:rsidR="008C50BC" w:rsidRDefault="00B6042D" w:rsidP="00131E8B">
      <w:pPr>
        <w:pStyle w:val="ListParagraph"/>
        <w:numPr>
          <w:ilvl w:val="0"/>
          <w:numId w:val="11"/>
        </w:numPr>
        <w:contextualSpacing w:val="0"/>
      </w:pPr>
      <w:r>
        <w:t xml:space="preserve">Grantee Performance </w:t>
      </w:r>
      <w:proofErr w:type="spellStart"/>
      <w:r>
        <w:t>Disaggregations</w:t>
      </w:r>
      <w:proofErr w:type="spellEnd"/>
    </w:p>
    <w:p w14:paraId="695E20DB" w14:textId="77777777" w:rsidR="00866885" w:rsidRDefault="00866885" w:rsidP="00131E8B">
      <w:pPr>
        <w:pStyle w:val="ListParagraph"/>
        <w:numPr>
          <w:ilvl w:val="0"/>
          <w:numId w:val="11"/>
        </w:numPr>
        <w:contextualSpacing w:val="0"/>
      </w:pPr>
      <w:r>
        <w:t xml:space="preserve">Statewide Career Cluster Performance </w:t>
      </w:r>
      <w:proofErr w:type="spellStart"/>
      <w:r>
        <w:t>Disaggregations</w:t>
      </w:r>
      <w:proofErr w:type="spellEnd"/>
      <w:r>
        <w:t xml:space="preserve"> </w:t>
      </w:r>
    </w:p>
    <w:p w14:paraId="318D2A37" w14:textId="17DBE147" w:rsidR="00B6042D" w:rsidRDefault="00B6042D" w:rsidP="00131E8B">
      <w:pPr>
        <w:pStyle w:val="ListParagraph"/>
        <w:numPr>
          <w:ilvl w:val="0"/>
          <w:numId w:val="11"/>
        </w:numPr>
        <w:contextualSpacing w:val="0"/>
      </w:pPr>
      <w:r>
        <w:t xml:space="preserve">Statewide Gender Student Focal Group </w:t>
      </w:r>
      <w:proofErr w:type="spellStart"/>
      <w:r>
        <w:t>Disaggregations</w:t>
      </w:r>
      <w:proofErr w:type="spellEnd"/>
    </w:p>
    <w:p w14:paraId="7596E8D6" w14:textId="5FF3D758" w:rsidR="00B6042D" w:rsidRDefault="00B6042D" w:rsidP="00131E8B">
      <w:pPr>
        <w:pStyle w:val="ListParagraph"/>
        <w:numPr>
          <w:ilvl w:val="0"/>
          <w:numId w:val="11"/>
        </w:numPr>
        <w:contextualSpacing w:val="0"/>
      </w:pPr>
      <w:r>
        <w:t xml:space="preserve">Statewide Race, Ethnicity Student Focal Group </w:t>
      </w:r>
      <w:proofErr w:type="spellStart"/>
      <w:r>
        <w:t>Disaggregations</w:t>
      </w:r>
      <w:proofErr w:type="spellEnd"/>
    </w:p>
    <w:p w14:paraId="178B65B5" w14:textId="7E24BB43" w:rsidR="00E4301B" w:rsidRDefault="00A36E4A" w:rsidP="00866885">
      <w:pPr>
        <w:pStyle w:val="ListParagraph"/>
        <w:numPr>
          <w:ilvl w:val="0"/>
          <w:numId w:val="11"/>
        </w:numPr>
        <w:contextualSpacing w:val="0"/>
      </w:pPr>
      <w:r>
        <w:t>Additional</w:t>
      </w:r>
      <w:r w:rsidR="008B496A">
        <w:t xml:space="preserve"> Statewide Student Focal Group </w:t>
      </w:r>
      <w:proofErr w:type="spellStart"/>
      <w:r w:rsidR="008B496A">
        <w:t>Disaggregations</w:t>
      </w:r>
      <w:proofErr w:type="spellEnd"/>
    </w:p>
    <w:p w14:paraId="03C6CB39" w14:textId="0E24A419" w:rsidR="007542E2" w:rsidRDefault="00EF04C2" w:rsidP="00131E8B">
      <w:pPr>
        <w:pStyle w:val="Heading1"/>
      </w:pPr>
      <w:bookmarkStart w:id="5" w:name="_Toc221004029"/>
      <w:r>
        <w:t>Perkins</w:t>
      </w:r>
      <w:r w:rsidR="00355707">
        <w:t xml:space="preserve"> </w:t>
      </w:r>
      <w:r w:rsidR="007542E2">
        <w:t xml:space="preserve">Performance </w:t>
      </w:r>
      <w:bookmarkEnd w:id="0"/>
      <w:bookmarkEnd w:id="1"/>
      <w:r w:rsidR="00657698">
        <w:t>Measures</w:t>
      </w:r>
      <w:bookmarkEnd w:id="5"/>
    </w:p>
    <w:p w14:paraId="5E3ADBD9" w14:textId="4AA74B60" w:rsidR="00B6042D" w:rsidRDefault="007D0E9B" w:rsidP="001C216F">
      <w:pPr>
        <w:spacing w:before="240"/>
      </w:pPr>
      <w:r w:rsidRPr="008202D2">
        <w:t>Perkins</w:t>
      </w:r>
      <w:r>
        <w:t xml:space="preserve"> </w:t>
      </w:r>
      <w:r w:rsidR="00B6042D">
        <w:t xml:space="preserve">(Perkins V) Performance </w:t>
      </w:r>
      <w:r w:rsidRPr="008202D2">
        <w:t xml:space="preserve">Reports are </w:t>
      </w:r>
      <w:r w:rsidRPr="007D0E9B">
        <w:rPr>
          <w:i/>
          <w:iCs/>
        </w:rPr>
        <w:t>not</w:t>
      </w:r>
      <w:r w:rsidRPr="008202D2">
        <w:t xml:space="preserve"> tied to a </w:t>
      </w:r>
      <w:r>
        <w:t>single</w:t>
      </w:r>
      <w:r w:rsidRPr="008202D2">
        <w:t xml:space="preserve"> cohort. Each Performance Indicator </w:t>
      </w:r>
      <w:r w:rsidR="00810F49">
        <w:t xml:space="preserve">within the report </w:t>
      </w:r>
      <w:r w:rsidRPr="008202D2">
        <w:t xml:space="preserve">deals with a specific student subset that is </w:t>
      </w:r>
      <w:r w:rsidRPr="009D7620">
        <w:rPr>
          <w:i/>
          <w:iCs/>
        </w:rPr>
        <w:t>not</w:t>
      </w:r>
      <w:r w:rsidRPr="008202D2">
        <w:t xml:space="preserve"> limited to age- or high-school-entry-cohorts. </w:t>
      </w:r>
      <w:r w:rsidRPr="009379FF">
        <w:rPr>
          <w:bCs/>
        </w:rPr>
        <w:t>They relate</w:t>
      </w:r>
      <w:r>
        <w:rPr>
          <w:b/>
        </w:rPr>
        <w:t xml:space="preserve"> </w:t>
      </w:r>
      <w:r>
        <w:t xml:space="preserve">to academic </w:t>
      </w:r>
      <w:r w:rsidRPr="00B6042D">
        <w:rPr>
          <w:i/>
          <w:iCs/>
        </w:rPr>
        <w:t>and</w:t>
      </w:r>
      <w:r>
        <w:t xml:space="preserve"> post-academic data reported on CTE students over many years. Each student-program</w:t>
      </w:r>
      <w:r w:rsidRPr="006C7A4A">
        <w:t xml:space="preserve"> enrollment status evolves over the course of </w:t>
      </w:r>
      <w:r>
        <w:t>the student’s</w:t>
      </w:r>
      <w:r w:rsidRPr="006C7A4A">
        <w:t xml:space="preserve"> education. </w:t>
      </w:r>
    </w:p>
    <w:p w14:paraId="43A5FC29" w14:textId="7CF3C0FB" w:rsidR="00866885" w:rsidRPr="00866885" w:rsidRDefault="007D0E9B" w:rsidP="00866885">
      <w:pPr>
        <w:rPr>
          <w:b/>
          <w:bCs/>
        </w:rPr>
      </w:pPr>
      <w:r w:rsidRPr="00B6042D">
        <w:rPr>
          <w:bCs/>
        </w:rPr>
        <w:t>Schools report on student CTE activity each school year regardless of the student’s CTE Enrollment Status at that time.</w:t>
      </w:r>
      <w:r>
        <w:t xml:space="preserve"> ODE performs the tracking and calculation of student enrollments status as relevant per Performance Indicator.</w:t>
      </w:r>
      <w:r w:rsidR="007F5D0B">
        <w:t xml:space="preserve"> Information on the local Perkins CTE 90% Reports for CTE admin, data reviewers, etc. is on the </w:t>
      </w:r>
      <w:hyperlink r:id="rId12" w:history="1">
        <w:r w:rsidR="007F5D0B" w:rsidRPr="00D72FE2">
          <w:rPr>
            <w:rStyle w:val="Hyperlink"/>
          </w:rPr>
          <w:t>Perkins CTE 90% Report in ADI page</w:t>
        </w:r>
      </w:hyperlink>
      <w:r w:rsidR="007F5D0B">
        <w:t xml:space="preserve">. </w:t>
      </w:r>
      <w:bookmarkStart w:id="6" w:name="_Toc97135148"/>
      <w:bookmarkStart w:id="7" w:name="_Toc98829384"/>
      <w:bookmarkStart w:id="8" w:name="_Toc216850955"/>
    </w:p>
    <w:p w14:paraId="6CB53BE7" w14:textId="77777777" w:rsidR="00866885" w:rsidRDefault="00866885" w:rsidP="00866885">
      <w:pPr>
        <w:tabs>
          <w:tab w:val="left" w:pos="4331"/>
        </w:tabs>
      </w:pPr>
    </w:p>
    <w:p w14:paraId="1E0864BA" w14:textId="51C77A8C" w:rsidR="008B496A" w:rsidRDefault="008B496A" w:rsidP="00866885">
      <w:pPr>
        <w:tabs>
          <w:tab w:val="left" w:pos="4331"/>
        </w:tabs>
        <w:rPr>
          <w:rFonts w:asciiTheme="majorHAnsi" w:eastAsiaTheme="majorEastAsia" w:hAnsiTheme="majorHAnsi" w:cstheme="majorBidi"/>
          <w:color w:val="1F497D" w:themeColor="text2"/>
          <w:sz w:val="26"/>
          <w:szCs w:val="26"/>
          <w:u w:val="single"/>
        </w:rPr>
      </w:pPr>
      <w:r w:rsidRPr="00866885">
        <w:br w:type="page"/>
      </w:r>
      <w:r w:rsidR="00866885">
        <w:lastRenderedPageBreak/>
        <w:tab/>
      </w:r>
    </w:p>
    <w:p w14:paraId="39FC7418" w14:textId="51073EFE" w:rsidR="007542E2" w:rsidRPr="00877D48" w:rsidRDefault="007542E2" w:rsidP="00131E8B">
      <w:pPr>
        <w:pStyle w:val="Heading2"/>
      </w:pPr>
      <w:r w:rsidRPr="00877D48">
        <w:t xml:space="preserve">1S1 </w:t>
      </w:r>
      <w:bookmarkEnd w:id="6"/>
      <w:bookmarkEnd w:id="7"/>
      <w:bookmarkEnd w:id="8"/>
      <w:r w:rsidR="00017D72" w:rsidRPr="00877D48">
        <w:t>Four-Year Secondary Concentrator Graduation Rates</w:t>
      </w:r>
    </w:p>
    <w:p w14:paraId="24FE869A" w14:textId="634AE995" w:rsidR="007542E2" w:rsidRDefault="00AA5C28" w:rsidP="00131E8B">
      <w:r w:rsidRPr="00AA5C28">
        <w:t>Four-Year Secondary Concentrator Graduation Rates</w:t>
      </w:r>
      <w:r>
        <w:t xml:space="preserve">: </w:t>
      </w:r>
      <w:r w:rsidR="007542E2" w:rsidRPr="00392BB4">
        <w:t xml:space="preserve">Percent of CTE Concentrators in the </w:t>
      </w:r>
      <w:r>
        <w:t xml:space="preserve">specified School Year’s </w:t>
      </w:r>
      <w:r w:rsidR="007542E2" w:rsidRPr="00392BB4">
        <w:t>adjusted 4-year cohort who earned a diploma, GED, or other Oregon-recognized equivalent.</w:t>
      </w:r>
    </w:p>
    <w:p w14:paraId="72C0CFE2" w14:textId="47E7157E" w:rsidR="00735299" w:rsidRPr="00735299" w:rsidRDefault="00735299" w:rsidP="00131E8B">
      <w:pPr>
        <w:pStyle w:val="ListParagraph"/>
        <w:numPr>
          <w:ilvl w:val="0"/>
          <w:numId w:val="5"/>
        </w:numPr>
      </w:pPr>
      <w:r w:rsidRPr="00735299">
        <w:t>A “lagged” indicator: most 1S1 students have been out of school for a year.</w:t>
      </w:r>
    </w:p>
    <w:p w14:paraId="173E7650" w14:textId="682362F9" w:rsidR="00735299" w:rsidRPr="00735299" w:rsidRDefault="008C50BC" w:rsidP="00131E8B">
      <w:pPr>
        <w:pStyle w:val="ListParagraph"/>
        <w:numPr>
          <w:ilvl w:val="0"/>
          <w:numId w:val="5"/>
        </w:numPr>
      </w:pPr>
      <w:r>
        <w:t>Report Year 24-25</w:t>
      </w:r>
      <w:r w:rsidR="00735299" w:rsidRPr="00735299">
        <w:t>: 1S1, the 4-yr cohort mostly entered HS 20-21 for 23-24 completion</w:t>
      </w:r>
    </w:p>
    <w:p w14:paraId="239C6384" w14:textId="0732AA11" w:rsidR="00826A1C" w:rsidRPr="008125FB" w:rsidRDefault="00826A1C" w:rsidP="00131E8B">
      <w:r>
        <w:rPr>
          <w:b/>
        </w:rPr>
        <w:t>Total Students</w:t>
      </w:r>
      <w:r>
        <w:rPr>
          <w:bCs/>
        </w:rPr>
        <w:t xml:space="preserve"> (denominator)</w:t>
      </w:r>
      <w:r w:rsidRPr="008125FB">
        <w:t xml:space="preserve">: the number of CTE Concentrators in the state’s adjusted four-year cohort in the reporting year. </w:t>
      </w:r>
    </w:p>
    <w:p w14:paraId="1698FB85" w14:textId="40B1B87E" w:rsidR="001C2C37" w:rsidRDefault="00735299" w:rsidP="00131E8B">
      <w:r w:rsidRPr="00826A1C">
        <w:rPr>
          <w:b/>
          <w:bCs/>
        </w:rPr>
        <w:t>Students Meeting Standard</w:t>
      </w:r>
      <w:r>
        <w:t xml:space="preserve"> (numerator)</w:t>
      </w:r>
      <w:r w:rsidRPr="00CC0340">
        <w:t xml:space="preserve">: </w:t>
      </w:r>
      <w:r w:rsidR="007542E2" w:rsidRPr="008125FB">
        <w:t xml:space="preserve">the number of CTE Concentrators who graduate high school (regular diploma, modified diploma, or post-graduate scholars), as measured by the four-year adjusted cohort graduation </w:t>
      </w:r>
      <w:r w:rsidR="000A341D">
        <w:t>results</w:t>
      </w:r>
      <w:r w:rsidR="007542E2" w:rsidRPr="008125FB">
        <w:t>.</w:t>
      </w:r>
      <w:bookmarkStart w:id="9" w:name="_Toc97135149"/>
      <w:bookmarkStart w:id="10" w:name="_Toc98829385"/>
      <w:bookmarkStart w:id="11" w:name="_Toc216850956"/>
    </w:p>
    <w:p w14:paraId="02242935" w14:textId="2862C278" w:rsidR="007542E2" w:rsidRDefault="007542E2" w:rsidP="00131E8B">
      <w:pPr>
        <w:pStyle w:val="Heading2"/>
      </w:pPr>
      <w:r w:rsidRPr="0091488E">
        <w:t xml:space="preserve">1S2 </w:t>
      </w:r>
      <w:bookmarkEnd w:id="9"/>
      <w:bookmarkEnd w:id="10"/>
      <w:bookmarkEnd w:id="11"/>
      <w:r w:rsidR="00017D72">
        <w:t>Five-Year Secondary</w:t>
      </w:r>
      <w:r w:rsidR="00017D72" w:rsidRPr="002702CC">
        <w:t xml:space="preserve"> </w:t>
      </w:r>
      <w:r w:rsidR="00017D72">
        <w:t>Concentrator Graduation Rates</w:t>
      </w:r>
    </w:p>
    <w:p w14:paraId="404D90D9" w14:textId="7B4E9065" w:rsidR="007542E2" w:rsidRDefault="007542E2" w:rsidP="00131E8B">
      <w:r>
        <w:t>P</w:t>
      </w:r>
      <w:r w:rsidRPr="00392BB4">
        <w:t>ercent of CTE Concentrators in the five-year-adjusted cohort who earned a diploma, GED, or other Oregon-recognized equivalent.</w:t>
      </w:r>
    </w:p>
    <w:p w14:paraId="390F091D" w14:textId="6062BBE0" w:rsidR="00735299" w:rsidRPr="00735299" w:rsidRDefault="00735299" w:rsidP="00131E8B">
      <w:pPr>
        <w:pStyle w:val="ListParagraph"/>
        <w:numPr>
          <w:ilvl w:val="0"/>
          <w:numId w:val="6"/>
        </w:numPr>
      </w:pPr>
      <w:r w:rsidRPr="00735299">
        <w:t>A “lagged” indicator: most 1S2 students have been out of school for two years.</w:t>
      </w:r>
    </w:p>
    <w:p w14:paraId="58DF848A" w14:textId="733BC069" w:rsidR="00735299" w:rsidRPr="00735299" w:rsidRDefault="008C50BC" w:rsidP="00131E8B">
      <w:pPr>
        <w:pStyle w:val="ListParagraph"/>
        <w:numPr>
          <w:ilvl w:val="0"/>
          <w:numId w:val="6"/>
        </w:numPr>
      </w:pPr>
      <w:r>
        <w:t>Report Year 24-25</w:t>
      </w:r>
      <w:r w:rsidR="00735299" w:rsidRPr="00735299">
        <w:t>: 1S2, the 5-yr cohort mostly entered HS 19-20 (completion by end of 23-24).</w:t>
      </w:r>
    </w:p>
    <w:p w14:paraId="5B858998" w14:textId="73EE5E48" w:rsidR="00826A1C" w:rsidRDefault="00826A1C" w:rsidP="00131E8B">
      <w:pPr>
        <w:rPr>
          <w:b/>
          <w:bCs/>
        </w:rPr>
      </w:pPr>
      <w:r>
        <w:rPr>
          <w:b/>
        </w:rPr>
        <w:t>Total Students</w:t>
      </w:r>
      <w:r>
        <w:rPr>
          <w:bCs/>
        </w:rPr>
        <w:t xml:space="preserve"> (denominator)</w:t>
      </w:r>
      <w:r w:rsidRPr="008125FB">
        <w:t xml:space="preserve">: </w:t>
      </w:r>
      <w:r w:rsidR="007542E2" w:rsidRPr="00CC0340">
        <w:t xml:space="preserve">number </w:t>
      </w:r>
      <w:r w:rsidR="007542E2" w:rsidRPr="000F404D">
        <w:t xml:space="preserve">of CTE </w:t>
      </w:r>
      <w:r w:rsidR="007542E2">
        <w:t>C</w:t>
      </w:r>
      <w:r w:rsidR="007542E2" w:rsidRPr="000F404D">
        <w:t xml:space="preserve">oncentrators in the state’s adjusted </w:t>
      </w:r>
      <w:r w:rsidR="007542E2">
        <w:t>five</w:t>
      </w:r>
      <w:r w:rsidR="007542E2" w:rsidRPr="000F404D">
        <w:t>-year cohort in the reporting year.</w:t>
      </w:r>
      <w:r w:rsidRPr="00826A1C">
        <w:rPr>
          <w:b/>
          <w:bCs/>
        </w:rPr>
        <w:t xml:space="preserve"> </w:t>
      </w:r>
    </w:p>
    <w:p w14:paraId="657F3468" w14:textId="49A3D6A5" w:rsidR="00826A1C" w:rsidRPr="00CC0340" w:rsidRDefault="00826A1C" w:rsidP="00131E8B">
      <w:r w:rsidRPr="00826A1C">
        <w:rPr>
          <w:b/>
          <w:bCs/>
        </w:rPr>
        <w:t>Students Meeting Standard</w:t>
      </w:r>
      <w:r>
        <w:t xml:space="preserve"> (numerator)</w:t>
      </w:r>
      <w:r w:rsidRPr="00CC0340">
        <w:t xml:space="preserve">: the number </w:t>
      </w:r>
      <w:r w:rsidRPr="000F404D">
        <w:t xml:space="preserve">of CTE </w:t>
      </w:r>
      <w:r>
        <w:t>C</w:t>
      </w:r>
      <w:r w:rsidRPr="000F404D">
        <w:t xml:space="preserve">oncentrators who graduate high school (regular diploma, modified diploma, or post-graduate scholars), as measured by the </w:t>
      </w:r>
      <w:r>
        <w:t>five</w:t>
      </w:r>
      <w:r w:rsidRPr="000F404D">
        <w:t xml:space="preserve">-year adjusted cohort graduation </w:t>
      </w:r>
      <w:r w:rsidR="000A341D">
        <w:t>results</w:t>
      </w:r>
      <w:r w:rsidRPr="000F404D">
        <w:t>.</w:t>
      </w:r>
    </w:p>
    <w:p w14:paraId="09B7EF3B" w14:textId="77777777" w:rsidR="001761A0" w:rsidRDefault="001761A0" w:rsidP="00131E8B">
      <w:pPr>
        <w:rPr>
          <w:rFonts w:asciiTheme="majorHAnsi" w:eastAsiaTheme="majorEastAsia" w:hAnsiTheme="majorHAnsi" w:cstheme="majorBidi"/>
          <w:color w:val="1F497D" w:themeColor="text2"/>
          <w:sz w:val="26"/>
          <w:szCs w:val="26"/>
        </w:rPr>
      </w:pPr>
      <w:bookmarkStart w:id="12" w:name="_Toc97135150"/>
      <w:bookmarkStart w:id="13" w:name="_Toc98829386"/>
      <w:bookmarkStart w:id="14" w:name="_Toc216850957"/>
      <w:r>
        <w:br w:type="page"/>
      </w:r>
    </w:p>
    <w:p w14:paraId="230FC5BA" w14:textId="4EC22951" w:rsidR="007542E2" w:rsidRDefault="007542E2" w:rsidP="00131E8B">
      <w:pPr>
        <w:pStyle w:val="Heading2"/>
      </w:pPr>
      <w:r w:rsidRPr="0091488E">
        <w:lastRenderedPageBreak/>
        <w:t xml:space="preserve">2S1 </w:t>
      </w:r>
      <w:r w:rsidR="00AD5638">
        <w:t xml:space="preserve">Concentrator </w:t>
      </w:r>
      <w:r w:rsidRPr="0091488E">
        <w:t>Reading / Language Arts</w:t>
      </w:r>
      <w:r>
        <w:t xml:space="preserve"> Academic Proficiency</w:t>
      </w:r>
      <w:bookmarkEnd w:id="12"/>
      <w:bookmarkEnd w:id="13"/>
      <w:bookmarkEnd w:id="14"/>
    </w:p>
    <w:p w14:paraId="285650AB" w14:textId="06AAF3D0" w:rsidR="007542E2" w:rsidRDefault="00017D72" w:rsidP="00131E8B">
      <w:r>
        <w:t>Percent</w:t>
      </w:r>
      <w:r w:rsidR="007542E2" w:rsidRPr="00392BB4">
        <w:t xml:space="preserve"> of </w:t>
      </w:r>
      <w:r w:rsidR="00630CBF">
        <w:t>secondary CTE Concentrators who took the “11</w:t>
      </w:r>
      <w:r w:rsidR="00630CBF" w:rsidRPr="00DE6E6D">
        <w:rPr>
          <w:vertAlign w:val="superscript"/>
        </w:rPr>
        <w:t>th</w:t>
      </w:r>
      <w:r w:rsidR="00630CBF">
        <w:t xml:space="preserve"> grade” Oregon statewide reading / language arts assessment and demonstrated proficiency.</w:t>
      </w:r>
    </w:p>
    <w:p w14:paraId="6AE3C81F" w14:textId="77777777" w:rsidR="00735299" w:rsidRPr="00735299" w:rsidRDefault="00735299" w:rsidP="00131E8B">
      <w:pPr>
        <w:pStyle w:val="ListParagraph"/>
        <w:numPr>
          <w:ilvl w:val="0"/>
          <w:numId w:val="7"/>
        </w:numPr>
      </w:pPr>
      <w:r w:rsidRPr="00735299">
        <w:t xml:space="preserve">A “partially lagged” metric in Report Year 24-25 and earlier. </w:t>
      </w:r>
    </w:p>
    <w:p w14:paraId="3F814047" w14:textId="2D6E4305" w:rsidR="00735299" w:rsidRPr="00735299" w:rsidRDefault="008C50BC" w:rsidP="00131E8B">
      <w:pPr>
        <w:pStyle w:val="ListParagraph"/>
        <w:numPr>
          <w:ilvl w:val="0"/>
          <w:numId w:val="7"/>
        </w:numPr>
      </w:pPr>
      <w:r>
        <w:t>Report Year 24-25</w:t>
      </w:r>
      <w:r w:rsidR="00735299" w:rsidRPr="00735299">
        <w:t>: 2S</w:t>
      </w:r>
      <w:r w:rsidR="00735299">
        <w:t>1</w:t>
      </w:r>
      <w:r w:rsidR="00735299" w:rsidRPr="00735299">
        <w:t xml:space="preserve"> cohort mostly </w:t>
      </w:r>
    </w:p>
    <w:p w14:paraId="5C8BB6BD" w14:textId="226039E6" w:rsidR="00735299" w:rsidRPr="00735299" w:rsidRDefault="00735299" w:rsidP="00131E8B">
      <w:pPr>
        <w:pStyle w:val="ListParagraph"/>
        <w:numPr>
          <w:ilvl w:val="1"/>
          <w:numId w:val="7"/>
        </w:numPr>
        <w:ind w:left="720"/>
      </w:pPr>
      <w:r w:rsidRPr="00735299">
        <w:t>Entered HS 22-23 and took the assessment in 24-25 as Concentrators</w:t>
      </w:r>
    </w:p>
    <w:p w14:paraId="03DBEE73" w14:textId="40DD2D8D" w:rsidR="000A341D" w:rsidRPr="000A341D" w:rsidRDefault="00735299" w:rsidP="00115E73">
      <w:pPr>
        <w:pStyle w:val="ListParagraph"/>
        <w:numPr>
          <w:ilvl w:val="1"/>
          <w:numId w:val="7"/>
        </w:numPr>
        <w:spacing w:after="0"/>
        <w:ind w:left="720"/>
      </w:pPr>
      <w:r w:rsidRPr="00735299">
        <w:t>Entered HS 21-22</w:t>
      </w:r>
      <w:r>
        <w:t xml:space="preserve">, </w:t>
      </w:r>
      <w:r w:rsidRPr="00735299">
        <w:t xml:space="preserve">took the assessment </w:t>
      </w:r>
      <w:r w:rsidR="00131E8B">
        <w:t>by</w:t>
      </w:r>
      <w:r w:rsidRPr="00735299">
        <w:t xml:space="preserve"> 24-25</w:t>
      </w:r>
      <w:r>
        <w:t>,</w:t>
      </w:r>
      <w:r w:rsidRPr="00735299">
        <w:t xml:space="preserve"> and were Concentrators by </w:t>
      </w:r>
      <w:r w:rsidR="00131E8B">
        <w:t xml:space="preserve">the </w:t>
      </w:r>
      <w:r w:rsidRPr="00735299">
        <w:t>end of 24-25</w:t>
      </w:r>
    </w:p>
    <w:p w14:paraId="59960251" w14:textId="21C0CFA7" w:rsidR="00735299" w:rsidRPr="00CC0340" w:rsidRDefault="00735299" w:rsidP="00131E8B">
      <w:pPr>
        <w:pStyle w:val="ListParagraph"/>
        <w:numPr>
          <w:ilvl w:val="1"/>
          <w:numId w:val="7"/>
        </w:numPr>
        <w:ind w:left="720"/>
      </w:pPr>
      <w:r w:rsidRPr="00735299">
        <w:t>Entered HS 20-21 or 19-20</w:t>
      </w:r>
      <w:r w:rsidR="008C50BC">
        <w:t xml:space="preserve">, </w:t>
      </w:r>
      <w:r w:rsidRPr="00735299">
        <w:t>are in a 1S</w:t>
      </w:r>
      <w:r w:rsidR="008C50BC">
        <w:t>1 or 1S2</w:t>
      </w:r>
      <w:r w:rsidRPr="00735299">
        <w:t xml:space="preserve"> denominator</w:t>
      </w:r>
      <w:r w:rsidR="00131E8B">
        <w:t>,</w:t>
      </w:r>
      <w:r w:rsidRPr="00735299">
        <w:t xml:space="preserve"> and took the assessment </w:t>
      </w:r>
      <w:r w:rsidR="00131E8B">
        <w:t>before 24</w:t>
      </w:r>
      <w:r w:rsidRPr="00735299">
        <w:t>-25</w:t>
      </w:r>
    </w:p>
    <w:p w14:paraId="4639FA1E" w14:textId="77777777" w:rsidR="00826A1C" w:rsidRPr="00CC0340" w:rsidRDefault="00826A1C" w:rsidP="00131E8B">
      <w:pPr>
        <w:rPr>
          <w:b/>
        </w:rPr>
      </w:pPr>
      <w:r>
        <w:rPr>
          <w:b/>
        </w:rPr>
        <w:t>Total Students</w:t>
      </w:r>
      <w:r>
        <w:rPr>
          <w:bCs/>
        </w:rPr>
        <w:t xml:space="preserve"> (denominator)</w:t>
      </w:r>
      <w:r w:rsidRPr="008125FB">
        <w:t xml:space="preserve">: </w:t>
      </w:r>
      <w:r w:rsidR="007542E2">
        <w:t>number</w:t>
      </w:r>
      <w:r w:rsidR="007542E2" w:rsidRPr="000F404D">
        <w:t xml:space="preserve"> of CTE </w:t>
      </w:r>
      <w:r w:rsidR="007542E2">
        <w:t>C</w:t>
      </w:r>
      <w:r w:rsidR="007542E2" w:rsidRPr="000F404D">
        <w:t>oncentrators who took the ESEA assessment in reading/language arts</w:t>
      </w:r>
      <w:r w:rsidR="007542E2">
        <w:t>.</w:t>
      </w:r>
    </w:p>
    <w:p w14:paraId="0E4E6A50" w14:textId="268EC902" w:rsidR="0039783E" w:rsidRPr="001761A0" w:rsidRDefault="00826A1C" w:rsidP="00131E8B">
      <w:r w:rsidRPr="00826A1C">
        <w:rPr>
          <w:b/>
          <w:bCs/>
        </w:rPr>
        <w:t>Students Meeting Standard</w:t>
      </w:r>
      <w:r>
        <w:t xml:space="preserve"> (numerator)</w:t>
      </w:r>
      <w:r w:rsidRPr="00CC0340">
        <w:t>: </w:t>
      </w:r>
      <w:r>
        <w:t xml:space="preserve">the number </w:t>
      </w:r>
      <w:r w:rsidRPr="000F404D">
        <w:t xml:space="preserve">of CTE </w:t>
      </w:r>
      <w:r>
        <w:t>C</w:t>
      </w:r>
      <w:r w:rsidRPr="000F404D">
        <w:t>oncentrators who have met the proficient or advanced level on Oregon’s reading/language arts assessment administered under Section1111(b)(3) of the Elementary and Secondary Education Act (ESEA) as amended by the No Child Left Behind Act.</w:t>
      </w:r>
      <w:bookmarkStart w:id="15" w:name="_Toc97135151"/>
      <w:bookmarkStart w:id="16" w:name="_Toc98829387"/>
      <w:bookmarkStart w:id="17" w:name="_Toc216850958"/>
    </w:p>
    <w:p w14:paraId="3EC92426" w14:textId="0AEBACBC" w:rsidR="007542E2" w:rsidRDefault="007542E2" w:rsidP="00131E8B">
      <w:pPr>
        <w:pStyle w:val="Heading2"/>
      </w:pPr>
      <w:r w:rsidRPr="0091488E">
        <w:t xml:space="preserve">2S2 </w:t>
      </w:r>
      <w:r w:rsidR="00AD5638">
        <w:t xml:space="preserve">Concentrator </w:t>
      </w:r>
      <w:r w:rsidRPr="0091488E">
        <w:t>Mathematics</w:t>
      </w:r>
      <w:r>
        <w:t xml:space="preserve"> </w:t>
      </w:r>
      <w:r w:rsidRPr="0091488E">
        <w:t>Academic Proficiency</w:t>
      </w:r>
      <w:bookmarkEnd w:id="15"/>
      <w:bookmarkEnd w:id="16"/>
      <w:bookmarkEnd w:id="17"/>
    </w:p>
    <w:p w14:paraId="58BA91F9" w14:textId="67581A4F" w:rsidR="007542E2" w:rsidRDefault="00630CBF" w:rsidP="00131E8B">
      <w:r>
        <w:t>Percent</w:t>
      </w:r>
      <w:r w:rsidRPr="00392BB4">
        <w:t xml:space="preserve"> of </w:t>
      </w:r>
      <w:r>
        <w:t>secondary CTE Concentrators who took the “11</w:t>
      </w:r>
      <w:r w:rsidRPr="00DE6E6D">
        <w:rPr>
          <w:vertAlign w:val="superscript"/>
        </w:rPr>
        <w:t>th</w:t>
      </w:r>
      <w:r>
        <w:t xml:space="preserve"> grade” Oregon statewide mathematics assessment and demonstrated proficiency</w:t>
      </w:r>
      <w:r w:rsidR="007542E2" w:rsidRPr="00392BB4">
        <w:t>.</w:t>
      </w:r>
    </w:p>
    <w:p w14:paraId="48D086A7" w14:textId="77777777" w:rsidR="008C50BC" w:rsidRPr="00735299" w:rsidRDefault="008C50BC" w:rsidP="00131E8B">
      <w:pPr>
        <w:pStyle w:val="ListParagraph"/>
        <w:numPr>
          <w:ilvl w:val="0"/>
          <w:numId w:val="7"/>
        </w:numPr>
      </w:pPr>
      <w:r w:rsidRPr="00735299">
        <w:t xml:space="preserve">A “partially lagged” metric in Report Year 24-25 and earlier. </w:t>
      </w:r>
    </w:p>
    <w:p w14:paraId="02CA861E" w14:textId="0F1A7FB1" w:rsidR="008C50BC" w:rsidRPr="00735299" w:rsidRDefault="008C50BC" w:rsidP="00131E8B">
      <w:pPr>
        <w:pStyle w:val="ListParagraph"/>
        <w:numPr>
          <w:ilvl w:val="0"/>
          <w:numId w:val="7"/>
        </w:numPr>
      </w:pPr>
      <w:r>
        <w:t>Report Year 24-25</w:t>
      </w:r>
      <w:r w:rsidRPr="00735299">
        <w:t>: 2S</w:t>
      </w:r>
      <w:r>
        <w:t>2</w:t>
      </w:r>
      <w:r w:rsidRPr="00735299">
        <w:t xml:space="preserve"> cohort mostly either</w:t>
      </w:r>
    </w:p>
    <w:p w14:paraId="2E87F162" w14:textId="77777777" w:rsidR="008C50BC" w:rsidRPr="00735299" w:rsidRDefault="008C50BC" w:rsidP="00131E8B">
      <w:pPr>
        <w:pStyle w:val="ListParagraph"/>
        <w:numPr>
          <w:ilvl w:val="1"/>
          <w:numId w:val="7"/>
        </w:numPr>
      </w:pPr>
      <w:r w:rsidRPr="00735299">
        <w:t>Entered HS 22-23 and took the assessment in 24-25 as Concentrators</w:t>
      </w:r>
    </w:p>
    <w:p w14:paraId="30441732" w14:textId="73418958" w:rsidR="008C50BC" w:rsidRPr="00735299" w:rsidRDefault="008C50BC" w:rsidP="00131E8B">
      <w:pPr>
        <w:pStyle w:val="ListParagraph"/>
        <w:numPr>
          <w:ilvl w:val="1"/>
          <w:numId w:val="7"/>
        </w:numPr>
      </w:pPr>
      <w:r w:rsidRPr="00735299">
        <w:t>Entered HS 21-22</w:t>
      </w:r>
      <w:r>
        <w:t xml:space="preserve">, </w:t>
      </w:r>
      <w:r w:rsidRPr="00735299">
        <w:t xml:space="preserve">took the assessment </w:t>
      </w:r>
      <w:r w:rsidR="00131E8B">
        <w:t>by</w:t>
      </w:r>
      <w:r w:rsidRPr="00735299">
        <w:t xml:space="preserve"> 24-25</w:t>
      </w:r>
      <w:r>
        <w:t>,</w:t>
      </w:r>
      <w:r w:rsidRPr="00735299">
        <w:t xml:space="preserve"> and were Concentrators by end of 24-25</w:t>
      </w:r>
    </w:p>
    <w:p w14:paraId="7E9C2F53" w14:textId="0BFD4C86" w:rsidR="008C50BC" w:rsidRPr="00CC0340" w:rsidRDefault="008C50BC" w:rsidP="00131E8B">
      <w:pPr>
        <w:pStyle w:val="ListParagraph"/>
        <w:numPr>
          <w:ilvl w:val="1"/>
          <w:numId w:val="7"/>
        </w:numPr>
      </w:pPr>
      <w:r w:rsidRPr="00735299">
        <w:t>Entered HS 20-21 or 19-20</w:t>
      </w:r>
      <w:r>
        <w:t xml:space="preserve">, </w:t>
      </w:r>
      <w:r w:rsidRPr="00735299">
        <w:t>are in a 1S</w:t>
      </w:r>
      <w:r>
        <w:t>1 or 1S2</w:t>
      </w:r>
      <w:r w:rsidRPr="00735299">
        <w:t xml:space="preserve"> denominator</w:t>
      </w:r>
      <w:r w:rsidR="00131E8B">
        <w:t>,</w:t>
      </w:r>
      <w:r w:rsidRPr="00735299">
        <w:t xml:space="preserve"> and took the assessment </w:t>
      </w:r>
      <w:r w:rsidR="00131E8B">
        <w:t>before</w:t>
      </w:r>
      <w:r w:rsidRPr="00735299">
        <w:t xml:space="preserve"> 24-25</w:t>
      </w:r>
    </w:p>
    <w:p w14:paraId="7DEEF86F" w14:textId="77777777" w:rsidR="00826A1C" w:rsidRPr="00CC0340" w:rsidRDefault="00826A1C" w:rsidP="00131E8B">
      <w:pPr>
        <w:rPr>
          <w:b/>
        </w:rPr>
      </w:pPr>
      <w:r>
        <w:rPr>
          <w:b/>
        </w:rPr>
        <w:t>Total Students</w:t>
      </w:r>
      <w:r>
        <w:rPr>
          <w:bCs/>
        </w:rPr>
        <w:t xml:space="preserve"> (denominator)</w:t>
      </w:r>
      <w:r w:rsidRPr="008125FB">
        <w:t xml:space="preserve">: </w:t>
      </w:r>
      <w:r w:rsidR="007542E2">
        <w:t>the number</w:t>
      </w:r>
      <w:r w:rsidR="007542E2" w:rsidRPr="000F404D">
        <w:t xml:space="preserve"> of CTE </w:t>
      </w:r>
      <w:r w:rsidR="007542E2">
        <w:t>C</w:t>
      </w:r>
      <w:r w:rsidR="007542E2" w:rsidRPr="000F404D">
        <w:t xml:space="preserve">oncentrators who took the ESEA assessment in </w:t>
      </w:r>
      <w:r w:rsidR="007542E2">
        <w:t>mathematics.</w:t>
      </w:r>
    </w:p>
    <w:p w14:paraId="087EF545" w14:textId="33C36CD6" w:rsidR="007542E2" w:rsidRDefault="00826A1C" w:rsidP="00131E8B">
      <w:r w:rsidRPr="00826A1C">
        <w:rPr>
          <w:b/>
          <w:bCs/>
        </w:rPr>
        <w:t>Students Meeting Standard</w:t>
      </w:r>
      <w:r>
        <w:t xml:space="preserve"> (numerator)</w:t>
      </w:r>
      <w:r w:rsidRPr="00CC0340">
        <w:t>: </w:t>
      </w:r>
      <w:r>
        <w:t xml:space="preserve">the number </w:t>
      </w:r>
      <w:r w:rsidRPr="000F404D">
        <w:t xml:space="preserve">of CTE </w:t>
      </w:r>
      <w:r>
        <w:t>C</w:t>
      </w:r>
      <w:r w:rsidRPr="000F404D">
        <w:t>oncentrators who have met the proficient or advanced level on Oregon’s mathematics assessment administered under Secti</w:t>
      </w:r>
      <w:r>
        <w:t>on 1111(b)(3) of ESEA</w:t>
      </w:r>
      <w:r w:rsidRPr="000F404D">
        <w:t xml:space="preserve"> as amended by the No Child Left Behind Act.</w:t>
      </w:r>
    </w:p>
    <w:p w14:paraId="4E905C8A" w14:textId="77777777" w:rsidR="008C50BC" w:rsidRDefault="008C50BC" w:rsidP="00131E8B">
      <w:pPr>
        <w:rPr>
          <w:rFonts w:asciiTheme="majorHAnsi" w:eastAsiaTheme="majorEastAsia" w:hAnsiTheme="majorHAnsi" w:cstheme="majorBidi"/>
          <w:color w:val="1F497D" w:themeColor="text2"/>
          <w:sz w:val="26"/>
          <w:szCs w:val="26"/>
          <w:u w:val="single"/>
        </w:rPr>
      </w:pPr>
      <w:bookmarkStart w:id="18" w:name="_Toc97135152"/>
      <w:bookmarkStart w:id="19" w:name="_Toc98829388"/>
      <w:bookmarkStart w:id="20" w:name="_Toc216850959"/>
      <w:r>
        <w:br w:type="page"/>
      </w:r>
    </w:p>
    <w:p w14:paraId="09941C8E" w14:textId="5D317CDF" w:rsidR="007542E2" w:rsidRDefault="007542E2" w:rsidP="00131E8B">
      <w:pPr>
        <w:pStyle w:val="Heading2"/>
      </w:pPr>
      <w:r w:rsidRPr="0091488E">
        <w:lastRenderedPageBreak/>
        <w:t xml:space="preserve">2S3 </w:t>
      </w:r>
      <w:r w:rsidR="00AD5638">
        <w:t xml:space="preserve">Concentrator </w:t>
      </w:r>
      <w:r w:rsidRPr="0091488E">
        <w:t>Science</w:t>
      </w:r>
      <w:r>
        <w:t xml:space="preserve"> </w:t>
      </w:r>
      <w:r w:rsidRPr="0091488E">
        <w:t>Academic Proficiency</w:t>
      </w:r>
      <w:bookmarkEnd w:id="18"/>
      <w:bookmarkEnd w:id="19"/>
      <w:bookmarkEnd w:id="20"/>
    </w:p>
    <w:p w14:paraId="43BC2131" w14:textId="39F6438B" w:rsidR="007542E2" w:rsidRDefault="00630CBF" w:rsidP="00131E8B">
      <w:r>
        <w:t>Percent</w:t>
      </w:r>
      <w:r w:rsidRPr="00392BB4">
        <w:t xml:space="preserve"> of </w:t>
      </w:r>
      <w:r>
        <w:t>secondary CTE Concentrators who took the “11</w:t>
      </w:r>
      <w:r w:rsidRPr="00DE6E6D">
        <w:rPr>
          <w:vertAlign w:val="superscript"/>
        </w:rPr>
        <w:t>th</w:t>
      </w:r>
      <w:r>
        <w:t xml:space="preserve"> grade” Oregon statewide science assessment and demonstrated proficiency</w:t>
      </w:r>
      <w:r w:rsidR="007542E2" w:rsidRPr="00392BB4">
        <w:t>.</w:t>
      </w:r>
    </w:p>
    <w:p w14:paraId="4C799165" w14:textId="77777777" w:rsidR="008C50BC" w:rsidRPr="00735299" w:rsidRDefault="008C50BC" w:rsidP="00131E8B">
      <w:pPr>
        <w:pStyle w:val="ListParagraph"/>
        <w:numPr>
          <w:ilvl w:val="0"/>
          <w:numId w:val="7"/>
        </w:numPr>
      </w:pPr>
      <w:r w:rsidRPr="00735299">
        <w:t xml:space="preserve">A “partially lagged” metric in Report Year 24-25 and earlier. </w:t>
      </w:r>
    </w:p>
    <w:p w14:paraId="6ECBA781" w14:textId="7B0606B5" w:rsidR="008C50BC" w:rsidRPr="00735299" w:rsidRDefault="008C50BC" w:rsidP="00131E8B">
      <w:pPr>
        <w:pStyle w:val="ListParagraph"/>
        <w:numPr>
          <w:ilvl w:val="0"/>
          <w:numId w:val="7"/>
        </w:numPr>
      </w:pPr>
      <w:r>
        <w:t>Report Year 24-25</w:t>
      </w:r>
      <w:r w:rsidRPr="00735299">
        <w:t>: 2S</w:t>
      </w:r>
      <w:r>
        <w:t>3</w:t>
      </w:r>
      <w:r w:rsidRPr="00735299">
        <w:t xml:space="preserve"> cohort mostly either</w:t>
      </w:r>
    </w:p>
    <w:p w14:paraId="15E5FB93" w14:textId="77777777" w:rsidR="008C50BC" w:rsidRPr="00735299" w:rsidRDefault="008C50BC" w:rsidP="00131E8B">
      <w:pPr>
        <w:pStyle w:val="ListParagraph"/>
        <w:numPr>
          <w:ilvl w:val="1"/>
          <w:numId w:val="7"/>
        </w:numPr>
      </w:pPr>
      <w:r w:rsidRPr="00735299">
        <w:t>Entered HS 22-23 and took the assessment in 24-25 as Concentrators</w:t>
      </w:r>
    </w:p>
    <w:p w14:paraId="32F0E5AF" w14:textId="625F9BAA" w:rsidR="008C50BC" w:rsidRPr="00735299" w:rsidRDefault="008C50BC" w:rsidP="00131E8B">
      <w:pPr>
        <w:pStyle w:val="ListParagraph"/>
        <w:numPr>
          <w:ilvl w:val="1"/>
          <w:numId w:val="7"/>
        </w:numPr>
      </w:pPr>
      <w:r w:rsidRPr="00735299">
        <w:t>Entered HS 21-22</w:t>
      </w:r>
      <w:r>
        <w:t xml:space="preserve">, </w:t>
      </w:r>
      <w:r w:rsidRPr="00735299">
        <w:t xml:space="preserve">took the assessment </w:t>
      </w:r>
      <w:r w:rsidR="00131E8B">
        <w:t>by</w:t>
      </w:r>
      <w:r w:rsidRPr="00735299">
        <w:t xml:space="preserve"> 24-25</w:t>
      </w:r>
      <w:r>
        <w:t>,</w:t>
      </w:r>
      <w:r w:rsidRPr="00735299">
        <w:t xml:space="preserve"> and were Concentrators by end of 24-25</w:t>
      </w:r>
    </w:p>
    <w:p w14:paraId="48BE6D72" w14:textId="09EF0B17" w:rsidR="008C50BC" w:rsidRPr="00CC0340" w:rsidRDefault="008C50BC" w:rsidP="00131E8B">
      <w:pPr>
        <w:pStyle w:val="ListParagraph"/>
        <w:numPr>
          <w:ilvl w:val="1"/>
          <w:numId w:val="7"/>
        </w:numPr>
      </w:pPr>
      <w:r w:rsidRPr="00735299">
        <w:t>Entered HS 20-21 or 19-20</w:t>
      </w:r>
      <w:r>
        <w:t xml:space="preserve">, </w:t>
      </w:r>
      <w:r w:rsidRPr="00735299">
        <w:t>are in a 1S</w:t>
      </w:r>
      <w:r>
        <w:t>1 or 1S2</w:t>
      </w:r>
      <w:r w:rsidRPr="00735299">
        <w:t xml:space="preserve"> denominator and took the assessment </w:t>
      </w:r>
      <w:r w:rsidR="00131E8B">
        <w:t>before</w:t>
      </w:r>
      <w:r w:rsidRPr="00735299">
        <w:t xml:space="preserve"> 24-25</w:t>
      </w:r>
    </w:p>
    <w:p w14:paraId="56A88EC8" w14:textId="77777777" w:rsidR="00826A1C" w:rsidRPr="00CC0340" w:rsidRDefault="00826A1C" w:rsidP="00131E8B">
      <w:pPr>
        <w:rPr>
          <w:b/>
        </w:rPr>
      </w:pPr>
      <w:r>
        <w:rPr>
          <w:b/>
        </w:rPr>
        <w:t>Total Students</w:t>
      </w:r>
      <w:r>
        <w:rPr>
          <w:bCs/>
        </w:rPr>
        <w:t xml:space="preserve"> (denominator)</w:t>
      </w:r>
      <w:r w:rsidRPr="008125FB">
        <w:t xml:space="preserve">: </w:t>
      </w:r>
      <w:r w:rsidR="007542E2">
        <w:t>the number</w:t>
      </w:r>
      <w:r w:rsidR="007542E2" w:rsidRPr="000F404D">
        <w:t xml:space="preserve"> of CTE </w:t>
      </w:r>
      <w:r w:rsidR="007542E2">
        <w:t>C</w:t>
      </w:r>
      <w:r w:rsidR="007542E2" w:rsidRPr="000F404D">
        <w:t xml:space="preserve">oncentrators who took the ESEA assessment in </w:t>
      </w:r>
      <w:r w:rsidR="007542E2">
        <w:t>science.</w:t>
      </w:r>
    </w:p>
    <w:p w14:paraId="4985D6CD" w14:textId="586380FB" w:rsidR="001761A0" w:rsidRPr="008C50BC" w:rsidRDefault="00826A1C" w:rsidP="00131E8B">
      <w:r w:rsidRPr="00826A1C">
        <w:rPr>
          <w:b/>
          <w:bCs/>
        </w:rPr>
        <w:t>Students Meeting Standard</w:t>
      </w:r>
      <w:r>
        <w:t xml:space="preserve"> (numerator)</w:t>
      </w:r>
      <w:r w:rsidRPr="00CC0340">
        <w:t>: </w:t>
      </w:r>
      <w:r>
        <w:t>number</w:t>
      </w:r>
      <w:r w:rsidRPr="00B114F1">
        <w:t xml:space="preserve"> of CTE </w:t>
      </w:r>
      <w:r>
        <w:t>C</w:t>
      </w:r>
      <w:r w:rsidRPr="00B114F1">
        <w:t xml:space="preserve">oncentrators who have met the proficient or advanced level on Oregon’s science assessment administered under Section 1111(b)(3) of </w:t>
      </w:r>
      <w:r>
        <w:t>ESEA</w:t>
      </w:r>
      <w:r w:rsidRPr="00B114F1">
        <w:t xml:space="preserve"> as amended by the No Child Left Behind Act.</w:t>
      </w:r>
      <w:bookmarkStart w:id="21" w:name="_Toc97135153"/>
      <w:bookmarkStart w:id="22" w:name="_Toc98829389"/>
      <w:bookmarkStart w:id="23" w:name="_Toc216850960"/>
    </w:p>
    <w:p w14:paraId="2255A0F1" w14:textId="0EC22804" w:rsidR="007542E2" w:rsidRDefault="007542E2" w:rsidP="00131E8B">
      <w:pPr>
        <w:pStyle w:val="Heading2"/>
      </w:pPr>
      <w:r w:rsidRPr="0091488E">
        <w:t xml:space="preserve">3S1 </w:t>
      </w:r>
      <w:r>
        <w:t xml:space="preserve">Post-Program </w:t>
      </w:r>
      <w:r w:rsidRPr="0091488E">
        <w:t>Placement</w:t>
      </w:r>
      <w:bookmarkEnd w:id="21"/>
      <w:bookmarkEnd w:id="22"/>
      <w:bookmarkEnd w:id="23"/>
      <w:r w:rsidR="00A5009F" w:rsidRPr="00A5009F">
        <w:t xml:space="preserve"> of Secondary Concentrators</w:t>
      </w:r>
    </w:p>
    <w:p w14:paraId="7CAB807B" w14:textId="5414C0AA" w:rsidR="007542E2" w:rsidRDefault="007542E2" w:rsidP="00131E8B">
      <w:r w:rsidRPr="00392BB4">
        <w:t>Percent of CTE Concentrators who, in the second quarter after exiting from secondary education, are in</w:t>
      </w:r>
      <w:r>
        <w:t xml:space="preserve"> qualifying</w:t>
      </w:r>
      <w:r w:rsidRPr="00392BB4">
        <w:t xml:space="preserve"> postsecondary opportunities.</w:t>
      </w:r>
    </w:p>
    <w:p w14:paraId="2FA95D79" w14:textId="25AB3165" w:rsidR="008C50BC" w:rsidRDefault="008C50BC" w:rsidP="00131E8B">
      <w:pPr>
        <w:pStyle w:val="ListParagraph"/>
        <w:numPr>
          <w:ilvl w:val="0"/>
          <w:numId w:val="10"/>
        </w:numPr>
      </w:pPr>
      <w:r>
        <w:t>A “lagged” indicator: 3S students left school in 23-24</w:t>
      </w:r>
    </w:p>
    <w:p w14:paraId="650E6617" w14:textId="6FEC742B" w:rsidR="008C50BC" w:rsidRPr="00CC0340" w:rsidRDefault="008C50BC" w:rsidP="00131E8B">
      <w:pPr>
        <w:pStyle w:val="ListParagraph"/>
        <w:numPr>
          <w:ilvl w:val="0"/>
          <w:numId w:val="10"/>
        </w:numPr>
      </w:pPr>
      <w:r>
        <w:t>Report Year 24-25: 3S cohort mostly entered HS 20-21 for 23-24 graduation / leaving school.</w:t>
      </w:r>
    </w:p>
    <w:p w14:paraId="5A39388F" w14:textId="6386EF83" w:rsidR="00826A1C" w:rsidRDefault="00826A1C" w:rsidP="00131E8B">
      <w:r>
        <w:rPr>
          <w:b/>
        </w:rPr>
        <w:t>Total Students</w:t>
      </w:r>
      <w:r>
        <w:rPr>
          <w:bCs/>
        </w:rPr>
        <w:t xml:space="preserve"> (denominator)</w:t>
      </w:r>
      <w:r w:rsidRPr="008125FB">
        <w:t>:</w:t>
      </w:r>
      <w:r w:rsidR="007542E2">
        <w:t xml:space="preserve"> the number</w:t>
      </w:r>
      <w:r w:rsidR="007542E2" w:rsidRPr="00B114F1">
        <w:t xml:space="preserve"> of CTE </w:t>
      </w:r>
      <w:r w:rsidR="007542E2">
        <w:t>C</w:t>
      </w:r>
      <w:r w:rsidR="007542E2" w:rsidRPr="00B114F1">
        <w:t xml:space="preserve">oncentrators who exited secondary education </w:t>
      </w:r>
      <w:r w:rsidR="007542E2">
        <w:t>the</w:t>
      </w:r>
      <w:r w:rsidR="00630CBF">
        <w:t xml:space="preserve"> </w:t>
      </w:r>
      <w:r w:rsidR="00EB2F69">
        <w:t>year prior to the report year</w:t>
      </w:r>
      <w:r w:rsidR="007542E2" w:rsidRPr="00B114F1">
        <w:t>.</w:t>
      </w:r>
      <w:bookmarkStart w:id="24" w:name="_Toc97135154"/>
    </w:p>
    <w:p w14:paraId="5332081F" w14:textId="219FE934" w:rsidR="0039783E" w:rsidRPr="001761A0" w:rsidRDefault="00826A1C" w:rsidP="00131E8B">
      <w:r w:rsidRPr="00826A1C">
        <w:rPr>
          <w:b/>
          <w:bCs/>
        </w:rPr>
        <w:t>Students Meeting Standard</w:t>
      </w:r>
      <w:r>
        <w:t xml:space="preserve"> (numerator)</w:t>
      </w:r>
      <w:r w:rsidRPr="00CC0340">
        <w:t>: </w:t>
      </w:r>
      <w:r>
        <w:t>the number</w:t>
      </w:r>
      <w:r w:rsidRPr="00B114F1">
        <w:t xml:space="preserve"> of CTE </w:t>
      </w:r>
      <w:r>
        <w:t>C</w:t>
      </w:r>
      <w:r w:rsidRPr="00B114F1">
        <w:t xml:space="preserve">oncentrators who, in the </w:t>
      </w:r>
      <w:r>
        <w:t>fall</w:t>
      </w:r>
      <w:r w:rsidRPr="00B114F1">
        <w:t xml:space="preserve"> quarter after exiting from secondary education, are in postsecondary education or advanced training, military service or a service program that receives assistance under title I of the National and Community Service Act of 1990</w:t>
      </w:r>
      <w:r>
        <w:rPr>
          <w:rStyle w:val="FootnoteReference"/>
        </w:rPr>
        <w:footnoteReference w:id="1"/>
      </w:r>
      <w:r w:rsidRPr="00B114F1">
        <w:t>, are volunteers as described in section 5(a) of the Peace Corps Act</w:t>
      </w:r>
      <w:r>
        <w:rPr>
          <w:rStyle w:val="FootnoteReference"/>
        </w:rPr>
        <w:footnoteReference w:id="2"/>
      </w:r>
      <w:r>
        <w:t xml:space="preserve">, </w:t>
      </w:r>
      <w:r w:rsidRPr="00B114F1">
        <w:t>or are employed</w:t>
      </w:r>
      <w:r>
        <w:t>.</w:t>
      </w:r>
      <w:bookmarkStart w:id="25" w:name="_Toc98829390"/>
      <w:bookmarkStart w:id="26" w:name="_Toc216850961"/>
    </w:p>
    <w:p w14:paraId="5DA6FA27" w14:textId="77777777" w:rsidR="008C50BC" w:rsidRDefault="008C50BC" w:rsidP="00131E8B">
      <w:pPr>
        <w:rPr>
          <w:rFonts w:asciiTheme="majorHAnsi" w:eastAsiaTheme="majorEastAsia" w:hAnsiTheme="majorHAnsi" w:cstheme="majorBidi"/>
          <w:color w:val="1F497D" w:themeColor="text2"/>
          <w:sz w:val="26"/>
          <w:szCs w:val="26"/>
          <w:u w:val="single"/>
        </w:rPr>
      </w:pPr>
      <w:r>
        <w:br w:type="page"/>
      </w:r>
    </w:p>
    <w:p w14:paraId="58D6711F" w14:textId="0AA7AD10" w:rsidR="007542E2" w:rsidRDefault="007542E2" w:rsidP="00131E8B">
      <w:pPr>
        <w:pStyle w:val="Heading2"/>
      </w:pPr>
      <w:r w:rsidRPr="0091488E">
        <w:lastRenderedPageBreak/>
        <w:t xml:space="preserve">4S1 Non-Traditional Program </w:t>
      </w:r>
      <w:r>
        <w:t>Concentration</w:t>
      </w:r>
      <w:bookmarkEnd w:id="24"/>
      <w:bookmarkEnd w:id="25"/>
      <w:bookmarkEnd w:id="26"/>
    </w:p>
    <w:p w14:paraId="0FAE8C0C" w14:textId="3B3020B6" w:rsidR="007542E2" w:rsidRPr="00131E8B" w:rsidRDefault="007542E2" w:rsidP="00131E8B">
      <w:r w:rsidRPr="00131E8B">
        <w:t>Percent of CTE Concentrators in CTE programs of study that lead to fields federally identified as non-traditional for the gender of the Concentrator.</w:t>
      </w:r>
    </w:p>
    <w:p w14:paraId="016F5844" w14:textId="2DD3BC56" w:rsidR="008C50BC" w:rsidRPr="00CC0340" w:rsidRDefault="008C50BC" w:rsidP="00131E8B">
      <w:pPr>
        <w:pStyle w:val="ListParagraph"/>
        <w:numPr>
          <w:ilvl w:val="0"/>
          <w:numId w:val="9"/>
        </w:numPr>
      </w:pPr>
      <w:r>
        <w:t>Report Year 24-25</w:t>
      </w:r>
      <w:r w:rsidRPr="008C50BC">
        <w:t>: 4S cohort is any student in CTE Student 24-25 with any history in CTE Course 24-25 or earlier. (mostly 21-22 and later HS Entry</w:t>
      </w:r>
      <w:r>
        <w:t>).</w:t>
      </w:r>
    </w:p>
    <w:p w14:paraId="7E1F3E00" w14:textId="26E2C1A9" w:rsidR="00826A1C" w:rsidRDefault="00826A1C" w:rsidP="00131E8B">
      <w:r>
        <w:rPr>
          <w:b/>
        </w:rPr>
        <w:t>Total Students</w:t>
      </w:r>
      <w:r>
        <w:rPr>
          <w:bCs/>
        </w:rPr>
        <w:t xml:space="preserve"> (denominator)</w:t>
      </w:r>
      <w:r w:rsidRPr="008125FB">
        <w:t xml:space="preserve">: </w:t>
      </w:r>
      <w:r w:rsidR="007542E2">
        <w:t>the number</w:t>
      </w:r>
      <w:r w:rsidR="007542E2" w:rsidRPr="00B114F1">
        <w:t xml:space="preserve"> of CTE </w:t>
      </w:r>
      <w:r w:rsidR="007542E2">
        <w:t xml:space="preserve">Concentrators whose </w:t>
      </w:r>
      <w:r w:rsidR="00AD5638">
        <w:t>Primary Program</w:t>
      </w:r>
      <w:r w:rsidR="007542E2">
        <w:t xml:space="preserve"> is</w:t>
      </w:r>
      <w:r w:rsidR="007542E2" w:rsidRPr="00B114F1">
        <w:t xml:space="preserve"> </w:t>
      </w:r>
      <w:r w:rsidR="007542E2">
        <w:t xml:space="preserve">federally </w:t>
      </w:r>
      <w:r w:rsidR="007542E2" w:rsidRPr="00B114F1">
        <w:t>associated with a traditional gender</w:t>
      </w:r>
      <w:r w:rsidR="007542E2">
        <w:t>.</w:t>
      </w:r>
    </w:p>
    <w:p w14:paraId="0F9A7054" w14:textId="7872A8A6" w:rsidR="00826A1C" w:rsidRPr="00CC0340" w:rsidRDefault="00826A1C" w:rsidP="00131E8B">
      <w:r w:rsidRPr="00826A1C">
        <w:rPr>
          <w:b/>
          <w:bCs/>
        </w:rPr>
        <w:t>Students Meeting Standard</w:t>
      </w:r>
      <w:r>
        <w:t xml:space="preserve"> (numerator)</w:t>
      </w:r>
      <w:r w:rsidRPr="00CC0340">
        <w:t>: </w:t>
      </w:r>
      <w:r>
        <w:t xml:space="preserve">the number </w:t>
      </w:r>
      <w:r w:rsidRPr="00B114F1">
        <w:t xml:space="preserve">of CTE </w:t>
      </w:r>
      <w:r>
        <w:t>C</w:t>
      </w:r>
      <w:r w:rsidRPr="00B114F1">
        <w:t xml:space="preserve">oncentrators </w:t>
      </w:r>
      <w:r>
        <w:t xml:space="preserve">whose </w:t>
      </w:r>
      <w:r w:rsidR="00AD5638">
        <w:t>Primary Program</w:t>
      </w:r>
      <w:r w:rsidRPr="00B114F1">
        <w:t xml:space="preserve"> leads to </w:t>
      </w:r>
      <w:r>
        <w:t>n</w:t>
      </w:r>
      <w:r w:rsidRPr="00B114F1">
        <w:t>on-traditional field</w:t>
      </w:r>
      <w:r>
        <w:t>s</w:t>
      </w:r>
      <w:r w:rsidRPr="00B114F1">
        <w:t xml:space="preserve"> (for their gender).</w:t>
      </w:r>
      <w:r w:rsidR="00AD5638">
        <w:t xml:space="preserve"> </w:t>
      </w:r>
    </w:p>
    <w:p w14:paraId="3A1A16BD" w14:textId="6EB13060" w:rsidR="007542E2" w:rsidRPr="003F4822" w:rsidRDefault="007542E2" w:rsidP="00131E8B">
      <w:pPr>
        <w:pStyle w:val="Heading2"/>
      </w:pPr>
      <w:bookmarkStart w:id="27" w:name="_Toc97135155"/>
      <w:bookmarkStart w:id="28" w:name="_Toc98829391"/>
      <w:bookmarkStart w:id="29" w:name="_Toc216850962"/>
      <w:r w:rsidRPr="0091488E">
        <w:t xml:space="preserve">5S3 </w:t>
      </w:r>
      <w:bookmarkEnd w:id="27"/>
      <w:bookmarkEnd w:id="28"/>
      <w:bookmarkEnd w:id="29"/>
      <w:r w:rsidR="00017D72" w:rsidRPr="00017D72">
        <w:t>Concentrator Participat</w:t>
      </w:r>
      <w:r w:rsidR="00AD5638">
        <w:t>ion</w:t>
      </w:r>
      <w:r w:rsidR="00017D72" w:rsidRPr="00017D72">
        <w:t xml:space="preserve"> in Work-Based Learning</w:t>
      </w:r>
    </w:p>
    <w:p w14:paraId="15E72A81" w14:textId="7924CBD0" w:rsidR="007542E2" w:rsidRDefault="007542E2" w:rsidP="00131E8B">
      <w:r w:rsidRPr="00392BB4">
        <w:t xml:space="preserve">Percent of CTE Concentrators graduating from </w:t>
      </w:r>
      <w:r w:rsidRPr="00EF6185">
        <w:t xml:space="preserve">high school </w:t>
      </w:r>
      <w:r w:rsidR="00AD2532">
        <w:t>who</w:t>
      </w:r>
      <w:r w:rsidR="00AD5638">
        <w:t xml:space="preserve"> </w:t>
      </w:r>
      <w:r w:rsidR="00AD5638" w:rsidRPr="00EF6185">
        <w:t>have</w:t>
      </w:r>
      <w:r w:rsidRPr="00EF6185">
        <w:t xml:space="preserve"> participated in CTE work-based learning</w:t>
      </w:r>
      <w:r w:rsidR="00AD2532">
        <w:t xml:space="preserve"> in their Primary Program</w:t>
      </w:r>
      <w:r w:rsidRPr="00EF6185">
        <w:t>.</w:t>
      </w:r>
    </w:p>
    <w:p w14:paraId="4025B884" w14:textId="19B2670A" w:rsidR="008C50BC" w:rsidRDefault="008C50BC" w:rsidP="00131E8B">
      <w:pPr>
        <w:pStyle w:val="ListParagraph"/>
        <w:numPr>
          <w:ilvl w:val="0"/>
          <w:numId w:val="8"/>
        </w:numPr>
      </w:pPr>
      <w:r>
        <w:t>A “lagged” indicator: 5S students completed high school in 23-24</w:t>
      </w:r>
      <w:r w:rsidR="00810F49">
        <w:t xml:space="preserve"> adjusted 4-year cohort</w:t>
      </w:r>
      <w:r>
        <w:t xml:space="preserve"> and were not in school in 24-25.</w:t>
      </w:r>
    </w:p>
    <w:p w14:paraId="663AB6B7" w14:textId="1DAE9F4A" w:rsidR="008C50BC" w:rsidRPr="00EF6185" w:rsidRDefault="008C50BC" w:rsidP="00131E8B">
      <w:pPr>
        <w:pStyle w:val="ListParagraph"/>
        <w:numPr>
          <w:ilvl w:val="0"/>
          <w:numId w:val="8"/>
        </w:numPr>
      </w:pPr>
      <w:r>
        <w:t>Report Year 24-25: 5S3 cohort is the 1S1 Numerator (</w:t>
      </w:r>
      <w:r w:rsidR="00131E8B">
        <w:t xml:space="preserve">1S1 </w:t>
      </w:r>
      <w:r>
        <w:t xml:space="preserve">students mostly entered HS 20-21 for </w:t>
      </w:r>
      <w:r w:rsidR="00131E8B">
        <w:t xml:space="preserve">a </w:t>
      </w:r>
      <w:r>
        <w:t>23-24 graduation).</w:t>
      </w:r>
    </w:p>
    <w:p w14:paraId="059EB096" w14:textId="43363880" w:rsidR="004A3583" w:rsidRDefault="00826A1C" w:rsidP="00131E8B">
      <w:r>
        <w:rPr>
          <w:b/>
        </w:rPr>
        <w:t>Total Students</w:t>
      </w:r>
      <w:r>
        <w:rPr>
          <w:bCs/>
        </w:rPr>
        <w:t xml:space="preserve"> (denominator)</w:t>
      </w:r>
      <w:r w:rsidRPr="008125FB">
        <w:t xml:space="preserve">: </w:t>
      </w:r>
      <w:r w:rsidR="007542E2">
        <w:t>the number</w:t>
      </w:r>
      <w:r w:rsidR="007542E2" w:rsidRPr="00B114F1">
        <w:t xml:space="preserve"> of CTE </w:t>
      </w:r>
      <w:r w:rsidR="007542E2">
        <w:t>C</w:t>
      </w:r>
      <w:r w:rsidR="007542E2" w:rsidRPr="00B114F1">
        <w:t xml:space="preserve">oncentrators who </w:t>
      </w:r>
      <w:r w:rsidR="007542E2">
        <w:t>completed</w:t>
      </w:r>
      <w:r w:rsidR="007542E2" w:rsidRPr="00B114F1">
        <w:t xml:space="preserve"> high school during the reporting year</w:t>
      </w:r>
      <w:r w:rsidR="007542E2">
        <w:t>.</w:t>
      </w:r>
    </w:p>
    <w:p w14:paraId="29B7B97D" w14:textId="77777777" w:rsidR="00826A1C" w:rsidRPr="00CC0340" w:rsidRDefault="00826A1C" w:rsidP="00131E8B">
      <w:bookmarkStart w:id="30" w:name="_Perkins_V_Performance"/>
      <w:bookmarkStart w:id="31" w:name="_Report:_ADI_–"/>
      <w:bookmarkEnd w:id="30"/>
      <w:bookmarkEnd w:id="31"/>
      <w:bookmarkEnd w:id="2"/>
      <w:bookmarkEnd w:id="3"/>
      <w:bookmarkEnd w:id="4"/>
      <w:r w:rsidRPr="00826A1C">
        <w:rPr>
          <w:b/>
          <w:bCs/>
        </w:rPr>
        <w:t>Students Meeting Standard</w:t>
      </w:r>
      <w:r>
        <w:t xml:space="preserve"> (numerator)</w:t>
      </w:r>
      <w:r w:rsidRPr="00CC0340">
        <w:t>: </w:t>
      </w:r>
      <w:r>
        <w:t>the number</w:t>
      </w:r>
      <w:r w:rsidRPr="00B114F1">
        <w:t xml:space="preserve"> of CTE </w:t>
      </w:r>
      <w:r>
        <w:t>C</w:t>
      </w:r>
      <w:r w:rsidRPr="00B114F1">
        <w:t xml:space="preserve">oncentrators who participated in </w:t>
      </w:r>
      <w:r>
        <w:t xml:space="preserve">CTE </w:t>
      </w:r>
      <w:r w:rsidRPr="00B114F1">
        <w:t>work–ba</w:t>
      </w:r>
      <w:r>
        <w:t>sed learning during high school</w:t>
      </w:r>
      <w:r w:rsidRPr="00B114F1">
        <w:t xml:space="preserve"> </w:t>
      </w:r>
      <w:r w:rsidRPr="005D7AD5">
        <w:rPr>
          <w:i/>
          <w:iCs/>
        </w:rPr>
        <w:t>and</w:t>
      </w:r>
      <w:r w:rsidRPr="00B114F1">
        <w:t xml:space="preserve"> graduated from high school during the reporting year</w:t>
      </w:r>
      <w:r>
        <w:t>.</w:t>
      </w:r>
    </w:p>
    <w:p w14:paraId="1E8D3D61" w14:textId="77777777" w:rsidR="0025408D" w:rsidRPr="0025408D" w:rsidRDefault="0025408D" w:rsidP="00131E8B">
      <w:pPr>
        <w:sectPr w:rsidR="0025408D" w:rsidRPr="0025408D" w:rsidSect="00401C80">
          <w:headerReference w:type="default" r:id="rId13"/>
          <w:footerReference w:type="default" r:id="rId14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2D479E1" w14:textId="5B1C07E3" w:rsidR="00430AB2" w:rsidRDefault="007F5D0B" w:rsidP="00131E8B">
      <w:pPr>
        <w:pStyle w:val="Heading1"/>
      </w:pPr>
      <w:bookmarkStart w:id="32" w:name="_Toc221004030"/>
      <w:r>
        <w:lastRenderedPageBreak/>
        <w:t>Report Glossary</w:t>
      </w:r>
      <w:bookmarkEnd w:id="32"/>
    </w:p>
    <w:p w14:paraId="3334EC49" w14:textId="76C79309" w:rsidR="001761A0" w:rsidRPr="009E026B" w:rsidRDefault="00430AB2" w:rsidP="00131E8B">
      <w:pPr>
        <w:rPr>
          <w:b/>
          <w:bCs/>
        </w:rPr>
      </w:pPr>
      <w:r w:rsidRPr="00D72FE2">
        <w:t xml:space="preserve">For additional use of these terms or for </w:t>
      </w:r>
      <w:r w:rsidR="00DA47E6" w:rsidRPr="00D72FE2">
        <w:t>those</w:t>
      </w:r>
      <w:r w:rsidRPr="00D72FE2">
        <w:t xml:space="preserve"> not found here, please see the </w:t>
      </w:r>
      <w:hyperlink r:id="rId15" w:history="1">
        <w:r w:rsidRPr="009E026B">
          <w:rPr>
            <w:rStyle w:val="Hyperlink"/>
            <w:u w:val="none"/>
          </w:rPr>
          <w:t xml:space="preserve">Oregon CTE State Plan Glossary </w:t>
        </w:r>
      </w:hyperlink>
      <w:r w:rsidRPr="00D72FE2">
        <w:t xml:space="preserve">or a </w:t>
      </w:r>
      <w:r w:rsidR="00696555">
        <w:t xml:space="preserve">report- or </w:t>
      </w:r>
      <w:r w:rsidRPr="00D72FE2">
        <w:t>process-specific resource.</w:t>
      </w:r>
    </w:p>
    <w:p w14:paraId="19CB4C97" w14:textId="6DD81853" w:rsidR="00430AB2" w:rsidRDefault="00430AB2" w:rsidP="00131E8B">
      <w:r w:rsidRPr="0086332E">
        <w:rPr>
          <w:rStyle w:val="IntenseReference"/>
        </w:rPr>
        <w:t>Aggregation</w:t>
      </w:r>
      <w:r w:rsidR="00877D48">
        <w:rPr>
          <w:rStyle w:val="IntenseReference"/>
        </w:rPr>
        <w:t xml:space="preserve"> / Disaggregation</w:t>
      </w:r>
      <w:r w:rsidR="009C5490">
        <w:rPr>
          <w:rStyle w:val="IntenseReference"/>
        </w:rPr>
        <w:t xml:space="preserve">: </w:t>
      </w:r>
      <w:r>
        <w:t>Data about clusters or groups, such as counts, averages, medians, or percentages; certain types of aggregation are calculations for specific subset of students (or former students) such as focal student group statistics</w:t>
      </w:r>
      <w:r w:rsidRPr="00ED607F">
        <w:t>.</w:t>
      </w:r>
      <w:r w:rsidR="00877D48">
        <w:t xml:space="preserve"> </w:t>
      </w:r>
      <w:r w:rsidR="00877D48" w:rsidRPr="00877D48">
        <w:rPr>
          <w:i/>
          <w:iCs/>
        </w:rPr>
        <w:t>Aggregation</w:t>
      </w:r>
      <w:r w:rsidR="00877D48">
        <w:t xml:space="preserve"> can refer to </w:t>
      </w:r>
      <w:r w:rsidR="00877D48" w:rsidRPr="00877D48">
        <w:rPr>
          <w:i/>
          <w:iCs/>
        </w:rPr>
        <w:t>any</w:t>
      </w:r>
      <w:r w:rsidR="00877D48">
        <w:t xml:space="preserve"> grouping but is often used at ODE to refer to the highest level of grouping in a report (ex: statewide, all students) while ODE often uses </w:t>
      </w:r>
      <w:r w:rsidR="00877D48" w:rsidRPr="00877D48">
        <w:rPr>
          <w:i/>
          <w:iCs/>
        </w:rPr>
        <w:t>disaggregation</w:t>
      </w:r>
      <w:r w:rsidR="00877D48">
        <w:t xml:space="preserve"> to describe calculations by subgroup / component group </w:t>
      </w:r>
      <w:r w:rsidR="000A2FFD">
        <w:t xml:space="preserve">that are also </w:t>
      </w:r>
      <w:r w:rsidR="00877D48">
        <w:t xml:space="preserve">made at a higher level of aggregation. </w:t>
      </w:r>
    </w:p>
    <w:p w14:paraId="4418A41A" w14:textId="604BB85F" w:rsidR="00430AB2" w:rsidRDefault="00430AB2" w:rsidP="00131E8B">
      <w:r w:rsidRPr="00ED1FB9">
        <w:rPr>
          <w:rStyle w:val="IntenseReference"/>
        </w:rPr>
        <w:t>CTE Concentrator, secondary</w:t>
      </w:r>
      <w:r w:rsidR="001C2C37">
        <w:rPr>
          <w:rStyle w:val="IntenseReference"/>
        </w:rPr>
        <w:t xml:space="preserve">: </w:t>
      </w:r>
      <w:r>
        <w:t>A</w:t>
      </w:r>
      <w:r w:rsidRPr="00CC0340">
        <w:t xml:space="preserve"> student with at least 2.0 credits (earned in grade 9 or higher</w:t>
      </w:r>
      <w:r>
        <w:t xml:space="preserve"> with passing grades</w:t>
      </w:r>
      <w:r w:rsidRPr="00CC0340">
        <w:t>) in a single CTE POS and at least 1.0 of those credits in intermediate or advanced coursework.</w:t>
      </w:r>
      <w:r>
        <w:t xml:space="preserve"> </w:t>
      </w:r>
    </w:p>
    <w:p w14:paraId="5359EFE9" w14:textId="5BFFEDD8" w:rsidR="00430AB2" w:rsidRDefault="00430AB2" w:rsidP="00131E8B">
      <w:r>
        <w:rPr>
          <w:rStyle w:val="IntenseReference"/>
        </w:rPr>
        <w:t xml:space="preserve">CTE </w:t>
      </w:r>
      <w:r w:rsidRPr="00EE0D34">
        <w:rPr>
          <w:rStyle w:val="IntenseReference"/>
        </w:rPr>
        <w:t>Work-based Learning</w:t>
      </w:r>
      <w:r>
        <w:rPr>
          <w:rStyle w:val="IntenseReference"/>
        </w:rPr>
        <w:t xml:space="preserve"> (CTE WBL)</w:t>
      </w:r>
      <w:r w:rsidR="001C2C37">
        <w:rPr>
          <w:rStyle w:val="IntenseReference"/>
        </w:rPr>
        <w:t xml:space="preserve">: </w:t>
      </w:r>
      <w:r w:rsidRPr="00970C8C">
        <w:t xml:space="preserve">All </w:t>
      </w:r>
      <w:r>
        <w:t xml:space="preserve">CTE </w:t>
      </w:r>
      <w:r w:rsidR="00E350D9">
        <w:t>W</w:t>
      </w:r>
      <w:r w:rsidRPr="00970C8C">
        <w:t>ork-</w:t>
      </w:r>
      <w:r w:rsidR="00E350D9">
        <w:t>B</w:t>
      </w:r>
      <w:r w:rsidRPr="00970C8C">
        <w:t xml:space="preserve">ased learning experiences tied to a CTE Program of Study must include all of the following criteria, which are more fully described </w:t>
      </w:r>
      <w:r>
        <w:t>[in the Perkins V WBL Handbook]</w:t>
      </w:r>
      <w:r w:rsidRPr="00970C8C">
        <w:t>: 1) Align with CTE Program of Study curriculum and instruction</w:t>
      </w:r>
      <w:r>
        <w:t>;</w:t>
      </w:r>
      <w:r w:rsidRPr="00970C8C">
        <w:t xml:space="preserve"> 2) Include sustained interaction with industry, business, or community professionals</w:t>
      </w:r>
      <w:r>
        <w:t>;</w:t>
      </w:r>
      <w:r w:rsidRPr="00970C8C">
        <w:t xml:space="preserve"> 3) Be offered in-person, virtually, or in a simulated workplace setting</w:t>
      </w:r>
      <w:r>
        <w:t>;</w:t>
      </w:r>
      <w:r w:rsidRPr="00970C8C">
        <w:t xml:space="preserve"> 4) Lead to earning of credit and/or outcome verification</w:t>
      </w:r>
      <w:r>
        <w:t>.</w:t>
      </w:r>
      <w:r w:rsidR="00CF5977">
        <w:t xml:space="preserve"> Find resources and information on work-based learning on the ODE </w:t>
      </w:r>
      <w:hyperlink r:id="rId16" w:history="1">
        <w:r w:rsidR="00CF5977" w:rsidRPr="000B54EB">
          <w:rPr>
            <w:rStyle w:val="Hyperlink"/>
          </w:rPr>
          <w:t>Career Preparation and Training page</w:t>
        </w:r>
      </w:hyperlink>
      <w:r w:rsidR="00CF5977">
        <w:t xml:space="preserve"> which </w:t>
      </w:r>
      <w:r w:rsidR="00CF5977" w:rsidRPr="00F54E5B">
        <w:t xml:space="preserve">has information on WBL including the </w:t>
      </w:r>
      <w:r w:rsidR="00CF5977" w:rsidRPr="00F54E5B">
        <w:rPr>
          <w:color w:val="000000"/>
        </w:rPr>
        <w:t xml:space="preserve">Perkins V Work-Based Learning </w:t>
      </w:r>
      <w:hyperlink r:id="rId17" w:history="1">
        <w:r w:rsidR="00CF5977" w:rsidRPr="00F54E5B">
          <w:rPr>
            <w:rStyle w:val="Hyperlink"/>
            <w:bCs/>
          </w:rPr>
          <w:t>Handbook</w:t>
        </w:r>
      </w:hyperlink>
      <w:r w:rsidR="00CF5977" w:rsidRPr="00F54E5B">
        <w:rPr>
          <w:rStyle w:val="Hyperlink"/>
          <w:bCs/>
        </w:rPr>
        <w:t xml:space="preserve"> (202</w:t>
      </w:r>
      <w:r w:rsidR="002A19C4">
        <w:rPr>
          <w:rStyle w:val="Hyperlink"/>
          <w:bCs/>
        </w:rPr>
        <w:t>5</w:t>
      </w:r>
      <w:r w:rsidR="00CF5977" w:rsidRPr="00F54E5B">
        <w:rPr>
          <w:rStyle w:val="Hyperlink"/>
          <w:bCs/>
        </w:rPr>
        <w:t>)</w:t>
      </w:r>
      <w:r w:rsidR="00CF5977" w:rsidRPr="00F54E5B">
        <w:rPr>
          <w:color w:val="000000"/>
        </w:rPr>
        <w:t xml:space="preserve">. </w:t>
      </w:r>
    </w:p>
    <w:p w14:paraId="579EAAA1" w14:textId="44DDA77F" w:rsidR="00430AB2" w:rsidRDefault="00430AB2" w:rsidP="00131E8B">
      <w:r w:rsidRPr="00EE0D34">
        <w:rPr>
          <w:rStyle w:val="IntenseReference"/>
        </w:rPr>
        <w:t>Grant Recipient / Grantee / Recipient / Subgrantee: </w:t>
      </w:r>
      <w:r>
        <w:t xml:space="preserve">The institution serving as a direct recipient or as the fiscal agent for a CTE consortium. </w:t>
      </w:r>
    </w:p>
    <w:p w14:paraId="3C62F58A" w14:textId="4EA9B3A3" w:rsidR="00430AB2" w:rsidRDefault="00430AB2" w:rsidP="00131E8B">
      <w:r w:rsidRPr="00440602">
        <w:rPr>
          <w:rStyle w:val="IntenseReference"/>
        </w:rPr>
        <w:t xml:space="preserve">Perkins V Performance </w:t>
      </w:r>
      <w:r>
        <w:rPr>
          <w:rStyle w:val="IntenseReference"/>
        </w:rPr>
        <w:t>Indicator (or Performance Indicator / measure / metric):</w:t>
      </w:r>
      <w:r w:rsidR="001C2C37">
        <w:rPr>
          <w:rStyle w:val="IntenseReference"/>
        </w:rPr>
        <w:t xml:space="preserve"> </w:t>
      </w:r>
      <w:r>
        <w:t>These are federally defined core indicators of performance states are required to report on annually under Perkins V legislation. They are structured as unweighted proportions (percentages) with individual specifications on determination of each denominator and numerator.</w:t>
      </w:r>
    </w:p>
    <w:p w14:paraId="7AC8686C" w14:textId="37B46736" w:rsidR="00430AB2" w:rsidRPr="00CC0340" w:rsidRDefault="00430AB2" w:rsidP="00131E8B">
      <w:r w:rsidRPr="009C2470">
        <w:rPr>
          <w:rStyle w:val="IntenseReference"/>
        </w:rPr>
        <w:t>Primary Program</w:t>
      </w:r>
      <w:r>
        <w:rPr>
          <w:rStyle w:val="IntenseReference"/>
        </w:rPr>
        <w:t>:</w:t>
      </w:r>
      <w:r w:rsidR="001C2C37">
        <w:rPr>
          <w:rStyle w:val="IntenseReference"/>
        </w:rPr>
        <w:t xml:space="preserve"> </w:t>
      </w:r>
      <w:r>
        <w:t xml:space="preserve">A CTE student’s primary program is the program for which their records are considered when students are limited to one (1) appearance in a type of calculation. At the secondary level, the primary program is determined by a formula that considers length of time in the program, number and skill level of courses completed, and more. </w:t>
      </w:r>
    </w:p>
    <w:p w14:paraId="54B42B82" w14:textId="23CA75EE" w:rsidR="00430AB2" w:rsidRDefault="00430AB2" w:rsidP="00131E8B">
      <w:r w:rsidRPr="007B37C3">
        <w:rPr>
          <w:rStyle w:val="IntenseReference"/>
          <w:iCs/>
        </w:rPr>
        <w:t>Report year</w:t>
      </w:r>
      <w:r w:rsidR="001C2C37">
        <w:rPr>
          <w:rStyle w:val="IntenseReference"/>
          <w:iCs/>
        </w:rPr>
        <w:t xml:space="preserve">: </w:t>
      </w:r>
      <w:r>
        <w:t xml:space="preserve">The report year is the school year in which the </w:t>
      </w:r>
      <w:r w:rsidRPr="00D65C0C">
        <w:t xml:space="preserve">tracked activity </w:t>
      </w:r>
      <w:r w:rsidR="00810F49">
        <w:t xml:space="preserve">or cohort data </w:t>
      </w:r>
      <w:r w:rsidRPr="00D65C0C">
        <w:t xml:space="preserve">became fully available to </w:t>
      </w:r>
      <w:r w:rsidR="00877D48">
        <w:t>ODE.</w:t>
      </w:r>
    </w:p>
    <w:p w14:paraId="1104F254" w14:textId="77777777" w:rsidR="00810F49" w:rsidRDefault="00810F49" w:rsidP="00131E8B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br w:type="page"/>
      </w:r>
    </w:p>
    <w:p w14:paraId="15B9159E" w14:textId="6849FBE5" w:rsidR="00810F49" w:rsidRDefault="00810F49" w:rsidP="00131E8B">
      <w:pPr>
        <w:pStyle w:val="Heading1"/>
      </w:pPr>
      <w:r>
        <w:lastRenderedPageBreak/>
        <w:t>Data Note: 3S1 Numerator</w:t>
      </w:r>
    </w:p>
    <w:p w14:paraId="455987FB" w14:textId="173B2FD3" w:rsidR="00810F49" w:rsidRPr="00377C55" w:rsidRDefault="00810F49" w:rsidP="00131E8B">
      <w:pPr>
        <w:rPr>
          <w:b/>
          <w:bCs/>
          <w:sz w:val="40"/>
          <w:szCs w:val="40"/>
        </w:rPr>
      </w:pPr>
      <w:r w:rsidRPr="00377C55">
        <w:rPr>
          <w:b/>
          <w:bCs/>
          <w:sz w:val="40"/>
          <w:szCs w:val="40"/>
        </w:rPr>
        <w:t xml:space="preserve">Data partners with the Oregon State Longitudinal Data System (SLDS) perform postsecondary matching for Perkins </w:t>
      </w:r>
      <w:r w:rsidR="00D27D97">
        <w:rPr>
          <w:b/>
          <w:bCs/>
          <w:sz w:val="40"/>
          <w:szCs w:val="40"/>
        </w:rPr>
        <w:t>Performance Measure 3S1</w:t>
      </w:r>
      <w:r w:rsidRPr="00377C55">
        <w:rPr>
          <w:b/>
          <w:bCs/>
          <w:sz w:val="40"/>
          <w:szCs w:val="40"/>
        </w:rPr>
        <w:t>.</w:t>
      </w:r>
    </w:p>
    <w:p w14:paraId="16C277E9" w14:textId="77777777" w:rsidR="00810F49" w:rsidRPr="00131E8B" w:rsidRDefault="00810F49" w:rsidP="00131E8B">
      <w:pPr>
        <w:rPr>
          <w:sz w:val="32"/>
          <w:szCs w:val="32"/>
        </w:rPr>
      </w:pPr>
      <w:r w:rsidRPr="00131E8B">
        <w:rPr>
          <w:sz w:val="32"/>
          <w:szCs w:val="32"/>
        </w:rPr>
        <w:t>The qualifying postsecondary opportunities for Perkins Indicator 3S1 the state has current capacity to track include:</w:t>
      </w:r>
    </w:p>
    <w:p w14:paraId="3D7EE350" w14:textId="77777777" w:rsidR="00810F49" w:rsidRPr="00810F49" w:rsidRDefault="00810F49" w:rsidP="001C216F">
      <w:pPr>
        <w:pStyle w:val="ListParagraph"/>
        <w:numPr>
          <w:ilvl w:val="0"/>
          <w:numId w:val="15"/>
        </w:numPr>
        <w:spacing w:after="0"/>
      </w:pPr>
      <w:r w:rsidRPr="00F03475">
        <w:rPr>
          <w:b/>
          <w:bCs/>
        </w:rPr>
        <w:t>Employment in the state of Oregon</w:t>
      </w:r>
      <w:r w:rsidRPr="00810F49">
        <w:t xml:space="preserve"> reported to Oregon Employment Department (OED)</w:t>
      </w:r>
    </w:p>
    <w:p w14:paraId="47E33A58" w14:textId="156EC6F5" w:rsidR="00810F49" w:rsidRPr="00810F49" w:rsidRDefault="00810F49" w:rsidP="001C216F">
      <w:pPr>
        <w:ind w:left="360"/>
      </w:pPr>
      <w:r w:rsidRPr="00810F49">
        <w:t xml:space="preserve">Note: This indicator does not discriminate </w:t>
      </w:r>
      <w:r w:rsidR="00866885" w:rsidRPr="00810F49">
        <w:t>against</w:t>
      </w:r>
      <w:r w:rsidRPr="00810F49">
        <w:t xml:space="preserve"> OED-tracked employment opportunities on any basis including pay-rate, skill level, or level of demand for similar positions. Employment of any </w:t>
      </w:r>
      <w:r w:rsidR="001C216F">
        <w:t>kind</w:t>
      </w:r>
      <w:r w:rsidRPr="00810F49">
        <w:t xml:space="preserve"> reported to OED in the student-relevant quarter qualifies the student to the 3S1 numerator.</w:t>
      </w:r>
    </w:p>
    <w:p w14:paraId="73422A57" w14:textId="77777777" w:rsidR="00810F49" w:rsidRPr="00810F49" w:rsidRDefault="00810F49" w:rsidP="001C216F">
      <w:pPr>
        <w:pStyle w:val="ListParagraph"/>
        <w:numPr>
          <w:ilvl w:val="0"/>
          <w:numId w:val="15"/>
        </w:numPr>
        <w:spacing w:after="0"/>
      </w:pPr>
      <w:r w:rsidRPr="00F03475">
        <w:rPr>
          <w:b/>
          <w:bCs/>
        </w:rPr>
        <w:t>Business ownership / self-employment</w:t>
      </w:r>
      <w:r w:rsidRPr="00810F49">
        <w:t xml:space="preserve"> on which taxes are filed and work reported to OED for / by the former student.</w:t>
      </w:r>
    </w:p>
    <w:p w14:paraId="4C5F4CC8" w14:textId="77777777" w:rsidR="00810F49" w:rsidRPr="00810F49" w:rsidRDefault="00810F49" w:rsidP="001C216F">
      <w:pPr>
        <w:ind w:left="360"/>
      </w:pPr>
      <w:r w:rsidRPr="00810F49">
        <w:t>Note: For individuals meeting the above requirement but who filed beyond the normal tax filing deadline may not have their records processed in time for inclusion in this calculation.</w:t>
      </w:r>
    </w:p>
    <w:p w14:paraId="7F117430" w14:textId="52C1B675" w:rsidR="00810F49" w:rsidRPr="00F03475" w:rsidRDefault="00810F49" w:rsidP="00377C55">
      <w:pPr>
        <w:pStyle w:val="ListParagraph"/>
        <w:numPr>
          <w:ilvl w:val="0"/>
          <w:numId w:val="15"/>
        </w:numPr>
        <w:contextualSpacing w:val="0"/>
      </w:pPr>
      <w:r w:rsidRPr="00F03475">
        <w:t>Enrollment in a</w:t>
      </w:r>
      <w:r w:rsidR="00696555">
        <w:t>n</w:t>
      </w:r>
      <w:r w:rsidRPr="00F03475">
        <w:t xml:space="preserve"> Oregon community college</w:t>
      </w:r>
    </w:p>
    <w:p w14:paraId="5BA345FA" w14:textId="6668F1BB" w:rsidR="00810F49" w:rsidRPr="00F03475" w:rsidRDefault="00810F49" w:rsidP="00131E8B">
      <w:pPr>
        <w:pStyle w:val="ListParagraph"/>
        <w:numPr>
          <w:ilvl w:val="0"/>
          <w:numId w:val="15"/>
        </w:numPr>
      </w:pPr>
      <w:r w:rsidRPr="00F03475">
        <w:t>Enrollment in a public university or 4-year college in Oregon</w:t>
      </w:r>
    </w:p>
    <w:p w14:paraId="21C0816E" w14:textId="6BB162A9" w:rsidR="00810F49" w:rsidRPr="00131E8B" w:rsidRDefault="00810F49" w:rsidP="00131E8B">
      <w:pPr>
        <w:rPr>
          <w:sz w:val="32"/>
          <w:szCs w:val="32"/>
        </w:rPr>
      </w:pPr>
      <w:r w:rsidRPr="00131E8B">
        <w:rPr>
          <w:sz w:val="32"/>
          <w:szCs w:val="32"/>
        </w:rPr>
        <w:t xml:space="preserve">Examples of qualifying opportunities </w:t>
      </w:r>
      <w:r w:rsidR="00696555" w:rsidRPr="00131E8B">
        <w:rPr>
          <w:sz w:val="32"/>
          <w:szCs w:val="32"/>
        </w:rPr>
        <w:t>we</w:t>
      </w:r>
      <w:r w:rsidRPr="00131E8B">
        <w:rPr>
          <w:sz w:val="32"/>
          <w:szCs w:val="32"/>
        </w:rPr>
        <w:t xml:space="preserve"> </w:t>
      </w:r>
      <w:r w:rsidRPr="00131E8B">
        <w:rPr>
          <w:i/>
          <w:iCs/>
          <w:sz w:val="32"/>
          <w:szCs w:val="32"/>
        </w:rPr>
        <w:t>cannot</w:t>
      </w:r>
      <w:r w:rsidRPr="00131E8B">
        <w:rPr>
          <w:sz w:val="32"/>
          <w:szCs w:val="32"/>
        </w:rPr>
        <w:t xml:space="preserve"> </w:t>
      </w:r>
      <w:r w:rsidR="00696555" w:rsidRPr="00131E8B">
        <w:rPr>
          <w:sz w:val="32"/>
          <w:szCs w:val="32"/>
        </w:rPr>
        <w:t>track</w:t>
      </w:r>
      <w:r w:rsidRPr="00131E8B">
        <w:rPr>
          <w:sz w:val="32"/>
          <w:szCs w:val="32"/>
        </w:rPr>
        <w:t xml:space="preserve"> at this time include:</w:t>
      </w:r>
    </w:p>
    <w:p w14:paraId="71322B3B" w14:textId="5C2FED5D" w:rsidR="00810F49" w:rsidRPr="00810F49" w:rsidRDefault="00810F49" w:rsidP="001C216F">
      <w:pPr>
        <w:pStyle w:val="ListParagraph"/>
        <w:numPr>
          <w:ilvl w:val="0"/>
          <w:numId w:val="16"/>
        </w:numPr>
        <w:contextualSpacing w:val="0"/>
      </w:pPr>
      <w:r w:rsidRPr="00810F49">
        <w:t xml:space="preserve">Enrollment in </w:t>
      </w:r>
      <w:r>
        <w:t>trade schools, service-learning</w:t>
      </w:r>
      <w:r w:rsidR="00F03475">
        <w:t xml:space="preserve"> programs (ex: Peace Corps, AmeriCorps),</w:t>
      </w:r>
      <w:r>
        <w:t xml:space="preserve"> or </w:t>
      </w:r>
      <w:r w:rsidR="009F301A">
        <w:t xml:space="preserve">in </w:t>
      </w:r>
      <w:r w:rsidRPr="00810F49">
        <w:t xml:space="preserve">accredited private colleges </w:t>
      </w:r>
      <w:r w:rsidR="009F301A">
        <w:t>or</w:t>
      </w:r>
      <w:r w:rsidRPr="00810F49">
        <w:t xml:space="preserve"> universities.</w:t>
      </w:r>
    </w:p>
    <w:p w14:paraId="2BEB01F3" w14:textId="53367FEE" w:rsidR="00810F49" w:rsidRPr="00810F49" w:rsidRDefault="00810F49" w:rsidP="001C216F">
      <w:pPr>
        <w:pStyle w:val="ListParagraph"/>
        <w:numPr>
          <w:ilvl w:val="0"/>
          <w:numId w:val="16"/>
        </w:numPr>
        <w:contextualSpacing w:val="0"/>
      </w:pPr>
      <w:r>
        <w:t>Public</w:t>
      </w:r>
      <w:r w:rsidRPr="00810F49">
        <w:t xml:space="preserve"> universit</w:t>
      </w:r>
      <w:r>
        <w:t>y</w:t>
      </w:r>
      <w:r w:rsidRPr="00810F49">
        <w:t xml:space="preserve"> and 4-year college</w:t>
      </w:r>
      <w:r>
        <w:t xml:space="preserve"> </w:t>
      </w:r>
      <w:r w:rsidR="00F03475">
        <w:t xml:space="preserve">enrollment </w:t>
      </w:r>
      <w:r w:rsidR="00F03475" w:rsidRPr="00810F49">
        <w:t>in</w:t>
      </w:r>
      <w:r w:rsidRPr="00810F49">
        <w:t xml:space="preserve"> other states.</w:t>
      </w:r>
    </w:p>
    <w:p w14:paraId="4B3E178D" w14:textId="0533FBE4" w:rsidR="00F03475" w:rsidRDefault="00810F49" w:rsidP="001C216F">
      <w:pPr>
        <w:pStyle w:val="ListParagraph"/>
        <w:numPr>
          <w:ilvl w:val="0"/>
          <w:numId w:val="16"/>
        </w:numPr>
        <w:contextualSpacing w:val="0"/>
      </w:pPr>
      <w:r w:rsidRPr="00810F49">
        <w:t xml:space="preserve">Military enlistment </w:t>
      </w:r>
    </w:p>
    <w:p w14:paraId="0D6D7385" w14:textId="18673A8E" w:rsidR="00810F49" w:rsidRPr="00377C55" w:rsidRDefault="00810F49" w:rsidP="00377C55">
      <w:pPr>
        <w:spacing w:after="120"/>
        <w:rPr>
          <w:b/>
          <w:bCs/>
          <w:sz w:val="40"/>
          <w:szCs w:val="40"/>
        </w:rPr>
      </w:pPr>
      <w:r w:rsidRPr="00377C55">
        <w:rPr>
          <w:b/>
          <w:bCs/>
          <w:sz w:val="40"/>
          <w:szCs w:val="40"/>
        </w:rPr>
        <w:t>Report Year 24-25 Data Notes from Oregon SLDS Team</w:t>
      </w:r>
    </w:p>
    <w:p w14:paraId="3AF575E8" w14:textId="0FC04DD2" w:rsidR="00810F49" w:rsidRPr="009F301A" w:rsidRDefault="00810F49" w:rsidP="00377C55">
      <w:pPr>
        <w:spacing w:after="0"/>
        <w:rPr>
          <w:sz w:val="28"/>
          <w:szCs w:val="28"/>
        </w:rPr>
      </w:pPr>
      <w:r w:rsidRPr="009F301A">
        <w:rPr>
          <w:sz w:val="28"/>
          <w:szCs w:val="28"/>
        </w:rPr>
        <w:t xml:space="preserve">Expect lower </w:t>
      </w:r>
      <w:r w:rsidR="00EC6034">
        <w:rPr>
          <w:sz w:val="28"/>
          <w:szCs w:val="28"/>
        </w:rPr>
        <w:t xml:space="preserve">3S1 </w:t>
      </w:r>
      <w:r w:rsidRPr="009F301A">
        <w:rPr>
          <w:sz w:val="28"/>
          <w:szCs w:val="28"/>
        </w:rPr>
        <w:t>match rates in the 2024-25 report year compared to prior years</w:t>
      </w:r>
      <w:r w:rsidR="009F301A" w:rsidRPr="009F301A">
        <w:rPr>
          <w:sz w:val="28"/>
          <w:szCs w:val="28"/>
        </w:rPr>
        <w:t>.</w:t>
      </w:r>
    </w:p>
    <w:p w14:paraId="75B90EC8" w14:textId="77777777" w:rsidR="00810F49" w:rsidRPr="00810F49" w:rsidRDefault="00810F49" w:rsidP="00377C55">
      <w:pPr>
        <w:pStyle w:val="ListParagraph"/>
        <w:numPr>
          <w:ilvl w:val="0"/>
          <w:numId w:val="13"/>
        </w:numPr>
        <w:contextualSpacing w:val="0"/>
      </w:pPr>
      <w:r w:rsidRPr="00810F49">
        <w:t>Integrated Client Services (ICS) no longer provides matching data starting with report year 2024-25. (ICS provided national higher education clearinghouse matching for out-of-state public institutions, some trade schools, etc.)</w:t>
      </w:r>
    </w:p>
    <w:p w14:paraId="0BB5B783" w14:textId="5AB35877" w:rsidR="00810F49" w:rsidRPr="00810F49" w:rsidRDefault="00810F49" w:rsidP="00131E8B">
      <w:pPr>
        <w:pStyle w:val="ListParagraph"/>
        <w:numPr>
          <w:ilvl w:val="0"/>
          <w:numId w:val="13"/>
        </w:numPr>
      </w:pPr>
      <w:r w:rsidRPr="00810F49">
        <w:t xml:space="preserve">Oregon Department of Motor Vehicles (DMV) was unable to provide matching data in time for the 2024-25 report year but will likely provide matching data in future years.  </w:t>
      </w:r>
    </w:p>
    <w:sectPr w:rsidR="00810F49" w:rsidRPr="00810F49" w:rsidSect="00DE68D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19B1" w14:textId="77777777" w:rsidR="002E293A" w:rsidRDefault="002E293A" w:rsidP="00131E8B">
      <w:r>
        <w:separator/>
      </w:r>
    </w:p>
  </w:endnote>
  <w:endnote w:type="continuationSeparator" w:id="0">
    <w:p w14:paraId="0ABE999C" w14:textId="77777777" w:rsidR="002E293A" w:rsidRDefault="002E293A" w:rsidP="001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8787" w14:textId="500BAF8E" w:rsidR="00156318" w:rsidRDefault="00156318" w:rsidP="00131E8B">
    <w:pPr>
      <w:pStyle w:val="Footer"/>
    </w:pPr>
    <w:r>
      <w:t xml:space="preserve">Oregon Department of Education | </w:t>
    </w:r>
    <w:r w:rsidR="00EA5C0C" w:rsidRPr="00810F49">
      <w:t xml:space="preserve">March </w:t>
    </w:r>
    <w:r w:rsidR="00866885">
      <w:t>16</w:t>
    </w:r>
    <w:r w:rsidR="000921F7" w:rsidRPr="00810F49">
      <w:t>,</w:t>
    </w:r>
    <w:r w:rsidR="001A0BDB" w:rsidRPr="00810F49">
      <w:t xml:space="preserve"> 202</w:t>
    </w:r>
    <w:r w:rsidR="00CF5977" w:rsidRPr="00810F49">
      <w:t>6</w:t>
    </w:r>
    <w:r w:rsidR="00866885">
      <w:t>.</w:t>
    </w:r>
    <w:r w:rsidR="00EA5C0C"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35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AC13" w14:textId="77777777" w:rsidR="002E293A" w:rsidRDefault="002E293A" w:rsidP="00131E8B">
      <w:r>
        <w:separator/>
      </w:r>
    </w:p>
  </w:footnote>
  <w:footnote w:type="continuationSeparator" w:id="0">
    <w:p w14:paraId="1DC75BD4" w14:textId="77777777" w:rsidR="002E293A" w:rsidRDefault="002E293A" w:rsidP="00131E8B">
      <w:r>
        <w:continuationSeparator/>
      </w:r>
    </w:p>
  </w:footnote>
  <w:footnote w:id="1">
    <w:p w14:paraId="67C7F392" w14:textId="77777777" w:rsidR="00826A1C" w:rsidRDefault="00826A1C" w:rsidP="00131E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177E">
        <w:t>National and Community Service Act of 1990</w:t>
      </w:r>
      <w:r>
        <w:t xml:space="preserve">: </w:t>
      </w:r>
      <w:r w:rsidRPr="00EC177E">
        <w:t>42 U.S.C. 12511 et seq.</w:t>
      </w:r>
    </w:p>
  </w:footnote>
  <w:footnote w:id="2">
    <w:p w14:paraId="7CD8228B" w14:textId="77777777" w:rsidR="00826A1C" w:rsidRDefault="00826A1C" w:rsidP="00131E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177E">
        <w:t>Peace Corps Act</w:t>
      </w:r>
      <w:r>
        <w:t>:</w:t>
      </w:r>
      <w:r w:rsidRPr="00EC177E">
        <w:t xml:space="preserve"> 22 U.S.C. 2504(a)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C1F6" w14:textId="06741AF8" w:rsidR="00156318" w:rsidRDefault="00B6042D" w:rsidP="00131E8B">
    <w:pPr>
      <w:pStyle w:val="Header"/>
    </w:pPr>
    <w:r>
      <w:t xml:space="preserve">OR Statewide </w:t>
    </w:r>
    <w:r w:rsidR="00D46377">
      <w:t xml:space="preserve">Perkins </w:t>
    </w:r>
    <w:r>
      <w:t xml:space="preserve">Performance </w:t>
    </w:r>
    <w:r w:rsidR="00EC6034">
      <w:t xml:space="preserve">90% </w:t>
    </w:r>
    <w:r>
      <w:t>Report User Guide</w:t>
    </w:r>
    <w:r w:rsidR="00D46377">
      <w:tab/>
      <w:t>Report Year 2</w:t>
    </w:r>
    <w:r w:rsidR="00EB40E5">
      <w:t>02</w:t>
    </w:r>
    <w:r w:rsidR="00D46377">
      <w:t>4-2</w:t>
    </w:r>
    <w:r w:rsidR="00EB40E5">
      <w:t>02</w:t>
    </w:r>
    <w:r w:rsidR="00D46377">
      <w:t>5</w:t>
    </w:r>
    <w:fldSimple w:instr=" FILENAME \* MERGEFORMAT 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3E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444FDF"/>
    <w:multiLevelType w:val="hybridMultilevel"/>
    <w:tmpl w:val="179E7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A4E73"/>
    <w:multiLevelType w:val="hybridMultilevel"/>
    <w:tmpl w:val="95822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B025D"/>
    <w:multiLevelType w:val="hybridMultilevel"/>
    <w:tmpl w:val="C3E24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A2105"/>
    <w:multiLevelType w:val="hybridMultilevel"/>
    <w:tmpl w:val="DF148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72CC3"/>
    <w:multiLevelType w:val="hybridMultilevel"/>
    <w:tmpl w:val="C792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12A29"/>
    <w:multiLevelType w:val="hybridMultilevel"/>
    <w:tmpl w:val="41DE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D3B6D"/>
    <w:multiLevelType w:val="hybridMultilevel"/>
    <w:tmpl w:val="ECBA5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EA12CE"/>
    <w:multiLevelType w:val="hybridMultilevel"/>
    <w:tmpl w:val="3152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D3DA3"/>
    <w:multiLevelType w:val="hybridMultilevel"/>
    <w:tmpl w:val="A972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831E6"/>
    <w:multiLevelType w:val="hybridMultilevel"/>
    <w:tmpl w:val="1D465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63FA0"/>
    <w:multiLevelType w:val="hybridMultilevel"/>
    <w:tmpl w:val="5B52D8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0133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225EAC"/>
    <w:multiLevelType w:val="hybridMultilevel"/>
    <w:tmpl w:val="6F9EA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9B67A0"/>
    <w:multiLevelType w:val="hybridMultilevel"/>
    <w:tmpl w:val="441C4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C244F3"/>
    <w:multiLevelType w:val="hybridMultilevel"/>
    <w:tmpl w:val="C8B0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633890">
    <w:abstractNumId w:val="0"/>
  </w:num>
  <w:num w:numId="2" w16cid:durableId="866260625">
    <w:abstractNumId w:val="12"/>
  </w:num>
  <w:num w:numId="3" w16cid:durableId="1598899872">
    <w:abstractNumId w:val="7"/>
  </w:num>
  <w:num w:numId="4" w16cid:durableId="1386760972">
    <w:abstractNumId w:val="9"/>
  </w:num>
  <w:num w:numId="5" w16cid:durableId="273482532">
    <w:abstractNumId w:val="5"/>
  </w:num>
  <w:num w:numId="6" w16cid:durableId="962032841">
    <w:abstractNumId w:val="6"/>
  </w:num>
  <w:num w:numId="7" w16cid:durableId="1750881753">
    <w:abstractNumId w:val="4"/>
  </w:num>
  <w:num w:numId="8" w16cid:durableId="1552960280">
    <w:abstractNumId w:val="2"/>
  </w:num>
  <w:num w:numId="9" w16cid:durableId="1662461465">
    <w:abstractNumId w:val="8"/>
  </w:num>
  <w:num w:numId="10" w16cid:durableId="356857671">
    <w:abstractNumId w:val="10"/>
  </w:num>
  <w:num w:numId="11" w16cid:durableId="1324354622">
    <w:abstractNumId w:val="11"/>
  </w:num>
  <w:num w:numId="12" w16cid:durableId="1048382411">
    <w:abstractNumId w:val="3"/>
  </w:num>
  <w:num w:numId="13" w16cid:durableId="766851674">
    <w:abstractNumId w:val="1"/>
  </w:num>
  <w:num w:numId="14" w16cid:durableId="1390500532">
    <w:abstractNumId w:val="15"/>
  </w:num>
  <w:num w:numId="15" w16cid:durableId="4749195">
    <w:abstractNumId w:val="13"/>
  </w:num>
  <w:num w:numId="16" w16cid:durableId="5939733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3A"/>
    <w:rsid w:val="000001EB"/>
    <w:rsid w:val="00013A27"/>
    <w:rsid w:val="0001431B"/>
    <w:rsid w:val="00017D72"/>
    <w:rsid w:val="00020732"/>
    <w:rsid w:val="00035D5E"/>
    <w:rsid w:val="00043871"/>
    <w:rsid w:val="00057FD8"/>
    <w:rsid w:val="00071273"/>
    <w:rsid w:val="00077148"/>
    <w:rsid w:val="00090ABA"/>
    <w:rsid w:val="000921F7"/>
    <w:rsid w:val="0009345E"/>
    <w:rsid w:val="000A2FFD"/>
    <w:rsid w:val="000A341D"/>
    <w:rsid w:val="000A5756"/>
    <w:rsid w:val="000B6BBB"/>
    <w:rsid w:val="000C14A2"/>
    <w:rsid w:val="000C4F7D"/>
    <w:rsid w:val="000C5C46"/>
    <w:rsid w:val="000D2103"/>
    <w:rsid w:val="000D36B7"/>
    <w:rsid w:val="000E1FF9"/>
    <w:rsid w:val="000E7BC7"/>
    <w:rsid w:val="00113A89"/>
    <w:rsid w:val="00115E73"/>
    <w:rsid w:val="00131E8B"/>
    <w:rsid w:val="0013431A"/>
    <w:rsid w:val="00143FBE"/>
    <w:rsid w:val="00145242"/>
    <w:rsid w:val="001537D2"/>
    <w:rsid w:val="00156318"/>
    <w:rsid w:val="001702A5"/>
    <w:rsid w:val="00171793"/>
    <w:rsid w:val="001761A0"/>
    <w:rsid w:val="00187FD9"/>
    <w:rsid w:val="001907F2"/>
    <w:rsid w:val="001A0BDB"/>
    <w:rsid w:val="001A4EFC"/>
    <w:rsid w:val="001B37E4"/>
    <w:rsid w:val="001C216F"/>
    <w:rsid w:val="001C2C37"/>
    <w:rsid w:val="001C38B6"/>
    <w:rsid w:val="001D4DD1"/>
    <w:rsid w:val="001D6048"/>
    <w:rsid w:val="001E3296"/>
    <w:rsid w:val="001F0D29"/>
    <w:rsid w:val="001F0E47"/>
    <w:rsid w:val="0022037B"/>
    <w:rsid w:val="002217DB"/>
    <w:rsid w:val="00223DAF"/>
    <w:rsid w:val="00243119"/>
    <w:rsid w:val="00251A71"/>
    <w:rsid w:val="0025408D"/>
    <w:rsid w:val="002657FB"/>
    <w:rsid w:val="002702CC"/>
    <w:rsid w:val="002746D6"/>
    <w:rsid w:val="00295954"/>
    <w:rsid w:val="002A19C4"/>
    <w:rsid w:val="002A72AB"/>
    <w:rsid w:val="002C4BDA"/>
    <w:rsid w:val="002D37BB"/>
    <w:rsid w:val="002D5FE7"/>
    <w:rsid w:val="002D703A"/>
    <w:rsid w:val="002E293A"/>
    <w:rsid w:val="002E7A4C"/>
    <w:rsid w:val="002F2E45"/>
    <w:rsid w:val="00300E2F"/>
    <w:rsid w:val="00333A1C"/>
    <w:rsid w:val="003367CC"/>
    <w:rsid w:val="003378FB"/>
    <w:rsid w:val="00346621"/>
    <w:rsid w:val="00347DCF"/>
    <w:rsid w:val="00355707"/>
    <w:rsid w:val="00377C55"/>
    <w:rsid w:val="0038567A"/>
    <w:rsid w:val="0039783E"/>
    <w:rsid w:val="003A4E46"/>
    <w:rsid w:val="003A5E26"/>
    <w:rsid w:val="003B12D7"/>
    <w:rsid w:val="003C2370"/>
    <w:rsid w:val="003E5AD4"/>
    <w:rsid w:val="003F19AD"/>
    <w:rsid w:val="003F6983"/>
    <w:rsid w:val="0040136A"/>
    <w:rsid w:val="00401C80"/>
    <w:rsid w:val="004024D8"/>
    <w:rsid w:val="004159AA"/>
    <w:rsid w:val="00430AB2"/>
    <w:rsid w:val="00455EEA"/>
    <w:rsid w:val="00465BAE"/>
    <w:rsid w:val="00472D8E"/>
    <w:rsid w:val="0049421A"/>
    <w:rsid w:val="00495C39"/>
    <w:rsid w:val="004A3583"/>
    <w:rsid w:val="004B38C1"/>
    <w:rsid w:val="004E15CB"/>
    <w:rsid w:val="005110C4"/>
    <w:rsid w:val="00532D27"/>
    <w:rsid w:val="00542828"/>
    <w:rsid w:val="005507FA"/>
    <w:rsid w:val="00555758"/>
    <w:rsid w:val="00582C15"/>
    <w:rsid w:val="00585A54"/>
    <w:rsid w:val="005C4BD0"/>
    <w:rsid w:val="005C4F23"/>
    <w:rsid w:val="005D7AD5"/>
    <w:rsid w:val="005F7590"/>
    <w:rsid w:val="00605F43"/>
    <w:rsid w:val="0061014B"/>
    <w:rsid w:val="00615B91"/>
    <w:rsid w:val="00617A1A"/>
    <w:rsid w:val="00626867"/>
    <w:rsid w:val="00630CBF"/>
    <w:rsid w:val="0064392B"/>
    <w:rsid w:val="00657698"/>
    <w:rsid w:val="00677CC4"/>
    <w:rsid w:val="00684DAA"/>
    <w:rsid w:val="00686D26"/>
    <w:rsid w:val="00696555"/>
    <w:rsid w:val="006E738A"/>
    <w:rsid w:val="006F1D92"/>
    <w:rsid w:val="007125EF"/>
    <w:rsid w:val="00712E0C"/>
    <w:rsid w:val="00730EA7"/>
    <w:rsid w:val="00735299"/>
    <w:rsid w:val="00741EB8"/>
    <w:rsid w:val="007542E2"/>
    <w:rsid w:val="007819AD"/>
    <w:rsid w:val="007930A5"/>
    <w:rsid w:val="007A6F57"/>
    <w:rsid w:val="007C2A3C"/>
    <w:rsid w:val="007C32D0"/>
    <w:rsid w:val="007D0E9B"/>
    <w:rsid w:val="007E7007"/>
    <w:rsid w:val="007F5D0B"/>
    <w:rsid w:val="00810F49"/>
    <w:rsid w:val="0081186E"/>
    <w:rsid w:val="008202D2"/>
    <w:rsid w:val="00826A1C"/>
    <w:rsid w:val="00832D87"/>
    <w:rsid w:val="00834DFB"/>
    <w:rsid w:val="0085230B"/>
    <w:rsid w:val="00865F9D"/>
    <w:rsid w:val="00866885"/>
    <w:rsid w:val="0087285D"/>
    <w:rsid w:val="00877D48"/>
    <w:rsid w:val="0088081A"/>
    <w:rsid w:val="008843A1"/>
    <w:rsid w:val="00886703"/>
    <w:rsid w:val="008B3BC7"/>
    <w:rsid w:val="008B419A"/>
    <w:rsid w:val="008B496A"/>
    <w:rsid w:val="008C50BC"/>
    <w:rsid w:val="008C53F6"/>
    <w:rsid w:val="00904BFB"/>
    <w:rsid w:val="009050DA"/>
    <w:rsid w:val="00905FD4"/>
    <w:rsid w:val="009153FF"/>
    <w:rsid w:val="00924D42"/>
    <w:rsid w:val="009379FF"/>
    <w:rsid w:val="00940AFC"/>
    <w:rsid w:val="0094391A"/>
    <w:rsid w:val="00985898"/>
    <w:rsid w:val="00990C0B"/>
    <w:rsid w:val="009A652E"/>
    <w:rsid w:val="009B10D1"/>
    <w:rsid w:val="009B15ED"/>
    <w:rsid w:val="009C47CE"/>
    <w:rsid w:val="009C5490"/>
    <w:rsid w:val="009D7620"/>
    <w:rsid w:val="009E026B"/>
    <w:rsid w:val="009F301A"/>
    <w:rsid w:val="00A00A50"/>
    <w:rsid w:val="00A00D35"/>
    <w:rsid w:val="00A1287D"/>
    <w:rsid w:val="00A20267"/>
    <w:rsid w:val="00A3042C"/>
    <w:rsid w:val="00A36E4A"/>
    <w:rsid w:val="00A47348"/>
    <w:rsid w:val="00A5009F"/>
    <w:rsid w:val="00A51D0E"/>
    <w:rsid w:val="00A57B5C"/>
    <w:rsid w:val="00A73E23"/>
    <w:rsid w:val="00A808D7"/>
    <w:rsid w:val="00A92A97"/>
    <w:rsid w:val="00A933B5"/>
    <w:rsid w:val="00AA5C28"/>
    <w:rsid w:val="00AB2587"/>
    <w:rsid w:val="00AB351A"/>
    <w:rsid w:val="00AD1307"/>
    <w:rsid w:val="00AD2532"/>
    <w:rsid w:val="00AD5638"/>
    <w:rsid w:val="00AE3209"/>
    <w:rsid w:val="00B0089D"/>
    <w:rsid w:val="00B00F77"/>
    <w:rsid w:val="00B01343"/>
    <w:rsid w:val="00B04F92"/>
    <w:rsid w:val="00B13D47"/>
    <w:rsid w:val="00B341E0"/>
    <w:rsid w:val="00B3764B"/>
    <w:rsid w:val="00B43763"/>
    <w:rsid w:val="00B556B7"/>
    <w:rsid w:val="00B56B6A"/>
    <w:rsid w:val="00B6042D"/>
    <w:rsid w:val="00B611D2"/>
    <w:rsid w:val="00B84C94"/>
    <w:rsid w:val="00B96393"/>
    <w:rsid w:val="00BB6FE0"/>
    <w:rsid w:val="00BC010A"/>
    <w:rsid w:val="00C03FF3"/>
    <w:rsid w:val="00C05DCE"/>
    <w:rsid w:val="00C26B6D"/>
    <w:rsid w:val="00C27DD4"/>
    <w:rsid w:val="00C4365D"/>
    <w:rsid w:val="00C45A59"/>
    <w:rsid w:val="00C631C8"/>
    <w:rsid w:val="00C82F0F"/>
    <w:rsid w:val="00C96BE5"/>
    <w:rsid w:val="00CB1057"/>
    <w:rsid w:val="00CB56F4"/>
    <w:rsid w:val="00CC2E07"/>
    <w:rsid w:val="00CC737F"/>
    <w:rsid w:val="00CD0D9C"/>
    <w:rsid w:val="00CD7D7B"/>
    <w:rsid w:val="00CF5977"/>
    <w:rsid w:val="00D029F7"/>
    <w:rsid w:val="00D05DF2"/>
    <w:rsid w:val="00D27D97"/>
    <w:rsid w:val="00D430EE"/>
    <w:rsid w:val="00D44F39"/>
    <w:rsid w:val="00D46377"/>
    <w:rsid w:val="00D62353"/>
    <w:rsid w:val="00D65C0C"/>
    <w:rsid w:val="00D72FE2"/>
    <w:rsid w:val="00D849B7"/>
    <w:rsid w:val="00D90A8F"/>
    <w:rsid w:val="00D93014"/>
    <w:rsid w:val="00DA47E6"/>
    <w:rsid w:val="00DC02DA"/>
    <w:rsid w:val="00DD1930"/>
    <w:rsid w:val="00DD212E"/>
    <w:rsid w:val="00DD7DC3"/>
    <w:rsid w:val="00DE68DD"/>
    <w:rsid w:val="00DE6F9D"/>
    <w:rsid w:val="00E068AB"/>
    <w:rsid w:val="00E13D62"/>
    <w:rsid w:val="00E17760"/>
    <w:rsid w:val="00E31B11"/>
    <w:rsid w:val="00E350D9"/>
    <w:rsid w:val="00E4301B"/>
    <w:rsid w:val="00E45521"/>
    <w:rsid w:val="00E57B59"/>
    <w:rsid w:val="00E66A2B"/>
    <w:rsid w:val="00E70EDF"/>
    <w:rsid w:val="00E73AC0"/>
    <w:rsid w:val="00E90494"/>
    <w:rsid w:val="00E91A89"/>
    <w:rsid w:val="00EA3425"/>
    <w:rsid w:val="00EA5C0C"/>
    <w:rsid w:val="00EB0151"/>
    <w:rsid w:val="00EB2F69"/>
    <w:rsid w:val="00EB40E5"/>
    <w:rsid w:val="00EB7618"/>
    <w:rsid w:val="00EC13E0"/>
    <w:rsid w:val="00EC177E"/>
    <w:rsid w:val="00EC6034"/>
    <w:rsid w:val="00EE1A61"/>
    <w:rsid w:val="00EF04C2"/>
    <w:rsid w:val="00F02197"/>
    <w:rsid w:val="00F03475"/>
    <w:rsid w:val="00F072B3"/>
    <w:rsid w:val="00F11A8D"/>
    <w:rsid w:val="00F23B4F"/>
    <w:rsid w:val="00F27DCD"/>
    <w:rsid w:val="00F35DA0"/>
    <w:rsid w:val="00F37F34"/>
    <w:rsid w:val="00F53FDA"/>
    <w:rsid w:val="00F54E5B"/>
    <w:rsid w:val="00F7148E"/>
    <w:rsid w:val="00FC7857"/>
    <w:rsid w:val="00FD0BDE"/>
    <w:rsid w:val="00FD5024"/>
    <w:rsid w:val="00FE1563"/>
    <w:rsid w:val="00FE700F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5A18D4"/>
  <w15:chartTrackingRefBased/>
  <w15:docId w15:val="{9027CE02-26BA-4934-BC4B-BA84FE13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8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33B5"/>
    <w:pPr>
      <w:keepNext/>
      <w:keepLines/>
      <w:spacing w:after="0"/>
      <w:jc w:val="righ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03475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color w:val="0F243E" w:themeColor="text2" w:themeShade="80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542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4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665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9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3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3475"/>
    <w:rPr>
      <w:rFonts w:asciiTheme="majorHAnsi" w:eastAsiaTheme="majorEastAsia" w:hAnsiTheme="majorHAnsi" w:cstheme="majorBidi"/>
      <w:color w:val="0F243E" w:themeColor="text2" w:themeShade="80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542E2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542E2"/>
    <w:rPr>
      <w:rFonts w:asciiTheme="majorHAnsi" w:eastAsiaTheme="majorEastAsia" w:hAnsiTheme="majorHAnsi" w:cstheme="majorBidi"/>
      <w:i/>
      <w:iCs/>
      <w:color w:val="A6650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E293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E293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E293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E293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293A"/>
    <w:pPr>
      <w:tabs>
        <w:tab w:val="right" w:leader="dot" w:pos="100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93A"/>
    <w:pPr>
      <w:tabs>
        <w:tab w:val="right" w:leader="dot" w:pos="10070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E293A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2E293A"/>
    <w:pPr>
      <w:spacing w:after="0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E293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E293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29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29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29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293A"/>
  </w:style>
  <w:style w:type="paragraph" w:styleId="Footer">
    <w:name w:val="footer"/>
    <w:basedOn w:val="Normal"/>
    <w:link w:val="FooterChar"/>
    <w:uiPriority w:val="99"/>
    <w:unhideWhenUsed/>
    <w:rsid w:val="002E293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293A"/>
  </w:style>
  <w:style w:type="paragraph" w:styleId="TOC3">
    <w:name w:val="toc 3"/>
    <w:basedOn w:val="Normal"/>
    <w:next w:val="Normal"/>
    <w:autoRedefine/>
    <w:uiPriority w:val="39"/>
    <w:unhideWhenUsed/>
    <w:rsid w:val="002E293A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E293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3A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E293A"/>
    <w:pPr>
      <w:spacing w:after="100"/>
      <w:ind w:left="720"/>
    </w:pPr>
  </w:style>
  <w:style w:type="character" w:styleId="Emphasis">
    <w:name w:val="Emphasis"/>
    <w:basedOn w:val="DefaultParagraphFont"/>
    <w:uiPriority w:val="20"/>
    <w:qFormat/>
    <w:rsid w:val="002E293A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2E293A"/>
    <w:rPr>
      <w:b/>
      <w:bCs/>
      <w:smallCaps/>
      <w:color w:val="1F497D" w:themeColor="text2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E2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9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9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3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293A"/>
    <w:pPr>
      <w:spacing w:after="0"/>
    </w:pPr>
  </w:style>
  <w:style w:type="character" w:styleId="SubtleReference">
    <w:name w:val="Subtle Reference"/>
    <w:basedOn w:val="DefaultParagraphFont"/>
    <w:uiPriority w:val="31"/>
    <w:qFormat/>
    <w:rsid w:val="002E293A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93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93A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2E293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93A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E293A"/>
    <w:rPr>
      <w:b/>
      <w:bCs/>
    </w:rPr>
  </w:style>
  <w:style w:type="paragraph" w:styleId="NormalWeb">
    <w:name w:val="Normal (Web)"/>
    <w:basedOn w:val="Normal"/>
    <w:uiPriority w:val="99"/>
    <w:unhideWhenUsed/>
    <w:rsid w:val="002E29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2E293A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E66A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013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001EB"/>
    <w:pPr>
      <w:keepNext/>
      <w:spacing w:line="240" w:lineRule="auto"/>
    </w:pPr>
    <w:rPr>
      <w:i/>
      <w:iCs/>
      <w:color w:val="0F243E" w:themeColor="text2" w:themeShade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edistrict.oregon.gov/CollectionsValidations/Validations/Pages/PerkinsCareer.aspx" TargetMode="External"/><Relationship Id="rId17" Type="http://schemas.openxmlformats.org/officeDocument/2006/relationships/hyperlink" Target="https://www.oregon.gov/ode/learning-options/CTE/careerareas/Documents/Work-Based%20Learning%20Handbook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e/learning-options/CTE/careerareas/Pages/Work-Based-Learning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learning-options/CTE/data/Pages/Reporting,-Accountability,-and-Data-Informed-Decision-Making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de/learning-options/CTE/FedFund/Documents/Appendix%20N%20-%20CTE%20State%20Plan%20Glossary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84c8ee33-990a-427a-a586-09b5081d0797" xsi:nil="true"/>
    <Priority xmlns="84c8ee33-990a-427a-a586-09b5081d0797">New</Priority>
    <Estimated_x0020_Creation_x0020_Date xmlns="84c8ee33-990a-427a-a586-09b5081d07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BD0030D4052498173E50712DF8C90" ma:contentTypeVersion="7" ma:contentTypeDescription="Create a new document." ma:contentTypeScope="" ma:versionID="4fe9ff1b4fa261ebc83f9ab3a9b05003">
  <xsd:schema xmlns:xsd="http://www.w3.org/2001/XMLSchema" xmlns:xs="http://www.w3.org/2001/XMLSchema" xmlns:p="http://schemas.microsoft.com/office/2006/metadata/properties" xmlns:ns1="http://schemas.microsoft.com/sharepoint/v3" xmlns:ns2="84c8ee33-990a-427a-a586-09b5081d0797" xmlns:ns3="54031767-dd6d-417c-ab73-583408f47564" targetNamespace="http://schemas.microsoft.com/office/2006/metadata/properties" ma:root="true" ma:fieldsID="02610a493ec49b0da0cb9d0fa628196f" ns1:_="" ns2:_="" ns3:_="">
    <xsd:import namespace="http://schemas.microsoft.com/sharepoint/v3"/>
    <xsd:import namespace="84c8ee33-990a-427a-a586-09b5081d079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ee33-990a-427a-a586-09b5081d079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78A09-F13E-49CD-975C-8CA99707B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CE64C-7712-4929-B6BA-90506C4F2B2A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256d002-a739-4a2d-8b85-0dc2946f107b"/>
    <ds:schemaRef ds:uri="http://www.w3.org/XML/1998/namespace"/>
    <ds:schemaRef ds:uri="abe5e7a4-908e-4cd3-b79b-5fe648217337"/>
    <ds:schemaRef ds:uri="http://schemas.microsoft.com/sharepoint/v3"/>
    <ds:schemaRef ds:uri="http://schemas.microsoft.com/office/2006/metadata/properties"/>
    <ds:schemaRef ds:uri="dc0bfbdf-b6aa-4fae-8886-4223cd981787"/>
  </ds:schemaRefs>
</ds:datastoreItem>
</file>

<file path=customXml/itemProps3.xml><?xml version="1.0" encoding="utf-8"?>
<ds:datastoreItem xmlns:ds="http://schemas.openxmlformats.org/officeDocument/2006/customXml" ds:itemID="{92EB2F99-F802-4A14-B6B2-7A75DE057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946DD-C80F-4359-9991-E3580B9AF9D2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1998</Words>
  <Characters>11392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Perkins CTE Report In ADI User Guide</vt:lpstr>
    </vt:vector>
  </TitlesOfParts>
  <Company>Oregon Department of Education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CTE Report In ADI User Guide</dc:title>
  <dc:subject/>
  <dc:creator>AMODEO Rebecca * ODE</dc:creator>
  <cp:keywords>CTE; CTE Data; Perkins90%</cp:keywords>
  <dc:description/>
  <cp:lastModifiedBy>BEACHY Jennifer * ODE</cp:lastModifiedBy>
  <cp:revision>2</cp:revision>
  <dcterms:created xsi:type="dcterms:W3CDTF">2026-03-19T19:35:00Z</dcterms:created>
  <dcterms:modified xsi:type="dcterms:W3CDTF">2026-03-19T19:35:00Z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2024-01-04T22:46:08Z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bf31580e-0e0f-4bfd-8ecf-4e70206e252a</vt:lpwstr>
  </property>
  <property fmtid="{D5CDD505-2E9C-101B-9397-08002B2CF9AE}" pid="8" name="MSIP_Label_61f40bdc-19d8-4b8e-be88-e9eb9bcca8b8_ContentBits">
    <vt:lpwstr>0</vt:lpwstr>
  </property>
  <property fmtid="{D5CDD505-2E9C-101B-9397-08002B2CF9AE}" pid="9" name="TaxKeyword">
    <vt:lpwstr>125;#CTE|4c91dcde-7df3-4431-b936-c82159f06b5f;#225;#CTE Data|0df80eaf-e387-4f5e-8a81-073a99b7f3e5;#280;#Perkins90%|a3173dea-bbfe-44c1-b501-625c779ebce7</vt:lpwstr>
  </property>
  <property fmtid="{D5CDD505-2E9C-101B-9397-08002B2CF9AE}" pid="10" name="ContentTypeId">
    <vt:lpwstr>0x0101001D9BD0030D4052498173E50712DF8C90</vt:lpwstr>
  </property>
</Properties>
</file>